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4259F2">
      <w:pPr>
        <w:pStyle w:val="13"/>
        <w:shd w:val="clear" w:color="auto" w:fill="auto"/>
        <w:spacing w:line="360" w:lineRule="auto"/>
        <w:ind w:left="0" w:leftChars="0" w:firstLine="0" w:firstLineChars="0"/>
        <w:rPr>
          <w:rFonts w:hint="eastAsia" w:ascii="仿宋" w:hAnsi="仿宋" w:eastAsia="仿宋" w:cs="仿宋"/>
          <w:color w:val="auto"/>
          <w:highlight w:val="none"/>
        </w:rPr>
      </w:pPr>
    </w:p>
    <w:p w14:paraId="704F94D7">
      <w:pPr>
        <w:widowControl/>
        <w:shd w:val="clear" w:color="auto" w:fill="auto"/>
        <w:spacing w:line="360" w:lineRule="auto"/>
        <w:jc w:val="left"/>
        <w:rPr>
          <w:rFonts w:hint="eastAsia" w:ascii="仿宋" w:hAnsi="仿宋" w:eastAsia="仿宋" w:cs="仿宋"/>
          <w:color w:val="auto"/>
          <w:highlight w:val="none"/>
        </w:rPr>
      </w:pPr>
    </w:p>
    <w:p w14:paraId="0163BD63">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b/>
          <w:bCs/>
          <w:color w:val="auto"/>
          <w:sz w:val="40"/>
          <w:szCs w:val="40"/>
          <w:highlight w:val="none"/>
          <w:lang w:eastAsia="zh-CN"/>
        </w:rPr>
        <w:t>广州市天河区2112低空服务保障及配套产业基础设施项目工程监理服务</w:t>
      </w:r>
    </w:p>
    <w:p w14:paraId="403CFAD5">
      <w:pPr>
        <w:shd w:val="clear" w:color="auto" w:fill="auto"/>
        <w:spacing w:line="200" w:lineRule="exact"/>
        <w:rPr>
          <w:rFonts w:hint="eastAsia" w:ascii="仿宋" w:hAnsi="仿宋" w:eastAsia="仿宋" w:cs="仿宋"/>
          <w:color w:val="auto"/>
          <w:highlight w:val="none"/>
        </w:rPr>
      </w:pPr>
    </w:p>
    <w:p w14:paraId="442A811E">
      <w:pPr>
        <w:shd w:val="clear" w:color="auto" w:fill="auto"/>
        <w:spacing w:line="200" w:lineRule="exact"/>
        <w:rPr>
          <w:rFonts w:hint="eastAsia" w:ascii="仿宋" w:hAnsi="仿宋" w:eastAsia="仿宋" w:cs="仿宋"/>
          <w:color w:val="auto"/>
          <w:highlight w:val="none"/>
        </w:rPr>
      </w:pPr>
    </w:p>
    <w:p w14:paraId="4B10F884">
      <w:pPr>
        <w:shd w:val="clear" w:color="auto" w:fill="auto"/>
        <w:spacing w:line="200" w:lineRule="exact"/>
        <w:rPr>
          <w:rFonts w:hint="eastAsia" w:ascii="仿宋" w:hAnsi="仿宋" w:eastAsia="仿宋" w:cs="仿宋"/>
          <w:color w:val="auto"/>
          <w:highlight w:val="none"/>
        </w:rPr>
      </w:pPr>
    </w:p>
    <w:p w14:paraId="68490513">
      <w:pPr>
        <w:shd w:val="clear" w:color="auto" w:fill="auto"/>
        <w:spacing w:line="200" w:lineRule="exact"/>
        <w:rPr>
          <w:rFonts w:hint="eastAsia" w:ascii="仿宋" w:hAnsi="仿宋" w:eastAsia="仿宋" w:cs="仿宋"/>
          <w:color w:val="auto"/>
          <w:highlight w:val="none"/>
        </w:rPr>
      </w:pPr>
    </w:p>
    <w:p w14:paraId="028DB1B3">
      <w:pPr>
        <w:shd w:val="clear" w:color="auto" w:fill="auto"/>
        <w:spacing w:line="200" w:lineRule="exact"/>
        <w:rPr>
          <w:rFonts w:hint="eastAsia" w:ascii="仿宋" w:hAnsi="仿宋" w:eastAsia="仿宋" w:cs="仿宋"/>
          <w:color w:val="auto"/>
          <w:highlight w:val="none"/>
        </w:rPr>
      </w:pPr>
    </w:p>
    <w:p w14:paraId="23DFEAA0">
      <w:pPr>
        <w:shd w:val="clear" w:color="auto" w:fill="auto"/>
        <w:spacing w:line="200" w:lineRule="exact"/>
        <w:rPr>
          <w:rFonts w:hint="eastAsia" w:ascii="仿宋" w:hAnsi="仿宋" w:eastAsia="仿宋" w:cs="仿宋"/>
          <w:color w:val="auto"/>
          <w:highlight w:val="none"/>
        </w:rPr>
      </w:pPr>
    </w:p>
    <w:p w14:paraId="54F08076">
      <w:pPr>
        <w:shd w:val="clear" w:color="auto" w:fill="auto"/>
        <w:spacing w:line="200" w:lineRule="exact"/>
        <w:rPr>
          <w:rFonts w:hint="eastAsia" w:ascii="仿宋" w:hAnsi="仿宋" w:eastAsia="仿宋" w:cs="仿宋"/>
          <w:color w:val="auto"/>
          <w:highlight w:val="none"/>
        </w:rPr>
      </w:pPr>
    </w:p>
    <w:p w14:paraId="1DEC6B0E">
      <w:pPr>
        <w:pStyle w:val="2"/>
        <w:rPr>
          <w:rFonts w:hint="eastAsia"/>
          <w:color w:val="auto"/>
        </w:rPr>
      </w:pPr>
    </w:p>
    <w:p w14:paraId="48282E66">
      <w:pPr>
        <w:shd w:val="clear" w:color="auto" w:fill="auto"/>
        <w:spacing w:line="200" w:lineRule="exact"/>
        <w:rPr>
          <w:rFonts w:hint="eastAsia" w:ascii="仿宋" w:hAnsi="仿宋" w:eastAsia="仿宋" w:cs="仿宋"/>
          <w:color w:val="auto"/>
          <w:highlight w:val="none"/>
        </w:rPr>
      </w:pPr>
    </w:p>
    <w:p w14:paraId="59DC272B">
      <w:pPr>
        <w:shd w:val="clear" w:color="auto" w:fill="auto"/>
        <w:spacing w:line="200" w:lineRule="exact"/>
        <w:rPr>
          <w:rFonts w:hint="eastAsia" w:ascii="仿宋" w:hAnsi="仿宋" w:eastAsia="仿宋" w:cs="仿宋"/>
          <w:color w:val="auto"/>
          <w:highlight w:val="none"/>
        </w:rPr>
      </w:pPr>
    </w:p>
    <w:p w14:paraId="79B6FC61">
      <w:pPr>
        <w:shd w:val="clear" w:color="auto" w:fill="auto"/>
        <w:spacing w:line="269" w:lineRule="exact"/>
        <w:rPr>
          <w:rFonts w:hint="eastAsia" w:ascii="仿宋" w:hAnsi="仿宋" w:eastAsia="仿宋" w:cs="仿宋"/>
          <w:color w:val="auto"/>
          <w:highlight w:val="none"/>
        </w:rPr>
      </w:pPr>
    </w:p>
    <w:p w14:paraId="53A92623">
      <w:pPr>
        <w:shd w:val="clear" w:color="auto" w:fill="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招标文件</w:t>
      </w:r>
    </w:p>
    <w:p w14:paraId="2E554E75">
      <w:pPr>
        <w:shd w:val="clear" w:color="auto" w:fill="auto"/>
        <w:spacing w:line="200" w:lineRule="exact"/>
        <w:rPr>
          <w:rFonts w:hint="eastAsia" w:ascii="仿宋" w:hAnsi="仿宋" w:eastAsia="仿宋" w:cs="仿宋"/>
          <w:color w:val="auto"/>
          <w:highlight w:val="none"/>
        </w:rPr>
      </w:pPr>
    </w:p>
    <w:p w14:paraId="6F6A00D5">
      <w:pPr>
        <w:shd w:val="clear" w:color="auto" w:fill="auto"/>
        <w:spacing w:line="200" w:lineRule="exact"/>
        <w:rPr>
          <w:rFonts w:hint="eastAsia" w:ascii="仿宋" w:hAnsi="仿宋" w:eastAsia="仿宋" w:cs="仿宋"/>
          <w:color w:val="auto"/>
          <w:highlight w:val="none"/>
        </w:rPr>
      </w:pPr>
    </w:p>
    <w:p w14:paraId="3357124E">
      <w:pPr>
        <w:shd w:val="clear" w:color="auto" w:fill="auto"/>
        <w:spacing w:line="200" w:lineRule="exact"/>
        <w:rPr>
          <w:rFonts w:hint="eastAsia" w:ascii="仿宋" w:hAnsi="仿宋" w:eastAsia="仿宋" w:cs="仿宋"/>
          <w:color w:val="auto"/>
          <w:highlight w:val="none"/>
        </w:rPr>
      </w:pPr>
    </w:p>
    <w:p w14:paraId="03200D15">
      <w:pPr>
        <w:shd w:val="clear" w:color="auto" w:fill="auto"/>
        <w:spacing w:line="200" w:lineRule="exact"/>
        <w:rPr>
          <w:rFonts w:hint="eastAsia" w:ascii="仿宋" w:hAnsi="仿宋" w:eastAsia="仿宋" w:cs="仿宋"/>
          <w:color w:val="auto"/>
          <w:highlight w:val="none"/>
        </w:rPr>
      </w:pPr>
    </w:p>
    <w:p w14:paraId="31380AE9">
      <w:pPr>
        <w:shd w:val="clear" w:color="auto" w:fill="auto"/>
        <w:spacing w:line="200" w:lineRule="exact"/>
        <w:rPr>
          <w:rFonts w:hint="eastAsia" w:ascii="仿宋" w:hAnsi="仿宋" w:eastAsia="仿宋" w:cs="仿宋"/>
          <w:color w:val="auto"/>
          <w:highlight w:val="none"/>
        </w:rPr>
      </w:pPr>
    </w:p>
    <w:p w14:paraId="4ED363D6">
      <w:pPr>
        <w:shd w:val="clear" w:color="auto" w:fill="auto"/>
        <w:spacing w:line="200" w:lineRule="exact"/>
        <w:rPr>
          <w:rFonts w:hint="eastAsia" w:ascii="仿宋" w:hAnsi="仿宋" w:eastAsia="仿宋" w:cs="仿宋"/>
          <w:color w:val="auto"/>
          <w:highlight w:val="none"/>
        </w:rPr>
      </w:pPr>
    </w:p>
    <w:p w14:paraId="500D2D78">
      <w:pPr>
        <w:shd w:val="clear" w:color="auto" w:fill="auto"/>
        <w:spacing w:line="200" w:lineRule="exact"/>
        <w:rPr>
          <w:rFonts w:hint="eastAsia" w:ascii="仿宋" w:hAnsi="仿宋" w:eastAsia="仿宋" w:cs="仿宋"/>
          <w:color w:val="auto"/>
          <w:highlight w:val="none"/>
        </w:rPr>
      </w:pPr>
    </w:p>
    <w:p w14:paraId="409EDB16">
      <w:pPr>
        <w:shd w:val="clear" w:color="auto" w:fill="auto"/>
        <w:spacing w:line="200" w:lineRule="exact"/>
        <w:rPr>
          <w:rFonts w:hint="eastAsia" w:ascii="仿宋" w:hAnsi="仿宋" w:eastAsia="仿宋" w:cs="仿宋"/>
          <w:color w:val="auto"/>
          <w:highlight w:val="none"/>
        </w:rPr>
      </w:pPr>
    </w:p>
    <w:p w14:paraId="53D3EB01">
      <w:pPr>
        <w:shd w:val="clear" w:color="auto" w:fill="auto"/>
        <w:spacing w:line="200" w:lineRule="exact"/>
        <w:rPr>
          <w:rFonts w:hint="eastAsia" w:ascii="仿宋" w:hAnsi="仿宋" w:eastAsia="仿宋" w:cs="仿宋"/>
          <w:color w:val="auto"/>
          <w:highlight w:val="none"/>
        </w:rPr>
      </w:pPr>
    </w:p>
    <w:p w14:paraId="6AE6FA87">
      <w:pPr>
        <w:shd w:val="clear" w:color="auto" w:fill="auto"/>
        <w:spacing w:line="200" w:lineRule="exact"/>
        <w:rPr>
          <w:rFonts w:hint="eastAsia" w:ascii="仿宋" w:hAnsi="仿宋" w:eastAsia="仿宋" w:cs="仿宋"/>
          <w:color w:val="auto"/>
          <w:highlight w:val="none"/>
        </w:rPr>
      </w:pPr>
    </w:p>
    <w:p w14:paraId="6C086349">
      <w:pPr>
        <w:shd w:val="clear" w:color="auto" w:fill="auto"/>
        <w:spacing w:line="200" w:lineRule="exact"/>
        <w:rPr>
          <w:rFonts w:hint="eastAsia" w:ascii="仿宋" w:hAnsi="仿宋" w:eastAsia="仿宋" w:cs="仿宋"/>
          <w:color w:val="auto"/>
          <w:highlight w:val="none"/>
        </w:rPr>
      </w:pPr>
    </w:p>
    <w:p w14:paraId="7645A45B">
      <w:pPr>
        <w:shd w:val="clear" w:color="auto" w:fill="auto"/>
        <w:spacing w:line="200" w:lineRule="exact"/>
        <w:rPr>
          <w:rFonts w:hint="eastAsia" w:ascii="仿宋" w:hAnsi="仿宋" w:eastAsia="仿宋" w:cs="仿宋"/>
          <w:color w:val="auto"/>
          <w:highlight w:val="none"/>
        </w:rPr>
      </w:pPr>
    </w:p>
    <w:p w14:paraId="37940292">
      <w:pPr>
        <w:shd w:val="clear" w:color="auto" w:fill="auto"/>
        <w:spacing w:line="200" w:lineRule="exact"/>
        <w:rPr>
          <w:rFonts w:hint="eastAsia" w:ascii="仿宋" w:hAnsi="仿宋" w:eastAsia="仿宋" w:cs="仿宋"/>
          <w:color w:val="auto"/>
          <w:highlight w:val="none"/>
        </w:rPr>
      </w:pPr>
    </w:p>
    <w:p w14:paraId="4CD20CFD">
      <w:pPr>
        <w:shd w:val="clear" w:color="auto" w:fill="auto"/>
        <w:spacing w:line="200" w:lineRule="exact"/>
        <w:rPr>
          <w:rFonts w:hint="eastAsia" w:ascii="仿宋" w:hAnsi="仿宋" w:eastAsia="仿宋" w:cs="仿宋"/>
          <w:color w:val="auto"/>
          <w:highlight w:val="none"/>
        </w:rPr>
      </w:pPr>
    </w:p>
    <w:p w14:paraId="0A8B2306">
      <w:pPr>
        <w:shd w:val="clear" w:color="auto" w:fill="auto"/>
        <w:spacing w:line="200" w:lineRule="exact"/>
        <w:rPr>
          <w:rFonts w:hint="eastAsia" w:ascii="仿宋" w:hAnsi="仿宋" w:eastAsia="仿宋" w:cs="仿宋"/>
          <w:color w:val="auto"/>
          <w:highlight w:val="none"/>
        </w:rPr>
      </w:pPr>
    </w:p>
    <w:p w14:paraId="1F174F79">
      <w:pPr>
        <w:shd w:val="clear" w:color="auto" w:fill="auto"/>
        <w:spacing w:line="200" w:lineRule="exact"/>
        <w:rPr>
          <w:rFonts w:hint="eastAsia" w:ascii="仿宋" w:hAnsi="仿宋" w:eastAsia="仿宋" w:cs="仿宋"/>
          <w:color w:val="auto"/>
          <w:highlight w:val="none"/>
        </w:rPr>
      </w:pPr>
    </w:p>
    <w:p w14:paraId="33BAE983">
      <w:pPr>
        <w:shd w:val="clear" w:color="auto" w:fill="auto"/>
        <w:spacing w:line="200" w:lineRule="exact"/>
        <w:rPr>
          <w:rFonts w:hint="eastAsia" w:ascii="仿宋" w:hAnsi="仿宋" w:eastAsia="仿宋" w:cs="仿宋"/>
          <w:color w:val="auto"/>
          <w:highlight w:val="none"/>
        </w:rPr>
      </w:pPr>
    </w:p>
    <w:p w14:paraId="35CFC8D0">
      <w:pPr>
        <w:shd w:val="clear" w:color="auto" w:fill="auto"/>
        <w:spacing w:line="200" w:lineRule="exact"/>
        <w:rPr>
          <w:rFonts w:hint="eastAsia" w:ascii="仿宋" w:hAnsi="仿宋" w:eastAsia="仿宋" w:cs="仿宋"/>
          <w:color w:val="auto"/>
          <w:highlight w:val="none"/>
        </w:rPr>
      </w:pPr>
    </w:p>
    <w:p w14:paraId="794BE52D">
      <w:pPr>
        <w:shd w:val="clear" w:color="auto" w:fill="auto"/>
        <w:spacing w:line="200" w:lineRule="exact"/>
        <w:rPr>
          <w:rFonts w:hint="eastAsia" w:ascii="仿宋" w:hAnsi="仿宋" w:eastAsia="仿宋" w:cs="仿宋"/>
          <w:color w:val="auto"/>
          <w:highlight w:val="none"/>
        </w:rPr>
      </w:pPr>
    </w:p>
    <w:p w14:paraId="10961F14">
      <w:pPr>
        <w:shd w:val="clear" w:color="auto" w:fill="auto"/>
        <w:spacing w:line="200" w:lineRule="exact"/>
        <w:rPr>
          <w:rFonts w:hint="eastAsia" w:ascii="仿宋" w:hAnsi="仿宋" w:eastAsia="仿宋" w:cs="仿宋"/>
          <w:color w:val="auto"/>
          <w:highlight w:val="none"/>
        </w:rPr>
      </w:pPr>
    </w:p>
    <w:p w14:paraId="1408BE39">
      <w:pPr>
        <w:shd w:val="clear" w:color="auto" w:fill="auto"/>
        <w:spacing w:line="200" w:lineRule="exact"/>
        <w:rPr>
          <w:rFonts w:hint="eastAsia" w:ascii="仿宋" w:hAnsi="仿宋" w:eastAsia="仿宋" w:cs="仿宋"/>
          <w:color w:val="auto"/>
          <w:highlight w:val="none"/>
        </w:rPr>
      </w:pPr>
    </w:p>
    <w:p w14:paraId="4DED2AAB">
      <w:pPr>
        <w:shd w:val="clear" w:color="auto" w:fill="auto"/>
        <w:spacing w:line="200" w:lineRule="exact"/>
        <w:rPr>
          <w:rFonts w:hint="eastAsia" w:ascii="仿宋" w:hAnsi="仿宋" w:eastAsia="仿宋" w:cs="仿宋"/>
          <w:color w:val="auto"/>
          <w:highlight w:val="none"/>
        </w:rPr>
      </w:pPr>
    </w:p>
    <w:p w14:paraId="6B84B79D">
      <w:pPr>
        <w:shd w:val="clear" w:color="auto" w:fill="auto"/>
        <w:spacing w:line="200" w:lineRule="exact"/>
        <w:rPr>
          <w:rFonts w:hint="eastAsia" w:ascii="仿宋" w:hAnsi="仿宋" w:eastAsia="仿宋" w:cs="仿宋"/>
          <w:color w:val="auto"/>
          <w:highlight w:val="none"/>
        </w:rPr>
      </w:pPr>
    </w:p>
    <w:p w14:paraId="150A5E6F">
      <w:pPr>
        <w:shd w:val="clear" w:color="auto" w:fill="auto"/>
        <w:spacing w:line="200" w:lineRule="exact"/>
        <w:rPr>
          <w:rFonts w:hint="eastAsia" w:ascii="仿宋" w:hAnsi="仿宋" w:eastAsia="仿宋" w:cs="仿宋"/>
          <w:color w:val="auto"/>
          <w:highlight w:val="none"/>
        </w:rPr>
      </w:pPr>
    </w:p>
    <w:p w14:paraId="6D8BC444">
      <w:pPr>
        <w:shd w:val="clear" w:color="auto" w:fill="auto"/>
        <w:spacing w:line="200" w:lineRule="exact"/>
        <w:rPr>
          <w:rFonts w:hint="eastAsia" w:ascii="仿宋" w:hAnsi="仿宋" w:eastAsia="仿宋" w:cs="仿宋"/>
          <w:color w:val="auto"/>
          <w:highlight w:val="none"/>
        </w:rPr>
      </w:pPr>
    </w:p>
    <w:p w14:paraId="2F9FC73F">
      <w:pPr>
        <w:shd w:val="clear" w:color="auto" w:fill="auto"/>
        <w:spacing w:line="200" w:lineRule="exact"/>
        <w:rPr>
          <w:rFonts w:hint="eastAsia" w:ascii="仿宋" w:hAnsi="仿宋" w:eastAsia="仿宋" w:cs="仿宋"/>
          <w:color w:val="auto"/>
          <w:highlight w:val="none"/>
        </w:rPr>
      </w:pPr>
    </w:p>
    <w:p w14:paraId="2D306FA9">
      <w:pPr>
        <w:shd w:val="clear" w:color="auto" w:fill="auto"/>
        <w:spacing w:line="281" w:lineRule="exact"/>
        <w:rPr>
          <w:rFonts w:hint="eastAsia" w:ascii="仿宋" w:hAnsi="仿宋" w:eastAsia="仿宋" w:cs="仿宋"/>
          <w:color w:val="auto"/>
          <w:highlight w:val="none"/>
        </w:rPr>
      </w:pPr>
    </w:p>
    <w:p w14:paraId="74143B15">
      <w:pPr>
        <w:shd w:val="clear" w:color="auto" w:fill="auto"/>
        <w:spacing w:line="480" w:lineRule="auto"/>
        <w:ind w:firstLine="1687" w:firstLineChars="600"/>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招标人：广州天河城市建设发展有限公司</w:t>
      </w:r>
    </w:p>
    <w:p w14:paraId="5343292C">
      <w:pPr>
        <w:shd w:val="clear" w:color="auto" w:fill="auto"/>
        <w:spacing w:line="480" w:lineRule="auto"/>
        <w:ind w:firstLine="1687" w:firstLineChars="600"/>
        <w:rPr>
          <w:rFonts w:hint="eastAsia" w:ascii="仿宋" w:hAnsi="仿宋" w:eastAsia="仿宋" w:cs="仿宋"/>
          <w:color w:val="auto"/>
          <w:highlight w:val="none"/>
          <w:lang w:eastAsia="zh-CN"/>
        </w:rPr>
      </w:pPr>
      <w:r>
        <w:rPr>
          <w:rFonts w:hint="eastAsia" w:ascii="仿宋" w:hAnsi="仿宋" w:eastAsia="仿宋" w:cs="仿宋"/>
          <w:b/>
          <w:color w:val="auto"/>
          <w:sz w:val="28"/>
          <w:highlight w:val="none"/>
        </w:rPr>
        <w:t>招标代理：广东海外建设咨询有限公司</w:t>
      </w:r>
    </w:p>
    <w:p w14:paraId="6A1C22F0">
      <w:pPr>
        <w:shd w:val="clear" w:color="auto" w:fill="auto"/>
        <w:spacing w:line="48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bookmarkStart w:id="0" w:name="_Toc154921241"/>
      <w:bookmarkStart w:id="1" w:name="_Toc154922225"/>
      <w:bookmarkStart w:id="2" w:name="_Toc152042287"/>
      <w:bookmarkStart w:id="3" w:name="_Toc144974479"/>
      <w:bookmarkStart w:id="4" w:name="_Toc152045511"/>
    </w:p>
    <w:p w14:paraId="7958F069">
      <w:pPr>
        <w:shd w:val="clear" w:color="auto" w:fill="auto"/>
        <w:spacing w:line="360" w:lineRule="auto"/>
        <w:jc w:val="center"/>
        <w:rPr>
          <w:rFonts w:hint="eastAsia" w:ascii="仿宋" w:hAnsi="仿宋" w:eastAsia="仿宋" w:cs="仿宋"/>
          <w:b/>
          <w:color w:val="auto"/>
          <w:sz w:val="28"/>
          <w:szCs w:val="28"/>
          <w:highlight w:val="none"/>
        </w:rPr>
      </w:pPr>
    </w:p>
    <w:p w14:paraId="3CFA278D">
      <w:pPr>
        <w:shd w:val="clear" w:color="auto" w:fill="auto"/>
        <w:spacing w:line="360" w:lineRule="auto"/>
        <w:jc w:val="center"/>
        <w:rPr>
          <w:rFonts w:hint="eastAsia" w:ascii="仿宋" w:hAnsi="仿宋" w:eastAsia="仿宋" w:cs="仿宋"/>
          <w:bCs/>
          <w:color w:val="auto"/>
          <w:sz w:val="52"/>
          <w:highlight w:val="none"/>
        </w:rPr>
      </w:pPr>
      <w:r>
        <w:rPr>
          <w:rFonts w:hint="eastAsia" w:ascii="仿宋" w:hAnsi="仿宋" w:eastAsia="仿宋" w:cs="仿宋"/>
          <w:bCs/>
          <w:color w:val="auto"/>
          <w:sz w:val="52"/>
          <w:highlight w:val="none"/>
        </w:rPr>
        <w:t>重要提示</w:t>
      </w:r>
    </w:p>
    <w:p w14:paraId="160DE8F6">
      <w:pPr>
        <w:shd w:val="clear" w:color="auto" w:fill="auto"/>
        <w:spacing w:line="360" w:lineRule="auto"/>
        <w:ind w:firstLine="537" w:firstLineChars="224"/>
        <w:jc w:val="center"/>
        <w:rPr>
          <w:rFonts w:hint="eastAsia" w:ascii="仿宋" w:hAnsi="仿宋" w:eastAsia="仿宋" w:cs="仿宋"/>
          <w:bCs/>
          <w:color w:val="auto"/>
          <w:sz w:val="24"/>
          <w:highlight w:val="none"/>
        </w:rPr>
      </w:pPr>
    </w:p>
    <w:p w14:paraId="1999BC21">
      <w:pPr>
        <w:shd w:val="clear" w:color="auto" w:fill="auto"/>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本项目实施电子招投标，投标人应先认真阅读《</w:t>
      </w:r>
      <w:r>
        <w:rPr>
          <w:rFonts w:hint="eastAsia" w:ascii="仿宋" w:hAnsi="仿宋" w:eastAsia="仿宋" w:cs="仿宋"/>
          <w:color w:val="auto"/>
          <w:sz w:val="24"/>
          <w:szCs w:val="24"/>
          <w:highlight w:val="none"/>
        </w:rPr>
        <w:t>房建市政全流程电子化项目专章》</w:t>
      </w:r>
      <w:r>
        <w:rPr>
          <w:rFonts w:hint="eastAsia" w:ascii="仿宋" w:hAnsi="仿宋" w:eastAsia="仿宋" w:cs="仿宋"/>
          <w:color w:val="auto"/>
          <w:sz w:val="24"/>
          <w:highlight w:val="none"/>
        </w:rPr>
        <w:t>。</w:t>
      </w:r>
    </w:p>
    <w:p w14:paraId="5894058E">
      <w:pPr>
        <w:shd w:val="clear" w:color="auto" w:fill="auto"/>
        <w:spacing w:line="360" w:lineRule="auto"/>
        <w:ind w:firstLine="480" w:firstLineChars="200"/>
        <w:rPr>
          <w:rFonts w:hint="eastAsia" w:ascii="仿宋" w:hAnsi="仿宋" w:eastAsia="仿宋" w:cs="仿宋"/>
          <w:color w:val="auto"/>
          <w:sz w:val="24"/>
          <w:highlight w:val="none"/>
        </w:rPr>
      </w:pPr>
    </w:p>
    <w:bookmarkEnd w:id="0"/>
    <w:bookmarkEnd w:id="1"/>
    <w:p w14:paraId="2AAC387E">
      <w:pPr>
        <w:pStyle w:val="78"/>
        <w:keepNext w:val="0"/>
        <w:keepLines w:val="0"/>
        <w:widowControl w:val="0"/>
        <w:shd w:val="clear" w:color="auto" w:fill="auto"/>
        <w:jc w:val="center"/>
        <w:rPr>
          <w:rFonts w:hint="eastAsia" w:ascii="仿宋" w:hAnsi="仿宋" w:eastAsia="仿宋" w:cs="仿宋"/>
          <w:b w:val="0"/>
          <w:color w:val="auto"/>
          <w:highlight w:val="none"/>
          <w:lang w:val="zh-CN"/>
        </w:rPr>
      </w:pPr>
    </w:p>
    <w:p w14:paraId="6F2CEDBC">
      <w:pPr>
        <w:shd w:val="clear" w:color="auto" w:fill="auto"/>
        <w:spacing w:line="360" w:lineRule="auto"/>
        <w:rPr>
          <w:rFonts w:hint="eastAsia" w:ascii="仿宋" w:hAnsi="仿宋" w:eastAsia="仿宋" w:cs="仿宋"/>
          <w:b/>
          <w:color w:val="auto"/>
          <w:highlight w:val="none"/>
          <w:lang w:val="zh-CN"/>
        </w:rPr>
      </w:pPr>
    </w:p>
    <w:p w14:paraId="1E419E67">
      <w:pPr>
        <w:shd w:val="clear" w:color="auto" w:fill="auto"/>
        <w:spacing w:line="360" w:lineRule="auto"/>
        <w:rPr>
          <w:rFonts w:hint="eastAsia" w:ascii="仿宋" w:hAnsi="仿宋" w:eastAsia="仿宋" w:cs="仿宋"/>
          <w:b/>
          <w:color w:val="auto"/>
          <w:highlight w:val="none"/>
          <w:lang w:val="zh-CN"/>
        </w:rPr>
      </w:pPr>
    </w:p>
    <w:p w14:paraId="5F6083B2">
      <w:pPr>
        <w:shd w:val="clear" w:color="auto" w:fill="auto"/>
        <w:spacing w:line="360" w:lineRule="auto"/>
        <w:rPr>
          <w:rFonts w:hint="eastAsia" w:ascii="仿宋" w:hAnsi="仿宋" w:eastAsia="仿宋" w:cs="仿宋"/>
          <w:b/>
          <w:color w:val="auto"/>
          <w:highlight w:val="none"/>
          <w:lang w:val="zh-CN"/>
        </w:rPr>
      </w:pPr>
    </w:p>
    <w:p w14:paraId="2F13AAF7">
      <w:pPr>
        <w:shd w:val="clear" w:color="auto" w:fill="auto"/>
        <w:spacing w:line="360" w:lineRule="auto"/>
        <w:rPr>
          <w:rFonts w:hint="eastAsia" w:ascii="仿宋" w:hAnsi="仿宋" w:eastAsia="仿宋" w:cs="仿宋"/>
          <w:b/>
          <w:color w:val="auto"/>
          <w:highlight w:val="none"/>
          <w:lang w:val="zh-CN"/>
        </w:rPr>
      </w:pPr>
    </w:p>
    <w:p w14:paraId="028A2522">
      <w:pPr>
        <w:shd w:val="clear" w:color="auto" w:fill="auto"/>
        <w:spacing w:line="360" w:lineRule="auto"/>
        <w:rPr>
          <w:rFonts w:hint="eastAsia" w:ascii="仿宋" w:hAnsi="仿宋" w:eastAsia="仿宋" w:cs="仿宋"/>
          <w:b/>
          <w:color w:val="auto"/>
          <w:highlight w:val="none"/>
          <w:lang w:val="zh-CN"/>
        </w:rPr>
      </w:pPr>
    </w:p>
    <w:p w14:paraId="31CA8570">
      <w:pPr>
        <w:shd w:val="clear" w:color="auto" w:fill="auto"/>
        <w:spacing w:line="360" w:lineRule="auto"/>
        <w:rPr>
          <w:rFonts w:hint="eastAsia" w:ascii="仿宋" w:hAnsi="仿宋" w:eastAsia="仿宋" w:cs="仿宋"/>
          <w:b/>
          <w:color w:val="auto"/>
          <w:highlight w:val="none"/>
          <w:lang w:val="zh-CN"/>
        </w:rPr>
      </w:pPr>
    </w:p>
    <w:p w14:paraId="0BD0AC85">
      <w:pPr>
        <w:shd w:val="clear" w:color="auto" w:fill="auto"/>
        <w:spacing w:line="360" w:lineRule="auto"/>
        <w:rPr>
          <w:rFonts w:hint="eastAsia" w:ascii="仿宋" w:hAnsi="仿宋" w:eastAsia="仿宋" w:cs="仿宋"/>
          <w:b/>
          <w:color w:val="auto"/>
          <w:highlight w:val="none"/>
          <w:lang w:val="zh-CN"/>
        </w:rPr>
      </w:pPr>
    </w:p>
    <w:p w14:paraId="6A70D9F8">
      <w:pPr>
        <w:shd w:val="clear" w:color="auto" w:fill="auto"/>
        <w:spacing w:line="360" w:lineRule="auto"/>
        <w:rPr>
          <w:rFonts w:hint="eastAsia" w:ascii="仿宋" w:hAnsi="仿宋" w:eastAsia="仿宋" w:cs="仿宋"/>
          <w:b/>
          <w:color w:val="auto"/>
          <w:highlight w:val="none"/>
          <w:lang w:val="zh-CN"/>
        </w:rPr>
      </w:pPr>
    </w:p>
    <w:p w14:paraId="1D96B869">
      <w:pPr>
        <w:shd w:val="clear" w:color="auto" w:fill="auto"/>
        <w:spacing w:line="360" w:lineRule="auto"/>
        <w:rPr>
          <w:rFonts w:hint="eastAsia" w:ascii="仿宋" w:hAnsi="仿宋" w:eastAsia="仿宋" w:cs="仿宋"/>
          <w:b/>
          <w:color w:val="auto"/>
          <w:highlight w:val="none"/>
          <w:lang w:val="zh-CN"/>
        </w:rPr>
      </w:pPr>
    </w:p>
    <w:p w14:paraId="66E36F79">
      <w:pPr>
        <w:shd w:val="clear" w:color="auto" w:fill="auto"/>
        <w:spacing w:line="360" w:lineRule="auto"/>
        <w:rPr>
          <w:rFonts w:hint="eastAsia" w:ascii="仿宋" w:hAnsi="仿宋" w:eastAsia="仿宋" w:cs="仿宋"/>
          <w:b/>
          <w:color w:val="auto"/>
          <w:highlight w:val="none"/>
          <w:lang w:val="zh-CN"/>
        </w:rPr>
      </w:pPr>
    </w:p>
    <w:p w14:paraId="3E94FE48">
      <w:pPr>
        <w:pStyle w:val="78"/>
        <w:keepNext w:val="0"/>
        <w:keepLines w:val="0"/>
        <w:widowControl w:val="0"/>
        <w:shd w:val="clear" w:color="auto" w:fill="auto"/>
        <w:jc w:val="center"/>
        <w:rPr>
          <w:rFonts w:hint="eastAsia" w:ascii="仿宋" w:hAnsi="仿宋" w:eastAsia="仿宋" w:cs="仿宋"/>
          <w:b w:val="0"/>
          <w:color w:val="auto"/>
          <w:highlight w:val="none"/>
        </w:rPr>
      </w:pPr>
      <w:bookmarkStart w:id="5" w:name="_Toc20406"/>
      <w:bookmarkStart w:id="6" w:name="_Toc14873"/>
      <w:bookmarkStart w:id="7" w:name="_Toc23761"/>
      <w:bookmarkStart w:id="8" w:name="_Toc7246"/>
      <w:bookmarkStart w:id="9" w:name="_Toc28477"/>
      <w:bookmarkStart w:id="1032" w:name="_GoBack"/>
      <w:bookmarkEnd w:id="1032"/>
      <w:r>
        <w:rPr>
          <w:rFonts w:hint="eastAsia" w:ascii="仿宋" w:hAnsi="仿宋" w:eastAsia="仿宋" w:cs="仿宋"/>
          <w:b w:val="0"/>
          <w:color w:val="auto"/>
          <w:highlight w:val="none"/>
          <w:lang w:val="zh-CN"/>
        </w:rPr>
        <w:br w:type="page"/>
      </w:r>
      <w:bookmarkStart w:id="10" w:name="_Toc10128"/>
      <w:bookmarkStart w:id="11" w:name="_Toc22862"/>
      <w:bookmarkStart w:id="12" w:name="_Toc32274"/>
      <w:bookmarkStart w:id="13" w:name="_Toc32327"/>
      <w:bookmarkStart w:id="14" w:name="_Toc8556"/>
      <w:bookmarkStart w:id="15" w:name="_Toc12642"/>
      <w:bookmarkStart w:id="16" w:name="_Toc23260"/>
      <w:bookmarkStart w:id="17" w:name="_Toc2297"/>
      <w:bookmarkStart w:id="18" w:name="_Toc30045"/>
      <w:bookmarkStart w:id="19" w:name="_Toc4888"/>
      <w:bookmarkStart w:id="20" w:name="_Toc8583"/>
      <w:r>
        <w:rPr>
          <w:rFonts w:hint="eastAsia" w:ascii="仿宋" w:hAnsi="仿宋" w:eastAsia="仿宋" w:cs="仿宋"/>
          <w:bCs/>
          <w:color w:val="auto"/>
          <w:highlight w:val="none"/>
          <w:lang w:val="zh-CN"/>
        </w:rPr>
        <w:t>目  录</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BA24F75">
      <w:pPr>
        <w:pStyle w:val="28"/>
        <w:shd w:val="clear" w:color="auto" w:fill="auto"/>
        <w:tabs>
          <w:tab w:val="right" w:leader="dot" w:pos="8630"/>
        </w:tabs>
        <w:jc w:val="center"/>
        <w:rPr>
          <w:rFonts w:hint="eastAsia" w:ascii="仿宋" w:hAnsi="仿宋" w:eastAsia="仿宋" w:cs="仿宋"/>
          <w:color w:val="auto"/>
          <w:highlight w:val="none"/>
        </w:rPr>
      </w:pPr>
    </w:p>
    <w:p w14:paraId="10433F52">
      <w:pPr>
        <w:pStyle w:val="28"/>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"1-3"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_Toc10277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第一卷</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_Toc10277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2746604D">
      <w:pPr>
        <w:pStyle w:val="28"/>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_Toc28714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第一章招标公告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_Toc28714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30EC744A">
      <w:pPr>
        <w:pStyle w:val="28"/>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_Toc30451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第二章投标人须知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_Toc30451 \h </w:instrText>
      </w:r>
      <w:r>
        <w:rPr>
          <w:rFonts w:hint="eastAsia" w:ascii="仿宋" w:hAnsi="仿宋" w:eastAsia="仿宋" w:cs="仿宋"/>
          <w:color w:val="auto"/>
        </w:rPr>
        <w:fldChar w:fldCharType="separate"/>
      </w:r>
      <w:r>
        <w:rPr>
          <w:rFonts w:hint="eastAsia" w:ascii="仿宋" w:hAnsi="仿宋" w:eastAsia="仿宋" w:cs="仿宋"/>
          <w:color w:val="auto"/>
        </w:rPr>
        <w:t>5</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705CA437">
      <w:pPr>
        <w:pStyle w:val="28"/>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_Toc27607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第三章评标办法（“评定分离”定标办法）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_Toc27607 \h </w:instrText>
      </w:r>
      <w:r>
        <w:rPr>
          <w:rFonts w:hint="eastAsia" w:ascii="仿宋" w:hAnsi="仿宋" w:eastAsia="仿宋" w:cs="仿宋"/>
          <w:color w:val="auto"/>
        </w:rPr>
        <w:fldChar w:fldCharType="separate"/>
      </w:r>
      <w:r>
        <w:rPr>
          <w:rFonts w:hint="eastAsia" w:ascii="仿宋" w:hAnsi="仿宋" w:eastAsia="仿宋" w:cs="仿宋"/>
          <w:color w:val="auto"/>
        </w:rPr>
        <w:t>31</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30E565AC">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_Toc24701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 评标方法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_Toc24701 \h </w:instrText>
      </w:r>
      <w:r>
        <w:rPr>
          <w:rFonts w:hint="eastAsia" w:ascii="仿宋" w:hAnsi="仿宋" w:eastAsia="仿宋" w:cs="仿宋"/>
          <w:color w:val="auto"/>
        </w:rPr>
        <w:fldChar w:fldCharType="separate"/>
      </w:r>
      <w:r>
        <w:rPr>
          <w:rFonts w:hint="eastAsia" w:ascii="仿宋" w:hAnsi="仿宋" w:eastAsia="仿宋" w:cs="仿宋"/>
          <w:color w:val="auto"/>
        </w:rPr>
        <w:t>33</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7E81AFE3">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_Toc17356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 评审标准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_Toc17356 \h </w:instrText>
      </w:r>
      <w:r>
        <w:rPr>
          <w:rFonts w:hint="eastAsia" w:ascii="仿宋" w:hAnsi="仿宋" w:eastAsia="仿宋" w:cs="仿宋"/>
          <w:color w:val="auto"/>
        </w:rPr>
        <w:fldChar w:fldCharType="separate"/>
      </w:r>
      <w:r>
        <w:rPr>
          <w:rFonts w:hint="eastAsia" w:ascii="仿宋" w:hAnsi="仿宋" w:eastAsia="仿宋" w:cs="仿宋"/>
          <w:color w:val="auto"/>
        </w:rPr>
        <w:t>33</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44CFA31C">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_Toc14465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 评标程序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_Toc14465 \h </w:instrText>
      </w:r>
      <w:r>
        <w:rPr>
          <w:rFonts w:hint="eastAsia" w:ascii="仿宋" w:hAnsi="仿宋" w:eastAsia="仿宋" w:cs="仿宋"/>
          <w:color w:val="auto"/>
        </w:rPr>
        <w:fldChar w:fldCharType="separate"/>
      </w:r>
      <w:r>
        <w:rPr>
          <w:rFonts w:hint="eastAsia" w:ascii="仿宋" w:hAnsi="仿宋" w:eastAsia="仿宋" w:cs="仿宋"/>
          <w:color w:val="auto"/>
        </w:rPr>
        <w:t>33</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58473748">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_Toc5675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5.定标表格</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_Toc5675 \h </w:instrText>
      </w:r>
      <w:r>
        <w:rPr>
          <w:rFonts w:hint="eastAsia" w:ascii="仿宋" w:hAnsi="仿宋" w:eastAsia="仿宋" w:cs="仿宋"/>
          <w:color w:val="auto"/>
        </w:rPr>
        <w:fldChar w:fldCharType="separate"/>
      </w:r>
      <w:r>
        <w:rPr>
          <w:rFonts w:hint="eastAsia" w:ascii="仿宋" w:hAnsi="仿宋" w:eastAsia="仿宋" w:cs="仿宋"/>
          <w:color w:val="auto"/>
        </w:rPr>
        <w:t>35</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0718C311">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_Toc16759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rPr>
        <w:t>见后附表。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_Toc16759 \h </w:instrText>
      </w:r>
      <w:r>
        <w:rPr>
          <w:rFonts w:hint="eastAsia" w:ascii="仿宋" w:hAnsi="仿宋" w:eastAsia="仿宋" w:cs="仿宋"/>
          <w:color w:val="auto"/>
        </w:rPr>
        <w:fldChar w:fldCharType="separate"/>
      </w:r>
      <w:r>
        <w:rPr>
          <w:rFonts w:hint="eastAsia" w:ascii="仿宋" w:hAnsi="仿宋" w:eastAsia="仿宋" w:cs="仿宋"/>
          <w:color w:val="auto"/>
        </w:rPr>
        <w:t>35</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264FD70F">
      <w:pPr>
        <w:pStyle w:val="28"/>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_Toc30816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第四章 合同条款及格式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_Toc30816 \h </w:instrText>
      </w:r>
      <w:r>
        <w:rPr>
          <w:rFonts w:hint="eastAsia" w:ascii="仿宋" w:hAnsi="仿宋" w:eastAsia="仿宋" w:cs="仿宋"/>
          <w:color w:val="auto"/>
        </w:rPr>
        <w:fldChar w:fldCharType="separate"/>
      </w:r>
      <w:r>
        <w:rPr>
          <w:rFonts w:hint="eastAsia" w:ascii="仿宋" w:hAnsi="仿宋" w:eastAsia="仿宋" w:cs="仿宋"/>
          <w:color w:val="auto"/>
        </w:rPr>
        <w:t>43</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681A9230">
      <w:pPr>
        <w:pStyle w:val="28"/>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_Toc14630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第二卷</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_Toc14630 \h </w:instrText>
      </w:r>
      <w:r>
        <w:rPr>
          <w:rFonts w:hint="eastAsia" w:ascii="仿宋" w:hAnsi="仿宋" w:eastAsia="仿宋" w:cs="仿宋"/>
          <w:color w:val="auto"/>
        </w:rPr>
        <w:fldChar w:fldCharType="separate"/>
      </w:r>
      <w:r>
        <w:rPr>
          <w:rFonts w:hint="eastAsia" w:ascii="仿宋" w:hAnsi="仿宋" w:eastAsia="仿宋" w:cs="仿宋"/>
          <w:color w:val="auto"/>
        </w:rPr>
        <w:t>44</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426C4E1C">
      <w:pPr>
        <w:pStyle w:val="28"/>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_Toc2626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第五章委托人要求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_Toc2626 \h </w:instrText>
      </w:r>
      <w:r>
        <w:rPr>
          <w:rFonts w:hint="eastAsia" w:ascii="仿宋" w:hAnsi="仿宋" w:eastAsia="仿宋" w:cs="仿宋"/>
          <w:color w:val="auto"/>
        </w:rPr>
        <w:fldChar w:fldCharType="separate"/>
      </w:r>
      <w:r>
        <w:rPr>
          <w:rFonts w:hint="eastAsia" w:ascii="仿宋" w:hAnsi="仿宋" w:eastAsia="仿宋" w:cs="仿宋"/>
          <w:color w:val="auto"/>
        </w:rPr>
        <w:t>44</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35F1C5BA">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_Toc20690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一、监理要求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_Toc20690 \h </w:instrText>
      </w:r>
      <w:r>
        <w:rPr>
          <w:rFonts w:hint="eastAsia" w:ascii="仿宋" w:hAnsi="仿宋" w:eastAsia="仿宋" w:cs="仿宋"/>
          <w:color w:val="auto"/>
        </w:rPr>
        <w:fldChar w:fldCharType="separate"/>
      </w:r>
      <w:r>
        <w:rPr>
          <w:rFonts w:hint="eastAsia" w:ascii="仿宋" w:hAnsi="仿宋" w:eastAsia="仿宋" w:cs="仿宋"/>
          <w:color w:val="auto"/>
        </w:rPr>
        <w:t>44</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11F658B6">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_Toc13036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二、适用规范标准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_Toc13036 \h </w:instrText>
      </w:r>
      <w:r>
        <w:rPr>
          <w:rFonts w:hint="eastAsia" w:ascii="仿宋" w:hAnsi="仿宋" w:eastAsia="仿宋" w:cs="仿宋"/>
          <w:color w:val="auto"/>
        </w:rPr>
        <w:fldChar w:fldCharType="separate"/>
      </w:r>
      <w:r>
        <w:rPr>
          <w:rFonts w:hint="eastAsia" w:ascii="仿宋" w:hAnsi="仿宋" w:eastAsia="仿宋" w:cs="仿宋"/>
          <w:color w:val="auto"/>
        </w:rPr>
        <w:t>49</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3966574B">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rPr>
        <w:t>、委托人提供的便利条件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_Toc239 \h </w:instrText>
      </w:r>
      <w:r>
        <w:rPr>
          <w:rFonts w:hint="eastAsia" w:ascii="仿宋" w:hAnsi="仿宋" w:eastAsia="仿宋" w:cs="仿宋"/>
          <w:color w:val="auto"/>
        </w:rPr>
        <w:fldChar w:fldCharType="separate"/>
      </w:r>
      <w:r>
        <w:rPr>
          <w:rFonts w:hint="eastAsia" w:ascii="仿宋" w:hAnsi="仿宋" w:eastAsia="仿宋" w:cs="仿宋"/>
          <w:color w:val="auto"/>
        </w:rPr>
        <w:t>49</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5BF556B1">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_Toc14557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lang w:val="en-US" w:eastAsia="zh-CN"/>
        </w:rPr>
        <w:t>四</w:t>
      </w:r>
      <w:r>
        <w:rPr>
          <w:rFonts w:hint="eastAsia" w:ascii="仿宋" w:hAnsi="仿宋" w:eastAsia="仿宋" w:cs="仿宋"/>
          <w:color w:val="auto"/>
          <w:szCs w:val="28"/>
          <w:highlight w:val="none"/>
        </w:rPr>
        <w:t>、监理人需要自备的工作条件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_Toc14557 \h </w:instrText>
      </w:r>
      <w:r>
        <w:rPr>
          <w:rFonts w:hint="eastAsia" w:ascii="仿宋" w:hAnsi="仿宋" w:eastAsia="仿宋" w:cs="仿宋"/>
          <w:color w:val="auto"/>
        </w:rPr>
        <w:fldChar w:fldCharType="separate"/>
      </w:r>
      <w:r>
        <w:rPr>
          <w:rFonts w:hint="eastAsia" w:ascii="仿宋" w:hAnsi="仿宋" w:eastAsia="仿宋" w:cs="仿宋"/>
          <w:color w:val="auto"/>
        </w:rPr>
        <w:t>49</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71912631">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_Toc28255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lang w:val="en-US" w:eastAsia="zh-CN"/>
        </w:rPr>
        <w:t>五</w:t>
      </w:r>
      <w:r>
        <w:rPr>
          <w:rFonts w:hint="eastAsia" w:ascii="仿宋" w:hAnsi="仿宋" w:eastAsia="仿宋" w:cs="仿宋"/>
          <w:color w:val="auto"/>
          <w:szCs w:val="28"/>
          <w:highlight w:val="none"/>
        </w:rPr>
        <w:t>、委托人的其他要求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_Toc28255 \h </w:instrText>
      </w:r>
      <w:r>
        <w:rPr>
          <w:rFonts w:hint="eastAsia" w:ascii="仿宋" w:hAnsi="仿宋" w:eastAsia="仿宋" w:cs="仿宋"/>
          <w:color w:val="auto"/>
        </w:rPr>
        <w:fldChar w:fldCharType="separate"/>
      </w:r>
      <w:r>
        <w:rPr>
          <w:rFonts w:hint="eastAsia" w:ascii="仿宋" w:hAnsi="仿宋" w:eastAsia="仿宋" w:cs="仿宋"/>
          <w:color w:val="auto"/>
        </w:rPr>
        <w:t>49</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362DA9F8">
      <w:pPr>
        <w:pStyle w:val="28"/>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_Toc11369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第三卷</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_Toc11369 \h </w:instrText>
      </w:r>
      <w:r>
        <w:rPr>
          <w:rFonts w:hint="eastAsia" w:ascii="仿宋" w:hAnsi="仿宋" w:eastAsia="仿宋" w:cs="仿宋"/>
          <w:color w:val="auto"/>
        </w:rPr>
        <w:fldChar w:fldCharType="separate"/>
      </w:r>
      <w:r>
        <w:rPr>
          <w:rFonts w:hint="eastAsia" w:ascii="仿宋" w:hAnsi="仿宋" w:eastAsia="仿宋" w:cs="仿宋"/>
          <w:color w:val="auto"/>
        </w:rPr>
        <w:t>50</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2B2962B8">
      <w:pPr>
        <w:pStyle w:val="28"/>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_Toc13131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第六章投标文件格式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_Toc13131 \h </w:instrText>
      </w:r>
      <w:r>
        <w:rPr>
          <w:rFonts w:hint="eastAsia" w:ascii="仿宋" w:hAnsi="仿宋" w:eastAsia="仿宋" w:cs="仿宋"/>
          <w:color w:val="auto"/>
        </w:rPr>
        <w:fldChar w:fldCharType="separate"/>
      </w:r>
      <w:r>
        <w:rPr>
          <w:rFonts w:hint="eastAsia" w:ascii="仿宋" w:hAnsi="仿宋" w:eastAsia="仿宋" w:cs="仿宋"/>
          <w:color w:val="auto"/>
        </w:rPr>
        <w:t>50</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2B056A9D">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_Toc1423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目录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_Toc1423 \h </w:instrText>
      </w:r>
      <w:r>
        <w:rPr>
          <w:rFonts w:hint="eastAsia" w:ascii="仿宋" w:hAnsi="仿宋" w:eastAsia="仿宋" w:cs="仿宋"/>
          <w:color w:val="auto"/>
        </w:rPr>
        <w:fldChar w:fldCharType="separate"/>
      </w:r>
      <w:r>
        <w:rPr>
          <w:rFonts w:hint="eastAsia" w:ascii="仿宋" w:hAnsi="仿宋" w:eastAsia="仿宋" w:cs="仿宋"/>
          <w:color w:val="auto"/>
        </w:rPr>
        <w:t>52</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2A3C19DD">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_Toc7219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一、投标函及投标函附录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_Toc7219 \h </w:instrText>
      </w:r>
      <w:r>
        <w:rPr>
          <w:rFonts w:hint="eastAsia" w:ascii="仿宋" w:hAnsi="仿宋" w:eastAsia="仿宋" w:cs="仿宋"/>
          <w:color w:val="auto"/>
        </w:rPr>
        <w:fldChar w:fldCharType="separate"/>
      </w:r>
      <w:r>
        <w:rPr>
          <w:rFonts w:hint="eastAsia" w:ascii="仿宋" w:hAnsi="仿宋" w:eastAsia="仿宋" w:cs="仿宋"/>
          <w:color w:val="auto"/>
        </w:rPr>
        <w:t>53</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02051821">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_Toc10601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（一）投标函</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_Toc10601 \h </w:instrText>
      </w:r>
      <w:r>
        <w:rPr>
          <w:rFonts w:hint="eastAsia" w:ascii="仿宋" w:hAnsi="仿宋" w:eastAsia="仿宋" w:cs="仿宋"/>
          <w:color w:val="auto"/>
        </w:rPr>
        <w:fldChar w:fldCharType="separate"/>
      </w:r>
      <w:r>
        <w:rPr>
          <w:rFonts w:hint="eastAsia" w:ascii="仿宋" w:hAnsi="仿宋" w:eastAsia="仿宋" w:cs="仿宋"/>
          <w:color w:val="auto"/>
        </w:rPr>
        <w:t>53</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11EAAF5C">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_Toc25107 </w:instrText>
      </w:r>
      <w:r>
        <w:rPr>
          <w:rFonts w:hint="eastAsia" w:ascii="仿宋" w:hAnsi="仿宋" w:eastAsia="仿宋" w:cs="仿宋"/>
          <w:color w:val="auto"/>
          <w:highlight w:val="none"/>
        </w:rPr>
        <w:fldChar w:fldCharType="separate"/>
      </w:r>
      <w:r>
        <w:rPr>
          <w:rFonts w:hint="eastAsia" w:ascii="仿宋" w:hAnsi="仿宋" w:eastAsia="仿宋" w:cs="仿宋"/>
          <w:color w:val="auto"/>
        </w:rPr>
        <w:t xml:space="preserve">（二） </w:t>
      </w:r>
      <w:r>
        <w:rPr>
          <w:rFonts w:hint="eastAsia" w:ascii="仿宋" w:hAnsi="仿宋" w:eastAsia="仿宋" w:cs="仿宋"/>
          <w:color w:val="auto"/>
          <w:highlight w:val="none"/>
        </w:rPr>
        <w:t>投标函附录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_Toc25107 \h </w:instrText>
      </w:r>
      <w:r>
        <w:rPr>
          <w:rFonts w:hint="eastAsia" w:ascii="仿宋" w:hAnsi="仿宋" w:eastAsia="仿宋" w:cs="仿宋"/>
          <w:color w:val="auto"/>
        </w:rPr>
        <w:fldChar w:fldCharType="separate"/>
      </w:r>
      <w:r>
        <w:rPr>
          <w:rFonts w:hint="eastAsia" w:ascii="仿宋" w:hAnsi="仿宋" w:eastAsia="仿宋" w:cs="仿宋"/>
          <w:color w:val="auto"/>
        </w:rPr>
        <w:t>54</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60C8D0A6">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_Toc23585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二、法定代表人身份证明</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_Toc23585 \h </w:instrText>
      </w:r>
      <w:r>
        <w:rPr>
          <w:rFonts w:hint="eastAsia" w:ascii="仿宋" w:hAnsi="仿宋" w:eastAsia="仿宋" w:cs="仿宋"/>
          <w:color w:val="auto"/>
        </w:rPr>
        <w:fldChar w:fldCharType="separate"/>
      </w:r>
      <w:r>
        <w:rPr>
          <w:rFonts w:hint="eastAsia" w:ascii="仿宋" w:hAnsi="仿宋" w:eastAsia="仿宋" w:cs="仿宋"/>
          <w:color w:val="auto"/>
        </w:rPr>
        <w:t>55</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6833B65F">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_Toc29447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授权委托书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_Toc29447 \h </w:instrText>
      </w:r>
      <w:r>
        <w:rPr>
          <w:rFonts w:hint="eastAsia" w:ascii="仿宋" w:hAnsi="仿宋" w:eastAsia="仿宋" w:cs="仿宋"/>
          <w:color w:val="auto"/>
        </w:rPr>
        <w:fldChar w:fldCharType="separate"/>
      </w:r>
      <w:r>
        <w:rPr>
          <w:rFonts w:hint="eastAsia" w:ascii="仿宋" w:hAnsi="仿宋" w:eastAsia="仿宋" w:cs="仿宋"/>
          <w:color w:val="auto"/>
        </w:rPr>
        <w:t>56</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35501B8F">
      <w:pPr>
        <w:pStyle w:val="32"/>
        <w:tabs>
          <w:tab w:val="right" w:leader="dot" w:pos="9411"/>
        </w:tabs>
        <w:rPr>
          <w:rFonts w:hint="eastAsia" w:ascii="仿宋" w:hAnsi="仿宋" w:eastAsia="仿宋" w:cs="仿宋"/>
          <w:strike/>
          <w:dstrike w:val="0"/>
          <w:color w:val="auto"/>
        </w:rPr>
      </w:pPr>
      <w:r>
        <w:rPr>
          <w:rFonts w:hint="eastAsia" w:ascii="仿宋" w:hAnsi="仿宋" w:eastAsia="仿宋" w:cs="仿宋"/>
          <w:strike/>
          <w:dstrike w:val="0"/>
          <w:color w:val="auto"/>
          <w:highlight w:val="none"/>
        </w:rPr>
        <w:fldChar w:fldCharType="begin"/>
      </w:r>
      <w:r>
        <w:rPr>
          <w:rFonts w:hint="eastAsia" w:ascii="仿宋" w:hAnsi="仿宋" w:eastAsia="仿宋" w:cs="仿宋"/>
          <w:strike/>
          <w:dstrike w:val="0"/>
          <w:color w:val="auto"/>
          <w:highlight w:val="none"/>
        </w:rPr>
        <w:instrText xml:space="preserve"> HYPERLINK \l _Toc2963 </w:instrText>
      </w:r>
      <w:r>
        <w:rPr>
          <w:rFonts w:hint="eastAsia" w:ascii="仿宋" w:hAnsi="仿宋" w:eastAsia="仿宋" w:cs="仿宋"/>
          <w:strike/>
          <w:dstrike w:val="0"/>
          <w:color w:val="auto"/>
          <w:highlight w:val="none"/>
        </w:rPr>
        <w:fldChar w:fldCharType="separate"/>
      </w:r>
      <w:r>
        <w:rPr>
          <w:rFonts w:hint="eastAsia" w:ascii="仿宋" w:hAnsi="仿宋" w:eastAsia="仿宋" w:cs="仿宋"/>
          <w:strike/>
          <w:dstrike w:val="0"/>
          <w:color w:val="auto"/>
          <w:lang w:val="en-US" w:eastAsia="zh-CN"/>
        </w:rPr>
        <w:t xml:space="preserve">三、 </w:t>
      </w:r>
      <w:r>
        <w:rPr>
          <w:rFonts w:hint="eastAsia" w:ascii="仿宋" w:hAnsi="仿宋" w:eastAsia="仿宋" w:cs="仿宋"/>
          <w:strike/>
          <w:dstrike w:val="0"/>
          <w:color w:val="auto"/>
          <w:highlight w:val="none"/>
          <w:lang w:val="en-US" w:eastAsia="zh-CN"/>
        </w:rPr>
        <w:t>联合体协议书（如有）</w:t>
      </w:r>
      <w:r>
        <w:rPr>
          <w:rFonts w:hint="eastAsia" w:ascii="仿宋" w:hAnsi="仿宋" w:eastAsia="仿宋" w:cs="仿宋"/>
          <w:strike/>
          <w:dstrike w:val="0"/>
          <w:color w:val="auto"/>
        </w:rPr>
        <w:tab/>
      </w:r>
      <w:r>
        <w:rPr>
          <w:rFonts w:hint="eastAsia" w:ascii="仿宋" w:hAnsi="仿宋" w:eastAsia="仿宋" w:cs="仿宋"/>
          <w:strike/>
          <w:dstrike w:val="0"/>
          <w:color w:val="auto"/>
        </w:rPr>
        <w:fldChar w:fldCharType="begin"/>
      </w:r>
      <w:r>
        <w:rPr>
          <w:rFonts w:hint="eastAsia" w:ascii="仿宋" w:hAnsi="仿宋" w:eastAsia="仿宋" w:cs="仿宋"/>
          <w:strike/>
          <w:dstrike w:val="0"/>
          <w:color w:val="auto"/>
        </w:rPr>
        <w:instrText xml:space="preserve"> PAGEREF _Toc2963 \h </w:instrText>
      </w:r>
      <w:r>
        <w:rPr>
          <w:rFonts w:hint="eastAsia" w:ascii="仿宋" w:hAnsi="仿宋" w:eastAsia="仿宋" w:cs="仿宋"/>
          <w:strike/>
          <w:dstrike w:val="0"/>
          <w:color w:val="auto"/>
        </w:rPr>
        <w:fldChar w:fldCharType="separate"/>
      </w:r>
      <w:r>
        <w:rPr>
          <w:rFonts w:hint="eastAsia" w:ascii="仿宋" w:hAnsi="仿宋" w:eastAsia="仿宋" w:cs="仿宋"/>
          <w:strike/>
          <w:dstrike w:val="0"/>
          <w:color w:val="auto"/>
        </w:rPr>
        <w:t>57</w:t>
      </w:r>
      <w:r>
        <w:rPr>
          <w:rFonts w:hint="eastAsia" w:ascii="仿宋" w:hAnsi="仿宋" w:eastAsia="仿宋" w:cs="仿宋"/>
          <w:strike/>
          <w:dstrike w:val="0"/>
          <w:color w:val="auto"/>
        </w:rPr>
        <w:fldChar w:fldCharType="end"/>
      </w:r>
      <w:r>
        <w:rPr>
          <w:rFonts w:hint="eastAsia" w:ascii="仿宋" w:hAnsi="仿宋" w:eastAsia="仿宋" w:cs="仿宋"/>
          <w:strike/>
          <w:dstrike w:val="0"/>
          <w:color w:val="auto"/>
          <w:highlight w:val="none"/>
        </w:rPr>
        <w:fldChar w:fldCharType="end"/>
      </w:r>
    </w:p>
    <w:p w14:paraId="303E8257">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_Toc9444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、监理报酬清单（格式可自定）</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_Toc9444 \h </w:instrText>
      </w:r>
      <w:r>
        <w:rPr>
          <w:rFonts w:hint="eastAsia" w:ascii="仿宋" w:hAnsi="仿宋" w:eastAsia="仿宋" w:cs="仿宋"/>
          <w:color w:val="auto"/>
        </w:rPr>
        <w:fldChar w:fldCharType="separate"/>
      </w:r>
      <w:r>
        <w:rPr>
          <w:rFonts w:hint="eastAsia" w:ascii="仿宋" w:hAnsi="仿宋" w:eastAsia="仿宋" w:cs="仿宋"/>
          <w:color w:val="auto"/>
        </w:rPr>
        <w:t>58</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7FEDEFE5">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、资格审查资料</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_Toc6 \h </w:instrText>
      </w:r>
      <w:r>
        <w:rPr>
          <w:rFonts w:hint="eastAsia" w:ascii="仿宋" w:hAnsi="仿宋" w:eastAsia="仿宋" w:cs="仿宋"/>
          <w:color w:val="auto"/>
        </w:rPr>
        <w:fldChar w:fldCharType="separate"/>
      </w:r>
      <w:r>
        <w:rPr>
          <w:rFonts w:hint="eastAsia" w:ascii="仿宋" w:hAnsi="仿宋" w:eastAsia="仿宋" w:cs="仿宋"/>
          <w:color w:val="auto"/>
        </w:rPr>
        <w:t>59</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6C06E4BC">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_Toc18829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（一）投标人基本情况表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_Toc18829 \h </w:instrText>
      </w:r>
      <w:r>
        <w:rPr>
          <w:rFonts w:hint="eastAsia" w:ascii="仿宋" w:hAnsi="仿宋" w:eastAsia="仿宋" w:cs="仿宋"/>
          <w:color w:val="auto"/>
        </w:rPr>
        <w:fldChar w:fldCharType="separate"/>
      </w:r>
      <w:r>
        <w:rPr>
          <w:rFonts w:hint="eastAsia" w:ascii="仿宋" w:hAnsi="仿宋" w:eastAsia="仿宋" w:cs="仿宋"/>
          <w:color w:val="auto"/>
        </w:rPr>
        <w:t>59</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779939B6">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_Toc11170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（二）近年完成的类似项目情况表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_Toc11170 \h </w:instrText>
      </w:r>
      <w:r>
        <w:rPr>
          <w:rFonts w:hint="eastAsia" w:ascii="仿宋" w:hAnsi="仿宋" w:eastAsia="仿宋" w:cs="仿宋"/>
          <w:color w:val="auto"/>
        </w:rPr>
        <w:fldChar w:fldCharType="separate"/>
      </w:r>
      <w:r>
        <w:rPr>
          <w:rFonts w:hint="eastAsia" w:ascii="仿宋" w:hAnsi="仿宋" w:eastAsia="仿宋" w:cs="仿宋"/>
          <w:color w:val="auto"/>
        </w:rPr>
        <w:t>60</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52E0CD1C">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_Toc6935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（三）项目总监简历表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_Toc6935 \h </w:instrText>
      </w:r>
      <w:r>
        <w:rPr>
          <w:rFonts w:hint="eastAsia" w:ascii="仿宋" w:hAnsi="仿宋" w:eastAsia="仿宋" w:cs="仿宋"/>
          <w:color w:val="auto"/>
        </w:rPr>
        <w:fldChar w:fldCharType="separate"/>
      </w:r>
      <w:r>
        <w:rPr>
          <w:rFonts w:hint="eastAsia" w:ascii="仿宋" w:hAnsi="仿宋" w:eastAsia="仿宋" w:cs="仿宋"/>
          <w:color w:val="auto"/>
        </w:rPr>
        <w:t>61</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44FEFD92">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_Toc22150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）拟委任的主要人员汇总表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_Toc22150 \h </w:instrText>
      </w:r>
      <w:r>
        <w:rPr>
          <w:rFonts w:hint="eastAsia" w:ascii="仿宋" w:hAnsi="仿宋" w:eastAsia="仿宋" w:cs="仿宋"/>
          <w:color w:val="auto"/>
        </w:rPr>
        <w:fldChar w:fldCharType="separate"/>
      </w:r>
      <w:r>
        <w:rPr>
          <w:rFonts w:hint="eastAsia" w:ascii="仿宋" w:hAnsi="仿宋" w:eastAsia="仿宋" w:cs="仿宋"/>
          <w:color w:val="auto"/>
        </w:rPr>
        <w:t>62</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025CCE9A">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_Toc26112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rPr>
        <w:t>（</w:t>
      </w:r>
      <w:r>
        <w:rPr>
          <w:rFonts w:hint="eastAsia" w:ascii="仿宋" w:hAnsi="仿宋" w:eastAsia="仿宋" w:cs="仿宋"/>
          <w:color w:val="auto"/>
          <w:szCs w:val="20"/>
          <w:highlight w:val="none"/>
          <w:lang w:val="en-US" w:eastAsia="zh-CN"/>
        </w:rPr>
        <w:t>五</w:t>
      </w:r>
      <w:r>
        <w:rPr>
          <w:rFonts w:hint="eastAsia" w:ascii="仿宋" w:hAnsi="仿宋" w:eastAsia="仿宋" w:cs="仿宋"/>
          <w:color w:val="auto"/>
          <w:szCs w:val="20"/>
          <w:highlight w:val="none"/>
        </w:rPr>
        <w:t>）主要人员简历表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_Toc26112 \h </w:instrText>
      </w:r>
      <w:r>
        <w:rPr>
          <w:rFonts w:hint="eastAsia" w:ascii="仿宋" w:hAnsi="仿宋" w:eastAsia="仿宋" w:cs="仿宋"/>
          <w:color w:val="auto"/>
        </w:rPr>
        <w:fldChar w:fldCharType="separate"/>
      </w:r>
      <w:r>
        <w:rPr>
          <w:rFonts w:hint="eastAsia" w:ascii="仿宋" w:hAnsi="仿宋" w:eastAsia="仿宋" w:cs="仿宋"/>
          <w:color w:val="auto"/>
        </w:rPr>
        <w:t>63</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0A906CA7">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_Toc5297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）拟投入本项目的主要试验检测仪器设备表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_Toc5297 \h </w:instrText>
      </w:r>
      <w:r>
        <w:rPr>
          <w:rFonts w:hint="eastAsia" w:ascii="仿宋" w:hAnsi="仿宋" w:eastAsia="仿宋" w:cs="仿宋"/>
          <w:color w:val="auto"/>
        </w:rPr>
        <w:fldChar w:fldCharType="separate"/>
      </w:r>
      <w:r>
        <w:rPr>
          <w:rFonts w:hint="eastAsia" w:ascii="仿宋" w:hAnsi="仿宋" w:eastAsia="仿宋" w:cs="仿宋"/>
          <w:color w:val="auto"/>
        </w:rPr>
        <w:t>64</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255942AE">
      <w:pPr>
        <w:pStyle w:val="2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_Toc18932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0"/>
          <w:highlight w:val="none"/>
        </w:rPr>
        <w:t>（</w:t>
      </w:r>
      <w:r>
        <w:rPr>
          <w:rFonts w:hint="eastAsia" w:ascii="仿宋" w:hAnsi="仿宋" w:eastAsia="仿宋" w:cs="仿宋"/>
          <w:color w:val="auto"/>
          <w:szCs w:val="20"/>
          <w:highlight w:val="none"/>
          <w:lang w:val="en-US" w:eastAsia="zh-CN"/>
        </w:rPr>
        <w:t>七</w:t>
      </w:r>
      <w:r>
        <w:rPr>
          <w:rFonts w:hint="eastAsia" w:ascii="仿宋" w:hAnsi="仿宋" w:eastAsia="仿宋" w:cs="仿宋"/>
          <w:color w:val="auto"/>
          <w:szCs w:val="20"/>
          <w:highlight w:val="none"/>
        </w:rPr>
        <w:t>）投标人声明格式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_Toc18932 \h </w:instrText>
      </w:r>
      <w:r>
        <w:rPr>
          <w:rFonts w:hint="eastAsia" w:ascii="仿宋" w:hAnsi="仿宋" w:eastAsia="仿宋" w:cs="仿宋"/>
          <w:color w:val="auto"/>
        </w:rPr>
        <w:fldChar w:fldCharType="separate"/>
      </w:r>
      <w:r>
        <w:rPr>
          <w:rFonts w:hint="eastAsia" w:ascii="仿宋" w:hAnsi="仿宋" w:eastAsia="仿宋" w:cs="仿宋"/>
          <w:color w:val="auto"/>
        </w:rPr>
        <w:t>65</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6258572E">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_Toc7196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定标评审资料</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_Toc7196 \h </w:instrText>
      </w:r>
      <w:r>
        <w:rPr>
          <w:rFonts w:hint="eastAsia" w:ascii="仿宋" w:hAnsi="仿宋" w:eastAsia="仿宋" w:cs="仿宋"/>
          <w:color w:val="auto"/>
        </w:rPr>
        <w:fldChar w:fldCharType="separate"/>
      </w:r>
      <w:r>
        <w:rPr>
          <w:rFonts w:hint="eastAsia" w:ascii="仿宋" w:hAnsi="仿宋" w:eastAsia="仿宋" w:cs="仿宋"/>
          <w:color w:val="auto"/>
        </w:rPr>
        <w:t>66</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77CBA952">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_Toc28159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rPr>
        <w:t>监理大纲</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_Toc28159 \h </w:instrText>
      </w:r>
      <w:r>
        <w:rPr>
          <w:rFonts w:hint="eastAsia" w:ascii="仿宋" w:hAnsi="仿宋" w:eastAsia="仿宋" w:cs="仿宋"/>
          <w:color w:val="auto"/>
        </w:rPr>
        <w:fldChar w:fldCharType="separate"/>
      </w:r>
      <w:r>
        <w:rPr>
          <w:rFonts w:hint="eastAsia" w:ascii="仿宋" w:hAnsi="仿宋" w:eastAsia="仿宋" w:cs="仿宋"/>
          <w:color w:val="auto"/>
        </w:rPr>
        <w:t>67</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4F041847">
      <w:pPr>
        <w:pStyle w:val="32"/>
        <w:tabs>
          <w:tab w:val="right" w:leader="dot" w:pos="9411"/>
        </w:tabs>
        <w:rPr>
          <w:rFonts w:hint="eastAsia" w:ascii="仿宋" w:hAnsi="仿宋" w:eastAsia="仿宋" w:cs="仿宋"/>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_Toc1205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投标人认为有必要提供的</w:t>
      </w:r>
      <w:r>
        <w:rPr>
          <w:rFonts w:hint="eastAsia" w:ascii="仿宋" w:hAnsi="仿宋" w:eastAsia="仿宋" w:cs="仿宋"/>
          <w:color w:val="auto"/>
          <w:highlight w:val="none"/>
        </w:rPr>
        <w:t>其他资料</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_Toc1205 \h </w:instrText>
      </w:r>
      <w:r>
        <w:rPr>
          <w:rFonts w:hint="eastAsia" w:ascii="仿宋" w:hAnsi="仿宋" w:eastAsia="仿宋" w:cs="仿宋"/>
          <w:color w:val="auto"/>
        </w:rPr>
        <w:fldChar w:fldCharType="separate"/>
      </w:r>
      <w:r>
        <w:rPr>
          <w:rFonts w:hint="eastAsia" w:ascii="仿宋" w:hAnsi="仿宋" w:eastAsia="仿宋" w:cs="仿宋"/>
          <w:color w:val="auto"/>
        </w:rPr>
        <w:t>68</w:t>
      </w:r>
      <w:r>
        <w:rPr>
          <w:rFonts w:hint="eastAsia" w:ascii="仿宋" w:hAnsi="仿宋" w:eastAsia="仿宋" w:cs="仿宋"/>
          <w:color w:val="auto"/>
        </w:rPr>
        <w:fldChar w:fldCharType="end"/>
      </w:r>
      <w:r>
        <w:rPr>
          <w:rFonts w:hint="eastAsia" w:ascii="仿宋" w:hAnsi="仿宋" w:eastAsia="仿宋" w:cs="仿宋"/>
          <w:color w:val="auto"/>
          <w:highlight w:val="none"/>
        </w:rPr>
        <w:fldChar w:fldCharType="end"/>
      </w:r>
    </w:p>
    <w:p w14:paraId="47EEE79F">
      <w:pPr>
        <w:shd w:val="clear" w:color="auto" w:fill="auto"/>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14:paraId="6DB62A85">
      <w:pPr>
        <w:pStyle w:val="3"/>
        <w:keepNext w:val="0"/>
        <w:keepLines w:val="0"/>
        <w:shd w:val="clear" w:color="auto" w:fill="auto"/>
        <w:spacing w:line="240" w:lineRule="auto"/>
        <w:jc w:val="center"/>
        <w:rPr>
          <w:rFonts w:hint="eastAsia" w:ascii="仿宋" w:hAnsi="仿宋" w:eastAsia="仿宋" w:cs="仿宋"/>
          <w:color w:val="auto"/>
          <w:highlight w:val="none"/>
        </w:rPr>
      </w:pPr>
      <w:bookmarkStart w:id="21" w:name="_Toc511557024"/>
      <w:bookmarkStart w:id="22" w:name="_Toc22426"/>
      <w:bookmarkStart w:id="23" w:name="_Toc13588"/>
      <w:bookmarkStart w:id="24" w:name="_Toc9535"/>
      <w:bookmarkStart w:id="25" w:name="_Toc14966880"/>
      <w:r>
        <w:rPr>
          <w:rFonts w:hint="eastAsia" w:ascii="仿宋" w:hAnsi="仿宋" w:eastAsia="仿宋" w:cs="仿宋"/>
          <w:color w:val="auto"/>
          <w:highlight w:val="none"/>
        </w:rPr>
        <w:br w:type="page"/>
      </w:r>
      <w:bookmarkStart w:id="26" w:name="_Toc17072"/>
      <w:bookmarkStart w:id="27" w:name="_Toc2949"/>
      <w:bookmarkStart w:id="28" w:name="_Toc16513"/>
      <w:bookmarkStart w:id="29" w:name="_Toc13885"/>
      <w:bookmarkStart w:id="30" w:name="_Toc10277"/>
      <w:bookmarkStart w:id="31" w:name="_Toc5321"/>
      <w:bookmarkStart w:id="32" w:name="_Toc11576"/>
      <w:bookmarkStart w:id="33" w:name="_Toc26327"/>
      <w:bookmarkStart w:id="34" w:name="_Toc12505"/>
      <w:bookmarkStart w:id="35" w:name="_Toc11839"/>
      <w:bookmarkStart w:id="36" w:name="_Toc584"/>
      <w:bookmarkStart w:id="37" w:name="_Toc19514"/>
      <w:r>
        <w:rPr>
          <w:rFonts w:hint="eastAsia" w:ascii="仿宋" w:hAnsi="仿宋" w:eastAsia="仿宋" w:cs="仿宋"/>
          <w:color w:val="auto"/>
          <w:highlight w:val="none"/>
        </w:rPr>
        <w:t>第</w:t>
      </w:r>
      <w:bookmarkEnd w:id="2"/>
      <w:bookmarkEnd w:id="3"/>
      <w:bookmarkEnd w:id="4"/>
      <w:bookmarkEnd w:id="21"/>
      <w:r>
        <w:rPr>
          <w:rFonts w:hint="eastAsia" w:ascii="仿宋" w:hAnsi="仿宋" w:eastAsia="仿宋" w:cs="仿宋"/>
          <w:color w:val="auto"/>
          <w:highlight w:val="none"/>
        </w:rPr>
        <w:t>一卷</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DE70CE1">
      <w:pPr>
        <w:pStyle w:val="3"/>
        <w:keepNext w:val="0"/>
        <w:keepLines w:val="0"/>
        <w:shd w:val="clear" w:color="auto" w:fill="auto"/>
        <w:spacing w:line="240" w:lineRule="auto"/>
        <w:jc w:val="center"/>
        <w:rPr>
          <w:rFonts w:hint="eastAsia" w:ascii="仿宋" w:hAnsi="仿宋" w:eastAsia="仿宋" w:cs="仿宋"/>
          <w:color w:val="auto"/>
          <w:highlight w:val="none"/>
        </w:rPr>
      </w:pPr>
      <w:bookmarkStart w:id="38" w:name="_Toc27146"/>
      <w:bookmarkStart w:id="39" w:name="_Toc7737"/>
      <w:bookmarkStart w:id="40" w:name="_Toc27254"/>
      <w:bookmarkStart w:id="41" w:name="_Toc28714"/>
      <w:bookmarkStart w:id="42" w:name="_Toc15249"/>
      <w:bookmarkStart w:id="43" w:name="_Toc28795"/>
      <w:bookmarkStart w:id="44" w:name="_Toc15765"/>
      <w:bookmarkStart w:id="45" w:name="_Toc14872"/>
      <w:bookmarkStart w:id="46" w:name="_Toc15381"/>
      <w:bookmarkStart w:id="47" w:name="_Toc8367"/>
      <w:bookmarkStart w:id="48" w:name="_Toc14966881"/>
      <w:bookmarkStart w:id="49" w:name="_Toc15816"/>
      <w:bookmarkStart w:id="50" w:name="_Toc4065"/>
      <w:bookmarkStart w:id="51" w:name="_Toc16465"/>
      <w:bookmarkStart w:id="52" w:name="_Toc10886"/>
      <w:bookmarkStart w:id="53" w:name="_Toc31202"/>
      <w:r>
        <w:rPr>
          <w:rFonts w:hint="eastAsia" w:ascii="仿宋" w:hAnsi="仿宋" w:eastAsia="仿宋" w:cs="仿宋"/>
          <w:color w:val="auto"/>
          <w:highlight w:val="none"/>
        </w:rPr>
        <w:t>第一章招标公告</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2BDD157">
      <w:pPr>
        <w:shd w:val="clear" w:color="auto" w:fill="auto"/>
        <w:spacing w:line="440" w:lineRule="exact"/>
        <w:jc w:val="center"/>
        <w:rPr>
          <w:rFonts w:hint="eastAsia" w:ascii="仿宋" w:hAnsi="仿宋" w:eastAsia="仿宋" w:cs="仿宋"/>
          <w:color w:val="auto"/>
          <w:sz w:val="30"/>
          <w:szCs w:val="30"/>
          <w:highlight w:val="none"/>
          <w:u w:val="single"/>
          <w:lang w:eastAsia="zh-CN"/>
        </w:rPr>
      </w:pPr>
      <w:r>
        <w:rPr>
          <w:rFonts w:hint="eastAsia" w:ascii="仿宋" w:hAnsi="仿宋" w:eastAsia="仿宋" w:cs="仿宋"/>
          <w:color w:val="auto"/>
          <w:sz w:val="30"/>
          <w:szCs w:val="30"/>
          <w:highlight w:val="none"/>
          <w:u w:val="single"/>
          <w:lang w:eastAsia="zh-CN"/>
        </w:rPr>
        <w:t>广州市天河区2112低空服务保障及配套产业基础设施项目工程监理服务</w:t>
      </w:r>
    </w:p>
    <w:p w14:paraId="4E6E9902">
      <w:pPr>
        <w:shd w:val="clear" w:color="auto" w:fill="auto"/>
        <w:spacing w:line="44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招标公告（另册）</w:t>
      </w:r>
    </w:p>
    <w:p w14:paraId="75FFB1A6">
      <w:pPr>
        <w:shd w:val="clear" w:color="auto" w:fill="auto"/>
        <w:spacing w:line="440" w:lineRule="exact"/>
        <w:jc w:val="center"/>
        <w:rPr>
          <w:rFonts w:hint="eastAsia" w:ascii="仿宋" w:hAnsi="仿宋" w:eastAsia="仿宋" w:cs="仿宋"/>
          <w:color w:val="auto"/>
          <w:sz w:val="20"/>
          <w:highlight w:val="none"/>
        </w:rPr>
      </w:pPr>
    </w:p>
    <w:p w14:paraId="08426493">
      <w:pPr>
        <w:shd w:val="clear" w:color="auto" w:fill="auto"/>
        <w:spacing w:line="440" w:lineRule="exact"/>
        <w:jc w:val="center"/>
        <w:rPr>
          <w:rFonts w:hint="eastAsia" w:ascii="仿宋" w:hAnsi="仿宋" w:eastAsia="仿宋" w:cs="仿宋"/>
          <w:color w:val="auto"/>
          <w:sz w:val="20"/>
          <w:highlight w:val="none"/>
        </w:rPr>
      </w:pPr>
    </w:p>
    <w:p w14:paraId="050B52E9">
      <w:pPr>
        <w:shd w:val="clear" w:color="auto" w:fill="auto"/>
        <w:spacing w:line="440" w:lineRule="exact"/>
        <w:jc w:val="center"/>
        <w:rPr>
          <w:rFonts w:hint="eastAsia" w:ascii="仿宋" w:hAnsi="仿宋" w:eastAsia="仿宋" w:cs="仿宋"/>
          <w:color w:val="auto"/>
          <w:sz w:val="20"/>
          <w:highlight w:val="none"/>
        </w:rPr>
      </w:pPr>
    </w:p>
    <w:p w14:paraId="057ACB8D">
      <w:pPr>
        <w:shd w:val="clear" w:color="auto" w:fill="auto"/>
        <w:spacing w:line="440" w:lineRule="exact"/>
        <w:jc w:val="center"/>
        <w:rPr>
          <w:rFonts w:hint="eastAsia" w:ascii="仿宋" w:hAnsi="仿宋" w:eastAsia="仿宋" w:cs="仿宋"/>
          <w:color w:val="auto"/>
          <w:sz w:val="20"/>
          <w:highlight w:val="none"/>
        </w:rPr>
      </w:pPr>
    </w:p>
    <w:p w14:paraId="32704706">
      <w:pPr>
        <w:shd w:val="clear" w:color="auto" w:fill="auto"/>
        <w:spacing w:line="440" w:lineRule="exact"/>
        <w:jc w:val="center"/>
        <w:rPr>
          <w:rFonts w:hint="eastAsia" w:ascii="仿宋" w:hAnsi="仿宋" w:eastAsia="仿宋" w:cs="仿宋"/>
          <w:color w:val="auto"/>
          <w:sz w:val="20"/>
          <w:highlight w:val="none"/>
        </w:rPr>
      </w:pPr>
    </w:p>
    <w:p w14:paraId="7ED8CE62">
      <w:pPr>
        <w:shd w:val="clear" w:color="auto" w:fill="auto"/>
        <w:spacing w:line="440" w:lineRule="exact"/>
        <w:jc w:val="center"/>
        <w:rPr>
          <w:rFonts w:hint="eastAsia" w:ascii="仿宋" w:hAnsi="仿宋" w:eastAsia="仿宋" w:cs="仿宋"/>
          <w:color w:val="auto"/>
          <w:sz w:val="20"/>
          <w:highlight w:val="none"/>
        </w:rPr>
      </w:pPr>
    </w:p>
    <w:p w14:paraId="107DD9A5">
      <w:pPr>
        <w:shd w:val="clear" w:color="auto" w:fill="auto"/>
        <w:spacing w:line="440" w:lineRule="exact"/>
        <w:jc w:val="center"/>
        <w:rPr>
          <w:rFonts w:hint="eastAsia" w:ascii="仿宋" w:hAnsi="仿宋" w:eastAsia="仿宋" w:cs="仿宋"/>
          <w:color w:val="auto"/>
          <w:sz w:val="20"/>
          <w:highlight w:val="none"/>
        </w:rPr>
      </w:pPr>
    </w:p>
    <w:p w14:paraId="69BEBEF4">
      <w:pPr>
        <w:shd w:val="clear" w:color="auto" w:fill="auto"/>
        <w:spacing w:line="440" w:lineRule="exact"/>
        <w:jc w:val="center"/>
        <w:rPr>
          <w:rFonts w:hint="eastAsia" w:ascii="仿宋" w:hAnsi="仿宋" w:eastAsia="仿宋" w:cs="仿宋"/>
          <w:color w:val="auto"/>
          <w:sz w:val="20"/>
          <w:highlight w:val="none"/>
        </w:rPr>
      </w:pPr>
    </w:p>
    <w:p w14:paraId="0D422BA2">
      <w:pPr>
        <w:shd w:val="clear" w:color="auto" w:fill="auto"/>
        <w:spacing w:line="440" w:lineRule="exact"/>
        <w:jc w:val="center"/>
        <w:rPr>
          <w:rFonts w:hint="eastAsia" w:ascii="仿宋" w:hAnsi="仿宋" w:eastAsia="仿宋" w:cs="仿宋"/>
          <w:color w:val="auto"/>
          <w:sz w:val="20"/>
          <w:highlight w:val="none"/>
        </w:rPr>
      </w:pPr>
    </w:p>
    <w:p w14:paraId="4D2FD7F2">
      <w:pPr>
        <w:shd w:val="clear" w:color="auto" w:fill="auto"/>
        <w:spacing w:line="440" w:lineRule="exact"/>
        <w:jc w:val="center"/>
        <w:rPr>
          <w:rFonts w:hint="eastAsia" w:ascii="仿宋" w:hAnsi="仿宋" w:eastAsia="仿宋" w:cs="仿宋"/>
          <w:color w:val="auto"/>
          <w:sz w:val="20"/>
          <w:highlight w:val="none"/>
        </w:rPr>
      </w:pPr>
    </w:p>
    <w:p w14:paraId="22389CB2">
      <w:pPr>
        <w:shd w:val="clear" w:color="auto" w:fill="auto"/>
        <w:spacing w:line="440" w:lineRule="exact"/>
        <w:jc w:val="center"/>
        <w:rPr>
          <w:rFonts w:hint="eastAsia" w:ascii="仿宋" w:hAnsi="仿宋" w:eastAsia="仿宋" w:cs="仿宋"/>
          <w:color w:val="auto"/>
          <w:sz w:val="20"/>
          <w:highlight w:val="none"/>
        </w:rPr>
      </w:pPr>
    </w:p>
    <w:p w14:paraId="17FBE46A">
      <w:pPr>
        <w:shd w:val="clear" w:color="auto" w:fill="auto"/>
        <w:spacing w:line="440" w:lineRule="exact"/>
        <w:jc w:val="center"/>
        <w:rPr>
          <w:rFonts w:hint="eastAsia" w:ascii="仿宋" w:hAnsi="仿宋" w:eastAsia="仿宋" w:cs="仿宋"/>
          <w:color w:val="auto"/>
          <w:sz w:val="20"/>
          <w:highlight w:val="none"/>
        </w:rPr>
      </w:pPr>
    </w:p>
    <w:p w14:paraId="37425B28">
      <w:pPr>
        <w:shd w:val="clear" w:color="auto" w:fill="auto"/>
        <w:spacing w:line="440" w:lineRule="exact"/>
        <w:jc w:val="center"/>
        <w:rPr>
          <w:rFonts w:hint="eastAsia" w:ascii="仿宋" w:hAnsi="仿宋" w:eastAsia="仿宋" w:cs="仿宋"/>
          <w:color w:val="auto"/>
          <w:sz w:val="20"/>
          <w:highlight w:val="none"/>
        </w:rPr>
      </w:pPr>
    </w:p>
    <w:p w14:paraId="47543560">
      <w:pPr>
        <w:shd w:val="clear" w:color="auto" w:fill="auto"/>
        <w:spacing w:line="440" w:lineRule="exact"/>
        <w:jc w:val="center"/>
        <w:rPr>
          <w:rFonts w:hint="eastAsia" w:ascii="仿宋" w:hAnsi="仿宋" w:eastAsia="仿宋" w:cs="仿宋"/>
          <w:color w:val="auto"/>
          <w:sz w:val="20"/>
          <w:highlight w:val="none"/>
        </w:rPr>
      </w:pPr>
    </w:p>
    <w:p w14:paraId="4402E1A0">
      <w:pPr>
        <w:shd w:val="clear" w:color="auto" w:fill="auto"/>
        <w:spacing w:line="440" w:lineRule="exact"/>
        <w:jc w:val="center"/>
        <w:rPr>
          <w:rFonts w:hint="eastAsia" w:ascii="仿宋" w:hAnsi="仿宋" w:eastAsia="仿宋" w:cs="仿宋"/>
          <w:color w:val="auto"/>
          <w:sz w:val="20"/>
          <w:highlight w:val="none"/>
        </w:rPr>
      </w:pPr>
    </w:p>
    <w:p w14:paraId="588A43A3">
      <w:pPr>
        <w:shd w:val="clear" w:color="auto" w:fill="auto"/>
        <w:spacing w:line="440" w:lineRule="exact"/>
        <w:jc w:val="center"/>
        <w:rPr>
          <w:rFonts w:hint="eastAsia" w:ascii="仿宋" w:hAnsi="仿宋" w:eastAsia="仿宋" w:cs="仿宋"/>
          <w:color w:val="auto"/>
          <w:sz w:val="20"/>
          <w:highlight w:val="none"/>
        </w:rPr>
      </w:pPr>
    </w:p>
    <w:p w14:paraId="26C1D0B0">
      <w:pPr>
        <w:shd w:val="clear" w:color="auto" w:fill="auto"/>
        <w:spacing w:line="440" w:lineRule="exact"/>
        <w:jc w:val="center"/>
        <w:rPr>
          <w:rFonts w:hint="eastAsia" w:ascii="仿宋" w:hAnsi="仿宋" w:eastAsia="仿宋" w:cs="仿宋"/>
          <w:color w:val="auto"/>
          <w:sz w:val="20"/>
          <w:highlight w:val="none"/>
        </w:rPr>
      </w:pPr>
    </w:p>
    <w:p w14:paraId="12238466">
      <w:pPr>
        <w:shd w:val="clear" w:color="auto" w:fill="auto"/>
        <w:spacing w:line="440" w:lineRule="exact"/>
        <w:jc w:val="center"/>
        <w:rPr>
          <w:rFonts w:hint="eastAsia" w:ascii="仿宋" w:hAnsi="仿宋" w:eastAsia="仿宋" w:cs="仿宋"/>
          <w:color w:val="auto"/>
          <w:sz w:val="24"/>
          <w:szCs w:val="24"/>
          <w:highlight w:val="none"/>
        </w:rPr>
      </w:pPr>
      <w:bookmarkStart w:id="54" w:name="_Toc247527536"/>
      <w:bookmarkEnd w:id="54"/>
      <w:bookmarkStart w:id="55" w:name="_Toc361508562"/>
      <w:bookmarkEnd w:id="55"/>
      <w:bookmarkStart w:id="56" w:name="_Toc247513934"/>
      <w:bookmarkEnd w:id="56"/>
      <w:bookmarkStart w:id="57" w:name="_Toc247527535"/>
      <w:bookmarkEnd w:id="57"/>
      <w:bookmarkStart w:id="58" w:name="_Toc300834927"/>
      <w:bookmarkEnd w:id="58"/>
      <w:bookmarkStart w:id="59" w:name="_Toc152042288"/>
      <w:bookmarkEnd w:id="59"/>
      <w:bookmarkStart w:id="60" w:name="_Toc10785"/>
      <w:bookmarkEnd w:id="60"/>
      <w:bookmarkStart w:id="61" w:name="_Toc369531497"/>
      <w:bookmarkEnd w:id="61"/>
      <w:bookmarkStart w:id="62" w:name="_Toc384308185"/>
      <w:bookmarkEnd w:id="62"/>
      <w:bookmarkStart w:id="63" w:name="_Toc144974480"/>
      <w:bookmarkEnd w:id="63"/>
      <w:bookmarkStart w:id="64" w:name="_Toc152045512"/>
      <w:bookmarkEnd w:id="64"/>
      <w:bookmarkStart w:id="65" w:name="_Toc352691455"/>
      <w:bookmarkEnd w:id="65"/>
      <w:bookmarkStart w:id="66" w:name="_Toc152042289"/>
      <w:bookmarkEnd w:id="66"/>
      <w:bookmarkStart w:id="67" w:name="_Toc152045513"/>
      <w:bookmarkEnd w:id="67"/>
      <w:bookmarkStart w:id="68" w:name="_Toc361508560"/>
      <w:bookmarkEnd w:id="68"/>
      <w:bookmarkStart w:id="69" w:name="_Toc300834929"/>
      <w:bookmarkEnd w:id="69"/>
      <w:bookmarkStart w:id="70" w:name="_Toc144974481"/>
      <w:bookmarkEnd w:id="70"/>
      <w:bookmarkStart w:id="71" w:name="_Toc384308188"/>
      <w:bookmarkEnd w:id="71"/>
      <w:bookmarkStart w:id="72" w:name="_Toc352691453"/>
      <w:bookmarkEnd w:id="72"/>
      <w:bookmarkStart w:id="73" w:name="_Toc369531498"/>
      <w:bookmarkEnd w:id="73"/>
      <w:bookmarkStart w:id="74" w:name="_Toc352691456"/>
      <w:bookmarkEnd w:id="74"/>
      <w:bookmarkStart w:id="75" w:name="_Toc384308187"/>
      <w:bookmarkEnd w:id="75"/>
      <w:bookmarkStart w:id="76" w:name="_Toc300834930"/>
      <w:bookmarkEnd w:id="76"/>
      <w:bookmarkStart w:id="77" w:name="_Toc17972"/>
      <w:bookmarkEnd w:id="77"/>
      <w:bookmarkStart w:id="78" w:name="_Toc369531495"/>
      <w:bookmarkEnd w:id="78"/>
      <w:bookmarkStart w:id="79" w:name="_Toc247513935"/>
      <w:bookmarkEnd w:id="79"/>
      <w:bookmarkStart w:id="80" w:name="_Toc30817"/>
      <w:bookmarkEnd w:id="80"/>
      <w:bookmarkStart w:id="81" w:name="_Toc361508563"/>
      <w:bookmarkEnd w:id="81"/>
    </w:p>
    <w:p w14:paraId="00024CD8">
      <w:pPr>
        <w:pStyle w:val="3"/>
        <w:keepNext w:val="0"/>
        <w:keepLines w:val="0"/>
        <w:shd w:val="clear" w:color="auto" w:fill="auto"/>
        <w:jc w:val="center"/>
        <w:rPr>
          <w:rFonts w:hint="eastAsia" w:ascii="仿宋" w:hAnsi="仿宋" w:eastAsia="仿宋" w:cs="仿宋"/>
          <w:color w:val="auto"/>
          <w:highlight w:val="none"/>
        </w:rPr>
      </w:pPr>
      <w:bookmarkStart w:id="82" w:name="_Toc361508578"/>
      <w:bookmarkEnd w:id="82"/>
      <w:bookmarkStart w:id="83" w:name="_Toc369531509"/>
      <w:bookmarkEnd w:id="83"/>
      <w:bookmarkStart w:id="84" w:name="_Toc352691467"/>
      <w:bookmarkEnd w:id="84"/>
      <w:bookmarkStart w:id="85" w:name="_Toc144974493"/>
      <w:bookmarkEnd w:id="85"/>
      <w:bookmarkStart w:id="86" w:name="_Toc384308203"/>
      <w:bookmarkEnd w:id="86"/>
      <w:bookmarkStart w:id="87" w:name="_Toc144974491"/>
      <w:bookmarkEnd w:id="87"/>
      <w:bookmarkStart w:id="88" w:name="_Toc384308205"/>
      <w:bookmarkEnd w:id="88"/>
      <w:bookmarkStart w:id="89" w:name="_Toc247527547"/>
      <w:bookmarkEnd w:id="89"/>
      <w:bookmarkStart w:id="90" w:name="_Toc300834943"/>
      <w:bookmarkEnd w:id="90"/>
      <w:bookmarkStart w:id="91" w:name="_Toc14865"/>
      <w:bookmarkEnd w:id="91"/>
      <w:bookmarkStart w:id="92" w:name="_Toc152042299"/>
      <w:bookmarkEnd w:id="92"/>
      <w:bookmarkStart w:id="93" w:name="_Toc152045523"/>
      <w:bookmarkEnd w:id="93"/>
      <w:bookmarkStart w:id="94" w:name="_Toc247513948"/>
      <w:bookmarkEnd w:id="94"/>
      <w:bookmarkStart w:id="95" w:name="_Toc300834941"/>
      <w:bookmarkEnd w:id="95"/>
      <w:bookmarkStart w:id="96" w:name="_Toc361508580"/>
      <w:bookmarkEnd w:id="96"/>
      <w:bookmarkStart w:id="97" w:name="_Toc152045525"/>
      <w:bookmarkEnd w:id="97"/>
      <w:bookmarkStart w:id="98" w:name="_Toc369531511"/>
      <w:bookmarkEnd w:id="98"/>
      <w:bookmarkStart w:id="99" w:name="_Toc19794"/>
      <w:bookmarkEnd w:id="99"/>
      <w:bookmarkStart w:id="100" w:name="_Toc247513946"/>
      <w:bookmarkEnd w:id="100"/>
      <w:bookmarkStart w:id="101" w:name="_Toc247527549"/>
      <w:bookmarkEnd w:id="101"/>
      <w:bookmarkStart w:id="102" w:name="_Toc152042301"/>
      <w:bookmarkEnd w:id="102"/>
      <w:bookmarkStart w:id="103" w:name="_Toc352691469"/>
      <w:bookmarkEnd w:id="103"/>
      <w:r>
        <w:rPr>
          <w:rFonts w:hint="eastAsia" w:ascii="仿宋" w:hAnsi="仿宋" w:eastAsia="仿宋" w:cs="仿宋"/>
          <w:color w:val="auto"/>
          <w:highlight w:val="none"/>
        </w:rPr>
        <w:br w:type="page"/>
      </w:r>
      <w:bookmarkStart w:id="104" w:name="_Toc29474"/>
      <w:bookmarkStart w:id="105" w:name="_Toc18882"/>
      <w:bookmarkStart w:id="106" w:name="_Toc30451"/>
      <w:bookmarkStart w:id="107" w:name="_Toc29742"/>
      <w:bookmarkStart w:id="108" w:name="_Toc29533"/>
      <w:bookmarkStart w:id="109" w:name="_Toc14966882"/>
      <w:bookmarkStart w:id="110" w:name="_Toc560"/>
      <w:bookmarkStart w:id="111" w:name="_Toc22014"/>
      <w:bookmarkStart w:id="112" w:name="_Toc26805"/>
      <w:bookmarkStart w:id="113" w:name="_Toc30572"/>
      <w:bookmarkStart w:id="114" w:name="_Toc30878"/>
      <w:bookmarkStart w:id="115" w:name="_Toc8589"/>
      <w:bookmarkStart w:id="116" w:name="_Toc30803"/>
      <w:bookmarkStart w:id="117" w:name="_Toc24631"/>
      <w:bookmarkStart w:id="118" w:name="_Toc11580"/>
      <w:bookmarkStart w:id="119" w:name="_Toc12924"/>
      <w:r>
        <w:rPr>
          <w:rFonts w:hint="eastAsia" w:ascii="仿宋" w:hAnsi="仿宋" w:eastAsia="仿宋" w:cs="仿宋"/>
          <w:color w:val="auto"/>
          <w:highlight w:val="none"/>
        </w:rPr>
        <w:t>第二章投标人须知</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3E00818">
      <w:pPr>
        <w:pStyle w:val="2"/>
        <w:keepNext w:val="0"/>
        <w:keepLines w:val="0"/>
        <w:shd w:val="clear" w:color="auto" w:fill="auto"/>
        <w:jc w:val="center"/>
        <w:rPr>
          <w:rFonts w:hint="eastAsia" w:ascii="仿宋" w:hAnsi="仿宋" w:eastAsia="仿宋" w:cs="仿宋"/>
          <w:color w:val="auto"/>
          <w:highlight w:val="none"/>
        </w:rPr>
      </w:pPr>
      <w:bookmarkStart w:id="120" w:name="_Toc11344"/>
      <w:bookmarkStart w:id="121" w:name="_Toc15645"/>
      <w:bookmarkStart w:id="122" w:name="_Toc14966883"/>
      <w:bookmarkStart w:id="123" w:name="_Toc14265"/>
      <w:bookmarkStart w:id="124" w:name="_Toc31038"/>
      <w:bookmarkStart w:id="125" w:name="_Toc22087"/>
      <w:bookmarkStart w:id="126" w:name="_Toc11007"/>
      <w:bookmarkStart w:id="127" w:name="_Toc14886"/>
      <w:bookmarkStart w:id="128" w:name="_Toc6195"/>
      <w:bookmarkStart w:id="129" w:name="_Toc12894"/>
      <w:bookmarkStart w:id="130" w:name="_Toc31898"/>
      <w:bookmarkStart w:id="131" w:name="_Toc26490"/>
      <w:bookmarkStart w:id="132" w:name="_Toc29311"/>
      <w:bookmarkStart w:id="133" w:name="_Toc20335"/>
      <w:bookmarkStart w:id="134" w:name="_Toc12735"/>
      <w:bookmarkStart w:id="135" w:name="_Toc18463"/>
      <w:bookmarkStart w:id="136" w:name="_Toc10928"/>
      <w:bookmarkStart w:id="137" w:name="_Toc32731"/>
      <w:bookmarkStart w:id="138" w:name="_Toc2979"/>
      <w:r>
        <w:rPr>
          <w:rFonts w:hint="eastAsia" w:ascii="仿宋" w:hAnsi="仿宋" w:eastAsia="仿宋" w:cs="仿宋"/>
          <w:color w:val="auto"/>
          <w:highlight w:val="none"/>
        </w:rPr>
        <w:t>投标人须知前附表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6"/>
        <w:gridCol w:w="2292"/>
        <w:gridCol w:w="5285"/>
      </w:tblGrid>
      <w:tr w14:paraId="22479E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936" w:type="dxa"/>
            <w:tcBorders>
              <w:top w:val="single" w:color="auto" w:sz="4" w:space="0"/>
            </w:tcBorders>
            <w:noWrap w:val="0"/>
            <w:vAlign w:val="center"/>
          </w:tcPr>
          <w:p w14:paraId="46802A75">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2292" w:type="dxa"/>
            <w:tcBorders>
              <w:top w:val="single" w:color="auto" w:sz="4" w:space="0"/>
            </w:tcBorders>
            <w:noWrap w:val="0"/>
            <w:vAlign w:val="center"/>
          </w:tcPr>
          <w:p w14:paraId="6AEEEEB9">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5285" w:type="dxa"/>
            <w:tcBorders>
              <w:top w:val="single" w:color="auto" w:sz="4" w:space="0"/>
            </w:tcBorders>
            <w:noWrap w:val="0"/>
            <w:vAlign w:val="center"/>
          </w:tcPr>
          <w:p w14:paraId="692BF9B4">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w:t>
            </w:r>
          </w:p>
        </w:tc>
      </w:tr>
      <w:tr w14:paraId="7E85DA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936" w:type="dxa"/>
            <w:noWrap w:val="0"/>
            <w:vAlign w:val="center"/>
          </w:tcPr>
          <w:p w14:paraId="60CDE49B">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2292" w:type="dxa"/>
            <w:noWrap w:val="0"/>
            <w:vAlign w:val="center"/>
          </w:tcPr>
          <w:p w14:paraId="18E5EEF7">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w:t>
            </w:r>
          </w:p>
        </w:tc>
        <w:tc>
          <w:tcPr>
            <w:tcW w:w="5285" w:type="dxa"/>
            <w:noWrap w:val="0"/>
            <w:vAlign w:val="center"/>
          </w:tcPr>
          <w:p w14:paraId="5B8A338D">
            <w:pPr>
              <w:keepNext w:val="0"/>
              <w:keepLines w:val="0"/>
              <w:suppressLineNumbers w:val="0"/>
              <w:shd w:val="clear" w:color="auto" w:fill="auto"/>
              <w:snapToGrid w:val="0"/>
              <w:spacing w:before="0" w:beforeAutospacing="0" w:after="0" w:afterAutospacing="0"/>
              <w:ind w:left="720" w:right="0" w:hanging="720"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eastAsia="zh-CN"/>
              </w:rPr>
              <w:t>广州天河城市建设发展有限公司</w:t>
            </w:r>
          </w:p>
          <w:p w14:paraId="7901AE3D">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u w:val="single"/>
              </w:rPr>
              <w:t>广州市天河区软件路11号9楼</w:t>
            </w:r>
          </w:p>
          <w:p w14:paraId="026744AE">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u w:val="single"/>
              </w:rPr>
              <w:t>莫</w:t>
            </w:r>
            <w:r>
              <w:rPr>
                <w:rFonts w:hint="eastAsia" w:ascii="仿宋" w:hAnsi="仿宋" w:eastAsia="仿宋" w:cs="仿宋"/>
                <w:color w:val="auto"/>
                <w:sz w:val="24"/>
                <w:u w:val="single"/>
                <w:lang w:val="en-US" w:eastAsia="zh-CN"/>
              </w:rPr>
              <w:t>先生</w:t>
            </w:r>
          </w:p>
          <w:p w14:paraId="0B9C4793">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u w:val="single"/>
              </w:rPr>
              <w:t>020-85594984转8281</w:t>
            </w:r>
          </w:p>
          <w:p w14:paraId="2870B01C">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lang w:val="en-US" w:eastAsia="zh-CN"/>
              </w:rPr>
              <w:t>/</w:t>
            </w:r>
          </w:p>
        </w:tc>
      </w:tr>
      <w:tr w14:paraId="7D198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trPr>
        <w:tc>
          <w:tcPr>
            <w:tcW w:w="936" w:type="dxa"/>
            <w:noWrap w:val="0"/>
            <w:vAlign w:val="center"/>
          </w:tcPr>
          <w:p w14:paraId="77911FA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p>
        </w:tc>
        <w:tc>
          <w:tcPr>
            <w:tcW w:w="2292" w:type="dxa"/>
            <w:noWrap w:val="0"/>
            <w:vAlign w:val="center"/>
          </w:tcPr>
          <w:p w14:paraId="0CBEACF4">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招标代理机构</w:t>
            </w:r>
          </w:p>
        </w:tc>
        <w:tc>
          <w:tcPr>
            <w:tcW w:w="5285" w:type="dxa"/>
            <w:noWrap w:val="0"/>
            <w:vAlign w:val="center"/>
          </w:tcPr>
          <w:p w14:paraId="2F357353">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eastAsia="zh-CN"/>
              </w:rPr>
              <w:t>广东海外建设咨询有限公司</w:t>
            </w:r>
          </w:p>
          <w:p w14:paraId="5B97928F">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u w:val="single"/>
              </w:rPr>
              <w:t>广州市天河区建中路59号402房</w:t>
            </w:r>
          </w:p>
          <w:p w14:paraId="5E1BBBBD">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u w:val="single"/>
                <w:lang w:val="en-US" w:eastAsia="zh-CN"/>
              </w:rPr>
              <w:t>杜工</w:t>
            </w:r>
          </w:p>
          <w:p w14:paraId="12309382">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u w:val="single"/>
              </w:rPr>
              <w:t>020-38480330</w:t>
            </w:r>
          </w:p>
          <w:p w14:paraId="2012B9B0">
            <w:pPr>
              <w:pStyle w:val="59"/>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电子邮箱：</w:t>
            </w:r>
            <w:r>
              <w:rPr>
                <w:rFonts w:hint="eastAsia" w:ascii="仿宋" w:hAnsi="仿宋" w:eastAsia="仿宋" w:cs="仿宋"/>
                <w:color w:val="auto"/>
                <w:szCs w:val="24"/>
                <w:highlight w:val="none"/>
                <w:u w:val="single"/>
              </w:rPr>
              <w:t>gdhw</w:t>
            </w:r>
            <w:r>
              <w:rPr>
                <w:rFonts w:hint="eastAsia" w:ascii="仿宋" w:hAnsi="仿宋" w:eastAsia="仿宋" w:cs="仿宋"/>
                <w:color w:val="auto"/>
                <w:szCs w:val="24"/>
                <w:highlight w:val="none"/>
                <w:u w:val="single"/>
                <w:lang w:val="en-US" w:eastAsia="zh-CN"/>
              </w:rPr>
              <w:t>j</w:t>
            </w:r>
            <w:r>
              <w:rPr>
                <w:rFonts w:hint="eastAsia" w:ascii="仿宋" w:hAnsi="仿宋" w:eastAsia="仿宋" w:cs="仿宋"/>
                <w:color w:val="auto"/>
                <w:szCs w:val="24"/>
                <w:highlight w:val="none"/>
                <w:u w:val="single"/>
              </w:rPr>
              <w:t>l@163.com</w:t>
            </w:r>
          </w:p>
        </w:tc>
      </w:tr>
      <w:tr w14:paraId="453138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36" w:type="dxa"/>
            <w:noWrap w:val="0"/>
            <w:vAlign w:val="center"/>
          </w:tcPr>
          <w:p w14:paraId="430F5E16">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p>
        </w:tc>
        <w:tc>
          <w:tcPr>
            <w:tcW w:w="2292" w:type="dxa"/>
            <w:noWrap w:val="0"/>
            <w:vAlign w:val="center"/>
          </w:tcPr>
          <w:p w14:paraId="79E82B49">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招标项目名称</w:t>
            </w:r>
          </w:p>
        </w:tc>
        <w:tc>
          <w:tcPr>
            <w:tcW w:w="5285" w:type="dxa"/>
            <w:noWrap w:val="0"/>
            <w:vAlign w:val="center"/>
          </w:tcPr>
          <w:p w14:paraId="68A7D219">
            <w:pPr>
              <w:keepNext w:val="0"/>
              <w:keepLines w:val="0"/>
              <w:suppressLineNumbers w:val="0"/>
              <w:shd w:val="clear" w:color="auto" w:fill="auto"/>
              <w:snapToGrid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eastAsia="zh-CN"/>
              </w:rPr>
              <w:t>广州市天河区2112低空服务保障及配套产业基础设施项目工程监理服务</w:t>
            </w:r>
          </w:p>
        </w:tc>
      </w:tr>
      <w:tr w14:paraId="64363C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36" w:type="dxa"/>
            <w:noWrap w:val="0"/>
            <w:vAlign w:val="center"/>
          </w:tcPr>
          <w:p w14:paraId="742785AD">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w:t>
            </w:r>
          </w:p>
        </w:tc>
        <w:tc>
          <w:tcPr>
            <w:tcW w:w="2292" w:type="dxa"/>
            <w:noWrap w:val="0"/>
            <w:vAlign w:val="center"/>
          </w:tcPr>
          <w:p w14:paraId="69C6983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项目建设地点</w:t>
            </w:r>
          </w:p>
        </w:tc>
        <w:tc>
          <w:tcPr>
            <w:tcW w:w="5285" w:type="dxa"/>
            <w:noWrap w:val="0"/>
            <w:vAlign w:val="center"/>
          </w:tcPr>
          <w:p w14:paraId="0A8F9BDE">
            <w:pPr>
              <w:keepNext w:val="0"/>
              <w:keepLines w:val="0"/>
              <w:suppressLineNumbers w:val="0"/>
              <w:shd w:val="clear" w:color="auto" w:fill="auto"/>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详见招标公告</w:t>
            </w:r>
          </w:p>
        </w:tc>
      </w:tr>
      <w:tr w14:paraId="57940A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36" w:type="dxa"/>
            <w:noWrap w:val="0"/>
            <w:vAlign w:val="center"/>
          </w:tcPr>
          <w:p w14:paraId="2306537B">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w:t>
            </w:r>
          </w:p>
        </w:tc>
        <w:tc>
          <w:tcPr>
            <w:tcW w:w="2292" w:type="dxa"/>
            <w:noWrap w:val="0"/>
            <w:vAlign w:val="center"/>
          </w:tcPr>
          <w:p w14:paraId="41C1C074">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项目建设规模</w:t>
            </w:r>
          </w:p>
        </w:tc>
        <w:tc>
          <w:tcPr>
            <w:tcW w:w="5285" w:type="dxa"/>
            <w:noWrap w:val="0"/>
            <w:vAlign w:val="top"/>
          </w:tcPr>
          <w:p w14:paraId="3C2EDC2C">
            <w:pPr>
              <w:keepNext w:val="0"/>
              <w:keepLines w:val="0"/>
              <w:suppressLineNumbers w:val="0"/>
              <w:shd w:val="clear" w:color="auto" w:fill="auto"/>
              <w:snapToGrid w:val="0"/>
              <w:spacing w:before="0" w:beforeAutospacing="0" w:after="0" w:afterAutospacing="0"/>
              <w:ind w:left="0" w:right="10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详见招标公告</w:t>
            </w:r>
          </w:p>
        </w:tc>
      </w:tr>
      <w:tr w14:paraId="59749F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trPr>
        <w:tc>
          <w:tcPr>
            <w:tcW w:w="936" w:type="dxa"/>
            <w:noWrap w:val="0"/>
            <w:vAlign w:val="center"/>
          </w:tcPr>
          <w:p w14:paraId="6CD6AF44">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w:t>
            </w:r>
          </w:p>
        </w:tc>
        <w:tc>
          <w:tcPr>
            <w:tcW w:w="2292" w:type="dxa"/>
            <w:noWrap w:val="0"/>
            <w:vAlign w:val="center"/>
          </w:tcPr>
          <w:p w14:paraId="7A841B4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工程项目施工预计开工日期和建设周期</w:t>
            </w:r>
          </w:p>
        </w:tc>
        <w:tc>
          <w:tcPr>
            <w:tcW w:w="5285" w:type="dxa"/>
            <w:noWrap w:val="0"/>
            <w:vAlign w:val="center"/>
          </w:tcPr>
          <w:p w14:paraId="22F59EDB">
            <w:pPr>
              <w:keepNext w:val="0"/>
              <w:keepLines w:val="0"/>
              <w:suppressLineNumbers w:val="0"/>
              <w:shd w:val="clear" w:color="auto" w:fill="auto"/>
              <w:spacing w:before="0" w:beforeAutospacing="0" w:after="0" w:afterAutospacing="0"/>
              <w:ind w:left="0" w:right="0"/>
              <w:rPr>
                <w:rFonts w:hint="default" w:ascii="仿宋" w:hAnsi="仿宋" w:eastAsia="仿宋" w:cs="仿宋"/>
                <w:color w:val="auto"/>
                <w:highlight w:val="none"/>
                <w:lang w:val="en-US" w:eastAsia="zh-CN"/>
              </w:rPr>
            </w:pPr>
            <w:r>
              <w:rPr>
                <w:rFonts w:hint="eastAsia" w:ascii="仿宋" w:hAnsi="仿宋" w:eastAsia="仿宋" w:cs="仿宋"/>
                <w:color w:val="auto"/>
                <w:sz w:val="24"/>
                <w:highlight w:val="none"/>
              </w:rPr>
              <w:t>工程施工预计开工日期：</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具体施工工期以本项目施工招标时约定的工期为准。</w:t>
            </w:r>
            <w:r>
              <w:rPr>
                <w:rFonts w:hint="eastAsia" w:ascii="仿宋" w:hAnsi="仿宋" w:eastAsia="仿宋" w:cs="仿宋"/>
                <w:color w:val="auto"/>
                <w:sz w:val="24"/>
                <w:highlight w:val="none"/>
                <w:lang w:val="en-US" w:eastAsia="zh-CN"/>
              </w:rPr>
              <w:t>建设周期：约30个月。</w:t>
            </w:r>
          </w:p>
        </w:tc>
      </w:tr>
      <w:tr w14:paraId="7A7A51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36" w:type="dxa"/>
            <w:noWrap w:val="0"/>
            <w:vAlign w:val="center"/>
          </w:tcPr>
          <w:p w14:paraId="256AE78D">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1.1.8</w:t>
            </w:r>
          </w:p>
        </w:tc>
        <w:tc>
          <w:tcPr>
            <w:tcW w:w="2292" w:type="dxa"/>
            <w:noWrap w:val="0"/>
            <w:vAlign w:val="center"/>
          </w:tcPr>
          <w:p w14:paraId="5CEE3BAA">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建筑安装工程费/工程概算</w:t>
            </w:r>
          </w:p>
        </w:tc>
        <w:tc>
          <w:tcPr>
            <w:tcW w:w="5285" w:type="dxa"/>
            <w:noWrap w:val="0"/>
            <w:vAlign w:val="center"/>
          </w:tcPr>
          <w:p w14:paraId="7F19B267">
            <w:pPr>
              <w:keepNext w:val="0"/>
              <w:keepLines w:val="0"/>
              <w:suppressLineNumbers w:val="0"/>
              <w:shd w:val="clear" w:color="auto" w:fill="auto"/>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详见招标公告</w:t>
            </w:r>
          </w:p>
        </w:tc>
      </w:tr>
      <w:tr w14:paraId="159F87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36" w:type="dxa"/>
            <w:noWrap w:val="0"/>
            <w:vAlign w:val="center"/>
          </w:tcPr>
          <w:p w14:paraId="1203A68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2292" w:type="dxa"/>
            <w:noWrap w:val="0"/>
            <w:vAlign w:val="center"/>
          </w:tcPr>
          <w:p w14:paraId="114B0E0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资金来源及比例</w:t>
            </w:r>
          </w:p>
        </w:tc>
        <w:tc>
          <w:tcPr>
            <w:tcW w:w="5285" w:type="dxa"/>
            <w:noWrap w:val="0"/>
            <w:vAlign w:val="center"/>
          </w:tcPr>
          <w:p w14:paraId="6C053E47">
            <w:pPr>
              <w:keepNext w:val="0"/>
              <w:keepLines w:val="0"/>
              <w:suppressLineNumbers w:val="0"/>
              <w:shd w:val="clear" w:color="auto" w:fill="auto"/>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详见招标公告</w:t>
            </w:r>
          </w:p>
        </w:tc>
      </w:tr>
      <w:tr w14:paraId="0D5A0F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936" w:type="dxa"/>
            <w:noWrap w:val="0"/>
            <w:vAlign w:val="center"/>
          </w:tcPr>
          <w:p w14:paraId="3C6D173B">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p>
        </w:tc>
        <w:tc>
          <w:tcPr>
            <w:tcW w:w="2292" w:type="dxa"/>
            <w:noWrap w:val="0"/>
            <w:vAlign w:val="center"/>
          </w:tcPr>
          <w:p w14:paraId="3F67FFE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资金落实情况</w:t>
            </w:r>
          </w:p>
        </w:tc>
        <w:tc>
          <w:tcPr>
            <w:tcW w:w="5285" w:type="dxa"/>
            <w:noWrap w:val="0"/>
            <w:vAlign w:val="center"/>
          </w:tcPr>
          <w:p w14:paraId="760A6AC1">
            <w:pPr>
              <w:keepNext w:val="0"/>
              <w:keepLines w:val="0"/>
              <w:suppressLineNumbers w:val="0"/>
              <w:shd w:val="clear" w:color="auto" w:fill="auto"/>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已落实</w:t>
            </w:r>
          </w:p>
        </w:tc>
      </w:tr>
      <w:tr w14:paraId="094484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936" w:type="dxa"/>
            <w:noWrap w:val="0"/>
            <w:vAlign w:val="center"/>
          </w:tcPr>
          <w:p w14:paraId="32CF9A18">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2292" w:type="dxa"/>
            <w:noWrap w:val="0"/>
            <w:vAlign w:val="center"/>
          </w:tcPr>
          <w:p w14:paraId="1F7434D3">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招标范围</w:t>
            </w:r>
          </w:p>
        </w:tc>
        <w:tc>
          <w:tcPr>
            <w:tcW w:w="5285" w:type="dxa"/>
            <w:noWrap w:val="0"/>
            <w:vAlign w:val="top"/>
          </w:tcPr>
          <w:p w14:paraId="1FD3857C">
            <w:pPr>
              <w:keepNext w:val="0"/>
              <w:keepLines w:val="0"/>
              <w:suppressLineNumbers w:val="0"/>
              <w:shd w:val="clear" w:color="auto" w:fill="auto"/>
              <w:snapToGrid w:val="0"/>
              <w:spacing w:before="0" w:beforeAutospacing="0" w:after="0" w:afterAutospacing="0"/>
              <w:ind w:left="0" w:right="10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详见招标公告</w:t>
            </w:r>
          </w:p>
        </w:tc>
      </w:tr>
      <w:tr w14:paraId="48E321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936" w:type="dxa"/>
            <w:noWrap w:val="0"/>
            <w:vAlign w:val="center"/>
          </w:tcPr>
          <w:p w14:paraId="43F163C3">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p>
        </w:tc>
        <w:tc>
          <w:tcPr>
            <w:tcW w:w="2292" w:type="dxa"/>
            <w:noWrap w:val="0"/>
            <w:vAlign w:val="center"/>
          </w:tcPr>
          <w:p w14:paraId="5537541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监理服务期</w:t>
            </w:r>
          </w:p>
        </w:tc>
        <w:tc>
          <w:tcPr>
            <w:tcW w:w="5285" w:type="dxa"/>
            <w:noWrap w:val="0"/>
            <w:vAlign w:val="top"/>
          </w:tcPr>
          <w:p w14:paraId="289547B8">
            <w:pPr>
              <w:keepNext w:val="0"/>
              <w:keepLines w:val="0"/>
              <w:suppressLineNumbers w:val="0"/>
              <w:shd w:val="clear" w:color="auto" w:fill="auto"/>
              <w:snapToGrid w:val="0"/>
              <w:spacing w:before="0" w:beforeAutospacing="0" w:after="0" w:afterAutospacing="0"/>
              <w:ind w:left="0" w:right="10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详见招标公告</w:t>
            </w:r>
          </w:p>
        </w:tc>
      </w:tr>
      <w:tr w14:paraId="77FDB6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36" w:type="dxa"/>
            <w:noWrap w:val="0"/>
            <w:vAlign w:val="center"/>
          </w:tcPr>
          <w:p w14:paraId="1183DA7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w:t>
            </w:r>
          </w:p>
        </w:tc>
        <w:tc>
          <w:tcPr>
            <w:tcW w:w="2292" w:type="dxa"/>
            <w:noWrap w:val="0"/>
            <w:vAlign w:val="center"/>
          </w:tcPr>
          <w:p w14:paraId="5046A13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监理目标</w:t>
            </w:r>
          </w:p>
        </w:tc>
        <w:tc>
          <w:tcPr>
            <w:tcW w:w="5285" w:type="dxa"/>
            <w:noWrap w:val="0"/>
            <w:vAlign w:val="center"/>
          </w:tcPr>
          <w:p w14:paraId="56263034">
            <w:pPr>
              <w:keepNext w:val="0"/>
              <w:keepLines w:val="0"/>
              <w:suppressLineNumbers w:val="0"/>
              <w:shd w:val="clear" w:color="auto" w:fill="auto"/>
              <w:snapToGrid w:val="0"/>
              <w:spacing w:before="0" w:beforeAutospacing="0" w:after="0" w:afterAutospacing="0"/>
              <w:ind w:left="0" w:right="106"/>
              <w:jc w:val="left"/>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详见招标公告</w:t>
            </w:r>
          </w:p>
        </w:tc>
      </w:tr>
      <w:tr w14:paraId="39B01E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936" w:type="dxa"/>
            <w:noWrap w:val="0"/>
            <w:vAlign w:val="center"/>
          </w:tcPr>
          <w:p w14:paraId="111A7C29">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2292" w:type="dxa"/>
            <w:noWrap w:val="0"/>
            <w:vAlign w:val="center"/>
          </w:tcPr>
          <w:p w14:paraId="5A8BCF9C">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投标人资质条件、能力、信誉</w:t>
            </w:r>
          </w:p>
        </w:tc>
        <w:tc>
          <w:tcPr>
            <w:tcW w:w="5285" w:type="dxa"/>
            <w:noWrap w:val="0"/>
            <w:vAlign w:val="center"/>
          </w:tcPr>
          <w:p w14:paraId="6EC72CF1">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（1）资质要求：见招标公告投标人资格要求。</w:t>
            </w:r>
          </w:p>
          <w:p w14:paraId="60E5D280">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（2）财务要求：/</w:t>
            </w:r>
          </w:p>
          <w:p w14:paraId="1BAEE91C">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（3）业绩要求：见招标公告投标人资格要求。</w:t>
            </w:r>
          </w:p>
          <w:p w14:paraId="1A6E6B2F">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（4）信誉要求：/</w:t>
            </w:r>
          </w:p>
          <w:p w14:paraId="50016A12">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（5）总监理工程师的资格要求：见招标公告投标人资格要求。</w:t>
            </w:r>
          </w:p>
          <w:p w14:paraId="6635B572">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（6）其他主要人员要求：/。</w:t>
            </w:r>
          </w:p>
          <w:p w14:paraId="68B87CEA">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（7）试验检测仪器设备要求：</w:t>
            </w:r>
            <w:r>
              <w:rPr>
                <w:rFonts w:hint="eastAsia" w:ascii="仿宋" w:hAnsi="仿宋" w:eastAsia="仿宋" w:cs="仿宋"/>
                <w:color w:val="auto"/>
                <w:sz w:val="24"/>
                <w:szCs w:val="24"/>
                <w:highlight w:val="none"/>
                <w:u w:val="single"/>
              </w:rPr>
              <w:t>/。</w:t>
            </w:r>
          </w:p>
          <w:p w14:paraId="37299F8E">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（8）其他要求：见招标公告投标人资格要求。</w:t>
            </w:r>
          </w:p>
        </w:tc>
      </w:tr>
      <w:tr w14:paraId="44844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936" w:type="dxa"/>
            <w:noWrap w:val="0"/>
            <w:vAlign w:val="center"/>
          </w:tcPr>
          <w:p w14:paraId="224E3CE9">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w:t>
            </w:r>
          </w:p>
        </w:tc>
        <w:tc>
          <w:tcPr>
            <w:tcW w:w="2292" w:type="dxa"/>
            <w:noWrap w:val="0"/>
            <w:vAlign w:val="center"/>
          </w:tcPr>
          <w:p w14:paraId="4D0F7CED">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是否接受联合体投标</w:t>
            </w:r>
          </w:p>
        </w:tc>
        <w:tc>
          <w:tcPr>
            <w:tcW w:w="5285" w:type="dxa"/>
            <w:noWrap w:val="0"/>
            <w:vAlign w:val="center"/>
          </w:tcPr>
          <w:p w14:paraId="073AA70A">
            <w:pPr>
              <w:keepNext w:val="0"/>
              <w:keepLines w:val="0"/>
              <w:suppressLineNumbers w:val="0"/>
              <w:shd w:val="clear" w:color="auto" w:fill="auto"/>
              <w:snapToGrid w:val="0"/>
              <w:spacing w:before="0" w:beforeAutospacing="0" w:after="0" w:afterAutospacing="0"/>
              <w:ind w:left="0" w:right="-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position w:val="3"/>
                <w:sz w:val="24"/>
                <w:szCs w:val="24"/>
                <w:highlight w:val="none"/>
              </w:rPr>
              <w:t>不接受</w:t>
            </w:r>
          </w:p>
          <w:p w14:paraId="23C928BD">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接受，应满足下列要求：详见招标公告</w:t>
            </w:r>
          </w:p>
        </w:tc>
      </w:tr>
      <w:tr w14:paraId="671D2A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936" w:type="dxa"/>
            <w:noWrap w:val="0"/>
            <w:vAlign w:val="center"/>
          </w:tcPr>
          <w:p w14:paraId="5E0B0E3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p>
        </w:tc>
        <w:tc>
          <w:tcPr>
            <w:tcW w:w="2292" w:type="dxa"/>
            <w:noWrap w:val="0"/>
            <w:vAlign w:val="center"/>
          </w:tcPr>
          <w:p w14:paraId="170E6537">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投标人不得存在的其他情形</w:t>
            </w:r>
          </w:p>
        </w:tc>
        <w:tc>
          <w:tcPr>
            <w:tcW w:w="5285" w:type="dxa"/>
            <w:noWrap w:val="0"/>
            <w:vAlign w:val="center"/>
          </w:tcPr>
          <w:p w14:paraId="12D8F40E">
            <w:pPr>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067335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936" w:type="dxa"/>
            <w:noWrap w:val="0"/>
            <w:vAlign w:val="center"/>
          </w:tcPr>
          <w:p w14:paraId="3F30FC41">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w:t>
            </w:r>
          </w:p>
        </w:tc>
        <w:tc>
          <w:tcPr>
            <w:tcW w:w="2292" w:type="dxa"/>
            <w:noWrap w:val="0"/>
            <w:vAlign w:val="center"/>
          </w:tcPr>
          <w:p w14:paraId="0FCC0C21">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5285" w:type="dxa"/>
            <w:noWrap w:val="0"/>
            <w:vAlign w:val="center"/>
          </w:tcPr>
          <w:p w14:paraId="7FAC669F">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spacing w:val="-1"/>
                <w:sz w:val="18"/>
                <w:szCs w:val="24"/>
                <w:highlight w:val="none"/>
                <w:bdr w:val="single" w:color="auto" w:sz="4" w:space="0"/>
              </w:rPr>
              <w:t>√</w:t>
            </w:r>
            <w:r>
              <w:rPr>
                <w:rFonts w:hint="eastAsia" w:ascii="仿宋" w:hAnsi="仿宋" w:eastAsia="仿宋" w:cs="仿宋"/>
                <w:color w:val="auto"/>
                <w:kern w:val="2"/>
                <w:sz w:val="24"/>
                <w:szCs w:val="24"/>
                <w:highlight w:val="none"/>
              </w:rPr>
              <w:t>不组织，</w:t>
            </w:r>
            <w:r>
              <w:rPr>
                <w:rFonts w:hint="eastAsia" w:ascii="仿宋" w:hAnsi="仿宋" w:eastAsia="仿宋" w:cs="仿宋"/>
                <w:color w:val="auto"/>
                <w:kern w:val="2"/>
                <w:sz w:val="24"/>
                <w:szCs w:val="24"/>
                <w:highlight w:val="none"/>
                <w:u w:val="single"/>
              </w:rPr>
              <w:t>由投标人自行现场考察。</w:t>
            </w:r>
          </w:p>
          <w:p w14:paraId="4C2BB82F">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□组织，踏勘时间：/</w:t>
            </w:r>
          </w:p>
          <w:p w14:paraId="1C043D1B">
            <w:pPr>
              <w:pStyle w:val="16"/>
              <w:keepNext w:val="0"/>
              <w:keepLines w:val="0"/>
              <w:suppressLineNumbers w:val="0"/>
              <w:shd w:val="clear" w:color="auto" w:fill="auto"/>
              <w:topLinePunct/>
              <w:snapToGrid w:val="0"/>
              <w:spacing w:before="0" w:beforeAutospacing="0" w:after="0" w:afterAutospacing="0"/>
              <w:ind w:left="0" w:right="0" w:firstLine="960" w:firstLineChars="4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踏勘集中地点：/</w:t>
            </w:r>
          </w:p>
        </w:tc>
      </w:tr>
      <w:tr w14:paraId="22598B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936" w:type="dxa"/>
            <w:noWrap w:val="0"/>
            <w:vAlign w:val="center"/>
          </w:tcPr>
          <w:p w14:paraId="386DD7CB">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w:t>
            </w:r>
          </w:p>
        </w:tc>
        <w:tc>
          <w:tcPr>
            <w:tcW w:w="2292" w:type="dxa"/>
            <w:noWrap w:val="0"/>
            <w:vAlign w:val="center"/>
          </w:tcPr>
          <w:p w14:paraId="0D0C559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投标预备会</w:t>
            </w:r>
          </w:p>
        </w:tc>
        <w:tc>
          <w:tcPr>
            <w:tcW w:w="5285" w:type="dxa"/>
            <w:noWrap w:val="0"/>
            <w:vAlign w:val="center"/>
          </w:tcPr>
          <w:p w14:paraId="1F3608A0">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spacing w:val="-1"/>
                <w:sz w:val="18"/>
                <w:szCs w:val="24"/>
                <w:highlight w:val="none"/>
                <w:bdr w:val="single" w:color="auto" w:sz="4" w:space="0"/>
              </w:rPr>
              <w:t>√</w:t>
            </w:r>
            <w:r>
              <w:rPr>
                <w:rFonts w:hint="eastAsia" w:ascii="仿宋" w:hAnsi="仿宋" w:eastAsia="仿宋" w:cs="仿宋"/>
                <w:color w:val="auto"/>
                <w:kern w:val="2"/>
                <w:sz w:val="24"/>
                <w:szCs w:val="24"/>
                <w:highlight w:val="none"/>
              </w:rPr>
              <w:t>不召开</w:t>
            </w:r>
          </w:p>
          <w:p w14:paraId="3353CBCE">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□召开，召开时间：</w:t>
            </w:r>
            <w:r>
              <w:rPr>
                <w:rFonts w:hint="eastAsia" w:ascii="仿宋" w:hAnsi="仿宋" w:eastAsia="仿宋" w:cs="仿宋"/>
                <w:color w:val="auto"/>
                <w:sz w:val="24"/>
                <w:szCs w:val="24"/>
                <w:highlight w:val="none"/>
                <w:u w:val="single"/>
              </w:rPr>
              <w:t xml:space="preserve"> / </w:t>
            </w:r>
          </w:p>
          <w:p w14:paraId="50671B43">
            <w:pPr>
              <w:keepNext w:val="0"/>
              <w:keepLines w:val="0"/>
              <w:suppressLineNumbers w:val="0"/>
              <w:shd w:val="clear" w:color="auto" w:fill="auto"/>
              <w:snapToGrid w:val="0"/>
              <w:spacing w:before="0" w:beforeAutospacing="0" w:after="0" w:afterAutospacing="0"/>
              <w:ind w:left="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召开地点：</w:t>
            </w:r>
            <w:r>
              <w:rPr>
                <w:rFonts w:hint="eastAsia" w:ascii="仿宋" w:hAnsi="仿宋" w:eastAsia="仿宋" w:cs="仿宋"/>
                <w:color w:val="auto"/>
                <w:sz w:val="24"/>
                <w:szCs w:val="24"/>
                <w:highlight w:val="none"/>
                <w:u w:val="single"/>
              </w:rPr>
              <w:t xml:space="preserve"> / </w:t>
            </w:r>
          </w:p>
        </w:tc>
      </w:tr>
      <w:tr w14:paraId="5B2B6B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936" w:type="dxa"/>
            <w:vMerge w:val="restart"/>
            <w:noWrap w:val="0"/>
            <w:vAlign w:val="center"/>
          </w:tcPr>
          <w:p w14:paraId="15A53B3D">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1.10.2</w:t>
            </w:r>
          </w:p>
        </w:tc>
        <w:tc>
          <w:tcPr>
            <w:tcW w:w="2292" w:type="dxa"/>
            <w:vMerge w:val="restart"/>
            <w:noWrap w:val="0"/>
            <w:vAlign w:val="center"/>
          </w:tcPr>
          <w:p w14:paraId="3B8C8C0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投标人在投标预备会前提出问题</w:t>
            </w:r>
          </w:p>
        </w:tc>
        <w:tc>
          <w:tcPr>
            <w:tcW w:w="5285" w:type="dxa"/>
            <w:noWrap w:val="0"/>
            <w:vAlign w:val="center"/>
          </w:tcPr>
          <w:p w14:paraId="40833428">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 xml:space="preserve"> / </w:t>
            </w:r>
          </w:p>
        </w:tc>
      </w:tr>
      <w:tr w14:paraId="586D55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936" w:type="dxa"/>
            <w:vMerge w:val="continue"/>
            <w:noWrap w:val="0"/>
            <w:vAlign w:val="center"/>
          </w:tcPr>
          <w:p w14:paraId="2C208060">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292" w:type="dxa"/>
            <w:vMerge w:val="continue"/>
            <w:noWrap w:val="0"/>
            <w:vAlign w:val="center"/>
          </w:tcPr>
          <w:p w14:paraId="6BA664C3">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5285" w:type="dxa"/>
            <w:noWrap w:val="0"/>
            <w:vAlign w:val="center"/>
          </w:tcPr>
          <w:p w14:paraId="53CBB393">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w:t>
            </w:r>
            <w:r>
              <w:rPr>
                <w:rFonts w:hint="eastAsia" w:ascii="仿宋" w:hAnsi="仿宋" w:eastAsia="仿宋" w:cs="仿宋"/>
                <w:color w:val="auto"/>
                <w:sz w:val="24"/>
                <w:szCs w:val="24"/>
                <w:highlight w:val="none"/>
                <w:u w:val="single"/>
              </w:rPr>
              <w:t xml:space="preserve"> / </w:t>
            </w:r>
          </w:p>
        </w:tc>
      </w:tr>
      <w:tr w14:paraId="026F57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936" w:type="dxa"/>
            <w:noWrap w:val="0"/>
            <w:vAlign w:val="center"/>
          </w:tcPr>
          <w:p w14:paraId="7A6CDA99">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w:t>
            </w:r>
          </w:p>
        </w:tc>
        <w:tc>
          <w:tcPr>
            <w:tcW w:w="2292" w:type="dxa"/>
            <w:noWrap w:val="0"/>
            <w:vAlign w:val="center"/>
          </w:tcPr>
          <w:p w14:paraId="6F688750">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招标文件澄清发出的形式</w:t>
            </w:r>
          </w:p>
        </w:tc>
        <w:tc>
          <w:tcPr>
            <w:tcW w:w="5285" w:type="dxa"/>
            <w:noWrap w:val="0"/>
            <w:vAlign w:val="center"/>
          </w:tcPr>
          <w:p w14:paraId="09ECF520">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（此为投标预备会的答疑澄清）</w:t>
            </w:r>
          </w:p>
        </w:tc>
      </w:tr>
      <w:tr w14:paraId="76F4D6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936" w:type="dxa"/>
            <w:noWrap w:val="0"/>
            <w:vAlign w:val="center"/>
          </w:tcPr>
          <w:p w14:paraId="705F282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w:t>
            </w:r>
          </w:p>
        </w:tc>
        <w:tc>
          <w:tcPr>
            <w:tcW w:w="2292" w:type="dxa"/>
            <w:noWrap w:val="0"/>
            <w:vAlign w:val="center"/>
          </w:tcPr>
          <w:p w14:paraId="5C9752C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实质性要求和条件</w:t>
            </w:r>
          </w:p>
        </w:tc>
        <w:tc>
          <w:tcPr>
            <w:tcW w:w="5285" w:type="dxa"/>
            <w:noWrap w:val="0"/>
            <w:vAlign w:val="center"/>
          </w:tcPr>
          <w:p w14:paraId="0B10257C">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p>
        </w:tc>
      </w:tr>
      <w:tr w14:paraId="289D72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936" w:type="dxa"/>
            <w:noWrap w:val="0"/>
            <w:vAlign w:val="center"/>
          </w:tcPr>
          <w:p w14:paraId="39C611F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1.12.3</w:t>
            </w:r>
          </w:p>
        </w:tc>
        <w:tc>
          <w:tcPr>
            <w:tcW w:w="2292" w:type="dxa"/>
            <w:noWrap w:val="0"/>
            <w:vAlign w:val="center"/>
          </w:tcPr>
          <w:p w14:paraId="2321292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偏差</w:t>
            </w:r>
          </w:p>
        </w:tc>
        <w:tc>
          <w:tcPr>
            <w:tcW w:w="5285" w:type="dxa"/>
            <w:noWrap w:val="0"/>
            <w:vAlign w:val="top"/>
          </w:tcPr>
          <w:p w14:paraId="5E846B40">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pacing w:val="-1"/>
                <w:sz w:val="18"/>
                <w:szCs w:val="24"/>
                <w:highlight w:val="none"/>
                <w:bdr w:val="single" w:color="auto" w:sz="4" w:space="0"/>
              </w:rPr>
              <w:t>√</w:t>
            </w:r>
            <w:r>
              <w:rPr>
                <w:rFonts w:hint="eastAsia" w:ascii="仿宋" w:hAnsi="仿宋" w:eastAsia="仿宋" w:cs="仿宋"/>
                <w:color w:val="auto"/>
                <w:sz w:val="24"/>
                <w:szCs w:val="24"/>
                <w:highlight w:val="none"/>
              </w:rPr>
              <w:t>不允许</w:t>
            </w:r>
          </w:p>
          <w:p w14:paraId="72987F6F">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□允许，偏差范围：/</w:t>
            </w:r>
          </w:p>
          <w:p w14:paraId="152CA126">
            <w:pPr>
              <w:pStyle w:val="16"/>
              <w:keepNext w:val="0"/>
              <w:keepLines w:val="0"/>
              <w:suppressLineNumbers w:val="0"/>
              <w:shd w:val="clear" w:color="auto" w:fill="auto"/>
              <w:topLinePunct/>
              <w:snapToGrid w:val="0"/>
              <w:spacing w:before="0" w:beforeAutospacing="0" w:after="0" w:afterAutospacing="0"/>
              <w:ind w:left="0" w:right="0" w:firstLine="840" w:firstLineChars="35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偏差幅度：/</w:t>
            </w:r>
          </w:p>
        </w:tc>
      </w:tr>
      <w:tr w14:paraId="1D9280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936" w:type="dxa"/>
            <w:noWrap w:val="0"/>
            <w:vAlign w:val="center"/>
          </w:tcPr>
          <w:p w14:paraId="47AF0C04">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2292" w:type="dxa"/>
            <w:noWrap w:val="0"/>
            <w:vAlign w:val="center"/>
          </w:tcPr>
          <w:p w14:paraId="3B8EC97D">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构成招标文件的其他资料</w:t>
            </w:r>
          </w:p>
        </w:tc>
        <w:tc>
          <w:tcPr>
            <w:tcW w:w="5285" w:type="dxa"/>
            <w:noWrap w:val="0"/>
            <w:vAlign w:val="center"/>
          </w:tcPr>
          <w:p w14:paraId="528AE414">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 </w:t>
            </w:r>
          </w:p>
        </w:tc>
      </w:tr>
      <w:tr w14:paraId="2A0FA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36" w:type="dxa"/>
            <w:vMerge w:val="restart"/>
            <w:noWrap w:val="0"/>
            <w:vAlign w:val="center"/>
          </w:tcPr>
          <w:p w14:paraId="420B3969">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2292" w:type="dxa"/>
            <w:vMerge w:val="restart"/>
            <w:noWrap w:val="0"/>
            <w:vAlign w:val="center"/>
          </w:tcPr>
          <w:p w14:paraId="5D0415C7">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投标人要求澄清招标文件</w:t>
            </w:r>
          </w:p>
        </w:tc>
        <w:tc>
          <w:tcPr>
            <w:tcW w:w="5285" w:type="dxa"/>
            <w:noWrap w:val="0"/>
            <w:vAlign w:val="center"/>
          </w:tcPr>
          <w:p w14:paraId="5B83D242">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rPr>
              <w:t>投标人在递交投标文件截止时间18天前提出；</w:t>
            </w:r>
          </w:p>
        </w:tc>
      </w:tr>
      <w:tr w14:paraId="7EDF33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936" w:type="dxa"/>
            <w:vMerge w:val="continue"/>
            <w:noWrap w:val="0"/>
            <w:vAlign w:val="center"/>
          </w:tcPr>
          <w:p w14:paraId="4332A855">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292" w:type="dxa"/>
            <w:vMerge w:val="continue"/>
            <w:noWrap w:val="0"/>
            <w:vAlign w:val="center"/>
          </w:tcPr>
          <w:p w14:paraId="675B9657">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5285" w:type="dxa"/>
            <w:noWrap w:val="0"/>
            <w:vAlign w:val="center"/>
          </w:tcPr>
          <w:p w14:paraId="75C888C5">
            <w:pPr>
              <w:keepNext w:val="0"/>
              <w:keepLines w:val="0"/>
              <w:suppressLineNumbers w:val="0"/>
              <w:shd w:val="clear" w:color="auto" w:fill="auto"/>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形式：1.招标答疑采用网上答疑方式进行。投标人若对招标文件有疑问的，可在规定的时间内通过</w:t>
            </w:r>
            <w:r>
              <w:rPr>
                <w:rFonts w:hint="eastAsia" w:ascii="仿宋" w:hAnsi="仿宋" w:eastAsia="仿宋" w:cs="仿宋"/>
                <w:color w:val="auto"/>
                <w:sz w:val="24"/>
                <w:szCs w:val="24"/>
                <w:highlight w:val="none"/>
                <w:lang w:eastAsia="zh-CN"/>
              </w:rPr>
              <w:t>广州交易集团有限公司（广州公共资源交易中心）</w:t>
            </w:r>
            <w:r>
              <w:rPr>
                <w:rFonts w:hint="eastAsia" w:ascii="仿宋" w:hAnsi="仿宋" w:eastAsia="仿宋" w:cs="仿宋"/>
                <w:color w:val="auto"/>
                <w:sz w:val="24"/>
                <w:szCs w:val="24"/>
                <w:highlight w:val="none"/>
              </w:rPr>
              <w:t>网站登录系统进入提问区域将问题提交给招标人或招标代理人，提交问题时一律不得署名。具体操作方法详见</w:t>
            </w:r>
            <w:r>
              <w:rPr>
                <w:rFonts w:hint="eastAsia" w:ascii="仿宋" w:hAnsi="仿宋" w:eastAsia="仿宋" w:cs="仿宋"/>
                <w:color w:val="auto"/>
                <w:sz w:val="24"/>
                <w:szCs w:val="24"/>
                <w:highlight w:val="none"/>
                <w:lang w:eastAsia="zh-CN"/>
              </w:rPr>
              <w:t>广州交易集团有限公司（广州公共资源交易中心）</w:t>
            </w:r>
            <w:r>
              <w:rPr>
                <w:rFonts w:hint="eastAsia" w:ascii="仿宋" w:hAnsi="仿宋" w:eastAsia="仿宋" w:cs="仿宋"/>
                <w:color w:val="auto"/>
                <w:sz w:val="24"/>
                <w:szCs w:val="24"/>
                <w:highlight w:val="none"/>
              </w:rPr>
              <w:t>网站发布的《房屋建筑和市政基础设施工程全流程电子化项目专章》。</w:t>
            </w:r>
          </w:p>
          <w:p w14:paraId="598FEE42">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2.答疑纪要为招标文件的一部分。投标人可在</w:t>
            </w:r>
            <w:r>
              <w:rPr>
                <w:rFonts w:hint="eastAsia" w:ascii="仿宋" w:hAnsi="仿宋" w:eastAsia="仿宋" w:cs="仿宋"/>
                <w:color w:val="auto"/>
                <w:sz w:val="24"/>
                <w:szCs w:val="24"/>
                <w:highlight w:val="none"/>
                <w:lang w:eastAsia="zh-CN"/>
              </w:rPr>
              <w:t>广州交易集团有限公司（广州公共资源交易中心）</w:t>
            </w:r>
            <w:r>
              <w:rPr>
                <w:rFonts w:hint="eastAsia" w:ascii="仿宋" w:hAnsi="仿宋" w:eastAsia="仿宋" w:cs="仿宋"/>
                <w:color w:val="auto"/>
                <w:sz w:val="24"/>
                <w:szCs w:val="24"/>
                <w:highlight w:val="none"/>
              </w:rPr>
              <w:t>网站浏览、下载答疑纪要。</w:t>
            </w:r>
          </w:p>
        </w:tc>
      </w:tr>
      <w:tr w14:paraId="64D357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936" w:type="dxa"/>
            <w:noWrap w:val="0"/>
            <w:vAlign w:val="center"/>
          </w:tcPr>
          <w:p w14:paraId="5C7AE61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2292" w:type="dxa"/>
            <w:noWrap w:val="0"/>
            <w:vAlign w:val="center"/>
          </w:tcPr>
          <w:p w14:paraId="38525D0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招标文件澄清发出的形式</w:t>
            </w:r>
          </w:p>
        </w:tc>
        <w:tc>
          <w:tcPr>
            <w:tcW w:w="5285" w:type="dxa"/>
            <w:noWrap w:val="0"/>
            <w:vAlign w:val="center"/>
          </w:tcPr>
          <w:p w14:paraId="48355DEB">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在递交投标文件截止时间15天前；在</w:t>
            </w:r>
            <w:r>
              <w:rPr>
                <w:rFonts w:hint="eastAsia" w:ascii="仿宋" w:hAnsi="仿宋" w:eastAsia="仿宋" w:cs="仿宋"/>
                <w:color w:val="auto"/>
                <w:sz w:val="24"/>
                <w:szCs w:val="24"/>
                <w:highlight w:val="none"/>
                <w:lang w:eastAsia="zh-CN"/>
              </w:rPr>
              <w:t>广州交易集团有限公司（广州公共资源交易中心）</w:t>
            </w:r>
            <w:r>
              <w:rPr>
                <w:rFonts w:hint="eastAsia" w:ascii="仿宋" w:hAnsi="仿宋" w:eastAsia="仿宋" w:cs="仿宋"/>
                <w:color w:val="auto"/>
                <w:sz w:val="24"/>
                <w:szCs w:val="24"/>
                <w:highlight w:val="none"/>
              </w:rPr>
              <w:t>网站通过项目答疑专区网上公开发布。</w:t>
            </w:r>
          </w:p>
        </w:tc>
      </w:tr>
      <w:tr w14:paraId="5922E0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936" w:type="dxa"/>
            <w:vMerge w:val="restart"/>
            <w:noWrap w:val="0"/>
            <w:vAlign w:val="center"/>
          </w:tcPr>
          <w:p w14:paraId="4611D68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2292" w:type="dxa"/>
            <w:vMerge w:val="restart"/>
            <w:noWrap w:val="0"/>
            <w:vAlign w:val="center"/>
          </w:tcPr>
          <w:p w14:paraId="180CB8E4">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投标人确认收到招标文件澄清</w:t>
            </w:r>
          </w:p>
        </w:tc>
        <w:tc>
          <w:tcPr>
            <w:tcW w:w="5285" w:type="dxa"/>
            <w:noWrap w:val="0"/>
            <w:vAlign w:val="center"/>
          </w:tcPr>
          <w:p w14:paraId="493BFDFA">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时间：发出即视作收到</w:t>
            </w:r>
          </w:p>
        </w:tc>
      </w:tr>
      <w:tr w14:paraId="5A33B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trPr>
        <w:tc>
          <w:tcPr>
            <w:tcW w:w="936" w:type="dxa"/>
            <w:vMerge w:val="continue"/>
            <w:noWrap w:val="0"/>
            <w:vAlign w:val="center"/>
          </w:tcPr>
          <w:p w14:paraId="7618BF49">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292" w:type="dxa"/>
            <w:vMerge w:val="continue"/>
            <w:noWrap w:val="0"/>
            <w:vAlign w:val="center"/>
          </w:tcPr>
          <w:p w14:paraId="5EF2EEB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5285" w:type="dxa"/>
            <w:noWrap w:val="0"/>
            <w:vAlign w:val="center"/>
          </w:tcPr>
          <w:p w14:paraId="631E31C2">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形式：招标文件澄清（招标答疑纪要）一经在</w:t>
            </w:r>
            <w:r>
              <w:rPr>
                <w:rFonts w:hint="eastAsia" w:ascii="仿宋" w:hAnsi="仿宋" w:eastAsia="仿宋" w:cs="仿宋"/>
                <w:color w:val="auto"/>
                <w:sz w:val="24"/>
                <w:szCs w:val="24"/>
                <w:highlight w:val="none"/>
                <w:lang w:eastAsia="zh-CN"/>
              </w:rPr>
              <w:t>广州交易集团有限公司（广州公共资源交易中心）</w:t>
            </w:r>
            <w:r>
              <w:rPr>
                <w:rFonts w:hint="eastAsia" w:ascii="仿宋" w:hAnsi="仿宋" w:eastAsia="仿宋" w:cs="仿宋"/>
                <w:color w:val="auto"/>
                <w:sz w:val="24"/>
                <w:szCs w:val="24"/>
                <w:highlight w:val="none"/>
              </w:rPr>
              <w:t>网站发布，视作已发放给所有投标人。</w:t>
            </w:r>
          </w:p>
        </w:tc>
      </w:tr>
      <w:tr w14:paraId="65EC7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936" w:type="dxa"/>
            <w:noWrap w:val="0"/>
            <w:vAlign w:val="center"/>
          </w:tcPr>
          <w:p w14:paraId="2A18CD6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p>
        </w:tc>
        <w:tc>
          <w:tcPr>
            <w:tcW w:w="2292" w:type="dxa"/>
            <w:noWrap w:val="0"/>
            <w:vAlign w:val="center"/>
          </w:tcPr>
          <w:p w14:paraId="6154B6B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招标文件修改发出的形式</w:t>
            </w:r>
          </w:p>
        </w:tc>
        <w:tc>
          <w:tcPr>
            <w:tcW w:w="5285" w:type="dxa"/>
            <w:noWrap w:val="0"/>
            <w:vAlign w:val="center"/>
          </w:tcPr>
          <w:p w14:paraId="6F1AB050">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以补充公告或项目答疑澄清的方式在</w:t>
            </w:r>
            <w:r>
              <w:rPr>
                <w:rFonts w:hint="eastAsia" w:ascii="仿宋" w:hAnsi="仿宋" w:eastAsia="仿宋" w:cs="仿宋"/>
                <w:color w:val="auto"/>
                <w:sz w:val="24"/>
                <w:szCs w:val="24"/>
                <w:highlight w:val="none"/>
                <w:lang w:eastAsia="zh-CN"/>
              </w:rPr>
              <w:t>广州交易集团有限公司（广州公共资源交易中心）</w:t>
            </w:r>
            <w:r>
              <w:rPr>
                <w:rFonts w:hint="eastAsia" w:ascii="仿宋" w:hAnsi="仿宋" w:eastAsia="仿宋" w:cs="仿宋"/>
                <w:color w:val="auto"/>
                <w:sz w:val="24"/>
                <w:szCs w:val="24"/>
                <w:highlight w:val="none"/>
              </w:rPr>
              <w:t>网站发布</w:t>
            </w:r>
          </w:p>
        </w:tc>
      </w:tr>
      <w:tr w14:paraId="162E6C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936" w:type="dxa"/>
            <w:vMerge w:val="restart"/>
            <w:noWrap w:val="0"/>
            <w:vAlign w:val="center"/>
          </w:tcPr>
          <w:p w14:paraId="3135F5F7">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2292" w:type="dxa"/>
            <w:vMerge w:val="restart"/>
            <w:noWrap w:val="0"/>
            <w:vAlign w:val="center"/>
          </w:tcPr>
          <w:p w14:paraId="02ECBC7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投标人确认收到招标文件修改</w:t>
            </w:r>
          </w:p>
        </w:tc>
        <w:tc>
          <w:tcPr>
            <w:tcW w:w="5285" w:type="dxa"/>
            <w:noWrap w:val="0"/>
            <w:vAlign w:val="center"/>
          </w:tcPr>
          <w:p w14:paraId="5F82573D">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时间：发出即视作收到</w:t>
            </w:r>
          </w:p>
        </w:tc>
      </w:tr>
      <w:tr w14:paraId="4014F8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36" w:type="dxa"/>
            <w:vMerge w:val="continue"/>
            <w:noWrap w:val="0"/>
            <w:vAlign w:val="center"/>
          </w:tcPr>
          <w:p w14:paraId="506E4790">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292" w:type="dxa"/>
            <w:vMerge w:val="continue"/>
            <w:noWrap w:val="0"/>
            <w:vAlign w:val="center"/>
          </w:tcPr>
          <w:p w14:paraId="54F663A3">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5285" w:type="dxa"/>
            <w:noWrap w:val="0"/>
            <w:vAlign w:val="center"/>
          </w:tcPr>
          <w:p w14:paraId="6723841E">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形式：招标文件修改一经在</w:t>
            </w:r>
            <w:r>
              <w:rPr>
                <w:rFonts w:hint="eastAsia" w:ascii="仿宋" w:hAnsi="仿宋" w:eastAsia="仿宋" w:cs="仿宋"/>
                <w:color w:val="auto"/>
                <w:sz w:val="24"/>
                <w:szCs w:val="24"/>
                <w:highlight w:val="none"/>
                <w:lang w:eastAsia="zh-CN"/>
              </w:rPr>
              <w:t>广州交易集团有限公司（广州公共资源交易中心）</w:t>
            </w:r>
            <w:r>
              <w:rPr>
                <w:rFonts w:hint="eastAsia" w:ascii="仿宋" w:hAnsi="仿宋" w:eastAsia="仿宋" w:cs="仿宋"/>
                <w:color w:val="auto"/>
                <w:sz w:val="24"/>
                <w:szCs w:val="24"/>
                <w:highlight w:val="none"/>
              </w:rPr>
              <w:t>网站发布，视作已发放给所有投标人，无需确认。潜在投标人应自行关注招标公告公布的网站公告，招标人不再一一通知。投标人因自身贻误行为导致投标失败的，责任自负。</w:t>
            </w:r>
          </w:p>
        </w:tc>
      </w:tr>
      <w:tr w14:paraId="5C0B3E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936" w:type="dxa"/>
            <w:noWrap w:val="0"/>
            <w:vAlign w:val="center"/>
          </w:tcPr>
          <w:p w14:paraId="7E1BC50C">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p>
        </w:tc>
        <w:tc>
          <w:tcPr>
            <w:tcW w:w="2292" w:type="dxa"/>
            <w:noWrap w:val="0"/>
            <w:vAlign w:val="center"/>
          </w:tcPr>
          <w:p w14:paraId="22E2661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构成投标文件的其他资料</w:t>
            </w:r>
          </w:p>
        </w:tc>
        <w:tc>
          <w:tcPr>
            <w:tcW w:w="5285" w:type="dxa"/>
            <w:noWrap w:val="0"/>
            <w:vAlign w:val="center"/>
          </w:tcPr>
          <w:p w14:paraId="0A8F6634">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投标人声明、以及企业荣誉证书、信用证书、相关网页截图等（如有）投标人需提交的证明资料</w:t>
            </w:r>
          </w:p>
        </w:tc>
      </w:tr>
      <w:tr w14:paraId="6F2C51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36" w:type="dxa"/>
            <w:noWrap w:val="0"/>
            <w:vAlign w:val="center"/>
          </w:tcPr>
          <w:p w14:paraId="587EC6CA">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w:t>
            </w:r>
          </w:p>
        </w:tc>
        <w:tc>
          <w:tcPr>
            <w:tcW w:w="2292" w:type="dxa"/>
            <w:noWrap w:val="0"/>
            <w:vAlign w:val="center"/>
          </w:tcPr>
          <w:p w14:paraId="65E23BF6">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增值税税金的计算方法</w:t>
            </w:r>
          </w:p>
        </w:tc>
        <w:tc>
          <w:tcPr>
            <w:tcW w:w="5285" w:type="dxa"/>
            <w:noWrap w:val="0"/>
            <w:vAlign w:val="center"/>
          </w:tcPr>
          <w:p w14:paraId="00EBA6E8">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按国家税务机关的规定执行。</w:t>
            </w:r>
          </w:p>
        </w:tc>
      </w:tr>
      <w:tr w14:paraId="4ED800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36" w:type="dxa"/>
            <w:noWrap w:val="0"/>
            <w:vAlign w:val="center"/>
          </w:tcPr>
          <w:p w14:paraId="01546AC1">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w:t>
            </w:r>
          </w:p>
        </w:tc>
        <w:tc>
          <w:tcPr>
            <w:tcW w:w="2292" w:type="dxa"/>
            <w:noWrap w:val="0"/>
            <w:vAlign w:val="center"/>
          </w:tcPr>
          <w:p w14:paraId="274EB645">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报价方式</w:t>
            </w:r>
          </w:p>
        </w:tc>
        <w:tc>
          <w:tcPr>
            <w:tcW w:w="5285" w:type="dxa"/>
            <w:noWrap w:val="0"/>
            <w:vAlign w:val="center"/>
          </w:tcPr>
          <w:p w14:paraId="12BB212F">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本招标项目监理服务费采用固定总价报价方式报价（以元为单位，保留小数点后二位，小数点后第三位及第三位数后做舍弃）。</w:t>
            </w:r>
          </w:p>
          <w:p w14:paraId="13188850">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监理费的具体结算原则详见合同条款的约定。</w:t>
            </w:r>
          </w:p>
        </w:tc>
      </w:tr>
      <w:tr w14:paraId="7A7D4F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936" w:type="dxa"/>
            <w:noWrap w:val="0"/>
            <w:vAlign w:val="center"/>
          </w:tcPr>
          <w:p w14:paraId="3A8A061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w:t>
            </w:r>
          </w:p>
        </w:tc>
        <w:tc>
          <w:tcPr>
            <w:tcW w:w="2292" w:type="dxa"/>
            <w:noWrap w:val="0"/>
            <w:vAlign w:val="center"/>
          </w:tcPr>
          <w:p w14:paraId="7BC25DF9">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5285" w:type="dxa"/>
            <w:noWrap w:val="0"/>
            <w:vAlign w:val="center"/>
          </w:tcPr>
          <w:p w14:paraId="4F88C283">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14:paraId="5F80602D">
            <w:pPr>
              <w:keepNext w:val="0"/>
              <w:keepLines w:val="0"/>
              <w:suppressLineNumbers w:val="0"/>
              <w:shd w:val="clear" w:color="auto" w:fill="auto"/>
              <w:spacing w:before="0" w:beforeAutospacing="0" w:after="0" w:afterAutospacing="0"/>
              <w:ind w:left="0" w:right="0"/>
              <w:jc w:val="left"/>
              <w:rPr>
                <w:rFonts w:hint="eastAsia" w:ascii="仿宋" w:hAnsi="仿宋" w:eastAsia="仿宋" w:cs="仿宋"/>
                <w:color w:val="auto"/>
                <w:sz w:val="24"/>
                <w:szCs w:val="24"/>
                <w:highlight w:val="none"/>
                <w:u w:val="single"/>
              </w:rPr>
            </w:pPr>
            <w:r>
              <w:rPr>
                <w:rFonts w:hint="eastAsia" w:ascii="仿宋" w:hAnsi="仿宋" w:eastAsia="仿宋" w:cs="仿宋"/>
                <w:color w:val="auto"/>
                <w:spacing w:val="-1"/>
                <w:sz w:val="18"/>
                <w:szCs w:val="24"/>
                <w:highlight w:val="none"/>
                <w:bdr w:val="single" w:color="auto" w:sz="4" w:space="0"/>
              </w:rPr>
              <w:t>√</w:t>
            </w: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rPr>
              <w:t>，最高投标限价（总价）：</w:t>
            </w:r>
            <w:r>
              <w:rPr>
                <w:rFonts w:hint="eastAsia" w:ascii="仿宋" w:hAnsi="仿宋" w:eastAsia="仿宋" w:cs="仿宋"/>
                <w:color w:val="auto"/>
                <w:sz w:val="24"/>
                <w:szCs w:val="24"/>
                <w:highlight w:val="none"/>
                <w:u w:val="single"/>
                <w:lang w:val="en-US" w:eastAsia="zh-CN"/>
              </w:rPr>
              <w:t>153.409496</w:t>
            </w:r>
            <w:r>
              <w:rPr>
                <w:rFonts w:hint="eastAsia" w:ascii="仿宋" w:hAnsi="仿宋" w:eastAsia="仿宋" w:cs="仿宋"/>
                <w:color w:val="auto"/>
                <w:sz w:val="24"/>
                <w:szCs w:val="24"/>
                <w:highlight w:val="none"/>
                <w:u w:val="single"/>
              </w:rPr>
              <w:t>万元（即招标控制价）。</w:t>
            </w:r>
          </w:p>
          <w:p w14:paraId="0183CDEE">
            <w:pPr>
              <w:keepNext w:val="0"/>
              <w:keepLines w:val="0"/>
              <w:suppressLineNumbers w:val="0"/>
              <w:shd w:val="clear" w:color="auto" w:fill="auto"/>
              <w:spacing w:before="0" w:beforeAutospacing="0" w:after="0" w:afterAutospacing="0"/>
              <w:ind w:left="0" w:right="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注：投标报价不得超过本项目最高投标限价。</w:t>
            </w:r>
          </w:p>
        </w:tc>
      </w:tr>
      <w:tr w14:paraId="0201D3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936" w:type="dxa"/>
            <w:noWrap w:val="0"/>
            <w:vAlign w:val="center"/>
          </w:tcPr>
          <w:p w14:paraId="2F18984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3.2.5</w:t>
            </w:r>
          </w:p>
        </w:tc>
        <w:tc>
          <w:tcPr>
            <w:tcW w:w="2292" w:type="dxa"/>
            <w:noWrap w:val="0"/>
            <w:vAlign w:val="center"/>
          </w:tcPr>
          <w:p w14:paraId="1E82B35A">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投标报价的其他要求</w:t>
            </w:r>
          </w:p>
        </w:tc>
        <w:tc>
          <w:tcPr>
            <w:tcW w:w="5285" w:type="dxa"/>
            <w:noWrap w:val="0"/>
            <w:vAlign w:val="center"/>
          </w:tcPr>
          <w:p w14:paraId="5B7373B9">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投标报价超过其最高投标限价的投标文件将被否决其投标。</w:t>
            </w:r>
          </w:p>
          <w:p w14:paraId="17AD024A">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14:paraId="1533A170">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投标人必须详细审阅全部招标文件，充分考虑职责和义务,全面地理解招标文件对投标报价的要求,并按招标人提出的条件及内容进行报价。结算方式以监理合同约定为准。</w:t>
            </w:r>
          </w:p>
        </w:tc>
      </w:tr>
      <w:tr w14:paraId="012614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36" w:type="dxa"/>
            <w:noWrap w:val="0"/>
            <w:vAlign w:val="center"/>
          </w:tcPr>
          <w:p w14:paraId="7429BB4C">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2292" w:type="dxa"/>
            <w:noWrap w:val="0"/>
            <w:vAlign w:val="center"/>
          </w:tcPr>
          <w:p w14:paraId="73E1F85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5285" w:type="dxa"/>
            <w:noWrap w:val="0"/>
            <w:vAlign w:val="center"/>
          </w:tcPr>
          <w:p w14:paraId="4E1C4CA5">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bookmarkStart w:id="139" w:name="_Toc384308207"/>
            <w:bookmarkStart w:id="140" w:name="_Toc369531512"/>
            <w:bookmarkStart w:id="141" w:name="_Toc352691470"/>
            <w:bookmarkStart w:id="142" w:name="_Toc361508582"/>
            <w:bookmarkStart w:id="143" w:name="_Toc300834946"/>
            <w:bookmarkStart w:id="144" w:name="_Toc1789"/>
            <w:r>
              <w:rPr>
                <w:rFonts w:hint="eastAsia" w:ascii="仿宋" w:hAnsi="仿宋" w:eastAsia="仿宋" w:cs="仿宋"/>
                <w:color w:val="auto"/>
                <w:sz w:val="24"/>
                <w:szCs w:val="24"/>
                <w:highlight w:val="none"/>
                <w:u w:val="single"/>
              </w:rPr>
              <w:t>120</w:t>
            </w:r>
            <w:r>
              <w:rPr>
                <w:rFonts w:hint="eastAsia" w:ascii="仿宋" w:hAnsi="仿宋" w:eastAsia="仿宋" w:cs="仿宋"/>
                <w:color w:val="auto"/>
                <w:sz w:val="24"/>
                <w:szCs w:val="24"/>
                <w:highlight w:val="none"/>
              </w:rPr>
              <w:t>日历天（从投标截止之日算起）。</w:t>
            </w:r>
          </w:p>
        </w:tc>
      </w:tr>
      <w:bookmarkEnd w:id="139"/>
      <w:bookmarkEnd w:id="140"/>
      <w:bookmarkEnd w:id="141"/>
      <w:bookmarkEnd w:id="142"/>
      <w:bookmarkEnd w:id="143"/>
      <w:bookmarkEnd w:id="144"/>
      <w:tr w14:paraId="42E6B2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936" w:type="dxa"/>
            <w:noWrap w:val="0"/>
            <w:vAlign w:val="center"/>
          </w:tcPr>
          <w:p w14:paraId="3F10B30B">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w:t>
            </w:r>
          </w:p>
        </w:tc>
        <w:tc>
          <w:tcPr>
            <w:tcW w:w="2292" w:type="dxa"/>
            <w:noWrap w:val="0"/>
            <w:vAlign w:val="center"/>
          </w:tcPr>
          <w:p w14:paraId="2E2B5846">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5285" w:type="dxa"/>
            <w:noWrap w:val="0"/>
            <w:vAlign w:val="center"/>
          </w:tcPr>
          <w:p w14:paraId="20028308">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是否要求投标人递交投标保证金：</w:t>
            </w:r>
          </w:p>
          <w:p w14:paraId="08198320">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☑不要求递交投标保证金。</w:t>
            </w:r>
          </w:p>
          <w:p w14:paraId="7D33EC3D">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□要求，投标保证金的金额：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万元人民币。</w:t>
            </w:r>
          </w:p>
          <w:p w14:paraId="2358AB46">
            <w:pPr>
              <w:keepNext w:val="0"/>
              <w:keepLines w:val="0"/>
              <w:suppressLineNumbers w:val="0"/>
              <w:snapToGrid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1、投标保证金的有效期：应长于或等于投标有效期。</w:t>
            </w:r>
          </w:p>
          <w:p w14:paraId="58F1C00B">
            <w:pPr>
              <w:keepNext w:val="0"/>
              <w:keepLines w:val="0"/>
              <w:suppressLineNumbers w:val="0"/>
              <w:snapToGrid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2、缴纳时间：递交投标文件截止时间前</w:t>
            </w:r>
          </w:p>
          <w:p w14:paraId="176CB880">
            <w:pPr>
              <w:keepNext w:val="0"/>
              <w:keepLines w:val="0"/>
              <w:suppressLineNumbers w:val="0"/>
              <w:snapToGrid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3、投标保证金的形式：投标保证金可采用现金、银行汇票、银行本票、银行电汇、支票（现金支票、转账支票）、银行保函、保证保险、专业担保公司担保等形式。</w:t>
            </w:r>
          </w:p>
          <w:p w14:paraId="58838B0C">
            <w:pPr>
              <w:keepNext w:val="0"/>
              <w:keepLines w:val="0"/>
              <w:suppressLineNumbers w:val="0"/>
              <w:snapToGrid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4、递交方式：</w:t>
            </w:r>
          </w:p>
          <w:p w14:paraId="22E77A3E">
            <w:pPr>
              <w:keepNext w:val="0"/>
              <w:keepLines w:val="0"/>
              <w:suppressLineNumbers w:val="0"/>
              <w:snapToGrid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咨询电话：020-28866000)。</w:t>
            </w:r>
          </w:p>
          <w:p w14:paraId="06D495A7">
            <w:pPr>
              <w:keepNext w:val="0"/>
              <w:keepLines w:val="0"/>
              <w:suppressLineNumbers w:val="0"/>
              <w:snapToGrid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14:paraId="2B631185">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（3）如采用电子保函形式递交投标保证金，按广州交易集团有限公司（广州公共资源交易中心）发布的《广州公共资源交易中心关于开通电子保函服务功能的通知》操作。详见：</w:t>
            </w:r>
            <w:r>
              <w:rPr>
                <w:rFonts w:hint="eastAsia" w:ascii="仿宋" w:hAnsi="仿宋" w:eastAsia="仿宋" w:cs="仿宋"/>
                <w:color w:val="auto"/>
                <w:szCs w:val="21"/>
              </w:rPr>
              <w:t>http://www.gzggzy.cn/fwznbszycwxg/857020.jhtml</w:t>
            </w:r>
            <w:r>
              <w:rPr>
                <w:rFonts w:hint="eastAsia" w:ascii="仿宋" w:hAnsi="仿宋" w:eastAsia="仿宋" w:cs="仿宋"/>
                <w:color w:val="auto"/>
                <w:sz w:val="24"/>
                <w:szCs w:val="24"/>
              </w:rPr>
              <w:t>。到账情况以开标时广州交易集团有限公司（广州公共资源交易中心）数据库查询信息为准。</w:t>
            </w:r>
          </w:p>
          <w:p w14:paraId="124E83B8">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5、开标时投标人没有按要求提供投标保证金的，其投标文件将被否决。</w:t>
            </w:r>
          </w:p>
          <w:p w14:paraId="4D0203A6">
            <w:pPr>
              <w:keepNext w:val="0"/>
              <w:keepLines w:val="0"/>
              <w:suppressLineNumbers w:val="0"/>
              <w:shd w:val="clear" w:color="auto" w:fill="auto"/>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6、投标保证金依据法律法规的相关规定退还。</w:t>
            </w:r>
          </w:p>
        </w:tc>
      </w:tr>
      <w:tr w14:paraId="5B45FE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936" w:type="dxa"/>
            <w:noWrap w:val="0"/>
            <w:vAlign w:val="center"/>
          </w:tcPr>
          <w:p w14:paraId="5EA2452D">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3.4.4</w:t>
            </w:r>
          </w:p>
        </w:tc>
        <w:tc>
          <w:tcPr>
            <w:tcW w:w="2292" w:type="dxa"/>
            <w:noWrap w:val="0"/>
            <w:vAlign w:val="center"/>
          </w:tcPr>
          <w:p w14:paraId="27AEAFBB">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其他可以不予退还投标保证金的情形</w:t>
            </w:r>
          </w:p>
        </w:tc>
        <w:tc>
          <w:tcPr>
            <w:tcW w:w="5285" w:type="dxa"/>
            <w:noWrap w:val="0"/>
            <w:vAlign w:val="center"/>
          </w:tcPr>
          <w:p w14:paraId="2C2B4D65">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2578E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36" w:type="dxa"/>
            <w:noWrap w:val="0"/>
            <w:vAlign w:val="center"/>
          </w:tcPr>
          <w:p w14:paraId="70891031">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2292" w:type="dxa"/>
            <w:noWrap w:val="0"/>
            <w:vAlign w:val="center"/>
          </w:tcPr>
          <w:p w14:paraId="56BE1000">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资格审查资料的特殊要求</w:t>
            </w:r>
          </w:p>
        </w:tc>
        <w:tc>
          <w:tcPr>
            <w:tcW w:w="5285" w:type="dxa"/>
            <w:noWrap w:val="0"/>
            <w:vAlign w:val="center"/>
          </w:tcPr>
          <w:p w14:paraId="490AC183">
            <w:pPr>
              <w:pStyle w:val="16"/>
              <w:keepNext w:val="0"/>
              <w:keepLines w:val="0"/>
              <w:suppressLineNumbers w:val="0"/>
              <w:topLinePunct/>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w:t>
            </w:r>
          </w:p>
          <w:p w14:paraId="35208CAA">
            <w:pPr>
              <w:keepNext w:val="0"/>
              <w:keepLines w:val="0"/>
              <w:suppressLineNumbers w:val="0"/>
              <w:shd w:val="clear" w:color="auto" w:fill="auto"/>
              <w:snapToGrid w:val="0"/>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rPr>
              <w:t>□</w:t>
            </w:r>
            <w:r>
              <w:rPr>
                <w:rFonts w:hint="eastAsia" w:ascii="仿宋" w:hAnsi="仿宋" w:eastAsia="仿宋" w:cs="仿宋"/>
                <w:color w:val="auto"/>
                <w:spacing w:val="-1"/>
                <w:kern w:val="2"/>
                <w:sz w:val="24"/>
                <w:szCs w:val="24"/>
                <w:highlight w:val="none"/>
              </w:rPr>
              <w:t>有</w:t>
            </w:r>
          </w:p>
        </w:tc>
      </w:tr>
      <w:tr w14:paraId="7C9481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936" w:type="dxa"/>
            <w:noWrap w:val="0"/>
            <w:vAlign w:val="center"/>
          </w:tcPr>
          <w:p w14:paraId="05044646">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w:t>
            </w:r>
          </w:p>
        </w:tc>
        <w:tc>
          <w:tcPr>
            <w:tcW w:w="2292" w:type="dxa"/>
            <w:noWrap w:val="0"/>
            <w:vAlign w:val="center"/>
          </w:tcPr>
          <w:p w14:paraId="2E894DF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近年财务状况的年份要求</w:t>
            </w:r>
          </w:p>
        </w:tc>
        <w:tc>
          <w:tcPr>
            <w:tcW w:w="5285" w:type="dxa"/>
            <w:noWrap w:val="0"/>
            <w:vAlign w:val="center"/>
          </w:tcPr>
          <w:p w14:paraId="417DD5AD">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年至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年</w:t>
            </w:r>
          </w:p>
        </w:tc>
      </w:tr>
      <w:tr w14:paraId="305E86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936" w:type="dxa"/>
            <w:noWrap w:val="0"/>
            <w:vAlign w:val="center"/>
          </w:tcPr>
          <w:p w14:paraId="11DD98C8">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w:t>
            </w:r>
          </w:p>
        </w:tc>
        <w:tc>
          <w:tcPr>
            <w:tcW w:w="2292" w:type="dxa"/>
            <w:noWrap w:val="0"/>
            <w:vAlign w:val="center"/>
          </w:tcPr>
          <w:p w14:paraId="64563BDE">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近年完成的类似项目情况的时间要求</w:t>
            </w:r>
          </w:p>
        </w:tc>
        <w:tc>
          <w:tcPr>
            <w:tcW w:w="5285" w:type="dxa"/>
            <w:noWrap w:val="0"/>
            <w:vAlign w:val="center"/>
          </w:tcPr>
          <w:p w14:paraId="4E7FEFDD">
            <w:pPr>
              <w:keepNext w:val="0"/>
              <w:keepLines w:val="0"/>
              <w:suppressLineNumbers w:val="0"/>
              <w:shd w:val="clear" w:color="auto" w:fill="auto"/>
              <w:spacing w:before="0" w:beforeAutospacing="0" w:after="0" w:afterAutospacing="0" w:line="440" w:lineRule="exact"/>
              <w:ind w:left="0" w:right="0" w:firstLine="120" w:firstLine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val="en-US" w:eastAsia="zh-CN"/>
              </w:rPr>
              <w:t>/</w:t>
            </w:r>
          </w:p>
        </w:tc>
      </w:tr>
      <w:tr w14:paraId="2DEC6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936" w:type="dxa"/>
            <w:noWrap w:val="0"/>
            <w:vAlign w:val="center"/>
          </w:tcPr>
          <w:p w14:paraId="5F82EBCD">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3.5.5</w:t>
            </w:r>
          </w:p>
        </w:tc>
        <w:tc>
          <w:tcPr>
            <w:tcW w:w="2292" w:type="dxa"/>
            <w:noWrap w:val="0"/>
            <w:vAlign w:val="center"/>
          </w:tcPr>
          <w:p w14:paraId="26810069">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近年发生的诉讼及仲裁情况的时间要求</w:t>
            </w:r>
          </w:p>
        </w:tc>
        <w:tc>
          <w:tcPr>
            <w:tcW w:w="5285" w:type="dxa"/>
            <w:noWrap w:val="0"/>
            <w:vAlign w:val="center"/>
          </w:tcPr>
          <w:p w14:paraId="722345FA">
            <w:pPr>
              <w:keepNext w:val="0"/>
              <w:keepLines w:val="0"/>
              <w:suppressLineNumbers w:val="0"/>
              <w:shd w:val="clear" w:color="auto" w:fill="auto"/>
              <w:snapToGrid w:val="0"/>
              <w:spacing w:before="0" w:beforeAutospacing="0" w:after="0" w:afterAutospacing="0"/>
              <w:ind w:left="0"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日</w:t>
            </w:r>
          </w:p>
        </w:tc>
      </w:tr>
      <w:tr w14:paraId="550EBB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36" w:type="dxa"/>
            <w:noWrap w:val="0"/>
            <w:vAlign w:val="center"/>
          </w:tcPr>
          <w:p w14:paraId="59B3AF60">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p>
        </w:tc>
        <w:tc>
          <w:tcPr>
            <w:tcW w:w="2292" w:type="dxa"/>
            <w:noWrap w:val="0"/>
            <w:vAlign w:val="center"/>
          </w:tcPr>
          <w:p w14:paraId="6857E403">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是否允许递交备选投标方案</w:t>
            </w:r>
          </w:p>
        </w:tc>
        <w:tc>
          <w:tcPr>
            <w:tcW w:w="5285" w:type="dxa"/>
            <w:noWrap w:val="0"/>
            <w:vAlign w:val="center"/>
          </w:tcPr>
          <w:p w14:paraId="6922AA6B">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spacing w:val="-1"/>
                <w:sz w:val="18"/>
                <w:szCs w:val="24"/>
                <w:highlight w:val="none"/>
                <w:bdr w:val="single" w:color="auto" w:sz="4" w:space="0"/>
              </w:rPr>
              <w:t>√</w:t>
            </w:r>
            <w:r>
              <w:rPr>
                <w:rFonts w:hint="eastAsia" w:ascii="仿宋" w:hAnsi="仿宋" w:eastAsia="仿宋" w:cs="仿宋"/>
                <w:color w:val="auto"/>
                <w:kern w:val="2"/>
                <w:sz w:val="24"/>
                <w:szCs w:val="24"/>
                <w:highlight w:val="none"/>
              </w:rPr>
              <w:t>不允许</w:t>
            </w:r>
          </w:p>
          <w:p w14:paraId="7ECC18F7">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□允许</w:t>
            </w:r>
          </w:p>
        </w:tc>
      </w:tr>
      <w:tr w14:paraId="1E7888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936" w:type="dxa"/>
            <w:noWrap w:val="0"/>
            <w:vAlign w:val="center"/>
          </w:tcPr>
          <w:p w14:paraId="5DE348EA">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w:t>
            </w:r>
          </w:p>
        </w:tc>
        <w:tc>
          <w:tcPr>
            <w:tcW w:w="2292" w:type="dxa"/>
            <w:noWrap w:val="0"/>
            <w:vAlign w:val="center"/>
          </w:tcPr>
          <w:p w14:paraId="4654FFB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投标文件所附证书证件要求</w:t>
            </w:r>
          </w:p>
        </w:tc>
        <w:tc>
          <w:tcPr>
            <w:tcW w:w="5285" w:type="dxa"/>
            <w:noWrap w:val="0"/>
            <w:vAlign w:val="center"/>
          </w:tcPr>
          <w:p w14:paraId="541434AA">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证书证件需为清晰扫描件，并采用单位数字证书，按照招标文件要求在相应位置加盖电子印章。</w:t>
            </w:r>
          </w:p>
        </w:tc>
      </w:tr>
      <w:tr w14:paraId="7B83B6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36" w:type="dxa"/>
            <w:noWrap w:val="0"/>
            <w:vAlign w:val="center"/>
          </w:tcPr>
          <w:p w14:paraId="1094B6A6">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w:t>
            </w:r>
          </w:p>
        </w:tc>
        <w:tc>
          <w:tcPr>
            <w:tcW w:w="2292" w:type="dxa"/>
            <w:noWrap w:val="0"/>
            <w:vAlign w:val="center"/>
          </w:tcPr>
          <w:p w14:paraId="219D57AA">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投标文件签字或盖章要求</w:t>
            </w:r>
          </w:p>
        </w:tc>
        <w:tc>
          <w:tcPr>
            <w:tcW w:w="5285" w:type="dxa"/>
            <w:noWrap w:val="0"/>
            <w:vAlign w:val="center"/>
          </w:tcPr>
          <w:p w14:paraId="2CCE7235">
            <w:pPr>
              <w:pStyle w:val="16"/>
              <w:keepNext w:val="0"/>
              <w:keepLines w:val="0"/>
              <w:suppressLineNumbers w:val="0"/>
              <w:shd w:val="clear" w:color="auto" w:fill="auto"/>
              <w:topLinePunct/>
              <w:snapToGrid w:val="0"/>
              <w:spacing w:before="0" w:beforeAutospacing="0" w:after="0" w:afterAutospacing="0"/>
              <w:ind w:left="0" w:right="0"/>
              <w:jc w:val="left"/>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u w:val="single"/>
              </w:rPr>
              <w:t>投标文件全部采用电子文档，投标文件所附证书证件均为扫描件，并采用单位数字证书，按招标文件要求在相应位置加盖电子印章。投标文件中需个人签字或盖章的，应加盖个人电子印章或在线下完成后扫描上传。具体操作详见附件《房屋建筑和市政基础设施工程全流程电子化项目专章》。</w:t>
            </w:r>
          </w:p>
        </w:tc>
      </w:tr>
      <w:tr w14:paraId="43165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36" w:type="dxa"/>
            <w:noWrap w:val="0"/>
            <w:vAlign w:val="center"/>
          </w:tcPr>
          <w:p w14:paraId="30EC05B1">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w:t>
            </w:r>
          </w:p>
        </w:tc>
        <w:tc>
          <w:tcPr>
            <w:tcW w:w="2292" w:type="dxa"/>
            <w:noWrap w:val="0"/>
            <w:vAlign w:val="center"/>
          </w:tcPr>
          <w:p w14:paraId="158BA4A8">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投标文件加密要求</w:t>
            </w:r>
          </w:p>
        </w:tc>
        <w:tc>
          <w:tcPr>
            <w:tcW w:w="5285" w:type="dxa"/>
            <w:noWrap w:val="0"/>
            <w:vAlign w:val="center"/>
          </w:tcPr>
          <w:p w14:paraId="27E86DCF">
            <w:pPr>
              <w:pStyle w:val="16"/>
              <w:keepNext w:val="0"/>
              <w:keepLines w:val="0"/>
              <w:suppressLineNumbers w:val="0"/>
              <w:shd w:val="clear" w:color="auto" w:fill="auto"/>
              <w:topLinePunct/>
              <w:snapToGrid w:val="0"/>
              <w:spacing w:before="0" w:beforeAutospacing="0" w:after="0" w:afterAutospacing="0"/>
              <w:ind w:left="0" w:right="0"/>
              <w:jc w:val="left"/>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网上递交的电子投标文件须进行加密。具体操作详见</w:t>
            </w:r>
            <w:r>
              <w:rPr>
                <w:rFonts w:hint="eastAsia" w:ascii="仿宋" w:hAnsi="仿宋" w:eastAsia="仿宋" w:cs="仿宋"/>
                <w:color w:val="auto"/>
                <w:kern w:val="2"/>
                <w:sz w:val="24"/>
                <w:szCs w:val="20"/>
                <w:highlight w:val="none"/>
              </w:rPr>
              <w:t>《房屋建筑和市政基础设施工程全流程电子化项目专章》</w:t>
            </w:r>
          </w:p>
        </w:tc>
      </w:tr>
      <w:tr w14:paraId="40E425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936" w:type="dxa"/>
            <w:noWrap w:val="0"/>
            <w:vAlign w:val="center"/>
          </w:tcPr>
          <w:p w14:paraId="5471F004">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w:t>
            </w:r>
          </w:p>
        </w:tc>
        <w:tc>
          <w:tcPr>
            <w:tcW w:w="2292" w:type="dxa"/>
            <w:noWrap w:val="0"/>
            <w:vAlign w:val="center"/>
          </w:tcPr>
          <w:p w14:paraId="329F3333">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封套上应载明的信息</w:t>
            </w:r>
          </w:p>
        </w:tc>
        <w:tc>
          <w:tcPr>
            <w:tcW w:w="5285" w:type="dxa"/>
            <w:noWrap w:val="0"/>
            <w:vAlign w:val="center"/>
          </w:tcPr>
          <w:p w14:paraId="4941EDDD">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如有提交投标文件光盘备用，封套上应注明如下信息：</w:t>
            </w:r>
          </w:p>
          <w:p w14:paraId="5D34CEA4">
            <w:pPr>
              <w:pStyle w:val="16"/>
              <w:keepNext w:val="0"/>
              <w:keepLines w:val="0"/>
              <w:suppressLineNumbers w:val="0"/>
              <w:shd w:val="clear" w:color="auto" w:fill="auto"/>
              <w:topLinePunct/>
              <w:spacing w:before="0" w:beforeAutospacing="0" w:after="0" w:afterAutospacing="0" w:line="400" w:lineRule="exact"/>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招标人名称：</w:t>
            </w:r>
          </w:p>
          <w:p w14:paraId="43082A87">
            <w:pPr>
              <w:pStyle w:val="16"/>
              <w:keepNext w:val="0"/>
              <w:keepLines w:val="0"/>
              <w:suppressLineNumbers w:val="0"/>
              <w:shd w:val="clear" w:color="auto" w:fill="auto"/>
              <w:topLinePunct/>
              <w:spacing w:before="0" w:beforeAutospacing="0" w:after="0" w:afterAutospacing="0" w:line="400" w:lineRule="exact"/>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招标人地址：</w:t>
            </w:r>
          </w:p>
          <w:p w14:paraId="4631D289">
            <w:pPr>
              <w:pStyle w:val="16"/>
              <w:keepNext w:val="0"/>
              <w:keepLines w:val="0"/>
              <w:suppressLineNumbers w:val="0"/>
              <w:shd w:val="clear" w:color="auto" w:fill="auto"/>
              <w:topLinePunct/>
              <w:spacing w:before="0" w:beforeAutospacing="0" w:after="0" w:afterAutospacing="0" w:line="400" w:lineRule="exact"/>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u w:val="single"/>
              </w:rPr>
              <w:t xml:space="preserve">          （项目名称）   </w:t>
            </w:r>
            <w:r>
              <w:rPr>
                <w:rFonts w:hint="eastAsia" w:ascii="仿宋" w:hAnsi="仿宋" w:eastAsia="仿宋" w:cs="仿宋"/>
                <w:color w:val="auto"/>
                <w:kern w:val="2"/>
                <w:sz w:val="24"/>
                <w:szCs w:val="24"/>
                <w:highlight w:val="none"/>
              </w:rPr>
              <w:t>投标文件</w:t>
            </w:r>
          </w:p>
          <w:p w14:paraId="629715CD">
            <w:pPr>
              <w:pStyle w:val="16"/>
              <w:keepNext w:val="0"/>
              <w:keepLines w:val="0"/>
              <w:suppressLineNumbers w:val="0"/>
              <w:shd w:val="clear" w:color="auto" w:fill="auto"/>
              <w:topLinePunct/>
              <w:spacing w:before="0" w:beforeAutospacing="0" w:after="0" w:afterAutospacing="0" w:line="400" w:lineRule="exact"/>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招标项目编号：</w:t>
            </w:r>
          </w:p>
          <w:p w14:paraId="4ACD9807">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年</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月</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日</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时前不得开启</w:t>
            </w:r>
          </w:p>
        </w:tc>
      </w:tr>
      <w:tr w14:paraId="0A576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36" w:type="dxa"/>
            <w:noWrap w:val="0"/>
            <w:vAlign w:val="center"/>
          </w:tcPr>
          <w:p w14:paraId="634C42A9">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w:t>
            </w:r>
          </w:p>
        </w:tc>
        <w:tc>
          <w:tcPr>
            <w:tcW w:w="2292" w:type="dxa"/>
            <w:noWrap w:val="0"/>
            <w:vAlign w:val="center"/>
          </w:tcPr>
          <w:p w14:paraId="15D0334C">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tc>
        <w:tc>
          <w:tcPr>
            <w:tcW w:w="5285" w:type="dxa"/>
            <w:noWrap w:val="0"/>
            <w:vAlign w:val="center"/>
          </w:tcPr>
          <w:p w14:paraId="3812D245">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2025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 xml:space="preserve">  时  分 （北京时间）</w:t>
            </w:r>
          </w:p>
        </w:tc>
      </w:tr>
      <w:tr w14:paraId="1409F2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936" w:type="dxa"/>
            <w:noWrap w:val="0"/>
            <w:vAlign w:val="center"/>
          </w:tcPr>
          <w:p w14:paraId="5160AB25">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w:t>
            </w:r>
          </w:p>
        </w:tc>
        <w:tc>
          <w:tcPr>
            <w:tcW w:w="2292" w:type="dxa"/>
            <w:noWrap w:val="0"/>
            <w:vAlign w:val="center"/>
          </w:tcPr>
          <w:p w14:paraId="33CD28FD">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递交投标文件地点</w:t>
            </w:r>
          </w:p>
        </w:tc>
        <w:tc>
          <w:tcPr>
            <w:tcW w:w="5285" w:type="dxa"/>
            <w:noWrap w:val="0"/>
            <w:vAlign w:val="center"/>
          </w:tcPr>
          <w:p w14:paraId="6CF4DD4F">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1.递交方式：网上递交投标文件 </w:t>
            </w:r>
          </w:p>
          <w:p w14:paraId="47DEA05D">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2.地点：</w:t>
            </w:r>
            <w:r>
              <w:rPr>
                <w:rFonts w:hint="eastAsia" w:ascii="仿宋" w:hAnsi="仿宋" w:eastAsia="仿宋" w:cs="仿宋"/>
                <w:color w:val="auto"/>
                <w:sz w:val="24"/>
                <w:szCs w:val="24"/>
                <w:highlight w:val="none"/>
                <w:u w:val="single"/>
                <w:lang w:eastAsia="zh-CN"/>
              </w:rPr>
              <w:t>广州交易集团有限公司（广州公共资源交易中心）</w:t>
            </w:r>
            <w:r>
              <w:rPr>
                <w:rFonts w:hint="eastAsia" w:ascii="仿宋" w:hAnsi="仿宋" w:eastAsia="仿宋" w:cs="仿宋"/>
                <w:color w:val="auto"/>
                <w:sz w:val="24"/>
                <w:szCs w:val="24"/>
                <w:highlight w:val="none"/>
                <w:u w:val="single"/>
              </w:rPr>
              <w:t xml:space="preserve">网站。 </w:t>
            </w:r>
          </w:p>
          <w:p w14:paraId="176BC6EA">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3.上述时间及地点是否有改变， 请密切留意本招标项目的招标答疑纪要的相关信息。</w:t>
            </w:r>
          </w:p>
        </w:tc>
      </w:tr>
      <w:tr w14:paraId="0E623B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36" w:type="dxa"/>
            <w:noWrap w:val="0"/>
            <w:vAlign w:val="center"/>
          </w:tcPr>
          <w:p w14:paraId="098A798D">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w:t>
            </w:r>
          </w:p>
        </w:tc>
        <w:tc>
          <w:tcPr>
            <w:tcW w:w="2292" w:type="dxa"/>
            <w:noWrap w:val="0"/>
            <w:vAlign w:val="center"/>
          </w:tcPr>
          <w:p w14:paraId="4DECB860">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投标文件是否退还</w:t>
            </w:r>
          </w:p>
        </w:tc>
        <w:tc>
          <w:tcPr>
            <w:tcW w:w="5285" w:type="dxa"/>
            <w:noWrap w:val="0"/>
            <w:vAlign w:val="center"/>
          </w:tcPr>
          <w:p w14:paraId="03A1C604">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spacing w:val="-1"/>
                <w:kern w:val="2"/>
                <w:sz w:val="24"/>
                <w:szCs w:val="24"/>
                <w:highlight w:val="none"/>
              </w:rPr>
              <w:t>√</w:t>
            </w:r>
            <w:r>
              <w:rPr>
                <w:rFonts w:hint="eastAsia" w:ascii="仿宋" w:hAnsi="仿宋" w:eastAsia="仿宋" w:cs="仿宋"/>
                <w:color w:val="auto"/>
                <w:kern w:val="2"/>
                <w:sz w:val="24"/>
                <w:szCs w:val="24"/>
                <w:highlight w:val="none"/>
              </w:rPr>
              <w:t>否</w:t>
            </w:r>
          </w:p>
          <w:p w14:paraId="38514B97">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□是，退还时间：</w:t>
            </w:r>
          </w:p>
        </w:tc>
      </w:tr>
      <w:tr w14:paraId="35525A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936" w:type="dxa"/>
            <w:noWrap w:val="0"/>
            <w:vAlign w:val="center"/>
          </w:tcPr>
          <w:p w14:paraId="236AED90">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2292" w:type="dxa"/>
            <w:noWrap w:val="0"/>
            <w:vAlign w:val="center"/>
          </w:tcPr>
          <w:p w14:paraId="066D3504">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开标时间和地点</w:t>
            </w:r>
          </w:p>
        </w:tc>
        <w:tc>
          <w:tcPr>
            <w:tcW w:w="5285" w:type="dxa"/>
            <w:noWrap w:val="0"/>
            <w:vAlign w:val="center"/>
          </w:tcPr>
          <w:p w14:paraId="72F296A0">
            <w:pPr>
              <w:pStyle w:val="15"/>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本电子招投标项目在本章4.2.1项规定的投标截止时间（开标时间），在</w:t>
            </w:r>
            <w:r>
              <w:rPr>
                <w:rFonts w:hint="eastAsia" w:ascii="仿宋" w:hAnsi="仿宋" w:eastAsia="仿宋" w:cs="仿宋"/>
                <w:color w:val="auto"/>
                <w:sz w:val="24"/>
                <w:szCs w:val="24"/>
                <w:highlight w:val="none"/>
                <w:lang w:eastAsia="zh-CN"/>
              </w:rPr>
              <w:t>广州交易集团有限公司（广州公共资源交易中心）</w:t>
            </w:r>
            <w:r>
              <w:rPr>
                <w:rFonts w:hint="eastAsia" w:ascii="仿宋" w:hAnsi="仿宋" w:eastAsia="仿宋" w:cs="仿宋"/>
                <w:color w:val="auto"/>
                <w:sz w:val="24"/>
                <w:szCs w:val="24"/>
                <w:highlight w:val="none"/>
              </w:rPr>
              <w:t>通过电子招标投标交易平台公开开标，并邀请所有投标人的法定代表人或其委托代理人准时参加。</w:t>
            </w:r>
            <w:r>
              <w:rPr>
                <w:rFonts w:hint="eastAsia" w:ascii="仿宋" w:hAnsi="仿宋" w:eastAsia="仿宋" w:cs="仿宋"/>
                <w:color w:val="auto"/>
                <w:sz w:val="24"/>
                <w:szCs w:val="24"/>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27B826B">
            <w:pPr>
              <w:pStyle w:val="59"/>
              <w:keepNext w:val="0"/>
              <w:keepLines w:val="0"/>
              <w:suppressLineNumbers w:val="0"/>
              <w:shd w:val="clear" w:color="auto" w:fill="auto"/>
              <w:spacing w:before="0" w:beforeAutospacing="0" w:after="0" w:afterAutospacing="0"/>
              <w:ind w:left="0" w:right="0"/>
              <w:rPr>
                <w:rFonts w:hint="eastAsia" w:ascii="仿宋" w:hAnsi="仿宋" w:eastAsia="仿宋" w:cs="仿宋"/>
                <w:color w:val="auto"/>
                <w:szCs w:val="20"/>
                <w:highlight w:val="none"/>
              </w:rPr>
            </w:pPr>
            <w:r>
              <w:rPr>
                <w:rFonts w:hint="eastAsia" w:ascii="仿宋" w:hAnsi="仿宋" w:eastAsia="仿宋" w:cs="仿宋"/>
                <w:b/>
                <w:color w:val="auto"/>
                <w:szCs w:val="21"/>
                <w:highlight w:val="none"/>
              </w:rPr>
              <w:t>具体时间、地点可以到</w:t>
            </w:r>
            <w:r>
              <w:rPr>
                <w:rFonts w:hint="eastAsia" w:ascii="仿宋" w:hAnsi="仿宋" w:eastAsia="仿宋" w:cs="仿宋"/>
                <w:b/>
                <w:color w:val="auto"/>
                <w:szCs w:val="21"/>
                <w:highlight w:val="none"/>
                <w:lang w:eastAsia="zh-CN"/>
              </w:rPr>
              <w:t>广州交易集团有限公司（广州公共资源交易中心）</w:t>
            </w:r>
            <w:r>
              <w:rPr>
                <w:rFonts w:hint="eastAsia" w:ascii="仿宋" w:hAnsi="仿宋" w:eastAsia="仿宋" w:cs="仿宋"/>
                <w:b/>
                <w:color w:val="auto"/>
                <w:szCs w:val="21"/>
                <w:highlight w:val="none"/>
              </w:rPr>
              <w:t>网站的项目查询(日程安排、答疑纪要)中输入本项目编号或项目名称进行查询。</w:t>
            </w:r>
          </w:p>
        </w:tc>
      </w:tr>
      <w:tr w14:paraId="2FFD3D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97" w:hRule="atLeast"/>
        </w:trPr>
        <w:tc>
          <w:tcPr>
            <w:tcW w:w="936" w:type="dxa"/>
            <w:noWrap w:val="0"/>
            <w:vAlign w:val="center"/>
          </w:tcPr>
          <w:p w14:paraId="0BF3F015">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p>
        </w:tc>
        <w:tc>
          <w:tcPr>
            <w:tcW w:w="2292" w:type="dxa"/>
            <w:noWrap w:val="0"/>
            <w:vAlign w:val="center"/>
          </w:tcPr>
          <w:p w14:paraId="37AB7C00">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电子招投标开标程序</w:t>
            </w:r>
          </w:p>
        </w:tc>
        <w:tc>
          <w:tcPr>
            <w:tcW w:w="5285" w:type="dxa"/>
            <w:noWrap w:val="0"/>
            <w:vAlign w:val="center"/>
          </w:tcPr>
          <w:p w14:paraId="3B358F3C">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5.2.1主持人按下列程序进行开标：</w:t>
            </w:r>
          </w:p>
          <w:p w14:paraId="2B6EF680">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（1）宣布开标纪律；</w:t>
            </w:r>
          </w:p>
          <w:p w14:paraId="075501F0">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（2）投标人通过电子招标投标交易平台对已递交的电子投标文件进行解密；</w:t>
            </w:r>
          </w:p>
          <w:p w14:paraId="7EBCEA29">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（3）投标人完成解密后，再由招标人或招标代理机构进行解密；</w:t>
            </w:r>
          </w:p>
          <w:p w14:paraId="740A374C">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（4）解密完成后，公布招标项目名称、投标人名称、投标报价、监理服务期限及其他内容，并记录在案；</w:t>
            </w:r>
          </w:p>
          <w:p w14:paraId="2241F78D">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（5）投标人代表、招标人代表、监标人、记录人等有关人员在开标记录上签字确认；若有关人员不签字的，不影响开标程序；</w:t>
            </w:r>
          </w:p>
          <w:p w14:paraId="5C070613">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（6）开标结束。</w:t>
            </w:r>
          </w:p>
          <w:p w14:paraId="5A3BB47B">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5.2.2投标截止时间前未完成投标文件传输的或因投标人之外的原因（如：网络瘫痪、服务器损坏、交易系统故障短期无法恢复等因素）造成投标文件未解密的，视为投标人撤回投标文件。因投标人原因造成投标文件未解密的或未在投标截止时间后一小时内解密的且未提交备用光盘（或U盘）的，视为撤销其投标文件。</w:t>
            </w:r>
          </w:p>
          <w:p w14:paraId="2D77910F">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5.2.3开标时，出现下列情形之一的，不参与资格审查和评标：</w:t>
            </w:r>
          </w:p>
          <w:p w14:paraId="077E0C2E">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（1）未成功递交投标文件的。</w:t>
            </w:r>
          </w:p>
          <w:p w14:paraId="67506CA9">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（2）因投标人原因造成投标文件未解密的。</w:t>
            </w:r>
          </w:p>
          <w:p w14:paraId="6CB3C3F0">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5.2.4开标时，两个（含两个）以上的投标人加密打包投标文件电脑机器特征码一致的，不参与下一程序，并由评标委员会否决其投标。</w:t>
            </w:r>
          </w:p>
        </w:tc>
      </w:tr>
      <w:tr w14:paraId="145FD9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936" w:type="dxa"/>
            <w:noWrap w:val="0"/>
            <w:vAlign w:val="center"/>
          </w:tcPr>
          <w:p w14:paraId="6F5CFBD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w:t>
            </w:r>
          </w:p>
        </w:tc>
        <w:tc>
          <w:tcPr>
            <w:tcW w:w="2292" w:type="dxa"/>
            <w:noWrap w:val="0"/>
            <w:vAlign w:val="center"/>
          </w:tcPr>
          <w:p w14:paraId="18025408">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评标委员会的组建</w:t>
            </w:r>
          </w:p>
        </w:tc>
        <w:tc>
          <w:tcPr>
            <w:tcW w:w="5285" w:type="dxa"/>
            <w:noWrap w:val="0"/>
            <w:vAlign w:val="center"/>
          </w:tcPr>
          <w:p w14:paraId="516E48EF">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评标委员会由招标人依法组建。</w:t>
            </w:r>
          </w:p>
        </w:tc>
      </w:tr>
      <w:tr w14:paraId="330B58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936" w:type="dxa"/>
            <w:noWrap w:val="0"/>
            <w:vAlign w:val="center"/>
          </w:tcPr>
          <w:p w14:paraId="7B65EB07">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6.3.2</w:t>
            </w:r>
          </w:p>
        </w:tc>
        <w:tc>
          <w:tcPr>
            <w:tcW w:w="2292" w:type="dxa"/>
            <w:noWrap w:val="0"/>
            <w:vAlign w:val="center"/>
          </w:tcPr>
          <w:p w14:paraId="7B2B873D">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评标委员会推荐中标候选人的人数</w:t>
            </w:r>
          </w:p>
        </w:tc>
        <w:tc>
          <w:tcPr>
            <w:tcW w:w="5285" w:type="dxa"/>
            <w:noWrap w:val="0"/>
            <w:vAlign w:val="center"/>
          </w:tcPr>
          <w:p w14:paraId="1242B8AF">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所有通过初步评审（形式评审、资格评审、响应性评审）的投标人全部被推荐为合格的中标候选人，进入定标阶段【不排序，按其统一社会信用代码后4位（除校验码外）大小进行排位】。合格的中标候选人少于3家的，应当重新招标。</w:t>
            </w:r>
          </w:p>
        </w:tc>
      </w:tr>
      <w:tr w14:paraId="3656AE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936" w:type="dxa"/>
            <w:noWrap w:val="0"/>
            <w:vAlign w:val="center"/>
          </w:tcPr>
          <w:p w14:paraId="379CEF21">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p>
        </w:tc>
        <w:tc>
          <w:tcPr>
            <w:tcW w:w="2292" w:type="dxa"/>
            <w:noWrap w:val="0"/>
            <w:vAlign w:val="center"/>
          </w:tcPr>
          <w:p w14:paraId="7A44CBE1">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中标候选人公示媒介及期限</w:t>
            </w:r>
          </w:p>
        </w:tc>
        <w:tc>
          <w:tcPr>
            <w:tcW w:w="5285" w:type="dxa"/>
            <w:noWrap w:val="0"/>
            <w:vAlign w:val="center"/>
          </w:tcPr>
          <w:p w14:paraId="680D683F">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公示媒介：</w:t>
            </w:r>
            <w:r>
              <w:rPr>
                <w:rFonts w:hint="eastAsia" w:ascii="仿宋" w:hAnsi="仿宋" w:eastAsia="仿宋" w:cs="仿宋"/>
                <w:color w:val="auto"/>
                <w:sz w:val="24"/>
                <w:szCs w:val="24"/>
                <w:highlight w:val="none"/>
                <w:u w:val="single"/>
              </w:rPr>
              <w:t>中国招标投标公共服务平台、广东省招标投标监管网、广州公共资源交易网</w:t>
            </w:r>
          </w:p>
          <w:p w14:paraId="0D358AFD">
            <w:pPr>
              <w:keepNext w:val="0"/>
              <w:keepLines w:val="0"/>
              <w:suppressLineNumbers w:val="0"/>
              <w:shd w:val="clear" w:color="auto" w:fill="auto"/>
              <w:snapToGrid w:val="0"/>
              <w:spacing w:before="0" w:beforeAutospacing="0" w:after="0" w:afterAutospacing="0"/>
              <w:ind w:left="108" w:right="10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公示期限：</w:t>
            </w: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rPr>
              <w:t>日</w:t>
            </w:r>
          </w:p>
        </w:tc>
      </w:tr>
      <w:tr w14:paraId="4B8FD2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936" w:type="dxa"/>
            <w:noWrap w:val="0"/>
            <w:vAlign w:val="center"/>
          </w:tcPr>
          <w:p w14:paraId="2023FEA5">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w:t>
            </w:r>
          </w:p>
        </w:tc>
        <w:tc>
          <w:tcPr>
            <w:tcW w:w="2292" w:type="dxa"/>
            <w:noWrap w:val="0"/>
            <w:vAlign w:val="center"/>
          </w:tcPr>
          <w:p w14:paraId="06A1B077">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定标</w:t>
            </w:r>
          </w:p>
        </w:tc>
        <w:tc>
          <w:tcPr>
            <w:tcW w:w="5285" w:type="dxa"/>
            <w:noWrap w:val="0"/>
            <w:vAlign w:val="center"/>
          </w:tcPr>
          <w:p w14:paraId="515EAAD7">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（1）定标工作由招标人依法组建的定标委员会负责。</w:t>
            </w:r>
          </w:p>
          <w:p w14:paraId="73622E02">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（2）定标委员会按照第三章评标办法（“评定分离”定标办法）规定的定标方法、标准和程序，在评标委员会向招标人推荐的合格的中标候选人中，采用直接票决定标法“记名投票+撰写评语”方式确定中标人。</w:t>
            </w:r>
          </w:p>
          <w:p w14:paraId="55669014">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（3）招标人应当在定标工作完成后的3日内公示中标结果。公示内容包括：定标时间、所有合格的中标候选人的评审结果或票数及理由、中标人等内容。</w:t>
            </w:r>
          </w:p>
          <w:p w14:paraId="5B6F7224">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（4）定标后出现中标人不符合法定情形的，招标人可从其他合格的中标候选人中采用原定标办法，由原定标委员会确定中标人，也可以重新招标。</w:t>
            </w:r>
          </w:p>
        </w:tc>
      </w:tr>
      <w:tr w14:paraId="59B928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936" w:type="dxa"/>
            <w:noWrap w:val="0"/>
            <w:vAlign w:val="center"/>
          </w:tcPr>
          <w:p w14:paraId="3D7B6103">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7.6.1</w:t>
            </w:r>
          </w:p>
        </w:tc>
        <w:tc>
          <w:tcPr>
            <w:tcW w:w="2292" w:type="dxa"/>
            <w:noWrap w:val="0"/>
            <w:vAlign w:val="center"/>
          </w:tcPr>
          <w:p w14:paraId="065D49A7">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5285" w:type="dxa"/>
            <w:noWrap w:val="0"/>
            <w:vAlign w:val="center"/>
          </w:tcPr>
          <w:p w14:paraId="47F4AF0D">
            <w:pPr>
              <w:pStyle w:val="16"/>
              <w:keepNext w:val="0"/>
              <w:keepLines w:val="0"/>
              <w:suppressLineNumbers w:val="0"/>
              <w:shd w:val="clear" w:color="auto" w:fill="auto"/>
              <w:topLinePunct/>
              <w:spacing w:before="0" w:beforeAutospacing="0" w:after="0" w:afterAutospacing="0" w:line="400" w:lineRule="exact"/>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是否要求中标人提交履约保证金：</w:t>
            </w:r>
          </w:p>
          <w:p w14:paraId="0E7432FF">
            <w:pPr>
              <w:pStyle w:val="16"/>
              <w:keepNext w:val="0"/>
              <w:keepLines w:val="0"/>
              <w:suppressLineNumbers w:val="0"/>
              <w:shd w:val="clear" w:color="auto" w:fill="auto"/>
              <w:topLinePunct/>
              <w:spacing w:before="0" w:beforeAutospacing="0" w:after="0" w:afterAutospacing="0" w:line="400" w:lineRule="exact"/>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sym w:font="Wingdings 2" w:char="0052"/>
            </w:r>
            <w:r>
              <w:rPr>
                <w:rFonts w:hint="eastAsia" w:ascii="仿宋" w:hAnsi="仿宋" w:eastAsia="仿宋" w:cs="仿宋"/>
                <w:color w:val="auto"/>
                <w:kern w:val="2"/>
                <w:sz w:val="24"/>
                <w:szCs w:val="24"/>
                <w:highlight w:val="none"/>
              </w:rPr>
              <w:t>要求，</w:t>
            </w:r>
          </w:p>
          <w:p w14:paraId="7101EDFD">
            <w:pPr>
              <w:pStyle w:val="16"/>
              <w:keepNext w:val="0"/>
              <w:keepLines w:val="0"/>
              <w:suppressLineNumbers w:val="0"/>
              <w:shd w:val="clear" w:color="auto" w:fill="auto"/>
              <w:topLinePunct/>
              <w:spacing w:before="0" w:beforeAutospacing="0" w:after="0" w:afterAutospacing="0" w:line="400" w:lineRule="exact"/>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履约保证金的形式：</w:t>
            </w:r>
            <w:r>
              <w:rPr>
                <w:rFonts w:hint="eastAsia" w:ascii="仿宋" w:hAnsi="仿宋" w:eastAsia="仿宋" w:cs="仿宋"/>
                <w:color w:val="auto"/>
                <w:kern w:val="2"/>
                <w:sz w:val="24"/>
                <w:szCs w:val="24"/>
                <w:highlight w:val="none"/>
                <w:u w:val="single"/>
              </w:rPr>
              <w:t xml:space="preserve">国内商业银行提供的不可撤销的无条件银行保函 </w:t>
            </w:r>
          </w:p>
          <w:p w14:paraId="1D6EE091">
            <w:pPr>
              <w:pStyle w:val="16"/>
              <w:keepNext w:val="0"/>
              <w:keepLines w:val="0"/>
              <w:suppressLineNumbers w:val="0"/>
              <w:shd w:val="clear" w:color="auto" w:fill="auto"/>
              <w:topLinePunct/>
              <w:spacing w:before="0" w:beforeAutospacing="0" w:after="0" w:afterAutospacing="0" w:line="400" w:lineRule="exact"/>
              <w:ind w:left="0" w:right="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履约保证金的金额：</w:t>
            </w:r>
            <w:r>
              <w:rPr>
                <w:rFonts w:hint="eastAsia" w:ascii="仿宋" w:hAnsi="仿宋" w:eastAsia="仿宋" w:cs="仿宋"/>
                <w:color w:val="auto"/>
                <w:kern w:val="2"/>
                <w:sz w:val="24"/>
                <w:szCs w:val="24"/>
                <w:highlight w:val="none"/>
                <w:u w:val="single"/>
              </w:rPr>
              <w:t>合同签约酬金的10%</w:t>
            </w:r>
          </w:p>
          <w:p w14:paraId="03424ED9">
            <w:pPr>
              <w:pStyle w:val="16"/>
              <w:keepNext w:val="0"/>
              <w:keepLines w:val="0"/>
              <w:suppressLineNumbers w:val="0"/>
              <w:shd w:val="clear" w:color="auto" w:fill="auto"/>
              <w:topLinePunct/>
              <w:spacing w:before="0" w:beforeAutospacing="0" w:after="0" w:afterAutospacing="0" w:line="400" w:lineRule="exact"/>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3.有效期：自提供担保之日起至工程保修期结束；若到期需续期，否则建设单位有权停止支付费用并要求赔偿。</w:t>
            </w:r>
          </w:p>
          <w:p w14:paraId="0BE126C8">
            <w:pPr>
              <w:pStyle w:val="16"/>
              <w:keepNext w:val="0"/>
              <w:keepLines w:val="0"/>
              <w:suppressLineNumbers w:val="0"/>
              <w:shd w:val="clear" w:color="auto" w:fill="auto"/>
              <w:topLinePunct/>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4.退还：工程保修期结束后，凭申请退还保函。</w:t>
            </w:r>
            <w:r>
              <w:rPr>
                <w:rFonts w:hint="eastAsia" w:ascii="仿宋" w:hAnsi="仿宋" w:eastAsia="仿宋" w:cs="仿宋"/>
                <w:color w:val="auto"/>
                <w:sz w:val="24"/>
                <w:szCs w:val="24"/>
                <w:highlight w:val="none"/>
              </w:rPr>
              <w:t xml:space="preserve"> </w:t>
            </w:r>
          </w:p>
          <w:p w14:paraId="59B2728F">
            <w:pPr>
              <w:pStyle w:val="16"/>
              <w:keepNext w:val="0"/>
              <w:keepLines w:val="0"/>
              <w:suppressLineNumbers w:val="0"/>
              <w:shd w:val="clear" w:color="auto" w:fill="auto"/>
              <w:topLinePunct/>
              <w:snapToGrid w:val="0"/>
              <w:spacing w:before="0" w:beforeAutospacing="0" w:after="0" w:afterAutospacing="0"/>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rPr>
              <w:t>不要求</w:t>
            </w:r>
          </w:p>
        </w:tc>
      </w:tr>
      <w:tr w14:paraId="35F6E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936" w:type="dxa"/>
            <w:noWrap w:val="0"/>
            <w:vAlign w:val="center"/>
          </w:tcPr>
          <w:p w14:paraId="47108043">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292" w:type="dxa"/>
            <w:noWrap w:val="0"/>
            <w:vAlign w:val="center"/>
          </w:tcPr>
          <w:p w14:paraId="10504E9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是否采用电子招标投标</w:t>
            </w:r>
          </w:p>
        </w:tc>
        <w:tc>
          <w:tcPr>
            <w:tcW w:w="5285" w:type="dxa"/>
            <w:noWrap w:val="0"/>
            <w:vAlign w:val="center"/>
          </w:tcPr>
          <w:p w14:paraId="5BD6C339">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p w14:paraId="505090FE">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☑是，具体要求：</w:t>
            </w:r>
          </w:p>
          <w:p w14:paraId="161BC440">
            <w:pPr>
              <w:keepNext w:val="0"/>
              <w:keepLines w:val="0"/>
              <w:suppressLineNumbers w:val="0"/>
              <w:shd w:val="clear" w:color="auto" w:fill="auto"/>
              <w:spacing w:before="0" w:beforeAutospacing="0" w:after="0" w:afterAutospacing="0" w:line="276"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1.具体操作详见</w:t>
            </w:r>
            <w:r>
              <w:rPr>
                <w:rFonts w:hint="eastAsia" w:ascii="仿宋" w:hAnsi="仿宋" w:eastAsia="仿宋" w:cs="仿宋"/>
                <w:color w:val="auto"/>
                <w:sz w:val="24"/>
                <w:szCs w:val="24"/>
                <w:highlight w:val="none"/>
                <w:lang w:eastAsia="zh-CN"/>
              </w:rPr>
              <w:t>广州交易集团有限公司（广州公共资源交易中心）</w:t>
            </w:r>
            <w:r>
              <w:rPr>
                <w:rFonts w:hint="eastAsia" w:ascii="仿宋" w:hAnsi="仿宋" w:eastAsia="仿宋" w:cs="仿宋"/>
                <w:color w:val="auto"/>
                <w:sz w:val="24"/>
                <w:szCs w:val="24"/>
                <w:highlight w:val="none"/>
              </w:rPr>
              <w:t>网站发布的《房屋建筑和市政基础设施工程全流程电子化项目专章》。</w:t>
            </w:r>
          </w:p>
          <w:p w14:paraId="7E3D118F">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2.提交投标文件光盘备用</w:t>
            </w:r>
          </w:p>
          <w:p w14:paraId="6284DED4">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097F4F62">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3.补救方案</w:t>
            </w:r>
          </w:p>
          <w:p w14:paraId="39F57C7D">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（1）投标文件解密失败的补救方案：</w:t>
            </w:r>
          </w:p>
          <w:p w14:paraId="48D04806">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DC992A7">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（2）评标时突发情况的补救方案</w:t>
            </w:r>
          </w:p>
          <w:p w14:paraId="571ED0EF">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若遇不可抗力发生（如：网络瘫痪、服务器损坏、交易系统故障短期无法恢复等因素），由评标委员会开启现场递交的全部投标文件光盘，并按光盘内容进行评审。</w:t>
            </w:r>
          </w:p>
          <w:p w14:paraId="6B1EBBB1">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（3）除发生上述情况外，开标评标均以投标人通过交易平台网上递交的电子投标文件为准。</w:t>
            </w:r>
          </w:p>
        </w:tc>
      </w:tr>
      <w:tr w14:paraId="3E2C3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36" w:type="dxa"/>
            <w:noWrap w:val="0"/>
            <w:vAlign w:val="center"/>
          </w:tcPr>
          <w:p w14:paraId="0AA7CB71">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292" w:type="dxa"/>
            <w:noWrap w:val="0"/>
            <w:vAlign w:val="center"/>
          </w:tcPr>
          <w:p w14:paraId="0B9A9DB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c>
          <w:tcPr>
            <w:tcW w:w="5285" w:type="dxa"/>
            <w:noWrap w:val="0"/>
            <w:vAlign w:val="center"/>
          </w:tcPr>
          <w:p w14:paraId="6175F595">
            <w:pPr>
              <w:keepNext w:val="0"/>
              <w:keepLines w:val="0"/>
              <w:suppressLineNumbers w:val="0"/>
              <w:shd w:val="clear" w:color="auto" w:fill="auto"/>
              <w:snapToGrid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1A7ED1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36" w:type="dxa"/>
            <w:noWrap w:val="0"/>
            <w:vAlign w:val="center"/>
          </w:tcPr>
          <w:p w14:paraId="201250D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p>
        </w:tc>
        <w:tc>
          <w:tcPr>
            <w:tcW w:w="2292" w:type="dxa"/>
            <w:noWrap w:val="0"/>
            <w:vAlign w:val="center"/>
          </w:tcPr>
          <w:p w14:paraId="4FE7B9CC">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特别提示</w:t>
            </w:r>
          </w:p>
        </w:tc>
        <w:tc>
          <w:tcPr>
            <w:tcW w:w="5285" w:type="dxa"/>
            <w:noWrap w:val="0"/>
            <w:vAlign w:val="center"/>
          </w:tcPr>
          <w:p w14:paraId="11F3A268">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投标人在本项目招标人的工程项目中存在下列行为的，将被拒绝一年内参与我单位后续工程投标。</w:t>
            </w:r>
          </w:p>
          <w:p w14:paraId="566496E7">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（1）将中标工程转包或者违法分包的；</w:t>
            </w:r>
          </w:p>
          <w:p w14:paraId="5631BBFD">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（2）在中标工程中不执行质量、安全生产相关规定的，造成质量或安全事故的；</w:t>
            </w:r>
          </w:p>
          <w:p w14:paraId="1AA9C4EA">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（3）出让投标资格的；</w:t>
            </w:r>
          </w:p>
          <w:p w14:paraId="3318CD8F">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（4）存在围标或串标情形的；</w:t>
            </w:r>
          </w:p>
          <w:p w14:paraId="6D573202">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）在投标文件中提供虚假材料的；</w:t>
            </w:r>
          </w:p>
          <w:p w14:paraId="087B8925">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）存在少放、不放业绩、奖项等客观评审资料，减少自身竞争力情形的；</w:t>
            </w:r>
          </w:p>
          <w:p w14:paraId="40CB2ABD">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）存在行贿情形的；</w:t>
            </w:r>
          </w:p>
          <w:p w14:paraId="1F9A0313">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）拖欠农民工工资的；</w:t>
            </w:r>
          </w:p>
          <w:p w14:paraId="3C32003D">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）为招标人提供监理服务过程中存在因过错行为被生效法律文书认定承担违约或侵权责任的；</w:t>
            </w:r>
          </w:p>
          <w:p w14:paraId="08FD947A">
            <w:pPr>
              <w:keepNext w:val="0"/>
              <w:keepLines w:val="0"/>
              <w:suppressLineNumbers w:val="0"/>
              <w:shd w:val="clear" w:color="auto" w:fill="auto"/>
              <w:spacing w:before="0" w:beforeAutospacing="0" w:after="0" w:afterAutospacing="0" w:line="276" w:lineRule="auto"/>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）违反监理合同约定自行调换或未按照招标人要求及时更换项目总监的；</w:t>
            </w:r>
          </w:p>
        </w:tc>
      </w:tr>
      <w:tr w14:paraId="0A462C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36" w:type="dxa"/>
            <w:noWrap w:val="0"/>
            <w:vAlign w:val="center"/>
          </w:tcPr>
          <w:p w14:paraId="0230B92A">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p>
        </w:tc>
        <w:tc>
          <w:tcPr>
            <w:tcW w:w="2292" w:type="dxa"/>
            <w:noWrap w:val="0"/>
            <w:vAlign w:val="center"/>
          </w:tcPr>
          <w:p w14:paraId="55EFC1E6">
            <w:pPr>
              <w:keepNext w:val="0"/>
              <w:keepLines w:val="0"/>
              <w:widowControl/>
              <w:suppressLineNumbers w:val="0"/>
              <w:shd w:val="clear" w:color="auto" w:fill="auto"/>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招标失败情形</w:t>
            </w:r>
          </w:p>
        </w:tc>
        <w:tc>
          <w:tcPr>
            <w:tcW w:w="5285" w:type="dxa"/>
            <w:noWrap w:val="0"/>
            <w:vAlign w:val="center"/>
          </w:tcPr>
          <w:p w14:paraId="4F432DC7">
            <w:pPr>
              <w:keepNext w:val="0"/>
              <w:keepLines w:val="0"/>
              <w:suppressLineNumbers w:val="0"/>
              <w:shd w:val="clear" w:color="auto" w:fill="auto"/>
              <w:spacing w:before="0" w:beforeAutospacing="0" w:after="0" w:afterAutospacing="0" w:line="276" w:lineRule="auto"/>
              <w:ind w:left="1"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本项目采用资格后审方式，当满足资格审查合格条件或通过初步评审的投标人不足3名时为招标失败。招标人分析招标失败原因，修正招标方案，报有关管理部门核准后，重新组织招标。</w:t>
            </w:r>
          </w:p>
        </w:tc>
      </w:tr>
      <w:tr w14:paraId="624995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36" w:type="dxa"/>
            <w:noWrap w:val="0"/>
            <w:vAlign w:val="center"/>
          </w:tcPr>
          <w:p w14:paraId="51594992">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u w:val="single"/>
              </w:rPr>
              <w:t>10.</w:t>
            </w:r>
            <w:r>
              <w:rPr>
                <w:rFonts w:hint="eastAsia" w:ascii="仿宋" w:hAnsi="仿宋" w:eastAsia="仿宋" w:cs="仿宋"/>
                <w:color w:val="auto"/>
                <w:sz w:val="24"/>
                <w:szCs w:val="24"/>
                <w:highlight w:val="none"/>
                <w:u w:val="single"/>
                <w:lang w:val="en-US" w:eastAsia="zh-CN"/>
              </w:rPr>
              <w:t>3</w:t>
            </w:r>
          </w:p>
        </w:tc>
        <w:tc>
          <w:tcPr>
            <w:tcW w:w="2292" w:type="dxa"/>
            <w:noWrap w:val="0"/>
            <w:vAlign w:val="center"/>
          </w:tcPr>
          <w:p w14:paraId="2A2E1A76">
            <w:pPr>
              <w:keepNext w:val="0"/>
              <w:keepLines w:val="0"/>
              <w:widowControl/>
              <w:suppressLineNumbers w:val="0"/>
              <w:shd w:val="clear" w:color="auto" w:fill="auto"/>
              <w:adjustRightInd w:val="0"/>
              <w:spacing w:before="0" w:beforeAutospacing="0" w:after="0" w:afterAutospacing="0"/>
              <w:ind w:left="0" w:right="0"/>
              <w:jc w:val="cente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中标候选人公示要求</w:t>
            </w:r>
          </w:p>
        </w:tc>
        <w:tc>
          <w:tcPr>
            <w:tcW w:w="5285" w:type="dxa"/>
            <w:noWrap w:val="0"/>
            <w:vAlign w:val="center"/>
          </w:tcPr>
          <w:p w14:paraId="0A2FF384">
            <w:pPr>
              <w:keepNext w:val="0"/>
              <w:keepLines w:val="0"/>
              <w:suppressLineNumbers w:val="0"/>
              <w:shd w:val="clear" w:color="auto" w:fill="auto"/>
              <w:spacing w:before="0" w:beforeAutospacing="0" w:after="0" w:afterAutospacing="0"/>
              <w:ind w:left="1" w:right="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在产生中标候选人后，招标人将中标候选人的投标文件初步评审部分的电子版（涉及商业秘密的内容除外）在广州交易集团有限公司（广州公共资源交易中心）网站公开。招标人或招标代理在公示前应对中标候选人提交的电子文件内容进行核对，确定电子文件内容是否与中标候选人提交的电子投标文件内容一致。若电子文件内容与中标候选人提交的电子投标文件内容不一致或不完整的，中标候选人应补充或修改电子文件后公开。</w:t>
            </w:r>
          </w:p>
        </w:tc>
      </w:tr>
      <w:tr w14:paraId="01F491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36" w:type="dxa"/>
            <w:noWrap w:val="0"/>
            <w:vAlign w:val="center"/>
          </w:tcPr>
          <w:p w14:paraId="02FE7B5F">
            <w:pPr>
              <w:keepNext w:val="0"/>
              <w:keepLines w:val="0"/>
              <w:suppressLineNumbers w:val="0"/>
              <w:shd w:val="clear" w:color="auto" w:fill="auto"/>
              <w:snapToGrid w:val="0"/>
              <w:spacing w:before="0" w:beforeAutospacing="0" w:after="0" w:afterAutospacing="0"/>
              <w:ind w:left="0" w:right="0"/>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10.4</w:t>
            </w:r>
          </w:p>
        </w:tc>
        <w:tc>
          <w:tcPr>
            <w:tcW w:w="2292" w:type="dxa"/>
            <w:noWrap w:val="0"/>
            <w:vAlign w:val="center"/>
          </w:tcPr>
          <w:p w14:paraId="1ED014A3">
            <w:pPr>
              <w:keepNext w:val="0"/>
              <w:keepLines w:val="0"/>
              <w:widowControl/>
              <w:suppressLineNumbers w:val="0"/>
              <w:shd w:val="clear" w:color="auto" w:fill="auto"/>
              <w:adjustRightInd w:val="0"/>
              <w:spacing w:before="0" w:beforeAutospacing="0" w:after="0" w:afterAutospacing="0"/>
              <w:ind w:left="0" w:right="0"/>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有关费用</w:t>
            </w:r>
          </w:p>
        </w:tc>
        <w:tc>
          <w:tcPr>
            <w:tcW w:w="5285" w:type="dxa"/>
            <w:noWrap w:val="0"/>
            <w:vAlign w:val="center"/>
          </w:tcPr>
          <w:p w14:paraId="5DE43338">
            <w:pPr>
              <w:keepNext w:val="0"/>
              <w:keepLines w:val="0"/>
              <w:suppressLineNumbers w:val="0"/>
              <w:shd w:val="clear" w:color="auto" w:fill="auto"/>
              <w:spacing w:before="0" w:beforeAutospacing="0" w:after="0" w:afterAutospacing="0"/>
              <w:ind w:left="1" w:right="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中标人代缴</w:t>
            </w:r>
            <w:r>
              <w:rPr>
                <w:rFonts w:hint="eastAsia" w:ascii="仿宋" w:hAnsi="仿宋" w:eastAsia="仿宋" w:cs="仿宋"/>
                <w:color w:val="auto"/>
                <w:sz w:val="24"/>
                <w:szCs w:val="24"/>
                <w:highlight w:val="none"/>
                <w:u w:val="single"/>
                <w:lang w:eastAsia="zh-CN"/>
              </w:rPr>
              <w:t>广州交易集团有限公司（广州公共资源交易中心）</w:t>
            </w:r>
            <w:r>
              <w:rPr>
                <w:rFonts w:hint="eastAsia" w:ascii="仿宋" w:hAnsi="仿宋" w:eastAsia="仿宋" w:cs="仿宋"/>
                <w:color w:val="auto"/>
                <w:sz w:val="24"/>
                <w:szCs w:val="24"/>
                <w:highlight w:val="none"/>
                <w:u w:val="single"/>
              </w:rPr>
              <w:t>交易服务费，其费用包含在中标人报价中，由</w:t>
            </w:r>
            <w:r>
              <w:rPr>
                <w:rFonts w:hint="eastAsia" w:ascii="仿宋" w:hAnsi="仿宋" w:eastAsia="仿宋" w:cs="仿宋"/>
                <w:color w:val="auto"/>
                <w:sz w:val="24"/>
                <w:szCs w:val="24"/>
                <w:highlight w:val="none"/>
                <w:u w:val="single"/>
                <w:lang w:eastAsia="zh-CN"/>
              </w:rPr>
              <w:t>广州交易集团有限公司（广州公共资源交易中心）</w:t>
            </w:r>
            <w:r>
              <w:rPr>
                <w:rFonts w:hint="eastAsia" w:ascii="仿宋" w:hAnsi="仿宋" w:eastAsia="仿宋" w:cs="仿宋"/>
                <w:color w:val="auto"/>
                <w:sz w:val="24"/>
                <w:szCs w:val="24"/>
                <w:highlight w:val="none"/>
                <w:u w:val="single"/>
              </w:rPr>
              <w:t>向中标人开具发票，招标人不再另行支付。</w:t>
            </w:r>
          </w:p>
          <w:p w14:paraId="07F7F243">
            <w:pPr>
              <w:keepNext w:val="0"/>
              <w:keepLines w:val="0"/>
              <w:suppressLineNumbers w:val="0"/>
              <w:shd w:val="clear" w:color="auto" w:fill="auto"/>
              <w:spacing w:before="0" w:beforeAutospacing="0" w:after="0" w:afterAutospacing="0"/>
              <w:ind w:left="1" w:right="0"/>
              <w:jc w:val="left"/>
              <w:rPr>
                <w:rFonts w:hint="eastAsia" w:ascii="仿宋" w:hAnsi="仿宋" w:eastAsia="仿宋" w:cs="仿宋"/>
                <w:color w:val="auto"/>
              </w:rPr>
            </w:pPr>
            <w:r>
              <w:rPr>
                <w:rFonts w:hint="eastAsia" w:ascii="仿宋" w:hAnsi="仿宋" w:eastAsia="仿宋" w:cs="仿宋"/>
                <w:color w:val="auto"/>
                <w:sz w:val="24"/>
                <w:szCs w:val="24"/>
                <w:highlight w:val="none"/>
                <w:u w:val="single"/>
                <w:lang w:val="en-US" w:eastAsia="zh-CN"/>
              </w:rPr>
              <w:t>2、中标人在领取《中标通知书》时向招标代理机构交纳招标代理服务费及专家费。本次招标项目的招标代理服务费参照《国家计委关于印发&lt;招标代理服务收费管理暂行办法&gt;的通知》（计价格[2002]1980号）及《国家发改委关于降低部分建设项目收费标准规范收费行为等有关问题的通知》（发改价格[2011]534号）规定的收取标准下浮67%计取，评审专家劳务费按实际发生金额向中标人另行收取（具体按招标代理合同约定执行）。本次费用不在投标报价中单列，但也视为包含在投标总价中。</w:t>
            </w:r>
          </w:p>
        </w:tc>
      </w:tr>
    </w:tbl>
    <w:p w14:paraId="16E8AC4F">
      <w:pPr>
        <w:shd w:val="clear" w:color="auto" w:fill="auto"/>
        <w:rPr>
          <w:rFonts w:hint="eastAsia" w:ascii="仿宋" w:hAnsi="仿宋" w:eastAsia="仿宋" w:cs="仿宋"/>
          <w:color w:val="auto"/>
          <w:highlight w:val="none"/>
        </w:rPr>
      </w:pPr>
    </w:p>
    <w:p w14:paraId="69E883D4">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DFBCB3E">
      <w:pPr>
        <w:shd w:val="clear" w:color="auto" w:fill="auto"/>
        <w:spacing w:before="140" w:line="239" w:lineRule="auto"/>
        <w:ind w:left="11"/>
        <w:outlineLvl w:val="0"/>
        <w:rPr>
          <w:rFonts w:hint="eastAsia" w:ascii="仿宋" w:hAnsi="仿宋" w:eastAsia="仿宋" w:cs="仿宋"/>
          <w:color w:val="auto"/>
          <w:sz w:val="31"/>
          <w:szCs w:val="31"/>
          <w:highlight w:val="none"/>
        </w:rPr>
      </w:pPr>
      <w:bookmarkStart w:id="145" w:name="_Toc18166"/>
      <w:bookmarkStart w:id="146" w:name="_Toc22145"/>
      <w:bookmarkStart w:id="147" w:name="_Toc14101"/>
      <w:bookmarkStart w:id="148" w:name="_Toc25326"/>
      <w:bookmarkStart w:id="149" w:name="_Toc30311"/>
      <w:bookmarkStart w:id="150" w:name="_Toc2167"/>
      <w:bookmarkStart w:id="151" w:name="_Toc5508"/>
      <w:bookmarkStart w:id="152" w:name="_Toc27827"/>
      <w:bookmarkStart w:id="153" w:name="_Toc3478"/>
      <w:bookmarkStart w:id="154" w:name="_Toc9210"/>
      <w:bookmarkStart w:id="155" w:name="_Toc19985"/>
      <w:bookmarkStart w:id="156" w:name="_Toc19031"/>
      <w:bookmarkStart w:id="157" w:name="_Toc29232"/>
      <w:bookmarkStart w:id="158" w:name="_Toc21842"/>
      <w:bookmarkStart w:id="159" w:name="_Toc28752"/>
      <w:bookmarkStart w:id="160" w:name="_Toc2919"/>
      <w:bookmarkStart w:id="161" w:name="_Toc8518"/>
      <w:r>
        <w:rPr>
          <w:rFonts w:hint="eastAsia" w:ascii="仿宋" w:hAnsi="仿宋" w:eastAsia="仿宋" w:cs="仿宋"/>
          <w:b/>
          <w:bCs/>
          <w:color w:val="auto"/>
          <w:spacing w:val="2"/>
          <w:sz w:val="31"/>
          <w:szCs w:val="31"/>
          <w:highlight w:val="none"/>
        </w:rPr>
        <w:t>1.</w:t>
      </w:r>
      <w:r>
        <w:rPr>
          <w:rFonts w:hint="eastAsia" w:ascii="仿宋" w:hAnsi="仿宋" w:eastAsia="仿宋" w:cs="仿宋"/>
          <w:color w:val="auto"/>
          <w:spacing w:val="2"/>
          <w:sz w:val="31"/>
          <w:szCs w:val="31"/>
          <w:highlight w:val="none"/>
        </w:rPr>
        <w:t xml:space="preserve">  总则</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0D1C923">
      <w:pPr>
        <w:shd w:val="clear" w:color="auto" w:fill="auto"/>
        <w:spacing w:line="469" w:lineRule="auto"/>
        <w:rPr>
          <w:rFonts w:hint="eastAsia" w:ascii="仿宋" w:hAnsi="仿宋" w:eastAsia="仿宋" w:cs="仿宋"/>
          <w:color w:val="auto"/>
          <w:highlight w:val="none"/>
        </w:rPr>
      </w:pPr>
    </w:p>
    <w:p w14:paraId="35EF060B">
      <w:pPr>
        <w:shd w:val="clear" w:color="auto" w:fill="auto"/>
        <w:spacing w:before="91" w:line="219" w:lineRule="auto"/>
        <w:ind w:left="160"/>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 xml:space="preserve">1.1 </w:t>
      </w:r>
      <w:r>
        <w:rPr>
          <w:rFonts w:hint="eastAsia" w:ascii="仿宋" w:hAnsi="仿宋" w:eastAsia="仿宋" w:cs="仿宋"/>
          <w:color w:val="auto"/>
          <w:spacing w:val="-2"/>
          <w:sz w:val="28"/>
          <w:szCs w:val="28"/>
          <w:highlight w:val="none"/>
        </w:rPr>
        <w:t xml:space="preserve"> 招标项目概况</w:t>
      </w:r>
    </w:p>
    <w:p w14:paraId="27D93006">
      <w:pPr>
        <w:shd w:val="clear" w:color="auto" w:fill="auto"/>
        <w:spacing w:line="321" w:lineRule="auto"/>
        <w:rPr>
          <w:rFonts w:hint="eastAsia" w:ascii="仿宋" w:hAnsi="仿宋" w:eastAsia="仿宋" w:cs="仿宋"/>
          <w:color w:val="auto"/>
          <w:highlight w:val="none"/>
        </w:rPr>
      </w:pPr>
    </w:p>
    <w:p w14:paraId="26B33104">
      <w:pPr>
        <w:shd w:val="clear" w:color="auto" w:fill="auto"/>
        <w:spacing w:before="68" w:line="351" w:lineRule="auto"/>
        <w:ind w:right="2" w:firstLine="435"/>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 xml:space="preserve">1.1.1 </w:t>
      </w:r>
      <w:r>
        <w:rPr>
          <w:rFonts w:hint="eastAsia" w:ascii="仿宋" w:hAnsi="仿宋" w:eastAsia="仿宋" w:cs="仿宋"/>
          <w:color w:val="auto"/>
          <w:spacing w:val="-9"/>
          <w:szCs w:val="21"/>
          <w:highlight w:val="none"/>
        </w:rPr>
        <w:t>根</w:t>
      </w:r>
      <w:r>
        <w:rPr>
          <w:rFonts w:hint="eastAsia" w:ascii="仿宋" w:hAnsi="仿宋" w:eastAsia="仿宋" w:cs="仿宋"/>
          <w:color w:val="auto"/>
          <w:spacing w:val="-5"/>
          <w:szCs w:val="21"/>
          <w:highlight w:val="none"/>
        </w:rPr>
        <w:t>据《中华人民共和国招标投标法》、《中华人民共和国招标投标法实施条例》等有关</w:t>
      </w:r>
      <w:r>
        <w:rPr>
          <w:rFonts w:hint="eastAsia" w:ascii="仿宋" w:hAnsi="仿宋" w:eastAsia="仿宋" w:cs="仿宋"/>
          <w:color w:val="auto"/>
          <w:szCs w:val="21"/>
          <w:highlight w:val="none"/>
        </w:rPr>
        <w:t xml:space="preserve"> </w:t>
      </w:r>
      <w:r>
        <w:rPr>
          <w:rFonts w:hint="eastAsia" w:ascii="仿宋" w:hAnsi="仿宋" w:eastAsia="仿宋" w:cs="仿宋"/>
          <w:color w:val="auto"/>
          <w:spacing w:val="-6"/>
          <w:szCs w:val="21"/>
          <w:highlight w:val="none"/>
        </w:rPr>
        <w:t>法</w:t>
      </w:r>
      <w:r>
        <w:rPr>
          <w:rFonts w:hint="eastAsia" w:ascii="仿宋" w:hAnsi="仿宋" w:eastAsia="仿宋" w:cs="仿宋"/>
          <w:color w:val="auto"/>
          <w:spacing w:val="-3"/>
          <w:szCs w:val="21"/>
          <w:highlight w:val="none"/>
        </w:rPr>
        <w:t>律、法规和规章的规定，本招标项目已具备招标条件， 现对监理进行招标。</w:t>
      </w:r>
    </w:p>
    <w:p w14:paraId="6302900C">
      <w:pPr>
        <w:shd w:val="clear" w:color="auto" w:fill="auto"/>
        <w:spacing w:line="219" w:lineRule="auto"/>
        <w:ind w:left="435"/>
        <w:rPr>
          <w:rFonts w:hint="eastAsia" w:ascii="仿宋" w:hAnsi="仿宋" w:eastAsia="仿宋" w:cs="仿宋"/>
          <w:color w:val="auto"/>
          <w:szCs w:val="21"/>
          <w:highlight w:val="none"/>
        </w:rPr>
      </w:pPr>
      <w:r>
        <w:rPr>
          <w:rFonts w:hint="eastAsia" w:ascii="仿宋" w:hAnsi="仿宋" w:eastAsia="仿宋" w:cs="仿宋"/>
          <w:color w:val="auto"/>
          <w:spacing w:val="-12"/>
          <w:szCs w:val="21"/>
          <w:highlight w:val="none"/>
        </w:rPr>
        <w:t>1</w:t>
      </w:r>
      <w:r>
        <w:rPr>
          <w:rFonts w:hint="eastAsia" w:ascii="仿宋" w:hAnsi="仿宋" w:eastAsia="仿宋" w:cs="仿宋"/>
          <w:color w:val="auto"/>
          <w:spacing w:val="-10"/>
          <w:szCs w:val="21"/>
          <w:highlight w:val="none"/>
        </w:rPr>
        <w:t>.</w:t>
      </w:r>
      <w:r>
        <w:rPr>
          <w:rFonts w:hint="eastAsia" w:ascii="仿宋" w:hAnsi="仿宋" w:eastAsia="仿宋" w:cs="仿宋"/>
          <w:color w:val="auto"/>
          <w:spacing w:val="-6"/>
          <w:szCs w:val="21"/>
          <w:highlight w:val="none"/>
        </w:rPr>
        <w:t>1.2  招标人：见投标人须知前附表。</w:t>
      </w:r>
    </w:p>
    <w:p w14:paraId="2DB61D38">
      <w:pPr>
        <w:shd w:val="clear" w:color="auto" w:fill="auto"/>
        <w:spacing w:before="151" w:line="220" w:lineRule="auto"/>
        <w:ind w:left="435"/>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1.1.3  招标代理机构：见投标人须知前附</w:t>
      </w:r>
      <w:r>
        <w:rPr>
          <w:rFonts w:hint="eastAsia" w:ascii="仿宋" w:hAnsi="仿宋" w:eastAsia="仿宋" w:cs="仿宋"/>
          <w:color w:val="auto"/>
          <w:szCs w:val="21"/>
          <w:highlight w:val="none"/>
        </w:rPr>
        <w:t>表。</w:t>
      </w:r>
    </w:p>
    <w:p w14:paraId="2C16E284">
      <w:pPr>
        <w:shd w:val="clear" w:color="auto" w:fill="auto"/>
        <w:spacing w:before="148" w:line="220" w:lineRule="auto"/>
        <w:ind w:left="435"/>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1.1.4  招标项目名称：见投标人须知前附</w:t>
      </w:r>
      <w:r>
        <w:rPr>
          <w:rFonts w:hint="eastAsia" w:ascii="仿宋" w:hAnsi="仿宋" w:eastAsia="仿宋" w:cs="仿宋"/>
          <w:color w:val="auto"/>
          <w:szCs w:val="21"/>
          <w:highlight w:val="none"/>
        </w:rPr>
        <w:t>表。</w:t>
      </w:r>
    </w:p>
    <w:p w14:paraId="623EA609">
      <w:pPr>
        <w:shd w:val="clear" w:color="auto" w:fill="auto"/>
        <w:spacing w:before="150" w:line="220" w:lineRule="auto"/>
        <w:ind w:left="435"/>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1.1.5  项目建设地点：见投标人须知前附</w:t>
      </w:r>
      <w:r>
        <w:rPr>
          <w:rFonts w:hint="eastAsia" w:ascii="仿宋" w:hAnsi="仿宋" w:eastAsia="仿宋" w:cs="仿宋"/>
          <w:color w:val="auto"/>
          <w:szCs w:val="21"/>
          <w:highlight w:val="none"/>
        </w:rPr>
        <w:t>表。</w:t>
      </w:r>
    </w:p>
    <w:p w14:paraId="65EE6EBE">
      <w:pPr>
        <w:shd w:val="clear" w:color="auto" w:fill="auto"/>
        <w:spacing w:before="151" w:line="220" w:lineRule="auto"/>
        <w:ind w:left="435"/>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1.1.6  项目建设规模：见投标人须知前附</w:t>
      </w:r>
      <w:r>
        <w:rPr>
          <w:rFonts w:hint="eastAsia" w:ascii="仿宋" w:hAnsi="仿宋" w:eastAsia="仿宋" w:cs="仿宋"/>
          <w:color w:val="auto"/>
          <w:szCs w:val="21"/>
          <w:highlight w:val="none"/>
        </w:rPr>
        <w:t>表。</w:t>
      </w:r>
    </w:p>
    <w:p w14:paraId="63AD7577">
      <w:pPr>
        <w:shd w:val="clear" w:color="auto" w:fill="auto"/>
        <w:spacing w:before="148" w:line="220" w:lineRule="auto"/>
        <w:ind w:left="435"/>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1.1.7</w:t>
      </w:r>
      <w:r>
        <w:rPr>
          <w:rFonts w:hint="eastAsia" w:ascii="仿宋" w:hAnsi="仿宋" w:eastAsia="仿宋" w:cs="仿宋"/>
          <w:color w:val="auto"/>
          <w:spacing w:val="-5"/>
          <w:szCs w:val="21"/>
          <w:highlight w:val="none"/>
        </w:rPr>
        <w:t xml:space="preserve"> </w:t>
      </w:r>
      <w:r>
        <w:rPr>
          <w:rFonts w:hint="eastAsia" w:ascii="仿宋" w:hAnsi="仿宋" w:eastAsia="仿宋" w:cs="仿宋"/>
          <w:color w:val="auto"/>
          <w:spacing w:val="-3"/>
          <w:szCs w:val="21"/>
          <w:highlight w:val="none"/>
        </w:rPr>
        <w:t xml:space="preserve"> 工程项目施工预计开工日期和建设周期： 见投标人须知前附表。</w:t>
      </w:r>
    </w:p>
    <w:p w14:paraId="37756905">
      <w:pPr>
        <w:shd w:val="clear" w:color="auto" w:fill="auto"/>
        <w:spacing w:before="151" w:line="234" w:lineRule="auto"/>
        <w:ind w:left="435"/>
        <w:rPr>
          <w:rFonts w:hint="eastAsia" w:ascii="仿宋" w:hAnsi="仿宋" w:eastAsia="仿宋" w:cs="仿宋"/>
          <w:color w:val="auto"/>
          <w:szCs w:val="21"/>
          <w:highlight w:val="none"/>
        </w:rPr>
      </w:pPr>
      <w:bookmarkStart w:id="162" w:name="_bookmark23"/>
      <w:bookmarkEnd w:id="162"/>
      <w:r>
        <w:rPr>
          <w:rFonts w:hint="eastAsia" w:ascii="仿宋" w:hAnsi="仿宋" w:eastAsia="仿宋" w:cs="仿宋"/>
          <w:color w:val="auto"/>
          <w:spacing w:val="-2"/>
          <w:szCs w:val="21"/>
          <w:highlight w:val="none"/>
        </w:rPr>
        <w:t>1.1.8  建筑安</w:t>
      </w:r>
      <w:r>
        <w:rPr>
          <w:rFonts w:hint="eastAsia" w:ascii="仿宋" w:hAnsi="仿宋" w:eastAsia="仿宋" w:cs="仿宋"/>
          <w:color w:val="auto"/>
          <w:spacing w:val="-1"/>
          <w:szCs w:val="21"/>
          <w:highlight w:val="none"/>
        </w:rPr>
        <w:t>装工程费/工程概算：见投标人须知前附表。</w:t>
      </w:r>
    </w:p>
    <w:p w14:paraId="7C223B2E">
      <w:pPr>
        <w:shd w:val="clear" w:color="auto" w:fill="auto"/>
        <w:spacing w:before="295" w:line="219" w:lineRule="auto"/>
        <w:ind w:left="16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1.2  招标项目的资</w:t>
      </w:r>
      <w:r>
        <w:rPr>
          <w:rFonts w:hint="eastAsia" w:ascii="仿宋" w:hAnsi="仿宋" w:eastAsia="仿宋" w:cs="仿宋"/>
          <w:color w:val="auto"/>
          <w:spacing w:val="-1"/>
          <w:sz w:val="28"/>
          <w:szCs w:val="28"/>
          <w:highlight w:val="none"/>
        </w:rPr>
        <w:t>金来源和落实情况</w:t>
      </w:r>
    </w:p>
    <w:p w14:paraId="70EC3546">
      <w:pPr>
        <w:shd w:val="clear" w:color="auto" w:fill="auto"/>
        <w:spacing w:line="320" w:lineRule="auto"/>
        <w:rPr>
          <w:rFonts w:hint="eastAsia" w:ascii="仿宋" w:hAnsi="仿宋" w:eastAsia="仿宋" w:cs="仿宋"/>
          <w:color w:val="auto"/>
          <w:highlight w:val="none"/>
        </w:rPr>
      </w:pPr>
    </w:p>
    <w:p w14:paraId="2426C567">
      <w:pPr>
        <w:shd w:val="clear" w:color="auto" w:fill="auto"/>
        <w:spacing w:before="69" w:line="220" w:lineRule="auto"/>
        <w:ind w:left="435"/>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7"/>
          <w:szCs w:val="21"/>
          <w:highlight w:val="none"/>
        </w:rPr>
        <w:t>2</w:t>
      </w:r>
      <w:r>
        <w:rPr>
          <w:rFonts w:hint="eastAsia" w:ascii="仿宋" w:hAnsi="仿宋" w:eastAsia="仿宋" w:cs="仿宋"/>
          <w:color w:val="auto"/>
          <w:spacing w:val="-5"/>
          <w:szCs w:val="21"/>
          <w:highlight w:val="none"/>
        </w:rPr>
        <w:t>. 1  资金来源及比例： 见投标人须知前附表。</w:t>
      </w:r>
    </w:p>
    <w:p w14:paraId="038A8D05">
      <w:pPr>
        <w:shd w:val="clear" w:color="auto" w:fill="auto"/>
        <w:spacing w:before="148" w:line="220" w:lineRule="auto"/>
        <w:ind w:left="435"/>
        <w:rPr>
          <w:rFonts w:hint="eastAsia" w:ascii="仿宋" w:hAnsi="仿宋" w:eastAsia="仿宋" w:cs="仿宋"/>
          <w:color w:val="auto"/>
          <w:szCs w:val="21"/>
          <w:highlight w:val="none"/>
        </w:rPr>
      </w:pPr>
      <w:bookmarkStart w:id="163" w:name="_bookmark24"/>
      <w:bookmarkEnd w:id="163"/>
      <w:r>
        <w:rPr>
          <w:rFonts w:hint="eastAsia" w:ascii="仿宋" w:hAnsi="仿宋" w:eastAsia="仿宋" w:cs="仿宋"/>
          <w:color w:val="auto"/>
          <w:spacing w:val="-1"/>
          <w:szCs w:val="21"/>
          <w:highlight w:val="none"/>
        </w:rPr>
        <w:t>1.2.2  资金落实情况：见投标人须知前附</w:t>
      </w:r>
      <w:r>
        <w:rPr>
          <w:rFonts w:hint="eastAsia" w:ascii="仿宋" w:hAnsi="仿宋" w:eastAsia="仿宋" w:cs="仿宋"/>
          <w:color w:val="auto"/>
          <w:szCs w:val="21"/>
          <w:highlight w:val="none"/>
        </w:rPr>
        <w:t>表。</w:t>
      </w:r>
    </w:p>
    <w:p w14:paraId="34C66051">
      <w:pPr>
        <w:shd w:val="clear" w:color="auto" w:fill="auto"/>
        <w:spacing w:before="311" w:line="221" w:lineRule="auto"/>
        <w:ind w:left="16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1.3 招标范围、监理</w:t>
      </w:r>
      <w:r>
        <w:rPr>
          <w:rFonts w:hint="eastAsia" w:ascii="仿宋" w:hAnsi="仿宋" w:eastAsia="仿宋" w:cs="仿宋"/>
          <w:color w:val="auto"/>
          <w:spacing w:val="-1"/>
          <w:sz w:val="28"/>
          <w:szCs w:val="28"/>
          <w:highlight w:val="none"/>
        </w:rPr>
        <w:t>服务期限和监理标准</w:t>
      </w:r>
    </w:p>
    <w:p w14:paraId="1E3603CE">
      <w:pPr>
        <w:shd w:val="clear" w:color="auto" w:fill="auto"/>
        <w:spacing w:line="316" w:lineRule="auto"/>
        <w:rPr>
          <w:rFonts w:hint="eastAsia" w:ascii="仿宋" w:hAnsi="仿宋" w:eastAsia="仿宋" w:cs="仿宋"/>
          <w:color w:val="auto"/>
          <w:highlight w:val="none"/>
        </w:rPr>
      </w:pPr>
    </w:p>
    <w:p w14:paraId="27441ACD">
      <w:pPr>
        <w:shd w:val="clear" w:color="auto" w:fill="auto"/>
        <w:spacing w:before="70" w:line="220" w:lineRule="auto"/>
        <w:ind w:left="435"/>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1.3.1  招标范围：见投标人须知前附表。</w:t>
      </w:r>
    </w:p>
    <w:p w14:paraId="476177C7">
      <w:pPr>
        <w:shd w:val="clear" w:color="auto" w:fill="auto"/>
        <w:spacing w:before="150" w:line="220" w:lineRule="auto"/>
        <w:ind w:left="435"/>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1.3.2  监理服务期限：见投标人须知前附</w:t>
      </w:r>
      <w:r>
        <w:rPr>
          <w:rFonts w:hint="eastAsia" w:ascii="仿宋" w:hAnsi="仿宋" w:eastAsia="仿宋" w:cs="仿宋"/>
          <w:color w:val="auto"/>
          <w:szCs w:val="21"/>
          <w:highlight w:val="none"/>
        </w:rPr>
        <w:t>表。</w:t>
      </w:r>
    </w:p>
    <w:p w14:paraId="27F2762B">
      <w:pPr>
        <w:shd w:val="clear" w:color="auto" w:fill="auto"/>
        <w:spacing w:before="148" w:line="220" w:lineRule="auto"/>
        <w:ind w:left="435"/>
        <w:rPr>
          <w:rFonts w:hint="eastAsia" w:ascii="仿宋" w:hAnsi="仿宋" w:eastAsia="仿宋" w:cs="仿宋"/>
          <w:color w:val="auto"/>
          <w:szCs w:val="21"/>
          <w:highlight w:val="none"/>
        </w:rPr>
      </w:pPr>
      <w:bookmarkStart w:id="164" w:name="_bookmark25"/>
      <w:bookmarkEnd w:id="164"/>
      <w:r>
        <w:rPr>
          <w:rFonts w:hint="eastAsia" w:ascii="仿宋" w:hAnsi="仿宋" w:eastAsia="仿宋" w:cs="仿宋"/>
          <w:color w:val="auto"/>
          <w:spacing w:val="-1"/>
          <w:szCs w:val="21"/>
          <w:highlight w:val="none"/>
        </w:rPr>
        <w:t>1.3.3  监理标准：见投标人须知前附表。</w:t>
      </w:r>
    </w:p>
    <w:p w14:paraId="16BD6DCD">
      <w:pPr>
        <w:shd w:val="clear" w:color="auto" w:fill="auto"/>
        <w:spacing w:before="313" w:line="219" w:lineRule="auto"/>
        <w:ind w:left="160"/>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 xml:space="preserve">1.4 </w:t>
      </w:r>
      <w:r>
        <w:rPr>
          <w:rFonts w:hint="eastAsia" w:ascii="仿宋" w:hAnsi="仿宋" w:eastAsia="仿宋" w:cs="仿宋"/>
          <w:color w:val="auto"/>
          <w:spacing w:val="-2"/>
          <w:sz w:val="28"/>
          <w:szCs w:val="28"/>
          <w:highlight w:val="none"/>
        </w:rPr>
        <w:t>投标人资格要求</w:t>
      </w:r>
    </w:p>
    <w:p w14:paraId="63B4E87B">
      <w:pPr>
        <w:shd w:val="clear" w:color="auto" w:fill="auto"/>
        <w:spacing w:line="319" w:lineRule="auto"/>
        <w:rPr>
          <w:rFonts w:hint="eastAsia" w:ascii="仿宋" w:hAnsi="仿宋" w:eastAsia="仿宋" w:cs="仿宋"/>
          <w:color w:val="auto"/>
          <w:highlight w:val="none"/>
        </w:rPr>
      </w:pPr>
    </w:p>
    <w:p w14:paraId="5437095A">
      <w:pPr>
        <w:shd w:val="clear" w:color="auto" w:fill="auto"/>
        <w:spacing w:before="68" w:line="220" w:lineRule="auto"/>
        <w:ind w:left="435"/>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1.4.1  投标人应具备承担本招标项目</w:t>
      </w:r>
      <w:r>
        <w:rPr>
          <w:rFonts w:hint="eastAsia" w:ascii="仿宋" w:hAnsi="仿宋" w:eastAsia="仿宋" w:cs="仿宋"/>
          <w:color w:val="auto"/>
          <w:szCs w:val="21"/>
          <w:highlight w:val="none"/>
        </w:rPr>
        <w:t>资质条件、能力和信誉：</w:t>
      </w:r>
    </w:p>
    <w:p w14:paraId="751706F4">
      <w:pPr>
        <w:shd w:val="clear" w:color="auto" w:fill="auto"/>
        <w:spacing w:before="151" w:line="220" w:lineRule="auto"/>
        <w:ind w:left="319"/>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(1) 资质要求：见投标人须知前附表</w:t>
      </w:r>
      <w:r>
        <w:rPr>
          <w:rFonts w:hint="eastAsia" w:ascii="仿宋" w:hAnsi="仿宋" w:eastAsia="仿宋" w:cs="仿宋"/>
          <w:color w:val="auto"/>
          <w:spacing w:val="3"/>
          <w:szCs w:val="21"/>
          <w:highlight w:val="none"/>
        </w:rPr>
        <w:t>；</w:t>
      </w:r>
    </w:p>
    <w:p w14:paraId="315DAD4B">
      <w:pPr>
        <w:shd w:val="clear" w:color="auto" w:fill="auto"/>
        <w:spacing w:before="148" w:line="220" w:lineRule="auto"/>
        <w:ind w:left="319"/>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(2) 财务要求：见投标人须知前附表</w:t>
      </w:r>
      <w:r>
        <w:rPr>
          <w:rFonts w:hint="eastAsia" w:ascii="仿宋" w:hAnsi="仿宋" w:eastAsia="仿宋" w:cs="仿宋"/>
          <w:color w:val="auto"/>
          <w:spacing w:val="3"/>
          <w:szCs w:val="21"/>
          <w:highlight w:val="none"/>
        </w:rPr>
        <w:t>；</w:t>
      </w:r>
    </w:p>
    <w:p w14:paraId="4AEBED42">
      <w:pPr>
        <w:shd w:val="clear" w:color="auto" w:fill="auto"/>
        <w:spacing w:before="151" w:line="220" w:lineRule="auto"/>
        <w:ind w:left="319"/>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(3) 业绩要求：见投标人须知前附表</w:t>
      </w:r>
      <w:r>
        <w:rPr>
          <w:rFonts w:hint="eastAsia" w:ascii="仿宋" w:hAnsi="仿宋" w:eastAsia="仿宋" w:cs="仿宋"/>
          <w:color w:val="auto"/>
          <w:spacing w:val="3"/>
          <w:szCs w:val="21"/>
          <w:highlight w:val="none"/>
        </w:rPr>
        <w:t>；</w:t>
      </w:r>
    </w:p>
    <w:p w14:paraId="1C516BAD">
      <w:pPr>
        <w:shd w:val="clear" w:color="auto" w:fill="auto"/>
        <w:spacing w:before="150" w:line="220" w:lineRule="auto"/>
        <w:ind w:left="319"/>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(4) 信誉要求：见投标人须知前附表</w:t>
      </w:r>
      <w:r>
        <w:rPr>
          <w:rFonts w:hint="eastAsia" w:ascii="仿宋" w:hAnsi="仿宋" w:eastAsia="仿宋" w:cs="仿宋"/>
          <w:color w:val="auto"/>
          <w:spacing w:val="3"/>
          <w:szCs w:val="21"/>
          <w:highlight w:val="none"/>
        </w:rPr>
        <w:t>；</w:t>
      </w:r>
    </w:p>
    <w:p w14:paraId="05B60A7D">
      <w:pPr>
        <w:shd w:val="clear" w:color="auto" w:fill="auto"/>
        <w:spacing w:before="150" w:line="221" w:lineRule="auto"/>
        <w:ind w:left="323"/>
        <w:rPr>
          <w:rFonts w:hint="eastAsia" w:ascii="仿宋" w:hAnsi="仿宋" w:eastAsia="仿宋" w:cs="仿宋"/>
          <w:color w:val="auto"/>
          <w:spacing w:val="5"/>
          <w:szCs w:val="21"/>
          <w:highlight w:val="none"/>
        </w:rPr>
      </w:pPr>
      <w:r>
        <w:rPr>
          <w:rFonts w:hint="eastAsia" w:ascii="仿宋" w:hAnsi="仿宋" w:eastAsia="仿宋" w:cs="仿宋"/>
          <w:color w:val="auto"/>
          <w:spacing w:val="-2"/>
          <w:szCs w:val="21"/>
          <w:highlight w:val="none"/>
        </w:rPr>
        <w:t>(5) 总监</w:t>
      </w:r>
      <w:r>
        <w:rPr>
          <w:rFonts w:hint="eastAsia" w:ascii="仿宋" w:hAnsi="仿宋" w:eastAsia="仿宋" w:cs="仿宋"/>
          <w:color w:val="auto"/>
          <w:spacing w:val="5"/>
          <w:szCs w:val="21"/>
          <w:highlight w:val="none"/>
        </w:rPr>
        <w:t>理工程师的资格要求：应当具备工程注册监理工程师执业资格 (如有)，</w:t>
      </w:r>
    </w:p>
    <w:p w14:paraId="0F444083">
      <w:pPr>
        <w:shd w:val="clear" w:color="auto" w:fill="auto"/>
        <w:spacing w:before="150" w:line="221" w:lineRule="auto"/>
        <w:ind w:left="323"/>
        <w:rPr>
          <w:rFonts w:hint="eastAsia" w:ascii="仿宋" w:hAnsi="仿宋" w:eastAsia="仿宋" w:cs="仿宋"/>
          <w:color w:val="auto"/>
          <w:spacing w:val="6"/>
          <w:position w:val="14"/>
          <w:szCs w:val="21"/>
          <w:highlight w:val="none"/>
        </w:rPr>
      </w:pPr>
      <w:r>
        <w:rPr>
          <w:rFonts w:hint="eastAsia" w:ascii="仿宋" w:hAnsi="仿宋" w:eastAsia="仿宋" w:cs="仿宋"/>
          <w:color w:val="auto"/>
          <w:spacing w:val="5"/>
          <w:szCs w:val="21"/>
          <w:highlight w:val="none"/>
        </w:rPr>
        <w:t>具体要求 见投标人须知</w:t>
      </w:r>
      <w:r>
        <w:rPr>
          <w:rFonts w:hint="eastAsia" w:ascii="仿宋" w:hAnsi="仿宋" w:eastAsia="仿宋" w:cs="仿宋"/>
          <w:color w:val="auto"/>
          <w:spacing w:val="-1"/>
          <w:szCs w:val="21"/>
          <w:highlight w:val="none"/>
        </w:rPr>
        <w:t>前附</w:t>
      </w:r>
      <w:r>
        <w:rPr>
          <w:rFonts w:hint="eastAsia" w:ascii="仿宋" w:hAnsi="仿宋" w:eastAsia="仿宋" w:cs="仿宋"/>
          <w:color w:val="auto"/>
          <w:szCs w:val="21"/>
          <w:highlight w:val="none"/>
        </w:rPr>
        <w:t>表；</w:t>
      </w:r>
    </w:p>
    <w:p w14:paraId="40B99735">
      <w:pPr>
        <w:shd w:val="clear" w:color="auto" w:fill="auto"/>
        <w:spacing w:before="150" w:line="221" w:lineRule="auto"/>
        <w:ind w:left="323"/>
        <w:rPr>
          <w:rFonts w:hint="eastAsia" w:ascii="仿宋" w:hAnsi="仿宋" w:eastAsia="仿宋" w:cs="仿宋"/>
          <w:color w:val="auto"/>
          <w:szCs w:val="21"/>
          <w:highlight w:val="none"/>
        </w:rPr>
      </w:pPr>
      <w:r>
        <w:rPr>
          <w:rFonts w:hint="eastAsia" w:ascii="仿宋" w:hAnsi="仿宋" w:eastAsia="仿宋" w:cs="仿宋"/>
          <w:color w:val="auto"/>
          <w:spacing w:val="6"/>
          <w:position w:val="14"/>
          <w:szCs w:val="21"/>
          <w:highlight w:val="none"/>
        </w:rPr>
        <w:t>(</w:t>
      </w:r>
      <w:r>
        <w:rPr>
          <w:rFonts w:hint="eastAsia" w:ascii="仿宋" w:hAnsi="仿宋" w:eastAsia="仿宋" w:cs="仿宋"/>
          <w:color w:val="auto"/>
          <w:spacing w:val="4"/>
          <w:position w:val="14"/>
          <w:szCs w:val="21"/>
          <w:highlight w:val="none"/>
        </w:rPr>
        <w:t>6) 其他主要人员要求：见投标人须知前附表。</w:t>
      </w:r>
    </w:p>
    <w:p w14:paraId="629BC1EB">
      <w:pPr>
        <w:shd w:val="clear" w:color="auto" w:fill="auto"/>
        <w:spacing w:before="150" w:line="221" w:lineRule="auto"/>
        <w:ind w:left="321"/>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(7) 试验</w:t>
      </w:r>
      <w:r>
        <w:rPr>
          <w:rFonts w:hint="eastAsia" w:ascii="仿宋" w:hAnsi="仿宋" w:eastAsia="仿宋" w:cs="仿宋"/>
          <w:color w:val="auto"/>
          <w:spacing w:val="3"/>
          <w:szCs w:val="21"/>
          <w:highlight w:val="none"/>
        </w:rPr>
        <w:t>检测仪器设备要求：见投标人须知前附表。</w:t>
      </w:r>
    </w:p>
    <w:p w14:paraId="4794441B">
      <w:pPr>
        <w:shd w:val="clear" w:color="auto" w:fill="auto"/>
        <w:spacing w:before="150" w:line="221" w:lineRule="auto"/>
        <w:ind w:left="321"/>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(8) 其他要求：见投标人须知前附表</w:t>
      </w:r>
      <w:r>
        <w:rPr>
          <w:rFonts w:hint="eastAsia" w:ascii="仿宋" w:hAnsi="仿宋" w:eastAsia="仿宋" w:cs="仿宋"/>
          <w:color w:val="auto"/>
          <w:spacing w:val="3"/>
          <w:szCs w:val="21"/>
          <w:highlight w:val="none"/>
        </w:rPr>
        <w:t>。</w:t>
      </w:r>
    </w:p>
    <w:p w14:paraId="7AF3713D">
      <w:pPr>
        <w:shd w:val="clear" w:color="auto" w:fill="auto"/>
        <w:spacing w:before="150" w:line="220" w:lineRule="auto"/>
        <w:ind w:left="430"/>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需要</w:t>
      </w:r>
      <w:r>
        <w:rPr>
          <w:rFonts w:hint="eastAsia" w:ascii="仿宋" w:hAnsi="仿宋" w:eastAsia="仿宋" w:cs="仿宋"/>
          <w:color w:val="auto"/>
          <w:spacing w:val="-3"/>
          <w:szCs w:val="21"/>
          <w:highlight w:val="none"/>
        </w:rPr>
        <w:t>提交的相关证明材料见本章第 3.5 款的规定。</w:t>
      </w:r>
    </w:p>
    <w:p w14:paraId="246AE0A8">
      <w:pPr>
        <w:shd w:val="clear" w:color="auto" w:fill="auto"/>
        <w:spacing w:before="151" w:line="351" w:lineRule="auto"/>
        <w:ind w:left="4" w:firstLine="433"/>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1.4.2 投标人须知</w:t>
      </w:r>
      <w:r>
        <w:rPr>
          <w:rFonts w:hint="eastAsia" w:ascii="仿宋" w:hAnsi="仿宋" w:eastAsia="仿宋" w:cs="仿宋"/>
          <w:color w:val="auto"/>
          <w:szCs w:val="21"/>
          <w:highlight w:val="none"/>
        </w:rPr>
        <w:t xml:space="preserve">前附表规定接受联合体投标的，联合体除应符合本章第 1.4.1 项和投标人 </w:t>
      </w:r>
      <w:r>
        <w:rPr>
          <w:rFonts w:hint="eastAsia" w:ascii="仿宋" w:hAnsi="仿宋" w:eastAsia="仿宋" w:cs="仿宋"/>
          <w:color w:val="auto"/>
          <w:spacing w:val="-1"/>
          <w:szCs w:val="21"/>
          <w:highlight w:val="none"/>
        </w:rPr>
        <w:t>须知前附表的要</w:t>
      </w:r>
      <w:r>
        <w:rPr>
          <w:rFonts w:hint="eastAsia" w:ascii="仿宋" w:hAnsi="仿宋" w:eastAsia="仿宋" w:cs="仿宋"/>
          <w:color w:val="auto"/>
          <w:szCs w:val="21"/>
          <w:highlight w:val="none"/>
        </w:rPr>
        <w:t>求外，还应遵守以下规定：</w:t>
      </w:r>
    </w:p>
    <w:p w14:paraId="386C2FC7">
      <w:pPr>
        <w:shd w:val="clear" w:color="auto" w:fill="auto"/>
        <w:spacing w:before="1" w:line="351" w:lineRule="auto"/>
        <w:ind w:left="1" w:right="3" w:firstLine="319"/>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(1)联合</w:t>
      </w:r>
      <w:r>
        <w:rPr>
          <w:rFonts w:hint="eastAsia" w:ascii="仿宋" w:hAnsi="仿宋" w:eastAsia="仿宋" w:cs="仿宋"/>
          <w:color w:val="auto"/>
          <w:spacing w:val="8"/>
          <w:szCs w:val="21"/>
          <w:highlight w:val="none"/>
        </w:rPr>
        <w:t>体</w:t>
      </w:r>
      <w:r>
        <w:rPr>
          <w:rFonts w:hint="eastAsia" w:ascii="仿宋" w:hAnsi="仿宋" w:eastAsia="仿宋" w:cs="仿宋"/>
          <w:color w:val="auto"/>
          <w:spacing w:val="5"/>
          <w:szCs w:val="21"/>
          <w:highlight w:val="none"/>
        </w:rPr>
        <w:t>各方应按招标文件提供的格式签订联合体协议书，明确联合体牵头人和各方权</w:t>
      </w:r>
      <w:r>
        <w:rPr>
          <w:rFonts w:hint="eastAsia" w:ascii="仿宋" w:hAnsi="仿宋" w:eastAsia="仿宋" w:cs="仿宋"/>
          <w:color w:val="auto"/>
          <w:szCs w:val="21"/>
          <w:highlight w:val="none"/>
        </w:rPr>
        <w:t xml:space="preserve"> </w:t>
      </w:r>
      <w:r>
        <w:rPr>
          <w:rFonts w:hint="eastAsia" w:ascii="仿宋" w:hAnsi="仿宋" w:eastAsia="仿宋" w:cs="仿宋"/>
          <w:color w:val="auto"/>
          <w:spacing w:val="-1"/>
          <w:szCs w:val="21"/>
          <w:highlight w:val="none"/>
        </w:rPr>
        <w:t>利义务，</w:t>
      </w:r>
      <w:r>
        <w:rPr>
          <w:rFonts w:hint="eastAsia" w:ascii="仿宋" w:hAnsi="仿宋" w:eastAsia="仿宋" w:cs="仿宋"/>
          <w:color w:val="auto"/>
          <w:szCs w:val="21"/>
          <w:highlight w:val="none"/>
        </w:rPr>
        <w:t>并承诺就中标项目向招标人承担连带责任；</w:t>
      </w:r>
    </w:p>
    <w:p w14:paraId="616CB82D">
      <w:pPr>
        <w:shd w:val="clear" w:color="auto" w:fill="auto"/>
        <w:spacing w:before="1" w:line="220" w:lineRule="auto"/>
        <w:ind w:left="321"/>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(2) 由同一专业的单位组成的联合体，按照资质等级较低的单位确定资质等</w:t>
      </w:r>
      <w:r>
        <w:rPr>
          <w:rFonts w:hint="eastAsia" w:ascii="仿宋" w:hAnsi="仿宋" w:eastAsia="仿宋" w:cs="仿宋"/>
          <w:color w:val="auto"/>
          <w:spacing w:val="1"/>
          <w:szCs w:val="21"/>
          <w:highlight w:val="none"/>
        </w:rPr>
        <w:t>级</w:t>
      </w:r>
      <w:r>
        <w:rPr>
          <w:rFonts w:hint="eastAsia" w:ascii="仿宋" w:hAnsi="仿宋" w:eastAsia="仿宋" w:cs="仿宋"/>
          <w:color w:val="auto"/>
          <w:szCs w:val="21"/>
          <w:highlight w:val="none"/>
        </w:rPr>
        <w:t>；</w:t>
      </w:r>
    </w:p>
    <w:p w14:paraId="522EECB3">
      <w:pPr>
        <w:shd w:val="clear" w:color="auto" w:fill="auto"/>
        <w:spacing w:before="151" w:line="351" w:lineRule="auto"/>
        <w:ind w:left="4" w:right="3" w:firstLine="317"/>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(3)联合</w:t>
      </w:r>
      <w:r>
        <w:rPr>
          <w:rFonts w:hint="eastAsia" w:ascii="仿宋" w:hAnsi="仿宋" w:eastAsia="仿宋" w:cs="仿宋"/>
          <w:color w:val="auto"/>
          <w:spacing w:val="8"/>
          <w:szCs w:val="21"/>
          <w:highlight w:val="none"/>
        </w:rPr>
        <w:t>体</w:t>
      </w:r>
      <w:r>
        <w:rPr>
          <w:rFonts w:hint="eastAsia" w:ascii="仿宋" w:hAnsi="仿宋" w:eastAsia="仿宋" w:cs="仿宋"/>
          <w:color w:val="auto"/>
          <w:spacing w:val="5"/>
          <w:szCs w:val="21"/>
          <w:highlight w:val="none"/>
        </w:rPr>
        <w:t>各方不得再以自己名义单独或参加其他联合体在本招标项目中投标，否则各相</w:t>
      </w:r>
      <w:r>
        <w:rPr>
          <w:rFonts w:hint="eastAsia" w:ascii="仿宋" w:hAnsi="仿宋" w:eastAsia="仿宋" w:cs="仿宋"/>
          <w:color w:val="auto"/>
          <w:szCs w:val="21"/>
          <w:highlight w:val="none"/>
        </w:rPr>
        <w:t xml:space="preserve"> </w:t>
      </w:r>
      <w:r>
        <w:rPr>
          <w:rFonts w:hint="eastAsia" w:ascii="仿宋" w:hAnsi="仿宋" w:eastAsia="仿宋" w:cs="仿宋"/>
          <w:color w:val="auto"/>
          <w:spacing w:val="-6"/>
          <w:szCs w:val="21"/>
          <w:highlight w:val="none"/>
        </w:rPr>
        <w:t>关</w:t>
      </w:r>
      <w:r>
        <w:rPr>
          <w:rFonts w:hint="eastAsia" w:ascii="仿宋" w:hAnsi="仿宋" w:eastAsia="仿宋" w:cs="仿宋"/>
          <w:color w:val="auto"/>
          <w:spacing w:val="-3"/>
          <w:szCs w:val="21"/>
          <w:highlight w:val="none"/>
        </w:rPr>
        <w:t>投标均无效。</w:t>
      </w:r>
    </w:p>
    <w:p w14:paraId="30CE1F16">
      <w:pPr>
        <w:shd w:val="clear" w:color="auto" w:fill="auto"/>
        <w:spacing w:line="220" w:lineRule="auto"/>
        <w:ind w:left="437"/>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1.</w:t>
      </w:r>
      <w:r>
        <w:rPr>
          <w:rFonts w:hint="eastAsia" w:ascii="仿宋" w:hAnsi="仿宋" w:eastAsia="仿宋" w:cs="仿宋"/>
          <w:color w:val="auto"/>
          <w:spacing w:val="-2"/>
          <w:szCs w:val="21"/>
          <w:highlight w:val="none"/>
        </w:rPr>
        <w:t>4.3  投标人不得存在下列情形之一：</w:t>
      </w:r>
    </w:p>
    <w:p w14:paraId="444665D7">
      <w:pPr>
        <w:shd w:val="clear" w:color="auto" w:fill="auto"/>
        <w:spacing w:before="150" w:line="220" w:lineRule="auto"/>
        <w:ind w:left="427"/>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(1) 为招标人不具有独立法人资格的附属机构(单位)</w:t>
      </w:r>
      <w:r>
        <w:rPr>
          <w:rFonts w:hint="eastAsia" w:ascii="仿宋" w:hAnsi="仿宋" w:eastAsia="仿宋" w:cs="仿宋"/>
          <w:color w:val="auto"/>
          <w:spacing w:val="2"/>
          <w:szCs w:val="21"/>
          <w:highlight w:val="none"/>
        </w:rPr>
        <w:t>；</w:t>
      </w:r>
    </w:p>
    <w:p w14:paraId="6DCD3B56">
      <w:pPr>
        <w:shd w:val="clear" w:color="auto" w:fill="auto"/>
        <w:spacing w:before="150" w:line="221" w:lineRule="auto"/>
        <w:ind w:left="427"/>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(2) 与招</w:t>
      </w:r>
      <w:r>
        <w:rPr>
          <w:rFonts w:hint="eastAsia" w:ascii="仿宋" w:hAnsi="仿宋" w:eastAsia="仿宋" w:cs="仿宋"/>
          <w:color w:val="auto"/>
          <w:spacing w:val="4"/>
          <w:szCs w:val="21"/>
          <w:highlight w:val="none"/>
        </w:rPr>
        <w:t>标</w:t>
      </w:r>
      <w:r>
        <w:rPr>
          <w:rFonts w:hint="eastAsia" w:ascii="仿宋" w:hAnsi="仿宋" w:eastAsia="仿宋" w:cs="仿宋"/>
          <w:color w:val="auto"/>
          <w:spacing w:val="3"/>
          <w:szCs w:val="21"/>
          <w:highlight w:val="none"/>
        </w:rPr>
        <w:t>人存在利害关系且可能影响招标公正性；</w:t>
      </w:r>
    </w:p>
    <w:p w14:paraId="422FA585">
      <w:pPr>
        <w:shd w:val="clear" w:color="auto" w:fill="auto"/>
        <w:spacing w:before="148" w:line="220" w:lineRule="auto"/>
        <w:ind w:left="427"/>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(3) 与本招标</w:t>
      </w:r>
      <w:r>
        <w:rPr>
          <w:rFonts w:hint="eastAsia" w:ascii="仿宋" w:hAnsi="仿宋" w:eastAsia="仿宋" w:cs="仿宋"/>
          <w:color w:val="auto"/>
          <w:spacing w:val="3"/>
          <w:szCs w:val="21"/>
          <w:highlight w:val="none"/>
        </w:rPr>
        <w:t>项</w:t>
      </w:r>
      <w:r>
        <w:rPr>
          <w:rFonts w:hint="eastAsia" w:ascii="仿宋" w:hAnsi="仿宋" w:eastAsia="仿宋" w:cs="仿宋"/>
          <w:color w:val="auto"/>
          <w:spacing w:val="2"/>
          <w:szCs w:val="21"/>
          <w:highlight w:val="none"/>
        </w:rPr>
        <w:t>目的其他投标人为同一个单位负责人；</w:t>
      </w:r>
    </w:p>
    <w:p w14:paraId="189A0EF2">
      <w:pPr>
        <w:shd w:val="clear" w:color="auto" w:fill="auto"/>
        <w:spacing w:before="151" w:line="220" w:lineRule="auto"/>
        <w:ind w:left="427"/>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(4) 与本招标</w:t>
      </w:r>
      <w:r>
        <w:rPr>
          <w:rFonts w:hint="eastAsia" w:ascii="仿宋" w:hAnsi="仿宋" w:eastAsia="仿宋" w:cs="仿宋"/>
          <w:color w:val="auto"/>
          <w:spacing w:val="3"/>
          <w:szCs w:val="21"/>
          <w:highlight w:val="none"/>
        </w:rPr>
        <w:t>项</w:t>
      </w:r>
      <w:r>
        <w:rPr>
          <w:rFonts w:hint="eastAsia" w:ascii="仿宋" w:hAnsi="仿宋" w:eastAsia="仿宋" w:cs="仿宋"/>
          <w:color w:val="auto"/>
          <w:spacing w:val="2"/>
          <w:szCs w:val="21"/>
          <w:highlight w:val="none"/>
        </w:rPr>
        <w:t>目的其他投标人存在控股、管理关系；</w:t>
      </w:r>
    </w:p>
    <w:p w14:paraId="0A65F02E">
      <w:pPr>
        <w:shd w:val="clear" w:color="auto" w:fill="auto"/>
        <w:spacing w:before="150" w:line="220" w:lineRule="auto"/>
        <w:ind w:left="427"/>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(5</w:t>
      </w:r>
      <w:r>
        <w:rPr>
          <w:rFonts w:hint="eastAsia" w:ascii="仿宋" w:hAnsi="仿宋" w:eastAsia="仿宋" w:cs="仿宋"/>
          <w:color w:val="auto"/>
          <w:spacing w:val="4"/>
          <w:szCs w:val="21"/>
          <w:highlight w:val="none"/>
        </w:rPr>
        <w:t>) 为本招标项目的代建人；</w:t>
      </w:r>
    </w:p>
    <w:p w14:paraId="34BD758F">
      <w:pPr>
        <w:shd w:val="clear" w:color="auto" w:fill="auto"/>
        <w:spacing w:before="1" w:line="351" w:lineRule="auto"/>
        <w:ind w:left="1" w:right="3" w:firstLine="319"/>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(6) 为本招标项目的招标代理机构；</w:t>
      </w:r>
    </w:p>
    <w:p w14:paraId="285D792B">
      <w:pPr>
        <w:shd w:val="clear" w:color="auto" w:fill="auto"/>
        <w:spacing w:before="1" w:line="351" w:lineRule="auto"/>
        <w:ind w:left="1" w:right="3" w:firstLine="319"/>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(7) 与本招标项目的代建人或招标代理机构同为一个法定代表人；</w:t>
      </w:r>
    </w:p>
    <w:p w14:paraId="785835FA">
      <w:pPr>
        <w:shd w:val="clear" w:color="auto" w:fill="auto"/>
        <w:spacing w:before="1" w:line="351" w:lineRule="auto"/>
        <w:ind w:left="1" w:right="3" w:firstLine="319"/>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(8) 与本招标项目的代建人或招标代理机构存在控股或参股关系；</w:t>
      </w:r>
    </w:p>
    <w:p w14:paraId="67C6FB3F">
      <w:pPr>
        <w:shd w:val="clear" w:color="auto" w:fill="auto"/>
        <w:spacing w:before="1" w:line="351" w:lineRule="auto"/>
        <w:ind w:left="1" w:right="3" w:firstLine="319"/>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(9) 与本招标项目的施工承包人以及建筑材料、建筑构配件和设备供应商有隶属关系或者其他利害关系；</w:t>
      </w:r>
    </w:p>
    <w:p w14:paraId="3491A426">
      <w:pPr>
        <w:shd w:val="clear" w:color="auto" w:fill="auto"/>
        <w:spacing w:before="1" w:line="351" w:lineRule="auto"/>
        <w:ind w:left="1" w:right="3" w:firstLine="319"/>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rPr>
        <w:t>(10) 被依法暂停或者取消投标资格</w:t>
      </w:r>
      <w:r>
        <w:rPr>
          <w:rFonts w:hint="eastAsia" w:ascii="仿宋" w:hAnsi="仿宋" w:eastAsia="仿宋" w:cs="仿宋"/>
          <w:color w:val="auto"/>
          <w:spacing w:val="10"/>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5B01758">
      <w:pPr>
        <w:shd w:val="clear" w:color="auto" w:fill="auto"/>
        <w:spacing w:before="1" w:line="351" w:lineRule="auto"/>
        <w:ind w:left="1" w:right="3" w:firstLine="319"/>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rPr>
        <w:t>(11) 被责令停产停业、暂扣或者吊销许可证、暂扣或者吊销执照；</w:t>
      </w:r>
      <w:r>
        <w:rPr>
          <w:rFonts w:hint="eastAsia" w:ascii="仿宋" w:hAnsi="仿宋" w:eastAsia="仿宋" w:cs="仿宋"/>
          <w:color w:val="auto"/>
          <w:spacing w:val="10"/>
          <w:szCs w:val="21"/>
          <w:highlight w:val="none"/>
          <w:u w:val="single"/>
        </w:rPr>
        <w:t>（本项事实应当以根据《中华人民共和国行政处罚法》依法作出并已经生效的行政处罚决定为认定依据。）</w:t>
      </w:r>
    </w:p>
    <w:p w14:paraId="6F9DCF98">
      <w:pPr>
        <w:shd w:val="clear" w:color="auto" w:fill="auto"/>
        <w:spacing w:before="1" w:line="351" w:lineRule="auto"/>
        <w:ind w:left="1" w:right="3" w:firstLine="319"/>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(12) 进入清算程序，或被宣告破产，或其他丧失履约能力的情形；</w:t>
      </w:r>
    </w:p>
    <w:p w14:paraId="0202C89E">
      <w:pPr>
        <w:shd w:val="clear" w:color="auto" w:fill="auto"/>
        <w:spacing w:before="1" w:line="351" w:lineRule="auto"/>
        <w:ind w:left="1" w:right="3" w:firstLine="319"/>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(13) 在最近三年内发生重大监理质量问题(以相关行业主管部门的行政处罚决定或司法机关出具的有关法律文书为准</w:t>
      </w:r>
      <w:r>
        <w:rPr>
          <w:rFonts w:hint="eastAsia" w:ascii="仿宋" w:hAnsi="仿宋" w:eastAsia="仿宋" w:cs="仿宋"/>
          <w:color w:val="auto"/>
          <w:spacing w:val="10"/>
          <w:szCs w:val="21"/>
          <w:highlight w:val="none"/>
          <w:u w:val="single"/>
        </w:rPr>
        <w:t>。</w:t>
      </w:r>
      <w:r>
        <w:rPr>
          <w:rFonts w:hint="eastAsia" w:ascii="仿宋" w:hAnsi="仿宋" w:eastAsia="仿宋" w:cs="仿宋"/>
          <w:color w:val="auto"/>
          <w:spacing w:val="-1"/>
          <w:szCs w:val="21"/>
          <w:highlight w:val="none"/>
          <w:u w:val="single"/>
        </w:rPr>
        <w:t>“最近三年”是指从投标截止时间之日起逆推三年，以相关行业主管部门、司法机关、仲裁机构出具的生效文件的落款时间起计算</w:t>
      </w:r>
      <w:r>
        <w:rPr>
          <w:rFonts w:hint="eastAsia" w:ascii="仿宋" w:hAnsi="仿宋" w:eastAsia="仿宋" w:cs="仿宋"/>
          <w:color w:val="auto"/>
          <w:spacing w:val="10"/>
          <w:szCs w:val="21"/>
          <w:highlight w:val="none"/>
        </w:rPr>
        <w:t>)；</w:t>
      </w:r>
    </w:p>
    <w:p w14:paraId="5D504764">
      <w:pPr>
        <w:shd w:val="clear" w:color="auto" w:fill="auto"/>
        <w:spacing w:before="1" w:line="351" w:lineRule="auto"/>
        <w:ind w:left="1" w:right="3" w:firstLine="319"/>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w:t>
      </w:r>
      <w:r>
        <w:rPr>
          <w:rFonts w:hint="eastAsia" w:ascii="仿宋" w:hAnsi="仿宋" w:eastAsia="仿宋" w:cs="仿宋"/>
          <w:color w:val="auto"/>
          <w:spacing w:val="10"/>
          <w:szCs w:val="21"/>
          <w:highlight w:val="none"/>
          <w:lang w:val="en-US" w:eastAsia="zh-CN"/>
        </w:rPr>
        <w:t>14</w:t>
      </w:r>
      <w:r>
        <w:rPr>
          <w:rFonts w:hint="eastAsia" w:ascii="仿宋" w:hAnsi="仿宋" w:eastAsia="仿宋" w:cs="仿宋"/>
          <w:color w:val="auto"/>
          <w:spacing w:val="10"/>
          <w:szCs w:val="21"/>
          <w:highlight w:val="none"/>
        </w:rPr>
        <w:t>) 法律法规或投标人须知前附表规定的其他情形。</w:t>
      </w:r>
    </w:p>
    <w:p w14:paraId="4CDB0A01">
      <w:pPr>
        <w:shd w:val="clear" w:color="auto" w:fill="auto"/>
        <w:spacing w:line="220" w:lineRule="auto"/>
        <w:ind w:left="162"/>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1</w:t>
      </w:r>
      <w:r>
        <w:rPr>
          <w:rFonts w:hint="eastAsia" w:ascii="仿宋" w:hAnsi="仿宋" w:eastAsia="仿宋" w:cs="仿宋"/>
          <w:color w:val="auto"/>
          <w:spacing w:val="-3"/>
          <w:sz w:val="28"/>
          <w:szCs w:val="28"/>
          <w:highlight w:val="none"/>
        </w:rPr>
        <w:t>.5  费用承担</w:t>
      </w:r>
    </w:p>
    <w:p w14:paraId="631BB28B">
      <w:pPr>
        <w:shd w:val="clear" w:color="auto" w:fill="auto"/>
        <w:spacing w:line="318" w:lineRule="auto"/>
        <w:rPr>
          <w:rFonts w:hint="eastAsia" w:ascii="仿宋" w:hAnsi="仿宋" w:eastAsia="仿宋" w:cs="仿宋"/>
          <w:color w:val="auto"/>
          <w:highlight w:val="none"/>
        </w:rPr>
      </w:pPr>
    </w:p>
    <w:p w14:paraId="49B43411">
      <w:pPr>
        <w:shd w:val="clear" w:color="auto" w:fill="auto"/>
        <w:spacing w:before="68" w:line="559" w:lineRule="exact"/>
        <w:ind w:left="423"/>
        <w:rPr>
          <w:rFonts w:hint="eastAsia" w:ascii="仿宋" w:hAnsi="仿宋" w:eastAsia="仿宋" w:cs="仿宋"/>
          <w:color w:val="auto"/>
          <w:szCs w:val="21"/>
          <w:highlight w:val="none"/>
        </w:rPr>
      </w:pPr>
      <w:bookmarkStart w:id="165" w:name="_bookmark27"/>
      <w:bookmarkEnd w:id="165"/>
      <w:r>
        <w:rPr>
          <w:rFonts w:hint="eastAsia" w:ascii="仿宋" w:hAnsi="仿宋" w:eastAsia="仿宋" w:cs="仿宋"/>
          <w:color w:val="auto"/>
          <w:spacing w:val="-2"/>
          <w:position w:val="27"/>
          <w:szCs w:val="21"/>
          <w:highlight w:val="none"/>
        </w:rPr>
        <w:t>投</w:t>
      </w:r>
      <w:r>
        <w:rPr>
          <w:rFonts w:hint="eastAsia" w:ascii="仿宋" w:hAnsi="仿宋" w:eastAsia="仿宋" w:cs="仿宋"/>
          <w:color w:val="auto"/>
          <w:spacing w:val="-1"/>
          <w:position w:val="27"/>
          <w:szCs w:val="21"/>
          <w:highlight w:val="none"/>
        </w:rPr>
        <w:t>标人准备和参加投标活动发生的费用自理。</w:t>
      </w:r>
    </w:p>
    <w:p w14:paraId="6A062DB8">
      <w:pPr>
        <w:shd w:val="clear" w:color="auto" w:fill="auto"/>
        <w:spacing w:line="218" w:lineRule="auto"/>
        <w:ind w:left="162"/>
        <w:rPr>
          <w:rFonts w:hint="eastAsia" w:ascii="仿宋" w:hAnsi="仿宋" w:eastAsia="仿宋" w:cs="仿宋"/>
          <w:color w:val="auto"/>
          <w:spacing w:val="-8"/>
          <w:sz w:val="28"/>
          <w:szCs w:val="28"/>
          <w:highlight w:val="none"/>
        </w:rPr>
      </w:pPr>
    </w:p>
    <w:p w14:paraId="592BF71C">
      <w:pPr>
        <w:shd w:val="clear" w:color="auto" w:fill="auto"/>
        <w:spacing w:line="218" w:lineRule="auto"/>
        <w:ind w:left="162"/>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1</w:t>
      </w:r>
      <w:r>
        <w:rPr>
          <w:rFonts w:hint="eastAsia" w:ascii="仿宋" w:hAnsi="仿宋" w:eastAsia="仿宋" w:cs="仿宋"/>
          <w:color w:val="auto"/>
          <w:spacing w:val="-4"/>
          <w:sz w:val="28"/>
          <w:szCs w:val="28"/>
          <w:highlight w:val="none"/>
        </w:rPr>
        <w:t>.6 保密</w:t>
      </w:r>
    </w:p>
    <w:p w14:paraId="6F174A0B">
      <w:pPr>
        <w:shd w:val="clear" w:color="auto" w:fill="auto"/>
        <w:spacing w:line="320" w:lineRule="auto"/>
        <w:rPr>
          <w:rFonts w:hint="eastAsia" w:ascii="仿宋" w:hAnsi="仿宋" w:eastAsia="仿宋" w:cs="仿宋"/>
          <w:color w:val="auto"/>
          <w:highlight w:val="none"/>
        </w:rPr>
      </w:pPr>
    </w:p>
    <w:p w14:paraId="218DDFE2">
      <w:pPr>
        <w:shd w:val="clear" w:color="auto" w:fill="auto"/>
        <w:spacing w:before="69" w:line="362" w:lineRule="auto"/>
        <w:ind w:left="1" w:right="3" w:firstLine="420"/>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参与招标投标活动的各方应对招标文件和投标文件</w:t>
      </w:r>
      <w:r>
        <w:rPr>
          <w:rFonts w:hint="eastAsia" w:ascii="仿宋" w:hAnsi="仿宋" w:eastAsia="仿宋" w:cs="仿宋"/>
          <w:color w:val="auto"/>
          <w:szCs w:val="21"/>
          <w:highlight w:val="none"/>
        </w:rPr>
        <w:t>中的商业和技术等秘密保密，否则应承</w:t>
      </w:r>
      <w:bookmarkStart w:id="166" w:name="_bookmark28"/>
      <w:bookmarkEnd w:id="166"/>
      <w:r>
        <w:rPr>
          <w:rFonts w:hint="eastAsia" w:ascii="仿宋" w:hAnsi="仿宋" w:eastAsia="仿宋" w:cs="仿宋"/>
          <w:color w:val="auto"/>
          <w:spacing w:val="-4"/>
          <w:szCs w:val="21"/>
          <w:highlight w:val="none"/>
        </w:rPr>
        <w:t>担</w:t>
      </w:r>
      <w:r>
        <w:rPr>
          <w:rFonts w:hint="eastAsia" w:ascii="仿宋" w:hAnsi="仿宋" w:eastAsia="仿宋" w:cs="仿宋"/>
          <w:color w:val="auto"/>
          <w:spacing w:val="-3"/>
          <w:szCs w:val="21"/>
          <w:highlight w:val="none"/>
        </w:rPr>
        <w:t>相</w:t>
      </w:r>
      <w:r>
        <w:rPr>
          <w:rFonts w:hint="eastAsia" w:ascii="仿宋" w:hAnsi="仿宋" w:eastAsia="仿宋" w:cs="仿宋"/>
          <w:color w:val="auto"/>
          <w:spacing w:val="-2"/>
          <w:szCs w:val="21"/>
          <w:highlight w:val="none"/>
        </w:rPr>
        <w:t>应的法律责任。</w:t>
      </w:r>
    </w:p>
    <w:p w14:paraId="2DE9CA27">
      <w:pPr>
        <w:shd w:val="clear" w:color="auto" w:fill="auto"/>
        <w:spacing w:before="140" w:line="219" w:lineRule="auto"/>
        <w:ind w:left="162"/>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1</w:t>
      </w:r>
      <w:r>
        <w:rPr>
          <w:rFonts w:hint="eastAsia" w:ascii="仿宋" w:hAnsi="仿宋" w:eastAsia="仿宋" w:cs="仿宋"/>
          <w:color w:val="auto"/>
          <w:spacing w:val="-3"/>
          <w:sz w:val="28"/>
          <w:szCs w:val="28"/>
          <w:highlight w:val="none"/>
        </w:rPr>
        <w:t>.7  语言文字</w:t>
      </w:r>
    </w:p>
    <w:p w14:paraId="533CD320">
      <w:pPr>
        <w:shd w:val="clear" w:color="auto" w:fill="auto"/>
        <w:spacing w:line="319" w:lineRule="auto"/>
        <w:rPr>
          <w:rFonts w:hint="eastAsia" w:ascii="仿宋" w:hAnsi="仿宋" w:eastAsia="仿宋" w:cs="仿宋"/>
          <w:color w:val="auto"/>
          <w:highlight w:val="none"/>
        </w:rPr>
      </w:pPr>
    </w:p>
    <w:p w14:paraId="70D1ACE9">
      <w:pPr>
        <w:shd w:val="clear" w:color="auto" w:fill="auto"/>
        <w:spacing w:before="68" w:line="220" w:lineRule="auto"/>
        <w:ind w:left="421"/>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招标投标文</w:t>
      </w:r>
      <w:r>
        <w:rPr>
          <w:rFonts w:hint="eastAsia" w:ascii="仿宋" w:hAnsi="仿宋" w:eastAsia="仿宋" w:cs="仿宋"/>
          <w:color w:val="auto"/>
          <w:spacing w:val="-3"/>
          <w:szCs w:val="21"/>
          <w:highlight w:val="none"/>
        </w:rPr>
        <w:t>件使用的语言文字为中文。专用术语使用外文的，应附有中文注释。</w:t>
      </w:r>
    </w:p>
    <w:p w14:paraId="205F0382">
      <w:pPr>
        <w:shd w:val="clear" w:color="auto" w:fill="auto"/>
        <w:spacing w:before="310" w:line="220" w:lineRule="auto"/>
        <w:ind w:left="162"/>
        <w:rPr>
          <w:rFonts w:hint="eastAsia" w:ascii="仿宋" w:hAnsi="仿宋" w:eastAsia="仿宋" w:cs="仿宋"/>
          <w:color w:val="auto"/>
          <w:sz w:val="28"/>
          <w:szCs w:val="28"/>
          <w:highlight w:val="none"/>
        </w:rPr>
      </w:pPr>
      <w:bookmarkStart w:id="167" w:name="_bookmark29"/>
      <w:bookmarkEnd w:id="167"/>
      <w:r>
        <w:rPr>
          <w:rFonts w:hint="eastAsia" w:ascii="仿宋" w:hAnsi="仿宋" w:eastAsia="仿宋" w:cs="仿宋"/>
          <w:color w:val="auto"/>
          <w:spacing w:val="-6"/>
          <w:sz w:val="28"/>
          <w:szCs w:val="28"/>
          <w:highlight w:val="none"/>
        </w:rPr>
        <w:t>1</w:t>
      </w:r>
      <w:r>
        <w:rPr>
          <w:rFonts w:hint="eastAsia" w:ascii="仿宋" w:hAnsi="仿宋" w:eastAsia="仿宋" w:cs="仿宋"/>
          <w:color w:val="auto"/>
          <w:spacing w:val="-4"/>
          <w:sz w:val="28"/>
          <w:szCs w:val="28"/>
          <w:highlight w:val="none"/>
        </w:rPr>
        <w:t>.</w:t>
      </w:r>
      <w:r>
        <w:rPr>
          <w:rFonts w:hint="eastAsia" w:ascii="仿宋" w:hAnsi="仿宋" w:eastAsia="仿宋" w:cs="仿宋"/>
          <w:color w:val="auto"/>
          <w:spacing w:val="-3"/>
          <w:sz w:val="28"/>
          <w:szCs w:val="28"/>
          <w:highlight w:val="none"/>
        </w:rPr>
        <w:t>8 计量单位</w:t>
      </w:r>
    </w:p>
    <w:p w14:paraId="4E1C2CBB">
      <w:pPr>
        <w:shd w:val="clear" w:color="auto" w:fill="auto"/>
        <w:spacing w:line="318" w:lineRule="auto"/>
        <w:rPr>
          <w:rFonts w:hint="eastAsia" w:ascii="仿宋" w:hAnsi="仿宋" w:eastAsia="仿宋" w:cs="仿宋"/>
          <w:color w:val="auto"/>
          <w:highlight w:val="none"/>
        </w:rPr>
      </w:pPr>
    </w:p>
    <w:p w14:paraId="1D66512D">
      <w:pPr>
        <w:shd w:val="clear" w:color="auto" w:fill="auto"/>
        <w:spacing w:before="68" w:line="562" w:lineRule="exact"/>
        <w:ind w:left="420"/>
        <w:rPr>
          <w:rFonts w:hint="eastAsia" w:ascii="仿宋" w:hAnsi="仿宋" w:eastAsia="仿宋" w:cs="仿宋"/>
          <w:color w:val="auto"/>
          <w:szCs w:val="21"/>
          <w:highlight w:val="none"/>
        </w:rPr>
      </w:pPr>
      <w:bookmarkStart w:id="168" w:name="_bookmark30"/>
      <w:bookmarkEnd w:id="168"/>
      <w:r>
        <w:rPr>
          <w:rFonts w:hint="eastAsia" w:ascii="仿宋" w:hAnsi="仿宋" w:eastAsia="仿宋" w:cs="仿宋"/>
          <w:color w:val="auto"/>
          <w:spacing w:val="-1"/>
          <w:position w:val="27"/>
          <w:szCs w:val="21"/>
          <w:highlight w:val="none"/>
        </w:rPr>
        <w:t>所有计</w:t>
      </w:r>
      <w:r>
        <w:rPr>
          <w:rFonts w:hint="eastAsia" w:ascii="仿宋" w:hAnsi="仿宋" w:eastAsia="仿宋" w:cs="仿宋"/>
          <w:color w:val="auto"/>
          <w:position w:val="27"/>
          <w:szCs w:val="21"/>
          <w:highlight w:val="none"/>
        </w:rPr>
        <w:t>量均采用中华人民共和国法定计量单位。</w:t>
      </w:r>
    </w:p>
    <w:p w14:paraId="125B1B14">
      <w:pPr>
        <w:shd w:val="clear" w:color="auto" w:fill="auto"/>
        <w:spacing w:before="1" w:line="219" w:lineRule="auto"/>
        <w:ind w:left="162"/>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1</w:t>
      </w:r>
      <w:r>
        <w:rPr>
          <w:rFonts w:hint="eastAsia" w:ascii="仿宋" w:hAnsi="仿宋" w:eastAsia="仿宋" w:cs="仿宋"/>
          <w:color w:val="auto"/>
          <w:spacing w:val="-3"/>
          <w:sz w:val="28"/>
          <w:szCs w:val="28"/>
          <w:highlight w:val="none"/>
        </w:rPr>
        <w:t>.9  踏勘现场</w:t>
      </w:r>
    </w:p>
    <w:p w14:paraId="5C514C08">
      <w:pPr>
        <w:shd w:val="clear" w:color="auto" w:fill="auto"/>
        <w:spacing w:line="319" w:lineRule="auto"/>
        <w:rPr>
          <w:rFonts w:hint="eastAsia" w:ascii="仿宋" w:hAnsi="仿宋" w:eastAsia="仿宋" w:cs="仿宋"/>
          <w:color w:val="auto"/>
          <w:highlight w:val="none"/>
        </w:rPr>
      </w:pPr>
    </w:p>
    <w:p w14:paraId="05068B2C">
      <w:pPr>
        <w:shd w:val="clear" w:color="auto" w:fill="auto"/>
        <w:spacing w:before="69" w:line="351" w:lineRule="auto"/>
        <w:ind w:left="8" w:right="2" w:firstLine="429"/>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1.9.1</w:t>
      </w:r>
      <w:r>
        <w:rPr>
          <w:rFonts w:hint="eastAsia" w:ascii="仿宋" w:hAnsi="仿宋" w:eastAsia="仿宋" w:cs="仿宋"/>
          <w:color w:val="auto"/>
          <w:spacing w:val="-6"/>
          <w:szCs w:val="21"/>
          <w:highlight w:val="none"/>
        </w:rPr>
        <w:t xml:space="preserve"> </w:t>
      </w:r>
      <w:r>
        <w:rPr>
          <w:rFonts w:hint="eastAsia" w:ascii="仿宋" w:hAnsi="仿宋" w:eastAsia="仿宋" w:cs="仿宋"/>
          <w:color w:val="auto"/>
          <w:spacing w:val="-4"/>
          <w:szCs w:val="21"/>
          <w:highlight w:val="none"/>
        </w:rPr>
        <w:t xml:space="preserve"> 投标人须知前附表规定组织踏勘现场的，招标人按投标人须知前附表规定的时间、地</w:t>
      </w:r>
      <w:r>
        <w:rPr>
          <w:rFonts w:hint="eastAsia" w:ascii="仿宋" w:hAnsi="仿宋" w:eastAsia="仿宋" w:cs="仿宋"/>
          <w:color w:val="auto"/>
          <w:szCs w:val="21"/>
          <w:highlight w:val="none"/>
        </w:rPr>
        <w:t xml:space="preserve"> </w:t>
      </w:r>
      <w:r>
        <w:rPr>
          <w:rFonts w:hint="eastAsia" w:ascii="仿宋" w:hAnsi="仿宋" w:eastAsia="仿宋" w:cs="仿宋"/>
          <w:color w:val="auto"/>
          <w:spacing w:val="-10"/>
          <w:szCs w:val="21"/>
          <w:highlight w:val="none"/>
        </w:rPr>
        <w:t>点组</w:t>
      </w:r>
      <w:r>
        <w:rPr>
          <w:rFonts w:hint="eastAsia" w:ascii="仿宋" w:hAnsi="仿宋" w:eastAsia="仿宋" w:cs="仿宋"/>
          <w:color w:val="auto"/>
          <w:spacing w:val="-8"/>
          <w:szCs w:val="21"/>
          <w:highlight w:val="none"/>
        </w:rPr>
        <w:t>织</w:t>
      </w:r>
      <w:r>
        <w:rPr>
          <w:rFonts w:hint="eastAsia" w:ascii="仿宋" w:hAnsi="仿宋" w:eastAsia="仿宋" w:cs="仿宋"/>
          <w:color w:val="auto"/>
          <w:spacing w:val="-5"/>
          <w:szCs w:val="21"/>
          <w:highlight w:val="none"/>
        </w:rPr>
        <w:t>投标人踏勘项目现场。部分投标人未按时参加踏勘现场的，不影响踏勘现场的正常进行。</w:t>
      </w:r>
    </w:p>
    <w:p w14:paraId="0835F946">
      <w:pPr>
        <w:shd w:val="clear" w:color="auto" w:fill="auto"/>
        <w:spacing w:before="1" w:line="220" w:lineRule="auto"/>
        <w:ind w:left="437"/>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1.9.2  投标人踏勘现场发生的费用自理。</w:t>
      </w:r>
    </w:p>
    <w:p w14:paraId="2DF62006">
      <w:pPr>
        <w:shd w:val="clear" w:color="auto" w:fill="auto"/>
        <w:spacing w:before="149" w:line="221" w:lineRule="auto"/>
        <w:ind w:left="437"/>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1.9.3  除招标人的原因外，投标人自行负责在踏勘现场中所发生的人</w:t>
      </w:r>
      <w:r>
        <w:rPr>
          <w:rFonts w:hint="eastAsia" w:ascii="仿宋" w:hAnsi="仿宋" w:eastAsia="仿宋" w:cs="仿宋"/>
          <w:color w:val="auto"/>
          <w:szCs w:val="21"/>
          <w:highlight w:val="none"/>
        </w:rPr>
        <w:t>员伤亡和财产损失。</w:t>
      </w:r>
    </w:p>
    <w:p w14:paraId="78E50F90">
      <w:pPr>
        <w:shd w:val="clear" w:color="auto" w:fill="auto"/>
        <w:spacing w:before="150" w:line="360" w:lineRule="auto"/>
        <w:ind w:firstLine="437"/>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1.9</w:t>
      </w:r>
      <w:r>
        <w:rPr>
          <w:rFonts w:hint="eastAsia" w:ascii="仿宋" w:hAnsi="仿宋" w:eastAsia="仿宋" w:cs="仿宋"/>
          <w:color w:val="auto"/>
          <w:spacing w:val="-2"/>
          <w:szCs w:val="21"/>
          <w:highlight w:val="none"/>
        </w:rPr>
        <w:t>.4  招标人在踏勘现场中介绍的工程场地和相关的周边环境情况，供投标人在编制投标文</w:t>
      </w:r>
      <w:r>
        <w:rPr>
          <w:rFonts w:hint="eastAsia" w:ascii="仿宋" w:hAnsi="仿宋" w:eastAsia="仿宋" w:cs="仿宋"/>
          <w:color w:val="auto"/>
          <w:szCs w:val="21"/>
          <w:highlight w:val="none"/>
        </w:rPr>
        <w:t xml:space="preserve"> </w:t>
      </w:r>
      <w:bookmarkStart w:id="169" w:name="_bookmark31"/>
      <w:bookmarkEnd w:id="169"/>
      <w:r>
        <w:rPr>
          <w:rFonts w:hint="eastAsia" w:ascii="仿宋" w:hAnsi="仿宋" w:eastAsia="仿宋" w:cs="仿宋"/>
          <w:color w:val="auto"/>
          <w:spacing w:val="-4"/>
          <w:szCs w:val="21"/>
          <w:highlight w:val="none"/>
        </w:rPr>
        <w:t>件时参考，招标人不对投标人据此作出的判断和决策负责</w:t>
      </w:r>
      <w:r>
        <w:rPr>
          <w:rFonts w:hint="eastAsia" w:ascii="仿宋" w:hAnsi="仿宋" w:eastAsia="仿宋" w:cs="仿宋"/>
          <w:color w:val="auto"/>
          <w:spacing w:val="-2"/>
          <w:szCs w:val="21"/>
          <w:highlight w:val="none"/>
        </w:rPr>
        <w:t>。</w:t>
      </w:r>
    </w:p>
    <w:p w14:paraId="12CA79B8">
      <w:pPr>
        <w:shd w:val="clear" w:color="auto" w:fill="auto"/>
        <w:spacing w:before="142" w:line="219" w:lineRule="auto"/>
        <w:ind w:left="162"/>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1.10 投标预备</w:t>
      </w:r>
      <w:r>
        <w:rPr>
          <w:rFonts w:hint="eastAsia" w:ascii="仿宋" w:hAnsi="仿宋" w:eastAsia="仿宋" w:cs="仿宋"/>
          <w:color w:val="auto"/>
          <w:spacing w:val="-2"/>
          <w:sz w:val="28"/>
          <w:szCs w:val="28"/>
          <w:highlight w:val="none"/>
        </w:rPr>
        <w:t>会</w:t>
      </w:r>
    </w:p>
    <w:p w14:paraId="36693107">
      <w:pPr>
        <w:shd w:val="clear" w:color="auto" w:fill="auto"/>
        <w:spacing w:line="319" w:lineRule="auto"/>
        <w:rPr>
          <w:rFonts w:hint="eastAsia" w:ascii="仿宋" w:hAnsi="仿宋" w:eastAsia="仿宋" w:cs="仿宋"/>
          <w:color w:val="auto"/>
          <w:highlight w:val="none"/>
        </w:rPr>
      </w:pPr>
    </w:p>
    <w:p w14:paraId="5668114C">
      <w:pPr>
        <w:shd w:val="clear" w:color="auto" w:fill="auto"/>
        <w:spacing w:before="70" w:line="351" w:lineRule="auto"/>
        <w:ind w:left="1" w:right="3" w:firstLine="435"/>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 xml:space="preserve">1.10.1  </w:t>
      </w:r>
      <w:r>
        <w:rPr>
          <w:rFonts w:hint="eastAsia" w:ascii="仿宋" w:hAnsi="仿宋" w:eastAsia="仿宋" w:cs="仿宋"/>
          <w:color w:val="auto"/>
          <w:szCs w:val="21"/>
          <w:highlight w:val="none"/>
        </w:rPr>
        <w:t xml:space="preserve">投标人须知前附表规定召开投标预备会的，招标人按投标人须知前附表规定的时间 </w:t>
      </w:r>
      <w:r>
        <w:rPr>
          <w:rFonts w:hint="eastAsia" w:ascii="仿宋" w:hAnsi="仿宋" w:eastAsia="仿宋" w:cs="仿宋"/>
          <w:color w:val="auto"/>
          <w:spacing w:val="-10"/>
          <w:szCs w:val="21"/>
          <w:highlight w:val="none"/>
        </w:rPr>
        <w:t>和</w:t>
      </w:r>
      <w:r>
        <w:rPr>
          <w:rFonts w:hint="eastAsia" w:ascii="仿宋" w:hAnsi="仿宋" w:eastAsia="仿宋" w:cs="仿宋"/>
          <w:color w:val="auto"/>
          <w:spacing w:val="-9"/>
          <w:szCs w:val="21"/>
          <w:highlight w:val="none"/>
        </w:rPr>
        <w:t>地</w:t>
      </w:r>
      <w:r>
        <w:rPr>
          <w:rFonts w:hint="eastAsia" w:ascii="仿宋" w:hAnsi="仿宋" w:eastAsia="仿宋" w:cs="仿宋"/>
          <w:color w:val="auto"/>
          <w:spacing w:val="-5"/>
          <w:szCs w:val="21"/>
          <w:highlight w:val="none"/>
        </w:rPr>
        <w:t>点召开投标预备会，澄清投标人提出的问题。</w:t>
      </w:r>
    </w:p>
    <w:p w14:paraId="12FD433C">
      <w:pPr>
        <w:shd w:val="clear" w:color="auto" w:fill="auto"/>
        <w:spacing w:line="351" w:lineRule="auto"/>
        <w:ind w:left="1" w:right="2" w:firstLine="435"/>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 xml:space="preserve">1.10.2  </w:t>
      </w:r>
      <w:r>
        <w:rPr>
          <w:rFonts w:hint="eastAsia" w:ascii="仿宋" w:hAnsi="仿宋" w:eastAsia="仿宋" w:cs="仿宋"/>
          <w:color w:val="auto"/>
          <w:szCs w:val="21"/>
          <w:highlight w:val="none"/>
        </w:rPr>
        <w:t xml:space="preserve">投标人应按投标人须知前附表规定的时间和形式将提出的问题送达招标人，以便招 </w:t>
      </w:r>
      <w:r>
        <w:rPr>
          <w:rFonts w:hint="eastAsia" w:ascii="仿宋" w:hAnsi="仿宋" w:eastAsia="仿宋" w:cs="仿宋"/>
          <w:color w:val="auto"/>
          <w:spacing w:val="-1"/>
          <w:szCs w:val="21"/>
          <w:highlight w:val="none"/>
        </w:rPr>
        <w:t>标人在会议期</w:t>
      </w:r>
      <w:r>
        <w:rPr>
          <w:rFonts w:hint="eastAsia" w:ascii="仿宋" w:hAnsi="仿宋" w:eastAsia="仿宋" w:cs="仿宋"/>
          <w:color w:val="auto"/>
          <w:szCs w:val="21"/>
          <w:highlight w:val="none"/>
        </w:rPr>
        <w:t>间澄清。</w:t>
      </w:r>
    </w:p>
    <w:p w14:paraId="585E2B96">
      <w:pPr>
        <w:shd w:val="clear" w:color="auto" w:fill="auto"/>
        <w:spacing w:line="351" w:lineRule="auto"/>
        <w:ind w:left="1" w:right="2" w:firstLine="435"/>
        <w:rPr>
          <w:rFonts w:hint="eastAsia" w:ascii="仿宋" w:hAnsi="仿宋" w:eastAsia="仿宋" w:cs="仿宋"/>
          <w:color w:val="auto"/>
          <w:spacing w:val="-7"/>
          <w:sz w:val="28"/>
          <w:szCs w:val="28"/>
          <w:highlight w:val="none"/>
        </w:rPr>
      </w:pPr>
      <w:r>
        <w:rPr>
          <w:rFonts w:hint="eastAsia" w:ascii="仿宋" w:hAnsi="仿宋" w:eastAsia="仿宋" w:cs="仿宋"/>
          <w:color w:val="auto"/>
          <w:spacing w:val="1"/>
          <w:szCs w:val="21"/>
          <w:highlight w:val="none"/>
        </w:rPr>
        <w:t xml:space="preserve">1.10.3  </w:t>
      </w:r>
      <w:r>
        <w:rPr>
          <w:rFonts w:hint="eastAsia" w:ascii="仿宋" w:hAnsi="仿宋" w:eastAsia="仿宋" w:cs="仿宋"/>
          <w:color w:val="auto"/>
          <w:szCs w:val="21"/>
          <w:highlight w:val="none"/>
        </w:rPr>
        <w:t xml:space="preserve">投标预备会后，招标人将对投标人所提问题的澄清，以投标人须知前附表规定的形 </w:t>
      </w:r>
      <w:r>
        <w:rPr>
          <w:rFonts w:hint="eastAsia" w:ascii="仿宋" w:hAnsi="仿宋" w:eastAsia="仿宋" w:cs="仿宋"/>
          <w:color w:val="auto"/>
          <w:spacing w:val="-1"/>
          <w:szCs w:val="21"/>
          <w:highlight w:val="none"/>
        </w:rPr>
        <w:t>式通知所有购</w:t>
      </w:r>
      <w:r>
        <w:rPr>
          <w:rFonts w:hint="eastAsia" w:ascii="仿宋" w:hAnsi="仿宋" w:eastAsia="仿宋" w:cs="仿宋"/>
          <w:color w:val="auto"/>
          <w:szCs w:val="21"/>
          <w:highlight w:val="none"/>
        </w:rPr>
        <w:t>买招标文件的投标人。该澄清内容为招标文件的组成部分。</w:t>
      </w:r>
      <w:bookmarkStart w:id="170" w:name="_bookmark32"/>
      <w:bookmarkEnd w:id="170"/>
    </w:p>
    <w:p w14:paraId="2B072B65">
      <w:pPr>
        <w:shd w:val="clear" w:color="auto" w:fill="auto"/>
        <w:spacing w:before="133" w:line="220" w:lineRule="auto"/>
        <w:ind w:left="161"/>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1</w:t>
      </w:r>
      <w:r>
        <w:rPr>
          <w:rFonts w:hint="eastAsia" w:ascii="仿宋" w:hAnsi="仿宋" w:eastAsia="仿宋" w:cs="仿宋"/>
          <w:color w:val="auto"/>
          <w:spacing w:val="-4"/>
          <w:sz w:val="28"/>
          <w:szCs w:val="28"/>
          <w:highlight w:val="none"/>
        </w:rPr>
        <w:t>.11  分包</w:t>
      </w:r>
    </w:p>
    <w:p w14:paraId="132BAA8F">
      <w:pPr>
        <w:shd w:val="clear" w:color="auto" w:fill="auto"/>
        <w:spacing w:line="318" w:lineRule="auto"/>
        <w:rPr>
          <w:rFonts w:hint="eastAsia" w:ascii="仿宋" w:hAnsi="仿宋" w:eastAsia="仿宋" w:cs="仿宋"/>
          <w:color w:val="auto"/>
          <w:highlight w:val="none"/>
        </w:rPr>
      </w:pPr>
    </w:p>
    <w:p w14:paraId="2054A68E">
      <w:pPr>
        <w:shd w:val="clear" w:color="auto" w:fill="auto"/>
        <w:spacing w:before="68" w:line="559" w:lineRule="exact"/>
        <w:ind w:left="421"/>
        <w:rPr>
          <w:rFonts w:hint="eastAsia" w:ascii="仿宋" w:hAnsi="仿宋" w:eastAsia="仿宋" w:cs="仿宋"/>
          <w:color w:val="auto"/>
          <w:szCs w:val="21"/>
          <w:highlight w:val="none"/>
        </w:rPr>
      </w:pPr>
      <w:bookmarkStart w:id="171" w:name="_bookmark33"/>
      <w:bookmarkEnd w:id="171"/>
      <w:r>
        <w:rPr>
          <w:rFonts w:hint="eastAsia" w:ascii="仿宋" w:hAnsi="仿宋" w:eastAsia="仿宋" w:cs="仿宋"/>
          <w:color w:val="auto"/>
          <w:spacing w:val="-1"/>
          <w:position w:val="27"/>
          <w:szCs w:val="21"/>
          <w:highlight w:val="none"/>
        </w:rPr>
        <w:t>本项目严禁分</w:t>
      </w:r>
      <w:r>
        <w:rPr>
          <w:rFonts w:hint="eastAsia" w:ascii="仿宋" w:hAnsi="仿宋" w:eastAsia="仿宋" w:cs="仿宋"/>
          <w:color w:val="auto"/>
          <w:position w:val="27"/>
          <w:szCs w:val="21"/>
          <w:highlight w:val="none"/>
        </w:rPr>
        <w:t>包。</w:t>
      </w:r>
    </w:p>
    <w:p w14:paraId="4C58A0EA">
      <w:pPr>
        <w:shd w:val="clear" w:color="auto" w:fill="auto"/>
        <w:spacing w:line="220" w:lineRule="auto"/>
        <w:ind w:left="161"/>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1.1</w:t>
      </w:r>
      <w:r>
        <w:rPr>
          <w:rFonts w:hint="eastAsia" w:ascii="仿宋" w:hAnsi="仿宋" w:eastAsia="仿宋" w:cs="仿宋"/>
          <w:color w:val="auto"/>
          <w:spacing w:val="-3"/>
          <w:sz w:val="28"/>
          <w:szCs w:val="28"/>
          <w:highlight w:val="none"/>
        </w:rPr>
        <w:t>2</w:t>
      </w:r>
      <w:r>
        <w:rPr>
          <w:rFonts w:hint="eastAsia" w:ascii="仿宋" w:hAnsi="仿宋" w:eastAsia="仿宋" w:cs="仿宋"/>
          <w:color w:val="auto"/>
          <w:spacing w:val="-2"/>
          <w:sz w:val="28"/>
          <w:szCs w:val="28"/>
          <w:highlight w:val="none"/>
        </w:rPr>
        <w:t xml:space="preserve"> 响应和偏差</w:t>
      </w:r>
    </w:p>
    <w:p w14:paraId="56DF4644">
      <w:pPr>
        <w:shd w:val="clear" w:color="auto" w:fill="auto"/>
        <w:spacing w:line="319" w:lineRule="auto"/>
        <w:rPr>
          <w:rFonts w:hint="eastAsia" w:ascii="仿宋" w:hAnsi="仿宋" w:eastAsia="仿宋" w:cs="仿宋"/>
          <w:color w:val="auto"/>
          <w:highlight w:val="none"/>
        </w:rPr>
      </w:pPr>
    </w:p>
    <w:p w14:paraId="030522AD">
      <w:pPr>
        <w:shd w:val="clear" w:color="auto" w:fill="auto"/>
        <w:spacing w:before="68" w:line="352" w:lineRule="auto"/>
        <w:ind w:left="7" w:firstLine="429"/>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1.12.1  投标文件应当对招标文件的实质性要求和条件作出满足性或更有利于招标人的响应</w:t>
      </w:r>
      <w:r>
        <w:rPr>
          <w:rFonts w:hint="eastAsia" w:ascii="仿宋" w:hAnsi="仿宋" w:eastAsia="仿宋" w:cs="仿宋"/>
          <w:color w:val="auto"/>
          <w:spacing w:val="-1"/>
          <w:szCs w:val="21"/>
          <w:highlight w:val="none"/>
        </w:rPr>
        <w:t>，</w:t>
      </w:r>
      <w:r>
        <w:rPr>
          <w:rFonts w:hint="eastAsia" w:ascii="仿宋" w:hAnsi="仿宋" w:eastAsia="仿宋" w:cs="仿宋"/>
          <w:color w:val="auto"/>
          <w:spacing w:val="-6"/>
          <w:szCs w:val="21"/>
          <w:highlight w:val="none"/>
        </w:rPr>
        <w:t>否则，</w:t>
      </w:r>
      <w:r>
        <w:rPr>
          <w:rFonts w:hint="eastAsia" w:ascii="仿宋" w:hAnsi="仿宋" w:eastAsia="仿宋" w:cs="仿宋"/>
          <w:color w:val="auto"/>
          <w:spacing w:val="-5"/>
          <w:szCs w:val="21"/>
          <w:highlight w:val="none"/>
        </w:rPr>
        <w:t>投</w:t>
      </w:r>
      <w:r>
        <w:rPr>
          <w:rFonts w:hint="eastAsia" w:ascii="仿宋" w:hAnsi="仿宋" w:eastAsia="仿宋" w:cs="仿宋"/>
          <w:color w:val="auto"/>
          <w:spacing w:val="-3"/>
          <w:szCs w:val="21"/>
          <w:highlight w:val="none"/>
        </w:rPr>
        <w:t>标人的投标将被否决。实质性要求和条件见投标人须知前附表。</w:t>
      </w:r>
    </w:p>
    <w:p w14:paraId="471E116C">
      <w:pPr>
        <w:shd w:val="clear" w:color="auto" w:fill="auto"/>
        <w:spacing w:line="219" w:lineRule="auto"/>
        <w:ind w:left="436"/>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1.12.2  投标人应根据招标文件的要求提供投标监理大纲等内容</w:t>
      </w:r>
      <w:r>
        <w:rPr>
          <w:rFonts w:hint="eastAsia" w:ascii="仿宋" w:hAnsi="仿宋" w:eastAsia="仿宋" w:cs="仿宋"/>
          <w:color w:val="auto"/>
          <w:szCs w:val="21"/>
          <w:highlight w:val="none"/>
        </w:rPr>
        <w:t>以对招标文件作出响应。</w:t>
      </w:r>
    </w:p>
    <w:p w14:paraId="1A8C6E74">
      <w:pPr>
        <w:shd w:val="clear" w:color="auto" w:fill="auto"/>
        <w:spacing w:before="149" w:line="361" w:lineRule="auto"/>
        <w:ind w:left="1" w:right="64" w:firstLine="449"/>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1.12.3  投标人须</w:t>
      </w:r>
      <w:r>
        <w:rPr>
          <w:rFonts w:hint="eastAsia" w:ascii="仿宋" w:hAnsi="仿宋" w:eastAsia="仿宋" w:cs="仿宋"/>
          <w:color w:val="auto"/>
          <w:spacing w:val="-2"/>
          <w:szCs w:val="21"/>
          <w:highlight w:val="none"/>
        </w:rPr>
        <w:t>知前附表允许投标文件偏离招标文件某些要求的，偏差应当符合招标文件规定的偏差范围和幅度</w:t>
      </w:r>
      <w:r>
        <w:rPr>
          <w:rFonts w:hint="eastAsia" w:ascii="仿宋" w:hAnsi="仿宋" w:eastAsia="仿宋" w:cs="仿宋"/>
          <w:color w:val="auto"/>
          <w:spacing w:val="-1"/>
          <w:szCs w:val="21"/>
          <w:highlight w:val="none"/>
        </w:rPr>
        <w:t>。</w:t>
      </w:r>
    </w:p>
    <w:p w14:paraId="24787FD8">
      <w:pPr>
        <w:shd w:val="clear" w:color="auto" w:fill="auto"/>
        <w:spacing w:before="149" w:line="239" w:lineRule="auto"/>
        <w:outlineLvl w:val="0"/>
        <w:rPr>
          <w:rFonts w:hint="eastAsia" w:ascii="仿宋" w:hAnsi="仿宋" w:eastAsia="仿宋" w:cs="仿宋"/>
          <w:color w:val="auto"/>
          <w:sz w:val="31"/>
          <w:szCs w:val="31"/>
          <w:highlight w:val="none"/>
        </w:rPr>
      </w:pPr>
      <w:bookmarkStart w:id="172" w:name="_bookmark34"/>
      <w:bookmarkEnd w:id="172"/>
      <w:bookmarkStart w:id="173" w:name="_bookmark35"/>
      <w:bookmarkEnd w:id="173"/>
      <w:bookmarkStart w:id="174" w:name="_Toc8547"/>
      <w:bookmarkStart w:id="175" w:name="_Toc3562"/>
      <w:bookmarkStart w:id="176" w:name="_Toc19282"/>
      <w:bookmarkStart w:id="177" w:name="_Toc19734"/>
      <w:bookmarkStart w:id="178" w:name="_Toc5539"/>
      <w:bookmarkStart w:id="179" w:name="_Toc3345"/>
      <w:bookmarkStart w:id="180" w:name="_Toc6688"/>
      <w:bookmarkStart w:id="181" w:name="_Toc26818"/>
      <w:bookmarkStart w:id="182" w:name="_Toc21022"/>
      <w:bookmarkStart w:id="183" w:name="_Toc26158"/>
      <w:bookmarkStart w:id="184" w:name="_Toc6824"/>
      <w:bookmarkStart w:id="185" w:name="_Toc21500"/>
      <w:bookmarkStart w:id="186" w:name="_Toc4355"/>
      <w:bookmarkStart w:id="187" w:name="_Toc13935"/>
      <w:bookmarkStart w:id="188" w:name="_Toc13954"/>
      <w:bookmarkStart w:id="189" w:name="_Toc24455"/>
      <w:bookmarkStart w:id="190" w:name="_Toc300"/>
      <w:r>
        <w:rPr>
          <w:rFonts w:hint="eastAsia" w:ascii="仿宋" w:hAnsi="仿宋" w:eastAsia="仿宋" w:cs="仿宋"/>
          <w:b/>
          <w:bCs/>
          <w:color w:val="auto"/>
          <w:spacing w:val="7"/>
          <w:sz w:val="31"/>
          <w:szCs w:val="31"/>
          <w:highlight w:val="none"/>
        </w:rPr>
        <w:t>2</w:t>
      </w:r>
      <w:r>
        <w:rPr>
          <w:rFonts w:hint="eastAsia" w:ascii="仿宋" w:hAnsi="仿宋" w:eastAsia="仿宋" w:cs="仿宋"/>
          <w:b/>
          <w:bCs/>
          <w:color w:val="auto"/>
          <w:spacing w:val="6"/>
          <w:sz w:val="31"/>
          <w:szCs w:val="31"/>
          <w:highlight w:val="none"/>
        </w:rPr>
        <w:t>.</w:t>
      </w:r>
      <w:r>
        <w:rPr>
          <w:rFonts w:hint="eastAsia" w:ascii="仿宋" w:hAnsi="仿宋" w:eastAsia="仿宋" w:cs="仿宋"/>
          <w:color w:val="auto"/>
          <w:spacing w:val="6"/>
          <w:sz w:val="31"/>
          <w:szCs w:val="31"/>
          <w:highlight w:val="none"/>
        </w:rPr>
        <w:t xml:space="preserve">  招标文件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9AF365">
      <w:pPr>
        <w:shd w:val="clear" w:color="auto" w:fill="auto"/>
        <w:spacing w:line="470" w:lineRule="auto"/>
        <w:rPr>
          <w:rFonts w:hint="eastAsia" w:ascii="仿宋" w:hAnsi="仿宋" w:eastAsia="仿宋" w:cs="仿宋"/>
          <w:color w:val="auto"/>
          <w:highlight w:val="none"/>
        </w:rPr>
      </w:pPr>
    </w:p>
    <w:p w14:paraId="3DFDF1A7">
      <w:pPr>
        <w:shd w:val="clear" w:color="auto" w:fill="auto"/>
        <w:spacing w:before="91" w:line="219" w:lineRule="auto"/>
        <w:ind w:left="135"/>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2.1</w:t>
      </w:r>
      <w:r>
        <w:rPr>
          <w:rFonts w:hint="eastAsia" w:ascii="仿宋" w:hAnsi="仿宋" w:eastAsia="仿宋" w:cs="仿宋"/>
          <w:color w:val="auto"/>
          <w:sz w:val="28"/>
          <w:szCs w:val="28"/>
          <w:highlight w:val="none"/>
        </w:rPr>
        <w:t xml:space="preserve">  招标文件的组成</w:t>
      </w:r>
    </w:p>
    <w:p w14:paraId="487F6F08">
      <w:pPr>
        <w:shd w:val="clear" w:color="auto" w:fill="auto"/>
        <w:spacing w:line="319" w:lineRule="auto"/>
        <w:rPr>
          <w:rFonts w:hint="eastAsia" w:ascii="仿宋" w:hAnsi="仿宋" w:eastAsia="仿宋" w:cs="仿宋"/>
          <w:color w:val="auto"/>
          <w:highlight w:val="none"/>
        </w:rPr>
      </w:pPr>
    </w:p>
    <w:p w14:paraId="064EF10B">
      <w:pPr>
        <w:shd w:val="clear" w:color="auto" w:fill="auto"/>
        <w:spacing w:before="69" w:line="220" w:lineRule="auto"/>
        <w:ind w:left="361"/>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本招标文件包</w:t>
      </w:r>
      <w:r>
        <w:rPr>
          <w:rFonts w:hint="eastAsia" w:ascii="仿宋" w:hAnsi="仿宋" w:eastAsia="仿宋" w:cs="仿宋"/>
          <w:color w:val="auto"/>
          <w:szCs w:val="21"/>
          <w:highlight w:val="none"/>
        </w:rPr>
        <w:t>括：</w:t>
      </w:r>
    </w:p>
    <w:p w14:paraId="125E275F">
      <w:pPr>
        <w:shd w:val="clear" w:color="auto" w:fill="auto"/>
        <w:spacing w:before="148" w:line="219" w:lineRule="auto"/>
        <w:ind w:left="366"/>
        <w:rPr>
          <w:rFonts w:hint="eastAsia" w:ascii="仿宋" w:hAnsi="仿宋" w:eastAsia="仿宋" w:cs="仿宋"/>
          <w:color w:val="auto"/>
          <w:szCs w:val="21"/>
          <w:highlight w:val="none"/>
        </w:rPr>
      </w:pPr>
      <w:r>
        <w:rPr>
          <w:rFonts w:hint="eastAsia" w:ascii="仿宋" w:hAnsi="仿宋" w:eastAsia="仿宋" w:cs="仿宋"/>
          <w:color w:val="auto"/>
          <w:spacing w:val="11"/>
          <w:szCs w:val="21"/>
          <w:highlight w:val="none"/>
        </w:rPr>
        <w:t>(1) 招标公告</w:t>
      </w:r>
      <w:r>
        <w:rPr>
          <w:rFonts w:hint="eastAsia" w:ascii="仿宋" w:hAnsi="仿宋" w:eastAsia="仿宋" w:cs="仿宋"/>
          <w:strike/>
          <w:color w:val="auto"/>
          <w:spacing w:val="11"/>
          <w:szCs w:val="21"/>
          <w:highlight w:val="none"/>
        </w:rPr>
        <w:t>(或投标邀请书)</w:t>
      </w:r>
      <w:r>
        <w:rPr>
          <w:rFonts w:hint="eastAsia" w:ascii="仿宋" w:hAnsi="仿宋" w:eastAsia="仿宋" w:cs="仿宋"/>
          <w:color w:val="auto"/>
          <w:spacing w:val="8"/>
          <w:szCs w:val="21"/>
          <w:highlight w:val="none"/>
        </w:rPr>
        <w:t>；</w:t>
      </w:r>
    </w:p>
    <w:p w14:paraId="049FFA43">
      <w:pPr>
        <w:shd w:val="clear" w:color="auto" w:fill="auto"/>
        <w:spacing w:before="152" w:line="221" w:lineRule="auto"/>
        <w:ind w:left="366"/>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(2) 投标人须知</w:t>
      </w:r>
      <w:r>
        <w:rPr>
          <w:rFonts w:hint="eastAsia" w:ascii="仿宋" w:hAnsi="仿宋" w:eastAsia="仿宋" w:cs="仿宋"/>
          <w:color w:val="auto"/>
          <w:spacing w:val="6"/>
          <w:szCs w:val="21"/>
          <w:highlight w:val="none"/>
        </w:rPr>
        <w:t>；</w:t>
      </w:r>
    </w:p>
    <w:p w14:paraId="0CB081CA">
      <w:pPr>
        <w:shd w:val="clear" w:color="auto" w:fill="auto"/>
        <w:spacing w:before="149" w:line="221" w:lineRule="auto"/>
        <w:ind w:left="366"/>
        <w:rPr>
          <w:rFonts w:hint="eastAsia" w:ascii="仿宋" w:hAnsi="仿宋" w:eastAsia="仿宋" w:cs="仿宋"/>
          <w:color w:val="auto"/>
          <w:szCs w:val="21"/>
          <w:highlight w:val="none"/>
        </w:rPr>
      </w:pPr>
      <w:r>
        <w:rPr>
          <w:rFonts w:hint="eastAsia" w:ascii="仿宋" w:hAnsi="仿宋" w:eastAsia="仿宋" w:cs="仿宋"/>
          <w:color w:val="auto"/>
          <w:spacing w:val="13"/>
          <w:szCs w:val="21"/>
          <w:highlight w:val="none"/>
        </w:rPr>
        <w:t>(</w:t>
      </w:r>
      <w:r>
        <w:rPr>
          <w:rFonts w:hint="eastAsia" w:ascii="仿宋" w:hAnsi="仿宋" w:eastAsia="仿宋" w:cs="仿宋"/>
          <w:color w:val="auto"/>
          <w:spacing w:val="10"/>
          <w:szCs w:val="21"/>
          <w:highlight w:val="none"/>
        </w:rPr>
        <w:t>3) 评标办法</w:t>
      </w:r>
      <w:r>
        <w:rPr>
          <w:rFonts w:hint="eastAsia" w:ascii="仿宋" w:hAnsi="仿宋" w:eastAsia="仿宋" w:cs="仿宋"/>
          <w:color w:val="auto"/>
          <w:highlight w:val="none"/>
          <w:u w:val="single"/>
        </w:rPr>
        <w:t>（“评定分离”定标办法）</w:t>
      </w:r>
      <w:r>
        <w:rPr>
          <w:rFonts w:hint="eastAsia" w:ascii="仿宋" w:hAnsi="仿宋" w:eastAsia="仿宋" w:cs="仿宋"/>
          <w:color w:val="auto"/>
          <w:spacing w:val="10"/>
          <w:szCs w:val="21"/>
          <w:highlight w:val="none"/>
        </w:rPr>
        <w:t>；</w:t>
      </w:r>
    </w:p>
    <w:p w14:paraId="67217CDE">
      <w:pPr>
        <w:shd w:val="clear" w:color="auto" w:fill="auto"/>
        <w:spacing w:before="147" w:line="221" w:lineRule="auto"/>
        <w:ind w:left="366"/>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w:t>
      </w:r>
      <w:r>
        <w:rPr>
          <w:rFonts w:hint="eastAsia" w:ascii="仿宋" w:hAnsi="仿宋" w:eastAsia="仿宋" w:cs="仿宋"/>
          <w:color w:val="auto"/>
          <w:spacing w:val="9"/>
          <w:szCs w:val="21"/>
          <w:highlight w:val="none"/>
        </w:rPr>
        <w:t>4</w:t>
      </w:r>
      <w:r>
        <w:rPr>
          <w:rFonts w:hint="eastAsia" w:ascii="仿宋" w:hAnsi="仿宋" w:eastAsia="仿宋" w:cs="仿宋"/>
          <w:color w:val="auto"/>
          <w:spacing w:val="5"/>
          <w:szCs w:val="21"/>
          <w:highlight w:val="none"/>
        </w:rPr>
        <w:t>) 合同条款及格式；</w:t>
      </w:r>
    </w:p>
    <w:p w14:paraId="07F7E389">
      <w:pPr>
        <w:shd w:val="clear" w:color="auto" w:fill="auto"/>
        <w:spacing w:before="150" w:line="222" w:lineRule="auto"/>
        <w:ind w:left="366"/>
        <w:rPr>
          <w:rFonts w:hint="eastAsia" w:ascii="仿宋" w:hAnsi="仿宋" w:eastAsia="仿宋" w:cs="仿宋"/>
          <w:color w:val="auto"/>
          <w:szCs w:val="21"/>
          <w:highlight w:val="none"/>
        </w:rPr>
      </w:pPr>
      <w:r>
        <w:rPr>
          <w:rFonts w:hint="eastAsia" w:ascii="仿宋" w:hAnsi="仿宋" w:eastAsia="仿宋" w:cs="仿宋"/>
          <w:color w:val="auto"/>
          <w:spacing w:val="11"/>
          <w:szCs w:val="21"/>
          <w:highlight w:val="none"/>
        </w:rPr>
        <w:t>(</w:t>
      </w:r>
      <w:r>
        <w:rPr>
          <w:rFonts w:hint="eastAsia" w:ascii="仿宋" w:hAnsi="仿宋" w:eastAsia="仿宋" w:cs="仿宋"/>
          <w:color w:val="auto"/>
          <w:spacing w:val="9"/>
          <w:szCs w:val="21"/>
          <w:highlight w:val="none"/>
        </w:rPr>
        <w:t>5) 委托人要求；</w:t>
      </w:r>
    </w:p>
    <w:p w14:paraId="23A36F34">
      <w:pPr>
        <w:shd w:val="clear" w:color="auto" w:fill="auto"/>
        <w:spacing w:before="147" w:line="221" w:lineRule="auto"/>
        <w:ind w:left="366"/>
        <w:rPr>
          <w:rFonts w:hint="eastAsia" w:ascii="仿宋" w:hAnsi="仿宋" w:eastAsia="仿宋" w:cs="仿宋"/>
          <w:color w:val="auto"/>
          <w:szCs w:val="21"/>
          <w:highlight w:val="none"/>
        </w:rPr>
      </w:pPr>
      <w:r>
        <w:rPr>
          <w:rFonts w:hint="eastAsia" w:ascii="仿宋" w:hAnsi="仿宋" w:eastAsia="仿宋" w:cs="仿宋"/>
          <w:color w:val="auto"/>
          <w:spacing w:val="13"/>
          <w:szCs w:val="21"/>
          <w:highlight w:val="none"/>
        </w:rPr>
        <w:t>(</w:t>
      </w:r>
      <w:r>
        <w:rPr>
          <w:rFonts w:hint="eastAsia" w:ascii="仿宋" w:hAnsi="仿宋" w:eastAsia="仿宋" w:cs="仿宋"/>
          <w:color w:val="auto"/>
          <w:spacing w:val="8"/>
          <w:szCs w:val="21"/>
          <w:highlight w:val="none"/>
        </w:rPr>
        <w:t>6) 投标文件格式；</w:t>
      </w:r>
    </w:p>
    <w:p w14:paraId="4F2FAB63">
      <w:pPr>
        <w:shd w:val="clear" w:color="auto" w:fill="auto"/>
        <w:spacing w:before="152" w:line="361" w:lineRule="auto"/>
        <w:ind w:left="3" w:right="59" w:firstLine="417"/>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根据本章第 1.10 款、第 2.2 款和第 2.3 款对</w:t>
      </w:r>
      <w:r>
        <w:rPr>
          <w:rFonts w:hint="eastAsia" w:ascii="仿宋" w:hAnsi="仿宋" w:eastAsia="仿宋" w:cs="仿宋"/>
          <w:color w:val="auto"/>
          <w:spacing w:val="-1"/>
          <w:szCs w:val="21"/>
          <w:highlight w:val="none"/>
        </w:rPr>
        <w:t>招标文件所作的澄清、修改，构成招标文件的</w:t>
      </w:r>
      <w:bookmarkStart w:id="191" w:name="_bookmark36"/>
      <w:bookmarkEnd w:id="191"/>
      <w:r>
        <w:rPr>
          <w:rFonts w:hint="eastAsia" w:ascii="仿宋" w:hAnsi="仿宋" w:eastAsia="仿宋" w:cs="仿宋"/>
          <w:color w:val="auto"/>
          <w:spacing w:val="-7"/>
          <w:szCs w:val="21"/>
          <w:highlight w:val="none"/>
        </w:rPr>
        <w:t>组</w:t>
      </w:r>
      <w:r>
        <w:rPr>
          <w:rFonts w:hint="eastAsia" w:ascii="仿宋" w:hAnsi="仿宋" w:eastAsia="仿宋" w:cs="仿宋"/>
          <w:color w:val="auto"/>
          <w:spacing w:val="-4"/>
          <w:szCs w:val="21"/>
          <w:highlight w:val="none"/>
        </w:rPr>
        <w:t>成部分。</w:t>
      </w:r>
    </w:p>
    <w:p w14:paraId="6DD15C08">
      <w:pPr>
        <w:shd w:val="clear" w:color="auto" w:fill="auto"/>
        <w:spacing w:before="138" w:line="219" w:lineRule="auto"/>
        <w:ind w:left="135"/>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2.2</w:t>
      </w:r>
      <w:r>
        <w:rPr>
          <w:rFonts w:hint="eastAsia" w:ascii="仿宋" w:hAnsi="仿宋" w:eastAsia="仿宋" w:cs="仿宋"/>
          <w:color w:val="auto"/>
          <w:sz w:val="28"/>
          <w:szCs w:val="28"/>
          <w:highlight w:val="none"/>
        </w:rPr>
        <w:t xml:space="preserve">  招标文件的澄清</w:t>
      </w:r>
    </w:p>
    <w:p w14:paraId="45BC854F">
      <w:pPr>
        <w:shd w:val="clear" w:color="auto" w:fill="auto"/>
        <w:spacing w:line="318" w:lineRule="auto"/>
        <w:rPr>
          <w:rFonts w:hint="eastAsia" w:ascii="仿宋" w:hAnsi="仿宋" w:eastAsia="仿宋" w:cs="仿宋"/>
          <w:color w:val="auto"/>
          <w:highlight w:val="none"/>
        </w:rPr>
      </w:pPr>
    </w:p>
    <w:p w14:paraId="6B2BE442">
      <w:pPr>
        <w:shd w:val="clear" w:color="auto" w:fill="auto"/>
        <w:spacing w:before="69" w:line="352" w:lineRule="auto"/>
        <w:ind w:left="1" w:right="59" w:firstLine="415"/>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2.2.1  投标人应仔细阅读和检查招标文件的全部内容。如发现缺页或附件不全， 应及时向</w:t>
      </w:r>
      <w:r>
        <w:rPr>
          <w:rFonts w:hint="eastAsia" w:ascii="仿宋" w:hAnsi="仿宋" w:eastAsia="仿宋" w:cs="仿宋"/>
          <w:color w:val="auto"/>
          <w:spacing w:val="-3"/>
          <w:szCs w:val="21"/>
          <w:highlight w:val="none"/>
        </w:rPr>
        <w:t>招</w:t>
      </w:r>
      <w:r>
        <w:rPr>
          <w:rFonts w:hint="eastAsia" w:ascii="仿宋" w:hAnsi="仿宋" w:eastAsia="仿宋" w:cs="仿宋"/>
          <w:color w:val="auto"/>
          <w:spacing w:val="1"/>
          <w:szCs w:val="21"/>
          <w:highlight w:val="none"/>
        </w:rPr>
        <w:t>标人提出，以便补齐。如有疑问，应按投标人须知前</w:t>
      </w:r>
      <w:r>
        <w:rPr>
          <w:rFonts w:hint="eastAsia" w:ascii="仿宋" w:hAnsi="仿宋" w:eastAsia="仿宋" w:cs="仿宋"/>
          <w:color w:val="auto"/>
          <w:szCs w:val="21"/>
          <w:highlight w:val="none"/>
        </w:rPr>
        <w:t>附表规定的时间和形式将提出的问题送达</w:t>
      </w:r>
      <w:r>
        <w:rPr>
          <w:rFonts w:hint="eastAsia" w:ascii="仿宋" w:hAnsi="仿宋" w:eastAsia="仿宋" w:cs="仿宋"/>
          <w:color w:val="auto"/>
          <w:spacing w:val="-1"/>
          <w:szCs w:val="21"/>
          <w:highlight w:val="none"/>
        </w:rPr>
        <w:t>招标人，</w:t>
      </w:r>
      <w:r>
        <w:rPr>
          <w:rFonts w:hint="eastAsia" w:ascii="仿宋" w:hAnsi="仿宋" w:eastAsia="仿宋" w:cs="仿宋"/>
          <w:color w:val="auto"/>
          <w:szCs w:val="21"/>
          <w:highlight w:val="none"/>
        </w:rPr>
        <w:t>要求招标人对招标文件予以澄清。</w:t>
      </w:r>
    </w:p>
    <w:p w14:paraId="4494654F">
      <w:pPr>
        <w:shd w:val="clear" w:color="auto" w:fill="auto"/>
        <w:spacing w:before="150" w:line="351" w:lineRule="auto"/>
        <w:ind w:left="10" w:right="2" w:firstLine="408"/>
        <w:rPr>
          <w:rFonts w:hint="eastAsia" w:ascii="仿宋" w:hAnsi="仿宋" w:eastAsia="仿宋" w:cs="仿宋"/>
          <w:color w:val="auto"/>
          <w:spacing w:val="-5"/>
          <w:szCs w:val="21"/>
          <w:highlight w:val="none"/>
        </w:rPr>
      </w:pPr>
      <w:r>
        <w:rPr>
          <w:rFonts w:hint="eastAsia" w:ascii="仿宋" w:hAnsi="仿宋" w:eastAsia="仿宋" w:cs="仿宋"/>
          <w:color w:val="auto"/>
          <w:spacing w:val="-5"/>
          <w:szCs w:val="21"/>
          <w:highlight w:val="none"/>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 将相应延长投标截止时间。</w:t>
      </w:r>
    </w:p>
    <w:p w14:paraId="2AF1BB1E">
      <w:pPr>
        <w:shd w:val="clear" w:color="auto" w:fill="auto"/>
        <w:spacing w:before="150" w:line="351" w:lineRule="auto"/>
        <w:ind w:left="10" w:right="2" w:firstLine="408"/>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2</w:t>
      </w:r>
      <w:r>
        <w:rPr>
          <w:rFonts w:hint="eastAsia" w:ascii="仿宋" w:hAnsi="仿宋" w:eastAsia="仿宋" w:cs="仿宋"/>
          <w:color w:val="auto"/>
          <w:spacing w:val="-4"/>
          <w:szCs w:val="21"/>
          <w:highlight w:val="none"/>
        </w:rPr>
        <w:t>.2.3  投标人在收到澄清后，应按投标人须知前附表规定的时间和形式通知招标人， 确认已</w:t>
      </w:r>
      <w:r>
        <w:rPr>
          <w:rFonts w:hint="eastAsia" w:ascii="仿宋" w:hAnsi="仿宋" w:eastAsia="仿宋" w:cs="仿宋"/>
          <w:color w:val="auto"/>
          <w:spacing w:val="-2"/>
          <w:szCs w:val="21"/>
          <w:highlight w:val="none"/>
        </w:rPr>
        <w:t>收到该澄清。</w:t>
      </w:r>
    </w:p>
    <w:p w14:paraId="21CBC64C">
      <w:pPr>
        <w:shd w:val="clear" w:color="auto" w:fill="auto"/>
        <w:spacing w:before="1" w:line="361" w:lineRule="auto"/>
        <w:ind w:left="3" w:firstLine="415"/>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2.2.4  除非招标人认为</w:t>
      </w:r>
      <w:r>
        <w:rPr>
          <w:rFonts w:hint="eastAsia" w:ascii="仿宋" w:hAnsi="仿宋" w:eastAsia="仿宋" w:cs="仿宋"/>
          <w:color w:val="auto"/>
          <w:spacing w:val="-2"/>
          <w:szCs w:val="21"/>
          <w:highlight w:val="none"/>
        </w:rPr>
        <w:t>确有必要答复， 否则，招标人有权拒绝回复投标人在本章第 2.2.1 项</w:t>
      </w:r>
      <w:bookmarkStart w:id="192" w:name="_bookmark37"/>
      <w:bookmarkEnd w:id="192"/>
      <w:r>
        <w:rPr>
          <w:rFonts w:hint="eastAsia" w:ascii="仿宋" w:hAnsi="仿宋" w:eastAsia="仿宋" w:cs="仿宋"/>
          <w:color w:val="auto"/>
          <w:spacing w:val="-2"/>
          <w:szCs w:val="21"/>
          <w:highlight w:val="none"/>
        </w:rPr>
        <w:t>规定的时间后的任何澄清</w:t>
      </w:r>
      <w:r>
        <w:rPr>
          <w:rFonts w:hint="eastAsia" w:ascii="仿宋" w:hAnsi="仿宋" w:eastAsia="仿宋" w:cs="仿宋"/>
          <w:color w:val="auto"/>
          <w:spacing w:val="-1"/>
          <w:szCs w:val="21"/>
          <w:highlight w:val="none"/>
        </w:rPr>
        <w:t>要求。</w:t>
      </w:r>
    </w:p>
    <w:p w14:paraId="5C81B026">
      <w:pPr>
        <w:shd w:val="clear" w:color="auto" w:fill="auto"/>
        <w:spacing w:before="138" w:line="219" w:lineRule="auto"/>
        <w:ind w:left="137"/>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2.3</w:t>
      </w:r>
      <w:r>
        <w:rPr>
          <w:rFonts w:hint="eastAsia" w:ascii="仿宋" w:hAnsi="仿宋" w:eastAsia="仿宋" w:cs="仿宋"/>
          <w:color w:val="auto"/>
          <w:sz w:val="28"/>
          <w:szCs w:val="28"/>
          <w:highlight w:val="none"/>
        </w:rPr>
        <w:t xml:space="preserve">  招标文件的修改</w:t>
      </w:r>
    </w:p>
    <w:p w14:paraId="4332460A">
      <w:pPr>
        <w:shd w:val="clear" w:color="auto" w:fill="auto"/>
        <w:spacing w:line="318" w:lineRule="auto"/>
        <w:rPr>
          <w:rFonts w:hint="eastAsia" w:ascii="仿宋" w:hAnsi="仿宋" w:eastAsia="仿宋" w:cs="仿宋"/>
          <w:color w:val="auto"/>
          <w:highlight w:val="none"/>
        </w:rPr>
      </w:pPr>
    </w:p>
    <w:p w14:paraId="3251B3EF">
      <w:pPr>
        <w:shd w:val="clear" w:color="auto" w:fill="auto"/>
        <w:spacing w:before="68" w:line="352" w:lineRule="auto"/>
        <w:ind w:left="5" w:firstLine="413"/>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2.3.1 招标人以投标人须知前附表规定的形式修改招标文件，并通知所有投标登记的投标人。修改招标文件的时间距本章第4.2.1项规定的投标截止时间不足15日的，并且修改内容可能影响投标文件编制的，将相应延长投标截止时间。</w:t>
      </w:r>
    </w:p>
    <w:p w14:paraId="7A5F8E85">
      <w:pPr>
        <w:shd w:val="clear" w:color="auto" w:fill="auto"/>
        <w:spacing w:before="1" w:line="361" w:lineRule="auto"/>
        <w:ind w:left="26" w:right="2" w:firstLine="393"/>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2</w:t>
      </w:r>
      <w:r>
        <w:rPr>
          <w:rFonts w:hint="eastAsia" w:ascii="仿宋" w:hAnsi="仿宋" w:eastAsia="仿宋" w:cs="仿宋"/>
          <w:color w:val="auto"/>
          <w:spacing w:val="-4"/>
          <w:szCs w:val="21"/>
          <w:highlight w:val="none"/>
        </w:rPr>
        <w:t>.3.2  投标人收到修改内容后， 应按投标人须知前附表规定的时间和形式通知招标人，确认</w:t>
      </w:r>
      <w:r>
        <w:rPr>
          <w:rFonts w:hint="eastAsia" w:ascii="仿宋" w:hAnsi="仿宋" w:eastAsia="仿宋" w:cs="仿宋"/>
          <w:color w:val="auto"/>
          <w:szCs w:val="21"/>
          <w:highlight w:val="none"/>
        </w:rPr>
        <w:t xml:space="preserve"> </w:t>
      </w:r>
      <w:bookmarkStart w:id="193" w:name="_bookmark38"/>
      <w:bookmarkEnd w:id="193"/>
      <w:r>
        <w:rPr>
          <w:rFonts w:hint="eastAsia" w:ascii="仿宋" w:hAnsi="仿宋" w:eastAsia="仿宋" w:cs="仿宋"/>
          <w:color w:val="auto"/>
          <w:spacing w:val="-5"/>
          <w:szCs w:val="21"/>
          <w:highlight w:val="none"/>
        </w:rPr>
        <w:t>已</w:t>
      </w:r>
      <w:r>
        <w:rPr>
          <w:rFonts w:hint="eastAsia" w:ascii="仿宋" w:hAnsi="仿宋" w:eastAsia="仿宋" w:cs="仿宋"/>
          <w:color w:val="auto"/>
          <w:spacing w:val="-4"/>
          <w:szCs w:val="21"/>
          <w:highlight w:val="none"/>
        </w:rPr>
        <w:t>收到该修改。</w:t>
      </w:r>
    </w:p>
    <w:p w14:paraId="0E6A4C1D">
      <w:pPr>
        <w:shd w:val="clear" w:color="auto" w:fill="auto"/>
        <w:spacing w:before="141" w:line="219" w:lineRule="auto"/>
        <w:ind w:left="137"/>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2.4</w:t>
      </w:r>
      <w:r>
        <w:rPr>
          <w:rFonts w:hint="eastAsia" w:ascii="仿宋" w:hAnsi="仿宋" w:eastAsia="仿宋" w:cs="仿宋"/>
          <w:color w:val="auto"/>
          <w:sz w:val="28"/>
          <w:szCs w:val="28"/>
          <w:highlight w:val="none"/>
        </w:rPr>
        <w:t xml:space="preserve">  招标文件的异议</w:t>
      </w:r>
    </w:p>
    <w:p w14:paraId="1EB2CAA7">
      <w:pPr>
        <w:shd w:val="clear" w:color="auto" w:fill="auto"/>
        <w:spacing w:line="320" w:lineRule="auto"/>
        <w:rPr>
          <w:rFonts w:hint="eastAsia" w:ascii="仿宋" w:hAnsi="仿宋" w:eastAsia="仿宋" w:cs="仿宋"/>
          <w:color w:val="auto"/>
          <w:highlight w:val="none"/>
        </w:rPr>
      </w:pPr>
    </w:p>
    <w:p w14:paraId="3F8CEC62">
      <w:pPr>
        <w:shd w:val="clear" w:color="auto" w:fill="auto"/>
        <w:spacing w:before="69" w:line="359" w:lineRule="auto"/>
        <w:ind w:left="3" w:firstLine="421"/>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潜在投标人或利害关系人对本招标公告及招标文件有异议的，应当在投标截止时间10日前向招标人书面提出。招标人将在收到异议之日起 3 日内作出答复；作出答复前， 将暂停招标投标活动。</w:t>
      </w:r>
    </w:p>
    <w:p w14:paraId="5FD71120">
      <w:pPr>
        <w:shd w:val="clear" w:color="auto" w:fill="auto"/>
        <w:spacing w:before="69" w:line="359" w:lineRule="auto"/>
        <w:ind w:left="3" w:firstLine="421"/>
        <w:rPr>
          <w:rFonts w:hint="eastAsia" w:ascii="仿宋" w:hAnsi="仿宋" w:eastAsia="仿宋" w:cs="仿宋"/>
          <w:color w:val="auto"/>
          <w:szCs w:val="21"/>
          <w:highlight w:val="none"/>
          <w:u w:val="single"/>
        </w:rPr>
      </w:pPr>
      <w:r>
        <w:rPr>
          <w:rFonts w:hint="eastAsia" w:ascii="仿宋" w:hAnsi="仿宋" w:eastAsia="仿宋" w:cs="仿宋"/>
          <w:color w:val="auto"/>
          <w:spacing w:val="-6"/>
          <w:szCs w:val="21"/>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27FFE46">
      <w:pPr>
        <w:shd w:val="clear" w:color="auto" w:fill="auto"/>
        <w:spacing w:before="149" w:line="239" w:lineRule="auto"/>
        <w:outlineLvl w:val="0"/>
        <w:rPr>
          <w:rFonts w:hint="eastAsia" w:ascii="仿宋" w:hAnsi="仿宋" w:eastAsia="仿宋" w:cs="仿宋"/>
          <w:color w:val="auto"/>
          <w:sz w:val="31"/>
          <w:szCs w:val="31"/>
          <w:highlight w:val="none"/>
        </w:rPr>
      </w:pPr>
      <w:bookmarkStart w:id="194" w:name="_bookmark39"/>
      <w:bookmarkEnd w:id="194"/>
      <w:bookmarkStart w:id="195" w:name="_bookmark40"/>
      <w:bookmarkEnd w:id="195"/>
      <w:bookmarkStart w:id="196" w:name="_Toc23902"/>
      <w:bookmarkStart w:id="197" w:name="_Toc24100"/>
      <w:bookmarkStart w:id="198" w:name="_Toc28522"/>
      <w:bookmarkStart w:id="199" w:name="_Toc20077"/>
      <w:bookmarkStart w:id="200" w:name="_Toc16902"/>
      <w:bookmarkStart w:id="201" w:name="_Toc15684"/>
      <w:bookmarkStart w:id="202" w:name="_Toc18871"/>
      <w:bookmarkStart w:id="203" w:name="_Toc22407"/>
      <w:bookmarkStart w:id="204" w:name="_Toc2268"/>
      <w:bookmarkStart w:id="205" w:name="_Toc1070"/>
      <w:bookmarkStart w:id="206" w:name="_Toc7157"/>
      <w:bookmarkStart w:id="207" w:name="_Toc27458"/>
      <w:bookmarkStart w:id="208" w:name="_Toc32421"/>
      <w:bookmarkStart w:id="209" w:name="_Toc15595"/>
      <w:bookmarkStart w:id="210" w:name="_Toc24797"/>
      <w:bookmarkStart w:id="211" w:name="_Toc9094"/>
      <w:bookmarkStart w:id="212" w:name="_Toc4841"/>
      <w:r>
        <w:rPr>
          <w:rFonts w:hint="eastAsia" w:ascii="仿宋" w:hAnsi="仿宋" w:eastAsia="仿宋" w:cs="仿宋"/>
          <w:b/>
          <w:bCs/>
          <w:color w:val="auto"/>
          <w:spacing w:val="10"/>
          <w:sz w:val="31"/>
          <w:szCs w:val="31"/>
          <w:highlight w:val="none"/>
        </w:rPr>
        <w:t>3</w:t>
      </w:r>
      <w:r>
        <w:rPr>
          <w:rFonts w:hint="eastAsia" w:ascii="仿宋" w:hAnsi="仿宋" w:eastAsia="仿宋" w:cs="仿宋"/>
          <w:b/>
          <w:bCs/>
          <w:color w:val="auto"/>
          <w:spacing w:val="6"/>
          <w:sz w:val="31"/>
          <w:szCs w:val="31"/>
          <w:highlight w:val="none"/>
        </w:rPr>
        <w:t>.</w:t>
      </w:r>
      <w:r>
        <w:rPr>
          <w:rFonts w:hint="eastAsia" w:ascii="仿宋" w:hAnsi="仿宋" w:eastAsia="仿宋" w:cs="仿宋"/>
          <w:color w:val="auto"/>
          <w:spacing w:val="6"/>
          <w:sz w:val="31"/>
          <w:szCs w:val="31"/>
          <w:highlight w:val="none"/>
        </w:rPr>
        <w:t xml:space="preserve">  投标文件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CFE937B">
      <w:pPr>
        <w:shd w:val="clear" w:color="auto" w:fill="auto"/>
        <w:spacing w:line="470" w:lineRule="auto"/>
        <w:rPr>
          <w:rFonts w:hint="eastAsia" w:ascii="仿宋" w:hAnsi="仿宋" w:eastAsia="仿宋" w:cs="仿宋"/>
          <w:color w:val="auto"/>
          <w:highlight w:val="none"/>
        </w:rPr>
      </w:pPr>
    </w:p>
    <w:p w14:paraId="12631763">
      <w:pPr>
        <w:shd w:val="clear" w:color="auto" w:fill="auto"/>
        <w:spacing w:before="91" w:line="219" w:lineRule="auto"/>
        <w:ind w:left="143"/>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3.1  投标文件</w:t>
      </w:r>
      <w:r>
        <w:rPr>
          <w:rFonts w:hint="eastAsia" w:ascii="仿宋" w:hAnsi="仿宋" w:eastAsia="仿宋" w:cs="仿宋"/>
          <w:color w:val="auto"/>
          <w:sz w:val="28"/>
          <w:szCs w:val="28"/>
          <w:highlight w:val="none"/>
        </w:rPr>
        <w:t>的组成</w:t>
      </w:r>
    </w:p>
    <w:p w14:paraId="221BDEC0">
      <w:pPr>
        <w:shd w:val="clear" w:color="auto" w:fill="auto"/>
        <w:spacing w:line="318" w:lineRule="auto"/>
        <w:rPr>
          <w:rFonts w:hint="eastAsia" w:ascii="仿宋" w:hAnsi="仿宋" w:eastAsia="仿宋" w:cs="仿宋"/>
          <w:color w:val="auto"/>
          <w:highlight w:val="none"/>
        </w:rPr>
      </w:pPr>
    </w:p>
    <w:p w14:paraId="75CEF426">
      <w:pPr>
        <w:shd w:val="clear" w:color="auto" w:fill="auto"/>
        <w:spacing w:before="69" w:line="221" w:lineRule="auto"/>
        <w:ind w:left="425"/>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3.1.1  投标文件应包括</w:t>
      </w:r>
      <w:r>
        <w:rPr>
          <w:rFonts w:hint="eastAsia" w:ascii="仿宋" w:hAnsi="仿宋" w:eastAsia="仿宋" w:cs="仿宋"/>
          <w:color w:val="auto"/>
          <w:spacing w:val="-1"/>
          <w:szCs w:val="21"/>
          <w:highlight w:val="none"/>
        </w:rPr>
        <w:t>下列内容：</w:t>
      </w:r>
    </w:p>
    <w:p w14:paraId="4E65E659">
      <w:pPr>
        <w:shd w:val="clear" w:color="auto" w:fill="auto"/>
        <w:spacing w:before="151" w:line="220" w:lineRule="auto"/>
        <w:ind w:left="429"/>
        <w:rPr>
          <w:rFonts w:hint="eastAsia" w:ascii="仿宋" w:hAnsi="仿宋" w:eastAsia="仿宋" w:cs="仿宋"/>
          <w:color w:val="auto"/>
          <w:szCs w:val="21"/>
          <w:highlight w:val="none"/>
        </w:rPr>
      </w:pPr>
      <w:r>
        <w:rPr>
          <w:rFonts w:hint="eastAsia" w:ascii="仿宋" w:hAnsi="仿宋" w:eastAsia="仿宋" w:cs="仿宋"/>
          <w:color w:val="auto"/>
          <w:spacing w:val="12"/>
          <w:szCs w:val="21"/>
          <w:highlight w:val="none"/>
        </w:rPr>
        <w:t>(</w:t>
      </w: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 投标函及投标函附录；</w:t>
      </w:r>
    </w:p>
    <w:p w14:paraId="0801C49B">
      <w:pPr>
        <w:shd w:val="clear" w:color="auto" w:fill="auto"/>
        <w:spacing w:before="148" w:line="220" w:lineRule="auto"/>
        <w:ind w:left="429"/>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(2)</w:t>
      </w:r>
      <w:r>
        <w:rPr>
          <w:rFonts w:hint="eastAsia" w:ascii="仿宋" w:hAnsi="仿宋" w:eastAsia="仿宋" w:cs="仿宋"/>
          <w:color w:val="auto"/>
          <w:spacing w:val="3"/>
          <w:szCs w:val="21"/>
          <w:highlight w:val="none"/>
        </w:rPr>
        <w:t xml:space="preserve"> 法定代表人身份证明或授权委托书；</w:t>
      </w:r>
    </w:p>
    <w:p w14:paraId="6D221F9C">
      <w:pPr>
        <w:shd w:val="clear" w:color="auto" w:fill="auto"/>
        <w:spacing w:before="150" w:line="220" w:lineRule="auto"/>
        <w:ind w:left="429"/>
        <w:rPr>
          <w:rFonts w:hint="eastAsia" w:ascii="仿宋" w:hAnsi="仿宋" w:eastAsia="仿宋" w:cs="仿宋"/>
          <w:strike/>
          <w:dstrike w:val="0"/>
          <w:color w:val="auto"/>
          <w:szCs w:val="21"/>
          <w:highlight w:val="none"/>
        </w:rPr>
      </w:pPr>
      <w:r>
        <w:rPr>
          <w:rFonts w:hint="eastAsia" w:ascii="仿宋" w:hAnsi="仿宋" w:eastAsia="仿宋" w:cs="仿宋"/>
          <w:strike/>
          <w:dstrike w:val="0"/>
          <w:color w:val="auto"/>
          <w:spacing w:val="13"/>
          <w:szCs w:val="21"/>
          <w:highlight w:val="none"/>
        </w:rPr>
        <w:t>(</w:t>
      </w:r>
      <w:r>
        <w:rPr>
          <w:rFonts w:hint="eastAsia" w:ascii="仿宋" w:hAnsi="仿宋" w:eastAsia="仿宋" w:cs="仿宋"/>
          <w:strike/>
          <w:dstrike w:val="0"/>
          <w:color w:val="auto"/>
          <w:spacing w:val="8"/>
          <w:szCs w:val="21"/>
          <w:highlight w:val="none"/>
        </w:rPr>
        <w:t>3) 联合体协议书；</w:t>
      </w:r>
    </w:p>
    <w:p w14:paraId="73D991E2">
      <w:pPr>
        <w:shd w:val="clear" w:color="auto" w:fill="auto"/>
        <w:spacing w:before="152" w:line="221" w:lineRule="auto"/>
        <w:ind w:left="429"/>
        <w:rPr>
          <w:rFonts w:hint="eastAsia" w:ascii="仿宋" w:hAnsi="仿宋" w:eastAsia="仿宋" w:cs="仿宋"/>
          <w:strike/>
          <w:color w:val="auto"/>
          <w:szCs w:val="21"/>
          <w:highlight w:val="none"/>
        </w:rPr>
      </w:pPr>
      <w:r>
        <w:rPr>
          <w:rFonts w:hint="eastAsia" w:ascii="仿宋" w:hAnsi="仿宋" w:eastAsia="仿宋" w:cs="仿宋"/>
          <w:strike/>
          <w:color w:val="auto"/>
          <w:spacing w:val="7"/>
          <w:szCs w:val="21"/>
          <w:highlight w:val="none"/>
        </w:rPr>
        <w:t>(4) 投标保证金</w:t>
      </w:r>
      <w:r>
        <w:rPr>
          <w:rFonts w:hint="eastAsia" w:ascii="仿宋" w:hAnsi="仿宋" w:eastAsia="仿宋" w:cs="仿宋"/>
          <w:strike/>
          <w:color w:val="auto"/>
          <w:spacing w:val="6"/>
          <w:szCs w:val="21"/>
          <w:highlight w:val="none"/>
        </w:rPr>
        <w:t>；</w:t>
      </w:r>
    </w:p>
    <w:p w14:paraId="4DCC958F">
      <w:pPr>
        <w:shd w:val="clear" w:color="auto" w:fill="auto"/>
        <w:spacing w:before="146" w:line="221" w:lineRule="auto"/>
        <w:ind w:left="429"/>
        <w:rPr>
          <w:rFonts w:hint="eastAsia" w:ascii="仿宋" w:hAnsi="仿宋" w:eastAsia="仿宋" w:cs="仿宋"/>
          <w:color w:val="auto"/>
          <w:szCs w:val="21"/>
          <w:highlight w:val="none"/>
        </w:rPr>
      </w:pPr>
      <w:r>
        <w:rPr>
          <w:rFonts w:hint="eastAsia" w:ascii="仿宋" w:hAnsi="仿宋" w:eastAsia="仿宋" w:cs="仿宋"/>
          <w:color w:val="auto"/>
          <w:spacing w:val="13"/>
          <w:szCs w:val="21"/>
          <w:highlight w:val="none"/>
        </w:rPr>
        <w:t>(</w:t>
      </w:r>
      <w:r>
        <w:rPr>
          <w:rFonts w:hint="eastAsia" w:ascii="仿宋" w:hAnsi="仿宋" w:eastAsia="仿宋" w:cs="仿宋"/>
          <w:color w:val="auto"/>
          <w:spacing w:val="8"/>
          <w:szCs w:val="21"/>
          <w:highlight w:val="none"/>
        </w:rPr>
        <w:t>5) 监理报酬清单；</w:t>
      </w:r>
    </w:p>
    <w:p w14:paraId="0D366A49">
      <w:pPr>
        <w:shd w:val="clear" w:color="auto" w:fill="auto"/>
        <w:spacing w:before="149" w:line="221" w:lineRule="auto"/>
        <w:ind w:left="429"/>
        <w:rPr>
          <w:rFonts w:hint="eastAsia" w:ascii="仿宋" w:hAnsi="仿宋" w:eastAsia="仿宋" w:cs="仿宋"/>
          <w:color w:val="auto"/>
          <w:szCs w:val="21"/>
          <w:highlight w:val="none"/>
        </w:rPr>
      </w:pPr>
      <w:r>
        <w:rPr>
          <w:rFonts w:hint="eastAsia" w:ascii="仿宋" w:hAnsi="仿宋" w:eastAsia="仿宋" w:cs="仿宋"/>
          <w:color w:val="auto"/>
          <w:spacing w:val="13"/>
          <w:szCs w:val="21"/>
          <w:highlight w:val="none"/>
        </w:rPr>
        <w:t>(</w:t>
      </w:r>
      <w:r>
        <w:rPr>
          <w:rFonts w:hint="eastAsia" w:ascii="仿宋" w:hAnsi="仿宋" w:eastAsia="仿宋" w:cs="仿宋"/>
          <w:color w:val="auto"/>
          <w:spacing w:val="8"/>
          <w:szCs w:val="21"/>
          <w:highlight w:val="none"/>
        </w:rPr>
        <w:t>6) 资格审查资料；</w:t>
      </w:r>
    </w:p>
    <w:p w14:paraId="5116D25F">
      <w:pPr>
        <w:shd w:val="clear" w:color="auto" w:fill="auto"/>
        <w:spacing w:before="150" w:line="221" w:lineRule="auto"/>
        <w:ind w:left="429"/>
        <w:rPr>
          <w:rFonts w:hint="eastAsia" w:ascii="仿宋" w:hAnsi="仿宋" w:eastAsia="仿宋" w:cs="仿宋"/>
          <w:color w:val="auto"/>
          <w:szCs w:val="21"/>
          <w:highlight w:val="none"/>
        </w:rPr>
      </w:pPr>
      <w:r>
        <w:rPr>
          <w:rFonts w:hint="eastAsia" w:ascii="仿宋" w:hAnsi="仿宋" w:eastAsia="仿宋" w:cs="仿宋"/>
          <w:color w:val="auto"/>
          <w:spacing w:val="13"/>
          <w:szCs w:val="21"/>
          <w:highlight w:val="none"/>
        </w:rPr>
        <w:t>(</w:t>
      </w:r>
      <w:r>
        <w:rPr>
          <w:rFonts w:hint="eastAsia" w:ascii="仿宋" w:hAnsi="仿宋" w:eastAsia="仿宋" w:cs="仿宋"/>
          <w:color w:val="auto"/>
          <w:spacing w:val="10"/>
          <w:szCs w:val="21"/>
          <w:highlight w:val="none"/>
        </w:rPr>
        <w:t>7) 监理大纲；</w:t>
      </w:r>
    </w:p>
    <w:p w14:paraId="6A761757">
      <w:pPr>
        <w:shd w:val="clear" w:color="auto" w:fill="auto"/>
        <w:spacing w:before="147" w:line="220" w:lineRule="auto"/>
        <w:ind w:left="429"/>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 xml:space="preserve">(8) </w:t>
      </w:r>
      <w:r>
        <w:rPr>
          <w:rFonts w:hint="eastAsia" w:ascii="仿宋" w:hAnsi="仿宋" w:eastAsia="仿宋" w:cs="仿宋"/>
          <w:color w:val="auto"/>
          <w:highlight w:val="none"/>
          <w:lang w:val="en-US" w:eastAsia="zh-CN"/>
        </w:rPr>
        <w:t>投标人认为有必要提供的</w:t>
      </w:r>
      <w:r>
        <w:rPr>
          <w:rFonts w:hint="eastAsia" w:ascii="仿宋" w:hAnsi="仿宋" w:eastAsia="仿宋" w:cs="仿宋"/>
          <w:color w:val="auto"/>
          <w:highlight w:val="none"/>
        </w:rPr>
        <w:t>其他资料</w:t>
      </w:r>
      <w:r>
        <w:rPr>
          <w:rFonts w:hint="eastAsia" w:ascii="仿宋" w:hAnsi="仿宋" w:eastAsia="仿宋" w:cs="仿宋"/>
          <w:color w:val="auto"/>
          <w:spacing w:val="2"/>
          <w:szCs w:val="21"/>
          <w:highlight w:val="none"/>
        </w:rPr>
        <w:t>。</w:t>
      </w:r>
    </w:p>
    <w:p w14:paraId="3EB66E13">
      <w:pPr>
        <w:shd w:val="clear" w:color="auto" w:fill="auto"/>
        <w:spacing w:before="69" w:line="359" w:lineRule="auto"/>
        <w:ind w:left="3" w:firstLine="421"/>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投标人在评标过程中作出的符合法律法规和招标文件规定的澄清确认，构成投标文件的组成部分。</w:t>
      </w:r>
    </w:p>
    <w:p w14:paraId="1084F07E">
      <w:pPr>
        <w:shd w:val="clear" w:color="auto" w:fill="auto"/>
        <w:spacing w:before="152" w:line="361" w:lineRule="auto"/>
        <w:ind w:left="4" w:right="3" w:firstLine="420"/>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3.1.2  投标人须知前附表规定不接受联合体投标的，或投标人没有组成联合体的， 投标文</w:t>
      </w:r>
      <w:r>
        <w:rPr>
          <w:rFonts w:hint="eastAsia" w:ascii="仿宋" w:hAnsi="仿宋" w:eastAsia="仿宋" w:cs="仿宋"/>
          <w:color w:val="auto"/>
          <w:spacing w:val="-3"/>
          <w:szCs w:val="21"/>
          <w:highlight w:val="none"/>
        </w:rPr>
        <w:t>件</w:t>
      </w:r>
      <w:r>
        <w:rPr>
          <w:rFonts w:hint="eastAsia" w:ascii="仿宋" w:hAnsi="仿宋" w:eastAsia="仿宋" w:cs="仿宋"/>
          <w:color w:val="auto"/>
          <w:spacing w:val="-4"/>
          <w:szCs w:val="21"/>
          <w:highlight w:val="none"/>
        </w:rPr>
        <w:t>不包括本章第 3</w:t>
      </w:r>
      <w:r>
        <w:rPr>
          <w:rFonts w:hint="eastAsia" w:ascii="仿宋" w:hAnsi="仿宋" w:eastAsia="仿宋" w:cs="仿宋"/>
          <w:color w:val="auto"/>
          <w:spacing w:val="-3"/>
          <w:szCs w:val="21"/>
          <w:highlight w:val="none"/>
        </w:rPr>
        <w:t>.</w:t>
      </w:r>
      <w:r>
        <w:rPr>
          <w:rFonts w:hint="eastAsia" w:ascii="仿宋" w:hAnsi="仿宋" w:eastAsia="仿宋" w:cs="仿宋"/>
          <w:color w:val="auto"/>
          <w:spacing w:val="-2"/>
          <w:szCs w:val="21"/>
          <w:highlight w:val="none"/>
        </w:rPr>
        <w:t>1.1 (3) 目所指的联合体协议书。</w:t>
      </w:r>
    </w:p>
    <w:p w14:paraId="04117867">
      <w:pPr>
        <w:shd w:val="clear" w:color="auto" w:fill="auto"/>
        <w:spacing w:before="1" w:line="361" w:lineRule="auto"/>
        <w:ind w:left="3" w:right="2" w:firstLine="357"/>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3.1.3  投标人须知前附表未要求提交</w:t>
      </w:r>
      <w:r>
        <w:rPr>
          <w:rFonts w:hint="eastAsia" w:ascii="仿宋" w:hAnsi="仿宋" w:eastAsia="仿宋" w:cs="仿宋"/>
          <w:color w:val="auto"/>
          <w:szCs w:val="21"/>
          <w:highlight w:val="none"/>
        </w:rPr>
        <w:t>投标保证金的，投标文件不包括本章第 3.1.1 (4)目所</w:t>
      </w:r>
      <w:bookmarkStart w:id="213" w:name="_bookmark41"/>
      <w:bookmarkEnd w:id="213"/>
      <w:r>
        <w:rPr>
          <w:rFonts w:hint="eastAsia" w:ascii="仿宋" w:hAnsi="仿宋" w:eastAsia="仿宋" w:cs="仿宋"/>
          <w:color w:val="auto"/>
          <w:spacing w:val="-1"/>
          <w:szCs w:val="21"/>
          <w:highlight w:val="none"/>
        </w:rPr>
        <w:t>指的投标保证金。</w:t>
      </w:r>
    </w:p>
    <w:p w14:paraId="7C71B3FC">
      <w:pPr>
        <w:shd w:val="clear" w:color="auto" w:fill="auto"/>
        <w:spacing w:before="139" w:line="219" w:lineRule="auto"/>
        <w:ind w:left="14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3.2  投标报</w:t>
      </w:r>
      <w:r>
        <w:rPr>
          <w:rFonts w:hint="eastAsia" w:ascii="仿宋" w:hAnsi="仿宋" w:eastAsia="仿宋" w:cs="仿宋"/>
          <w:color w:val="auto"/>
          <w:sz w:val="28"/>
          <w:szCs w:val="28"/>
          <w:highlight w:val="none"/>
        </w:rPr>
        <w:t>价</w:t>
      </w:r>
    </w:p>
    <w:p w14:paraId="1FB1EB6A">
      <w:pPr>
        <w:shd w:val="clear" w:color="auto" w:fill="auto"/>
        <w:spacing w:line="318" w:lineRule="auto"/>
        <w:rPr>
          <w:rFonts w:hint="eastAsia" w:ascii="仿宋" w:hAnsi="仿宋" w:eastAsia="仿宋" w:cs="仿宋"/>
          <w:color w:val="auto"/>
          <w:highlight w:val="none"/>
        </w:rPr>
      </w:pPr>
    </w:p>
    <w:p w14:paraId="1948AC0C">
      <w:pPr>
        <w:shd w:val="clear" w:color="auto" w:fill="auto"/>
        <w:spacing w:before="69" w:line="352" w:lineRule="auto"/>
        <w:ind w:left="1" w:firstLine="419"/>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3.</w:t>
      </w:r>
      <w:r>
        <w:rPr>
          <w:rFonts w:hint="eastAsia" w:ascii="仿宋" w:hAnsi="仿宋" w:eastAsia="仿宋" w:cs="仿宋"/>
          <w:color w:val="auto"/>
          <w:spacing w:val="-8"/>
          <w:szCs w:val="21"/>
          <w:highlight w:val="none"/>
        </w:rPr>
        <w:t>2</w:t>
      </w:r>
      <w:r>
        <w:rPr>
          <w:rFonts w:hint="eastAsia" w:ascii="仿宋" w:hAnsi="仿宋" w:eastAsia="仿宋" w:cs="仿宋"/>
          <w:color w:val="auto"/>
          <w:spacing w:val="-5"/>
          <w:szCs w:val="21"/>
          <w:highlight w:val="none"/>
        </w:rPr>
        <w:t>.1 投标报价应包括国家规定的增值税税金，除投标人须知前附表另有规定外， 增值税税</w:t>
      </w:r>
      <w:r>
        <w:rPr>
          <w:rFonts w:hint="eastAsia" w:ascii="仿宋" w:hAnsi="仿宋" w:eastAsia="仿宋" w:cs="仿宋"/>
          <w:color w:val="auto"/>
          <w:szCs w:val="21"/>
          <w:highlight w:val="none"/>
        </w:rPr>
        <w:t xml:space="preserve"> </w:t>
      </w:r>
      <w:r>
        <w:rPr>
          <w:rFonts w:hint="eastAsia" w:ascii="仿宋" w:hAnsi="仿宋" w:eastAsia="仿宋" w:cs="仿宋"/>
          <w:color w:val="auto"/>
          <w:spacing w:val="2"/>
          <w:szCs w:val="21"/>
          <w:highlight w:val="none"/>
        </w:rPr>
        <w:t>金按一般计税方</w:t>
      </w:r>
      <w:r>
        <w:rPr>
          <w:rFonts w:hint="eastAsia" w:ascii="仿宋" w:hAnsi="仿宋" w:eastAsia="仿宋" w:cs="仿宋"/>
          <w:color w:val="auto"/>
          <w:spacing w:val="1"/>
          <w:szCs w:val="21"/>
          <w:highlight w:val="none"/>
        </w:rPr>
        <w:t>法计算。投标人应按第六章“投标文件格式”的要求在投标函中进行报价并填写</w:t>
      </w:r>
      <w:r>
        <w:rPr>
          <w:rFonts w:hint="eastAsia" w:ascii="仿宋" w:hAnsi="仿宋" w:eastAsia="仿宋" w:cs="仿宋"/>
          <w:color w:val="auto"/>
          <w:spacing w:val="-1"/>
          <w:szCs w:val="21"/>
          <w:highlight w:val="none"/>
        </w:rPr>
        <w:t>监理报酬清单。</w:t>
      </w:r>
    </w:p>
    <w:p w14:paraId="4F1AD518">
      <w:pPr>
        <w:shd w:val="clear" w:color="auto" w:fill="auto"/>
        <w:spacing w:line="219" w:lineRule="auto"/>
        <w:ind w:left="421"/>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3.2.</w:t>
      </w:r>
      <w:r>
        <w:rPr>
          <w:rFonts w:hint="eastAsia" w:ascii="仿宋" w:hAnsi="仿宋" w:eastAsia="仿宋" w:cs="仿宋"/>
          <w:color w:val="auto"/>
          <w:szCs w:val="21"/>
          <w:highlight w:val="none"/>
        </w:rPr>
        <w:t>2  投标人应充分了解该项目的总体情况以及影响投标报价的其他要素。</w:t>
      </w:r>
    </w:p>
    <w:p w14:paraId="67D7B9EA">
      <w:pPr>
        <w:shd w:val="clear" w:color="auto" w:fill="auto"/>
        <w:spacing w:before="148" w:line="352" w:lineRule="auto"/>
        <w:ind w:left="1" w:firstLine="419"/>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3.2.3  本项目的报价方式见投标人须知前附表。投标人在投标截止时</w:t>
      </w:r>
      <w:r>
        <w:rPr>
          <w:rFonts w:hint="eastAsia" w:ascii="仿宋" w:hAnsi="仿宋" w:eastAsia="仿宋" w:cs="仿宋"/>
          <w:color w:val="auto"/>
          <w:spacing w:val="-1"/>
          <w:szCs w:val="21"/>
          <w:highlight w:val="none"/>
        </w:rPr>
        <w:t>间前修改投标函中的投</w:t>
      </w:r>
      <w:r>
        <w:rPr>
          <w:rFonts w:hint="eastAsia" w:ascii="仿宋" w:hAnsi="仿宋" w:eastAsia="仿宋" w:cs="仿宋"/>
          <w:color w:val="auto"/>
          <w:spacing w:val="-6"/>
          <w:szCs w:val="21"/>
          <w:highlight w:val="none"/>
        </w:rPr>
        <w:t>标报价总额，应</w:t>
      </w:r>
      <w:r>
        <w:rPr>
          <w:rFonts w:hint="eastAsia" w:ascii="仿宋" w:hAnsi="仿宋" w:eastAsia="仿宋" w:cs="仿宋"/>
          <w:color w:val="auto"/>
          <w:spacing w:val="-4"/>
          <w:szCs w:val="21"/>
          <w:highlight w:val="none"/>
        </w:rPr>
        <w:t>同</w:t>
      </w:r>
      <w:r>
        <w:rPr>
          <w:rFonts w:hint="eastAsia" w:ascii="仿宋" w:hAnsi="仿宋" w:eastAsia="仿宋" w:cs="仿宋"/>
          <w:color w:val="auto"/>
          <w:spacing w:val="-3"/>
          <w:szCs w:val="21"/>
          <w:highlight w:val="none"/>
        </w:rPr>
        <w:t>时修改投标文件“监理报酬清单”中的相应报价。此修改须符合本章第 4.3 款的</w:t>
      </w:r>
      <w:r>
        <w:rPr>
          <w:rFonts w:hint="eastAsia" w:ascii="仿宋" w:hAnsi="仿宋" w:eastAsia="仿宋" w:cs="仿宋"/>
          <w:color w:val="auto"/>
          <w:spacing w:val="-5"/>
          <w:szCs w:val="21"/>
          <w:highlight w:val="none"/>
        </w:rPr>
        <w:t>有</w:t>
      </w:r>
      <w:r>
        <w:rPr>
          <w:rFonts w:hint="eastAsia" w:ascii="仿宋" w:hAnsi="仿宋" w:eastAsia="仿宋" w:cs="仿宋"/>
          <w:color w:val="auto"/>
          <w:spacing w:val="-4"/>
          <w:szCs w:val="21"/>
          <w:highlight w:val="none"/>
        </w:rPr>
        <w:t>关要求。</w:t>
      </w:r>
    </w:p>
    <w:p w14:paraId="44D4DC7F">
      <w:pPr>
        <w:shd w:val="clear" w:color="auto" w:fill="auto"/>
        <w:spacing w:before="1" w:line="352" w:lineRule="auto"/>
        <w:ind w:left="1" w:right="2" w:firstLine="419"/>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3.2.4  招标人设有最高投标限价的，投标人的投标报价不得超过最高投标限价，最</w:t>
      </w:r>
      <w:r>
        <w:rPr>
          <w:rFonts w:hint="eastAsia" w:ascii="仿宋" w:hAnsi="仿宋" w:eastAsia="仿宋" w:cs="仿宋"/>
          <w:color w:val="auto"/>
          <w:spacing w:val="-1"/>
          <w:szCs w:val="21"/>
          <w:highlight w:val="none"/>
        </w:rPr>
        <w:t>高</w:t>
      </w:r>
      <w:r>
        <w:rPr>
          <w:rFonts w:hint="eastAsia" w:ascii="仿宋" w:hAnsi="仿宋" w:eastAsia="仿宋" w:cs="仿宋"/>
          <w:color w:val="auto"/>
          <w:szCs w:val="21"/>
          <w:highlight w:val="none"/>
        </w:rPr>
        <w:t>投标限</w:t>
      </w:r>
      <w:r>
        <w:rPr>
          <w:rFonts w:hint="eastAsia" w:ascii="仿宋" w:hAnsi="仿宋" w:eastAsia="仿宋" w:cs="仿宋"/>
          <w:color w:val="auto"/>
          <w:spacing w:val="-2"/>
          <w:szCs w:val="21"/>
          <w:highlight w:val="none"/>
        </w:rPr>
        <w:t>价在投标人须知前附表中</w:t>
      </w:r>
      <w:r>
        <w:rPr>
          <w:rFonts w:hint="eastAsia" w:ascii="仿宋" w:hAnsi="仿宋" w:eastAsia="仿宋" w:cs="仿宋"/>
          <w:color w:val="auto"/>
          <w:spacing w:val="-1"/>
          <w:szCs w:val="21"/>
          <w:highlight w:val="none"/>
        </w:rPr>
        <w:t>载明。</w:t>
      </w:r>
    </w:p>
    <w:p w14:paraId="1B31C1EF">
      <w:pPr>
        <w:shd w:val="clear" w:color="auto" w:fill="auto"/>
        <w:spacing w:line="559" w:lineRule="exact"/>
        <w:ind w:left="421"/>
        <w:rPr>
          <w:rFonts w:hint="eastAsia" w:ascii="仿宋" w:hAnsi="仿宋" w:eastAsia="仿宋" w:cs="仿宋"/>
          <w:color w:val="auto"/>
          <w:szCs w:val="21"/>
          <w:highlight w:val="none"/>
        </w:rPr>
      </w:pPr>
      <w:bookmarkStart w:id="214" w:name="_bookmark42"/>
      <w:bookmarkEnd w:id="214"/>
      <w:r>
        <w:rPr>
          <w:rFonts w:hint="eastAsia" w:ascii="仿宋" w:hAnsi="仿宋" w:eastAsia="仿宋" w:cs="仿宋"/>
          <w:color w:val="auto"/>
          <w:spacing w:val="-1"/>
          <w:position w:val="27"/>
          <w:szCs w:val="21"/>
          <w:highlight w:val="none"/>
        </w:rPr>
        <w:t xml:space="preserve">3.2.5 </w:t>
      </w:r>
      <w:r>
        <w:rPr>
          <w:rFonts w:hint="eastAsia" w:ascii="仿宋" w:hAnsi="仿宋" w:eastAsia="仿宋" w:cs="仿宋"/>
          <w:color w:val="auto"/>
          <w:position w:val="27"/>
          <w:szCs w:val="21"/>
          <w:highlight w:val="none"/>
        </w:rPr>
        <w:t xml:space="preserve"> 投标报价的其他要求见投标人须知前附表。</w:t>
      </w:r>
    </w:p>
    <w:p w14:paraId="31FC623E">
      <w:pPr>
        <w:shd w:val="clear" w:color="auto" w:fill="auto"/>
        <w:spacing w:before="1" w:line="218" w:lineRule="auto"/>
        <w:ind w:left="14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3.3  投标有</w:t>
      </w:r>
      <w:r>
        <w:rPr>
          <w:rFonts w:hint="eastAsia" w:ascii="仿宋" w:hAnsi="仿宋" w:eastAsia="仿宋" w:cs="仿宋"/>
          <w:color w:val="auto"/>
          <w:sz w:val="28"/>
          <w:szCs w:val="28"/>
          <w:highlight w:val="none"/>
        </w:rPr>
        <w:t>效期</w:t>
      </w:r>
    </w:p>
    <w:p w14:paraId="0B9F44C4">
      <w:pPr>
        <w:shd w:val="clear" w:color="auto" w:fill="auto"/>
        <w:spacing w:line="320" w:lineRule="auto"/>
        <w:rPr>
          <w:rFonts w:hint="eastAsia" w:ascii="仿宋" w:hAnsi="仿宋" w:eastAsia="仿宋" w:cs="仿宋"/>
          <w:color w:val="auto"/>
          <w:highlight w:val="none"/>
        </w:rPr>
      </w:pPr>
    </w:p>
    <w:p w14:paraId="3108E65A">
      <w:pPr>
        <w:shd w:val="clear" w:color="auto" w:fill="auto"/>
        <w:spacing w:before="69" w:line="220" w:lineRule="auto"/>
        <w:ind w:left="421"/>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3.3.1  除投标人须知前附表另有规定外，投标</w:t>
      </w:r>
      <w:r>
        <w:rPr>
          <w:rFonts w:hint="eastAsia" w:ascii="仿宋" w:hAnsi="仿宋" w:eastAsia="仿宋" w:cs="仿宋"/>
          <w:color w:val="auto"/>
          <w:spacing w:val="-1"/>
          <w:szCs w:val="21"/>
          <w:highlight w:val="none"/>
        </w:rPr>
        <w:t>有效期为120天。</w:t>
      </w:r>
    </w:p>
    <w:p w14:paraId="7AC7FCC8">
      <w:pPr>
        <w:shd w:val="clear" w:color="auto" w:fill="auto"/>
        <w:spacing w:before="150" w:line="221" w:lineRule="auto"/>
        <w:ind w:left="421"/>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3.3.2  在投标有</w:t>
      </w:r>
      <w:r>
        <w:rPr>
          <w:rFonts w:hint="eastAsia" w:ascii="仿宋" w:hAnsi="仿宋" w:eastAsia="仿宋" w:cs="仿宋"/>
          <w:color w:val="auto"/>
          <w:spacing w:val="-2"/>
          <w:szCs w:val="21"/>
          <w:highlight w:val="none"/>
        </w:rPr>
        <w:t>效期内，投标人撤销投标文件的，应承担招标文件和法律规定的责任。</w:t>
      </w:r>
    </w:p>
    <w:p w14:paraId="5A1AEA7E">
      <w:pPr>
        <w:shd w:val="clear" w:color="auto" w:fill="auto"/>
        <w:spacing w:before="152" w:line="356" w:lineRule="auto"/>
        <w:ind w:firstLine="421"/>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3.3.3  出现特殊情况需要延长投标有效期的，招标人以书面形式通知</w:t>
      </w:r>
      <w:r>
        <w:rPr>
          <w:rFonts w:hint="eastAsia" w:ascii="仿宋" w:hAnsi="仿宋" w:eastAsia="仿宋" w:cs="仿宋"/>
          <w:color w:val="auto"/>
          <w:spacing w:val="-1"/>
          <w:szCs w:val="21"/>
          <w:highlight w:val="none"/>
        </w:rPr>
        <w:t>所有投标人延长投标有</w:t>
      </w:r>
      <w:r>
        <w:rPr>
          <w:rFonts w:hint="eastAsia" w:ascii="仿宋" w:hAnsi="仿宋" w:eastAsia="仿宋" w:cs="仿宋"/>
          <w:color w:val="auto"/>
          <w:spacing w:val="1"/>
          <w:szCs w:val="21"/>
          <w:highlight w:val="none"/>
        </w:rPr>
        <w:t>效期。投标人应予以书面答复，</w:t>
      </w:r>
      <w:r>
        <w:rPr>
          <w:rFonts w:hint="eastAsia" w:ascii="仿宋" w:hAnsi="仿宋" w:eastAsia="仿宋" w:cs="仿宋"/>
          <w:strike/>
          <w:color w:val="auto"/>
          <w:spacing w:val="1"/>
          <w:szCs w:val="21"/>
          <w:highlight w:val="none"/>
        </w:rPr>
        <w:t>同意延长的，应相应延长</w:t>
      </w:r>
      <w:r>
        <w:rPr>
          <w:rFonts w:hint="eastAsia" w:ascii="仿宋" w:hAnsi="仿宋" w:eastAsia="仿宋" w:cs="仿宋"/>
          <w:strike/>
          <w:color w:val="auto"/>
          <w:szCs w:val="21"/>
          <w:highlight w:val="none"/>
        </w:rPr>
        <w:t>其投标保证金的有效期，</w:t>
      </w:r>
      <w:r>
        <w:rPr>
          <w:rFonts w:hint="eastAsia" w:ascii="仿宋" w:hAnsi="仿宋" w:eastAsia="仿宋" w:cs="仿宋"/>
          <w:color w:val="auto"/>
          <w:szCs w:val="21"/>
          <w:highlight w:val="none"/>
        </w:rPr>
        <w:t>但不得要求</w:t>
      </w:r>
      <w:r>
        <w:rPr>
          <w:rFonts w:hint="eastAsia" w:ascii="仿宋" w:hAnsi="仿宋" w:eastAsia="仿宋" w:cs="仿宋"/>
          <w:color w:val="auto"/>
          <w:spacing w:val="1"/>
          <w:szCs w:val="21"/>
          <w:highlight w:val="none"/>
        </w:rPr>
        <w:t>或被允许修改其投标文件；投标人拒绝延长的，其投标失效</w:t>
      </w:r>
      <w:r>
        <w:rPr>
          <w:rFonts w:hint="eastAsia" w:ascii="仿宋" w:hAnsi="仿宋" w:eastAsia="仿宋" w:cs="仿宋"/>
          <w:strike/>
          <w:color w:val="auto"/>
          <w:szCs w:val="21"/>
          <w:highlight w:val="none"/>
        </w:rPr>
        <w:t>，但投标人有权收回其投标保证金</w:t>
      </w:r>
      <w:bookmarkStart w:id="215" w:name="_bookmark43"/>
      <w:bookmarkEnd w:id="215"/>
      <w:r>
        <w:rPr>
          <w:rFonts w:hint="eastAsia" w:ascii="仿宋" w:hAnsi="仿宋" w:eastAsia="仿宋" w:cs="仿宋"/>
          <w:strike/>
          <w:color w:val="auto"/>
          <w:spacing w:val="-1"/>
          <w:szCs w:val="21"/>
          <w:highlight w:val="none"/>
        </w:rPr>
        <w:t>及</w:t>
      </w:r>
      <w:r>
        <w:rPr>
          <w:rFonts w:hint="eastAsia" w:ascii="仿宋" w:hAnsi="仿宋" w:eastAsia="仿宋" w:cs="仿宋"/>
          <w:strike/>
          <w:color w:val="auto"/>
          <w:szCs w:val="21"/>
          <w:highlight w:val="none"/>
        </w:rPr>
        <w:t>以现金或者支票形式递交的投标保证金的银行同期存款利息</w:t>
      </w:r>
      <w:r>
        <w:rPr>
          <w:rFonts w:hint="eastAsia" w:ascii="仿宋" w:hAnsi="仿宋" w:eastAsia="仿宋" w:cs="仿宋"/>
          <w:color w:val="auto"/>
          <w:szCs w:val="21"/>
          <w:highlight w:val="none"/>
        </w:rPr>
        <w:t>。</w:t>
      </w:r>
    </w:p>
    <w:p w14:paraId="33814827">
      <w:pPr>
        <w:shd w:val="clear" w:color="auto" w:fill="auto"/>
        <w:spacing w:before="138" w:line="220" w:lineRule="auto"/>
        <w:ind w:left="140"/>
        <w:rPr>
          <w:rFonts w:hint="eastAsia" w:ascii="仿宋" w:hAnsi="仿宋" w:eastAsia="仿宋" w:cs="仿宋"/>
          <w:strike/>
          <w:color w:val="auto"/>
          <w:sz w:val="28"/>
          <w:szCs w:val="28"/>
          <w:highlight w:val="none"/>
        </w:rPr>
      </w:pPr>
      <w:r>
        <w:rPr>
          <w:rFonts w:hint="eastAsia" w:ascii="仿宋" w:hAnsi="仿宋" w:eastAsia="仿宋" w:cs="仿宋"/>
          <w:strike/>
          <w:color w:val="auto"/>
          <w:spacing w:val="-1"/>
          <w:sz w:val="28"/>
          <w:szCs w:val="28"/>
          <w:highlight w:val="none"/>
        </w:rPr>
        <w:t>3.4  投标保</w:t>
      </w:r>
      <w:r>
        <w:rPr>
          <w:rFonts w:hint="eastAsia" w:ascii="仿宋" w:hAnsi="仿宋" w:eastAsia="仿宋" w:cs="仿宋"/>
          <w:strike/>
          <w:color w:val="auto"/>
          <w:sz w:val="28"/>
          <w:szCs w:val="28"/>
          <w:highlight w:val="none"/>
        </w:rPr>
        <w:t>证金</w:t>
      </w:r>
    </w:p>
    <w:p w14:paraId="78728092">
      <w:pPr>
        <w:shd w:val="clear" w:color="auto" w:fill="auto"/>
        <w:spacing w:line="316" w:lineRule="auto"/>
        <w:rPr>
          <w:rFonts w:hint="eastAsia" w:ascii="仿宋" w:hAnsi="仿宋" w:eastAsia="仿宋" w:cs="仿宋"/>
          <w:strike/>
          <w:color w:val="auto"/>
          <w:highlight w:val="none"/>
        </w:rPr>
      </w:pPr>
    </w:p>
    <w:p w14:paraId="403FB0A8">
      <w:pPr>
        <w:shd w:val="clear" w:color="auto" w:fill="auto"/>
        <w:spacing w:before="152" w:line="356" w:lineRule="auto"/>
        <w:ind w:firstLine="421"/>
        <w:rPr>
          <w:rFonts w:hint="eastAsia" w:ascii="仿宋" w:hAnsi="仿宋" w:eastAsia="仿宋" w:cs="仿宋"/>
          <w:strike/>
          <w:color w:val="auto"/>
          <w:spacing w:val="-2"/>
          <w:szCs w:val="21"/>
          <w:highlight w:val="none"/>
        </w:rPr>
      </w:pPr>
      <w:r>
        <w:rPr>
          <w:rFonts w:hint="eastAsia" w:ascii="仿宋" w:hAnsi="仿宋" w:eastAsia="仿宋" w:cs="仿宋"/>
          <w:strike/>
          <w:color w:val="auto"/>
          <w:spacing w:val="-2"/>
          <w:szCs w:val="21"/>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 应当从其基本账户转出并在投标文件中附上基本账户开户证明。联合体投标的，其投标保证金可以由牵头人递交，并应符合投标人须知前附表的规定。</w:t>
      </w:r>
    </w:p>
    <w:p w14:paraId="43258E10">
      <w:pPr>
        <w:shd w:val="clear" w:color="auto" w:fill="auto"/>
        <w:spacing w:before="152" w:line="356" w:lineRule="auto"/>
        <w:ind w:firstLine="421"/>
        <w:rPr>
          <w:rFonts w:hint="eastAsia" w:ascii="仿宋" w:hAnsi="仿宋" w:eastAsia="仿宋" w:cs="仿宋"/>
          <w:strike/>
          <w:color w:val="auto"/>
          <w:spacing w:val="-2"/>
          <w:szCs w:val="21"/>
          <w:highlight w:val="none"/>
        </w:rPr>
      </w:pPr>
      <w:r>
        <w:rPr>
          <w:rFonts w:hint="eastAsia" w:ascii="仿宋" w:hAnsi="仿宋" w:eastAsia="仿宋" w:cs="仿宋"/>
          <w:strike/>
          <w:color w:val="auto"/>
          <w:spacing w:val="-2"/>
          <w:szCs w:val="21"/>
          <w:highlight w:val="none"/>
        </w:rPr>
        <w:t>3.4.2  投标人不按本章第 3.4.1 项要求提交投标保证金的，评标委员会将否决其投标。</w:t>
      </w:r>
    </w:p>
    <w:p w14:paraId="4CFD8945">
      <w:pPr>
        <w:shd w:val="clear" w:color="auto" w:fill="auto"/>
        <w:spacing w:before="152" w:line="356" w:lineRule="auto"/>
        <w:ind w:firstLine="421"/>
        <w:rPr>
          <w:rFonts w:hint="eastAsia" w:ascii="仿宋" w:hAnsi="仿宋" w:eastAsia="仿宋" w:cs="仿宋"/>
          <w:strike/>
          <w:color w:val="auto"/>
          <w:szCs w:val="21"/>
          <w:highlight w:val="none"/>
        </w:rPr>
      </w:pPr>
      <w:r>
        <w:rPr>
          <w:rFonts w:hint="eastAsia" w:ascii="仿宋" w:hAnsi="仿宋" w:eastAsia="仿宋" w:cs="仿宋"/>
          <w:strike/>
          <w:color w:val="auto"/>
          <w:spacing w:val="-2"/>
          <w:szCs w:val="21"/>
          <w:highlight w:val="none"/>
        </w:rPr>
        <w:t>3.4.3  招标人最迟将在与中标人签订合同后 5 日内，向未中标的投标人和中标人退还投标保</w:t>
      </w:r>
      <w:r>
        <w:rPr>
          <w:rFonts w:hint="eastAsia" w:ascii="仿宋" w:hAnsi="仿宋" w:eastAsia="仿宋" w:cs="仿宋"/>
          <w:strike/>
          <w:color w:val="auto"/>
          <w:spacing w:val="-5"/>
          <w:szCs w:val="21"/>
          <w:highlight w:val="none"/>
        </w:rPr>
        <w:t>证</w:t>
      </w:r>
      <w:r>
        <w:rPr>
          <w:rFonts w:hint="eastAsia" w:ascii="仿宋" w:hAnsi="仿宋" w:eastAsia="仿宋" w:cs="仿宋"/>
          <w:strike/>
          <w:color w:val="auto"/>
          <w:spacing w:val="-3"/>
          <w:szCs w:val="21"/>
          <w:highlight w:val="none"/>
        </w:rPr>
        <w:t>金。 投标保证金以现金或者支票形式递交的，还应退还银行同期存款利息。</w:t>
      </w:r>
    </w:p>
    <w:p w14:paraId="3B7503A7">
      <w:pPr>
        <w:shd w:val="clear" w:color="auto" w:fill="auto"/>
        <w:spacing w:line="221" w:lineRule="auto"/>
        <w:ind w:left="421"/>
        <w:rPr>
          <w:rFonts w:hint="eastAsia" w:ascii="仿宋" w:hAnsi="仿宋" w:eastAsia="仿宋" w:cs="仿宋"/>
          <w:strike/>
          <w:color w:val="auto"/>
          <w:szCs w:val="21"/>
          <w:highlight w:val="none"/>
        </w:rPr>
      </w:pPr>
      <w:r>
        <w:rPr>
          <w:rFonts w:hint="eastAsia" w:ascii="仿宋" w:hAnsi="仿宋" w:eastAsia="仿宋" w:cs="仿宋"/>
          <w:strike/>
          <w:color w:val="auto"/>
          <w:spacing w:val="-2"/>
          <w:szCs w:val="21"/>
          <w:highlight w:val="none"/>
        </w:rPr>
        <w:t>3.4</w:t>
      </w:r>
      <w:r>
        <w:rPr>
          <w:rFonts w:hint="eastAsia" w:ascii="仿宋" w:hAnsi="仿宋" w:eastAsia="仿宋" w:cs="仿宋"/>
          <w:strike/>
          <w:color w:val="auto"/>
          <w:spacing w:val="-1"/>
          <w:szCs w:val="21"/>
          <w:highlight w:val="none"/>
        </w:rPr>
        <w:t>.4  有下列情形之一的，投标保证金将不予退还：</w:t>
      </w:r>
    </w:p>
    <w:p w14:paraId="28B5EA43">
      <w:pPr>
        <w:shd w:val="clear" w:color="auto" w:fill="auto"/>
        <w:spacing w:before="148" w:line="221" w:lineRule="auto"/>
        <w:ind w:left="321"/>
        <w:rPr>
          <w:rFonts w:hint="eastAsia" w:ascii="仿宋" w:hAnsi="仿宋" w:eastAsia="仿宋" w:cs="仿宋"/>
          <w:strike/>
          <w:color w:val="auto"/>
          <w:szCs w:val="21"/>
          <w:highlight w:val="none"/>
        </w:rPr>
      </w:pPr>
      <w:r>
        <w:rPr>
          <w:rFonts w:hint="eastAsia" w:ascii="仿宋" w:hAnsi="仿宋" w:eastAsia="仿宋" w:cs="仿宋"/>
          <w:strike/>
          <w:color w:val="auto"/>
          <w:spacing w:val="8"/>
          <w:szCs w:val="21"/>
          <w:highlight w:val="none"/>
        </w:rPr>
        <w:t>(1</w:t>
      </w:r>
      <w:r>
        <w:rPr>
          <w:rFonts w:hint="eastAsia" w:ascii="仿宋" w:hAnsi="仿宋" w:eastAsia="仿宋" w:cs="仿宋"/>
          <w:strike/>
          <w:color w:val="auto"/>
          <w:spacing w:val="6"/>
          <w:szCs w:val="21"/>
          <w:highlight w:val="none"/>
        </w:rPr>
        <w:t>)</w:t>
      </w:r>
      <w:r>
        <w:rPr>
          <w:rFonts w:hint="eastAsia" w:ascii="仿宋" w:hAnsi="仿宋" w:eastAsia="仿宋" w:cs="仿宋"/>
          <w:strike/>
          <w:color w:val="auto"/>
          <w:spacing w:val="4"/>
          <w:szCs w:val="21"/>
          <w:highlight w:val="none"/>
        </w:rPr>
        <w:t xml:space="preserve"> 投标人在投标有效期内撤销投标文件；</w:t>
      </w:r>
    </w:p>
    <w:p w14:paraId="6F325368">
      <w:pPr>
        <w:shd w:val="clear" w:color="auto" w:fill="auto"/>
        <w:spacing w:before="146" w:line="353" w:lineRule="auto"/>
        <w:ind w:left="2" w:right="141" w:firstLine="318"/>
        <w:rPr>
          <w:rFonts w:hint="eastAsia" w:ascii="仿宋" w:hAnsi="仿宋" w:eastAsia="仿宋" w:cs="仿宋"/>
          <w:strike/>
          <w:color w:val="auto"/>
          <w:szCs w:val="21"/>
          <w:highlight w:val="none"/>
        </w:rPr>
      </w:pPr>
      <w:r>
        <w:rPr>
          <w:rFonts w:hint="eastAsia" w:ascii="仿宋" w:hAnsi="仿宋" w:eastAsia="仿宋" w:cs="仿宋"/>
          <w:strike/>
          <w:color w:val="auto"/>
          <w:spacing w:val="3"/>
          <w:szCs w:val="21"/>
          <w:highlight w:val="none"/>
        </w:rPr>
        <w:t>(2)中标人在收到中标通知书后，无正当理由不与招标人订立合同， 在签订合同时向招标</w:t>
      </w:r>
      <w:r>
        <w:rPr>
          <w:rFonts w:hint="eastAsia" w:ascii="仿宋" w:hAnsi="仿宋" w:eastAsia="仿宋" w:cs="仿宋"/>
          <w:strike/>
          <w:color w:val="auto"/>
          <w:spacing w:val="-2"/>
          <w:szCs w:val="21"/>
          <w:highlight w:val="none"/>
        </w:rPr>
        <w:t>人</w:t>
      </w:r>
      <w:r>
        <w:rPr>
          <w:rFonts w:hint="eastAsia" w:ascii="仿宋" w:hAnsi="仿宋" w:eastAsia="仿宋" w:cs="仿宋"/>
          <w:strike/>
          <w:color w:val="auto"/>
          <w:spacing w:val="-1"/>
          <w:szCs w:val="21"/>
          <w:highlight w:val="none"/>
        </w:rPr>
        <w:t>提出附加条件，或者不按照招标文件要求提交履约保证金；</w:t>
      </w:r>
    </w:p>
    <w:p w14:paraId="4521A13A">
      <w:pPr>
        <w:shd w:val="clear" w:color="auto" w:fill="auto"/>
        <w:spacing w:before="1" w:line="454" w:lineRule="auto"/>
        <w:ind w:left="140" w:right="1144" w:firstLine="180"/>
        <w:rPr>
          <w:rFonts w:hint="eastAsia" w:ascii="仿宋" w:hAnsi="仿宋" w:eastAsia="仿宋" w:cs="仿宋"/>
          <w:strike/>
          <w:color w:val="auto"/>
          <w:szCs w:val="21"/>
          <w:highlight w:val="none"/>
        </w:rPr>
      </w:pPr>
      <w:bookmarkStart w:id="216" w:name="_bookmark44"/>
      <w:bookmarkEnd w:id="216"/>
      <w:r>
        <w:rPr>
          <w:rFonts w:hint="eastAsia" w:ascii="仿宋" w:hAnsi="仿宋" w:eastAsia="仿宋" w:cs="仿宋"/>
          <w:strike/>
          <w:color w:val="auto"/>
          <w:spacing w:val="2"/>
          <w:szCs w:val="21"/>
          <w:highlight w:val="none"/>
        </w:rPr>
        <w:t>(3) 发生投标人须知前附表规定的其他可以不予退还投标保证金的情</w:t>
      </w:r>
      <w:r>
        <w:rPr>
          <w:rFonts w:hint="eastAsia" w:ascii="仿宋" w:hAnsi="仿宋" w:eastAsia="仿宋" w:cs="仿宋"/>
          <w:strike/>
          <w:color w:val="auto"/>
          <w:szCs w:val="21"/>
          <w:highlight w:val="none"/>
        </w:rPr>
        <w:t xml:space="preserve">形。 </w:t>
      </w:r>
    </w:p>
    <w:p w14:paraId="73220119">
      <w:pPr>
        <w:shd w:val="clear" w:color="auto" w:fill="auto"/>
        <w:spacing w:before="138" w:line="219" w:lineRule="auto"/>
        <w:ind w:left="140"/>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3.</w:t>
      </w:r>
      <w:r>
        <w:rPr>
          <w:rFonts w:hint="eastAsia" w:ascii="仿宋" w:hAnsi="仿宋" w:eastAsia="仿宋" w:cs="仿宋"/>
          <w:color w:val="auto"/>
          <w:spacing w:val="5"/>
          <w:sz w:val="28"/>
          <w:szCs w:val="28"/>
          <w:highlight w:val="none"/>
        </w:rPr>
        <w:t>5</w:t>
      </w:r>
      <w:r>
        <w:rPr>
          <w:rFonts w:hint="eastAsia" w:ascii="仿宋" w:hAnsi="仿宋" w:eastAsia="仿宋" w:cs="仿宋"/>
          <w:color w:val="auto"/>
          <w:spacing w:val="4"/>
          <w:sz w:val="28"/>
          <w:szCs w:val="28"/>
          <w:highlight w:val="none"/>
        </w:rPr>
        <w:t xml:space="preserve">  资格审查资料(适用于未进行资格预审的)</w:t>
      </w:r>
    </w:p>
    <w:p w14:paraId="37D44881">
      <w:pPr>
        <w:shd w:val="clear" w:color="auto" w:fill="auto"/>
        <w:spacing w:line="320" w:lineRule="auto"/>
        <w:rPr>
          <w:rFonts w:hint="eastAsia" w:ascii="仿宋" w:hAnsi="仿宋" w:eastAsia="仿宋" w:cs="仿宋"/>
          <w:color w:val="auto"/>
          <w:highlight w:val="none"/>
        </w:rPr>
      </w:pPr>
    </w:p>
    <w:p w14:paraId="1B5A2FE7">
      <w:pPr>
        <w:shd w:val="clear" w:color="auto" w:fill="auto"/>
        <w:spacing w:before="1" w:line="359" w:lineRule="auto"/>
        <w:ind w:left="9" w:right="72" w:firstLine="411"/>
        <w:rPr>
          <w:rFonts w:hint="eastAsia" w:ascii="仿宋" w:hAnsi="仿宋" w:eastAsia="仿宋" w:cs="仿宋"/>
          <w:color w:val="auto"/>
          <w:szCs w:val="21"/>
          <w:highlight w:val="none"/>
        </w:rPr>
      </w:pPr>
      <w:r>
        <w:rPr>
          <w:rFonts w:hint="eastAsia" w:ascii="仿宋" w:hAnsi="仿宋" w:eastAsia="仿宋" w:cs="仿宋"/>
          <w:color w:val="auto"/>
          <w:szCs w:val="21"/>
          <w:highlight w:val="none"/>
        </w:rPr>
        <w:t>除投标人须知前附表另有规定外，投标人应按下列规定提供资格审查资料，以证明其满足本章第1.4款规定的资质、财务、业绩、信誉等要求。</w:t>
      </w:r>
    </w:p>
    <w:p w14:paraId="196B30B9">
      <w:pPr>
        <w:shd w:val="clear" w:color="auto" w:fill="auto"/>
        <w:spacing w:before="1" w:line="359" w:lineRule="auto"/>
        <w:ind w:left="9" w:right="72" w:firstLine="411"/>
        <w:rPr>
          <w:rFonts w:hint="eastAsia" w:ascii="仿宋" w:hAnsi="仿宋" w:eastAsia="仿宋" w:cs="仿宋"/>
          <w:color w:val="auto"/>
          <w:szCs w:val="21"/>
          <w:highlight w:val="none"/>
        </w:rPr>
      </w:pPr>
      <w:r>
        <w:rPr>
          <w:rFonts w:hint="eastAsia" w:ascii="仿宋" w:hAnsi="仿宋" w:eastAsia="仿宋" w:cs="仿宋"/>
          <w:color w:val="auto"/>
          <w:szCs w:val="21"/>
          <w:highlight w:val="none"/>
        </w:rPr>
        <w:t>3.5.1 “投标人基本情况表”应附投标人营业执照、资质证书等材料。</w:t>
      </w:r>
    </w:p>
    <w:p w14:paraId="1C98B982">
      <w:pPr>
        <w:shd w:val="clear" w:color="auto" w:fill="auto"/>
        <w:spacing w:before="1" w:line="359" w:lineRule="auto"/>
        <w:ind w:left="9" w:right="72" w:firstLine="411"/>
        <w:rPr>
          <w:rFonts w:hint="eastAsia" w:ascii="仿宋" w:hAnsi="仿宋" w:eastAsia="仿宋" w:cs="仿宋"/>
          <w:color w:val="auto"/>
          <w:szCs w:val="21"/>
          <w:highlight w:val="none"/>
        </w:rPr>
      </w:pPr>
      <w:r>
        <w:rPr>
          <w:rFonts w:hint="eastAsia" w:ascii="仿宋" w:hAnsi="仿宋" w:eastAsia="仿宋" w:cs="仿宋"/>
          <w:color w:val="auto"/>
          <w:szCs w:val="21"/>
          <w:highlight w:val="none"/>
        </w:rPr>
        <w:t>3.5.2 按招标公告要求提供总监理工程师相关证明资料。</w:t>
      </w:r>
    </w:p>
    <w:p w14:paraId="24A9252A">
      <w:pPr>
        <w:shd w:val="clear" w:color="auto" w:fill="auto"/>
        <w:spacing w:before="1" w:line="359" w:lineRule="auto"/>
        <w:ind w:left="9" w:right="72" w:firstLine="411"/>
        <w:rPr>
          <w:rFonts w:hint="eastAsia" w:ascii="仿宋" w:hAnsi="仿宋" w:eastAsia="仿宋" w:cs="仿宋"/>
          <w:color w:val="auto"/>
          <w:szCs w:val="21"/>
          <w:highlight w:val="none"/>
        </w:rPr>
      </w:pPr>
      <w:r>
        <w:rPr>
          <w:rFonts w:hint="eastAsia" w:ascii="仿宋" w:hAnsi="仿宋" w:eastAsia="仿宋" w:cs="仿宋"/>
          <w:color w:val="auto"/>
          <w:szCs w:val="21"/>
          <w:highlight w:val="none"/>
        </w:rPr>
        <w:t>3.5.3按照招标文件的附件内容签署盖章的投标人声明（原件扫描件）。</w:t>
      </w:r>
    </w:p>
    <w:p w14:paraId="4B768707">
      <w:pPr>
        <w:shd w:val="clear" w:color="auto" w:fill="auto"/>
        <w:spacing w:before="1" w:line="359" w:lineRule="auto"/>
        <w:ind w:left="9" w:right="72" w:firstLine="411"/>
        <w:rPr>
          <w:rFonts w:hint="eastAsia" w:ascii="仿宋" w:hAnsi="仿宋" w:eastAsia="仿宋" w:cs="仿宋"/>
          <w:color w:val="auto"/>
          <w:szCs w:val="21"/>
          <w:highlight w:val="none"/>
        </w:rPr>
      </w:pPr>
      <w:r>
        <w:rPr>
          <w:rFonts w:hint="eastAsia" w:ascii="仿宋" w:hAnsi="仿宋" w:eastAsia="仿宋" w:cs="仿宋"/>
          <w:color w:val="auto"/>
          <w:szCs w:val="21"/>
          <w:highlight w:val="none"/>
        </w:rPr>
        <w:t>3.5.4投标人认为需要提交的其他资料。</w:t>
      </w:r>
    </w:p>
    <w:p w14:paraId="5E34B3B4">
      <w:pPr>
        <w:shd w:val="clear" w:color="auto" w:fill="auto"/>
        <w:spacing w:before="1" w:line="359" w:lineRule="auto"/>
        <w:ind w:left="9" w:right="72" w:firstLine="411"/>
        <w:rPr>
          <w:rFonts w:hint="eastAsia" w:ascii="仿宋" w:hAnsi="仿宋" w:eastAsia="仿宋" w:cs="仿宋"/>
          <w:strike/>
          <w:dstrike w:val="0"/>
          <w:color w:val="auto"/>
          <w:szCs w:val="21"/>
          <w:highlight w:val="none"/>
        </w:rPr>
      </w:pPr>
      <w:r>
        <w:rPr>
          <w:rFonts w:hint="eastAsia" w:ascii="仿宋" w:hAnsi="仿宋" w:eastAsia="仿宋" w:cs="仿宋"/>
          <w:strike/>
          <w:dstrike w:val="0"/>
          <w:color w:val="auto"/>
          <w:szCs w:val="21"/>
          <w:highlight w:val="none"/>
        </w:rPr>
        <w:t>3.5.5 投标人须知前附表规定不接受联合体投标。</w:t>
      </w:r>
    </w:p>
    <w:p w14:paraId="07A8FBB7">
      <w:pPr>
        <w:shd w:val="clear" w:color="auto" w:fill="auto"/>
        <w:spacing w:before="141" w:line="219" w:lineRule="auto"/>
        <w:ind w:left="14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3.6  备选投</w:t>
      </w:r>
      <w:r>
        <w:rPr>
          <w:rFonts w:hint="eastAsia" w:ascii="仿宋" w:hAnsi="仿宋" w:eastAsia="仿宋" w:cs="仿宋"/>
          <w:color w:val="auto"/>
          <w:sz w:val="28"/>
          <w:szCs w:val="28"/>
          <w:highlight w:val="none"/>
        </w:rPr>
        <w:t>标方案</w:t>
      </w:r>
    </w:p>
    <w:p w14:paraId="090B6461">
      <w:pPr>
        <w:shd w:val="clear" w:color="auto" w:fill="auto"/>
        <w:spacing w:line="321" w:lineRule="auto"/>
        <w:rPr>
          <w:rFonts w:hint="eastAsia" w:ascii="仿宋" w:hAnsi="仿宋" w:eastAsia="仿宋" w:cs="仿宋"/>
          <w:color w:val="auto"/>
          <w:highlight w:val="none"/>
        </w:rPr>
      </w:pPr>
    </w:p>
    <w:p w14:paraId="055B06CD">
      <w:pPr>
        <w:shd w:val="clear" w:color="auto" w:fill="auto"/>
        <w:spacing w:before="69" w:line="351" w:lineRule="auto"/>
        <w:ind w:left="7" w:right="74" w:firstLine="413"/>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3</w:t>
      </w:r>
      <w:r>
        <w:rPr>
          <w:rFonts w:hint="eastAsia" w:ascii="仿宋" w:hAnsi="仿宋" w:eastAsia="仿宋" w:cs="仿宋"/>
          <w:color w:val="auto"/>
          <w:spacing w:val="-6"/>
          <w:szCs w:val="21"/>
          <w:highlight w:val="none"/>
        </w:rPr>
        <w:t>.</w:t>
      </w:r>
      <w:r>
        <w:rPr>
          <w:rFonts w:hint="eastAsia" w:ascii="仿宋" w:hAnsi="仿宋" w:eastAsia="仿宋" w:cs="仿宋"/>
          <w:color w:val="auto"/>
          <w:spacing w:val="-4"/>
          <w:szCs w:val="21"/>
          <w:highlight w:val="none"/>
        </w:rPr>
        <w:t>6.1  除投标人须知前附表规定允许外，投标人不得递交备选投标方案，否则其投标将被否</w:t>
      </w:r>
      <w:r>
        <w:rPr>
          <w:rFonts w:hint="eastAsia" w:ascii="仿宋" w:hAnsi="仿宋" w:eastAsia="仿宋" w:cs="仿宋"/>
          <w:color w:val="auto"/>
          <w:spacing w:val="-12"/>
          <w:szCs w:val="21"/>
          <w:highlight w:val="none"/>
        </w:rPr>
        <w:t>决</w:t>
      </w:r>
      <w:r>
        <w:rPr>
          <w:rFonts w:hint="eastAsia" w:ascii="仿宋" w:hAnsi="仿宋" w:eastAsia="仿宋" w:cs="仿宋"/>
          <w:color w:val="auto"/>
          <w:spacing w:val="-10"/>
          <w:szCs w:val="21"/>
          <w:highlight w:val="none"/>
        </w:rPr>
        <w:t>。</w:t>
      </w:r>
    </w:p>
    <w:p w14:paraId="75383749">
      <w:pPr>
        <w:shd w:val="clear" w:color="auto" w:fill="auto"/>
        <w:spacing w:before="2" w:line="351" w:lineRule="auto"/>
        <w:ind w:firstLine="421"/>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 xml:space="preserve">3.6.2 </w:t>
      </w:r>
      <w:r>
        <w:rPr>
          <w:rFonts w:hint="eastAsia" w:ascii="仿宋" w:hAnsi="仿宋" w:eastAsia="仿宋" w:cs="仿宋"/>
          <w:color w:val="auto"/>
          <w:szCs w:val="21"/>
          <w:highlight w:val="none"/>
        </w:rPr>
        <w:t xml:space="preserve"> 允许投标人递交备选投标方案的，只有中标人所递交的备选投标方案方可予以考虑。</w:t>
      </w:r>
      <w:r>
        <w:rPr>
          <w:rFonts w:hint="eastAsia" w:ascii="仿宋" w:hAnsi="仿宋" w:eastAsia="仿宋" w:cs="仿宋"/>
          <w:color w:val="auto"/>
          <w:spacing w:val="1"/>
          <w:szCs w:val="21"/>
          <w:highlight w:val="none"/>
        </w:rPr>
        <w:t>评标委员会认为中标人的备选投标方案优于其按照招标文</w:t>
      </w:r>
      <w:r>
        <w:rPr>
          <w:rFonts w:hint="eastAsia" w:ascii="仿宋" w:hAnsi="仿宋" w:eastAsia="仿宋" w:cs="仿宋"/>
          <w:color w:val="auto"/>
          <w:szCs w:val="21"/>
          <w:highlight w:val="none"/>
        </w:rPr>
        <w:t>件要求编制的投标方案的，招标人可</w:t>
      </w:r>
      <w:r>
        <w:rPr>
          <w:rFonts w:hint="eastAsia" w:ascii="仿宋" w:hAnsi="仿宋" w:eastAsia="仿宋" w:cs="仿宋"/>
          <w:color w:val="auto"/>
          <w:spacing w:val="-2"/>
          <w:szCs w:val="21"/>
          <w:highlight w:val="none"/>
        </w:rPr>
        <w:t>以接受该备选投标</w:t>
      </w:r>
      <w:r>
        <w:rPr>
          <w:rFonts w:hint="eastAsia" w:ascii="仿宋" w:hAnsi="仿宋" w:eastAsia="仿宋" w:cs="仿宋"/>
          <w:color w:val="auto"/>
          <w:spacing w:val="-1"/>
          <w:szCs w:val="21"/>
          <w:highlight w:val="none"/>
        </w:rPr>
        <w:t>方案。</w:t>
      </w:r>
    </w:p>
    <w:p w14:paraId="1A2BF218">
      <w:pPr>
        <w:shd w:val="clear" w:color="auto" w:fill="auto"/>
        <w:spacing w:line="361" w:lineRule="auto"/>
        <w:ind w:left="1" w:right="74" w:firstLine="419"/>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3.6.3  投标人提供两个或两个以上投标报价，或者在投标文件中提供一个报价，但</w:t>
      </w:r>
      <w:r>
        <w:rPr>
          <w:rFonts w:hint="eastAsia" w:ascii="仿宋" w:hAnsi="仿宋" w:eastAsia="仿宋" w:cs="仿宋"/>
          <w:color w:val="auto"/>
          <w:spacing w:val="-1"/>
          <w:szCs w:val="21"/>
          <w:highlight w:val="none"/>
        </w:rPr>
        <w:t>同</w:t>
      </w:r>
      <w:r>
        <w:rPr>
          <w:rFonts w:hint="eastAsia" w:ascii="仿宋" w:hAnsi="仿宋" w:eastAsia="仿宋" w:cs="仿宋"/>
          <w:color w:val="auto"/>
          <w:szCs w:val="21"/>
          <w:highlight w:val="none"/>
        </w:rPr>
        <w:t>时提供</w:t>
      </w:r>
      <w:bookmarkStart w:id="217" w:name="_bookmark47"/>
      <w:bookmarkEnd w:id="217"/>
      <w:r>
        <w:rPr>
          <w:rFonts w:hint="eastAsia" w:ascii="仿宋" w:hAnsi="仿宋" w:eastAsia="仿宋" w:cs="仿宋"/>
          <w:color w:val="auto"/>
          <w:spacing w:val="-10"/>
          <w:szCs w:val="21"/>
          <w:highlight w:val="none"/>
        </w:rPr>
        <w:t>两</w:t>
      </w:r>
      <w:r>
        <w:rPr>
          <w:rFonts w:hint="eastAsia" w:ascii="仿宋" w:hAnsi="仿宋" w:eastAsia="仿宋" w:cs="仿宋"/>
          <w:color w:val="auto"/>
          <w:spacing w:val="-9"/>
          <w:szCs w:val="21"/>
          <w:highlight w:val="none"/>
        </w:rPr>
        <w:t>个</w:t>
      </w:r>
      <w:r>
        <w:rPr>
          <w:rFonts w:hint="eastAsia" w:ascii="仿宋" w:hAnsi="仿宋" w:eastAsia="仿宋" w:cs="仿宋"/>
          <w:color w:val="auto"/>
          <w:spacing w:val="-5"/>
          <w:szCs w:val="21"/>
          <w:highlight w:val="none"/>
        </w:rPr>
        <w:t>或两个以上监理方案的，视为提供备选方案。</w:t>
      </w:r>
    </w:p>
    <w:p w14:paraId="7BA9B484">
      <w:pPr>
        <w:shd w:val="clear" w:color="auto" w:fill="auto"/>
        <w:spacing w:before="141" w:line="219" w:lineRule="auto"/>
        <w:ind w:left="14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3.7  投标文件</w:t>
      </w:r>
      <w:r>
        <w:rPr>
          <w:rFonts w:hint="eastAsia" w:ascii="仿宋" w:hAnsi="仿宋" w:eastAsia="仿宋" w:cs="仿宋"/>
          <w:color w:val="auto"/>
          <w:sz w:val="28"/>
          <w:szCs w:val="28"/>
          <w:highlight w:val="none"/>
        </w:rPr>
        <w:t>的编制</w:t>
      </w:r>
    </w:p>
    <w:p w14:paraId="19AF1BF6">
      <w:pPr>
        <w:shd w:val="clear" w:color="auto" w:fill="auto"/>
        <w:spacing w:line="319" w:lineRule="auto"/>
        <w:rPr>
          <w:rFonts w:hint="eastAsia" w:ascii="仿宋" w:hAnsi="仿宋" w:eastAsia="仿宋" w:cs="仿宋"/>
          <w:color w:val="auto"/>
          <w:highlight w:val="none"/>
        </w:rPr>
      </w:pPr>
    </w:p>
    <w:p w14:paraId="40E64B60">
      <w:pPr>
        <w:shd w:val="clear" w:color="auto" w:fill="auto"/>
        <w:spacing w:before="68" w:line="352" w:lineRule="auto"/>
        <w:ind w:right="74" w:firstLine="421"/>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 xml:space="preserve">3.7.1 </w:t>
      </w:r>
      <w:r>
        <w:rPr>
          <w:rFonts w:hint="eastAsia" w:ascii="仿宋" w:hAnsi="仿宋" w:eastAsia="仿宋" w:cs="仿宋"/>
          <w:color w:val="auto"/>
          <w:spacing w:val="-7"/>
          <w:szCs w:val="21"/>
          <w:highlight w:val="none"/>
        </w:rPr>
        <w:t xml:space="preserve"> </w:t>
      </w:r>
      <w:r>
        <w:rPr>
          <w:rFonts w:hint="eastAsia" w:ascii="仿宋" w:hAnsi="仿宋" w:eastAsia="仿宋" w:cs="仿宋"/>
          <w:color w:val="auto"/>
          <w:spacing w:val="-5"/>
          <w:szCs w:val="21"/>
          <w:highlight w:val="none"/>
        </w:rPr>
        <w:t>投标文件应按第六章“投标文件格式”进行编写，如有必要，可以增加附页，作为投标</w:t>
      </w:r>
      <w:r>
        <w:rPr>
          <w:rFonts w:hint="eastAsia" w:ascii="仿宋" w:hAnsi="仿宋" w:eastAsia="仿宋" w:cs="仿宋"/>
          <w:color w:val="auto"/>
          <w:spacing w:val="-12"/>
          <w:szCs w:val="21"/>
          <w:highlight w:val="none"/>
        </w:rPr>
        <w:t>文件的组</w:t>
      </w:r>
      <w:r>
        <w:rPr>
          <w:rFonts w:hint="eastAsia" w:ascii="仿宋" w:hAnsi="仿宋" w:eastAsia="仿宋" w:cs="仿宋"/>
          <w:color w:val="auto"/>
          <w:spacing w:val="-8"/>
          <w:szCs w:val="21"/>
          <w:highlight w:val="none"/>
        </w:rPr>
        <w:t>成</w:t>
      </w:r>
      <w:r>
        <w:rPr>
          <w:rFonts w:hint="eastAsia" w:ascii="仿宋" w:hAnsi="仿宋" w:eastAsia="仿宋" w:cs="仿宋"/>
          <w:color w:val="auto"/>
          <w:spacing w:val="-6"/>
          <w:szCs w:val="21"/>
          <w:highlight w:val="none"/>
        </w:rPr>
        <w:t>部分。其中，投标函附录在满足招标文件实质性要求的基础上，可以提出比招标文</w:t>
      </w:r>
      <w:r>
        <w:rPr>
          <w:rFonts w:hint="eastAsia" w:ascii="仿宋" w:hAnsi="仿宋" w:eastAsia="仿宋" w:cs="仿宋"/>
          <w:color w:val="auto"/>
          <w:szCs w:val="21"/>
          <w:highlight w:val="none"/>
        </w:rPr>
        <w:t xml:space="preserve"> </w:t>
      </w:r>
      <w:r>
        <w:rPr>
          <w:rFonts w:hint="eastAsia" w:ascii="仿宋" w:hAnsi="仿宋" w:eastAsia="仿宋" w:cs="仿宋"/>
          <w:color w:val="auto"/>
          <w:spacing w:val="-2"/>
          <w:szCs w:val="21"/>
          <w:highlight w:val="none"/>
        </w:rPr>
        <w:t>件要求更有利于招标人</w:t>
      </w:r>
      <w:r>
        <w:rPr>
          <w:rFonts w:hint="eastAsia" w:ascii="仿宋" w:hAnsi="仿宋" w:eastAsia="仿宋" w:cs="仿宋"/>
          <w:color w:val="auto"/>
          <w:spacing w:val="-1"/>
          <w:szCs w:val="21"/>
          <w:highlight w:val="none"/>
        </w:rPr>
        <w:t>的承诺。</w:t>
      </w:r>
    </w:p>
    <w:p w14:paraId="03AAE69F">
      <w:pPr>
        <w:shd w:val="clear" w:color="auto" w:fill="auto"/>
        <w:spacing w:before="2" w:line="351" w:lineRule="auto"/>
        <w:ind w:left="5" w:right="74" w:firstLine="415"/>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3.7.2  投标文件应当对招标文件有关监理服务期限、投标有效期、委托人要求、招</w:t>
      </w:r>
      <w:r>
        <w:rPr>
          <w:rFonts w:hint="eastAsia" w:ascii="仿宋" w:hAnsi="仿宋" w:eastAsia="仿宋" w:cs="仿宋"/>
          <w:color w:val="auto"/>
          <w:spacing w:val="-1"/>
          <w:szCs w:val="21"/>
          <w:highlight w:val="none"/>
        </w:rPr>
        <w:t>标</w:t>
      </w:r>
      <w:r>
        <w:rPr>
          <w:rFonts w:hint="eastAsia" w:ascii="仿宋" w:hAnsi="仿宋" w:eastAsia="仿宋" w:cs="仿宋"/>
          <w:color w:val="auto"/>
          <w:szCs w:val="21"/>
          <w:highlight w:val="none"/>
        </w:rPr>
        <w:t>范围等</w:t>
      </w:r>
      <w:r>
        <w:rPr>
          <w:rFonts w:hint="eastAsia" w:ascii="仿宋" w:hAnsi="仿宋" w:eastAsia="仿宋" w:cs="仿宋"/>
          <w:color w:val="auto"/>
          <w:spacing w:val="-1"/>
          <w:szCs w:val="21"/>
          <w:highlight w:val="none"/>
        </w:rPr>
        <w:t>实质性内容作出响应。</w:t>
      </w:r>
    </w:p>
    <w:p w14:paraId="42900D18">
      <w:pPr>
        <w:shd w:val="clear" w:color="auto" w:fill="auto"/>
        <w:spacing w:before="1" w:line="355" w:lineRule="auto"/>
        <w:ind w:right="2" w:firstLine="420"/>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3.7.3  投标文件全部</w:t>
      </w:r>
      <w:r>
        <w:rPr>
          <w:rFonts w:hint="eastAsia" w:ascii="仿宋" w:hAnsi="仿宋" w:eastAsia="仿宋" w:cs="仿宋"/>
          <w:color w:val="auto"/>
          <w:szCs w:val="21"/>
          <w:highlight w:val="none"/>
        </w:rPr>
        <w:t>采用电子文档，除投标人须知前附表另有规定外，投标文件所附</w:t>
      </w:r>
      <w:r>
        <w:rPr>
          <w:rFonts w:hint="eastAsia" w:ascii="仿宋" w:hAnsi="仿宋" w:eastAsia="仿宋" w:cs="仿宋"/>
          <w:color w:val="auto"/>
          <w:spacing w:val="1"/>
          <w:szCs w:val="21"/>
          <w:highlight w:val="none"/>
        </w:rPr>
        <w:t>证书证件均为</w:t>
      </w:r>
      <w:r>
        <w:rPr>
          <w:rFonts w:hint="eastAsia" w:ascii="仿宋" w:hAnsi="仿宋" w:eastAsia="仿宋" w:cs="仿宋"/>
          <w:strike/>
          <w:color w:val="auto"/>
          <w:spacing w:val="1"/>
          <w:szCs w:val="21"/>
          <w:highlight w:val="none"/>
        </w:rPr>
        <w:t>原件</w:t>
      </w:r>
      <w:r>
        <w:rPr>
          <w:rFonts w:hint="eastAsia" w:ascii="仿宋" w:hAnsi="仿宋" w:eastAsia="仿宋" w:cs="仿宋"/>
          <w:color w:val="auto"/>
          <w:spacing w:val="1"/>
          <w:szCs w:val="21"/>
          <w:highlight w:val="none"/>
        </w:rPr>
        <w:t>清晰扫描件，并采用单位和个人数字证书，</w:t>
      </w:r>
      <w:r>
        <w:rPr>
          <w:rFonts w:hint="eastAsia" w:ascii="仿宋" w:hAnsi="仿宋" w:eastAsia="仿宋" w:cs="仿宋"/>
          <w:color w:val="auto"/>
          <w:szCs w:val="21"/>
          <w:highlight w:val="none"/>
        </w:rPr>
        <w:t>按招标文件要求在相应位置加盖电子</w:t>
      </w:r>
      <w:r>
        <w:rPr>
          <w:rFonts w:hint="eastAsia" w:ascii="仿宋" w:hAnsi="仿宋" w:eastAsia="仿宋" w:cs="仿宋"/>
          <w:color w:val="auto"/>
          <w:spacing w:val="1"/>
          <w:szCs w:val="21"/>
          <w:highlight w:val="none"/>
        </w:rPr>
        <w:t>印章。由投标人的法定代表人签字或加盖电子印章的，</w:t>
      </w:r>
      <w:r>
        <w:rPr>
          <w:rFonts w:hint="eastAsia" w:ascii="仿宋" w:hAnsi="仿宋" w:eastAsia="仿宋" w:cs="仿宋"/>
          <w:color w:val="auto"/>
          <w:szCs w:val="21"/>
          <w:highlight w:val="none"/>
        </w:rPr>
        <w:t>应附法定代表人身份证明，由代理人签</w:t>
      </w:r>
      <w:r>
        <w:rPr>
          <w:rFonts w:hint="eastAsia" w:ascii="仿宋" w:hAnsi="仿宋" w:eastAsia="仿宋" w:cs="仿宋"/>
          <w:color w:val="auto"/>
          <w:spacing w:val="1"/>
          <w:szCs w:val="21"/>
          <w:highlight w:val="none"/>
        </w:rPr>
        <w:t>字或加盖电子印章的，应附由法定代表人签署的授权委</w:t>
      </w:r>
      <w:r>
        <w:rPr>
          <w:rFonts w:hint="eastAsia" w:ascii="仿宋" w:hAnsi="仿宋" w:eastAsia="仿宋" w:cs="仿宋"/>
          <w:color w:val="auto"/>
          <w:szCs w:val="21"/>
          <w:highlight w:val="none"/>
        </w:rPr>
        <w:t>托书。签字或盖章的具体要求见投标人</w:t>
      </w:r>
      <w:r>
        <w:rPr>
          <w:rFonts w:hint="eastAsia" w:ascii="仿宋" w:hAnsi="仿宋" w:eastAsia="仿宋" w:cs="仿宋"/>
          <w:color w:val="auto"/>
          <w:spacing w:val="-1"/>
          <w:szCs w:val="21"/>
          <w:highlight w:val="none"/>
        </w:rPr>
        <w:t>须知前附表</w:t>
      </w:r>
      <w:r>
        <w:rPr>
          <w:rFonts w:hint="eastAsia" w:ascii="仿宋" w:hAnsi="仿宋" w:eastAsia="仿宋" w:cs="仿宋"/>
          <w:color w:val="auto"/>
          <w:szCs w:val="21"/>
          <w:highlight w:val="none"/>
        </w:rPr>
        <w:t>。</w:t>
      </w:r>
    </w:p>
    <w:p w14:paraId="69C3EE07">
      <w:pPr>
        <w:shd w:val="clear" w:color="auto" w:fill="auto"/>
        <w:spacing w:before="150" w:line="239" w:lineRule="auto"/>
        <w:outlineLvl w:val="0"/>
        <w:rPr>
          <w:rFonts w:hint="eastAsia" w:ascii="仿宋" w:hAnsi="仿宋" w:eastAsia="仿宋" w:cs="仿宋"/>
          <w:color w:val="auto"/>
          <w:sz w:val="31"/>
          <w:szCs w:val="31"/>
          <w:highlight w:val="none"/>
        </w:rPr>
      </w:pPr>
      <w:bookmarkStart w:id="218" w:name="_bookmark48"/>
      <w:bookmarkEnd w:id="218"/>
      <w:bookmarkStart w:id="219" w:name="_bookmark49"/>
      <w:bookmarkEnd w:id="219"/>
      <w:bookmarkStart w:id="220" w:name="_Toc22638"/>
      <w:bookmarkStart w:id="221" w:name="_Toc9979"/>
      <w:bookmarkStart w:id="222" w:name="_Toc14817"/>
      <w:bookmarkStart w:id="223" w:name="_Toc23707"/>
      <w:bookmarkStart w:id="224" w:name="_Toc17913"/>
      <w:bookmarkStart w:id="225" w:name="_Toc14912"/>
      <w:bookmarkStart w:id="226" w:name="_Toc3814"/>
      <w:bookmarkStart w:id="227" w:name="_Toc2380"/>
      <w:bookmarkStart w:id="228" w:name="_Toc27214"/>
      <w:bookmarkStart w:id="229" w:name="_Toc23771"/>
      <w:bookmarkStart w:id="230" w:name="_Toc31724"/>
      <w:bookmarkStart w:id="231" w:name="_Toc21554"/>
      <w:bookmarkStart w:id="232" w:name="_Toc4495"/>
      <w:bookmarkStart w:id="233" w:name="_Toc23010"/>
      <w:bookmarkStart w:id="234" w:name="_Toc21827"/>
      <w:bookmarkStart w:id="235" w:name="_Toc15768"/>
      <w:bookmarkStart w:id="236" w:name="_Toc17076"/>
      <w:r>
        <w:rPr>
          <w:rFonts w:hint="eastAsia" w:ascii="仿宋" w:hAnsi="仿宋" w:eastAsia="仿宋" w:cs="仿宋"/>
          <w:b/>
          <w:bCs/>
          <w:color w:val="auto"/>
          <w:spacing w:val="6"/>
          <w:sz w:val="31"/>
          <w:szCs w:val="31"/>
          <w:highlight w:val="none"/>
        </w:rPr>
        <w:t>4</w:t>
      </w:r>
      <w:r>
        <w:rPr>
          <w:rFonts w:hint="eastAsia" w:ascii="仿宋" w:hAnsi="仿宋" w:eastAsia="仿宋" w:cs="仿宋"/>
          <w:b/>
          <w:bCs/>
          <w:color w:val="auto"/>
          <w:spacing w:val="4"/>
          <w:sz w:val="31"/>
          <w:szCs w:val="31"/>
          <w:highlight w:val="none"/>
        </w:rPr>
        <w:t>.</w:t>
      </w:r>
      <w:r>
        <w:rPr>
          <w:rFonts w:hint="eastAsia" w:ascii="仿宋" w:hAnsi="仿宋" w:eastAsia="仿宋" w:cs="仿宋"/>
          <w:color w:val="auto"/>
          <w:spacing w:val="4"/>
          <w:sz w:val="31"/>
          <w:szCs w:val="31"/>
          <w:highlight w:val="none"/>
        </w:rPr>
        <w:t xml:space="preserve">  投标</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47D23726">
      <w:pPr>
        <w:shd w:val="clear" w:color="auto" w:fill="auto"/>
        <w:spacing w:line="467" w:lineRule="auto"/>
        <w:rPr>
          <w:rFonts w:hint="eastAsia" w:ascii="仿宋" w:hAnsi="仿宋" w:eastAsia="仿宋" w:cs="仿宋"/>
          <w:color w:val="auto"/>
          <w:highlight w:val="none"/>
        </w:rPr>
      </w:pPr>
    </w:p>
    <w:p w14:paraId="2CD12635">
      <w:pPr>
        <w:shd w:val="clear" w:color="auto" w:fill="auto"/>
        <w:spacing w:before="91" w:line="219" w:lineRule="auto"/>
        <w:ind w:left="133"/>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w:t>
      </w:r>
      <w:r>
        <w:rPr>
          <w:rFonts w:hint="eastAsia" w:ascii="仿宋" w:hAnsi="仿宋" w:eastAsia="仿宋" w:cs="仿宋"/>
          <w:color w:val="auto"/>
          <w:sz w:val="28"/>
          <w:szCs w:val="28"/>
          <w:highlight w:val="none"/>
        </w:rPr>
        <w:t>1  投标文件的密封和标记</w:t>
      </w:r>
    </w:p>
    <w:p w14:paraId="736F9632">
      <w:pPr>
        <w:shd w:val="clear" w:color="auto" w:fill="auto"/>
        <w:spacing w:line="321" w:lineRule="auto"/>
        <w:rPr>
          <w:rFonts w:hint="eastAsia" w:ascii="仿宋" w:hAnsi="仿宋" w:eastAsia="仿宋" w:cs="仿宋"/>
          <w:color w:val="auto"/>
          <w:highlight w:val="none"/>
        </w:rPr>
      </w:pPr>
    </w:p>
    <w:p w14:paraId="18107913">
      <w:pPr>
        <w:shd w:val="clear" w:color="auto" w:fill="auto"/>
        <w:spacing w:before="1" w:line="351" w:lineRule="auto"/>
        <w:ind w:left="1" w:firstLine="414"/>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4.1</w:t>
      </w:r>
      <w:r>
        <w:rPr>
          <w:rFonts w:hint="eastAsia" w:ascii="仿宋" w:hAnsi="仿宋" w:eastAsia="仿宋" w:cs="仿宋"/>
          <w:color w:val="auto"/>
          <w:szCs w:val="21"/>
          <w:highlight w:val="none"/>
        </w:rPr>
        <w:t xml:space="preserve">.1  投标人应当按照招标文件和电子招标投标交易平台的要求加密投标文件，具体 </w:t>
      </w:r>
      <w:r>
        <w:rPr>
          <w:rFonts w:hint="eastAsia" w:ascii="仿宋" w:hAnsi="仿宋" w:eastAsia="仿宋" w:cs="仿宋"/>
          <w:color w:val="auto"/>
          <w:spacing w:val="-1"/>
          <w:szCs w:val="21"/>
          <w:highlight w:val="none"/>
        </w:rPr>
        <w:t>要求见投标人</w:t>
      </w:r>
      <w:r>
        <w:rPr>
          <w:rFonts w:hint="eastAsia" w:ascii="仿宋" w:hAnsi="仿宋" w:eastAsia="仿宋" w:cs="仿宋"/>
          <w:color w:val="auto"/>
          <w:szCs w:val="21"/>
          <w:highlight w:val="none"/>
        </w:rPr>
        <w:t>须知前附表。</w:t>
      </w:r>
    </w:p>
    <w:p w14:paraId="67307A8F">
      <w:pPr>
        <w:shd w:val="clear" w:color="auto" w:fill="auto"/>
        <w:spacing w:before="1" w:line="219" w:lineRule="auto"/>
        <w:ind w:left="415"/>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 xml:space="preserve">4.1.2  </w:t>
      </w:r>
      <w:r>
        <w:rPr>
          <w:rFonts w:hint="eastAsia" w:ascii="仿宋" w:hAnsi="仿宋" w:eastAsia="仿宋" w:cs="仿宋"/>
          <w:color w:val="auto"/>
          <w:highlight w:val="none"/>
        </w:rPr>
        <w:t>网上递交的电子投标文件须进行加密</w:t>
      </w:r>
      <w:r>
        <w:rPr>
          <w:rFonts w:hint="eastAsia" w:ascii="仿宋" w:hAnsi="仿宋" w:eastAsia="仿宋" w:cs="仿宋"/>
          <w:color w:val="auto"/>
          <w:szCs w:val="21"/>
          <w:highlight w:val="none"/>
        </w:rPr>
        <w:t>。</w:t>
      </w:r>
    </w:p>
    <w:p w14:paraId="56EA2765">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4.1.3投标文件封套上应写明的内容见投标人须知前附表。</w:t>
      </w:r>
    </w:p>
    <w:p w14:paraId="5D4E8192">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4.1.4未按本章第4.1.1项要求密封的投标文件，招标人将予以拒收。</w:t>
      </w:r>
    </w:p>
    <w:p w14:paraId="60A07621">
      <w:pPr>
        <w:shd w:val="clear" w:color="auto" w:fill="auto"/>
        <w:spacing w:before="150" w:line="562" w:lineRule="exact"/>
        <w:rPr>
          <w:rFonts w:hint="eastAsia" w:ascii="仿宋" w:hAnsi="仿宋" w:eastAsia="仿宋" w:cs="仿宋"/>
          <w:color w:val="auto"/>
          <w:szCs w:val="21"/>
          <w:highlight w:val="none"/>
        </w:rPr>
      </w:pPr>
      <w:bookmarkStart w:id="237" w:name="_bookmark50"/>
      <w:bookmarkEnd w:id="237"/>
    </w:p>
    <w:p w14:paraId="1A9A0540">
      <w:pPr>
        <w:shd w:val="clear" w:color="auto" w:fill="auto"/>
        <w:spacing w:before="1" w:line="219" w:lineRule="auto"/>
        <w:ind w:left="133"/>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w:t>
      </w:r>
      <w:r>
        <w:rPr>
          <w:rFonts w:hint="eastAsia" w:ascii="仿宋" w:hAnsi="仿宋" w:eastAsia="仿宋" w:cs="仿宋"/>
          <w:color w:val="auto"/>
          <w:sz w:val="28"/>
          <w:szCs w:val="28"/>
          <w:highlight w:val="none"/>
        </w:rPr>
        <w:t>2  投标文件的递交</w:t>
      </w:r>
    </w:p>
    <w:p w14:paraId="46926539">
      <w:pPr>
        <w:shd w:val="clear" w:color="auto" w:fill="auto"/>
        <w:spacing w:line="319" w:lineRule="auto"/>
        <w:rPr>
          <w:rFonts w:hint="eastAsia" w:ascii="仿宋" w:hAnsi="仿宋" w:eastAsia="仿宋" w:cs="仿宋"/>
          <w:color w:val="auto"/>
          <w:highlight w:val="none"/>
        </w:rPr>
      </w:pPr>
    </w:p>
    <w:p w14:paraId="7061F1E5">
      <w:pPr>
        <w:shd w:val="clear" w:color="auto" w:fill="auto"/>
        <w:spacing w:before="1" w:line="351" w:lineRule="auto"/>
        <w:ind w:left="1" w:firstLine="414"/>
        <w:rPr>
          <w:rFonts w:hint="eastAsia" w:ascii="仿宋" w:hAnsi="仿宋" w:eastAsia="仿宋" w:cs="仿宋"/>
          <w:color w:val="auto"/>
          <w:spacing w:val="-1"/>
          <w:szCs w:val="21"/>
          <w:highlight w:val="none"/>
        </w:rPr>
      </w:pPr>
      <w:r>
        <w:rPr>
          <w:rFonts w:hint="eastAsia" w:ascii="仿宋" w:hAnsi="仿宋" w:eastAsia="仿宋" w:cs="仿宋"/>
          <w:color w:val="auto"/>
          <w:spacing w:val="-1"/>
          <w:szCs w:val="21"/>
          <w:highlight w:val="none"/>
        </w:rPr>
        <w:t>4.2.1投标人应在投标人须知前附表规定的投标截止时间前递交投标文件。</w:t>
      </w:r>
    </w:p>
    <w:p w14:paraId="100FA775">
      <w:pPr>
        <w:shd w:val="clear" w:color="auto" w:fill="auto"/>
        <w:spacing w:before="1" w:line="351" w:lineRule="auto"/>
        <w:ind w:left="1" w:firstLine="414"/>
        <w:rPr>
          <w:rFonts w:hint="eastAsia" w:ascii="仿宋" w:hAnsi="仿宋" w:eastAsia="仿宋" w:cs="仿宋"/>
          <w:color w:val="auto"/>
          <w:spacing w:val="-1"/>
          <w:szCs w:val="21"/>
          <w:highlight w:val="none"/>
        </w:rPr>
      </w:pPr>
      <w:r>
        <w:rPr>
          <w:rFonts w:hint="eastAsia" w:ascii="仿宋" w:hAnsi="仿宋" w:eastAsia="仿宋" w:cs="仿宋"/>
          <w:color w:val="auto"/>
          <w:spacing w:val="-1"/>
          <w:szCs w:val="21"/>
          <w:highlight w:val="none"/>
        </w:rPr>
        <w:t>4.2.2投标人通过下载招标文件的电子招标投标交易平台递交电子投标文件。</w:t>
      </w:r>
    </w:p>
    <w:p w14:paraId="020CD3E7">
      <w:pPr>
        <w:shd w:val="clear" w:color="auto" w:fill="auto"/>
        <w:spacing w:before="1" w:line="351" w:lineRule="auto"/>
        <w:ind w:left="1" w:firstLine="414"/>
        <w:rPr>
          <w:rFonts w:hint="eastAsia" w:ascii="仿宋" w:hAnsi="仿宋" w:eastAsia="仿宋" w:cs="仿宋"/>
          <w:color w:val="auto"/>
          <w:spacing w:val="-1"/>
          <w:szCs w:val="21"/>
          <w:highlight w:val="none"/>
        </w:rPr>
      </w:pPr>
      <w:r>
        <w:rPr>
          <w:rFonts w:hint="eastAsia" w:ascii="仿宋" w:hAnsi="仿宋" w:eastAsia="仿宋" w:cs="仿宋"/>
          <w:color w:val="auto"/>
          <w:spacing w:val="-1"/>
          <w:szCs w:val="21"/>
          <w:highlight w:val="none"/>
        </w:rPr>
        <w:t>4.2.3除投标人须知前附表另有规定外，投标人所递交的投标文件不予退还。</w:t>
      </w:r>
    </w:p>
    <w:p w14:paraId="0F4E6DD0">
      <w:pPr>
        <w:shd w:val="clear" w:color="auto" w:fill="auto"/>
        <w:spacing w:before="1" w:line="351" w:lineRule="auto"/>
        <w:ind w:left="1" w:firstLine="414"/>
        <w:rPr>
          <w:rFonts w:hint="eastAsia" w:ascii="仿宋" w:hAnsi="仿宋" w:eastAsia="仿宋" w:cs="仿宋"/>
          <w:color w:val="auto"/>
          <w:spacing w:val="-1"/>
          <w:szCs w:val="21"/>
          <w:highlight w:val="none"/>
        </w:rPr>
      </w:pPr>
      <w:r>
        <w:rPr>
          <w:rFonts w:hint="eastAsia" w:ascii="仿宋" w:hAnsi="仿宋" w:eastAsia="仿宋" w:cs="仿宋"/>
          <w:color w:val="auto"/>
          <w:spacing w:val="-1"/>
          <w:szCs w:val="21"/>
          <w:highlight w:val="none"/>
        </w:rPr>
        <w:t>4.2.4投标人完成电子投标文件上传后，电子招标投标交易平台即时向投标人发出递交回执通知。递交时间以递交回执通知载明的传输完成时间为准。</w:t>
      </w:r>
    </w:p>
    <w:p w14:paraId="1D17BE6C">
      <w:pPr>
        <w:shd w:val="clear" w:color="auto" w:fill="auto"/>
        <w:spacing w:before="1" w:line="351" w:lineRule="auto"/>
        <w:ind w:left="1" w:firstLine="414"/>
        <w:rPr>
          <w:rFonts w:hint="eastAsia" w:ascii="仿宋" w:hAnsi="仿宋" w:eastAsia="仿宋" w:cs="仿宋"/>
          <w:color w:val="auto"/>
          <w:spacing w:val="-1"/>
          <w:szCs w:val="21"/>
          <w:highlight w:val="none"/>
        </w:rPr>
      </w:pPr>
      <w:r>
        <w:rPr>
          <w:rFonts w:hint="eastAsia" w:ascii="仿宋" w:hAnsi="仿宋" w:eastAsia="仿宋" w:cs="仿宋"/>
          <w:color w:val="auto"/>
          <w:spacing w:val="-1"/>
          <w:szCs w:val="21"/>
          <w:highlight w:val="none"/>
        </w:rPr>
        <w:t>4.2.5逾期送达的投标文件，电子招标投标交易平台将予以拒收。</w:t>
      </w:r>
    </w:p>
    <w:p w14:paraId="3DFF7666">
      <w:pPr>
        <w:shd w:val="clear" w:color="auto" w:fill="auto"/>
        <w:spacing w:before="91" w:line="219" w:lineRule="auto"/>
        <w:ind w:left="133"/>
        <w:rPr>
          <w:rFonts w:hint="eastAsia" w:ascii="仿宋" w:hAnsi="仿宋" w:eastAsia="仿宋" w:cs="仿宋"/>
          <w:color w:val="auto"/>
          <w:spacing w:val="-1"/>
          <w:sz w:val="28"/>
          <w:szCs w:val="28"/>
          <w:highlight w:val="none"/>
        </w:rPr>
      </w:pPr>
      <w:bookmarkStart w:id="238" w:name="_bookmark51"/>
      <w:bookmarkEnd w:id="238"/>
      <w:r>
        <w:rPr>
          <w:rFonts w:hint="eastAsia" w:ascii="仿宋" w:hAnsi="仿宋" w:eastAsia="仿宋" w:cs="仿宋"/>
          <w:color w:val="auto"/>
          <w:spacing w:val="-1"/>
          <w:sz w:val="28"/>
          <w:szCs w:val="28"/>
          <w:highlight w:val="none"/>
        </w:rPr>
        <w:t>4.3  投标文件的修改与撤回</w:t>
      </w:r>
    </w:p>
    <w:p w14:paraId="043CBD66">
      <w:pPr>
        <w:shd w:val="clear" w:color="auto" w:fill="auto"/>
        <w:spacing w:line="319" w:lineRule="auto"/>
        <w:rPr>
          <w:rFonts w:hint="eastAsia" w:ascii="仿宋" w:hAnsi="仿宋" w:eastAsia="仿宋" w:cs="仿宋"/>
          <w:color w:val="auto"/>
          <w:highlight w:val="none"/>
        </w:rPr>
      </w:pPr>
    </w:p>
    <w:p w14:paraId="1B82FB3E">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4.3.1在本章第4.2.1项规定的投标截止时间前，投标人可以修改或撤回已递交的投标文件，但应以书面形式通知招标人。</w:t>
      </w:r>
    </w:p>
    <w:p w14:paraId="180E6142">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4.3.2投标人修改或撤回已递交投标文件的通知，应按照本章第3.7.3（B）项的要求加盖电子印章。电子招标投标交易平台收到通知后，即时向投标人发出确认回执通知。</w:t>
      </w:r>
    </w:p>
    <w:p w14:paraId="327BCC98">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strike/>
          <w:color w:val="auto"/>
          <w:highlight w:val="none"/>
        </w:rPr>
        <w:t>4.3.3投标人撤回投标文件的，招标人自收到投标人书面撤回通知之日起5日内退还已收取的投标保证金。</w:t>
      </w:r>
    </w:p>
    <w:p w14:paraId="35AE8C6B">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4.3.</w:t>
      </w:r>
      <w:bookmarkStart w:id="239" w:name="_Toc19203"/>
      <w:bookmarkStart w:id="240" w:name="_Toc300834974"/>
      <w:bookmarkStart w:id="241" w:name="_Toc152045553"/>
      <w:bookmarkStart w:id="242" w:name="_Toc247527578"/>
      <w:bookmarkStart w:id="243" w:name="_Toc384308235"/>
      <w:bookmarkStart w:id="244" w:name="_Toc361508610"/>
      <w:bookmarkStart w:id="245" w:name="_Toc247513977"/>
      <w:bookmarkStart w:id="246" w:name="_Toc152042329"/>
      <w:bookmarkStart w:id="247" w:name="_Toc352691497"/>
      <w:bookmarkStart w:id="248" w:name="_Toc369531541"/>
      <w:bookmarkStart w:id="249" w:name="_Toc144974521"/>
      <w:r>
        <w:rPr>
          <w:rFonts w:hint="eastAsia" w:ascii="仿宋" w:hAnsi="仿宋" w:eastAsia="仿宋" w:cs="仿宋"/>
          <w:color w:val="auto"/>
          <w:highlight w:val="none"/>
        </w:rPr>
        <w:t>4修改的内容为投标</w:t>
      </w:r>
      <w:bookmarkEnd w:id="239"/>
      <w:bookmarkEnd w:id="240"/>
      <w:bookmarkEnd w:id="241"/>
      <w:bookmarkEnd w:id="242"/>
      <w:bookmarkEnd w:id="243"/>
      <w:bookmarkEnd w:id="244"/>
      <w:bookmarkEnd w:id="245"/>
      <w:bookmarkEnd w:id="246"/>
      <w:bookmarkEnd w:id="247"/>
      <w:bookmarkEnd w:id="248"/>
      <w:bookmarkEnd w:id="249"/>
      <w:r>
        <w:rPr>
          <w:rFonts w:hint="eastAsia" w:ascii="仿宋" w:hAnsi="仿宋" w:eastAsia="仿宋" w:cs="仿宋"/>
          <w:color w:val="auto"/>
          <w:highlight w:val="none"/>
        </w:rPr>
        <w:t>文件的组成部分。修改的投标文件应按照本章第3条、第4条的规定进行编制、密封、标记和递交，并标明“修改”字样。</w:t>
      </w:r>
    </w:p>
    <w:p w14:paraId="4DD455A2">
      <w:pPr>
        <w:shd w:val="clear" w:color="auto" w:fill="auto"/>
        <w:spacing w:before="1" w:line="361" w:lineRule="auto"/>
        <w:ind w:left="6" w:right="61" w:firstLine="409"/>
        <w:rPr>
          <w:rFonts w:hint="eastAsia" w:ascii="仿宋" w:hAnsi="仿宋" w:eastAsia="仿宋" w:cs="仿宋"/>
          <w:color w:val="auto"/>
          <w:szCs w:val="21"/>
          <w:highlight w:val="none"/>
        </w:rPr>
      </w:pPr>
    </w:p>
    <w:p w14:paraId="663C2974">
      <w:pPr>
        <w:shd w:val="clear" w:color="auto" w:fill="auto"/>
        <w:spacing w:before="146" w:line="241" w:lineRule="auto"/>
        <w:ind w:left="4"/>
        <w:outlineLvl w:val="0"/>
        <w:rPr>
          <w:rFonts w:hint="eastAsia" w:ascii="仿宋" w:hAnsi="仿宋" w:eastAsia="仿宋" w:cs="仿宋"/>
          <w:color w:val="auto"/>
          <w:sz w:val="31"/>
          <w:szCs w:val="31"/>
          <w:highlight w:val="none"/>
        </w:rPr>
      </w:pPr>
      <w:bookmarkStart w:id="250" w:name="_bookmark53"/>
      <w:bookmarkEnd w:id="250"/>
      <w:bookmarkStart w:id="251" w:name="_bookmark52"/>
      <w:bookmarkEnd w:id="251"/>
      <w:bookmarkStart w:id="252" w:name="_Toc32609"/>
      <w:bookmarkStart w:id="253" w:name="_Toc1387"/>
      <w:bookmarkStart w:id="254" w:name="_Toc21352"/>
      <w:bookmarkStart w:id="255" w:name="_Toc24733"/>
      <w:bookmarkStart w:id="256" w:name="_Toc19681"/>
      <w:bookmarkStart w:id="257" w:name="_Toc18746"/>
      <w:bookmarkStart w:id="258" w:name="_Toc23698"/>
      <w:bookmarkStart w:id="259" w:name="_Toc24955"/>
      <w:bookmarkStart w:id="260" w:name="_Toc7714"/>
      <w:bookmarkStart w:id="261" w:name="_Toc15256"/>
      <w:bookmarkStart w:id="262" w:name="_Toc8707"/>
      <w:bookmarkStart w:id="263" w:name="_Toc22724"/>
      <w:bookmarkStart w:id="264" w:name="_Toc23740"/>
      <w:bookmarkStart w:id="265" w:name="_Toc26017"/>
      <w:bookmarkStart w:id="266" w:name="_Toc30944"/>
      <w:bookmarkStart w:id="267" w:name="_Toc18055"/>
      <w:bookmarkStart w:id="268" w:name="_Toc29694"/>
      <w:r>
        <w:rPr>
          <w:rFonts w:hint="eastAsia" w:ascii="仿宋" w:hAnsi="仿宋" w:eastAsia="仿宋" w:cs="仿宋"/>
          <w:b/>
          <w:bCs/>
          <w:color w:val="auto"/>
          <w:spacing w:val="4"/>
          <w:sz w:val="31"/>
          <w:szCs w:val="31"/>
          <w:highlight w:val="none"/>
        </w:rPr>
        <w:t>5.</w:t>
      </w:r>
      <w:r>
        <w:rPr>
          <w:rFonts w:hint="eastAsia" w:ascii="仿宋" w:hAnsi="仿宋" w:eastAsia="仿宋" w:cs="仿宋"/>
          <w:color w:val="auto"/>
          <w:spacing w:val="4"/>
          <w:sz w:val="31"/>
          <w:szCs w:val="31"/>
          <w:highlight w:val="none"/>
        </w:rPr>
        <w:t xml:space="preserve">  开</w:t>
      </w:r>
      <w:r>
        <w:rPr>
          <w:rFonts w:hint="eastAsia" w:ascii="仿宋" w:hAnsi="仿宋" w:eastAsia="仿宋" w:cs="仿宋"/>
          <w:color w:val="auto"/>
          <w:spacing w:val="3"/>
          <w:sz w:val="31"/>
          <w:szCs w:val="31"/>
          <w:highlight w:val="none"/>
        </w:rPr>
        <w:t>标</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0C0CCD6">
      <w:pPr>
        <w:shd w:val="clear" w:color="auto" w:fill="auto"/>
        <w:spacing w:line="467" w:lineRule="auto"/>
        <w:rPr>
          <w:rFonts w:hint="eastAsia" w:ascii="仿宋" w:hAnsi="仿宋" w:eastAsia="仿宋" w:cs="仿宋"/>
          <w:color w:val="auto"/>
          <w:highlight w:val="none"/>
        </w:rPr>
      </w:pPr>
    </w:p>
    <w:p w14:paraId="7A59DA07">
      <w:pPr>
        <w:shd w:val="clear" w:color="auto" w:fill="auto"/>
        <w:spacing w:before="140" w:line="221" w:lineRule="auto"/>
        <w:ind w:left="143"/>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5</w:t>
      </w:r>
      <w:r>
        <w:rPr>
          <w:rFonts w:hint="eastAsia" w:ascii="仿宋" w:hAnsi="仿宋" w:eastAsia="仿宋" w:cs="仿宋"/>
          <w:color w:val="auto"/>
          <w:spacing w:val="9"/>
          <w:sz w:val="28"/>
          <w:szCs w:val="28"/>
          <w:highlight w:val="none"/>
        </w:rPr>
        <w:t>.1  开标时间和地点</w:t>
      </w:r>
    </w:p>
    <w:p w14:paraId="7B73C057">
      <w:pPr>
        <w:shd w:val="clear" w:color="auto" w:fill="auto"/>
        <w:spacing w:line="318" w:lineRule="auto"/>
        <w:rPr>
          <w:rFonts w:hint="eastAsia" w:ascii="仿宋" w:hAnsi="仿宋" w:eastAsia="仿宋" w:cs="仿宋"/>
          <w:color w:val="auto"/>
          <w:highlight w:val="none"/>
        </w:rPr>
      </w:pPr>
    </w:p>
    <w:p w14:paraId="6EAB6571">
      <w:pPr>
        <w:shd w:val="clear" w:color="auto" w:fill="auto"/>
        <w:spacing w:before="69" w:line="357" w:lineRule="auto"/>
        <w:ind w:left="2" w:right="62" w:firstLine="419"/>
        <w:rPr>
          <w:rFonts w:hint="eastAsia" w:ascii="仿宋" w:hAnsi="仿宋" w:eastAsia="仿宋" w:cs="仿宋"/>
          <w:color w:val="auto"/>
          <w:szCs w:val="21"/>
          <w:highlight w:val="none"/>
        </w:rPr>
      </w:pPr>
      <w:r>
        <w:rPr>
          <w:rFonts w:hint="eastAsia" w:ascii="仿宋" w:hAnsi="仿宋" w:eastAsia="仿宋" w:cs="仿宋"/>
          <w:color w:val="auto"/>
          <w:spacing w:val="3"/>
          <w:szCs w:val="21"/>
          <w:highlight w:val="none"/>
        </w:rPr>
        <w:t>招标人在本章第 4.2.1 项规定的投标截止时间(开标时间),通过电子招标投标交易平</w:t>
      </w:r>
      <w:r>
        <w:rPr>
          <w:rFonts w:hint="eastAsia" w:ascii="仿宋" w:hAnsi="仿宋" w:eastAsia="仿宋" w:cs="仿宋"/>
          <w:color w:val="auto"/>
          <w:szCs w:val="21"/>
          <w:highlight w:val="none"/>
        </w:rPr>
        <w:t>台公</w:t>
      </w:r>
      <w:r>
        <w:rPr>
          <w:rFonts w:hint="eastAsia" w:ascii="仿宋" w:hAnsi="仿宋" w:eastAsia="仿宋" w:cs="仿宋"/>
          <w:color w:val="auto"/>
          <w:spacing w:val="-1"/>
          <w:szCs w:val="21"/>
          <w:highlight w:val="none"/>
        </w:rPr>
        <w:t>开开标，所有投标人的法定代表人或其委</w:t>
      </w:r>
      <w:r>
        <w:rPr>
          <w:rFonts w:hint="eastAsia" w:ascii="仿宋" w:hAnsi="仿宋" w:eastAsia="仿宋" w:cs="仿宋"/>
          <w:color w:val="auto"/>
          <w:szCs w:val="21"/>
          <w:highlight w:val="none"/>
        </w:rPr>
        <w:t>托代理人应当准时参加。</w:t>
      </w:r>
    </w:p>
    <w:p w14:paraId="7AB626C2">
      <w:pPr>
        <w:shd w:val="clear" w:color="auto" w:fill="auto"/>
        <w:spacing w:before="148" w:line="219" w:lineRule="auto"/>
        <w:ind w:left="143"/>
        <w:rPr>
          <w:rFonts w:hint="eastAsia" w:ascii="仿宋" w:hAnsi="仿宋" w:eastAsia="仿宋" w:cs="仿宋"/>
          <w:color w:val="auto"/>
          <w:sz w:val="28"/>
          <w:szCs w:val="28"/>
          <w:highlight w:val="none"/>
        </w:rPr>
      </w:pPr>
      <w:bookmarkStart w:id="269" w:name="_bookmark55"/>
      <w:bookmarkEnd w:id="269"/>
      <w:r>
        <w:rPr>
          <w:rFonts w:hint="eastAsia" w:ascii="仿宋" w:hAnsi="仿宋" w:eastAsia="仿宋" w:cs="仿宋"/>
          <w:color w:val="auto"/>
          <w:spacing w:val="-1"/>
          <w:sz w:val="28"/>
          <w:szCs w:val="28"/>
          <w:highlight w:val="none"/>
        </w:rPr>
        <w:t>5.2  开标程</w:t>
      </w:r>
      <w:r>
        <w:rPr>
          <w:rFonts w:hint="eastAsia" w:ascii="仿宋" w:hAnsi="仿宋" w:eastAsia="仿宋" w:cs="仿宋"/>
          <w:color w:val="auto"/>
          <w:sz w:val="28"/>
          <w:szCs w:val="28"/>
          <w:highlight w:val="none"/>
        </w:rPr>
        <w:t>序</w:t>
      </w:r>
    </w:p>
    <w:p w14:paraId="7CC8DE48">
      <w:pPr>
        <w:shd w:val="clear" w:color="auto" w:fill="auto"/>
        <w:spacing w:line="318" w:lineRule="auto"/>
        <w:rPr>
          <w:rFonts w:hint="eastAsia" w:ascii="仿宋" w:hAnsi="仿宋" w:eastAsia="仿宋" w:cs="仿宋"/>
          <w:color w:val="auto"/>
          <w:highlight w:val="none"/>
        </w:rPr>
      </w:pPr>
    </w:p>
    <w:p w14:paraId="6F76B46D">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5.2.1主持人按下列程序进行开标：</w:t>
      </w:r>
    </w:p>
    <w:p w14:paraId="2415D1BA">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（1）宣布开标纪律；</w:t>
      </w:r>
    </w:p>
    <w:p w14:paraId="38066CDA">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（2）投标人通过电子招标投标交易平台对已递交的电子投标文件进行解密；</w:t>
      </w:r>
    </w:p>
    <w:p w14:paraId="3DA13055">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（3）投标人完成解密后，再由招标人或招标代理机构进行解密；</w:t>
      </w:r>
    </w:p>
    <w:p w14:paraId="28CD311D">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（4）解密完成后，公布招标项目名称、投标人名称、投标报价、监理服务期限及其他内容，并记录在案；</w:t>
      </w:r>
    </w:p>
    <w:p w14:paraId="3A48D702">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（5）投标人代表、招标人代表、监标人、记录人等有关人员在开标记录上签字确认；若有关人员不签字的，不影响开标程序；</w:t>
      </w:r>
    </w:p>
    <w:p w14:paraId="26627ACD">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（6）开标结束。</w:t>
      </w:r>
    </w:p>
    <w:p w14:paraId="4B4ED2E4">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5.2.2投标截止时间前未完成投标文件传输的或因投标人之外的原因（如：网络瘫痪、服务器损坏、交易系统故障短期无法恢复等因素）造成投标文件未解密的，视为投标人撤回投标文件。因投标人原因造成投标文件未解密的或未在投标截止时间后一小时内解密的且未提交备用光盘（或U盘）的，视为撤销其投标文件。</w:t>
      </w:r>
    </w:p>
    <w:p w14:paraId="764F4AF1">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5.2.3开标时，出现下列情形之一的，不参与资格审查和评标：</w:t>
      </w:r>
    </w:p>
    <w:p w14:paraId="47337ECC">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（1）未成功递交投标文件的。</w:t>
      </w:r>
    </w:p>
    <w:p w14:paraId="424C11F6">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（2）因投标人原因造成投标文件未解密的。</w:t>
      </w:r>
    </w:p>
    <w:p w14:paraId="64647976">
      <w:pPr>
        <w:shd w:val="clear" w:color="auto" w:fill="auto"/>
        <w:spacing w:before="69" w:line="360" w:lineRule="auto"/>
        <w:ind w:firstLine="460" w:firstLineChars="200"/>
        <w:rPr>
          <w:rFonts w:hint="eastAsia" w:ascii="仿宋" w:hAnsi="仿宋" w:eastAsia="仿宋" w:cs="仿宋"/>
          <w:color w:val="auto"/>
          <w:spacing w:val="10"/>
          <w:szCs w:val="21"/>
          <w:highlight w:val="none"/>
          <w:u w:val="single"/>
        </w:rPr>
      </w:pPr>
      <w:r>
        <w:rPr>
          <w:rFonts w:hint="eastAsia" w:ascii="仿宋" w:hAnsi="仿宋" w:eastAsia="仿宋" w:cs="仿宋"/>
          <w:color w:val="auto"/>
          <w:spacing w:val="10"/>
          <w:szCs w:val="21"/>
          <w:highlight w:val="none"/>
          <w:u w:val="single"/>
        </w:rPr>
        <w:t>5.2.4开标时，两个（含两个）以上的投标人加密打包投标文件电脑机器特征码一致的，不参与下一程序，并由评标委员会否决其投标。</w:t>
      </w:r>
    </w:p>
    <w:p w14:paraId="52A3ECAB">
      <w:pPr>
        <w:shd w:val="clear" w:color="auto" w:fill="auto"/>
        <w:spacing w:line="219" w:lineRule="auto"/>
        <w:ind w:left="142"/>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5.3  开标异</w:t>
      </w:r>
      <w:r>
        <w:rPr>
          <w:rFonts w:hint="eastAsia" w:ascii="仿宋" w:hAnsi="仿宋" w:eastAsia="仿宋" w:cs="仿宋"/>
          <w:color w:val="auto"/>
          <w:sz w:val="28"/>
          <w:szCs w:val="28"/>
          <w:highlight w:val="none"/>
        </w:rPr>
        <w:t>议</w:t>
      </w:r>
    </w:p>
    <w:p w14:paraId="79935077">
      <w:pPr>
        <w:shd w:val="clear" w:color="auto" w:fill="auto"/>
        <w:spacing w:line="318" w:lineRule="auto"/>
        <w:rPr>
          <w:rFonts w:hint="eastAsia" w:ascii="仿宋" w:hAnsi="仿宋" w:eastAsia="仿宋" w:cs="仿宋"/>
          <w:color w:val="auto"/>
          <w:highlight w:val="none"/>
        </w:rPr>
      </w:pPr>
    </w:p>
    <w:p w14:paraId="146F7401">
      <w:pPr>
        <w:shd w:val="clear" w:color="auto" w:fill="auto"/>
        <w:spacing w:before="69" w:line="360" w:lineRule="auto"/>
        <w:ind w:firstLine="460" w:firstLineChars="200"/>
        <w:rPr>
          <w:rFonts w:hint="eastAsia" w:ascii="仿宋" w:hAnsi="仿宋" w:eastAsia="仿宋" w:cs="仿宋"/>
          <w:color w:val="auto"/>
          <w:szCs w:val="21"/>
          <w:highlight w:val="none"/>
          <w:u w:val="single"/>
        </w:rPr>
      </w:pPr>
      <w:r>
        <w:rPr>
          <w:rFonts w:hint="eastAsia" w:ascii="仿宋" w:hAnsi="仿宋" w:eastAsia="仿宋" w:cs="仿宋"/>
          <w:color w:val="auto"/>
          <w:spacing w:val="1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802F356">
      <w:pPr>
        <w:shd w:val="clear" w:color="auto" w:fill="auto"/>
        <w:spacing w:before="316" w:line="239" w:lineRule="auto"/>
        <w:ind w:left="4"/>
        <w:outlineLvl w:val="0"/>
        <w:rPr>
          <w:rFonts w:hint="eastAsia" w:ascii="仿宋" w:hAnsi="仿宋" w:eastAsia="仿宋" w:cs="仿宋"/>
          <w:color w:val="auto"/>
          <w:sz w:val="31"/>
          <w:szCs w:val="31"/>
          <w:highlight w:val="none"/>
        </w:rPr>
      </w:pPr>
      <w:bookmarkStart w:id="270" w:name="_bookmark57"/>
      <w:bookmarkEnd w:id="270"/>
      <w:bookmarkStart w:id="271" w:name="_bookmark58"/>
      <w:bookmarkEnd w:id="271"/>
      <w:bookmarkStart w:id="272" w:name="_Toc26957"/>
      <w:bookmarkStart w:id="273" w:name="_Toc22741"/>
      <w:bookmarkStart w:id="274" w:name="_Toc780"/>
      <w:bookmarkStart w:id="275" w:name="_Toc18367"/>
      <w:bookmarkStart w:id="276" w:name="_Toc31138"/>
      <w:bookmarkStart w:id="277" w:name="_Toc30497"/>
      <w:bookmarkStart w:id="278" w:name="_Toc31533"/>
      <w:bookmarkStart w:id="279" w:name="_Toc26354"/>
      <w:bookmarkStart w:id="280" w:name="_Toc14155"/>
      <w:bookmarkStart w:id="281" w:name="_Toc3655"/>
      <w:bookmarkStart w:id="282" w:name="_Toc19396"/>
      <w:bookmarkStart w:id="283" w:name="_Toc17202"/>
      <w:bookmarkStart w:id="284" w:name="_Toc25884"/>
      <w:bookmarkStart w:id="285" w:name="_Toc6578"/>
      <w:bookmarkStart w:id="286" w:name="_Toc11254"/>
      <w:bookmarkStart w:id="287" w:name="_Toc19138"/>
      <w:bookmarkStart w:id="288" w:name="_Toc913"/>
      <w:r>
        <w:rPr>
          <w:rFonts w:hint="eastAsia" w:ascii="仿宋" w:hAnsi="仿宋" w:eastAsia="仿宋" w:cs="仿宋"/>
          <w:b/>
          <w:bCs/>
          <w:color w:val="auto"/>
          <w:spacing w:val="6"/>
          <w:sz w:val="31"/>
          <w:szCs w:val="31"/>
          <w:highlight w:val="none"/>
        </w:rPr>
        <w:t>6</w:t>
      </w:r>
      <w:r>
        <w:rPr>
          <w:rFonts w:hint="eastAsia" w:ascii="仿宋" w:hAnsi="仿宋" w:eastAsia="仿宋" w:cs="仿宋"/>
          <w:b/>
          <w:bCs/>
          <w:color w:val="auto"/>
          <w:spacing w:val="4"/>
          <w:sz w:val="31"/>
          <w:szCs w:val="31"/>
          <w:highlight w:val="none"/>
        </w:rPr>
        <w:t>.</w:t>
      </w:r>
      <w:r>
        <w:rPr>
          <w:rFonts w:hint="eastAsia" w:ascii="仿宋" w:hAnsi="仿宋" w:eastAsia="仿宋" w:cs="仿宋"/>
          <w:color w:val="auto"/>
          <w:spacing w:val="3"/>
          <w:sz w:val="31"/>
          <w:szCs w:val="31"/>
          <w:highlight w:val="none"/>
        </w:rPr>
        <w:t xml:space="preserve">  评标</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328CF085">
      <w:pPr>
        <w:shd w:val="clear" w:color="auto" w:fill="auto"/>
        <w:spacing w:line="471" w:lineRule="auto"/>
        <w:rPr>
          <w:rFonts w:hint="eastAsia" w:ascii="仿宋" w:hAnsi="仿宋" w:eastAsia="仿宋" w:cs="仿宋"/>
          <w:color w:val="auto"/>
          <w:highlight w:val="none"/>
        </w:rPr>
      </w:pPr>
    </w:p>
    <w:p w14:paraId="7AB0E94C">
      <w:pPr>
        <w:shd w:val="clear" w:color="auto" w:fill="auto"/>
        <w:spacing w:before="91" w:line="219" w:lineRule="auto"/>
        <w:ind w:left="141"/>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6.1  评标委</w:t>
      </w:r>
      <w:r>
        <w:rPr>
          <w:rFonts w:hint="eastAsia" w:ascii="仿宋" w:hAnsi="仿宋" w:eastAsia="仿宋" w:cs="仿宋"/>
          <w:color w:val="auto"/>
          <w:sz w:val="28"/>
          <w:szCs w:val="28"/>
          <w:highlight w:val="none"/>
        </w:rPr>
        <w:t>员会</w:t>
      </w:r>
    </w:p>
    <w:p w14:paraId="0341C60D">
      <w:pPr>
        <w:shd w:val="clear" w:color="auto" w:fill="auto"/>
        <w:spacing w:line="317" w:lineRule="auto"/>
        <w:rPr>
          <w:rFonts w:hint="eastAsia" w:ascii="仿宋" w:hAnsi="仿宋" w:eastAsia="仿宋" w:cs="仿宋"/>
          <w:color w:val="auto"/>
          <w:highlight w:val="none"/>
        </w:rPr>
      </w:pPr>
    </w:p>
    <w:p w14:paraId="432EE6C3">
      <w:pPr>
        <w:shd w:val="clear" w:color="auto" w:fill="auto"/>
        <w:spacing w:before="69" w:line="352" w:lineRule="auto"/>
        <w:ind w:firstLine="421"/>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F37EF6C">
      <w:pPr>
        <w:shd w:val="clear" w:color="auto" w:fill="auto"/>
        <w:spacing w:before="69" w:line="352" w:lineRule="auto"/>
        <w:ind w:firstLine="421"/>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6.1.2评标委员会成员有下列情形之一的，应当回避：</w:t>
      </w:r>
    </w:p>
    <w:p w14:paraId="61F01C6A">
      <w:pPr>
        <w:shd w:val="clear" w:color="auto" w:fill="auto"/>
        <w:spacing w:before="69" w:line="352" w:lineRule="auto"/>
        <w:ind w:firstLine="421"/>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（1）投标人或投标人主要负责人的近亲属；</w:t>
      </w:r>
    </w:p>
    <w:p w14:paraId="17C04A13">
      <w:pPr>
        <w:shd w:val="clear" w:color="auto" w:fill="auto"/>
        <w:spacing w:before="69" w:line="352" w:lineRule="auto"/>
        <w:ind w:firstLine="421"/>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（2）项目主管部门或者行政监督部门的人员；</w:t>
      </w:r>
    </w:p>
    <w:p w14:paraId="0EE8D1FD">
      <w:pPr>
        <w:shd w:val="clear" w:color="auto" w:fill="auto"/>
        <w:spacing w:before="69" w:line="352" w:lineRule="auto"/>
        <w:ind w:firstLine="421"/>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（3）与投标人有经济利益关系，可能影响对投标公正评审的；</w:t>
      </w:r>
    </w:p>
    <w:p w14:paraId="60DC5E7C">
      <w:pPr>
        <w:shd w:val="clear" w:color="auto" w:fill="auto"/>
        <w:spacing w:before="69" w:line="352" w:lineRule="auto"/>
        <w:ind w:firstLine="421"/>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（4）曾因在招标、评标以及其他与招标投标有关活动中从事违法行为而受过行政处罚或刑事处罚的；</w:t>
      </w:r>
    </w:p>
    <w:p w14:paraId="67D1E6BF">
      <w:pPr>
        <w:shd w:val="clear" w:color="auto" w:fill="auto"/>
        <w:spacing w:before="69" w:line="352" w:lineRule="auto"/>
        <w:ind w:firstLine="421"/>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（5）与投标人有其他利害关系。</w:t>
      </w:r>
    </w:p>
    <w:p w14:paraId="1F2F38E5">
      <w:pPr>
        <w:shd w:val="clear" w:color="auto" w:fill="auto"/>
        <w:spacing w:before="69" w:line="352" w:lineRule="auto"/>
        <w:ind w:firstLine="421"/>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14:paraId="0A7F0116">
      <w:pPr>
        <w:shd w:val="clear" w:color="auto" w:fill="auto"/>
        <w:spacing w:before="142" w:line="219" w:lineRule="auto"/>
        <w:ind w:left="141"/>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6.2  评标原</w:t>
      </w:r>
      <w:r>
        <w:rPr>
          <w:rFonts w:hint="eastAsia" w:ascii="仿宋" w:hAnsi="仿宋" w:eastAsia="仿宋" w:cs="仿宋"/>
          <w:color w:val="auto"/>
          <w:sz w:val="28"/>
          <w:szCs w:val="28"/>
          <w:highlight w:val="none"/>
        </w:rPr>
        <w:t>则</w:t>
      </w:r>
    </w:p>
    <w:p w14:paraId="327D11F9">
      <w:pPr>
        <w:shd w:val="clear" w:color="auto" w:fill="auto"/>
        <w:spacing w:line="319" w:lineRule="auto"/>
        <w:rPr>
          <w:rFonts w:hint="eastAsia" w:ascii="仿宋" w:hAnsi="仿宋" w:eastAsia="仿宋" w:cs="仿宋"/>
          <w:color w:val="auto"/>
          <w:highlight w:val="none"/>
        </w:rPr>
      </w:pPr>
    </w:p>
    <w:p w14:paraId="55C56182">
      <w:pPr>
        <w:shd w:val="clear" w:color="auto" w:fill="auto"/>
        <w:spacing w:before="69" w:line="220" w:lineRule="auto"/>
        <w:ind w:left="419"/>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评标</w:t>
      </w:r>
      <w:r>
        <w:rPr>
          <w:rFonts w:hint="eastAsia" w:ascii="仿宋" w:hAnsi="仿宋" w:eastAsia="仿宋" w:cs="仿宋"/>
          <w:color w:val="auto"/>
          <w:szCs w:val="21"/>
          <w:highlight w:val="none"/>
        </w:rPr>
        <w:t>活动遵循公平、公正、科学和择优的原则。</w:t>
      </w:r>
    </w:p>
    <w:p w14:paraId="76511449">
      <w:pPr>
        <w:shd w:val="clear" w:color="auto" w:fill="auto"/>
        <w:spacing w:before="142" w:line="219" w:lineRule="auto"/>
        <w:ind w:left="141"/>
        <w:rPr>
          <w:rFonts w:hint="eastAsia" w:ascii="仿宋" w:hAnsi="仿宋" w:eastAsia="仿宋" w:cs="仿宋"/>
          <w:b/>
          <w:bCs/>
          <w:color w:val="auto"/>
          <w:spacing w:val="10"/>
          <w:sz w:val="31"/>
          <w:szCs w:val="31"/>
          <w:highlight w:val="none"/>
        </w:rPr>
      </w:pPr>
      <w:bookmarkStart w:id="289" w:name="_bookmark60"/>
      <w:bookmarkEnd w:id="289"/>
      <w:r>
        <w:rPr>
          <w:rFonts w:hint="eastAsia" w:ascii="仿宋" w:hAnsi="仿宋" w:eastAsia="仿宋" w:cs="仿宋"/>
          <w:color w:val="auto"/>
          <w:spacing w:val="-1"/>
          <w:sz w:val="28"/>
          <w:szCs w:val="28"/>
          <w:highlight w:val="none"/>
        </w:rPr>
        <w:t>6.3  评标</w:t>
      </w:r>
    </w:p>
    <w:p w14:paraId="6299E39A">
      <w:pPr>
        <w:shd w:val="clear" w:color="auto" w:fill="auto"/>
        <w:spacing w:line="319" w:lineRule="auto"/>
        <w:rPr>
          <w:rFonts w:hint="eastAsia" w:ascii="仿宋" w:hAnsi="仿宋" w:eastAsia="仿宋" w:cs="仿宋"/>
          <w:color w:val="auto"/>
          <w:highlight w:val="none"/>
        </w:rPr>
      </w:pPr>
    </w:p>
    <w:p w14:paraId="17FCDC88">
      <w:pPr>
        <w:shd w:val="clear" w:color="auto" w:fill="auto"/>
        <w:spacing w:line="361" w:lineRule="auto"/>
        <w:ind w:left="9" w:firstLine="412"/>
        <w:rPr>
          <w:rFonts w:hint="eastAsia" w:ascii="仿宋" w:hAnsi="仿宋" w:eastAsia="仿宋" w:cs="仿宋"/>
          <w:color w:val="auto"/>
          <w:szCs w:val="21"/>
          <w:highlight w:val="none"/>
        </w:rPr>
      </w:pPr>
      <w:r>
        <w:rPr>
          <w:rFonts w:hint="eastAsia" w:ascii="仿宋" w:hAnsi="仿宋" w:eastAsia="仿宋" w:cs="仿宋"/>
          <w:color w:val="auto"/>
          <w:szCs w:val="21"/>
          <w:highlight w:val="none"/>
        </w:rPr>
        <w:t>6.3.1评标委员会按照第三章评标办法（“评定分离”定标办法）规定的方法、评审因素、标准和程序对投标文件进行评审。第三章评标办法（“评定分离”定标办法）没有规定的方法、评审因素和标准，不作为评标依据。</w:t>
      </w:r>
    </w:p>
    <w:p w14:paraId="7F8F70FC">
      <w:pPr>
        <w:shd w:val="clear" w:color="auto" w:fill="auto"/>
        <w:spacing w:line="361" w:lineRule="auto"/>
        <w:ind w:left="9" w:firstLine="412"/>
        <w:rPr>
          <w:rFonts w:hint="eastAsia" w:ascii="仿宋" w:hAnsi="仿宋" w:eastAsia="仿宋" w:cs="仿宋"/>
          <w:color w:val="auto"/>
          <w:szCs w:val="21"/>
          <w:highlight w:val="none"/>
        </w:rPr>
      </w:pPr>
      <w:r>
        <w:rPr>
          <w:rFonts w:hint="eastAsia" w:ascii="仿宋" w:hAnsi="仿宋" w:eastAsia="仿宋" w:cs="仿宋"/>
          <w:color w:val="auto"/>
          <w:szCs w:val="21"/>
          <w:highlight w:val="none"/>
        </w:rPr>
        <w:t>6.3.2评标完成后，评标委员会应当向招标人提交书面评标报告和中标候选人名单。</w:t>
      </w:r>
    </w:p>
    <w:p w14:paraId="38C54CB1">
      <w:pPr>
        <w:shd w:val="clear" w:color="auto" w:fill="auto"/>
        <w:spacing w:before="146" w:line="239" w:lineRule="auto"/>
        <w:ind w:left="4"/>
        <w:outlineLvl w:val="0"/>
        <w:rPr>
          <w:rFonts w:hint="eastAsia" w:ascii="仿宋" w:hAnsi="仿宋" w:eastAsia="仿宋" w:cs="仿宋"/>
          <w:color w:val="auto"/>
          <w:sz w:val="31"/>
          <w:szCs w:val="31"/>
          <w:highlight w:val="none"/>
        </w:rPr>
      </w:pPr>
      <w:bookmarkStart w:id="290" w:name="_bookmark62"/>
      <w:bookmarkEnd w:id="290"/>
      <w:bookmarkStart w:id="291" w:name="_bookmark61"/>
      <w:bookmarkEnd w:id="291"/>
      <w:bookmarkStart w:id="292" w:name="_Toc21581"/>
      <w:bookmarkStart w:id="293" w:name="_Toc5082"/>
      <w:bookmarkStart w:id="294" w:name="_Toc5528"/>
      <w:bookmarkStart w:id="295" w:name="_Toc21382"/>
      <w:bookmarkStart w:id="296" w:name="_Toc14867"/>
      <w:bookmarkStart w:id="297" w:name="_Toc31758"/>
      <w:bookmarkStart w:id="298" w:name="_Toc25686"/>
      <w:bookmarkStart w:id="299" w:name="_Toc27155"/>
      <w:bookmarkStart w:id="300" w:name="_Toc7402"/>
      <w:bookmarkStart w:id="301" w:name="_Toc12591"/>
      <w:bookmarkStart w:id="302" w:name="_Toc14485"/>
      <w:bookmarkStart w:id="303" w:name="_Toc31880"/>
      <w:bookmarkStart w:id="304" w:name="_Toc17688"/>
      <w:bookmarkStart w:id="305" w:name="_Toc3002"/>
      <w:bookmarkStart w:id="306" w:name="_Toc27016"/>
      <w:bookmarkStart w:id="307" w:name="_Toc15770"/>
      <w:bookmarkStart w:id="308" w:name="_Toc31791"/>
      <w:r>
        <w:rPr>
          <w:rFonts w:hint="eastAsia" w:ascii="仿宋" w:hAnsi="仿宋" w:eastAsia="仿宋" w:cs="仿宋"/>
          <w:b/>
          <w:bCs/>
          <w:color w:val="auto"/>
          <w:spacing w:val="10"/>
          <w:sz w:val="31"/>
          <w:szCs w:val="31"/>
          <w:highlight w:val="none"/>
        </w:rPr>
        <w:t>7</w:t>
      </w:r>
      <w:r>
        <w:rPr>
          <w:rFonts w:hint="eastAsia" w:ascii="仿宋" w:hAnsi="仿宋" w:eastAsia="仿宋" w:cs="仿宋"/>
          <w:b/>
          <w:bCs/>
          <w:color w:val="auto"/>
          <w:spacing w:val="6"/>
          <w:sz w:val="31"/>
          <w:szCs w:val="31"/>
          <w:highlight w:val="none"/>
        </w:rPr>
        <w:t>.</w:t>
      </w:r>
      <w:r>
        <w:rPr>
          <w:rFonts w:hint="eastAsia" w:ascii="仿宋" w:hAnsi="仿宋" w:eastAsia="仿宋" w:cs="仿宋"/>
          <w:color w:val="auto"/>
          <w:spacing w:val="5"/>
          <w:sz w:val="31"/>
          <w:szCs w:val="31"/>
          <w:highlight w:val="none"/>
        </w:rPr>
        <w:t xml:space="preserve">  合同授予</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37679BBE">
      <w:pPr>
        <w:shd w:val="clear" w:color="auto" w:fill="auto"/>
        <w:spacing w:line="472" w:lineRule="auto"/>
        <w:rPr>
          <w:rFonts w:hint="eastAsia" w:ascii="仿宋" w:hAnsi="仿宋" w:eastAsia="仿宋" w:cs="仿宋"/>
          <w:color w:val="auto"/>
          <w:highlight w:val="none"/>
        </w:rPr>
      </w:pPr>
    </w:p>
    <w:p w14:paraId="1B046DA9">
      <w:pPr>
        <w:shd w:val="clear" w:color="auto" w:fill="auto"/>
        <w:spacing w:before="91" w:line="219" w:lineRule="auto"/>
        <w:ind w:left="14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7.1  中标候</w:t>
      </w:r>
      <w:r>
        <w:rPr>
          <w:rFonts w:hint="eastAsia" w:ascii="仿宋" w:hAnsi="仿宋" w:eastAsia="仿宋" w:cs="仿宋"/>
          <w:color w:val="auto"/>
          <w:sz w:val="28"/>
          <w:szCs w:val="28"/>
          <w:highlight w:val="none"/>
        </w:rPr>
        <w:t>选人公示</w:t>
      </w:r>
    </w:p>
    <w:p w14:paraId="62D4C700">
      <w:pPr>
        <w:shd w:val="clear" w:color="auto" w:fill="auto"/>
        <w:spacing w:line="318" w:lineRule="auto"/>
        <w:rPr>
          <w:rFonts w:hint="eastAsia" w:ascii="仿宋" w:hAnsi="仿宋" w:eastAsia="仿宋" w:cs="仿宋"/>
          <w:color w:val="auto"/>
          <w:highlight w:val="none"/>
        </w:rPr>
      </w:pPr>
    </w:p>
    <w:p w14:paraId="13E869B3">
      <w:pPr>
        <w:shd w:val="clear" w:color="auto" w:fill="auto"/>
        <w:spacing w:before="68" w:line="361" w:lineRule="auto"/>
        <w:ind w:left="21" w:firstLine="400"/>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招标</w:t>
      </w:r>
      <w:r>
        <w:rPr>
          <w:rFonts w:hint="eastAsia" w:ascii="仿宋" w:hAnsi="仿宋" w:eastAsia="仿宋" w:cs="仿宋"/>
          <w:color w:val="auto"/>
          <w:spacing w:val="-7"/>
          <w:szCs w:val="21"/>
          <w:highlight w:val="none"/>
        </w:rPr>
        <w:t>人</w:t>
      </w:r>
      <w:r>
        <w:rPr>
          <w:rFonts w:hint="eastAsia" w:ascii="仿宋" w:hAnsi="仿宋" w:eastAsia="仿宋" w:cs="仿宋"/>
          <w:color w:val="auto"/>
          <w:spacing w:val="-4"/>
          <w:szCs w:val="21"/>
          <w:highlight w:val="none"/>
        </w:rPr>
        <w:t>在收到评标报告之日起 3 日内，按照投标人须知前附表规定的公示媒介和期限公示</w:t>
      </w:r>
      <w:bookmarkStart w:id="309" w:name="_bookmark63"/>
      <w:bookmarkEnd w:id="309"/>
      <w:r>
        <w:rPr>
          <w:rFonts w:hint="eastAsia" w:ascii="仿宋" w:hAnsi="仿宋" w:eastAsia="仿宋" w:cs="仿宋"/>
          <w:color w:val="auto"/>
          <w:spacing w:val="-8"/>
          <w:szCs w:val="21"/>
          <w:highlight w:val="none"/>
        </w:rPr>
        <w:t>中标候</w:t>
      </w:r>
      <w:r>
        <w:rPr>
          <w:rFonts w:hint="eastAsia" w:ascii="仿宋" w:hAnsi="仿宋" w:eastAsia="仿宋" w:cs="仿宋"/>
          <w:color w:val="auto"/>
          <w:spacing w:val="-6"/>
          <w:szCs w:val="21"/>
          <w:highlight w:val="none"/>
        </w:rPr>
        <w:t>选</w:t>
      </w:r>
      <w:r>
        <w:rPr>
          <w:rFonts w:hint="eastAsia" w:ascii="仿宋" w:hAnsi="仿宋" w:eastAsia="仿宋" w:cs="仿宋"/>
          <w:color w:val="auto"/>
          <w:spacing w:val="-4"/>
          <w:szCs w:val="21"/>
          <w:highlight w:val="none"/>
        </w:rPr>
        <w:t>人，公示期不得少于 3 天。</w:t>
      </w:r>
    </w:p>
    <w:p w14:paraId="40655CAD">
      <w:pPr>
        <w:shd w:val="clear" w:color="auto" w:fill="auto"/>
        <w:spacing w:before="140" w:line="219" w:lineRule="auto"/>
        <w:ind w:left="14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7.2  评标</w:t>
      </w:r>
      <w:r>
        <w:rPr>
          <w:rFonts w:hint="eastAsia" w:ascii="仿宋" w:hAnsi="仿宋" w:eastAsia="仿宋" w:cs="仿宋"/>
          <w:color w:val="auto"/>
          <w:sz w:val="28"/>
          <w:szCs w:val="28"/>
          <w:highlight w:val="none"/>
        </w:rPr>
        <w:t>结果异议</w:t>
      </w:r>
    </w:p>
    <w:p w14:paraId="66D37D5C">
      <w:pPr>
        <w:shd w:val="clear" w:color="auto" w:fill="auto"/>
        <w:spacing w:line="320" w:lineRule="auto"/>
        <w:rPr>
          <w:rFonts w:hint="eastAsia" w:ascii="仿宋" w:hAnsi="仿宋" w:eastAsia="仿宋" w:cs="仿宋"/>
          <w:color w:val="auto"/>
          <w:highlight w:val="none"/>
        </w:rPr>
      </w:pPr>
    </w:p>
    <w:p w14:paraId="2C4DEAFA">
      <w:pPr>
        <w:shd w:val="clear" w:color="auto" w:fill="auto"/>
        <w:spacing w:before="69" w:line="359" w:lineRule="auto"/>
        <w:ind w:left="3" w:right="3" w:firstLine="42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000E68A0">
      <w:pPr>
        <w:shd w:val="clear" w:color="auto" w:fill="auto"/>
        <w:spacing w:before="143" w:line="219" w:lineRule="auto"/>
        <w:ind w:left="14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7.3  中标候</w:t>
      </w:r>
      <w:r>
        <w:rPr>
          <w:rFonts w:hint="eastAsia" w:ascii="仿宋" w:hAnsi="仿宋" w:eastAsia="仿宋" w:cs="仿宋"/>
          <w:color w:val="auto"/>
          <w:sz w:val="28"/>
          <w:szCs w:val="28"/>
          <w:highlight w:val="none"/>
        </w:rPr>
        <w:t>选人履约能力审查</w:t>
      </w:r>
    </w:p>
    <w:p w14:paraId="7EDAC62D">
      <w:pPr>
        <w:shd w:val="clear" w:color="auto" w:fill="auto"/>
        <w:spacing w:line="318" w:lineRule="auto"/>
        <w:rPr>
          <w:rFonts w:hint="eastAsia" w:ascii="仿宋" w:hAnsi="仿宋" w:eastAsia="仿宋" w:cs="仿宋"/>
          <w:color w:val="auto"/>
          <w:highlight w:val="none"/>
        </w:rPr>
      </w:pPr>
    </w:p>
    <w:p w14:paraId="42F21965">
      <w:pPr>
        <w:shd w:val="clear" w:color="auto" w:fill="auto"/>
        <w:spacing w:before="69" w:line="358" w:lineRule="auto"/>
        <w:ind w:left="1" w:right="3" w:firstLine="439"/>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中标候选</w:t>
      </w:r>
      <w:r>
        <w:rPr>
          <w:rFonts w:hint="eastAsia" w:ascii="仿宋" w:hAnsi="仿宋" w:eastAsia="仿宋" w:cs="仿宋"/>
          <w:color w:val="auto"/>
          <w:szCs w:val="21"/>
          <w:highlight w:val="none"/>
        </w:rPr>
        <w:t>人的经营、财务状况发生较大变化或存在违法行为，招标人认为可能影响其履约</w:t>
      </w:r>
      <w:r>
        <w:rPr>
          <w:rFonts w:hint="eastAsia" w:ascii="仿宋" w:hAnsi="仿宋" w:eastAsia="仿宋" w:cs="仿宋"/>
          <w:color w:val="auto"/>
          <w:spacing w:val="1"/>
          <w:szCs w:val="21"/>
          <w:highlight w:val="none"/>
        </w:rPr>
        <w:t>能力的，将在发出中标通知书前提请原评标委员会按照</w:t>
      </w:r>
      <w:r>
        <w:rPr>
          <w:rFonts w:hint="eastAsia" w:ascii="仿宋" w:hAnsi="仿宋" w:eastAsia="仿宋" w:cs="仿宋"/>
          <w:color w:val="auto"/>
          <w:szCs w:val="21"/>
          <w:highlight w:val="none"/>
        </w:rPr>
        <w:t>招标文件规定的标准和方法进行审查确</w:t>
      </w:r>
      <w:bookmarkStart w:id="310" w:name="_bookmark65"/>
      <w:bookmarkEnd w:id="310"/>
      <w:r>
        <w:rPr>
          <w:rFonts w:hint="eastAsia" w:ascii="仿宋" w:hAnsi="仿宋" w:eastAsia="仿宋" w:cs="仿宋"/>
          <w:color w:val="auto"/>
          <w:spacing w:val="-10"/>
          <w:szCs w:val="21"/>
          <w:highlight w:val="none"/>
        </w:rPr>
        <w:t>认</w:t>
      </w:r>
      <w:r>
        <w:rPr>
          <w:rFonts w:hint="eastAsia" w:ascii="仿宋" w:hAnsi="仿宋" w:eastAsia="仿宋" w:cs="仿宋"/>
          <w:color w:val="auto"/>
          <w:spacing w:val="-9"/>
          <w:szCs w:val="21"/>
          <w:highlight w:val="none"/>
        </w:rPr>
        <w:t>。</w:t>
      </w:r>
    </w:p>
    <w:p w14:paraId="410A390C">
      <w:pPr>
        <w:shd w:val="clear" w:color="auto" w:fill="auto"/>
        <w:spacing w:before="141" w:line="222" w:lineRule="auto"/>
        <w:ind w:left="14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7.4  定标</w:t>
      </w:r>
    </w:p>
    <w:p w14:paraId="387804E3">
      <w:pPr>
        <w:shd w:val="clear" w:color="auto" w:fill="auto"/>
        <w:spacing w:line="315" w:lineRule="auto"/>
        <w:rPr>
          <w:rFonts w:hint="eastAsia" w:ascii="仿宋" w:hAnsi="仿宋" w:eastAsia="仿宋" w:cs="仿宋"/>
          <w:color w:val="auto"/>
          <w:highlight w:val="none"/>
        </w:rPr>
      </w:pPr>
    </w:p>
    <w:p w14:paraId="633D1BBF">
      <w:pPr>
        <w:shd w:val="clear" w:color="auto" w:fill="auto"/>
        <w:spacing w:before="69" w:line="456" w:lineRule="auto"/>
        <w:ind w:left="140" w:right="479" w:firstLine="282"/>
        <w:rPr>
          <w:rFonts w:hint="eastAsia" w:ascii="仿宋" w:hAnsi="仿宋" w:eastAsia="仿宋" w:cs="仿宋"/>
          <w:color w:val="auto"/>
          <w:szCs w:val="21"/>
          <w:highlight w:val="none"/>
        </w:rPr>
      </w:pPr>
      <w:r>
        <w:rPr>
          <w:rFonts w:hint="eastAsia" w:ascii="仿宋" w:hAnsi="仿宋" w:eastAsia="仿宋" w:cs="仿宋"/>
          <w:color w:val="auto"/>
          <w:szCs w:val="24"/>
          <w:highlight w:val="none"/>
          <w:u w:val="single"/>
        </w:rPr>
        <w:t>定标委员会</w:t>
      </w:r>
      <w:r>
        <w:rPr>
          <w:rFonts w:hint="eastAsia" w:ascii="仿宋" w:hAnsi="仿宋" w:eastAsia="仿宋" w:cs="仿宋"/>
          <w:color w:val="auto"/>
          <w:highlight w:val="none"/>
          <w:u w:val="single"/>
        </w:rPr>
        <w:t>按照投标人须知前附表的规定依法确定中标人。</w:t>
      </w:r>
      <w:r>
        <w:rPr>
          <w:rFonts w:hint="eastAsia" w:ascii="仿宋" w:hAnsi="仿宋" w:eastAsia="仿宋" w:cs="仿宋"/>
          <w:color w:val="auto"/>
          <w:szCs w:val="21"/>
          <w:highlight w:val="none"/>
        </w:rPr>
        <w:t xml:space="preserve"> </w:t>
      </w:r>
      <w:bookmarkStart w:id="311" w:name="_bookmark66"/>
      <w:bookmarkEnd w:id="311"/>
    </w:p>
    <w:p w14:paraId="1C793663">
      <w:pPr>
        <w:shd w:val="clear" w:color="auto" w:fill="auto"/>
        <w:spacing w:before="69" w:line="456" w:lineRule="auto"/>
        <w:ind w:right="47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7</w:t>
      </w:r>
      <w:r>
        <w:rPr>
          <w:rFonts w:hint="eastAsia" w:ascii="仿宋" w:hAnsi="仿宋" w:eastAsia="仿宋" w:cs="仿宋"/>
          <w:color w:val="auto"/>
          <w:sz w:val="28"/>
          <w:szCs w:val="28"/>
          <w:highlight w:val="none"/>
        </w:rPr>
        <w:t>.5  中标通知</w:t>
      </w:r>
    </w:p>
    <w:p w14:paraId="696EC2EE">
      <w:pPr>
        <w:shd w:val="clear" w:color="auto" w:fill="auto"/>
        <w:spacing w:before="74" w:line="359" w:lineRule="auto"/>
        <w:ind w:firstLine="420"/>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在本章第 3.3 款规定的投标有效期内，招标人以书面形式</w:t>
      </w:r>
      <w:r>
        <w:rPr>
          <w:rFonts w:hint="eastAsia" w:ascii="仿宋" w:hAnsi="仿宋" w:eastAsia="仿宋" w:cs="仿宋"/>
          <w:color w:val="auto"/>
          <w:szCs w:val="21"/>
          <w:highlight w:val="none"/>
        </w:rPr>
        <w:t>向中标人发出中标通知书，同时</w:t>
      </w:r>
      <w:bookmarkStart w:id="312" w:name="_bookmark67"/>
      <w:bookmarkEnd w:id="312"/>
      <w:r>
        <w:rPr>
          <w:rFonts w:hint="eastAsia" w:ascii="仿宋" w:hAnsi="仿宋" w:eastAsia="仿宋" w:cs="仿宋"/>
          <w:color w:val="auto"/>
          <w:spacing w:val="-1"/>
          <w:szCs w:val="21"/>
          <w:highlight w:val="none"/>
        </w:rPr>
        <w:t>将中</w:t>
      </w:r>
      <w:r>
        <w:rPr>
          <w:rFonts w:hint="eastAsia" w:ascii="仿宋" w:hAnsi="仿宋" w:eastAsia="仿宋" w:cs="仿宋"/>
          <w:color w:val="auto"/>
          <w:szCs w:val="21"/>
          <w:highlight w:val="none"/>
        </w:rPr>
        <w:t>标结果通知未中标的投标人。</w:t>
      </w:r>
    </w:p>
    <w:p w14:paraId="52F8130C">
      <w:pPr>
        <w:shd w:val="clear" w:color="auto" w:fill="auto"/>
        <w:spacing w:before="143" w:line="219" w:lineRule="auto"/>
        <w:ind w:left="140"/>
        <w:rPr>
          <w:rFonts w:hint="eastAsia" w:ascii="仿宋" w:hAnsi="仿宋" w:eastAsia="仿宋" w:cs="仿宋"/>
          <w:strike w:val="0"/>
          <w:color w:val="auto"/>
          <w:sz w:val="28"/>
          <w:szCs w:val="28"/>
          <w:highlight w:val="none"/>
        </w:rPr>
      </w:pPr>
      <w:r>
        <w:rPr>
          <w:rFonts w:hint="eastAsia" w:ascii="仿宋" w:hAnsi="仿宋" w:eastAsia="仿宋" w:cs="仿宋"/>
          <w:strike w:val="0"/>
          <w:color w:val="auto"/>
          <w:spacing w:val="-1"/>
          <w:sz w:val="28"/>
          <w:szCs w:val="28"/>
          <w:highlight w:val="none"/>
        </w:rPr>
        <w:t>7.6  履</w:t>
      </w:r>
      <w:r>
        <w:rPr>
          <w:rFonts w:hint="eastAsia" w:ascii="仿宋" w:hAnsi="仿宋" w:eastAsia="仿宋" w:cs="仿宋"/>
          <w:strike w:val="0"/>
          <w:color w:val="auto"/>
          <w:sz w:val="28"/>
          <w:szCs w:val="28"/>
          <w:highlight w:val="none"/>
        </w:rPr>
        <w:t>约保证金</w:t>
      </w:r>
    </w:p>
    <w:p w14:paraId="4D572A81">
      <w:pPr>
        <w:shd w:val="clear" w:color="auto" w:fill="auto"/>
        <w:spacing w:line="319" w:lineRule="auto"/>
        <w:rPr>
          <w:rFonts w:hint="eastAsia" w:ascii="仿宋" w:hAnsi="仿宋" w:eastAsia="仿宋" w:cs="仿宋"/>
          <w:strike w:val="0"/>
          <w:color w:val="auto"/>
          <w:highlight w:val="none"/>
        </w:rPr>
      </w:pPr>
    </w:p>
    <w:p w14:paraId="6E5B6EAF">
      <w:pPr>
        <w:shd w:val="clear" w:color="auto" w:fill="auto"/>
        <w:spacing w:before="1" w:line="361" w:lineRule="auto"/>
        <w:ind w:left="4" w:right="74" w:firstLine="416"/>
        <w:rPr>
          <w:rFonts w:hint="eastAsia" w:ascii="仿宋" w:hAnsi="仿宋" w:eastAsia="仿宋" w:cs="仿宋"/>
          <w:strike w:val="0"/>
          <w:color w:val="auto"/>
          <w:spacing w:val="-4"/>
          <w:szCs w:val="21"/>
          <w:highlight w:val="none"/>
        </w:rPr>
      </w:pPr>
      <w:r>
        <w:rPr>
          <w:rFonts w:hint="eastAsia" w:ascii="仿宋" w:hAnsi="仿宋" w:eastAsia="仿宋" w:cs="仿宋"/>
          <w:strike w:val="0"/>
          <w:color w:val="auto"/>
          <w:spacing w:val="-4"/>
          <w:szCs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14:paraId="460CF440">
      <w:pPr>
        <w:shd w:val="clear" w:color="auto" w:fill="auto"/>
        <w:spacing w:before="1" w:line="361" w:lineRule="auto"/>
        <w:ind w:left="4" w:right="74" w:firstLine="416"/>
        <w:rPr>
          <w:rFonts w:hint="eastAsia" w:ascii="仿宋" w:hAnsi="仿宋" w:eastAsia="仿宋" w:cs="仿宋"/>
          <w:strike w:val="0"/>
          <w:color w:val="auto"/>
          <w:szCs w:val="21"/>
          <w:highlight w:val="none"/>
        </w:rPr>
      </w:pPr>
      <w:r>
        <w:rPr>
          <w:rFonts w:hint="eastAsia" w:ascii="仿宋" w:hAnsi="仿宋" w:eastAsia="仿宋" w:cs="仿宋"/>
          <w:strike w:val="0"/>
          <w:color w:val="auto"/>
          <w:spacing w:val="-4"/>
          <w:szCs w:val="21"/>
          <w:highlight w:val="none"/>
        </w:rPr>
        <w:t>7.6.2  中标人不能按本章第</w:t>
      </w:r>
      <w:r>
        <w:rPr>
          <w:rFonts w:hint="eastAsia" w:ascii="仿宋" w:hAnsi="仿宋" w:eastAsia="仿宋" w:cs="仿宋"/>
          <w:strike w:val="0"/>
          <w:color w:val="auto"/>
          <w:spacing w:val="-2"/>
          <w:szCs w:val="21"/>
          <w:highlight w:val="none"/>
        </w:rPr>
        <w:t xml:space="preserve"> 7.6.1 项要求提交履约保证金的，视为放弃中标，其投标保证金</w:t>
      </w:r>
      <w:r>
        <w:rPr>
          <w:rFonts w:hint="eastAsia" w:ascii="仿宋" w:hAnsi="仿宋" w:eastAsia="仿宋" w:cs="仿宋"/>
          <w:strike w:val="0"/>
          <w:color w:val="auto"/>
          <w:spacing w:val="-5"/>
          <w:szCs w:val="21"/>
          <w:highlight w:val="none"/>
        </w:rPr>
        <w:t>不予退还，给招标人造成的损失超过投标保证金数额的，中标人还应当对超过部分予以赔偿</w:t>
      </w:r>
      <w:r>
        <w:rPr>
          <w:rFonts w:hint="eastAsia" w:ascii="仿宋" w:hAnsi="仿宋" w:eastAsia="仿宋" w:cs="仿宋"/>
          <w:strike w:val="0"/>
          <w:color w:val="auto"/>
          <w:spacing w:val="-4"/>
          <w:szCs w:val="21"/>
          <w:highlight w:val="none"/>
        </w:rPr>
        <w:t>。</w:t>
      </w:r>
    </w:p>
    <w:p w14:paraId="28CF566A">
      <w:pPr>
        <w:shd w:val="clear" w:color="auto" w:fill="auto"/>
        <w:spacing w:before="137" w:line="221" w:lineRule="auto"/>
        <w:ind w:left="139"/>
        <w:rPr>
          <w:rFonts w:hint="eastAsia" w:ascii="仿宋" w:hAnsi="仿宋" w:eastAsia="仿宋" w:cs="仿宋"/>
          <w:color w:val="auto"/>
          <w:sz w:val="28"/>
          <w:szCs w:val="28"/>
          <w:highlight w:val="none"/>
        </w:rPr>
      </w:pPr>
      <w:bookmarkStart w:id="313" w:name="_bookmark68"/>
      <w:bookmarkEnd w:id="313"/>
      <w:r>
        <w:rPr>
          <w:rFonts w:hint="eastAsia" w:ascii="仿宋" w:hAnsi="仿宋" w:eastAsia="仿宋" w:cs="仿宋"/>
          <w:color w:val="auto"/>
          <w:spacing w:val="-1"/>
          <w:sz w:val="28"/>
          <w:szCs w:val="28"/>
          <w:highlight w:val="none"/>
        </w:rPr>
        <w:t>7.7  签</w:t>
      </w:r>
      <w:r>
        <w:rPr>
          <w:rFonts w:hint="eastAsia" w:ascii="仿宋" w:hAnsi="仿宋" w:eastAsia="仿宋" w:cs="仿宋"/>
          <w:color w:val="auto"/>
          <w:sz w:val="28"/>
          <w:szCs w:val="28"/>
          <w:highlight w:val="none"/>
        </w:rPr>
        <w:t>订合同</w:t>
      </w:r>
    </w:p>
    <w:p w14:paraId="0A4B7BDE">
      <w:pPr>
        <w:shd w:val="clear" w:color="auto" w:fill="auto"/>
        <w:spacing w:line="316" w:lineRule="auto"/>
        <w:rPr>
          <w:rFonts w:hint="eastAsia" w:ascii="仿宋" w:hAnsi="仿宋" w:eastAsia="仿宋" w:cs="仿宋"/>
          <w:color w:val="auto"/>
          <w:highlight w:val="none"/>
        </w:rPr>
      </w:pPr>
    </w:p>
    <w:p w14:paraId="618331AC">
      <w:pPr>
        <w:shd w:val="clear" w:color="auto" w:fill="auto"/>
        <w:spacing w:before="69" w:line="352" w:lineRule="auto"/>
        <w:ind w:right="74" w:firstLine="420"/>
        <w:rPr>
          <w:rFonts w:hint="eastAsia" w:ascii="仿宋" w:hAnsi="仿宋" w:eastAsia="仿宋" w:cs="仿宋"/>
          <w:strike w:val="0"/>
          <w:dstrike w:val="0"/>
          <w:color w:val="auto"/>
          <w:szCs w:val="21"/>
          <w:highlight w:val="none"/>
        </w:rPr>
      </w:pPr>
      <w:r>
        <w:rPr>
          <w:rFonts w:hint="eastAsia" w:ascii="仿宋" w:hAnsi="仿宋" w:eastAsia="仿宋" w:cs="仿宋"/>
          <w:strike w:val="0"/>
          <w:dstrike w:val="0"/>
          <w:color w:val="auto"/>
          <w:spacing w:val="-2"/>
          <w:szCs w:val="21"/>
          <w:highlight w:val="none"/>
        </w:rPr>
        <w:t>7.7.1  招标人和中标人应当在中标通知书发出之日起 30</w:t>
      </w:r>
      <w:r>
        <w:rPr>
          <w:rFonts w:hint="eastAsia" w:ascii="仿宋" w:hAnsi="仿宋" w:eastAsia="仿宋" w:cs="仿宋"/>
          <w:strike w:val="0"/>
          <w:dstrike w:val="0"/>
          <w:color w:val="auto"/>
          <w:spacing w:val="-1"/>
          <w:szCs w:val="21"/>
          <w:highlight w:val="none"/>
        </w:rPr>
        <w:t xml:space="preserve"> 日内，根据招标文件和中标人的投</w:t>
      </w:r>
      <w:r>
        <w:rPr>
          <w:rFonts w:hint="eastAsia" w:ascii="仿宋" w:hAnsi="仿宋" w:eastAsia="仿宋" w:cs="仿宋"/>
          <w:strike w:val="0"/>
          <w:dstrike w:val="0"/>
          <w:color w:val="auto"/>
          <w:spacing w:val="-2"/>
          <w:szCs w:val="21"/>
          <w:highlight w:val="none"/>
        </w:rPr>
        <w:t>标文件订立书面合同。中标人无正当理由拒签合同，在签订合同时向招标人提出附加条件，</w:t>
      </w:r>
      <w:r>
        <w:rPr>
          <w:rFonts w:hint="eastAsia" w:ascii="仿宋" w:hAnsi="仿宋" w:eastAsia="仿宋" w:cs="仿宋"/>
          <w:strike w:val="0"/>
          <w:dstrike w:val="0"/>
          <w:color w:val="auto"/>
          <w:szCs w:val="21"/>
          <w:highlight w:val="none"/>
        </w:rPr>
        <w:t>或</w:t>
      </w:r>
      <w:r>
        <w:rPr>
          <w:rFonts w:hint="eastAsia" w:ascii="仿宋" w:hAnsi="仿宋" w:eastAsia="仿宋" w:cs="仿宋"/>
          <w:strike w:val="0"/>
          <w:dstrike w:val="0"/>
          <w:color w:val="auto"/>
          <w:spacing w:val="1"/>
          <w:szCs w:val="21"/>
          <w:highlight w:val="none"/>
        </w:rPr>
        <w:t>者不按照招标文件要求提交履约保证金的，招标人有权取</w:t>
      </w:r>
      <w:r>
        <w:rPr>
          <w:rFonts w:hint="eastAsia" w:ascii="仿宋" w:hAnsi="仿宋" w:eastAsia="仿宋" w:cs="仿宋"/>
          <w:strike w:val="0"/>
          <w:dstrike w:val="0"/>
          <w:color w:val="auto"/>
          <w:szCs w:val="21"/>
          <w:highlight w:val="none"/>
        </w:rPr>
        <w:t>消其中标资格，其投标保证金不予退</w:t>
      </w:r>
      <w:r>
        <w:rPr>
          <w:rFonts w:hint="eastAsia" w:ascii="仿宋" w:hAnsi="仿宋" w:eastAsia="仿宋" w:cs="仿宋"/>
          <w:strike w:val="0"/>
          <w:dstrike w:val="0"/>
          <w:color w:val="auto"/>
          <w:spacing w:val="-6"/>
          <w:szCs w:val="21"/>
          <w:highlight w:val="none"/>
        </w:rPr>
        <w:t>还</w:t>
      </w:r>
      <w:r>
        <w:rPr>
          <w:rFonts w:hint="eastAsia" w:ascii="仿宋" w:hAnsi="仿宋" w:eastAsia="仿宋" w:cs="仿宋"/>
          <w:strike w:val="0"/>
          <w:dstrike w:val="0"/>
          <w:color w:val="auto"/>
          <w:spacing w:val="-3"/>
          <w:szCs w:val="21"/>
          <w:highlight w:val="none"/>
        </w:rPr>
        <w:t>；给招标人造成的损失超过投标保证金数额的，中标人还应当对超过部分予以赔偿。对依法必须招标项目的中标人，由有关行政监督部门责令改正。</w:t>
      </w:r>
    </w:p>
    <w:p w14:paraId="74A35324">
      <w:pPr>
        <w:shd w:val="clear" w:color="auto" w:fill="auto"/>
        <w:spacing w:line="351" w:lineRule="auto"/>
        <w:ind w:right="74" w:firstLine="419"/>
        <w:rPr>
          <w:rFonts w:hint="eastAsia" w:ascii="仿宋" w:hAnsi="仿宋" w:eastAsia="仿宋" w:cs="仿宋"/>
          <w:strike w:val="0"/>
          <w:dstrike w:val="0"/>
          <w:color w:val="auto"/>
          <w:szCs w:val="21"/>
          <w:highlight w:val="none"/>
        </w:rPr>
      </w:pPr>
      <w:r>
        <w:rPr>
          <w:rFonts w:hint="eastAsia" w:ascii="仿宋" w:hAnsi="仿宋" w:eastAsia="仿宋" w:cs="仿宋"/>
          <w:strike w:val="0"/>
          <w:dstrike w:val="0"/>
          <w:color w:val="auto"/>
          <w:spacing w:val="-12"/>
          <w:szCs w:val="21"/>
          <w:highlight w:val="none"/>
        </w:rPr>
        <w:t>7</w:t>
      </w:r>
      <w:r>
        <w:rPr>
          <w:rFonts w:hint="eastAsia" w:ascii="仿宋" w:hAnsi="仿宋" w:eastAsia="仿宋" w:cs="仿宋"/>
          <w:strike w:val="0"/>
          <w:dstrike w:val="0"/>
          <w:color w:val="auto"/>
          <w:spacing w:val="-11"/>
          <w:szCs w:val="21"/>
          <w:highlight w:val="none"/>
        </w:rPr>
        <w:t>.</w:t>
      </w:r>
      <w:r>
        <w:rPr>
          <w:rFonts w:hint="eastAsia" w:ascii="仿宋" w:hAnsi="仿宋" w:eastAsia="仿宋" w:cs="仿宋"/>
          <w:strike w:val="0"/>
          <w:dstrike w:val="0"/>
          <w:color w:val="auto"/>
          <w:spacing w:val="-6"/>
          <w:szCs w:val="21"/>
          <w:highlight w:val="none"/>
        </w:rPr>
        <w:t>7.2  发出中标通知书后，招标人无正当理由拒签合同，或者在签订合同时向中标人提出附</w:t>
      </w:r>
      <w:r>
        <w:rPr>
          <w:rFonts w:hint="eastAsia" w:ascii="仿宋" w:hAnsi="仿宋" w:eastAsia="仿宋" w:cs="仿宋"/>
          <w:strike w:val="0"/>
          <w:dstrike w:val="0"/>
          <w:color w:val="auto"/>
          <w:spacing w:val="-10"/>
          <w:szCs w:val="21"/>
          <w:highlight w:val="none"/>
        </w:rPr>
        <w:t>加条件的，</w:t>
      </w:r>
      <w:r>
        <w:rPr>
          <w:rFonts w:hint="eastAsia" w:ascii="仿宋" w:hAnsi="仿宋" w:eastAsia="仿宋" w:cs="仿宋"/>
          <w:strike w:val="0"/>
          <w:dstrike w:val="0"/>
          <w:color w:val="auto"/>
          <w:spacing w:val="-5"/>
          <w:szCs w:val="21"/>
          <w:highlight w:val="none"/>
        </w:rPr>
        <w:t>招标人向中标人退还投标保证金；给中标人造成损失的，还应当赔偿损失。</w:t>
      </w:r>
    </w:p>
    <w:p w14:paraId="1D92A5F6">
      <w:pPr>
        <w:shd w:val="clear" w:color="auto" w:fill="auto"/>
        <w:spacing w:before="69" w:line="352" w:lineRule="auto"/>
        <w:ind w:right="74" w:firstLine="420"/>
        <w:rPr>
          <w:rFonts w:hint="eastAsia" w:ascii="仿宋" w:hAnsi="仿宋" w:eastAsia="仿宋" w:cs="仿宋"/>
          <w:strike w:val="0"/>
          <w:dstrike w:val="0"/>
          <w:color w:val="auto"/>
          <w:spacing w:val="-2"/>
          <w:szCs w:val="21"/>
          <w:highlight w:val="none"/>
        </w:rPr>
      </w:pPr>
      <w:r>
        <w:rPr>
          <w:rFonts w:hint="eastAsia" w:ascii="仿宋" w:hAnsi="仿宋" w:eastAsia="仿宋" w:cs="仿宋"/>
          <w:strike w:val="0"/>
          <w:dstrike w:val="0"/>
          <w:color w:val="auto"/>
          <w:spacing w:val="-2"/>
          <w:szCs w:val="21"/>
          <w:highlight w:val="none"/>
        </w:rPr>
        <w:t>7.7.</w:t>
      </w:r>
      <w:r>
        <w:rPr>
          <w:rFonts w:hint="eastAsia" w:ascii="仿宋" w:hAnsi="仿宋" w:eastAsia="仿宋" w:cs="仿宋"/>
          <w:strike w:val="0"/>
          <w:dstrike w:val="0"/>
          <w:color w:val="auto"/>
          <w:spacing w:val="-2"/>
          <w:szCs w:val="21"/>
          <w:highlight w:val="none"/>
          <w:lang w:val="en-US" w:eastAsia="zh-CN"/>
        </w:rPr>
        <w:t>3</w:t>
      </w:r>
      <w:r>
        <w:rPr>
          <w:rFonts w:hint="eastAsia" w:ascii="仿宋" w:hAnsi="仿宋" w:eastAsia="仿宋" w:cs="仿宋"/>
          <w:strike w:val="0"/>
          <w:dstrike w:val="0"/>
          <w:color w:val="auto"/>
          <w:spacing w:val="-2"/>
          <w:szCs w:val="21"/>
          <w:highlight w:val="none"/>
        </w:rPr>
        <w:t xml:space="preserve">  中标人在收到本项目中标通知书后，按招标人通知的时间及地点，由其法定代表人或者经授权的副总经理级别或以上的人员参与招标人组织的合同签约仪式。</w:t>
      </w:r>
    </w:p>
    <w:p w14:paraId="6F9CA100">
      <w:pPr>
        <w:shd w:val="clear" w:color="auto" w:fill="auto"/>
        <w:spacing w:before="147" w:line="224" w:lineRule="auto"/>
        <w:ind w:left="3"/>
        <w:outlineLvl w:val="0"/>
        <w:rPr>
          <w:rFonts w:hint="eastAsia" w:ascii="仿宋" w:hAnsi="仿宋" w:eastAsia="仿宋" w:cs="仿宋"/>
          <w:color w:val="auto"/>
          <w:sz w:val="31"/>
          <w:szCs w:val="31"/>
          <w:highlight w:val="none"/>
        </w:rPr>
      </w:pPr>
      <w:bookmarkStart w:id="314" w:name="_bookmark70"/>
      <w:bookmarkEnd w:id="314"/>
      <w:bookmarkStart w:id="315" w:name="_bookmark69"/>
      <w:bookmarkEnd w:id="315"/>
      <w:bookmarkStart w:id="316" w:name="_Toc25498"/>
      <w:bookmarkStart w:id="317" w:name="_Toc30059"/>
      <w:bookmarkStart w:id="318" w:name="_Toc14705"/>
      <w:bookmarkStart w:id="319" w:name="_Toc2556"/>
      <w:bookmarkStart w:id="320" w:name="_Toc22945"/>
      <w:bookmarkStart w:id="321" w:name="_Toc19390"/>
      <w:bookmarkStart w:id="322" w:name="_Toc14369"/>
      <w:bookmarkStart w:id="323" w:name="_Toc1756"/>
      <w:bookmarkStart w:id="324" w:name="_Toc18413"/>
      <w:bookmarkStart w:id="325" w:name="_Toc8166"/>
      <w:bookmarkStart w:id="326" w:name="_Toc21753"/>
      <w:bookmarkStart w:id="327" w:name="_Toc31216"/>
      <w:bookmarkStart w:id="328" w:name="_Toc16407"/>
      <w:bookmarkStart w:id="329" w:name="_Toc16825"/>
      <w:bookmarkStart w:id="330" w:name="_Toc31924"/>
      <w:bookmarkStart w:id="331" w:name="_Toc22047"/>
      <w:bookmarkStart w:id="332" w:name="_Toc19143"/>
      <w:r>
        <w:rPr>
          <w:rFonts w:hint="eastAsia" w:ascii="仿宋" w:hAnsi="仿宋" w:eastAsia="仿宋" w:cs="仿宋"/>
          <w:b/>
          <w:bCs/>
          <w:color w:val="auto"/>
          <w:spacing w:val="9"/>
          <w:sz w:val="31"/>
          <w:szCs w:val="31"/>
          <w:highlight w:val="none"/>
        </w:rPr>
        <w:t>8</w:t>
      </w:r>
      <w:r>
        <w:rPr>
          <w:rFonts w:hint="eastAsia" w:ascii="仿宋" w:hAnsi="仿宋" w:eastAsia="仿宋" w:cs="仿宋"/>
          <w:b/>
          <w:bCs/>
          <w:color w:val="auto"/>
          <w:spacing w:val="7"/>
          <w:sz w:val="31"/>
          <w:szCs w:val="31"/>
          <w:highlight w:val="none"/>
        </w:rPr>
        <w:t xml:space="preserve">.  </w:t>
      </w:r>
      <w:r>
        <w:rPr>
          <w:rFonts w:hint="eastAsia" w:ascii="仿宋" w:hAnsi="仿宋" w:eastAsia="仿宋" w:cs="仿宋"/>
          <w:color w:val="auto"/>
          <w:spacing w:val="7"/>
          <w:sz w:val="31"/>
          <w:szCs w:val="31"/>
          <w:highlight w:val="none"/>
        </w:rPr>
        <w:t>纪律和监督</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07143174">
      <w:pPr>
        <w:shd w:val="clear" w:color="auto" w:fill="auto"/>
        <w:spacing w:line="247" w:lineRule="auto"/>
        <w:rPr>
          <w:rFonts w:hint="eastAsia" w:ascii="仿宋" w:hAnsi="仿宋" w:eastAsia="仿宋" w:cs="仿宋"/>
          <w:color w:val="auto"/>
          <w:highlight w:val="none"/>
        </w:rPr>
      </w:pPr>
    </w:p>
    <w:p w14:paraId="1D6735F5">
      <w:pPr>
        <w:shd w:val="clear" w:color="auto" w:fill="auto"/>
        <w:spacing w:before="92" w:line="220" w:lineRule="auto"/>
        <w:ind w:left="146"/>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8</w:t>
      </w:r>
      <w:r>
        <w:rPr>
          <w:rFonts w:hint="eastAsia" w:ascii="仿宋" w:hAnsi="仿宋" w:eastAsia="仿宋" w:cs="仿宋"/>
          <w:color w:val="auto"/>
          <w:spacing w:val="-1"/>
          <w:sz w:val="28"/>
          <w:szCs w:val="28"/>
          <w:highlight w:val="none"/>
        </w:rPr>
        <w:t>.1  对招标人的纪律要求</w:t>
      </w:r>
    </w:p>
    <w:p w14:paraId="481D14DA">
      <w:pPr>
        <w:shd w:val="clear" w:color="auto" w:fill="auto"/>
        <w:spacing w:line="318" w:lineRule="auto"/>
        <w:rPr>
          <w:rFonts w:hint="eastAsia" w:ascii="仿宋" w:hAnsi="仿宋" w:eastAsia="仿宋" w:cs="仿宋"/>
          <w:color w:val="auto"/>
          <w:highlight w:val="none"/>
        </w:rPr>
      </w:pPr>
    </w:p>
    <w:p w14:paraId="46628242">
      <w:pPr>
        <w:shd w:val="clear" w:color="auto" w:fill="auto"/>
        <w:spacing w:before="69" w:line="359" w:lineRule="auto"/>
        <w:ind w:left="2" w:firstLine="419"/>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招标人不得泄露招标投标活动中</w:t>
      </w:r>
      <w:r>
        <w:rPr>
          <w:rFonts w:hint="eastAsia" w:ascii="仿宋" w:hAnsi="仿宋" w:eastAsia="仿宋" w:cs="仿宋"/>
          <w:color w:val="auto"/>
          <w:spacing w:val="-3"/>
          <w:szCs w:val="21"/>
          <w:highlight w:val="none"/>
        </w:rPr>
        <w:t>应</w:t>
      </w:r>
      <w:r>
        <w:rPr>
          <w:rFonts w:hint="eastAsia" w:ascii="仿宋" w:hAnsi="仿宋" w:eastAsia="仿宋" w:cs="仿宋"/>
          <w:color w:val="auto"/>
          <w:spacing w:val="-2"/>
          <w:szCs w:val="21"/>
          <w:highlight w:val="none"/>
        </w:rPr>
        <w:t>当保密的情况和资料，不得与投标人串通损害国家利益、</w:t>
      </w:r>
      <w:bookmarkStart w:id="333" w:name="_bookmark71"/>
      <w:bookmarkEnd w:id="333"/>
      <w:r>
        <w:rPr>
          <w:rFonts w:hint="eastAsia" w:ascii="仿宋" w:hAnsi="仿宋" w:eastAsia="仿宋" w:cs="仿宋"/>
          <w:color w:val="auto"/>
          <w:spacing w:val="-1"/>
          <w:szCs w:val="21"/>
          <w:highlight w:val="none"/>
        </w:rPr>
        <w:t>社会公共利</w:t>
      </w:r>
      <w:r>
        <w:rPr>
          <w:rFonts w:hint="eastAsia" w:ascii="仿宋" w:hAnsi="仿宋" w:eastAsia="仿宋" w:cs="仿宋"/>
          <w:color w:val="auto"/>
          <w:szCs w:val="21"/>
          <w:highlight w:val="none"/>
        </w:rPr>
        <w:t>益或者他人合法权益。</w:t>
      </w:r>
    </w:p>
    <w:p w14:paraId="5D8EC138">
      <w:pPr>
        <w:shd w:val="clear" w:color="auto" w:fill="auto"/>
        <w:spacing w:before="144" w:line="220" w:lineRule="auto"/>
        <w:ind w:left="146"/>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8</w:t>
      </w:r>
      <w:r>
        <w:rPr>
          <w:rFonts w:hint="eastAsia" w:ascii="仿宋" w:hAnsi="仿宋" w:eastAsia="仿宋" w:cs="仿宋"/>
          <w:color w:val="auto"/>
          <w:spacing w:val="-1"/>
          <w:sz w:val="28"/>
          <w:szCs w:val="28"/>
          <w:highlight w:val="none"/>
        </w:rPr>
        <w:t>.2  对投标人的纪律要求</w:t>
      </w:r>
    </w:p>
    <w:p w14:paraId="3C8CE486">
      <w:pPr>
        <w:shd w:val="clear" w:color="auto" w:fill="auto"/>
        <w:spacing w:line="317" w:lineRule="auto"/>
        <w:rPr>
          <w:rFonts w:hint="eastAsia" w:ascii="仿宋" w:hAnsi="仿宋" w:eastAsia="仿宋" w:cs="仿宋"/>
          <w:color w:val="auto"/>
          <w:highlight w:val="none"/>
        </w:rPr>
      </w:pPr>
    </w:p>
    <w:p w14:paraId="09788ED4">
      <w:pPr>
        <w:shd w:val="clear" w:color="auto" w:fill="auto"/>
        <w:spacing w:before="68" w:line="358" w:lineRule="auto"/>
        <w:ind w:right="77" w:firstLine="422"/>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投</w:t>
      </w:r>
      <w:r>
        <w:rPr>
          <w:rFonts w:hint="eastAsia" w:ascii="仿宋" w:hAnsi="仿宋" w:eastAsia="仿宋" w:cs="仿宋"/>
          <w:color w:val="auto"/>
          <w:spacing w:val="-3"/>
          <w:szCs w:val="21"/>
          <w:highlight w:val="none"/>
        </w:rPr>
        <w:t>标</w:t>
      </w:r>
      <w:r>
        <w:rPr>
          <w:rFonts w:hint="eastAsia" w:ascii="仿宋" w:hAnsi="仿宋" w:eastAsia="仿宋" w:cs="仿宋"/>
          <w:color w:val="auto"/>
          <w:spacing w:val="-2"/>
          <w:szCs w:val="21"/>
          <w:highlight w:val="none"/>
        </w:rPr>
        <w:t>人不得相互串通投标或者与招标人串通投标， 不得向招标人或者评标委员会成员行贿谋取中标，不得以他人名义投标或者以其他方式弄虚作假骗取中标； 投标人不得以任何方</w:t>
      </w:r>
      <w:r>
        <w:rPr>
          <w:rFonts w:hint="eastAsia" w:ascii="仿宋" w:hAnsi="仿宋" w:eastAsia="仿宋" w:cs="仿宋"/>
          <w:color w:val="auto"/>
          <w:spacing w:val="-1"/>
          <w:szCs w:val="21"/>
          <w:highlight w:val="none"/>
        </w:rPr>
        <w:t>式</w:t>
      </w:r>
      <w:r>
        <w:rPr>
          <w:rFonts w:hint="eastAsia" w:ascii="仿宋" w:hAnsi="仿宋" w:eastAsia="仿宋" w:cs="仿宋"/>
          <w:color w:val="auto"/>
          <w:szCs w:val="21"/>
          <w:highlight w:val="none"/>
        </w:rPr>
        <w:t>干</w:t>
      </w:r>
      <w:bookmarkStart w:id="334" w:name="_bookmark72"/>
      <w:bookmarkEnd w:id="334"/>
      <w:r>
        <w:rPr>
          <w:rFonts w:hint="eastAsia" w:ascii="仿宋" w:hAnsi="仿宋" w:eastAsia="仿宋" w:cs="仿宋"/>
          <w:color w:val="auto"/>
          <w:spacing w:val="-4"/>
          <w:szCs w:val="21"/>
          <w:highlight w:val="none"/>
        </w:rPr>
        <w:t>扰</w:t>
      </w:r>
      <w:r>
        <w:rPr>
          <w:rFonts w:hint="eastAsia" w:ascii="仿宋" w:hAnsi="仿宋" w:eastAsia="仿宋" w:cs="仿宋"/>
          <w:color w:val="auto"/>
          <w:spacing w:val="-2"/>
          <w:szCs w:val="21"/>
          <w:highlight w:val="none"/>
        </w:rPr>
        <w:t>、影响评标工作。</w:t>
      </w:r>
    </w:p>
    <w:p w14:paraId="7BA91578">
      <w:pPr>
        <w:shd w:val="clear" w:color="auto" w:fill="auto"/>
        <w:spacing w:before="140" w:line="219" w:lineRule="auto"/>
        <w:ind w:left="146"/>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8.3  对评标委员会成员的纪</w:t>
      </w:r>
      <w:r>
        <w:rPr>
          <w:rFonts w:hint="eastAsia" w:ascii="仿宋" w:hAnsi="仿宋" w:eastAsia="仿宋" w:cs="仿宋"/>
          <w:color w:val="auto"/>
          <w:sz w:val="28"/>
          <w:szCs w:val="28"/>
          <w:highlight w:val="none"/>
        </w:rPr>
        <w:t>律要求</w:t>
      </w:r>
    </w:p>
    <w:p w14:paraId="464CD8EC">
      <w:pPr>
        <w:shd w:val="clear" w:color="auto" w:fill="auto"/>
        <w:spacing w:line="318" w:lineRule="auto"/>
        <w:rPr>
          <w:rFonts w:hint="eastAsia" w:ascii="仿宋" w:hAnsi="仿宋" w:eastAsia="仿宋" w:cs="仿宋"/>
          <w:color w:val="auto"/>
          <w:highlight w:val="none"/>
        </w:rPr>
      </w:pPr>
    </w:p>
    <w:p w14:paraId="1E777129">
      <w:pPr>
        <w:shd w:val="clear" w:color="auto" w:fill="auto"/>
        <w:spacing w:before="69" w:line="357" w:lineRule="auto"/>
        <w:ind w:right="1" w:firstLine="424"/>
        <w:rPr>
          <w:rFonts w:hint="eastAsia" w:ascii="仿宋" w:hAnsi="仿宋" w:eastAsia="仿宋" w:cs="仿宋"/>
          <w:color w:val="auto"/>
          <w:spacing w:val="1"/>
          <w:szCs w:val="21"/>
          <w:highlight w:val="none"/>
        </w:rPr>
      </w:pPr>
      <w:r>
        <w:rPr>
          <w:rFonts w:hint="eastAsia" w:ascii="仿宋" w:hAnsi="仿宋" w:eastAsia="仿宋" w:cs="仿宋"/>
          <w:color w:val="auto"/>
          <w:spacing w:val="1"/>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评定分离”定标办法）没有规定的评审因素和标准进行评标。</w:t>
      </w:r>
    </w:p>
    <w:p w14:paraId="2756058E">
      <w:pPr>
        <w:shd w:val="clear" w:color="auto" w:fill="auto"/>
        <w:spacing w:before="311" w:line="219" w:lineRule="auto"/>
        <w:ind w:left="146"/>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8.4  对与评标活动有关的工作</w:t>
      </w:r>
      <w:r>
        <w:rPr>
          <w:rFonts w:hint="eastAsia" w:ascii="仿宋" w:hAnsi="仿宋" w:eastAsia="仿宋" w:cs="仿宋"/>
          <w:color w:val="auto"/>
          <w:sz w:val="28"/>
          <w:szCs w:val="28"/>
          <w:highlight w:val="none"/>
        </w:rPr>
        <w:t>人员的纪律要求</w:t>
      </w:r>
    </w:p>
    <w:p w14:paraId="3990277A">
      <w:pPr>
        <w:shd w:val="clear" w:color="auto" w:fill="auto"/>
        <w:spacing w:line="321" w:lineRule="auto"/>
        <w:rPr>
          <w:rFonts w:hint="eastAsia" w:ascii="仿宋" w:hAnsi="仿宋" w:eastAsia="仿宋" w:cs="仿宋"/>
          <w:color w:val="auto"/>
          <w:highlight w:val="none"/>
        </w:rPr>
      </w:pPr>
    </w:p>
    <w:p w14:paraId="40E752B3">
      <w:pPr>
        <w:shd w:val="clear" w:color="auto" w:fill="auto"/>
        <w:spacing w:before="69" w:line="357" w:lineRule="auto"/>
        <w:ind w:right="1" w:firstLine="424"/>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与评标活动有关的工作人员不得收受他人的财</w:t>
      </w:r>
      <w:r>
        <w:rPr>
          <w:rFonts w:hint="eastAsia" w:ascii="仿宋" w:hAnsi="仿宋" w:eastAsia="仿宋" w:cs="仿宋"/>
          <w:color w:val="auto"/>
          <w:szCs w:val="21"/>
          <w:highlight w:val="none"/>
        </w:rPr>
        <w:t>物或者其他好处，不得向他人透露对投标文</w:t>
      </w:r>
      <w:r>
        <w:rPr>
          <w:rFonts w:hint="eastAsia" w:ascii="仿宋" w:hAnsi="仿宋" w:eastAsia="仿宋" w:cs="仿宋"/>
          <w:color w:val="auto"/>
          <w:spacing w:val="1"/>
          <w:szCs w:val="21"/>
          <w:highlight w:val="none"/>
        </w:rPr>
        <w:t>件的评审和比较、中标候选人的推荐情况以及评标有关的</w:t>
      </w:r>
      <w:r>
        <w:rPr>
          <w:rFonts w:hint="eastAsia" w:ascii="仿宋" w:hAnsi="仿宋" w:eastAsia="仿宋" w:cs="仿宋"/>
          <w:color w:val="auto"/>
          <w:szCs w:val="21"/>
          <w:highlight w:val="none"/>
        </w:rPr>
        <w:t>其他情况。在评标活动中，与评标活</w:t>
      </w:r>
      <w:bookmarkStart w:id="335" w:name="_bookmark74"/>
      <w:bookmarkEnd w:id="335"/>
      <w:r>
        <w:rPr>
          <w:rFonts w:hint="eastAsia" w:ascii="仿宋" w:hAnsi="仿宋" w:eastAsia="仿宋" w:cs="仿宋"/>
          <w:color w:val="auto"/>
          <w:spacing w:val="-1"/>
          <w:szCs w:val="21"/>
          <w:highlight w:val="none"/>
        </w:rPr>
        <w:t>动</w:t>
      </w:r>
      <w:r>
        <w:rPr>
          <w:rFonts w:hint="eastAsia" w:ascii="仿宋" w:hAnsi="仿宋" w:eastAsia="仿宋" w:cs="仿宋"/>
          <w:color w:val="auto"/>
          <w:szCs w:val="21"/>
          <w:highlight w:val="none"/>
        </w:rPr>
        <w:t>有关的工作人员不得擅离职守，影响评标程序正常进行。</w:t>
      </w:r>
    </w:p>
    <w:p w14:paraId="64719E85">
      <w:pPr>
        <w:shd w:val="clear" w:color="auto" w:fill="auto"/>
        <w:spacing w:before="141" w:line="218" w:lineRule="auto"/>
        <w:ind w:left="146"/>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8.5  投</w:t>
      </w:r>
      <w:r>
        <w:rPr>
          <w:rFonts w:hint="eastAsia" w:ascii="仿宋" w:hAnsi="仿宋" w:eastAsia="仿宋" w:cs="仿宋"/>
          <w:color w:val="auto"/>
          <w:spacing w:val="-1"/>
          <w:sz w:val="28"/>
          <w:szCs w:val="28"/>
          <w:highlight w:val="none"/>
        </w:rPr>
        <w:t>诉</w:t>
      </w:r>
    </w:p>
    <w:p w14:paraId="508B9706">
      <w:pPr>
        <w:shd w:val="clear" w:color="auto" w:fill="auto"/>
        <w:spacing w:line="320" w:lineRule="auto"/>
        <w:rPr>
          <w:rFonts w:hint="eastAsia" w:ascii="仿宋" w:hAnsi="仿宋" w:eastAsia="仿宋" w:cs="仿宋"/>
          <w:color w:val="auto"/>
          <w:highlight w:val="none"/>
        </w:rPr>
      </w:pPr>
    </w:p>
    <w:p w14:paraId="3C9F5724">
      <w:pPr>
        <w:shd w:val="clear" w:color="auto" w:fill="auto"/>
        <w:spacing w:before="69" w:line="352" w:lineRule="auto"/>
        <w:ind w:left="5" w:firstLine="420"/>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8.</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.1  投标人或者其他利害关系人认为招标投标活动不符合法律、行政法规规定的，可以自</w:t>
      </w:r>
      <w:r>
        <w:rPr>
          <w:rFonts w:hint="eastAsia" w:ascii="仿宋" w:hAnsi="仿宋" w:eastAsia="仿宋" w:cs="仿宋"/>
          <w:color w:val="auto"/>
          <w:spacing w:val="-6"/>
          <w:szCs w:val="21"/>
          <w:highlight w:val="none"/>
        </w:rPr>
        <w:t>知</w:t>
      </w:r>
      <w:r>
        <w:rPr>
          <w:rFonts w:hint="eastAsia" w:ascii="仿宋" w:hAnsi="仿宋" w:eastAsia="仿宋" w:cs="仿宋"/>
          <w:color w:val="auto"/>
          <w:spacing w:val="-5"/>
          <w:szCs w:val="21"/>
          <w:highlight w:val="none"/>
        </w:rPr>
        <w:t>道</w:t>
      </w:r>
      <w:r>
        <w:rPr>
          <w:rFonts w:hint="eastAsia" w:ascii="仿宋" w:hAnsi="仿宋" w:eastAsia="仿宋" w:cs="仿宋"/>
          <w:color w:val="auto"/>
          <w:spacing w:val="-3"/>
          <w:szCs w:val="21"/>
          <w:highlight w:val="none"/>
        </w:rPr>
        <w:t>或者应当知道之日起 10 日内向有关行政监督部门投诉。投诉应当有明确的请求和必要的证明</w:t>
      </w:r>
      <w:r>
        <w:rPr>
          <w:rFonts w:hint="eastAsia" w:ascii="仿宋" w:hAnsi="仿宋" w:eastAsia="仿宋" w:cs="仿宋"/>
          <w:color w:val="auto"/>
          <w:spacing w:val="-2"/>
          <w:szCs w:val="21"/>
          <w:highlight w:val="none"/>
        </w:rPr>
        <w:t>材料。</w:t>
      </w:r>
    </w:p>
    <w:p w14:paraId="5E1BDF65">
      <w:pPr>
        <w:shd w:val="clear" w:color="auto" w:fill="auto"/>
        <w:spacing w:before="1" w:line="357" w:lineRule="auto"/>
        <w:ind w:left="2" w:firstLine="422"/>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8.</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.2  投标人或者其他利害关系人对招标文件、开标和评标结果提出投诉的，应当按照投标</w:t>
      </w:r>
      <w:r>
        <w:rPr>
          <w:rFonts w:hint="eastAsia" w:ascii="仿宋" w:hAnsi="仿宋" w:eastAsia="仿宋" w:cs="仿宋"/>
          <w:color w:val="auto"/>
          <w:spacing w:val="-9"/>
          <w:szCs w:val="21"/>
          <w:highlight w:val="none"/>
        </w:rPr>
        <w:t>人须知第 2.4 款、第 5.3 款和第 7.2 款的规定先向招标人提出异议。异议答复期间不计算在第 8.5.</w:t>
      </w:r>
      <w:r>
        <w:rPr>
          <w:rFonts w:hint="eastAsia" w:ascii="仿宋" w:hAnsi="仿宋" w:eastAsia="仿宋" w:cs="仿宋"/>
          <w:color w:val="auto"/>
          <w:spacing w:val="-6"/>
          <w:szCs w:val="21"/>
          <w:highlight w:val="none"/>
        </w:rPr>
        <w:t>1</w:t>
      </w:r>
      <w:r>
        <w:rPr>
          <w:rFonts w:hint="eastAsia" w:ascii="仿宋" w:hAnsi="仿宋" w:eastAsia="仿宋" w:cs="仿宋"/>
          <w:color w:val="auto"/>
          <w:szCs w:val="21"/>
          <w:highlight w:val="none"/>
        </w:rPr>
        <w:t xml:space="preserve"> </w:t>
      </w:r>
      <w:r>
        <w:rPr>
          <w:rFonts w:hint="eastAsia" w:ascii="仿宋" w:hAnsi="仿宋" w:eastAsia="仿宋" w:cs="仿宋"/>
          <w:color w:val="auto"/>
          <w:spacing w:val="-1"/>
          <w:szCs w:val="21"/>
          <w:highlight w:val="none"/>
        </w:rPr>
        <w:t>项规定的期限内</w:t>
      </w:r>
      <w:r>
        <w:rPr>
          <w:rFonts w:hint="eastAsia" w:ascii="仿宋" w:hAnsi="仿宋" w:eastAsia="仿宋" w:cs="仿宋"/>
          <w:color w:val="auto"/>
          <w:szCs w:val="21"/>
          <w:highlight w:val="none"/>
        </w:rPr>
        <w:t>。</w:t>
      </w:r>
    </w:p>
    <w:p w14:paraId="6DF46F2E">
      <w:pPr>
        <w:shd w:val="clear" w:color="auto" w:fill="auto"/>
        <w:spacing w:before="149" w:line="239" w:lineRule="auto"/>
        <w:ind w:left="2"/>
        <w:outlineLvl w:val="0"/>
        <w:rPr>
          <w:rFonts w:hint="eastAsia" w:ascii="仿宋" w:hAnsi="仿宋" w:eastAsia="仿宋" w:cs="仿宋"/>
          <w:color w:val="auto"/>
          <w:sz w:val="31"/>
          <w:szCs w:val="31"/>
          <w:highlight w:val="none"/>
        </w:rPr>
      </w:pPr>
      <w:bookmarkStart w:id="336" w:name="_bookmark75"/>
      <w:bookmarkEnd w:id="336"/>
      <w:bookmarkStart w:id="337" w:name="_Toc13273"/>
      <w:bookmarkStart w:id="338" w:name="_Toc25448"/>
      <w:bookmarkStart w:id="339" w:name="_Toc8825"/>
      <w:bookmarkStart w:id="340" w:name="_Toc27504"/>
      <w:bookmarkStart w:id="341" w:name="_Toc25365"/>
      <w:bookmarkStart w:id="342" w:name="_Toc25793"/>
      <w:bookmarkStart w:id="343" w:name="_Toc29244"/>
      <w:bookmarkStart w:id="344" w:name="_Toc17373"/>
      <w:bookmarkStart w:id="345" w:name="_Toc22304"/>
      <w:bookmarkStart w:id="346" w:name="_Toc37"/>
      <w:bookmarkStart w:id="347" w:name="_Toc30881"/>
      <w:bookmarkStart w:id="348" w:name="_Toc11358"/>
      <w:bookmarkStart w:id="349" w:name="_Toc28331"/>
      <w:bookmarkStart w:id="350" w:name="_Toc20561"/>
      <w:bookmarkStart w:id="351" w:name="_Toc14166"/>
      <w:bookmarkStart w:id="352" w:name="_Toc30025"/>
      <w:bookmarkStart w:id="353" w:name="_Toc811"/>
      <w:r>
        <w:rPr>
          <w:rFonts w:hint="eastAsia" w:ascii="仿宋" w:hAnsi="仿宋" w:eastAsia="仿宋" w:cs="仿宋"/>
          <w:b/>
          <w:bCs/>
          <w:color w:val="auto"/>
          <w:spacing w:val="9"/>
          <w:sz w:val="31"/>
          <w:szCs w:val="31"/>
          <w:highlight w:val="none"/>
        </w:rPr>
        <w:t>9</w:t>
      </w:r>
      <w:r>
        <w:rPr>
          <w:rFonts w:hint="eastAsia" w:ascii="仿宋" w:hAnsi="仿宋" w:eastAsia="仿宋" w:cs="仿宋"/>
          <w:b/>
          <w:bCs/>
          <w:color w:val="auto"/>
          <w:spacing w:val="8"/>
          <w:sz w:val="31"/>
          <w:szCs w:val="31"/>
          <w:highlight w:val="none"/>
        </w:rPr>
        <w:t>.</w:t>
      </w:r>
      <w:r>
        <w:rPr>
          <w:rFonts w:hint="eastAsia" w:ascii="仿宋" w:hAnsi="仿宋" w:eastAsia="仿宋" w:cs="仿宋"/>
          <w:color w:val="auto"/>
          <w:spacing w:val="8"/>
          <w:sz w:val="31"/>
          <w:szCs w:val="31"/>
          <w:highlight w:val="none"/>
        </w:rPr>
        <w:t xml:space="preserve">  是否采用电子招标投标</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EB6790F">
      <w:pPr>
        <w:shd w:val="clear" w:color="auto" w:fill="auto"/>
        <w:spacing w:line="292" w:lineRule="auto"/>
        <w:rPr>
          <w:rFonts w:hint="eastAsia" w:ascii="仿宋" w:hAnsi="仿宋" w:eastAsia="仿宋" w:cs="仿宋"/>
          <w:color w:val="auto"/>
          <w:highlight w:val="none"/>
        </w:rPr>
      </w:pPr>
    </w:p>
    <w:p w14:paraId="6B453A98">
      <w:pPr>
        <w:shd w:val="clear" w:color="auto" w:fill="auto"/>
        <w:spacing w:before="69" w:line="220" w:lineRule="auto"/>
        <w:ind w:left="421"/>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本招标项目是否</w:t>
      </w:r>
      <w:r>
        <w:rPr>
          <w:rFonts w:hint="eastAsia" w:ascii="仿宋" w:hAnsi="仿宋" w:eastAsia="仿宋" w:cs="仿宋"/>
          <w:color w:val="auto"/>
          <w:spacing w:val="-3"/>
          <w:szCs w:val="21"/>
          <w:highlight w:val="none"/>
        </w:rPr>
        <w:t>采用电子招标投标方式，见投标人须知前附表。</w:t>
      </w:r>
    </w:p>
    <w:p w14:paraId="4BB91653">
      <w:pPr>
        <w:shd w:val="clear" w:color="auto" w:fill="auto"/>
        <w:spacing w:before="320" w:line="239" w:lineRule="auto"/>
        <w:ind w:left="13"/>
        <w:outlineLvl w:val="0"/>
        <w:rPr>
          <w:rFonts w:hint="eastAsia" w:ascii="仿宋" w:hAnsi="仿宋" w:eastAsia="仿宋" w:cs="仿宋"/>
          <w:color w:val="auto"/>
          <w:sz w:val="31"/>
          <w:szCs w:val="31"/>
          <w:highlight w:val="none"/>
        </w:rPr>
      </w:pPr>
      <w:bookmarkStart w:id="354" w:name="_bookmark76"/>
      <w:bookmarkEnd w:id="354"/>
      <w:bookmarkStart w:id="355" w:name="_Toc27144"/>
      <w:bookmarkStart w:id="356" w:name="_Toc29720"/>
      <w:bookmarkStart w:id="357" w:name="_Toc10799"/>
      <w:bookmarkStart w:id="358" w:name="_Toc22950"/>
      <w:bookmarkStart w:id="359" w:name="_Toc28519"/>
      <w:bookmarkStart w:id="360" w:name="_Toc21277"/>
      <w:bookmarkStart w:id="361" w:name="_Toc2093"/>
      <w:bookmarkStart w:id="362" w:name="_Toc30305"/>
      <w:bookmarkStart w:id="363" w:name="_Toc2363"/>
      <w:bookmarkStart w:id="364" w:name="_Toc14449"/>
      <w:bookmarkStart w:id="365" w:name="_Toc11875"/>
      <w:bookmarkStart w:id="366" w:name="_Toc21280"/>
      <w:bookmarkStart w:id="367" w:name="_Toc28897"/>
      <w:bookmarkStart w:id="368" w:name="_Toc14629"/>
      <w:bookmarkStart w:id="369" w:name="_Toc14146"/>
      <w:bookmarkStart w:id="370" w:name="_Toc14121"/>
      <w:bookmarkStart w:id="371" w:name="_Toc15336"/>
      <w:r>
        <w:rPr>
          <w:rFonts w:hint="eastAsia" w:ascii="仿宋" w:hAnsi="仿宋" w:eastAsia="仿宋" w:cs="仿宋"/>
          <w:b/>
          <w:bCs/>
          <w:color w:val="auto"/>
          <w:spacing w:val="7"/>
          <w:sz w:val="31"/>
          <w:szCs w:val="31"/>
          <w:highlight w:val="none"/>
        </w:rPr>
        <w:t>10.</w:t>
      </w:r>
      <w:r>
        <w:rPr>
          <w:rFonts w:hint="eastAsia" w:ascii="仿宋" w:hAnsi="仿宋" w:eastAsia="仿宋" w:cs="仿宋"/>
          <w:color w:val="auto"/>
          <w:spacing w:val="7"/>
          <w:sz w:val="31"/>
          <w:szCs w:val="31"/>
          <w:highlight w:val="none"/>
        </w:rPr>
        <w:t xml:space="preserve">  需要补充的其他内</w:t>
      </w:r>
      <w:r>
        <w:rPr>
          <w:rFonts w:hint="eastAsia" w:ascii="仿宋" w:hAnsi="仿宋" w:eastAsia="仿宋" w:cs="仿宋"/>
          <w:color w:val="auto"/>
          <w:spacing w:val="6"/>
          <w:sz w:val="31"/>
          <w:szCs w:val="31"/>
          <w:highlight w:val="none"/>
        </w:rPr>
        <w:t>容</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F905E94">
      <w:pPr>
        <w:shd w:val="clear" w:color="auto" w:fill="auto"/>
        <w:spacing w:line="292" w:lineRule="auto"/>
        <w:rPr>
          <w:rFonts w:hint="eastAsia" w:ascii="仿宋" w:hAnsi="仿宋" w:eastAsia="仿宋" w:cs="仿宋"/>
          <w:color w:val="auto"/>
          <w:highlight w:val="none"/>
        </w:rPr>
      </w:pPr>
    </w:p>
    <w:p w14:paraId="2A8D5F2D">
      <w:pPr>
        <w:shd w:val="clear" w:color="auto" w:fill="auto"/>
        <w:spacing w:before="69" w:line="220" w:lineRule="auto"/>
        <w:ind w:left="430"/>
        <w:rPr>
          <w:rFonts w:hint="eastAsia" w:ascii="仿宋" w:hAnsi="仿宋" w:eastAsia="仿宋" w:cs="仿宋"/>
          <w:color w:val="auto"/>
          <w:spacing w:val="-1"/>
          <w:szCs w:val="21"/>
          <w:highlight w:val="none"/>
        </w:rPr>
      </w:pPr>
      <w:r>
        <w:rPr>
          <w:rFonts w:hint="eastAsia" w:ascii="仿宋" w:hAnsi="仿宋" w:eastAsia="仿宋" w:cs="仿宋"/>
          <w:color w:val="auto"/>
          <w:spacing w:val="-2"/>
          <w:szCs w:val="21"/>
          <w:highlight w:val="none"/>
        </w:rPr>
        <w:t>需要补充的其他内</w:t>
      </w:r>
      <w:r>
        <w:rPr>
          <w:rFonts w:hint="eastAsia" w:ascii="仿宋" w:hAnsi="仿宋" w:eastAsia="仿宋" w:cs="仿宋"/>
          <w:color w:val="auto"/>
          <w:spacing w:val="-1"/>
          <w:szCs w:val="21"/>
          <w:highlight w:val="none"/>
        </w:rPr>
        <w:t>容：见投标人须知前附表。</w:t>
      </w:r>
    </w:p>
    <w:p w14:paraId="2FEDA1F5">
      <w:pPr>
        <w:pStyle w:val="4"/>
        <w:keepNext w:val="0"/>
        <w:keepLines w:val="0"/>
        <w:shd w:val="clear" w:color="auto" w:fill="auto"/>
        <w:ind w:firstLine="137"/>
        <w:rPr>
          <w:rFonts w:hint="eastAsia" w:ascii="仿宋" w:hAnsi="仿宋" w:eastAsia="仿宋" w:cs="仿宋"/>
          <w:color w:val="auto"/>
          <w:highlight w:val="none"/>
        </w:rPr>
      </w:pPr>
      <w:bookmarkStart w:id="372" w:name="_Toc247513967"/>
      <w:bookmarkEnd w:id="372"/>
      <w:bookmarkStart w:id="373" w:name="_Toc152042319"/>
      <w:bookmarkEnd w:id="373"/>
      <w:bookmarkStart w:id="374" w:name="_Toc300834964"/>
      <w:bookmarkEnd w:id="374"/>
      <w:bookmarkStart w:id="375" w:name="_Toc384308224"/>
      <w:bookmarkEnd w:id="375"/>
      <w:bookmarkStart w:id="376" w:name="_Toc144974511"/>
      <w:bookmarkEnd w:id="376"/>
      <w:bookmarkStart w:id="377" w:name="_Toc369531530"/>
      <w:bookmarkEnd w:id="377"/>
      <w:bookmarkStart w:id="378" w:name="_Toc152045543"/>
      <w:bookmarkEnd w:id="378"/>
      <w:bookmarkStart w:id="379" w:name="_Toc15242"/>
      <w:bookmarkEnd w:id="379"/>
      <w:bookmarkStart w:id="380" w:name="_Toc247527568"/>
      <w:bookmarkEnd w:id="380"/>
      <w:bookmarkStart w:id="381" w:name="_Toc352691487"/>
      <w:bookmarkEnd w:id="381"/>
      <w:bookmarkStart w:id="382" w:name="_Toc361508599"/>
      <w:bookmarkEnd w:id="382"/>
      <w:bookmarkStart w:id="383" w:name="_Toc31919"/>
      <w:bookmarkStart w:id="384" w:name="_Toc14966885"/>
      <w:r>
        <w:rPr>
          <w:rFonts w:hint="eastAsia" w:ascii="仿宋" w:hAnsi="仿宋" w:eastAsia="仿宋" w:cs="仿宋"/>
          <w:color w:val="auto"/>
          <w:highlight w:val="none"/>
        </w:rPr>
        <w:br w:type="page"/>
      </w:r>
      <w:bookmarkStart w:id="385" w:name="_Toc1641"/>
      <w:bookmarkStart w:id="386" w:name="_Toc279"/>
      <w:bookmarkStart w:id="387" w:name="_Toc10010"/>
      <w:bookmarkStart w:id="388" w:name="_Toc22901"/>
      <w:bookmarkStart w:id="389" w:name="_Toc12301"/>
      <w:bookmarkStart w:id="390" w:name="_Toc31830"/>
      <w:bookmarkStart w:id="391" w:name="_Toc18526"/>
      <w:bookmarkStart w:id="392" w:name="_Toc28470"/>
      <w:bookmarkStart w:id="393" w:name="_Toc18752"/>
      <w:bookmarkStart w:id="394" w:name="_Toc12248"/>
      <w:bookmarkStart w:id="395" w:name="_Toc12807"/>
      <w:bookmarkStart w:id="396" w:name="_Toc27565"/>
      <w:bookmarkStart w:id="397" w:name="_Toc28610"/>
      <w:bookmarkStart w:id="398" w:name="_Toc21043"/>
      <w:bookmarkStart w:id="399" w:name="_Toc22978"/>
      <w:bookmarkStart w:id="400" w:name="_Toc24753"/>
      <w:bookmarkStart w:id="401" w:name="_Toc25838"/>
      <w:r>
        <w:rPr>
          <w:rFonts w:hint="eastAsia" w:ascii="仿宋" w:hAnsi="仿宋" w:eastAsia="仿宋" w:cs="仿宋"/>
          <w:color w:val="auto"/>
          <w:highlight w:val="none"/>
        </w:rPr>
        <w:t>附件一：开标记录表</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85984DC">
      <w:pPr>
        <w:shd w:val="clear" w:color="auto" w:fill="auto"/>
        <w:spacing w:line="440" w:lineRule="exact"/>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开标记录表</w:t>
      </w:r>
    </w:p>
    <w:p w14:paraId="43B8BC1B">
      <w:pPr>
        <w:shd w:val="clear" w:color="auto" w:fill="auto"/>
        <w:spacing w:before="120" w:beforeLines="50" w:after="120" w:afterLines="50" w:line="400" w:lineRule="exact"/>
        <w:ind w:right="420"/>
        <w:jc w:val="left"/>
        <w:rPr>
          <w:rFonts w:hint="eastAsia" w:ascii="仿宋" w:hAnsi="仿宋" w:eastAsia="仿宋" w:cs="仿宋"/>
          <w:color w:val="auto"/>
          <w:highlight w:val="none"/>
        </w:rPr>
      </w:pPr>
      <w:r>
        <w:rPr>
          <w:rFonts w:hint="eastAsia" w:ascii="仿宋" w:hAnsi="仿宋" w:eastAsia="仿宋" w:cs="仿宋"/>
          <w:color w:val="auto"/>
          <w:highlight w:val="none"/>
        </w:rPr>
        <w:t>开标时间：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分</w:t>
      </w:r>
    </w:p>
    <w:tbl>
      <w:tblPr>
        <w:tblStyle w:val="40"/>
        <w:tblW w:w="0" w:type="auto"/>
        <w:tblInd w:w="0" w:type="dxa"/>
        <w:tblLayout w:type="fixed"/>
        <w:tblCellMar>
          <w:top w:w="0" w:type="dxa"/>
          <w:left w:w="108" w:type="dxa"/>
          <w:bottom w:w="0" w:type="dxa"/>
          <w:right w:w="108" w:type="dxa"/>
        </w:tblCellMar>
      </w:tblPr>
      <w:tblGrid>
        <w:gridCol w:w="442"/>
        <w:gridCol w:w="787"/>
        <w:gridCol w:w="624"/>
        <w:gridCol w:w="669"/>
        <w:gridCol w:w="829"/>
        <w:gridCol w:w="704"/>
        <w:gridCol w:w="793"/>
        <w:gridCol w:w="793"/>
        <w:gridCol w:w="793"/>
        <w:gridCol w:w="527"/>
        <w:gridCol w:w="704"/>
        <w:gridCol w:w="842"/>
      </w:tblGrid>
      <w:tr w14:paraId="69F18D7F">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center"/>
          </w:tcPr>
          <w:p w14:paraId="73B7C533">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序号</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2B6A9134">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投标人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9A181A2">
            <w:pPr>
              <w:keepNext w:val="0"/>
              <w:keepLines w:val="0"/>
              <w:suppressLineNumbers w:val="0"/>
              <w:shd w:val="clear" w:color="auto" w:fill="auto"/>
              <w:spacing w:before="0" w:beforeAutospacing="0" w:after="0" w:afterAutospacing="0" w:line="500" w:lineRule="exact"/>
              <w:ind w:left="0" w:right="0"/>
              <w:rPr>
                <w:rFonts w:hint="eastAsia" w:ascii="仿宋" w:hAnsi="仿宋" w:eastAsia="仿宋" w:cs="仿宋"/>
                <w:color w:val="auto"/>
                <w:sz w:val="18"/>
                <w:highlight w:val="none"/>
              </w:rPr>
            </w:pPr>
            <w:r>
              <w:rPr>
                <w:rFonts w:hint="eastAsia" w:ascii="仿宋" w:hAnsi="仿宋" w:eastAsia="仿宋" w:cs="仿宋"/>
                <w:strike/>
                <w:color w:val="auto"/>
                <w:sz w:val="18"/>
                <w:highlight w:val="none"/>
              </w:rPr>
              <w:t>密封情况</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39CE13F1">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strike/>
                <w:color w:val="auto"/>
                <w:sz w:val="18"/>
                <w:highlight w:val="none"/>
              </w:rPr>
              <w:t>投标保证金</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0747B0C6">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投标报价</w:t>
            </w:r>
          </w:p>
          <w:p w14:paraId="17E732AF">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（万元）</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DCCF9AB">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总监理工程师</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C4B2242">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监理服务期限</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151B6BD">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投标文件递交情况</w:t>
            </w:r>
          </w:p>
        </w:tc>
        <w:tc>
          <w:tcPr>
            <w:tcW w:w="793" w:type="dxa"/>
            <w:tcBorders>
              <w:top w:val="single" w:color="auto" w:sz="4" w:space="0"/>
              <w:left w:val="single" w:color="auto" w:sz="4" w:space="0"/>
              <w:bottom w:val="single" w:color="auto" w:sz="4" w:space="0"/>
              <w:right w:val="single" w:color="auto" w:sz="4" w:space="0"/>
            </w:tcBorders>
            <w:noWrap w:val="0"/>
            <w:vAlign w:val="top"/>
          </w:tcPr>
          <w:p w14:paraId="318314E0">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投标文件解密情况</w:t>
            </w:r>
          </w:p>
        </w:tc>
        <w:tc>
          <w:tcPr>
            <w:tcW w:w="527" w:type="dxa"/>
            <w:tcBorders>
              <w:top w:val="single" w:color="auto" w:sz="4" w:space="0"/>
              <w:left w:val="single" w:color="auto" w:sz="4" w:space="0"/>
              <w:bottom w:val="single" w:color="auto" w:sz="4" w:space="0"/>
              <w:right w:val="single" w:color="auto" w:sz="4" w:space="0"/>
            </w:tcBorders>
            <w:noWrap w:val="0"/>
            <w:vAlign w:val="top"/>
          </w:tcPr>
          <w:p w14:paraId="1D1C2FD9">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机器码</w:t>
            </w:r>
          </w:p>
        </w:tc>
        <w:tc>
          <w:tcPr>
            <w:tcW w:w="704" w:type="dxa"/>
            <w:tcBorders>
              <w:top w:val="single" w:color="auto" w:sz="4" w:space="0"/>
              <w:left w:val="single" w:color="auto" w:sz="4" w:space="0"/>
              <w:bottom w:val="single" w:color="auto" w:sz="4" w:space="0"/>
              <w:right w:val="single" w:color="auto" w:sz="4" w:space="0"/>
            </w:tcBorders>
            <w:noWrap w:val="0"/>
            <w:vAlign w:val="top"/>
          </w:tcPr>
          <w:p w14:paraId="3F32541E">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备注</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79A2A4BB">
            <w:pPr>
              <w:keepNext w:val="0"/>
              <w:keepLines w:val="0"/>
              <w:suppressLineNumbers w:val="0"/>
              <w:shd w:val="clear" w:color="auto" w:fill="auto"/>
              <w:spacing w:before="0" w:beforeAutospacing="0" w:after="0" w:afterAutospacing="0" w:line="500" w:lineRule="exact"/>
              <w:ind w:left="0" w:right="0"/>
              <w:jc w:val="center"/>
              <w:rPr>
                <w:rFonts w:hint="eastAsia" w:ascii="仿宋" w:hAnsi="仿宋" w:eastAsia="仿宋" w:cs="仿宋"/>
                <w:color w:val="auto"/>
                <w:sz w:val="18"/>
                <w:highlight w:val="none"/>
              </w:rPr>
            </w:pPr>
            <w:r>
              <w:rPr>
                <w:rFonts w:hint="eastAsia" w:ascii="仿宋" w:hAnsi="仿宋" w:eastAsia="仿宋" w:cs="仿宋"/>
                <w:color w:val="auto"/>
                <w:sz w:val="18"/>
                <w:highlight w:val="none"/>
              </w:rPr>
              <w:t>投标人代表签名</w:t>
            </w:r>
          </w:p>
        </w:tc>
      </w:tr>
      <w:tr w14:paraId="314720F8">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05E0E52B">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9FEBCA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3113B9F9">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6C3CC5B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59FBCCBF">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8AFC462">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1428697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CB37CB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A36C081">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0E0114DC">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2593F653">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0C10CDD4">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tr w14:paraId="4337AC11">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779B60A7">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0F9F6C7">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4C97B039">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0EDD81B6">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048C529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455B147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D4A0248">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22712A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7142EF9">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5A904D6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5D2DE8A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639064F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tr w14:paraId="3C213507">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2260D43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683A216">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1B6355FE">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78C57923">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2383B40F">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6290033C">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D883BB1">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3F381F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290FDC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63D8255C">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9677BA6">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5D0D7A39">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tr w14:paraId="628EBBCB">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148B2DC9">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0C9BE03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02FF2321">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0F0A6BBF">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5137FA0B">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CD10353">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E2D5016">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D7FD62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5554CF8">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496E6D61">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0F714AF">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36C9D5FB">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tr w14:paraId="0C8A8983">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260A0983">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71744A9">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002693F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68E18A8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1879E983">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3F5E37B">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E041FF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088D9C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7BC444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2904D6E9">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29DA2E5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246BB40F">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tr w14:paraId="06DF7102">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1495D39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7AA41EF8">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3150DD97">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6A42F0D1">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68AFBBA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8A2AD38">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FFDEE2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2E5F938">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884A3E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278E3903">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5F31570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500E2D2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tr w14:paraId="63D68F43">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2C160EA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046C45B8">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07C6A214">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05E4F114">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67E9E0D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20563C2F">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3B58DD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194504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6779094">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01718AB7">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546CEDF2">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5C45D9F1">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tr w14:paraId="6A043544">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5265574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7E2E538">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0D7AE74C">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2626338E">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14FCD77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73D59C0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AB528DB">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74E4A6E">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1E48CDC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748A918C">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5E554A1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6CA0A256">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tr w14:paraId="3FAE538C">
        <w:tblPrEx>
          <w:tblCellMar>
            <w:top w:w="0" w:type="dxa"/>
            <w:left w:w="108" w:type="dxa"/>
            <w:bottom w:w="0" w:type="dxa"/>
            <w:right w:w="108" w:type="dxa"/>
          </w:tblCellMar>
        </w:tblPrEx>
        <w:trPr>
          <w:trHeight w:val="502" w:hRule="atLeast"/>
        </w:trPr>
        <w:tc>
          <w:tcPr>
            <w:tcW w:w="442" w:type="dxa"/>
            <w:tcBorders>
              <w:top w:val="single" w:color="auto" w:sz="4" w:space="0"/>
              <w:left w:val="single" w:color="auto" w:sz="4" w:space="0"/>
              <w:bottom w:val="single" w:color="auto" w:sz="4" w:space="0"/>
              <w:right w:val="single" w:color="auto" w:sz="4" w:space="0"/>
            </w:tcBorders>
            <w:noWrap w:val="0"/>
            <w:vAlign w:val="top"/>
          </w:tcPr>
          <w:p w14:paraId="404822E2">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709D14BE">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13C00736">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172F1CB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1E01281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4E4594E">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549EACE">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DA61E1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E74AA99">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33DA6B4B">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5067B7AD">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4742424C">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tr w14:paraId="0D6216D3">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56063BDE">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4BC1144">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6D34A676">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76B5588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5DFB0CCC">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EDCF4DC">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4D215C1">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9C68421">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1EFBFD86">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765F5BE9">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33439606">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6BBB71C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bookmarkStart w:id="402" w:name="_Toc17638"/>
          </w:p>
        </w:tc>
      </w:tr>
      <w:tr w14:paraId="457F45B7">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757626D5">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9A5039B">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606B0FBB">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3602EEC0">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2C264C9B">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014689E9">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A7B2513">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13F21378">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4FB7DCB">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692BAB24">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F0EF29A">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36A854D2">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bookmarkEnd w:id="402"/>
      <w:tr w14:paraId="40AB79F1">
        <w:tblPrEx>
          <w:tblCellMar>
            <w:top w:w="0" w:type="dxa"/>
            <w:left w:w="108" w:type="dxa"/>
            <w:bottom w:w="0" w:type="dxa"/>
            <w:right w:w="108" w:type="dxa"/>
          </w:tblCellMar>
        </w:tblPrEx>
        <w:tc>
          <w:tcPr>
            <w:tcW w:w="1853" w:type="dxa"/>
            <w:gridSpan w:val="3"/>
            <w:tcBorders>
              <w:top w:val="single" w:color="auto" w:sz="4" w:space="0"/>
              <w:left w:val="single" w:color="auto" w:sz="4" w:space="0"/>
              <w:bottom w:val="single" w:color="auto" w:sz="4" w:space="0"/>
              <w:right w:val="single" w:color="auto" w:sz="4" w:space="0"/>
            </w:tcBorders>
            <w:noWrap w:val="0"/>
            <w:vAlign w:val="top"/>
          </w:tcPr>
          <w:p w14:paraId="32C170FC">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最高投标限价：</w:t>
            </w:r>
          </w:p>
        </w:tc>
        <w:tc>
          <w:tcPr>
            <w:tcW w:w="6654" w:type="dxa"/>
            <w:gridSpan w:val="9"/>
            <w:tcBorders>
              <w:top w:val="single" w:color="auto" w:sz="4" w:space="0"/>
              <w:left w:val="single" w:color="auto" w:sz="4" w:space="0"/>
              <w:bottom w:val="single" w:color="auto" w:sz="4" w:space="0"/>
              <w:right w:val="single" w:color="auto" w:sz="4" w:space="0"/>
            </w:tcBorders>
            <w:noWrap w:val="0"/>
            <w:vAlign w:val="top"/>
          </w:tcPr>
          <w:p w14:paraId="2DDD6663">
            <w:pPr>
              <w:keepNext w:val="0"/>
              <w:keepLines w:val="0"/>
              <w:suppressLineNumbers w:val="0"/>
              <w:shd w:val="clear" w:color="auto" w:fill="auto"/>
              <w:spacing w:before="0" w:beforeAutospacing="0" w:after="0" w:afterAutospacing="0" w:line="500" w:lineRule="exact"/>
              <w:ind w:left="0" w:right="0"/>
              <w:jc w:val="left"/>
              <w:rPr>
                <w:rFonts w:hint="eastAsia" w:ascii="仿宋" w:hAnsi="仿宋" w:eastAsia="仿宋" w:cs="仿宋"/>
                <w:color w:val="auto"/>
                <w:highlight w:val="none"/>
              </w:rPr>
            </w:pPr>
          </w:p>
        </w:tc>
      </w:tr>
    </w:tbl>
    <w:p w14:paraId="4C935F9E">
      <w:pPr>
        <w:shd w:val="clear" w:color="auto" w:fill="auto"/>
        <w:spacing w:line="440" w:lineRule="exact"/>
        <w:rPr>
          <w:rFonts w:hint="eastAsia" w:ascii="仿宋" w:hAnsi="仿宋" w:eastAsia="仿宋" w:cs="仿宋"/>
          <w:color w:val="auto"/>
          <w:highlight w:val="none"/>
        </w:rPr>
      </w:pPr>
      <w:r>
        <w:rPr>
          <w:rFonts w:hint="eastAsia" w:ascii="仿宋" w:hAnsi="仿宋" w:eastAsia="仿宋" w:cs="仿宋"/>
          <w:color w:val="auto"/>
          <w:highlight w:val="none"/>
          <w:u w:val="single"/>
        </w:rPr>
        <w:t>注：按</w:t>
      </w:r>
      <w:r>
        <w:rPr>
          <w:rFonts w:hint="eastAsia" w:ascii="仿宋" w:hAnsi="仿宋" w:eastAsia="仿宋" w:cs="仿宋"/>
          <w:color w:val="auto"/>
          <w:highlight w:val="none"/>
          <w:u w:val="single"/>
          <w:lang w:eastAsia="zh-CN"/>
        </w:rPr>
        <w:t>广州交易集团有限公司（广州公共资源交易中心）</w:t>
      </w:r>
      <w:r>
        <w:rPr>
          <w:rFonts w:hint="eastAsia" w:ascii="仿宋" w:hAnsi="仿宋" w:eastAsia="仿宋" w:cs="仿宋"/>
          <w:color w:val="auto"/>
          <w:highlight w:val="none"/>
          <w:u w:val="single"/>
        </w:rPr>
        <w:t>系统导出为准。</w:t>
      </w:r>
      <w:r>
        <w:rPr>
          <w:rFonts w:hint="eastAsia" w:ascii="仿宋" w:hAnsi="仿宋" w:eastAsia="仿宋" w:cs="仿宋"/>
          <w:color w:val="auto"/>
          <w:highlight w:val="none"/>
        </w:rPr>
        <w:t>　</w:t>
      </w:r>
    </w:p>
    <w:p w14:paraId="52291E1E">
      <w:pPr>
        <w:shd w:val="clear" w:color="auto" w:fill="auto"/>
        <w:spacing w:line="620" w:lineRule="exact"/>
        <w:rPr>
          <w:rFonts w:hint="eastAsia" w:ascii="仿宋" w:hAnsi="仿宋" w:eastAsia="仿宋" w:cs="仿宋"/>
          <w:color w:val="auto"/>
          <w:highlight w:val="none"/>
        </w:rPr>
      </w:pPr>
      <w:r>
        <w:rPr>
          <w:rFonts w:hint="eastAsia" w:ascii="仿宋" w:hAnsi="仿宋" w:eastAsia="仿宋" w:cs="仿宋"/>
          <w:color w:val="auto"/>
          <w:highlight w:val="none"/>
        </w:rPr>
        <w:t>招标人代表：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记录人：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监标人：</w:t>
      </w:r>
      <w:r>
        <w:rPr>
          <w:rFonts w:hint="eastAsia" w:ascii="仿宋" w:hAnsi="仿宋" w:eastAsia="仿宋" w:cs="仿宋"/>
          <w:color w:val="auto"/>
          <w:highlight w:val="none"/>
          <w:u w:val="single"/>
        </w:rPr>
        <w:t xml:space="preserve">       </w:t>
      </w:r>
    </w:p>
    <w:p w14:paraId="4BBFC812">
      <w:pPr>
        <w:shd w:val="clear" w:color="auto" w:fill="auto"/>
        <w:spacing w:line="620" w:lineRule="exact"/>
        <w:jc w:val="right"/>
        <w:rPr>
          <w:rFonts w:hint="eastAsia" w:ascii="仿宋" w:hAnsi="仿宋" w:eastAsia="仿宋" w:cs="仿宋"/>
          <w:color w:val="auto"/>
          <w:sz w:val="20"/>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9F8AD9C">
      <w:pPr>
        <w:shd w:val="clear" w:color="auto" w:fill="auto"/>
        <w:spacing w:line="440" w:lineRule="exact"/>
        <w:rPr>
          <w:rFonts w:hint="eastAsia" w:ascii="仿宋" w:hAnsi="仿宋" w:eastAsia="仿宋" w:cs="仿宋"/>
          <w:color w:val="auto"/>
          <w:highlight w:val="none"/>
        </w:rPr>
      </w:pPr>
    </w:p>
    <w:p w14:paraId="1997780A">
      <w:pPr>
        <w:shd w:val="clear" w:color="auto" w:fill="auto"/>
        <w:spacing w:line="440" w:lineRule="exact"/>
        <w:rPr>
          <w:rFonts w:hint="eastAsia" w:ascii="仿宋" w:hAnsi="仿宋" w:eastAsia="仿宋" w:cs="仿宋"/>
          <w:color w:val="auto"/>
          <w:highlight w:val="none"/>
        </w:rPr>
      </w:pPr>
    </w:p>
    <w:p w14:paraId="748B5DF6">
      <w:pPr>
        <w:spacing w:line="383" w:lineRule="exact"/>
        <w:ind w:right="-20"/>
        <w:jc w:val="lef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position w:val="-4"/>
          <w:sz w:val="28"/>
          <w:highlight w:val="none"/>
        </w:rPr>
        <w:t>附件二</w:t>
      </w:r>
      <w:r>
        <w:rPr>
          <w:rFonts w:hint="eastAsia" w:ascii="仿宋" w:hAnsi="仿宋" w:eastAsia="仿宋" w:cs="仿宋"/>
          <w:color w:val="auto"/>
          <w:spacing w:val="-3"/>
          <w:position w:val="-4"/>
          <w:sz w:val="28"/>
          <w:highlight w:val="none"/>
        </w:rPr>
        <w:t>：</w:t>
      </w:r>
      <w:r>
        <w:rPr>
          <w:rFonts w:hint="eastAsia" w:ascii="仿宋" w:hAnsi="仿宋" w:eastAsia="仿宋" w:cs="仿宋"/>
          <w:color w:val="auto"/>
          <w:position w:val="-4"/>
          <w:sz w:val="28"/>
          <w:highlight w:val="none"/>
        </w:rPr>
        <w:t>问题</w:t>
      </w:r>
      <w:r>
        <w:rPr>
          <w:rFonts w:hint="eastAsia" w:ascii="仿宋" w:hAnsi="仿宋" w:eastAsia="仿宋" w:cs="仿宋"/>
          <w:color w:val="auto"/>
          <w:spacing w:val="-3"/>
          <w:position w:val="-4"/>
          <w:sz w:val="28"/>
          <w:highlight w:val="none"/>
        </w:rPr>
        <w:t>澄清</w:t>
      </w:r>
      <w:r>
        <w:rPr>
          <w:rFonts w:hint="eastAsia" w:ascii="仿宋" w:hAnsi="仿宋" w:eastAsia="仿宋" w:cs="仿宋"/>
          <w:color w:val="auto"/>
          <w:position w:val="-4"/>
          <w:sz w:val="28"/>
          <w:highlight w:val="none"/>
        </w:rPr>
        <w:t>通知</w:t>
      </w:r>
    </w:p>
    <w:p w14:paraId="58EF919D">
      <w:pPr>
        <w:spacing w:line="200" w:lineRule="exact"/>
        <w:jc w:val="left"/>
        <w:rPr>
          <w:rFonts w:hint="eastAsia" w:ascii="仿宋" w:hAnsi="仿宋" w:eastAsia="仿宋" w:cs="仿宋"/>
          <w:color w:val="auto"/>
          <w:sz w:val="20"/>
          <w:highlight w:val="none"/>
        </w:rPr>
      </w:pPr>
    </w:p>
    <w:p w14:paraId="7507CC90">
      <w:pPr>
        <w:spacing w:line="373" w:lineRule="exact"/>
        <w:ind w:left="14" w:right="40" w:hanging="14" w:hangingChars="5"/>
        <w:rPr>
          <w:rFonts w:hint="eastAsia" w:ascii="仿宋" w:hAnsi="仿宋" w:eastAsia="仿宋" w:cs="仿宋"/>
          <w:color w:val="auto"/>
          <w:sz w:val="28"/>
          <w:highlight w:val="none"/>
        </w:rPr>
      </w:pPr>
      <w:r>
        <w:rPr>
          <w:rFonts w:hint="eastAsia" w:ascii="仿宋" w:hAnsi="仿宋" w:eastAsia="仿宋" w:cs="仿宋"/>
          <w:color w:val="auto"/>
          <w:sz w:val="28"/>
          <w:highlight w:val="none"/>
        </w:rPr>
        <w:t>注：以广州交易集团有限公司（广州公共资源交易中心）格式为准。</w:t>
      </w:r>
    </w:p>
    <w:p w14:paraId="0C41A947">
      <w:pPr>
        <w:spacing w:line="383" w:lineRule="exact"/>
        <w:ind w:left="237" w:right="-20"/>
        <w:jc w:val="left"/>
        <w:rPr>
          <w:rFonts w:hint="eastAsia" w:ascii="仿宋" w:hAnsi="仿宋" w:eastAsia="仿宋" w:cs="仿宋"/>
          <w:color w:val="auto"/>
          <w:position w:val="-4"/>
          <w:sz w:val="28"/>
          <w:highlight w:val="none"/>
        </w:rPr>
      </w:pPr>
    </w:p>
    <w:p w14:paraId="7B2D41D0">
      <w:pPr>
        <w:spacing w:line="383" w:lineRule="exact"/>
        <w:ind w:left="237" w:right="-20"/>
        <w:jc w:val="left"/>
        <w:rPr>
          <w:rFonts w:hint="eastAsia" w:ascii="仿宋" w:hAnsi="仿宋" w:eastAsia="仿宋" w:cs="仿宋"/>
          <w:color w:val="auto"/>
          <w:position w:val="-4"/>
          <w:sz w:val="28"/>
          <w:highlight w:val="none"/>
        </w:rPr>
      </w:pPr>
    </w:p>
    <w:p w14:paraId="71BC731C">
      <w:pPr>
        <w:spacing w:line="383" w:lineRule="exact"/>
        <w:ind w:right="-20"/>
        <w:jc w:val="left"/>
        <w:rPr>
          <w:rFonts w:hint="eastAsia" w:ascii="仿宋" w:hAnsi="仿宋" w:eastAsia="仿宋" w:cs="仿宋"/>
          <w:color w:val="auto"/>
          <w:sz w:val="17"/>
          <w:highlight w:val="none"/>
        </w:rPr>
      </w:pPr>
      <w:r>
        <w:rPr>
          <w:rFonts w:hint="eastAsia" w:ascii="仿宋" w:hAnsi="仿宋" w:eastAsia="仿宋" w:cs="仿宋"/>
          <w:color w:val="auto"/>
          <w:position w:val="-4"/>
          <w:sz w:val="28"/>
          <w:highlight w:val="none"/>
        </w:rPr>
        <w:t>附件三</w:t>
      </w:r>
      <w:r>
        <w:rPr>
          <w:rFonts w:hint="eastAsia" w:ascii="仿宋" w:hAnsi="仿宋" w:eastAsia="仿宋" w:cs="仿宋"/>
          <w:color w:val="auto"/>
          <w:spacing w:val="-3"/>
          <w:position w:val="-4"/>
          <w:sz w:val="28"/>
          <w:highlight w:val="none"/>
        </w:rPr>
        <w:t>：</w:t>
      </w:r>
      <w:r>
        <w:rPr>
          <w:rFonts w:hint="eastAsia" w:ascii="仿宋" w:hAnsi="仿宋" w:eastAsia="仿宋" w:cs="仿宋"/>
          <w:color w:val="auto"/>
          <w:position w:val="-4"/>
          <w:sz w:val="28"/>
          <w:highlight w:val="none"/>
        </w:rPr>
        <w:t>问题</w:t>
      </w:r>
      <w:r>
        <w:rPr>
          <w:rFonts w:hint="eastAsia" w:ascii="仿宋" w:hAnsi="仿宋" w:eastAsia="仿宋" w:cs="仿宋"/>
          <w:color w:val="auto"/>
          <w:spacing w:val="-3"/>
          <w:position w:val="-4"/>
          <w:sz w:val="28"/>
          <w:highlight w:val="none"/>
        </w:rPr>
        <w:t>的澄</w:t>
      </w:r>
      <w:r>
        <w:rPr>
          <w:rFonts w:hint="eastAsia" w:ascii="仿宋" w:hAnsi="仿宋" w:eastAsia="仿宋" w:cs="仿宋"/>
          <w:color w:val="auto"/>
          <w:position w:val="-4"/>
          <w:sz w:val="28"/>
          <w:highlight w:val="none"/>
        </w:rPr>
        <w:t>清</w:t>
      </w:r>
    </w:p>
    <w:p w14:paraId="0235F6E8">
      <w:pPr>
        <w:spacing w:line="200" w:lineRule="exact"/>
        <w:jc w:val="left"/>
        <w:rPr>
          <w:rFonts w:hint="eastAsia" w:ascii="仿宋" w:hAnsi="仿宋" w:eastAsia="仿宋" w:cs="仿宋"/>
          <w:color w:val="auto"/>
          <w:sz w:val="20"/>
          <w:highlight w:val="none"/>
        </w:rPr>
      </w:pPr>
    </w:p>
    <w:p w14:paraId="41AB24AA">
      <w:pPr>
        <w:spacing w:line="373" w:lineRule="exact"/>
        <w:ind w:right="40"/>
        <w:rPr>
          <w:rFonts w:hint="eastAsia" w:ascii="仿宋" w:hAnsi="仿宋" w:eastAsia="仿宋" w:cs="仿宋"/>
          <w:color w:val="auto"/>
          <w:sz w:val="28"/>
          <w:highlight w:val="none"/>
        </w:rPr>
      </w:pPr>
      <w:r>
        <w:rPr>
          <w:rFonts w:hint="eastAsia" w:ascii="仿宋" w:hAnsi="仿宋" w:eastAsia="仿宋" w:cs="仿宋"/>
          <w:color w:val="auto"/>
          <w:sz w:val="28"/>
          <w:highlight w:val="none"/>
        </w:rPr>
        <w:t>注：以广州交易集团有限公司（广州公共资源交易中心）格式为准。</w:t>
      </w:r>
    </w:p>
    <w:p w14:paraId="4CA13071">
      <w:pPr>
        <w:spacing w:line="383" w:lineRule="exact"/>
        <w:ind w:left="237" w:right="-20"/>
        <w:jc w:val="left"/>
        <w:rPr>
          <w:rFonts w:hint="eastAsia" w:ascii="仿宋" w:hAnsi="仿宋" w:eastAsia="仿宋" w:cs="仿宋"/>
          <w:color w:val="auto"/>
          <w:position w:val="-4"/>
          <w:sz w:val="28"/>
          <w:highlight w:val="none"/>
        </w:rPr>
      </w:pPr>
      <w:bookmarkStart w:id="403" w:name="_Toc525218682"/>
      <w:bookmarkStart w:id="404" w:name="_Toc27507"/>
      <w:bookmarkStart w:id="405" w:name="_Toc529459327"/>
      <w:bookmarkStart w:id="406" w:name="_Toc51179204"/>
      <w:bookmarkStart w:id="407" w:name="_Toc51593457"/>
      <w:bookmarkStart w:id="408" w:name="_Toc536455247"/>
    </w:p>
    <w:p w14:paraId="71035CDD">
      <w:pPr>
        <w:spacing w:line="383" w:lineRule="exact"/>
        <w:ind w:left="237" w:right="-20"/>
        <w:jc w:val="left"/>
        <w:rPr>
          <w:rFonts w:hint="eastAsia" w:ascii="仿宋" w:hAnsi="仿宋" w:eastAsia="仿宋" w:cs="仿宋"/>
          <w:color w:val="auto"/>
          <w:position w:val="-4"/>
          <w:sz w:val="28"/>
          <w:highlight w:val="none"/>
        </w:rPr>
      </w:pPr>
    </w:p>
    <w:p w14:paraId="27D77D20">
      <w:pPr>
        <w:spacing w:line="383" w:lineRule="exact"/>
        <w:ind w:right="-20"/>
        <w:jc w:val="left"/>
        <w:rPr>
          <w:rFonts w:hint="eastAsia" w:ascii="仿宋" w:hAnsi="仿宋" w:eastAsia="仿宋" w:cs="仿宋"/>
          <w:color w:val="auto"/>
          <w:position w:val="-4"/>
          <w:sz w:val="28"/>
          <w:highlight w:val="none"/>
        </w:rPr>
      </w:pPr>
      <w:r>
        <w:rPr>
          <w:rFonts w:hint="eastAsia" w:ascii="仿宋" w:hAnsi="仿宋" w:eastAsia="仿宋" w:cs="仿宋"/>
          <w:color w:val="auto"/>
          <w:position w:val="-4"/>
          <w:sz w:val="28"/>
          <w:highlight w:val="none"/>
        </w:rPr>
        <w:t>附件四：中标通知书</w:t>
      </w:r>
      <w:bookmarkEnd w:id="403"/>
      <w:bookmarkEnd w:id="404"/>
      <w:bookmarkEnd w:id="405"/>
      <w:bookmarkEnd w:id="406"/>
      <w:bookmarkEnd w:id="407"/>
      <w:bookmarkEnd w:id="408"/>
    </w:p>
    <w:p w14:paraId="3B5E796E">
      <w:pPr>
        <w:spacing w:line="200" w:lineRule="exact"/>
        <w:jc w:val="left"/>
        <w:rPr>
          <w:rFonts w:hint="eastAsia" w:ascii="仿宋" w:hAnsi="仿宋" w:eastAsia="仿宋" w:cs="仿宋"/>
          <w:color w:val="auto"/>
          <w:sz w:val="20"/>
          <w:highlight w:val="none"/>
        </w:rPr>
      </w:pPr>
    </w:p>
    <w:p w14:paraId="304B0BD1">
      <w:pPr>
        <w:spacing w:line="373" w:lineRule="exact"/>
        <w:ind w:left="14" w:right="40" w:hanging="14" w:hangingChars="5"/>
        <w:rPr>
          <w:rFonts w:hint="eastAsia" w:ascii="仿宋" w:hAnsi="仿宋" w:eastAsia="仿宋" w:cs="仿宋"/>
          <w:color w:val="auto"/>
          <w:sz w:val="28"/>
          <w:highlight w:val="none"/>
        </w:rPr>
      </w:pPr>
      <w:r>
        <w:rPr>
          <w:rFonts w:hint="eastAsia" w:ascii="仿宋" w:hAnsi="仿宋" w:eastAsia="仿宋" w:cs="仿宋"/>
          <w:color w:val="auto"/>
          <w:sz w:val="28"/>
          <w:highlight w:val="none"/>
        </w:rPr>
        <w:t>注：以广州交易集团有限公司（广州公共资源交易中心）格式为准。</w:t>
      </w:r>
    </w:p>
    <w:p w14:paraId="18709C97">
      <w:pPr>
        <w:spacing w:line="373" w:lineRule="exact"/>
        <w:ind w:left="3578" w:right="40" w:hanging="3578" w:hangingChars="1278"/>
        <w:jc w:val="center"/>
        <w:rPr>
          <w:rFonts w:hint="eastAsia" w:ascii="仿宋" w:hAnsi="仿宋" w:eastAsia="仿宋" w:cs="仿宋"/>
          <w:color w:val="auto"/>
          <w:sz w:val="28"/>
          <w:highlight w:val="none"/>
        </w:rPr>
      </w:pPr>
    </w:p>
    <w:p w14:paraId="330705E0">
      <w:pPr>
        <w:spacing w:line="383" w:lineRule="exact"/>
        <w:ind w:left="237" w:right="-20"/>
        <w:jc w:val="left"/>
        <w:rPr>
          <w:rFonts w:hint="eastAsia" w:ascii="仿宋" w:hAnsi="仿宋" w:eastAsia="仿宋" w:cs="仿宋"/>
          <w:color w:val="auto"/>
          <w:position w:val="-4"/>
          <w:sz w:val="28"/>
          <w:highlight w:val="none"/>
        </w:rPr>
      </w:pPr>
      <w:bookmarkStart w:id="409" w:name="_Toc492300625"/>
      <w:bookmarkStart w:id="410" w:name="_Toc492300624"/>
      <w:bookmarkStart w:id="411" w:name="_Toc535938719"/>
      <w:bookmarkStart w:id="412" w:name="_Toc529196580"/>
      <w:bookmarkStart w:id="413" w:name="_Toc530470628"/>
    </w:p>
    <w:p w14:paraId="2F223C35">
      <w:pPr>
        <w:spacing w:after="240"/>
        <w:rPr>
          <w:rFonts w:hint="eastAsia" w:ascii="仿宋" w:hAnsi="仿宋" w:eastAsia="仿宋" w:cs="仿宋"/>
          <w:color w:val="auto"/>
          <w:position w:val="-4"/>
          <w:sz w:val="28"/>
          <w:highlight w:val="none"/>
        </w:rPr>
      </w:pPr>
      <w:r>
        <w:rPr>
          <w:rFonts w:hint="eastAsia" w:ascii="仿宋" w:hAnsi="仿宋" w:eastAsia="仿宋" w:cs="仿宋"/>
          <w:color w:val="auto"/>
          <w:position w:val="-4"/>
          <w:sz w:val="28"/>
          <w:highlight w:val="none"/>
        </w:rPr>
        <w:t>附件五：</w:t>
      </w:r>
      <w:bookmarkEnd w:id="409"/>
      <w:r>
        <w:rPr>
          <w:rFonts w:hint="eastAsia" w:ascii="仿宋" w:hAnsi="仿宋" w:eastAsia="仿宋" w:cs="仿宋"/>
          <w:color w:val="auto"/>
          <w:position w:val="-4"/>
          <w:sz w:val="28"/>
          <w:highlight w:val="none"/>
        </w:rPr>
        <w:t>中标结果通知书</w:t>
      </w:r>
      <w:bookmarkEnd w:id="410"/>
    </w:p>
    <w:p w14:paraId="4B28096F">
      <w:pPr>
        <w:spacing w:line="373" w:lineRule="exact"/>
        <w:ind w:left="14" w:right="40" w:hanging="14" w:hangingChars="5"/>
        <w:rPr>
          <w:rFonts w:hint="eastAsia" w:ascii="仿宋" w:hAnsi="仿宋" w:eastAsia="仿宋" w:cs="仿宋"/>
          <w:color w:val="auto"/>
          <w:sz w:val="28"/>
          <w:highlight w:val="none"/>
        </w:rPr>
      </w:pPr>
      <w:r>
        <w:rPr>
          <w:rFonts w:hint="eastAsia" w:ascii="仿宋" w:hAnsi="仿宋" w:eastAsia="仿宋" w:cs="仿宋"/>
          <w:color w:val="auto"/>
          <w:sz w:val="28"/>
          <w:highlight w:val="none"/>
        </w:rPr>
        <w:t>注：以广州交易集团有限公司（广州公共资源交易中心）格式为准。</w:t>
      </w:r>
    </w:p>
    <w:bookmarkEnd w:id="411"/>
    <w:bookmarkEnd w:id="412"/>
    <w:bookmarkEnd w:id="413"/>
    <w:p w14:paraId="2534FAD9">
      <w:pPr>
        <w:spacing w:line="383" w:lineRule="exact"/>
        <w:ind w:left="237" w:right="-20"/>
        <w:jc w:val="left"/>
        <w:rPr>
          <w:rFonts w:hint="eastAsia" w:ascii="仿宋" w:hAnsi="仿宋" w:eastAsia="仿宋" w:cs="仿宋"/>
          <w:color w:val="auto"/>
          <w:position w:val="-4"/>
          <w:sz w:val="28"/>
          <w:highlight w:val="none"/>
        </w:rPr>
      </w:pPr>
    </w:p>
    <w:p w14:paraId="2503207B">
      <w:pPr>
        <w:spacing w:line="383" w:lineRule="exact"/>
        <w:ind w:left="237" w:right="-20"/>
        <w:jc w:val="left"/>
        <w:rPr>
          <w:rFonts w:hint="eastAsia" w:ascii="仿宋" w:hAnsi="仿宋" w:eastAsia="仿宋" w:cs="仿宋"/>
          <w:color w:val="auto"/>
          <w:position w:val="-4"/>
          <w:sz w:val="28"/>
          <w:highlight w:val="none"/>
        </w:rPr>
      </w:pPr>
    </w:p>
    <w:p w14:paraId="2A433C95">
      <w:pPr>
        <w:rPr>
          <w:rFonts w:hint="eastAsia" w:ascii="仿宋" w:hAnsi="仿宋" w:eastAsia="仿宋" w:cs="仿宋"/>
          <w:color w:val="auto"/>
          <w:position w:val="-4"/>
          <w:sz w:val="28"/>
          <w:highlight w:val="none"/>
        </w:rPr>
      </w:pPr>
      <w:r>
        <w:rPr>
          <w:rFonts w:hint="eastAsia" w:ascii="仿宋" w:hAnsi="仿宋" w:eastAsia="仿宋" w:cs="仿宋"/>
          <w:color w:val="auto"/>
          <w:position w:val="-4"/>
          <w:sz w:val="28"/>
          <w:highlight w:val="none"/>
        </w:rPr>
        <w:t>附件六：确认通知</w:t>
      </w:r>
    </w:p>
    <w:p w14:paraId="443A127B">
      <w:pPr>
        <w:spacing w:line="200" w:lineRule="exact"/>
        <w:jc w:val="left"/>
        <w:rPr>
          <w:rFonts w:hint="eastAsia" w:ascii="仿宋" w:hAnsi="仿宋" w:eastAsia="仿宋" w:cs="仿宋"/>
          <w:color w:val="auto"/>
          <w:sz w:val="20"/>
          <w:highlight w:val="none"/>
        </w:rPr>
      </w:pPr>
    </w:p>
    <w:p w14:paraId="640B78E9">
      <w:pPr>
        <w:spacing w:line="373" w:lineRule="exact"/>
        <w:ind w:left="14" w:right="40" w:hanging="14" w:hangingChars="5"/>
        <w:rPr>
          <w:rFonts w:hint="eastAsia" w:ascii="仿宋" w:hAnsi="仿宋" w:eastAsia="仿宋" w:cs="仿宋"/>
          <w:color w:val="auto"/>
          <w:sz w:val="28"/>
          <w:highlight w:val="none"/>
        </w:rPr>
      </w:pPr>
      <w:r>
        <w:rPr>
          <w:rFonts w:hint="eastAsia" w:ascii="仿宋" w:hAnsi="仿宋" w:eastAsia="仿宋" w:cs="仿宋"/>
          <w:color w:val="auto"/>
          <w:sz w:val="28"/>
          <w:highlight w:val="none"/>
        </w:rPr>
        <w:t>注：以广州交易集团有限公司（广州公共资源交易中心）格式为准。</w:t>
      </w:r>
    </w:p>
    <w:p w14:paraId="72394E50">
      <w:pPr>
        <w:shd w:val="clear" w:color="auto" w:fill="auto"/>
        <w:spacing w:line="440" w:lineRule="exact"/>
        <w:ind w:firstLine="105" w:firstLineChars="50"/>
        <w:jc w:val="right"/>
        <w:rPr>
          <w:rFonts w:hint="eastAsia" w:ascii="仿宋" w:hAnsi="仿宋" w:eastAsia="仿宋" w:cs="仿宋"/>
          <w:color w:val="auto"/>
          <w:highlight w:val="none"/>
        </w:rPr>
      </w:pPr>
    </w:p>
    <w:p w14:paraId="3E8A451D">
      <w:pPr>
        <w:shd w:val="clear" w:color="auto" w:fill="auto"/>
        <w:rPr>
          <w:rFonts w:hint="eastAsia" w:ascii="仿宋" w:hAnsi="仿宋" w:eastAsia="仿宋" w:cs="仿宋"/>
          <w:color w:val="auto"/>
          <w:highlight w:val="none"/>
        </w:rPr>
      </w:pPr>
    </w:p>
    <w:p w14:paraId="27C31CC3">
      <w:pPr>
        <w:shd w:val="clear" w:color="auto" w:fill="auto"/>
        <w:spacing w:line="360" w:lineRule="exact"/>
        <w:jc w:val="left"/>
        <w:rPr>
          <w:rFonts w:hint="eastAsia" w:ascii="仿宋" w:hAnsi="仿宋" w:eastAsia="仿宋" w:cs="仿宋"/>
          <w:color w:val="auto"/>
          <w:kern w:val="0"/>
          <w:szCs w:val="21"/>
          <w:highlight w:val="none"/>
        </w:rPr>
      </w:pPr>
    </w:p>
    <w:p w14:paraId="382A8F32">
      <w:pPr>
        <w:shd w:val="clear" w:color="auto" w:fill="auto"/>
        <w:rPr>
          <w:rFonts w:hint="eastAsia" w:ascii="仿宋" w:hAnsi="仿宋" w:eastAsia="仿宋" w:cs="仿宋"/>
          <w:color w:val="auto"/>
          <w:highlight w:val="none"/>
        </w:rPr>
      </w:pPr>
    </w:p>
    <w:p w14:paraId="13B9B093">
      <w:pPr>
        <w:pStyle w:val="3"/>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414" w:name="_Toc841"/>
      <w:bookmarkStart w:id="415" w:name="_Toc5129"/>
      <w:bookmarkStart w:id="416" w:name="_Toc2604"/>
      <w:bookmarkStart w:id="417" w:name="_Toc13439"/>
      <w:bookmarkStart w:id="418" w:name="_Toc22758"/>
      <w:bookmarkStart w:id="419" w:name="_Toc14966887"/>
      <w:bookmarkStart w:id="420" w:name="_Toc16464"/>
      <w:bookmarkStart w:id="421" w:name="_Toc4846"/>
      <w:bookmarkStart w:id="422" w:name="_Toc11151"/>
      <w:bookmarkStart w:id="423" w:name="_Toc23052"/>
      <w:bookmarkStart w:id="424" w:name="_Toc7177"/>
      <w:bookmarkStart w:id="425" w:name="_Toc2720"/>
      <w:bookmarkStart w:id="426" w:name="_Toc12600"/>
      <w:bookmarkStart w:id="427" w:name="_Toc12189"/>
      <w:bookmarkStart w:id="428" w:name="_Toc3931"/>
      <w:bookmarkStart w:id="429" w:name="_Toc27607"/>
      <w:r>
        <w:rPr>
          <w:rFonts w:hint="eastAsia" w:ascii="仿宋" w:hAnsi="仿宋" w:eastAsia="仿宋" w:cs="仿宋"/>
          <w:color w:val="auto"/>
          <w:highlight w:val="none"/>
        </w:rPr>
        <w:t>第三章评标办法</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hint="eastAsia" w:ascii="仿宋" w:hAnsi="仿宋" w:eastAsia="仿宋" w:cs="仿宋"/>
          <w:color w:val="auto"/>
          <w:highlight w:val="none"/>
        </w:rPr>
        <w:t>（“评定分离”定标办法）</w:t>
      </w:r>
      <w:bookmarkEnd w:id="429"/>
    </w:p>
    <w:p w14:paraId="208E89B2">
      <w:pPr>
        <w:keepNext w:val="0"/>
        <w:keepLines w:val="0"/>
        <w:pageBreakBefore w:val="0"/>
        <w:shd w:val="clear" w:color="auto" w:fill="auto"/>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评标办法前附表</w:t>
      </w:r>
    </w:p>
    <w:tbl>
      <w:tblPr>
        <w:tblStyle w:val="40"/>
        <w:tblpPr w:leftFromText="180" w:rightFromText="180" w:vertAnchor="text" w:horzAnchor="page" w:tblpX="1419" w:tblpY="667"/>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1158"/>
        <w:gridCol w:w="1772"/>
        <w:gridCol w:w="5511"/>
      </w:tblGrid>
      <w:tr w14:paraId="5108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16B8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highlight w:val="none"/>
              </w:rPr>
            </w:pPr>
            <w:bookmarkStart w:id="430" w:name="_Hlk161348484"/>
            <w:r>
              <w:rPr>
                <w:rFonts w:hint="eastAsia" w:ascii="仿宋" w:hAnsi="仿宋" w:eastAsia="仿宋" w:cs="仿宋"/>
                <w:b/>
                <w:color w:val="auto"/>
                <w:kern w:val="0"/>
                <w:sz w:val="24"/>
                <w:szCs w:val="24"/>
                <w:highlight w:val="none"/>
              </w:rPr>
              <w:t>条款号</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BB07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BC6A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634E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A880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15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90B1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评标方法</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3F7A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中标候选人排序方法</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97F72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u w:val="single"/>
              </w:rPr>
              <w:t>本项目采用评定分离定标办法，其中：评标采用“通过制”评标办法，</w:t>
            </w:r>
            <w:r>
              <w:rPr>
                <w:rFonts w:hint="eastAsia" w:ascii="仿宋" w:hAnsi="仿宋" w:eastAsia="仿宋" w:cs="仿宋"/>
                <w:color w:val="auto"/>
                <w:szCs w:val="21"/>
                <w:highlight w:val="none"/>
                <w:u w:val="single"/>
              </w:rPr>
              <w:t>所有通过初步评审</w:t>
            </w:r>
            <w:r>
              <w:rPr>
                <w:rFonts w:hint="eastAsia" w:ascii="仿宋" w:hAnsi="仿宋" w:eastAsia="仿宋" w:cs="仿宋"/>
                <w:color w:val="auto"/>
                <w:highlight w:val="none"/>
                <w:u w:val="single"/>
              </w:rPr>
              <w:t>（形式评审、资格评审、响应性评审）的</w:t>
            </w:r>
            <w:r>
              <w:rPr>
                <w:rFonts w:hint="eastAsia" w:ascii="仿宋" w:hAnsi="仿宋" w:eastAsia="仿宋" w:cs="仿宋"/>
                <w:color w:val="auto"/>
                <w:szCs w:val="21"/>
                <w:highlight w:val="none"/>
                <w:u w:val="single"/>
              </w:rPr>
              <w:t>投标人全部被推荐为合格的中标候选人，进入定标阶段</w:t>
            </w:r>
            <w:r>
              <w:rPr>
                <w:rFonts w:hint="eastAsia" w:ascii="仿宋" w:hAnsi="仿宋" w:eastAsia="仿宋" w:cs="仿宋"/>
                <w:color w:val="auto"/>
                <w:highlight w:val="none"/>
                <w:u w:val="single"/>
              </w:rPr>
              <w:t>【不排序，按其统一社会信用代码后4位（除校验码外）大小进行排位】</w:t>
            </w:r>
            <w:r>
              <w:rPr>
                <w:rFonts w:hint="eastAsia" w:ascii="仿宋" w:hAnsi="仿宋" w:eastAsia="仿宋" w:cs="仿宋"/>
                <w:color w:val="auto"/>
                <w:szCs w:val="21"/>
                <w:highlight w:val="none"/>
                <w:u w:val="single"/>
              </w:rPr>
              <w:t>。</w:t>
            </w:r>
          </w:p>
        </w:tc>
      </w:tr>
      <w:tr w14:paraId="00C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D4B3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2.1.1</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B8E8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形式评审标准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E0D3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投标人名称</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684B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与营业执照、资质证书一致</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sz w:val="21"/>
                <w:szCs w:val="21"/>
                <w:highlight w:val="none"/>
                <w:u w:val="single"/>
              </w:rPr>
              <w:t>香港企业参加投标的，须与在广东省住房和城乡建设主管部门备案的证明一致。</w:t>
            </w:r>
          </w:p>
        </w:tc>
      </w:tr>
      <w:tr w14:paraId="2BF1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DEE47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15C17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8C39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投标函及投标函</w:t>
            </w:r>
          </w:p>
          <w:p w14:paraId="3B06F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附录签字盖章</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7CD1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有法定代表人或被授权人签字（或盖章）。由法定代表人签字（或盖章）的，应附法定代表人身份证明；由被授权人签字（或盖章）的，应附授权委托书、法定代表人身份证明。</w:t>
            </w:r>
          </w:p>
        </w:tc>
      </w:tr>
      <w:tr w14:paraId="2B0B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2A00655">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507D96F">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9CEB6D7">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投标文件格式</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448EA17">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rPr>
              <w:t>“</w:t>
            </w:r>
            <w:r>
              <w:rPr>
                <w:rFonts w:hint="eastAsia" w:ascii="仿宋" w:hAnsi="仿宋" w:eastAsia="仿宋" w:cs="仿宋"/>
                <w:color w:val="auto"/>
                <w:highlight w:val="none"/>
                <w:u w:val="single"/>
              </w:rPr>
              <w:t>投标函及投标函附录”</w:t>
            </w:r>
            <w:r>
              <w:rPr>
                <w:rFonts w:hint="eastAsia" w:ascii="仿宋" w:hAnsi="仿宋" w:eastAsia="仿宋" w:cs="仿宋"/>
                <w:color w:val="auto"/>
                <w:kern w:val="0"/>
                <w:szCs w:val="21"/>
                <w:highlight w:val="none"/>
                <w:u w:val="single"/>
              </w:rPr>
              <w:t>符合第六章“投标文件格式”的规定。</w:t>
            </w:r>
          </w:p>
        </w:tc>
      </w:tr>
      <w:tr w14:paraId="2120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6692C9A">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94247C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63BB68A">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pacing w:val="-7"/>
                <w:szCs w:val="21"/>
                <w:highlight w:val="none"/>
              </w:rPr>
              <w:t>备选投标方案</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79AA192">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rPr>
            </w:pPr>
            <w:r>
              <w:rPr>
                <w:rFonts w:hint="eastAsia" w:ascii="仿宋" w:hAnsi="仿宋" w:eastAsia="仿宋" w:cs="仿宋"/>
                <w:color w:val="auto"/>
                <w:sz w:val="21"/>
                <w:szCs w:val="21"/>
                <w:highlight w:val="none"/>
                <w:u w:val="single"/>
              </w:rPr>
              <w:t>不允许。</w:t>
            </w:r>
          </w:p>
        </w:tc>
      </w:tr>
      <w:tr w14:paraId="02C1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A5DDBC8">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124E2D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DF09680">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投标人机器码</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E4168E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sz w:val="21"/>
                <w:szCs w:val="24"/>
                <w:highlight w:val="none"/>
                <w:u w:val="single"/>
              </w:rPr>
              <w:t>投标人与</w:t>
            </w:r>
            <w:r>
              <w:rPr>
                <w:rFonts w:hint="eastAsia" w:ascii="仿宋" w:hAnsi="仿宋" w:eastAsia="仿宋" w:cs="仿宋"/>
                <w:color w:val="auto"/>
                <w:sz w:val="21"/>
                <w:szCs w:val="24"/>
                <w:highlight w:val="none"/>
                <w:u w:val="single"/>
                <w:lang w:eastAsia="zh-CN"/>
              </w:rPr>
              <w:t>本项目</w:t>
            </w:r>
            <w:r>
              <w:rPr>
                <w:rFonts w:hint="eastAsia" w:ascii="仿宋" w:hAnsi="仿宋" w:eastAsia="仿宋" w:cs="仿宋"/>
                <w:color w:val="auto"/>
                <w:sz w:val="21"/>
                <w:szCs w:val="24"/>
                <w:highlight w:val="none"/>
                <w:u w:val="single"/>
              </w:rPr>
              <w:t>其他投标人加密打包投标文件电脑机器特征码</w:t>
            </w:r>
            <w:r>
              <w:rPr>
                <w:rFonts w:hint="eastAsia" w:ascii="仿宋" w:hAnsi="仿宋" w:eastAsia="仿宋" w:cs="仿宋"/>
                <w:color w:val="auto"/>
                <w:sz w:val="21"/>
                <w:szCs w:val="24"/>
                <w:highlight w:val="none"/>
                <w:u w:val="single"/>
                <w:lang w:eastAsia="zh-CN"/>
              </w:rPr>
              <w:t>不</w:t>
            </w:r>
            <w:r>
              <w:rPr>
                <w:rFonts w:hint="eastAsia" w:ascii="仿宋" w:hAnsi="仿宋" w:eastAsia="仿宋" w:cs="仿宋"/>
                <w:color w:val="auto"/>
                <w:sz w:val="21"/>
                <w:szCs w:val="24"/>
                <w:highlight w:val="none"/>
                <w:u w:val="single"/>
              </w:rPr>
              <w:t>一致的(以</w:t>
            </w:r>
            <w:r>
              <w:rPr>
                <w:rFonts w:hint="eastAsia" w:ascii="仿宋" w:hAnsi="仿宋" w:eastAsia="仿宋" w:cs="仿宋"/>
                <w:color w:val="auto"/>
                <w:sz w:val="21"/>
                <w:szCs w:val="24"/>
                <w:highlight w:val="none"/>
                <w:u w:val="single"/>
                <w:lang w:eastAsia="zh-CN"/>
              </w:rPr>
              <w:t>广州交易集团有限公司（广州公共资源交易中心）交易</w:t>
            </w:r>
            <w:r>
              <w:rPr>
                <w:rFonts w:hint="eastAsia" w:ascii="仿宋" w:hAnsi="仿宋" w:eastAsia="仿宋" w:cs="仿宋"/>
                <w:color w:val="auto"/>
                <w:sz w:val="21"/>
                <w:szCs w:val="24"/>
                <w:highlight w:val="none"/>
                <w:u w:val="single"/>
              </w:rPr>
              <w:t>平台</w:t>
            </w:r>
            <w:r>
              <w:rPr>
                <w:rFonts w:hint="eastAsia" w:ascii="仿宋" w:hAnsi="仿宋" w:eastAsia="仿宋" w:cs="仿宋"/>
                <w:color w:val="auto"/>
                <w:sz w:val="21"/>
                <w:szCs w:val="24"/>
                <w:highlight w:val="none"/>
                <w:u w:val="single"/>
                <w:lang w:eastAsia="zh-CN"/>
              </w:rPr>
              <w:t>开标</w:t>
            </w:r>
            <w:r>
              <w:rPr>
                <w:rFonts w:hint="eastAsia" w:ascii="仿宋" w:hAnsi="仿宋" w:eastAsia="仿宋" w:cs="仿宋"/>
                <w:color w:val="auto"/>
                <w:sz w:val="21"/>
                <w:szCs w:val="24"/>
                <w:highlight w:val="none"/>
                <w:u w:val="single"/>
              </w:rPr>
              <w:t>系统的检索信息为准)</w:t>
            </w:r>
            <w:r>
              <w:rPr>
                <w:rFonts w:hint="eastAsia" w:ascii="仿宋" w:hAnsi="仿宋" w:eastAsia="仿宋" w:cs="仿宋"/>
                <w:color w:val="auto"/>
                <w:kern w:val="0"/>
                <w:szCs w:val="21"/>
                <w:highlight w:val="none"/>
                <w:u w:val="single"/>
                <w:lang w:eastAsia="zh-CN"/>
              </w:rPr>
              <w:t>。</w:t>
            </w:r>
          </w:p>
        </w:tc>
      </w:tr>
      <w:tr w14:paraId="7D9D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8A1CBA0">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2.1.2</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DB9E885">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33D94C2">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u w:val="single"/>
              </w:rPr>
              <w:t>营业执照</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85D87C5">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符合第二章“投标人须知”第3.5.1项规定，具备有效的营业执照</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sz w:val="21"/>
                <w:szCs w:val="21"/>
                <w:highlight w:val="none"/>
                <w:u w:val="single"/>
              </w:rPr>
              <w:t>香港企业提供在香港进行商业登记的证明文书。</w:t>
            </w:r>
          </w:p>
        </w:tc>
      </w:tr>
      <w:tr w14:paraId="355E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426AB71">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B5C47A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A571392">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资质要求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F1CDE88">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szCs w:val="21"/>
                <w:highlight w:val="none"/>
              </w:rPr>
              <w:t>符合第二章“投标人须知”第1.4.1项规定</w:t>
            </w:r>
            <w:r>
              <w:rPr>
                <w:rFonts w:hint="eastAsia" w:ascii="仿宋" w:hAnsi="仿宋" w:eastAsia="仿宋" w:cs="仿宋"/>
                <w:color w:val="auto"/>
                <w:szCs w:val="21"/>
                <w:highlight w:val="none"/>
                <w:lang w:eastAsia="zh-CN"/>
              </w:rPr>
              <w:t>。</w:t>
            </w:r>
          </w:p>
        </w:tc>
      </w:tr>
      <w:tr w14:paraId="10D3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FE08AC4">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D4E0BA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B507589">
            <w:pPr>
              <w:keepNext w:val="0"/>
              <w:keepLines w:val="0"/>
              <w:widowControl/>
              <w:suppressLineNumbers w:val="0"/>
              <w:spacing w:before="0" w:beforeAutospacing="1" w:after="0" w:afterAutospacing="1"/>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财务要求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DF136A5">
            <w:pPr>
              <w:keepNext w:val="0"/>
              <w:keepLines w:val="0"/>
              <w:widowControl/>
              <w:suppressLineNumbers w:val="0"/>
              <w:spacing w:before="0" w:beforeAutospacing="1" w:after="0" w:afterAutospacing="1"/>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r>
      <w:tr w14:paraId="4280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809F8FF">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B36C771">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2A76A21">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业绩要求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64F7B48">
            <w:pPr>
              <w:keepNext w:val="0"/>
              <w:keepLines w:val="0"/>
              <w:suppressLineNumbers w:val="0"/>
              <w:spacing w:before="0" w:beforeAutospacing="0" w:after="0" w:afterAutospacing="0"/>
              <w:ind w:left="0" w:right="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符合第二章“投标人须知”第1.4.1项规定</w:t>
            </w:r>
            <w:r>
              <w:rPr>
                <w:rFonts w:hint="eastAsia" w:ascii="仿宋" w:hAnsi="仿宋" w:eastAsia="仿宋" w:cs="仿宋"/>
                <w:color w:val="auto"/>
                <w:szCs w:val="21"/>
                <w:highlight w:val="none"/>
                <w:lang w:eastAsia="zh-CN"/>
              </w:rPr>
              <w:t>。</w:t>
            </w:r>
          </w:p>
        </w:tc>
      </w:tr>
      <w:tr w14:paraId="2889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5AE67E0">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FDAAD4D">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76F9970">
            <w:pPr>
              <w:keepNext w:val="0"/>
              <w:keepLines w:val="0"/>
              <w:widowControl/>
              <w:suppressLineNumbers w:val="0"/>
              <w:spacing w:before="0" w:beforeAutospacing="1" w:after="0" w:afterAutospacing="1"/>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信誉要求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73BA97E">
            <w:pPr>
              <w:keepNext w:val="0"/>
              <w:keepLines w:val="0"/>
              <w:widowControl/>
              <w:suppressLineNumbers w:val="0"/>
              <w:spacing w:before="0" w:beforeAutospacing="1" w:after="0" w:afterAutospacing="1"/>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r>
      <w:tr w14:paraId="0680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6746760">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B2C0279">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EFAEFCF">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总监理工程师</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7A47282">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szCs w:val="21"/>
                <w:highlight w:val="none"/>
              </w:rPr>
              <w:t>符合第二章“投标人须知”第1.4.1项规定</w:t>
            </w:r>
            <w:r>
              <w:rPr>
                <w:rFonts w:hint="eastAsia" w:ascii="仿宋" w:hAnsi="仿宋" w:eastAsia="仿宋" w:cs="仿宋"/>
                <w:color w:val="auto"/>
                <w:szCs w:val="21"/>
                <w:highlight w:val="none"/>
                <w:lang w:eastAsia="zh-CN"/>
              </w:rPr>
              <w:t>。</w:t>
            </w:r>
          </w:p>
        </w:tc>
      </w:tr>
      <w:tr w14:paraId="3926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2AE52C4">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C842BCF">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6FA4E91">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其他主要人员</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E18BBDC">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w:t>
            </w:r>
          </w:p>
        </w:tc>
      </w:tr>
      <w:tr w14:paraId="5651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0955FB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2A1E009">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AEF427F">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试验检测仪器设备</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79B56E4">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w:t>
            </w:r>
          </w:p>
        </w:tc>
      </w:tr>
      <w:tr w14:paraId="051D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03021B5">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EAC2FB0">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885FD46">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其他要求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251208D">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szCs w:val="21"/>
                <w:highlight w:val="none"/>
              </w:rPr>
              <w:t>符合第二章“投标人须知”第1.4.1项规定</w:t>
            </w:r>
            <w:r>
              <w:rPr>
                <w:rFonts w:hint="eastAsia" w:ascii="仿宋" w:hAnsi="仿宋" w:eastAsia="仿宋" w:cs="仿宋"/>
                <w:color w:val="auto"/>
                <w:szCs w:val="21"/>
                <w:highlight w:val="none"/>
                <w:lang w:eastAsia="zh-CN"/>
              </w:rPr>
              <w:t>。</w:t>
            </w:r>
          </w:p>
        </w:tc>
      </w:tr>
      <w:tr w14:paraId="5284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B51D8F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100F20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4E72F0E">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联合体投标人</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C13350E">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不允许。</w:t>
            </w:r>
          </w:p>
        </w:tc>
      </w:tr>
      <w:tr w14:paraId="1D15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6A80D5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0DC75C0">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077EDD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不存在禁止投标的情形</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9FC3E5F">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不存在第二章“投标人须知”第1.4.3项规定的任何一种情形</w:t>
            </w:r>
            <w:r>
              <w:rPr>
                <w:rFonts w:hint="eastAsia" w:ascii="仿宋" w:hAnsi="仿宋" w:eastAsia="仿宋" w:cs="仿宋"/>
                <w:color w:val="auto"/>
                <w:kern w:val="0"/>
                <w:szCs w:val="21"/>
                <w:highlight w:val="none"/>
                <w:lang w:eastAsia="zh-CN"/>
              </w:rPr>
              <w:t>。</w:t>
            </w:r>
          </w:p>
        </w:tc>
      </w:tr>
      <w:tr w14:paraId="099E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DA67928">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85B93AC">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DFCBAC">
            <w:pPr>
              <w:keepNext w:val="0"/>
              <w:keepLines w:val="0"/>
              <w:suppressLineNumbers w:val="0"/>
              <w:spacing w:before="40" w:beforeAutospacing="0" w:after="4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szCs w:val="21"/>
                <w:highlight w:val="none"/>
                <w:u w:val="single"/>
              </w:rPr>
              <w:t>投标人声明签字</w:t>
            </w:r>
          </w:p>
        </w:tc>
        <w:tc>
          <w:tcPr>
            <w:tcW w:w="551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F54F75">
            <w:pPr>
              <w:keepNext w:val="0"/>
              <w:keepLines w:val="0"/>
              <w:suppressLineNumbers w:val="0"/>
              <w:wordWrap w:val="0"/>
              <w:autoSpaceDE w:val="0"/>
              <w:autoSpaceDN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szCs w:val="21"/>
                <w:highlight w:val="none"/>
                <w:u w:val="single"/>
              </w:rPr>
              <w:t>总监理工程师</w:t>
            </w:r>
            <w:r>
              <w:rPr>
                <w:rFonts w:hint="eastAsia" w:ascii="仿宋" w:hAnsi="仿宋" w:eastAsia="仿宋" w:cs="仿宋"/>
                <w:color w:val="auto"/>
                <w:szCs w:val="21"/>
                <w:highlight w:val="none"/>
                <w:u w:val="single"/>
                <w:lang w:eastAsia="zh-CN"/>
              </w:rPr>
              <w:t>、</w:t>
            </w:r>
            <w:r>
              <w:rPr>
                <w:rFonts w:hint="eastAsia" w:ascii="仿宋" w:hAnsi="仿宋" w:eastAsia="仿宋" w:cs="仿宋"/>
                <w:color w:val="auto"/>
                <w:szCs w:val="21"/>
                <w:highlight w:val="none"/>
                <w:u w:val="single"/>
                <w:lang w:val="en-US" w:eastAsia="zh-CN"/>
              </w:rPr>
              <w:t>技术负责人</w:t>
            </w:r>
            <w:r>
              <w:rPr>
                <w:rFonts w:hint="eastAsia" w:ascii="仿宋" w:hAnsi="仿宋" w:eastAsia="仿宋" w:cs="仿宋"/>
                <w:color w:val="auto"/>
                <w:szCs w:val="21"/>
                <w:highlight w:val="none"/>
                <w:u w:val="single"/>
              </w:rPr>
              <w:t>按《投标人声明》格式要求签字。</w:t>
            </w:r>
          </w:p>
        </w:tc>
      </w:tr>
      <w:tr w14:paraId="67CB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84C4F3B">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32C360F">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EEE29C">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u w:val="single"/>
              </w:rPr>
            </w:pPr>
            <w:r>
              <w:rPr>
                <w:rFonts w:hint="eastAsia" w:ascii="仿宋" w:hAnsi="仿宋" w:eastAsia="仿宋" w:cs="仿宋"/>
                <w:color w:val="auto"/>
                <w:szCs w:val="21"/>
                <w:highlight w:val="none"/>
                <w:u w:val="single"/>
              </w:rPr>
              <w:t>未被列入拖欠农民工工资失信联合惩戒对象名单</w:t>
            </w:r>
          </w:p>
        </w:tc>
        <w:tc>
          <w:tcPr>
            <w:tcW w:w="551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33A65C">
            <w:pPr>
              <w:keepNext w:val="0"/>
              <w:keepLines w:val="0"/>
              <w:suppressLineNumbers w:val="0"/>
              <w:spacing w:before="0" w:beforeAutospacing="0" w:after="0" w:afterAutospacing="0"/>
              <w:ind w:left="0" w:right="0"/>
              <w:rPr>
                <w:rFonts w:hint="eastAsia" w:ascii="仿宋" w:hAnsi="仿宋" w:eastAsia="仿宋" w:cs="仿宋"/>
                <w:color w:val="auto"/>
                <w:highlight w:val="none"/>
                <w:u w:val="single"/>
              </w:rPr>
            </w:pPr>
            <w:r>
              <w:rPr>
                <w:rFonts w:hint="eastAsia" w:ascii="仿宋" w:hAnsi="仿宋" w:eastAsia="仿宋" w:cs="仿宋"/>
                <w:color w:val="auto"/>
                <w:szCs w:val="21"/>
                <w:highlight w:val="none"/>
                <w:u w:val="single"/>
              </w:rPr>
              <w:t>投标人无需提供资料，按投标截止时间广州交易集团有限公司(广州公共资源交易中心)交易系统比对的结果进行评审。</w:t>
            </w:r>
          </w:p>
        </w:tc>
      </w:tr>
      <w:tr w14:paraId="2008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3A0D5AE">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2.1.3</w:t>
            </w:r>
          </w:p>
        </w:tc>
        <w:tc>
          <w:tcPr>
            <w:tcW w:w="115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3F0061D">
            <w:pPr>
              <w:keepNext w:val="0"/>
              <w:keepLines w:val="0"/>
              <w:widowControl/>
              <w:suppressLineNumbers w:val="0"/>
              <w:spacing w:before="0" w:beforeAutospacing="1" w:after="0" w:afterAutospacing="1"/>
              <w:ind w:left="0" w:right="0"/>
              <w:jc w:val="center"/>
              <w:rPr>
                <w:rFonts w:hint="eastAsia" w:ascii="仿宋" w:hAnsi="仿宋" w:eastAsia="仿宋" w:cs="仿宋"/>
                <w:strike/>
                <w:color w:val="auto"/>
                <w:kern w:val="0"/>
                <w:szCs w:val="21"/>
                <w:highlight w:val="none"/>
              </w:rPr>
            </w:pPr>
            <w:r>
              <w:rPr>
                <w:rFonts w:hint="eastAsia" w:ascii="仿宋" w:hAnsi="仿宋" w:eastAsia="仿宋" w:cs="仿宋"/>
                <w:color w:val="auto"/>
                <w:kern w:val="0"/>
                <w:szCs w:val="21"/>
                <w:highlight w:val="none"/>
              </w:rPr>
              <w:t>响应性评审标准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FB9685B">
            <w:pPr>
              <w:keepNext w:val="0"/>
              <w:keepLines w:val="0"/>
              <w:widowControl/>
              <w:suppressLineNumbers w:val="0"/>
              <w:spacing w:before="0" w:beforeAutospacing="1" w:after="0" w:afterAutospacing="1"/>
              <w:ind w:left="0" w:right="0"/>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投标报价</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D476BB8">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符合第二章“投标人须知”第3.2款规定，对同一招标项目没有出现：两个或以上的投标报价且修正无依据。</w:t>
            </w:r>
          </w:p>
        </w:tc>
      </w:tr>
      <w:tr w14:paraId="2D62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B24294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8D026FD">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C8430F3">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投标内容</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A88E0C2">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符合第二章“投标人须知”第1.3.1项规定，投标文件按规定的格式填写，内容齐全或关键字迹清晰、容易辩认。</w:t>
            </w:r>
          </w:p>
        </w:tc>
      </w:tr>
      <w:tr w14:paraId="420B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F67E105">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4E5C1E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D77D452">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监理服务期限</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6C539D9">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符合第二章“投标人须知”第1.3.2项规定。</w:t>
            </w:r>
          </w:p>
        </w:tc>
      </w:tr>
      <w:tr w14:paraId="6063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36C48BB">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85C194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91B7A7F">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质量标准</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C17B876">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符合第二章“投标人须知”第1.3.3项规定。</w:t>
            </w:r>
          </w:p>
        </w:tc>
      </w:tr>
      <w:tr w14:paraId="64C8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40E6D04">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2C52C84">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0D341203">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412FCE31">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符合第二章“投标人须知”第3.3.1项规定。</w:t>
            </w:r>
          </w:p>
        </w:tc>
      </w:tr>
      <w:tr w14:paraId="3910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3D53544">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F65C14A">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30606CBA">
            <w:pPr>
              <w:keepNext w:val="0"/>
              <w:keepLines w:val="0"/>
              <w:widowControl/>
              <w:suppressLineNumbers w:val="0"/>
              <w:spacing w:before="0" w:beforeAutospacing="1" w:after="0" w:afterAutospacing="1"/>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串通投标情形</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14:paraId="7DF3CED1">
            <w:pPr>
              <w:keepNext w:val="0"/>
              <w:keepLines w:val="0"/>
              <w:widowControl/>
              <w:suppressLineNumbers w:val="0"/>
              <w:spacing w:before="0" w:beforeAutospacing="1" w:after="0" w:afterAutospacing="1"/>
              <w:ind w:left="0" w:right="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不存在串通投标情形（串通投标情形以《广东省实施&lt;中华人民共和国招标投标法&gt;</w:t>
            </w:r>
            <w:r>
              <w:rPr>
                <w:rFonts w:hint="eastAsia" w:ascii="仿宋" w:hAnsi="仿宋" w:eastAsia="仿宋" w:cs="仿宋"/>
                <w:color w:val="auto"/>
                <w:kern w:val="0"/>
                <w:szCs w:val="21"/>
                <w:highlight w:val="none"/>
                <w:lang w:val="en-US" w:eastAsia="zh-CN"/>
              </w:rPr>
              <w:t>办法</w:t>
            </w:r>
            <w:r>
              <w:rPr>
                <w:rFonts w:hint="eastAsia" w:ascii="仿宋" w:hAnsi="仿宋" w:eastAsia="仿宋" w:cs="仿宋"/>
                <w:color w:val="auto"/>
                <w:kern w:val="0"/>
                <w:szCs w:val="21"/>
                <w:highlight w:val="none"/>
              </w:rPr>
              <w:t>》第十六条的规定为准）。</w:t>
            </w:r>
          </w:p>
        </w:tc>
      </w:tr>
      <w:tr w14:paraId="73C6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2811783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u w:val="single"/>
              </w:rPr>
            </w:pPr>
            <w:r>
              <w:rPr>
                <w:rFonts w:hint="eastAsia" w:ascii="仿宋" w:hAnsi="仿宋" w:eastAsia="仿宋" w:cs="仿宋"/>
                <w:color w:val="auto"/>
                <w:szCs w:val="21"/>
                <w:highlight w:val="none"/>
                <w:u w:val="single"/>
              </w:rPr>
              <w:t>4</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03E2CD1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定标</w:t>
            </w:r>
          </w:p>
        </w:tc>
        <w:tc>
          <w:tcPr>
            <w:tcW w:w="7283"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AA52604">
            <w:pPr>
              <w:keepNext w:val="0"/>
              <w:keepLines w:val="0"/>
              <w:suppressLineNumbers w:val="0"/>
              <w:spacing w:before="0" w:beforeAutospacing="0" w:after="0" w:afterAutospacing="0"/>
              <w:ind w:left="0" w:right="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1.定标委员会的组成</w:t>
            </w:r>
          </w:p>
          <w:p w14:paraId="480C8D29">
            <w:pPr>
              <w:keepNext w:val="0"/>
              <w:keepLines w:val="0"/>
              <w:suppressLineNumbers w:val="0"/>
              <w:spacing w:before="0" w:beforeAutospacing="0" w:after="0" w:afterAutospacing="0"/>
              <w:ind w:left="0" w:right="0"/>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（1）定标委员会</w:t>
            </w:r>
          </w:p>
          <w:p w14:paraId="7D08215B">
            <w:pPr>
              <w:keepNext w:val="0"/>
              <w:keepLines w:val="0"/>
              <w:suppressLineNumbers w:val="0"/>
              <w:spacing w:before="0" w:beforeAutospacing="0" w:after="0" w:afterAutospacing="0"/>
              <w:ind w:left="0" w:right="0"/>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定标委员会由招标人依法组建。</w:t>
            </w:r>
          </w:p>
          <w:p w14:paraId="34CB2628">
            <w:pPr>
              <w:keepNext w:val="0"/>
              <w:keepLines w:val="0"/>
              <w:suppressLineNumbers w:val="0"/>
              <w:spacing w:before="0" w:beforeAutospacing="0" w:after="0" w:afterAutospacing="0"/>
              <w:ind w:left="0" w:right="0"/>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（2）定标会召开的时间地点：</w:t>
            </w:r>
          </w:p>
          <w:p w14:paraId="7EA60EF7">
            <w:pPr>
              <w:keepNext w:val="0"/>
              <w:keepLines w:val="0"/>
              <w:suppressLineNumbers w:val="0"/>
              <w:spacing w:before="0" w:beforeAutospacing="0" w:after="0" w:afterAutospacing="0"/>
              <w:ind w:left="0" w:right="0"/>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定标会召开时间在合格的中标候选人公示完成后10个工作日内在广州交易集团有限公司（广州公共资源交易中心）举行，定标会全程在广州交易集团有限公司（广州公共资源交易中心）见证人员见证下进行。</w:t>
            </w:r>
          </w:p>
          <w:p w14:paraId="1C5F8438">
            <w:pPr>
              <w:keepNext w:val="0"/>
              <w:keepLines w:val="0"/>
              <w:suppressLineNumbers w:val="0"/>
              <w:spacing w:before="0" w:beforeAutospacing="0" w:after="0" w:afterAutospacing="0"/>
              <w:ind w:left="0" w:right="0"/>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2.定标原则</w:t>
            </w:r>
          </w:p>
          <w:p w14:paraId="6A3A77E2">
            <w:pPr>
              <w:keepNext w:val="0"/>
              <w:keepLines w:val="0"/>
              <w:suppressLineNumbers w:val="0"/>
              <w:spacing w:before="0" w:beforeAutospacing="0" w:after="0" w:afterAutospacing="0"/>
              <w:ind w:left="0" w:right="0"/>
              <w:rPr>
                <w:rFonts w:hint="eastAsia" w:ascii="仿宋" w:hAnsi="仿宋" w:eastAsia="仿宋" w:cs="仿宋"/>
                <w:b/>
                <w:color w:val="auto"/>
                <w:kern w:val="0"/>
                <w:szCs w:val="21"/>
                <w:highlight w:val="none"/>
              </w:rPr>
            </w:pPr>
            <w:r>
              <w:rPr>
                <w:rFonts w:hint="eastAsia" w:ascii="仿宋" w:hAnsi="仿宋" w:eastAsia="仿宋" w:cs="仿宋"/>
                <w:color w:val="auto"/>
                <w:highlight w:val="none"/>
                <w:u w:val="single"/>
              </w:rPr>
              <w:t>详见</w:t>
            </w:r>
            <w:r>
              <w:rPr>
                <w:rFonts w:hint="eastAsia" w:ascii="仿宋" w:hAnsi="仿宋" w:eastAsia="仿宋" w:cs="仿宋"/>
                <w:bCs/>
                <w:color w:val="auto"/>
                <w:szCs w:val="21"/>
                <w:highlight w:val="none"/>
                <w:u w:val="single"/>
              </w:rPr>
              <w:t>本章第4款。</w:t>
            </w:r>
          </w:p>
        </w:tc>
      </w:tr>
      <w:tr w14:paraId="7EE9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06F159D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5</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452F39F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定标表格</w:t>
            </w:r>
          </w:p>
        </w:tc>
        <w:tc>
          <w:tcPr>
            <w:tcW w:w="7283"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5607DB1">
            <w:pPr>
              <w:keepNext w:val="0"/>
              <w:keepLines w:val="0"/>
              <w:widowControl/>
              <w:suppressLineNumbers w:val="0"/>
              <w:spacing w:before="0" w:beforeAutospacing="0" w:after="0" w:afterAutospacing="0"/>
              <w:ind w:left="0" w:right="0"/>
              <w:jc w:val="left"/>
              <w:rPr>
                <w:rFonts w:hint="eastAsia" w:ascii="仿宋" w:hAnsi="仿宋" w:eastAsia="仿宋" w:cs="仿宋"/>
                <w:color w:val="auto"/>
                <w:szCs w:val="21"/>
                <w:highlight w:val="none"/>
              </w:rPr>
            </w:pPr>
            <w:r>
              <w:rPr>
                <w:rFonts w:hint="eastAsia" w:ascii="仿宋" w:hAnsi="仿宋" w:eastAsia="仿宋" w:cs="仿宋"/>
                <w:color w:val="auto"/>
                <w:highlight w:val="none"/>
                <w:u w:val="single"/>
              </w:rPr>
              <w:t>详见本章第5款附表</w:t>
            </w:r>
            <w:r>
              <w:rPr>
                <w:rFonts w:hint="eastAsia" w:ascii="仿宋" w:hAnsi="仿宋" w:eastAsia="仿宋" w:cs="仿宋"/>
                <w:color w:val="auto"/>
                <w:szCs w:val="21"/>
                <w:highlight w:val="none"/>
              </w:rPr>
              <w:t>。</w:t>
            </w:r>
          </w:p>
        </w:tc>
      </w:tr>
    </w:tbl>
    <w:p w14:paraId="5CE28FB3">
      <w:pPr>
        <w:rPr>
          <w:rFonts w:hint="eastAsia" w:ascii="仿宋" w:hAnsi="仿宋" w:eastAsia="仿宋" w:cs="仿宋"/>
          <w:color w:val="auto"/>
        </w:rPr>
      </w:pPr>
    </w:p>
    <w:p w14:paraId="478BEDD4">
      <w:pPr>
        <w:outlineLvl w:val="9"/>
        <w:rPr>
          <w:rFonts w:hint="eastAsia" w:ascii="仿宋" w:hAnsi="仿宋" w:eastAsia="仿宋" w:cs="仿宋"/>
          <w:color w:val="auto"/>
        </w:rPr>
      </w:pPr>
    </w:p>
    <w:p w14:paraId="6AB1851B">
      <w:pPr>
        <w:rPr>
          <w:rFonts w:hint="eastAsia" w:ascii="仿宋" w:hAnsi="仿宋" w:eastAsia="仿宋" w:cs="仿宋"/>
          <w:color w:val="auto"/>
        </w:rPr>
      </w:pPr>
    </w:p>
    <w:p w14:paraId="188B2BCF">
      <w:pPr>
        <w:outlineLvl w:val="9"/>
        <w:rPr>
          <w:rFonts w:hint="eastAsia" w:ascii="仿宋" w:hAnsi="仿宋" w:eastAsia="仿宋" w:cs="仿宋"/>
          <w:color w:val="auto"/>
        </w:rPr>
      </w:pPr>
    </w:p>
    <w:p w14:paraId="48B6F0E5">
      <w:pPr>
        <w:outlineLvl w:val="9"/>
        <w:rPr>
          <w:rFonts w:hint="eastAsia" w:ascii="仿宋" w:hAnsi="仿宋" w:eastAsia="仿宋" w:cs="仿宋"/>
          <w:color w:val="auto"/>
        </w:rPr>
      </w:pPr>
    </w:p>
    <w:p w14:paraId="6B46A49B">
      <w:pPr>
        <w:rPr>
          <w:rFonts w:hint="eastAsia" w:ascii="仿宋" w:hAnsi="仿宋" w:eastAsia="仿宋" w:cs="仿宋"/>
          <w:color w:val="auto"/>
        </w:rPr>
      </w:pPr>
    </w:p>
    <w:p w14:paraId="29FF3474">
      <w:pPr>
        <w:outlineLvl w:val="9"/>
        <w:rPr>
          <w:rFonts w:hint="eastAsia" w:ascii="仿宋" w:hAnsi="仿宋" w:eastAsia="仿宋" w:cs="仿宋"/>
          <w:color w:val="auto"/>
        </w:rPr>
      </w:pPr>
    </w:p>
    <w:p w14:paraId="24F2A3A0">
      <w:pPr>
        <w:pStyle w:val="2"/>
        <w:rPr>
          <w:rFonts w:hint="eastAsia"/>
          <w:color w:val="auto"/>
        </w:rPr>
      </w:pPr>
    </w:p>
    <w:p w14:paraId="189578EC">
      <w:pPr>
        <w:spacing w:before="120" w:beforeLines="50" w:after="120" w:afterLines="50" w:line="360" w:lineRule="exact"/>
        <w:outlineLvl w:val="9"/>
        <w:rPr>
          <w:rFonts w:hint="eastAsia" w:ascii="仿宋" w:hAnsi="仿宋" w:eastAsia="仿宋" w:cs="仿宋"/>
          <w:b/>
          <w:color w:val="auto"/>
          <w:sz w:val="32"/>
          <w:highlight w:val="none"/>
        </w:rPr>
      </w:pPr>
      <w:bookmarkStart w:id="431" w:name="_Toc12292"/>
    </w:p>
    <w:p w14:paraId="226F81CF">
      <w:pPr>
        <w:spacing w:before="120" w:beforeLines="50" w:after="120" w:afterLines="50" w:line="360" w:lineRule="exact"/>
        <w:outlineLvl w:val="9"/>
        <w:rPr>
          <w:rFonts w:hint="eastAsia" w:ascii="仿宋" w:hAnsi="仿宋" w:eastAsia="仿宋" w:cs="仿宋"/>
          <w:b/>
          <w:color w:val="auto"/>
          <w:sz w:val="32"/>
          <w:highlight w:val="none"/>
        </w:rPr>
      </w:pPr>
    </w:p>
    <w:p w14:paraId="1CC54350">
      <w:pPr>
        <w:spacing w:before="120" w:beforeLines="50" w:after="120" w:afterLines="50" w:line="360" w:lineRule="exact"/>
        <w:outlineLvl w:val="2"/>
        <w:rPr>
          <w:rFonts w:hint="eastAsia" w:ascii="仿宋" w:hAnsi="仿宋" w:eastAsia="仿宋" w:cs="仿宋"/>
          <w:b/>
          <w:color w:val="auto"/>
          <w:sz w:val="32"/>
          <w:highlight w:val="none"/>
        </w:rPr>
      </w:pPr>
      <w:bookmarkStart w:id="432" w:name="_Toc24701"/>
      <w:r>
        <w:rPr>
          <w:rFonts w:hint="eastAsia" w:ascii="仿宋" w:hAnsi="仿宋" w:eastAsia="仿宋" w:cs="仿宋"/>
          <w:b/>
          <w:color w:val="auto"/>
          <w:sz w:val="32"/>
          <w:highlight w:val="none"/>
        </w:rPr>
        <w:t>1. 评标方法</w:t>
      </w:r>
      <w:bookmarkEnd w:id="431"/>
      <w:bookmarkEnd w:id="432"/>
    </w:p>
    <w:p w14:paraId="078FAEDB">
      <w:pPr>
        <w:spacing w:line="440" w:lineRule="exact"/>
        <w:ind w:firstLine="420" w:firstLineChars="200"/>
        <w:rPr>
          <w:rFonts w:hint="eastAsia" w:ascii="仿宋" w:hAnsi="仿宋" w:eastAsia="仿宋" w:cs="仿宋"/>
          <w:strike/>
          <w:color w:val="auto"/>
          <w:highlight w:val="none"/>
        </w:rPr>
      </w:pPr>
      <w:r>
        <w:rPr>
          <w:rFonts w:hint="eastAsia" w:ascii="仿宋" w:hAnsi="仿宋" w:eastAsia="仿宋" w:cs="仿宋"/>
          <w:color w:val="auto"/>
          <w:highlight w:val="none"/>
          <w:u w:val="single"/>
        </w:rPr>
        <w:t>本项目采用评定分离定标办法，其中：评标采用“通过制”评标办法，</w:t>
      </w:r>
      <w:r>
        <w:rPr>
          <w:rFonts w:hint="eastAsia" w:ascii="仿宋" w:hAnsi="仿宋" w:eastAsia="仿宋" w:cs="仿宋"/>
          <w:color w:val="auto"/>
          <w:szCs w:val="21"/>
          <w:highlight w:val="none"/>
          <w:u w:val="single"/>
        </w:rPr>
        <w:t>所有通过初步评审</w:t>
      </w:r>
      <w:r>
        <w:rPr>
          <w:rFonts w:hint="eastAsia" w:ascii="仿宋" w:hAnsi="仿宋" w:eastAsia="仿宋" w:cs="仿宋"/>
          <w:color w:val="auto"/>
          <w:highlight w:val="none"/>
          <w:u w:val="single"/>
        </w:rPr>
        <w:t>（形式评审、资格评审、响应性评审）的</w:t>
      </w:r>
      <w:r>
        <w:rPr>
          <w:rFonts w:hint="eastAsia" w:ascii="仿宋" w:hAnsi="仿宋" w:eastAsia="仿宋" w:cs="仿宋"/>
          <w:color w:val="auto"/>
          <w:szCs w:val="21"/>
          <w:highlight w:val="none"/>
          <w:u w:val="single"/>
        </w:rPr>
        <w:t>投标人全部被推荐为合格的中标候选人，进入定标阶段</w:t>
      </w:r>
      <w:r>
        <w:rPr>
          <w:rFonts w:hint="eastAsia" w:ascii="仿宋" w:hAnsi="仿宋" w:eastAsia="仿宋" w:cs="仿宋"/>
          <w:color w:val="auto"/>
          <w:highlight w:val="none"/>
          <w:u w:val="single"/>
        </w:rPr>
        <w:t>【不排序，按其统一社会信用代码后4位（除校验码外）大小进行排位】</w:t>
      </w:r>
      <w:r>
        <w:rPr>
          <w:rFonts w:hint="eastAsia" w:ascii="仿宋" w:hAnsi="仿宋" w:eastAsia="仿宋" w:cs="仿宋"/>
          <w:color w:val="auto"/>
          <w:szCs w:val="21"/>
          <w:highlight w:val="none"/>
          <w:u w:val="single"/>
        </w:rPr>
        <w:t>。</w:t>
      </w:r>
    </w:p>
    <w:p w14:paraId="08EB367B">
      <w:pPr>
        <w:ind w:firstLine="420" w:firstLineChars="200"/>
        <w:rPr>
          <w:rFonts w:hint="eastAsia" w:ascii="仿宋" w:hAnsi="仿宋" w:eastAsia="仿宋" w:cs="仿宋"/>
          <w:strike/>
          <w:color w:val="auto"/>
          <w:highlight w:val="none"/>
        </w:rPr>
      </w:pPr>
    </w:p>
    <w:p w14:paraId="320947F5">
      <w:pPr>
        <w:spacing w:before="120" w:beforeLines="50" w:line="360" w:lineRule="exact"/>
        <w:outlineLvl w:val="2"/>
        <w:rPr>
          <w:rFonts w:hint="eastAsia" w:ascii="仿宋" w:hAnsi="仿宋" w:eastAsia="仿宋" w:cs="仿宋"/>
          <w:b/>
          <w:color w:val="auto"/>
          <w:sz w:val="32"/>
          <w:highlight w:val="none"/>
        </w:rPr>
      </w:pPr>
      <w:bookmarkStart w:id="433" w:name="_Toc515205257"/>
      <w:bookmarkStart w:id="434" w:name="_Toc5625"/>
      <w:bookmarkStart w:id="435" w:name="_Toc17356"/>
      <w:bookmarkStart w:id="436" w:name="_Toc529196584"/>
      <w:r>
        <w:rPr>
          <w:rFonts w:hint="eastAsia" w:ascii="仿宋" w:hAnsi="仿宋" w:eastAsia="仿宋" w:cs="仿宋"/>
          <w:b/>
          <w:color w:val="auto"/>
          <w:sz w:val="32"/>
          <w:highlight w:val="none"/>
        </w:rPr>
        <w:t>2. 评审标准</w:t>
      </w:r>
      <w:bookmarkEnd w:id="433"/>
      <w:bookmarkEnd w:id="434"/>
      <w:bookmarkEnd w:id="435"/>
      <w:bookmarkEnd w:id="436"/>
    </w:p>
    <w:p w14:paraId="698D8245">
      <w:pPr>
        <w:spacing w:before="240" w:beforeLines="100" w:after="240" w:afterLines="100" w:line="360" w:lineRule="exact"/>
        <w:rPr>
          <w:rFonts w:hint="eastAsia" w:ascii="仿宋" w:hAnsi="仿宋" w:eastAsia="仿宋" w:cs="仿宋"/>
          <w:b/>
          <w:color w:val="auto"/>
          <w:sz w:val="28"/>
          <w:highlight w:val="none"/>
        </w:rPr>
      </w:pPr>
      <w:bookmarkStart w:id="437" w:name="_Toc515205258"/>
      <w:bookmarkStart w:id="438" w:name="_Toc529196585"/>
      <w:r>
        <w:rPr>
          <w:rFonts w:hint="eastAsia" w:ascii="仿宋" w:hAnsi="仿宋" w:eastAsia="仿宋" w:cs="仿宋"/>
          <w:b/>
          <w:color w:val="auto"/>
          <w:sz w:val="28"/>
          <w:highlight w:val="none"/>
        </w:rPr>
        <w:t>2.1 初步评审标准</w:t>
      </w:r>
      <w:bookmarkEnd w:id="437"/>
      <w:bookmarkEnd w:id="438"/>
    </w:p>
    <w:p w14:paraId="6BDC8477">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2.1.1 形式评审标准：见评标办法前附表。</w:t>
      </w:r>
    </w:p>
    <w:p w14:paraId="79760F95">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2.1.2 资格评审标准：见评标办法前附表。</w:t>
      </w:r>
    </w:p>
    <w:p w14:paraId="401F5B5B">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2.1.3 响应性评审标准：见评标办法前附表。</w:t>
      </w:r>
    </w:p>
    <w:p w14:paraId="76342C78">
      <w:pPr>
        <w:spacing w:before="240" w:beforeLines="100" w:after="240" w:afterLines="100" w:line="360" w:lineRule="exact"/>
        <w:rPr>
          <w:rFonts w:hint="eastAsia" w:ascii="仿宋" w:hAnsi="仿宋" w:eastAsia="仿宋" w:cs="仿宋"/>
          <w:b/>
          <w:strike/>
          <w:color w:val="auto"/>
          <w:sz w:val="28"/>
          <w:highlight w:val="none"/>
        </w:rPr>
      </w:pPr>
      <w:bookmarkStart w:id="439" w:name="_Toc529196586"/>
      <w:bookmarkStart w:id="440" w:name="_Toc515205259"/>
      <w:r>
        <w:rPr>
          <w:rFonts w:hint="eastAsia" w:ascii="仿宋" w:hAnsi="仿宋" w:eastAsia="仿宋" w:cs="仿宋"/>
          <w:b/>
          <w:strike/>
          <w:color w:val="auto"/>
          <w:sz w:val="28"/>
          <w:highlight w:val="none"/>
        </w:rPr>
        <w:t>2.2 分值构成与评分标准</w:t>
      </w:r>
      <w:bookmarkEnd w:id="439"/>
      <w:bookmarkEnd w:id="440"/>
    </w:p>
    <w:p w14:paraId="68DFD5C1">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2.2.1 分值构成：</w:t>
      </w:r>
    </w:p>
    <w:p w14:paraId="3B308818">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（1）资信业绩部分：见评标办法前附表；</w:t>
      </w:r>
    </w:p>
    <w:p w14:paraId="7B4A5950">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（2）监理大纲部分：见评标办法前附表；</w:t>
      </w:r>
    </w:p>
    <w:p w14:paraId="4F62B949">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（3）投标报价：见评标办法前附表；</w:t>
      </w:r>
    </w:p>
    <w:p w14:paraId="43BAAF5F">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（4）其他评分因素：见评标办法前附表。</w:t>
      </w:r>
    </w:p>
    <w:p w14:paraId="14650A69">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2.2.2 评标基准价计算</w:t>
      </w:r>
    </w:p>
    <w:p w14:paraId="1D5F34FE">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评标基准价计算方法：见评标办法前附表。</w:t>
      </w:r>
    </w:p>
    <w:p w14:paraId="689ECCD3">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2.2.3 投标报价的偏差率计算</w:t>
      </w:r>
    </w:p>
    <w:p w14:paraId="46B8940B">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投标报价的偏差率计算公式：见评标办法前附表。</w:t>
      </w:r>
    </w:p>
    <w:p w14:paraId="666F9F6F">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2.2.4 评分标准</w:t>
      </w:r>
    </w:p>
    <w:p w14:paraId="2A97EF50">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（1）资信业绩评分标准：见评标办法前附表；</w:t>
      </w:r>
    </w:p>
    <w:p w14:paraId="077F1DFE">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（2）监理大纲评分标准：见评标办法前附表；</w:t>
      </w:r>
    </w:p>
    <w:p w14:paraId="1D4AF1FE">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（3）投标报价评分标准：见评标办法前附表；</w:t>
      </w:r>
    </w:p>
    <w:p w14:paraId="7210C079">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（4）其他因素评分标准：见评标办法前附表。</w:t>
      </w:r>
    </w:p>
    <w:p w14:paraId="429C6736">
      <w:pPr>
        <w:ind w:firstLine="420" w:firstLineChars="200"/>
        <w:rPr>
          <w:rFonts w:hint="eastAsia" w:ascii="仿宋" w:hAnsi="仿宋" w:eastAsia="仿宋" w:cs="仿宋"/>
          <w:color w:val="auto"/>
          <w:highlight w:val="none"/>
        </w:rPr>
      </w:pPr>
    </w:p>
    <w:p w14:paraId="1F13A7FB">
      <w:pPr>
        <w:spacing w:before="120" w:beforeLines="50" w:line="360" w:lineRule="exact"/>
        <w:outlineLvl w:val="2"/>
        <w:rPr>
          <w:rFonts w:hint="eastAsia" w:ascii="仿宋" w:hAnsi="仿宋" w:eastAsia="仿宋" w:cs="仿宋"/>
          <w:b/>
          <w:color w:val="auto"/>
          <w:sz w:val="32"/>
          <w:highlight w:val="none"/>
        </w:rPr>
      </w:pPr>
      <w:bookmarkStart w:id="441" w:name="_Toc14465"/>
      <w:bookmarkStart w:id="442" w:name="_Toc515205260"/>
      <w:bookmarkStart w:id="443" w:name="_Toc529196587"/>
      <w:bookmarkStart w:id="444" w:name="_Toc23390"/>
      <w:r>
        <w:rPr>
          <w:rFonts w:hint="eastAsia" w:ascii="仿宋" w:hAnsi="仿宋" w:eastAsia="仿宋" w:cs="仿宋"/>
          <w:b/>
          <w:color w:val="auto"/>
          <w:sz w:val="32"/>
          <w:highlight w:val="none"/>
        </w:rPr>
        <w:t>3. 评标程序</w:t>
      </w:r>
      <w:bookmarkEnd w:id="441"/>
      <w:bookmarkEnd w:id="442"/>
      <w:bookmarkEnd w:id="443"/>
      <w:bookmarkEnd w:id="444"/>
    </w:p>
    <w:p w14:paraId="71C8C293">
      <w:pPr>
        <w:spacing w:before="240" w:beforeLines="100" w:after="240" w:afterLines="100" w:line="360" w:lineRule="exact"/>
        <w:rPr>
          <w:rFonts w:hint="eastAsia" w:ascii="仿宋" w:hAnsi="仿宋" w:eastAsia="仿宋" w:cs="仿宋"/>
          <w:b/>
          <w:color w:val="auto"/>
          <w:sz w:val="28"/>
          <w:highlight w:val="none"/>
        </w:rPr>
      </w:pPr>
      <w:bookmarkStart w:id="445" w:name="_Toc515205261"/>
      <w:bookmarkStart w:id="446" w:name="_Toc529196588"/>
      <w:r>
        <w:rPr>
          <w:rFonts w:hint="eastAsia" w:ascii="仿宋" w:hAnsi="仿宋" w:eastAsia="仿宋" w:cs="仿宋"/>
          <w:b/>
          <w:color w:val="auto"/>
          <w:sz w:val="28"/>
          <w:highlight w:val="none"/>
        </w:rPr>
        <w:t>3.1 初步评审</w:t>
      </w:r>
      <w:bookmarkEnd w:id="445"/>
      <w:bookmarkEnd w:id="446"/>
    </w:p>
    <w:p w14:paraId="3D46F86A">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67432B48">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3.1.2 投标人有以下情形之一的，评标委员会应当否决其投标：</w:t>
      </w:r>
    </w:p>
    <w:p w14:paraId="6A65BB83">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（1）投标文件没有对招标文件的实质性要求和条件作出响应，或者对招标文件的偏差超出招标文件规定的偏差范围或最高项数；</w:t>
      </w:r>
    </w:p>
    <w:p w14:paraId="4477BC1D">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（2）有串通投标、弄虚作假、行贿等违法行为。</w:t>
      </w:r>
    </w:p>
    <w:p w14:paraId="01025B3B">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14:paraId="6AFEE25B">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（1）投标文件中的大写金额与小写金额不一致的，以大写金额为准；</w:t>
      </w:r>
    </w:p>
    <w:p w14:paraId="618349F7">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（2）总价金额与单价金额不一致的，以单价金额为准，但单价金额小数点有明显错误的除外。</w:t>
      </w:r>
    </w:p>
    <w:p w14:paraId="68D9E7E2">
      <w:pPr>
        <w:spacing w:before="168" w:beforeLines="70" w:after="168" w:afterLines="70" w:line="360" w:lineRule="exact"/>
        <w:rPr>
          <w:rFonts w:hint="eastAsia" w:ascii="仿宋" w:hAnsi="仿宋" w:eastAsia="仿宋" w:cs="仿宋"/>
          <w:b/>
          <w:strike/>
          <w:color w:val="auto"/>
          <w:sz w:val="28"/>
          <w:highlight w:val="none"/>
        </w:rPr>
      </w:pPr>
      <w:bookmarkStart w:id="447" w:name="_Toc529196589"/>
      <w:bookmarkStart w:id="448" w:name="_Toc515205262"/>
      <w:r>
        <w:rPr>
          <w:rFonts w:hint="eastAsia" w:ascii="仿宋" w:hAnsi="仿宋" w:eastAsia="仿宋" w:cs="仿宋"/>
          <w:b/>
          <w:strike/>
          <w:color w:val="auto"/>
          <w:sz w:val="28"/>
          <w:highlight w:val="none"/>
        </w:rPr>
        <w:t>3.2 详细评审</w:t>
      </w:r>
      <w:bookmarkEnd w:id="447"/>
      <w:bookmarkEnd w:id="448"/>
    </w:p>
    <w:p w14:paraId="2B0A2415">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3.2.1 评标委员会按本章第2.2款规定的量化因素和分值进行打分，并计算出综合评估得分。</w:t>
      </w:r>
    </w:p>
    <w:p w14:paraId="5B408B4F">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（1）按本章第 2.2.4（1）目规定的评审因素和分值对资信业绩部分计算出得分 A；</w:t>
      </w:r>
    </w:p>
    <w:p w14:paraId="2A26F997">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（2）按本章第 2.2.4（2）目规定的评审因素和分值对监理大纲部分计算出得分 B；</w:t>
      </w:r>
    </w:p>
    <w:p w14:paraId="4E5EE6AA">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（3）按本章第 2.2.4（3）目规定的评审因素和分值对投标报价计算出得分 C；</w:t>
      </w:r>
    </w:p>
    <w:p w14:paraId="08C6D96D">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（4）按本章第 2.2.4（4）目规定的评审因素和分值对其他部分计算出得分 D。</w:t>
      </w:r>
    </w:p>
    <w:p w14:paraId="6F828E8C">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3.2.2 评分分值计算保留小数点后两位，小数点后第三位“四舍五入”。</w:t>
      </w:r>
    </w:p>
    <w:p w14:paraId="5E2825FA">
      <w:pPr>
        <w:spacing w:line="360" w:lineRule="exact"/>
        <w:ind w:firstLine="420" w:firstLineChars="200"/>
        <w:rPr>
          <w:rFonts w:hint="eastAsia" w:ascii="仿宋" w:hAnsi="仿宋" w:eastAsia="仿宋" w:cs="仿宋"/>
          <w:strike/>
          <w:color w:val="auto"/>
          <w:highlight w:val="none"/>
        </w:rPr>
      </w:pPr>
      <w:r>
        <w:rPr>
          <w:rFonts w:hint="eastAsia" w:ascii="仿宋" w:hAnsi="仿宋" w:eastAsia="仿宋" w:cs="仿宋"/>
          <w:strike/>
          <w:color w:val="auto"/>
          <w:highlight w:val="none"/>
        </w:rPr>
        <w:t>3.2.3 投标人得分=A+B+C+D</w:t>
      </w:r>
    </w:p>
    <w:p w14:paraId="0082BA62">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strike/>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2B4C511">
      <w:pPr>
        <w:spacing w:before="168" w:beforeLines="70" w:after="168" w:afterLines="70" w:line="360" w:lineRule="exact"/>
        <w:rPr>
          <w:rFonts w:hint="eastAsia" w:ascii="仿宋" w:hAnsi="仿宋" w:eastAsia="仿宋" w:cs="仿宋"/>
          <w:b/>
          <w:color w:val="auto"/>
          <w:sz w:val="28"/>
          <w:highlight w:val="none"/>
        </w:rPr>
      </w:pPr>
      <w:bookmarkStart w:id="449" w:name="_Toc515205263"/>
      <w:bookmarkStart w:id="450" w:name="_Toc529196590"/>
      <w:r>
        <w:rPr>
          <w:rFonts w:hint="eastAsia" w:ascii="仿宋" w:hAnsi="仿宋" w:eastAsia="仿宋" w:cs="仿宋"/>
          <w:b/>
          <w:color w:val="auto"/>
          <w:sz w:val="28"/>
          <w:highlight w:val="none"/>
        </w:rPr>
        <w:t>3.3 投标文件的澄清</w:t>
      </w:r>
      <w:bookmarkEnd w:id="449"/>
      <w:bookmarkEnd w:id="450"/>
    </w:p>
    <w:p w14:paraId="53EFBD4C">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A3B0754">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3.3.2 澄清、说明或补正不得超出投标文件的范围且不得改变投标文件的实质性内容，并构成投标文件的组成部分。</w:t>
      </w:r>
    </w:p>
    <w:p w14:paraId="47C65EFB">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3.3.3 评标委员会对投标人提交的澄清、说明或补正有疑问的，可以要求投标人进一步澄清、说明或补正，直至满足评标委员会的要求。</w:t>
      </w:r>
    </w:p>
    <w:p w14:paraId="14D02995">
      <w:pPr>
        <w:spacing w:before="168" w:beforeLines="70" w:after="168" w:afterLines="70" w:line="360" w:lineRule="exact"/>
        <w:rPr>
          <w:rFonts w:hint="eastAsia" w:ascii="仿宋" w:hAnsi="仿宋" w:eastAsia="仿宋" w:cs="仿宋"/>
          <w:b/>
          <w:color w:val="auto"/>
          <w:sz w:val="28"/>
          <w:highlight w:val="none"/>
        </w:rPr>
      </w:pPr>
      <w:bookmarkStart w:id="451" w:name="_Toc529196591"/>
      <w:bookmarkStart w:id="452" w:name="_Toc515205264"/>
      <w:r>
        <w:rPr>
          <w:rFonts w:hint="eastAsia" w:ascii="仿宋" w:hAnsi="仿宋" w:eastAsia="仿宋" w:cs="仿宋"/>
          <w:b/>
          <w:color w:val="auto"/>
          <w:sz w:val="28"/>
          <w:highlight w:val="none"/>
        </w:rPr>
        <w:t>3.4 评标结果</w:t>
      </w:r>
      <w:bookmarkEnd w:id="451"/>
      <w:bookmarkEnd w:id="452"/>
    </w:p>
    <w:p w14:paraId="5DADEA20">
      <w:pPr>
        <w:spacing w:line="360" w:lineRule="exact"/>
        <w:ind w:firstLine="420" w:firstLineChars="200"/>
        <w:rPr>
          <w:rFonts w:hint="eastAsia" w:ascii="仿宋" w:hAnsi="仿宋" w:eastAsia="仿宋" w:cs="仿宋"/>
          <w:b/>
          <w:strike/>
          <w:color w:val="auto"/>
          <w:highlight w:val="none"/>
        </w:rPr>
      </w:pPr>
      <w:r>
        <w:rPr>
          <w:rFonts w:hint="eastAsia" w:ascii="仿宋" w:hAnsi="仿宋" w:eastAsia="仿宋" w:cs="仿宋"/>
          <w:color w:val="auto"/>
          <w:highlight w:val="none"/>
        </w:rPr>
        <w:t xml:space="preserve">3.4.1 </w:t>
      </w:r>
      <w:r>
        <w:rPr>
          <w:rFonts w:hint="eastAsia" w:ascii="仿宋" w:hAnsi="仿宋" w:eastAsia="仿宋" w:cs="仿宋"/>
          <w:color w:val="auto"/>
          <w:highlight w:val="none"/>
          <w:u w:val="single"/>
        </w:rPr>
        <w:t>评标委员会按照招标文件规定完成初步评审（形式评审、资格评审、响应性评审），向招标人推荐合格的中标候选人，进入定标阶段【不排序，按其统一社会信用代码后4位（除校验码外）大小进行排位】。合格的中标候选人少于3家的，应当重新招标。</w:t>
      </w:r>
    </w:p>
    <w:p w14:paraId="4882A063">
      <w:pPr>
        <w:spacing w:line="360" w:lineRule="exact"/>
        <w:ind w:firstLine="482"/>
        <w:rPr>
          <w:rFonts w:hint="eastAsia" w:ascii="仿宋" w:hAnsi="仿宋" w:eastAsia="仿宋" w:cs="仿宋"/>
          <w:b/>
          <w:color w:val="auto"/>
          <w:sz w:val="30"/>
          <w:szCs w:val="30"/>
          <w:highlight w:val="none"/>
        </w:rPr>
      </w:pPr>
      <w:r>
        <w:rPr>
          <w:rFonts w:hint="eastAsia" w:ascii="仿宋" w:hAnsi="仿宋" w:eastAsia="仿宋" w:cs="仿宋"/>
          <w:color w:val="auto"/>
          <w:highlight w:val="none"/>
        </w:rPr>
        <w:t xml:space="preserve">3.4.2 </w:t>
      </w:r>
      <w:r>
        <w:rPr>
          <w:rFonts w:hint="eastAsia" w:ascii="仿宋" w:hAnsi="仿宋" w:eastAsia="仿宋" w:cs="仿宋"/>
          <w:color w:val="auto"/>
          <w:szCs w:val="21"/>
          <w:highlight w:val="none"/>
          <w:u w:val="single"/>
        </w:rPr>
        <w:t>评标委员会完成评标后，应当向招标人提交书面评标报告和合格的中标候选人名单</w:t>
      </w:r>
      <w:r>
        <w:rPr>
          <w:rFonts w:hint="eastAsia" w:ascii="仿宋" w:hAnsi="仿宋" w:eastAsia="仿宋" w:cs="仿宋"/>
          <w:color w:val="auto"/>
          <w:highlight w:val="none"/>
        </w:rPr>
        <w:t>。</w:t>
      </w:r>
    </w:p>
    <w:p w14:paraId="6024B592">
      <w:pPr>
        <w:spacing w:before="168" w:beforeLines="70" w:after="168" w:afterLines="70" w:line="360" w:lineRule="exact"/>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4.定标原则</w:t>
      </w:r>
    </w:p>
    <w:p w14:paraId="56391828">
      <w:pPr>
        <w:spacing w:line="36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4.1本项目定标办法采用“记名投票+撰写评语”。定标委员会成员根据评标过程资料，对比合格的中标候选人的投标文件等情况，综合考虑各中标候选人的情况，根据定标因素（详见《定标因素表》）对各合格的中标候选人进行评审比较后，采用直接票决定标法“记名投票+撰写评语”方式确定中标人。</w:t>
      </w:r>
    </w:p>
    <w:p w14:paraId="21917572">
      <w:pPr>
        <w:spacing w:line="36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4.2定标细则</w:t>
      </w:r>
    </w:p>
    <w:p w14:paraId="083D1F83">
      <w:pPr>
        <w:spacing w:line="36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（1）定标委员会根据评标委员会递交的评标报告和定标因素（详见《定标因素表》），对各合格中标候选人的投标文件</w:t>
      </w:r>
      <w:r>
        <w:rPr>
          <w:rFonts w:hint="eastAsia" w:ascii="仿宋" w:hAnsi="仿宋" w:eastAsia="仿宋" w:cs="仿宋"/>
          <w:color w:val="auto"/>
          <w:highlight w:val="none"/>
          <w:u w:val="single"/>
        </w:rPr>
        <w:t>进行评审比较并撰写评语和记名投票，汇总确认选票情况，</w:t>
      </w:r>
      <w:r>
        <w:rPr>
          <w:rFonts w:hint="eastAsia" w:ascii="仿宋" w:hAnsi="仿宋" w:eastAsia="仿宋" w:cs="仿宋"/>
          <w:color w:val="auto"/>
          <w:szCs w:val="21"/>
          <w:highlight w:val="none"/>
          <w:u w:val="single"/>
        </w:rPr>
        <w:t>编写并提交定标报告。定标报告由定标委员会全体成员签字，对定标结论持有异议的成员应以书面方式阐述其不同意见和理由。</w:t>
      </w:r>
    </w:p>
    <w:p w14:paraId="7B73470F">
      <w:pPr>
        <w:spacing w:line="36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投票规则：由定标委员会进行评审比较并撰写评语和记名投票，进行一轮一次性票决并排序，每位定标委员会成员只有1票表决权（即只能对其中一家投标人投票），经票决，定标委员会向招标人推荐得票数最多的合格中标候选人为中标人，若出现票数相同且无法票决出中标人时，票数相同的再进行附加的一次性票决，直至票决出中标人。</w:t>
      </w:r>
    </w:p>
    <w:p w14:paraId="708336CA">
      <w:pPr>
        <w:spacing w:line="36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定标委员会向招标人提交书面定标报告后即解散，定标过程中使用的文件、表格以及其他资料不得私自带离。</w:t>
      </w:r>
    </w:p>
    <w:p w14:paraId="484183EA">
      <w:pPr>
        <w:spacing w:line="36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4.3定标后出现中标人不符合法定情形的，招标人可从其他合格的中标候选人中采用原定标办法，由原定标委员会确定中标人，也可以重新招标。</w:t>
      </w:r>
    </w:p>
    <w:p w14:paraId="0CDF5C86">
      <w:pPr>
        <w:spacing w:line="36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723BADB3">
      <w:pPr>
        <w:spacing w:line="36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投标人如在本项目中存在串通投标、弄虚作假、行贿情形且在评标过程中未被发现的，其投标不改变本项目评标结果。招标人按照《中华</w:t>
      </w:r>
      <w:r>
        <w:rPr>
          <w:rFonts w:hint="eastAsia" w:ascii="仿宋" w:hAnsi="仿宋" w:eastAsia="仿宋" w:cs="仿宋"/>
          <w:color w:val="auto"/>
          <w:szCs w:val="21"/>
          <w:highlight w:val="none"/>
          <w:u w:val="single"/>
          <w:lang w:eastAsia="zh-CN"/>
        </w:rPr>
        <w:t>、</w:t>
      </w:r>
      <w:r>
        <w:rPr>
          <w:rFonts w:hint="eastAsia" w:ascii="仿宋" w:hAnsi="仿宋" w:eastAsia="仿宋" w:cs="仿宋"/>
          <w:color w:val="auto"/>
          <w:szCs w:val="21"/>
          <w:highlight w:val="none"/>
          <w:u w:val="single"/>
        </w:rPr>
        <w:t>人民共和国招标投标法实施条例》第五十五条的规定确定中标人或重新招标。</w:t>
      </w:r>
    </w:p>
    <w:p w14:paraId="53927011">
      <w:pPr>
        <w:spacing w:before="120" w:beforeLines="50" w:line="360" w:lineRule="exact"/>
        <w:outlineLvl w:val="2"/>
        <w:rPr>
          <w:rFonts w:hint="eastAsia" w:ascii="仿宋" w:hAnsi="仿宋" w:eastAsia="仿宋" w:cs="仿宋"/>
          <w:b/>
          <w:color w:val="auto"/>
          <w:sz w:val="32"/>
          <w:highlight w:val="none"/>
          <w:u w:val="single"/>
        </w:rPr>
      </w:pPr>
    </w:p>
    <w:p w14:paraId="1F75562A">
      <w:pPr>
        <w:spacing w:before="120" w:beforeLines="50" w:line="360" w:lineRule="exact"/>
        <w:outlineLvl w:val="2"/>
        <w:rPr>
          <w:rFonts w:hint="eastAsia" w:ascii="仿宋" w:hAnsi="仿宋" w:eastAsia="仿宋" w:cs="仿宋"/>
          <w:b/>
          <w:color w:val="auto"/>
          <w:sz w:val="32"/>
          <w:highlight w:val="none"/>
          <w:u w:val="single"/>
        </w:rPr>
      </w:pPr>
      <w:bookmarkStart w:id="453" w:name="_Toc5675"/>
      <w:bookmarkStart w:id="454" w:name="_Toc3664"/>
      <w:r>
        <w:rPr>
          <w:rFonts w:hint="eastAsia" w:ascii="仿宋" w:hAnsi="仿宋" w:eastAsia="仿宋" w:cs="仿宋"/>
          <w:b/>
          <w:color w:val="auto"/>
          <w:sz w:val="32"/>
          <w:highlight w:val="none"/>
          <w:u w:val="single"/>
        </w:rPr>
        <w:t>5.定标表格</w:t>
      </w:r>
      <w:bookmarkEnd w:id="453"/>
      <w:bookmarkEnd w:id="454"/>
    </w:p>
    <w:p w14:paraId="68F41372">
      <w:pPr>
        <w:spacing w:before="120" w:beforeLines="50" w:line="360" w:lineRule="exact"/>
        <w:ind w:firstLine="420" w:firstLineChars="200"/>
        <w:outlineLvl w:val="2"/>
        <w:rPr>
          <w:rFonts w:hint="eastAsia" w:ascii="仿宋" w:hAnsi="仿宋" w:eastAsia="仿宋" w:cs="仿宋"/>
          <w:color w:val="auto"/>
          <w:szCs w:val="21"/>
          <w:highlight w:val="none"/>
          <w:u w:val="single"/>
        </w:rPr>
      </w:pPr>
      <w:bookmarkStart w:id="455" w:name="_Toc16759"/>
      <w:bookmarkStart w:id="456" w:name="_Toc29002"/>
      <w:r>
        <w:rPr>
          <w:rFonts w:hint="eastAsia" w:ascii="仿宋" w:hAnsi="仿宋" w:eastAsia="仿宋" w:cs="仿宋"/>
          <w:color w:val="auto"/>
          <w:szCs w:val="21"/>
          <w:highlight w:val="none"/>
          <w:u w:val="single"/>
        </w:rPr>
        <w:t>见后附表。</w:t>
      </w:r>
      <w:bookmarkEnd w:id="455"/>
      <w:bookmarkEnd w:id="456"/>
    </w:p>
    <w:p w14:paraId="20229246">
      <w:pPr>
        <w:rPr>
          <w:rFonts w:hint="eastAsia" w:ascii="仿宋" w:hAnsi="仿宋" w:eastAsia="仿宋" w:cs="仿宋"/>
          <w:color w:val="auto"/>
        </w:rPr>
      </w:pPr>
    </w:p>
    <w:p w14:paraId="01D6B8E8">
      <w:pPr>
        <w:shd w:val="clear" w:color="auto" w:fill="auto"/>
        <w:rPr>
          <w:rFonts w:hint="eastAsia" w:ascii="仿宋" w:hAnsi="仿宋" w:eastAsia="仿宋" w:cs="仿宋"/>
          <w:color w:val="auto"/>
          <w:highlight w:val="none"/>
        </w:rPr>
      </w:pPr>
      <w:r>
        <w:rPr>
          <w:rFonts w:hint="eastAsia" w:ascii="仿宋" w:hAnsi="仿宋" w:eastAsia="仿宋" w:cs="仿宋"/>
          <w:b/>
          <w:color w:val="auto"/>
          <w:szCs w:val="21"/>
          <w:highlight w:val="none"/>
        </w:rPr>
        <w:br w:type="page"/>
      </w:r>
      <w:bookmarkEnd w:id="430"/>
    </w:p>
    <w:p w14:paraId="2A737A44">
      <w:pPr>
        <w:shd w:val="clear" w:color="auto" w:fill="auto"/>
        <w:rPr>
          <w:rFonts w:hint="eastAsia" w:ascii="仿宋" w:hAnsi="仿宋" w:eastAsia="仿宋" w:cs="仿宋"/>
          <w:color w:val="auto"/>
          <w:highlight w:val="none"/>
        </w:rPr>
      </w:pPr>
    </w:p>
    <w:p w14:paraId="5404E247">
      <w:pPr>
        <w:spacing w:line="360" w:lineRule="exact"/>
        <w:jc w:val="center"/>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u w:val="single"/>
        </w:rPr>
        <w:t>定标因素表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19"/>
        <w:gridCol w:w="6561"/>
      </w:tblGrid>
      <w:tr w14:paraId="7D73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37C3ED47">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序号</w:t>
            </w:r>
          </w:p>
        </w:tc>
        <w:tc>
          <w:tcPr>
            <w:tcW w:w="1719" w:type="dxa"/>
            <w:tcBorders>
              <w:top w:val="single" w:color="auto" w:sz="4" w:space="0"/>
              <w:left w:val="nil"/>
              <w:bottom w:val="single" w:color="auto" w:sz="4" w:space="0"/>
              <w:right w:val="single" w:color="auto" w:sz="4" w:space="0"/>
            </w:tcBorders>
            <w:vAlign w:val="center"/>
          </w:tcPr>
          <w:p w14:paraId="46016B4F">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评审因素</w:t>
            </w:r>
          </w:p>
        </w:tc>
        <w:tc>
          <w:tcPr>
            <w:tcW w:w="6561" w:type="dxa"/>
            <w:tcBorders>
              <w:top w:val="single" w:color="auto" w:sz="4" w:space="0"/>
              <w:left w:val="nil"/>
              <w:bottom w:val="single" w:color="auto" w:sz="4" w:space="0"/>
              <w:right w:val="single" w:color="auto" w:sz="4" w:space="0"/>
            </w:tcBorders>
            <w:vAlign w:val="center"/>
          </w:tcPr>
          <w:p w14:paraId="16B815D3">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具体内容</w:t>
            </w:r>
          </w:p>
        </w:tc>
      </w:tr>
      <w:tr w14:paraId="62E8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C06441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1</w:t>
            </w:r>
          </w:p>
        </w:tc>
        <w:tc>
          <w:tcPr>
            <w:tcW w:w="1719" w:type="dxa"/>
            <w:tcBorders>
              <w:top w:val="single" w:color="auto" w:sz="4" w:space="0"/>
              <w:left w:val="nil"/>
              <w:bottom w:val="single" w:color="auto" w:sz="4" w:space="0"/>
              <w:right w:val="single" w:color="auto" w:sz="4" w:space="0"/>
            </w:tcBorders>
            <w:vAlign w:val="center"/>
          </w:tcPr>
          <w:p w14:paraId="256F3975">
            <w:pPr>
              <w:keepNext w:val="0"/>
              <w:keepLines w:val="0"/>
              <w:suppressLineNumbers w:val="0"/>
              <w:spacing w:before="0" w:beforeAutospacing="0" w:after="0" w:afterAutospacing="0" w:line="360" w:lineRule="exact"/>
              <w:ind w:left="0" w:right="0"/>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资信因素</w:t>
            </w:r>
          </w:p>
        </w:tc>
        <w:tc>
          <w:tcPr>
            <w:tcW w:w="6561" w:type="dxa"/>
            <w:tcBorders>
              <w:top w:val="single" w:color="auto" w:sz="4" w:space="0"/>
              <w:left w:val="nil"/>
              <w:bottom w:val="single" w:color="auto" w:sz="4" w:space="0"/>
              <w:right w:val="single" w:color="auto" w:sz="4" w:space="0"/>
            </w:tcBorders>
            <w:vAlign w:val="center"/>
          </w:tcPr>
          <w:p w14:paraId="70804940">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对合格的中标候选人企业综合能力及信誉、业绩、获奖情况进行评审。</w:t>
            </w:r>
          </w:p>
          <w:p w14:paraId="72B681D4">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（1）管理体系认证：具备有效期内的质量管理体系认证、环境管理体系认证、职业健康安全管理体系认证情况：</w:t>
            </w:r>
          </w:p>
          <w:p w14:paraId="3CFB17EB">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【优】同时具备上述</w:t>
            </w:r>
            <w:r>
              <w:rPr>
                <w:rFonts w:hint="eastAsia" w:ascii="仿宋" w:hAnsi="仿宋" w:eastAsia="仿宋" w:cs="仿宋"/>
                <w:color w:val="auto"/>
                <w:szCs w:val="21"/>
                <w:highlight w:val="none"/>
                <w:u w:val="single"/>
                <w:lang w:val="en-US" w:eastAsia="zh-CN" w:bidi="ar"/>
              </w:rPr>
              <w:t>3</w:t>
            </w:r>
            <w:r>
              <w:rPr>
                <w:rFonts w:hint="eastAsia" w:ascii="仿宋" w:hAnsi="仿宋" w:eastAsia="仿宋" w:cs="仿宋"/>
                <w:color w:val="auto"/>
                <w:szCs w:val="21"/>
                <w:highlight w:val="none"/>
                <w:u w:val="single"/>
                <w:lang w:bidi="ar"/>
              </w:rPr>
              <w:t>项的。</w:t>
            </w:r>
          </w:p>
          <w:p w14:paraId="1F48366D">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【中】具备上述其中</w:t>
            </w:r>
            <w:r>
              <w:rPr>
                <w:rFonts w:hint="eastAsia" w:ascii="仿宋" w:hAnsi="仿宋" w:eastAsia="仿宋" w:cs="仿宋"/>
                <w:color w:val="auto"/>
                <w:szCs w:val="21"/>
                <w:highlight w:val="none"/>
                <w:u w:val="single"/>
                <w:lang w:val="en-US" w:eastAsia="zh-CN" w:bidi="ar"/>
              </w:rPr>
              <w:t>2</w:t>
            </w:r>
            <w:r>
              <w:rPr>
                <w:rFonts w:hint="eastAsia" w:ascii="仿宋" w:hAnsi="仿宋" w:eastAsia="仿宋" w:cs="仿宋"/>
                <w:color w:val="auto"/>
                <w:szCs w:val="21"/>
                <w:highlight w:val="none"/>
                <w:u w:val="single"/>
                <w:lang w:bidi="ar"/>
              </w:rPr>
              <w:t>项的。</w:t>
            </w:r>
          </w:p>
          <w:p w14:paraId="5837B95C">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【差】具备上述其中</w:t>
            </w:r>
            <w:r>
              <w:rPr>
                <w:rFonts w:hint="eastAsia" w:ascii="仿宋" w:hAnsi="仿宋" w:eastAsia="仿宋" w:cs="仿宋"/>
                <w:color w:val="auto"/>
                <w:szCs w:val="21"/>
                <w:highlight w:val="none"/>
                <w:u w:val="single"/>
                <w:lang w:val="en-US" w:eastAsia="zh-CN" w:bidi="ar"/>
              </w:rPr>
              <w:t>1</w:t>
            </w:r>
            <w:r>
              <w:rPr>
                <w:rFonts w:hint="eastAsia" w:ascii="仿宋" w:hAnsi="仿宋" w:eastAsia="仿宋" w:cs="仿宋"/>
                <w:color w:val="auto"/>
                <w:szCs w:val="21"/>
                <w:highlight w:val="none"/>
                <w:u w:val="single"/>
                <w:lang w:bidi="ar"/>
              </w:rPr>
              <w:t>项</w:t>
            </w:r>
            <w:r>
              <w:rPr>
                <w:rFonts w:hint="eastAsia" w:ascii="仿宋" w:hAnsi="仿宋" w:eastAsia="仿宋" w:cs="仿宋"/>
                <w:color w:val="auto"/>
                <w:szCs w:val="21"/>
                <w:highlight w:val="none"/>
                <w:u w:val="single"/>
                <w:lang w:val="en-US" w:eastAsia="zh-CN" w:bidi="ar"/>
              </w:rPr>
              <w:t>的</w:t>
            </w:r>
            <w:r>
              <w:rPr>
                <w:rFonts w:hint="eastAsia" w:ascii="仿宋" w:hAnsi="仿宋" w:eastAsia="仿宋" w:cs="仿宋"/>
                <w:color w:val="auto"/>
                <w:szCs w:val="21"/>
                <w:highlight w:val="none"/>
                <w:u w:val="single"/>
                <w:lang w:bidi="ar"/>
              </w:rPr>
              <w:t>，或不具备的。</w:t>
            </w:r>
          </w:p>
          <w:p w14:paraId="3AF4790A">
            <w:pPr>
              <w:keepNext w:val="0"/>
              <w:keepLines w:val="0"/>
              <w:suppressLineNumbers w:val="0"/>
              <w:spacing w:before="0" w:beforeAutospacing="0" w:after="0" w:afterAutospacing="0" w:line="360" w:lineRule="exact"/>
              <w:ind w:left="0" w:right="0"/>
              <w:rPr>
                <w:rFonts w:hint="eastAsia" w:ascii="仿宋" w:hAnsi="仿宋" w:eastAsia="仿宋" w:cs="仿宋"/>
                <w:color w:val="auto"/>
                <w:kern w:val="0"/>
                <w:szCs w:val="21"/>
                <w:highlight w:val="none"/>
                <w:u w:val="single"/>
              </w:rPr>
            </w:pPr>
            <w:r>
              <w:rPr>
                <w:rFonts w:hint="eastAsia" w:ascii="仿宋" w:hAnsi="仿宋" w:eastAsia="仿宋" w:cs="仿宋"/>
                <w:color w:val="auto"/>
                <w:szCs w:val="21"/>
                <w:highlight w:val="none"/>
                <w:u w:val="single"/>
                <w:lang w:bidi="ar"/>
              </w:rPr>
              <w:t>注：需</w:t>
            </w:r>
            <w:r>
              <w:rPr>
                <w:rFonts w:hint="eastAsia" w:ascii="仿宋" w:hAnsi="仿宋" w:eastAsia="仿宋" w:cs="仿宋"/>
                <w:color w:val="auto"/>
                <w:kern w:val="0"/>
                <w:szCs w:val="21"/>
                <w:highlight w:val="none"/>
                <w:u w:val="single"/>
              </w:rPr>
              <w:t>同时提供</w:t>
            </w:r>
            <w:r>
              <w:rPr>
                <w:rFonts w:hint="eastAsia" w:ascii="仿宋" w:hAnsi="仿宋" w:eastAsia="仿宋" w:cs="仿宋"/>
                <w:color w:val="auto"/>
                <w:szCs w:val="21"/>
                <w:highlight w:val="none"/>
                <w:u w:val="single"/>
                <w:lang w:bidi="ar"/>
              </w:rPr>
              <w:t>①有效期内的</w:t>
            </w:r>
            <w:r>
              <w:rPr>
                <w:rFonts w:hint="eastAsia" w:ascii="仿宋" w:hAnsi="仿宋" w:eastAsia="仿宋" w:cs="仿宋"/>
                <w:color w:val="auto"/>
                <w:kern w:val="0"/>
                <w:szCs w:val="21"/>
                <w:highlight w:val="none"/>
                <w:u w:val="single"/>
              </w:rPr>
              <w:t>认证证书</w:t>
            </w:r>
            <w:r>
              <w:rPr>
                <w:rFonts w:hint="eastAsia" w:ascii="仿宋" w:hAnsi="仿宋" w:eastAsia="仿宋" w:cs="仿宋"/>
                <w:color w:val="auto"/>
                <w:szCs w:val="21"/>
                <w:highlight w:val="none"/>
                <w:u w:val="single"/>
                <w:lang w:bidi="ar"/>
              </w:rPr>
              <w:t>；②</w:t>
            </w:r>
            <w:r>
              <w:rPr>
                <w:rFonts w:hint="eastAsia" w:ascii="仿宋" w:hAnsi="仿宋" w:eastAsia="仿宋" w:cs="仿宋"/>
                <w:color w:val="auto"/>
                <w:kern w:val="0"/>
                <w:szCs w:val="21"/>
                <w:highlight w:val="none"/>
                <w:u w:val="single"/>
              </w:rPr>
              <w:t>全国认证认可信息公共服务平台（http://cx.cnca.cn/）查询结果网页截图。</w:t>
            </w:r>
          </w:p>
          <w:p w14:paraId="2E5862C2">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w:t>
            </w:r>
            <w:r>
              <w:rPr>
                <w:rFonts w:hint="eastAsia" w:ascii="仿宋" w:hAnsi="仿宋" w:eastAsia="仿宋" w:cs="仿宋"/>
                <w:color w:val="auto"/>
                <w:szCs w:val="21"/>
                <w:highlight w:val="none"/>
                <w:u w:val="single"/>
                <w:lang w:val="en-US" w:eastAsia="zh-CN" w:bidi="ar"/>
              </w:rPr>
              <w:t>2</w:t>
            </w:r>
            <w:r>
              <w:rPr>
                <w:rFonts w:hint="eastAsia" w:ascii="仿宋" w:hAnsi="仿宋" w:eastAsia="仿宋" w:cs="仿宋"/>
                <w:color w:val="auto"/>
                <w:szCs w:val="21"/>
                <w:highlight w:val="none"/>
                <w:u w:val="single"/>
                <w:lang w:bidi="ar"/>
              </w:rPr>
              <w:t>）类似项目业绩：202</w:t>
            </w:r>
            <w:r>
              <w:rPr>
                <w:rFonts w:hint="eastAsia" w:ascii="仿宋" w:hAnsi="仿宋" w:eastAsia="仿宋" w:cs="仿宋"/>
                <w:color w:val="auto"/>
                <w:szCs w:val="21"/>
                <w:highlight w:val="none"/>
                <w:u w:val="single"/>
                <w:lang w:val="en-US" w:eastAsia="zh-CN" w:bidi="ar"/>
              </w:rPr>
              <w:t>0</w:t>
            </w:r>
            <w:r>
              <w:rPr>
                <w:rFonts w:hint="eastAsia" w:ascii="仿宋" w:hAnsi="仿宋" w:eastAsia="仿宋" w:cs="仿宋"/>
                <w:color w:val="auto"/>
                <w:szCs w:val="21"/>
                <w:highlight w:val="none"/>
                <w:u w:val="single"/>
                <w:lang w:bidi="ar"/>
              </w:rPr>
              <w:t>年1月1日至今完成过质量合格的类似监理业绩情况：</w:t>
            </w:r>
          </w:p>
          <w:p w14:paraId="3572651C">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【优】完成</w:t>
            </w:r>
            <w:r>
              <w:rPr>
                <w:rFonts w:hint="eastAsia" w:ascii="仿宋" w:hAnsi="仿宋" w:eastAsia="仿宋" w:cs="仿宋"/>
                <w:color w:val="auto"/>
                <w:szCs w:val="21"/>
                <w:highlight w:val="none"/>
                <w:u w:val="single"/>
                <w:lang w:val="en-US" w:eastAsia="zh-CN" w:bidi="ar"/>
              </w:rPr>
              <w:t>5</w:t>
            </w:r>
            <w:r>
              <w:rPr>
                <w:rFonts w:hint="eastAsia" w:ascii="仿宋" w:hAnsi="仿宋" w:eastAsia="仿宋" w:cs="仿宋"/>
                <w:color w:val="auto"/>
                <w:szCs w:val="21"/>
                <w:highlight w:val="none"/>
                <w:u w:val="single"/>
                <w:lang w:bidi="ar"/>
              </w:rPr>
              <w:t>个</w:t>
            </w:r>
            <w:r>
              <w:rPr>
                <w:rFonts w:hint="eastAsia" w:ascii="仿宋" w:hAnsi="仿宋" w:eastAsia="仿宋" w:cs="仿宋"/>
                <w:color w:val="auto"/>
                <w:szCs w:val="21"/>
                <w:highlight w:val="none"/>
                <w:u w:val="single"/>
                <w:lang w:val="en-US" w:eastAsia="zh-CN" w:bidi="ar"/>
              </w:rPr>
              <w:t>或</w:t>
            </w:r>
            <w:r>
              <w:rPr>
                <w:rFonts w:hint="eastAsia" w:ascii="仿宋" w:hAnsi="仿宋" w:eastAsia="仿宋" w:cs="仿宋"/>
                <w:color w:val="auto"/>
                <w:szCs w:val="21"/>
                <w:highlight w:val="none"/>
                <w:u w:val="single"/>
                <w:lang w:bidi="ar"/>
              </w:rPr>
              <w:t>以上的。</w:t>
            </w:r>
          </w:p>
          <w:p w14:paraId="69C67022">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【中】完成</w:t>
            </w:r>
            <w:r>
              <w:rPr>
                <w:rFonts w:hint="eastAsia" w:ascii="仿宋" w:hAnsi="仿宋" w:eastAsia="仿宋" w:cs="仿宋"/>
                <w:color w:val="auto"/>
                <w:szCs w:val="21"/>
                <w:highlight w:val="none"/>
                <w:u w:val="single"/>
                <w:lang w:val="en-US" w:eastAsia="zh-CN" w:bidi="ar"/>
              </w:rPr>
              <w:t>3</w:t>
            </w:r>
            <w:r>
              <w:rPr>
                <w:rFonts w:hint="eastAsia" w:ascii="仿宋" w:hAnsi="仿宋" w:eastAsia="仿宋" w:cs="仿宋"/>
                <w:color w:val="auto"/>
                <w:szCs w:val="21"/>
                <w:highlight w:val="none"/>
                <w:u w:val="single"/>
                <w:lang w:bidi="ar"/>
              </w:rPr>
              <w:t>个</w:t>
            </w:r>
            <w:r>
              <w:rPr>
                <w:rFonts w:hint="eastAsia" w:ascii="仿宋" w:hAnsi="仿宋" w:eastAsia="仿宋" w:cs="仿宋"/>
                <w:color w:val="auto"/>
                <w:szCs w:val="21"/>
                <w:highlight w:val="none"/>
                <w:u w:val="single"/>
                <w:lang w:val="en-US" w:eastAsia="zh-CN" w:bidi="ar"/>
              </w:rPr>
              <w:t>或4</w:t>
            </w:r>
            <w:r>
              <w:rPr>
                <w:rFonts w:hint="eastAsia" w:ascii="仿宋" w:hAnsi="仿宋" w:eastAsia="仿宋" w:cs="仿宋"/>
                <w:color w:val="auto"/>
                <w:szCs w:val="21"/>
                <w:highlight w:val="none"/>
                <w:u w:val="single"/>
                <w:lang w:bidi="ar"/>
              </w:rPr>
              <w:t>个的。</w:t>
            </w:r>
          </w:p>
          <w:p w14:paraId="09BDD5A5">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【差】完成</w:t>
            </w:r>
            <w:r>
              <w:rPr>
                <w:rFonts w:hint="eastAsia" w:ascii="仿宋" w:hAnsi="仿宋" w:eastAsia="仿宋" w:cs="仿宋"/>
                <w:color w:val="auto"/>
                <w:szCs w:val="21"/>
                <w:highlight w:val="none"/>
                <w:u w:val="single"/>
                <w:lang w:val="en-US" w:eastAsia="zh-CN" w:bidi="ar"/>
              </w:rPr>
              <w:t>2</w:t>
            </w:r>
            <w:r>
              <w:rPr>
                <w:rFonts w:hint="eastAsia" w:ascii="仿宋" w:hAnsi="仿宋" w:eastAsia="仿宋" w:cs="仿宋"/>
                <w:color w:val="auto"/>
                <w:szCs w:val="21"/>
                <w:highlight w:val="none"/>
                <w:u w:val="single"/>
                <w:lang w:bidi="ar"/>
              </w:rPr>
              <w:t>个</w:t>
            </w:r>
            <w:r>
              <w:rPr>
                <w:rFonts w:hint="eastAsia" w:ascii="仿宋" w:hAnsi="仿宋" w:eastAsia="仿宋" w:cs="仿宋"/>
                <w:color w:val="auto"/>
                <w:szCs w:val="21"/>
                <w:highlight w:val="none"/>
                <w:u w:val="single"/>
                <w:lang w:val="en-US" w:eastAsia="zh-CN" w:bidi="ar"/>
              </w:rPr>
              <w:t>或</w:t>
            </w:r>
            <w:r>
              <w:rPr>
                <w:rFonts w:hint="eastAsia" w:ascii="仿宋" w:hAnsi="仿宋" w:eastAsia="仿宋" w:cs="仿宋"/>
                <w:color w:val="auto"/>
                <w:szCs w:val="21"/>
                <w:highlight w:val="none"/>
                <w:u w:val="single"/>
                <w:lang w:bidi="ar"/>
              </w:rPr>
              <w:t>以下的，或没有完成的。</w:t>
            </w:r>
          </w:p>
          <w:p w14:paraId="03CEEB43">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注：类似监理业绩是指中标金额大于或等于</w:t>
            </w:r>
            <w:r>
              <w:rPr>
                <w:rFonts w:hint="eastAsia" w:ascii="仿宋" w:hAnsi="仿宋" w:eastAsia="仿宋" w:cs="仿宋"/>
                <w:color w:val="auto"/>
                <w:szCs w:val="21"/>
                <w:highlight w:val="none"/>
                <w:u w:val="single"/>
                <w:lang w:val="en-US" w:eastAsia="zh-CN" w:bidi="ar"/>
              </w:rPr>
              <w:t>100</w:t>
            </w:r>
            <w:r>
              <w:rPr>
                <w:rFonts w:hint="eastAsia" w:ascii="仿宋" w:hAnsi="仿宋" w:eastAsia="仿宋" w:cs="仿宋"/>
                <w:color w:val="auto"/>
                <w:szCs w:val="21"/>
                <w:highlight w:val="none"/>
                <w:u w:val="single"/>
                <w:lang w:bidi="ar"/>
              </w:rPr>
              <w:t>万元的房屋建筑工程监理业绩，需同时提供①中标通知书或免招标的相关证明；②</w:t>
            </w:r>
            <w:r>
              <w:rPr>
                <w:rFonts w:hint="eastAsia" w:ascii="仿宋" w:hAnsi="仿宋" w:eastAsia="仿宋" w:cs="仿宋"/>
                <w:color w:val="auto"/>
                <w:szCs w:val="21"/>
                <w:highlight w:val="none"/>
                <w:u w:val="single"/>
                <w:lang w:val="en-US" w:eastAsia="zh-CN" w:bidi="ar"/>
              </w:rPr>
              <w:t>监理</w:t>
            </w:r>
            <w:r>
              <w:rPr>
                <w:rFonts w:hint="eastAsia" w:ascii="仿宋" w:hAnsi="仿宋" w:eastAsia="仿宋" w:cs="仿宋"/>
                <w:color w:val="auto"/>
                <w:szCs w:val="21"/>
                <w:highlight w:val="none"/>
                <w:u w:val="single"/>
                <w:lang w:bidi="ar"/>
              </w:rPr>
              <w:t>合同关键页（含签订合同双方的单位名称、服务内容、签订合同双方的盖章页、签订时间）；③竣工验收报告或竣工验收证明。业绩时间以竣工验收报告或竣工验收证明出具时间为准；中标金额以中标通知书为准，中标通知书上没有金额或免招标的，以监理合同（不含补充合同）为准。</w:t>
            </w:r>
          </w:p>
          <w:p w14:paraId="756D16CD">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lang w:bidi="ar"/>
              </w:rPr>
            </w:pPr>
            <w:r>
              <w:rPr>
                <w:rFonts w:hint="eastAsia" w:ascii="仿宋" w:hAnsi="仿宋" w:eastAsia="仿宋" w:cs="仿宋"/>
                <w:color w:val="auto"/>
                <w:szCs w:val="21"/>
                <w:highlight w:val="none"/>
                <w:u w:val="single"/>
                <w:lang w:bidi="ar"/>
              </w:rPr>
              <w:t>（</w:t>
            </w:r>
            <w:r>
              <w:rPr>
                <w:rFonts w:hint="eastAsia" w:ascii="仿宋" w:hAnsi="仿宋" w:eastAsia="仿宋" w:cs="仿宋"/>
                <w:color w:val="auto"/>
                <w:szCs w:val="21"/>
                <w:highlight w:val="none"/>
                <w:u w:val="single"/>
                <w:lang w:val="en-US" w:eastAsia="zh-CN" w:bidi="ar"/>
              </w:rPr>
              <w:t>3</w:t>
            </w:r>
            <w:r>
              <w:rPr>
                <w:rFonts w:hint="eastAsia" w:ascii="仿宋" w:hAnsi="仿宋" w:eastAsia="仿宋" w:cs="仿宋"/>
                <w:color w:val="auto"/>
                <w:szCs w:val="21"/>
                <w:highlight w:val="none"/>
                <w:u w:val="single"/>
                <w:lang w:bidi="ar"/>
              </w:rPr>
              <w:t>）项目获奖情况：202</w:t>
            </w:r>
            <w:r>
              <w:rPr>
                <w:rFonts w:hint="eastAsia" w:ascii="仿宋" w:hAnsi="仿宋" w:eastAsia="仿宋" w:cs="仿宋"/>
                <w:color w:val="auto"/>
                <w:szCs w:val="21"/>
                <w:highlight w:val="none"/>
                <w:u w:val="single"/>
                <w:lang w:val="en-US" w:eastAsia="zh-CN" w:bidi="ar"/>
              </w:rPr>
              <w:t>0</w:t>
            </w:r>
            <w:r>
              <w:rPr>
                <w:rFonts w:hint="eastAsia" w:ascii="仿宋" w:hAnsi="仿宋" w:eastAsia="仿宋" w:cs="仿宋"/>
                <w:color w:val="auto"/>
                <w:szCs w:val="21"/>
                <w:highlight w:val="none"/>
                <w:u w:val="single"/>
                <w:lang w:bidi="ar"/>
              </w:rPr>
              <w:t>年1月1日至今监理的房屋建筑工程获得市级(含副省级)或以上</w:t>
            </w:r>
            <w:r>
              <w:rPr>
                <w:rFonts w:hint="eastAsia" w:ascii="仿宋" w:hAnsi="仿宋" w:eastAsia="仿宋" w:cs="仿宋"/>
                <w:color w:val="auto"/>
                <w:kern w:val="0"/>
                <w:szCs w:val="21"/>
                <w:highlight w:val="none"/>
                <w:u w:val="single"/>
              </w:rPr>
              <w:t>工程质量类</w:t>
            </w:r>
            <w:r>
              <w:rPr>
                <w:rFonts w:hint="eastAsia" w:ascii="仿宋" w:hAnsi="仿宋" w:eastAsia="仿宋" w:cs="仿宋"/>
                <w:color w:val="auto"/>
                <w:szCs w:val="21"/>
                <w:highlight w:val="none"/>
                <w:u w:val="single"/>
                <w:lang w:bidi="ar"/>
              </w:rPr>
              <w:t>奖项的情况：</w:t>
            </w:r>
          </w:p>
          <w:p w14:paraId="7B9BC58A">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【优】获得</w:t>
            </w:r>
            <w:r>
              <w:rPr>
                <w:rFonts w:hint="eastAsia" w:ascii="仿宋" w:hAnsi="仿宋" w:eastAsia="仿宋" w:cs="仿宋"/>
                <w:color w:val="auto"/>
                <w:szCs w:val="21"/>
                <w:highlight w:val="none"/>
                <w:u w:val="single"/>
                <w:lang w:val="en-US" w:eastAsia="zh-CN" w:bidi="ar"/>
              </w:rPr>
              <w:t>5</w:t>
            </w:r>
            <w:r>
              <w:rPr>
                <w:rFonts w:hint="eastAsia" w:ascii="仿宋" w:hAnsi="仿宋" w:eastAsia="仿宋" w:cs="仿宋"/>
                <w:color w:val="auto"/>
                <w:szCs w:val="21"/>
                <w:highlight w:val="none"/>
                <w:u w:val="single"/>
                <w:lang w:bidi="ar"/>
              </w:rPr>
              <w:t>个</w:t>
            </w:r>
            <w:r>
              <w:rPr>
                <w:rFonts w:hint="eastAsia" w:ascii="仿宋" w:hAnsi="仿宋" w:eastAsia="仿宋" w:cs="仿宋"/>
                <w:color w:val="auto"/>
                <w:szCs w:val="21"/>
                <w:highlight w:val="none"/>
                <w:u w:val="single"/>
                <w:lang w:val="en-US" w:eastAsia="zh-CN" w:bidi="ar"/>
              </w:rPr>
              <w:t>或</w:t>
            </w:r>
            <w:r>
              <w:rPr>
                <w:rFonts w:hint="eastAsia" w:ascii="仿宋" w:hAnsi="仿宋" w:eastAsia="仿宋" w:cs="仿宋"/>
                <w:color w:val="auto"/>
                <w:szCs w:val="21"/>
                <w:highlight w:val="none"/>
                <w:u w:val="single"/>
                <w:lang w:bidi="ar"/>
              </w:rPr>
              <w:t>以上的。</w:t>
            </w:r>
          </w:p>
          <w:p w14:paraId="2291F7FF">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【中】获得</w:t>
            </w:r>
            <w:r>
              <w:rPr>
                <w:rFonts w:hint="eastAsia" w:ascii="仿宋" w:hAnsi="仿宋" w:eastAsia="仿宋" w:cs="仿宋"/>
                <w:color w:val="auto"/>
                <w:szCs w:val="21"/>
                <w:highlight w:val="none"/>
                <w:u w:val="single"/>
                <w:lang w:val="en-US" w:eastAsia="zh-CN" w:bidi="ar"/>
              </w:rPr>
              <w:t>3</w:t>
            </w:r>
            <w:r>
              <w:rPr>
                <w:rFonts w:hint="eastAsia" w:ascii="仿宋" w:hAnsi="仿宋" w:eastAsia="仿宋" w:cs="仿宋"/>
                <w:color w:val="auto"/>
                <w:szCs w:val="21"/>
                <w:highlight w:val="none"/>
                <w:u w:val="single"/>
                <w:lang w:bidi="ar"/>
              </w:rPr>
              <w:t>个</w:t>
            </w:r>
            <w:r>
              <w:rPr>
                <w:rFonts w:hint="eastAsia" w:ascii="仿宋" w:hAnsi="仿宋" w:eastAsia="仿宋" w:cs="仿宋"/>
                <w:color w:val="auto"/>
                <w:szCs w:val="21"/>
                <w:highlight w:val="none"/>
                <w:u w:val="single"/>
                <w:lang w:val="en-US" w:eastAsia="zh-CN" w:bidi="ar"/>
              </w:rPr>
              <w:t>或4个</w:t>
            </w:r>
            <w:r>
              <w:rPr>
                <w:rFonts w:hint="eastAsia" w:ascii="仿宋" w:hAnsi="仿宋" w:eastAsia="仿宋" w:cs="仿宋"/>
                <w:color w:val="auto"/>
                <w:szCs w:val="21"/>
                <w:highlight w:val="none"/>
                <w:u w:val="single"/>
                <w:lang w:bidi="ar"/>
              </w:rPr>
              <w:t>的。</w:t>
            </w:r>
          </w:p>
          <w:p w14:paraId="7D7081E3">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lang w:bidi="ar"/>
              </w:rPr>
            </w:pPr>
            <w:r>
              <w:rPr>
                <w:rFonts w:hint="eastAsia" w:ascii="仿宋" w:hAnsi="仿宋" w:eastAsia="仿宋" w:cs="仿宋"/>
                <w:color w:val="auto"/>
                <w:szCs w:val="21"/>
                <w:highlight w:val="none"/>
                <w:u w:val="single"/>
                <w:lang w:bidi="ar"/>
              </w:rPr>
              <w:t>【差】获得</w:t>
            </w:r>
            <w:r>
              <w:rPr>
                <w:rFonts w:hint="eastAsia" w:ascii="仿宋" w:hAnsi="仿宋" w:eastAsia="仿宋" w:cs="仿宋"/>
                <w:color w:val="auto"/>
                <w:szCs w:val="21"/>
                <w:highlight w:val="none"/>
                <w:u w:val="single"/>
                <w:lang w:val="en-US" w:eastAsia="zh-CN" w:bidi="ar"/>
              </w:rPr>
              <w:t>2</w:t>
            </w:r>
            <w:r>
              <w:rPr>
                <w:rFonts w:hint="eastAsia" w:ascii="仿宋" w:hAnsi="仿宋" w:eastAsia="仿宋" w:cs="仿宋"/>
                <w:color w:val="auto"/>
                <w:szCs w:val="21"/>
                <w:highlight w:val="none"/>
                <w:u w:val="single"/>
                <w:lang w:bidi="ar"/>
              </w:rPr>
              <w:t>个</w:t>
            </w:r>
            <w:r>
              <w:rPr>
                <w:rFonts w:hint="eastAsia" w:ascii="仿宋" w:hAnsi="仿宋" w:eastAsia="仿宋" w:cs="仿宋"/>
                <w:color w:val="auto"/>
                <w:szCs w:val="21"/>
                <w:highlight w:val="none"/>
                <w:u w:val="single"/>
                <w:lang w:val="en-US" w:eastAsia="zh-CN" w:bidi="ar"/>
              </w:rPr>
              <w:t>或</w:t>
            </w:r>
            <w:r>
              <w:rPr>
                <w:rFonts w:hint="eastAsia" w:ascii="仿宋" w:hAnsi="仿宋" w:eastAsia="仿宋" w:cs="仿宋"/>
                <w:color w:val="auto"/>
                <w:szCs w:val="21"/>
                <w:highlight w:val="none"/>
                <w:u w:val="single"/>
                <w:lang w:bidi="ar"/>
              </w:rPr>
              <w:t>以下的，或没有获得的。</w:t>
            </w:r>
          </w:p>
          <w:p w14:paraId="7F295C97">
            <w:pPr>
              <w:keepNext w:val="0"/>
              <w:keepLines w:val="0"/>
              <w:numPr>
                <w:ilvl w:val="0"/>
                <w:numId w:val="0"/>
              </w:numPr>
              <w:suppressLineNumbers w:val="0"/>
              <w:spacing w:before="0" w:beforeAutospacing="0" w:after="0" w:afterAutospacing="0" w:line="360" w:lineRule="exact"/>
              <w:ind w:left="0" w:right="0"/>
              <w:rPr>
                <w:rFonts w:hint="eastAsia" w:ascii="仿宋" w:hAnsi="仿宋" w:eastAsia="仿宋" w:cs="仿宋"/>
                <w:color w:val="auto"/>
                <w:kern w:val="0"/>
                <w:szCs w:val="21"/>
                <w:highlight w:val="none"/>
                <w:u w:val="single"/>
                <w:lang w:eastAsia="zh-CN"/>
              </w:rPr>
            </w:pPr>
            <w:r>
              <w:rPr>
                <w:rFonts w:hint="eastAsia" w:ascii="仿宋" w:hAnsi="仿宋" w:eastAsia="仿宋" w:cs="仿宋"/>
                <w:color w:val="auto"/>
                <w:kern w:val="0"/>
                <w:szCs w:val="21"/>
                <w:highlight w:val="none"/>
                <w:u w:val="single"/>
              </w:rPr>
              <w:t>注：</w:t>
            </w:r>
            <w:r>
              <w:rPr>
                <w:rFonts w:hint="eastAsia" w:ascii="仿宋" w:hAnsi="仿宋" w:eastAsia="仿宋" w:cs="仿宋"/>
                <w:color w:val="auto"/>
                <w:kern w:val="0"/>
                <w:szCs w:val="21"/>
                <w:highlight w:val="none"/>
                <w:u w:val="single"/>
                <w:lang w:val="en-US" w:eastAsia="zh-CN"/>
              </w:rPr>
              <w:t>1.</w:t>
            </w:r>
            <w:r>
              <w:rPr>
                <w:rFonts w:hint="eastAsia" w:ascii="仿宋" w:hAnsi="仿宋" w:eastAsia="仿宋" w:cs="仿宋"/>
                <w:color w:val="auto"/>
                <w:kern w:val="0"/>
                <w:szCs w:val="21"/>
                <w:highlight w:val="none"/>
                <w:u w:val="single"/>
              </w:rPr>
              <w:t>需提供获奖证书等证明材料。获奖时间以获奖证明文件注明时间为准。国家级奖项包括中国建设工程鲁班奖、中国土木工程詹天佑奖、国家优质工程奖等；省级或市级奖项指由建设行政主管部门或行业协会（学会）颁发的工程质量类奖项；非工程质量类获奖不予计分。同一工程项目获得多个奖项的，按最高获奖等级计算，不重复计算</w:t>
            </w:r>
            <w:r>
              <w:rPr>
                <w:rFonts w:hint="eastAsia" w:ascii="仿宋" w:hAnsi="仿宋" w:eastAsia="仿宋" w:cs="仿宋"/>
                <w:color w:val="auto"/>
                <w:kern w:val="0"/>
                <w:szCs w:val="21"/>
                <w:highlight w:val="none"/>
                <w:u w:val="single"/>
                <w:lang w:eastAsia="zh-CN"/>
              </w:rPr>
              <w:t>。</w:t>
            </w:r>
          </w:p>
          <w:p w14:paraId="4EA15AA9">
            <w:pPr>
              <w:keepNext w:val="0"/>
              <w:keepLines w:val="0"/>
              <w:suppressLineNumbers w:val="0"/>
              <w:spacing w:before="0" w:beforeAutospacing="0" w:after="0" w:afterAutospacing="0" w:line="360" w:lineRule="exact"/>
              <w:ind w:left="0" w:right="0"/>
              <w:rPr>
                <w:rFonts w:hint="eastAsia"/>
                <w:color w:val="auto"/>
              </w:rPr>
            </w:pPr>
            <w:r>
              <w:rPr>
                <w:rFonts w:hint="eastAsia" w:ascii="仿宋" w:hAnsi="仿宋" w:eastAsia="仿宋" w:cs="仿宋"/>
                <w:color w:val="auto"/>
                <w:szCs w:val="21"/>
                <w:highlight w:val="none"/>
                <w:u w:val="single"/>
                <w:lang w:val="en-US" w:eastAsia="zh-CN" w:bidi="ar"/>
              </w:rPr>
              <w:t>2.只计算投标人自身（不计算投标人的分公司和子公司），需提供税务机关出具的布栏”查询结果截图作为评审依据。证书扫描件及国家税务总局“纳税信用A级纳税人名单公布栏”查询结果截图作为评审依据。</w:t>
            </w:r>
          </w:p>
        </w:tc>
      </w:tr>
      <w:tr w14:paraId="3ACA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0BCA13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2</w:t>
            </w:r>
          </w:p>
        </w:tc>
        <w:tc>
          <w:tcPr>
            <w:tcW w:w="1719" w:type="dxa"/>
            <w:tcBorders>
              <w:top w:val="single" w:color="auto" w:sz="4" w:space="0"/>
              <w:left w:val="nil"/>
              <w:bottom w:val="single" w:color="auto" w:sz="4" w:space="0"/>
              <w:right w:val="single" w:color="auto" w:sz="4" w:space="0"/>
            </w:tcBorders>
            <w:vAlign w:val="center"/>
          </w:tcPr>
          <w:p w14:paraId="70F6A8ED">
            <w:pPr>
              <w:keepNext w:val="0"/>
              <w:keepLines w:val="0"/>
              <w:suppressLineNumbers w:val="0"/>
              <w:spacing w:before="0" w:beforeAutospacing="0" w:after="0" w:afterAutospacing="0" w:line="360" w:lineRule="exact"/>
              <w:ind w:left="0" w:right="0"/>
              <w:jc w:val="center"/>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u w:val="single"/>
                <w:lang w:bidi="ar"/>
              </w:rPr>
              <w:t>方案因素</w:t>
            </w:r>
            <w:r>
              <w:rPr>
                <w:rFonts w:hint="eastAsia" w:ascii="仿宋" w:hAnsi="仿宋" w:eastAsia="仿宋" w:cs="仿宋"/>
                <w:color w:val="auto"/>
                <w:szCs w:val="21"/>
                <w:highlight w:val="none"/>
                <w:u w:val="single"/>
                <w:lang w:eastAsia="zh-CN" w:bidi="ar"/>
              </w:rPr>
              <w:t>（</w:t>
            </w:r>
            <w:r>
              <w:rPr>
                <w:rFonts w:hint="eastAsia" w:ascii="仿宋" w:hAnsi="仿宋" w:eastAsia="仿宋" w:cs="仿宋"/>
                <w:color w:val="auto"/>
                <w:szCs w:val="21"/>
                <w:highlight w:val="none"/>
                <w:u w:val="single"/>
                <w:lang w:val="en-US" w:eastAsia="zh-CN" w:bidi="ar"/>
              </w:rPr>
              <w:t>监理大纲</w:t>
            </w:r>
            <w:r>
              <w:rPr>
                <w:rFonts w:hint="eastAsia" w:ascii="仿宋" w:hAnsi="仿宋" w:eastAsia="仿宋" w:cs="仿宋"/>
                <w:color w:val="auto"/>
                <w:szCs w:val="21"/>
                <w:highlight w:val="none"/>
                <w:u w:val="single"/>
                <w:lang w:eastAsia="zh-CN" w:bidi="ar"/>
              </w:rPr>
              <w:t>）</w:t>
            </w:r>
          </w:p>
        </w:tc>
        <w:tc>
          <w:tcPr>
            <w:tcW w:w="6561" w:type="dxa"/>
            <w:tcBorders>
              <w:top w:val="single" w:color="auto" w:sz="4" w:space="0"/>
              <w:left w:val="nil"/>
              <w:bottom w:val="single" w:color="auto" w:sz="4" w:space="0"/>
              <w:right w:val="single" w:color="auto" w:sz="4" w:space="0"/>
            </w:tcBorders>
            <w:vAlign w:val="center"/>
          </w:tcPr>
          <w:p w14:paraId="53C9636A">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对各阶段监理工作方案、对本项目重点及难点分析及解决措施等监理大纲内容的合理性、可行性进行评审：</w:t>
            </w:r>
          </w:p>
          <w:p w14:paraId="261D4BAC">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lang w:val="en-US" w:eastAsia="zh-CN" w:bidi="ar"/>
              </w:rPr>
              <w:t>包含</w:t>
            </w:r>
            <w:r>
              <w:rPr>
                <w:rFonts w:hint="eastAsia" w:ascii="仿宋" w:hAnsi="仿宋" w:eastAsia="仿宋" w:cs="仿宋"/>
                <w:color w:val="auto"/>
                <w:szCs w:val="21"/>
                <w:highlight w:val="none"/>
                <w:u w:val="single"/>
                <w:lang w:bidi="ar"/>
              </w:rPr>
              <w:t>监理工作目标明确，监理工作依据、制度、流程；监理工作内容及管理手段合理可行、措施具体；针对本项目建设特点进行监理的重点难点分析、提出相关解决技术措施方案、措施，内容全面具体、针对性强。</w:t>
            </w:r>
          </w:p>
        </w:tc>
      </w:tr>
      <w:tr w14:paraId="646C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D3B24A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3</w:t>
            </w:r>
          </w:p>
        </w:tc>
        <w:tc>
          <w:tcPr>
            <w:tcW w:w="1719" w:type="dxa"/>
            <w:tcBorders>
              <w:top w:val="single" w:color="auto" w:sz="4" w:space="0"/>
              <w:left w:val="nil"/>
              <w:bottom w:val="single" w:color="auto" w:sz="4" w:space="0"/>
              <w:right w:val="single" w:color="auto" w:sz="4" w:space="0"/>
            </w:tcBorders>
            <w:vAlign w:val="center"/>
          </w:tcPr>
          <w:p w14:paraId="66240D61">
            <w:pPr>
              <w:keepNext w:val="0"/>
              <w:keepLines w:val="0"/>
              <w:suppressLineNumbers w:val="0"/>
              <w:spacing w:before="0" w:beforeAutospacing="0" w:after="0" w:afterAutospacing="0" w:line="360" w:lineRule="exact"/>
              <w:ind w:left="0" w:right="0"/>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团队因素</w:t>
            </w:r>
          </w:p>
        </w:tc>
        <w:tc>
          <w:tcPr>
            <w:tcW w:w="6561" w:type="dxa"/>
            <w:tcBorders>
              <w:top w:val="single" w:color="auto" w:sz="4" w:space="0"/>
              <w:left w:val="nil"/>
              <w:bottom w:val="single" w:color="auto" w:sz="4" w:space="0"/>
              <w:right w:val="single" w:color="auto" w:sz="4" w:space="0"/>
            </w:tcBorders>
            <w:vAlign w:val="center"/>
          </w:tcPr>
          <w:p w14:paraId="0C96BBDB">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none"/>
                <w:lang w:val="en-US" w:eastAsia="zh-CN" w:bidi="ar"/>
              </w:rPr>
            </w:pPr>
            <w:r>
              <w:rPr>
                <w:rFonts w:hint="eastAsia" w:ascii="仿宋" w:hAnsi="仿宋" w:eastAsia="仿宋" w:cs="仿宋"/>
                <w:color w:val="auto"/>
                <w:szCs w:val="21"/>
                <w:highlight w:val="none"/>
                <w:u w:val="none"/>
                <w:lang w:val="en-US" w:eastAsia="zh-CN" w:bidi="ar"/>
              </w:rPr>
              <w:t>对投标人拟投入的监理服务团队，从其架构完整性、人员匹配度、能力素质及稳定性等方面进行综合评审。</w:t>
            </w:r>
          </w:p>
          <w:p w14:paraId="74137EE5">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none"/>
                <w:lang w:val="en-US" w:eastAsia="zh-CN" w:bidi="ar"/>
              </w:rPr>
            </w:pPr>
            <w:r>
              <w:rPr>
                <w:rFonts w:hint="eastAsia" w:ascii="仿宋" w:hAnsi="仿宋" w:eastAsia="仿宋" w:cs="仿宋"/>
                <w:color w:val="auto"/>
                <w:szCs w:val="21"/>
                <w:highlight w:val="none"/>
                <w:u w:val="none"/>
                <w:lang w:val="en-US" w:eastAsia="zh-CN" w:bidi="ar"/>
              </w:rPr>
              <w:t>1、团队架构与人员配备</w:t>
            </w:r>
          </w:p>
          <w:p w14:paraId="658999AF">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none"/>
                <w:lang w:val="en-US" w:eastAsia="zh-CN" w:bidi="ar"/>
              </w:rPr>
            </w:pPr>
            <w:r>
              <w:rPr>
                <w:rFonts w:hint="eastAsia" w:ascii="仿宋" w:hAnsi="仿宋" w:eastAsia="仿宋" w:cs="仿宋"/>
                <w:color w:val="auto"/>
                <w:szCs w:val="21"/>
                <w:highlight w:val="none"/>
                <w:u w:val="none"/>
                <w:lang w:val="en-US" w:eastAsia="zh-CN" w:bidi="ar"/>
              </w:rPr>
              <w:t>考察项目团队架构是否完整、合理，人员数量、专业配置等是否完全满足并优于《监理机构人员配备要求表》的要求。</w:t>
            </w:r>
          </w:p>
          <w:p w14:paraId="1492C249">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none"/>
                <w:lang w:val="en-US" w:eastAsia="zh-CN" w:bidi="ar"/>
              </w:rPr>
            </w:pPr>
            <w:r>
              <w:rPr>
                <w:rFonts w:hint="eastAsia" w:ascii="仿宋" w:hAnsi="仿宋" w:eastAsia="仿宋" w:cs="仿宋"/>
                <w:color w:val="auto"/>
                <w:szCs w:val="21"/>
                <w:highlight w:val="none"/>
                <w:u w:val="none"/>
                <w:lang w:val="en-US" w:eastAsia="zh-CN" w:bidi="ar"/>
              </w:rPr>
              <w:t>2、人员资格与综合素质</w:t>
            </w:r>
          </w:p>
          <w:p w14:paraId="26FE255F">
            <w:pPr>
              <w:keepNext w:val="0"/>
              <w:keepLines w:val="0"/>
              <w:suppressLineNumbers w:val="0"/>
              <w:spacing w:before="0" w:beforeAutospacing="0" w:after="0" w:afterAutospacing="0" w:line="360" w:lineRule="exact"/>
              <w:ind w:left="0" w:right="0"/>
              <w:rPr>
                <w:rFonts w:hint="eastAsia" w:ascii="仿宋" w:hAnsi="仿宋" w:eastAsia="仿宋" w:cs="仿宋"/>
                <w:color w:val="auto"/>
                <w:szCs w:val="21"/>
                <w:highlight w:val="none"/>
                <w:u w:val="none"/>
                <w:lang w:val="en-US" w:eastAsia="zh-CN" w:bidi="ar"/>
              </w:rPr>
            </w:pPr>
            <w:r>
              <w:rPr>
                <w:rFonts w:hint="eastAsia" w:ascii="仿宋" w:hAnsi="仿宋" w:eastAsia="仿宋" w:cs="仿宋"/>
                <w:color w:val="auto"/>
                <w:szCs w:val="21"/>
                <w:highlight w:val="none"/>
                <w:u w:val="none"/>
                <w:lang w:val="en-US" w:eastAsia="zh-CN" w:bidi="ar"/>
              </w:rPr>
              <w:t>考察拟派人员的个人资格、个人职称、工作经验等。</w:t>
            </w:r>
          </w:p>
          <w:p w14:paraId="5790AF16">
            <w:pPr>
              <w:keepNext w:val="0"/>
              <w:keepLines w:val="0"/>
              <w:suppressLineNumbers w:val="0"/>
              <w:spacing w:before="0" w:beforeAutospacing="0" w:after="0" w:afterAutospacing="0" w:line="360" w:lineRule="exact"/>
              <w:ind w:left="0" w:right="0"/>
              <w:rPr>
                <w:rFonts w:hint="eastAsia" w:ascii="仿宋" w:hAnsi="仿宋" w:eastAsia="仿宋" w:cs="仿宋"/>
                <w:color w:val="auto"/>
                <w:lang w:val="en-US" w:eastAsia="zh-CN"/>
              </w:rPr>
            </w:pPr>
            <w:r>
              <w:rPr>
                <w:rFonts w:hint="eastAsia" w:ascii="仿宋" w:hAnsi="仿宋" w:eastAsia="仿宋" w:cs="仿宋"/>
                <w:color w:val="auto"/>
                <w:szCs w:val="21"/>
                <w:highlight w:val="none"/>
                <w:u w:val="single"/>
                <w:lang w:val="en-US" w:eastAsia="zh-CN" w:bidi="ar"/>
              </w:rPr>
              <w:t>注：提供但不仅限于相关人员的毕业证、注册证、建筑工程类职称证、工作经验证明及投标人为其缴纳的扣除投标截止当月最近一个月的社保等证明文件扫描件并加盖电子公章。</w:t>
            </w:r>
          </w:p>
        </w:tc>
      </w:tr>
    </w:tbl>
    <w:p w14:paraId="4139E037">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说明：</w:t>
      </w:r>
    </w:p>
    <w:p w14:paraId="5834D089">
      <w:pPr>
        <w:tabs>
          <w:tab w:val="left" w:pos="540"/>
        </w:tabs>
        <w:snapToGrid w:val="0"/>
        <w:spacing w:line="360" w:lineRule="auto"/>
        <w:ind w:left="540" w:hanging="54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个人完成</w:t>
      </w:r>
      <w:r>
        <w:rPr>
          <w:rFonts w:hint="eastAsia" w:ascii="仿宋" w:hAnsi="仿宋" w:eastAsia="仿宋" w:cs="仿宋"/>
          <w:color w:val="auto"/>
          <w:szCs w:val="24"/>
          <w:highlight w:val="none"/>
        </w:rPr>
        <w:t>业绩：</w:t>
      </w:r>
      <w:r>
        <w:rPr>
          <w:rFonts w:hint="eastAsia" w:ascii="仿宋" w:hAnsi="仿宋" w:eastAsia="仿宋" w:cs="仿宋"/>
          <w:color w:val="auto"/>
          <w:highlight w:val="none"/>
        </w:rPr>
        <w:t>需同时提供中标通知书或免招标的相关证明、监理合同、竣工验收报告或竣工验收证明原件扫描件（竣工验收报告或竣工验收证明材料至少包含建设单位、设计单位、施工单位、监理单位四方主体盖章，否则不予以认可）</w:t>
      </w:r>
      <w:r>
        <w:rPr>
          <w:rFonts w:hint="eastAsia" w:ascii="仿宋" w:hAnsi="仿宋" w:eastAsia="仿宋" w:cs="仿宋"/>
          <w:color w:val="auto"/>
          <w:szCs w:val="24"/>
          <w:highlight w:val="none"/>
        </w:rPr>
        <w:t>，完成时间以竣工验收报告或竣工验收证明为准。</w:t>
      </w:r>
      <w:r>
        <w:rPr>
          <w:rFonts w:hint="eastAsia" w:ascii="仿宋" w:hAnsi="仿宋" w:eastAsia="仿宋" w:cs="仿宋"/>
          <w:color w:val="auto"/>
          <w:highlight w:val="none"/>
        </w:rPr>
        <w:t>如果上述资料未能清晰反映总监理工程师（或总监理工程师代表）信息的，需提供由业主出具的加盖业主单位公章的证明材料扫描件；如相关证明材料反映的总监理工程师（或总监理工程师代表）信息不一致的，以竣工验收报告或竣工验收证明为准，还需提供由业主出具的加盖业主单位公章的证明材料扫描件。</w:t>
      </w:r>
    </w:p>
    <w:p w14:paraId="390000B7">
      <w:pPr>
        <w:tabs>
          <w:tab w:val="left" w:pos="540"/>
        </w:tabs>
        <w:snapToGrid w:val="0"/>
        <w:spacing w:line="360" w:lineRule="auto"/>
        <w:ind w:left="540" w:right="-319" w:rightChars="-152" w:hanging="54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）“建筑工程类”技术职称是指包含建筑施工管理、建筑施工、工程管理、建筑工程造价、建筑生产技术管理、建筑机械等工程项目建设所涉及的相关专业的技术职称</w:t>
      </w:r>
      <w:r>
        <w:rPr>
          <w:rFonts w:hint="eastAsia" w:ascii="仿宋" w:hAnsi="仿宋" w:eastAsia="仿宋" w:cs="仿宋"/>
          <w:color w:val="auto"/>
          <w:szCs w:val="24"/>
          <w:highlight w:val="none"/>
          <w:lang w:eastAsia="zh-CN"/>
        </w:rPr>
        <w:t>。</w:t>
      </w:r>
    </w:p>
    <w:p w14:paraId="433AFCEC">
      <w:pPr>
        <w:tabs>
          <w:tab w:val="left" w:pos="540"/>
        </w:tabs>
        <w:snapToGrid w:val="0"/>
        <w:spacing w:line="360" w:lineRule="auto"/>
        <w:ind w:left="540" w:right="-319" w:rightChars="-152" w:hanging="54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）工作经验：从事相关专业工作的年限，自最高学历毕业证取得之日起，计算至投标截止日止。</w:t>
      </w:r>
    </w:p>
    <w:p w14:paraId="4518C1DC">
      <w:pPr>
        <w:outlineLvl w:val="9"/>
        <w:rPr>
          <w:rFonts w:hint="eastAsia" w:ascii="仿宋" w:hAnsi="仿宋" w:eastAsia="仿宋" w:cs="仿宋"/>
          <w:color w:val="auto"/>
          <w:szCs w:val="24"/>
          <w:highlight w:val="none"/>
          <w:lang w:eastAsia="zh-CN"/>
        </w:rPr>
      </w:pPr>
    </w:p>
    <w:p w14:paraId="2B6719BC">
      <w:pPr>
        <w:outlineLvl w:val="9"/>
        <w:rPr>
          <w:rFonts w:hint="eastAsia" w:ascii="仿宋" w:hAnsi="仿宋" w:eastAsia="仿宋" w:cs="仿宋"/>
          <w:color w:val="auto"/>
          <w:szCs w:val="24"/>
          <w:highlight w:val="none"/>
          <w:lang w:eastAsia="zh-CN"/>
        </w:rPr>
      </w:pPr>
    </w:p>
    <w:p w14:paraId="5D8BF2AE">
      <w:pPr>
        <w:outlineLvl w:val="9"/>
        <w:rPr>
          <w:rFonts w:hint="eastAsia" w:ascii="仿宋" w:hAnsi="仿宋" w:eastAsia="仿宋" w:cs="仿宋"/>
          <w:color w:val="auto"/>
          <w:szCs w:val="24"/>
          <w:highlight w:val="none"/>
          <w:lang w:eastAsia="zh-CN"/>
        </w:rPr>
      </w:pPr>
    </w:p>
    <w:p w14:paraId="6ED7BAB7">
      <w:pPr>
        <w:pStyle w:val="2"/>
        <w:rPr>
          <w:rFonts w:hint="eastAsia"/>
          <w:color w:val="auto"/>
          <w:lang w:eastAsia="zh-CN"/>
        </w:rPr>
      </w:pPr>
    </w:p>
    <w:p w14:paraId="6530F30A">
      <w:pPr>
        <w:rPr>
          <w:rFonts w:hint="eastAsia"/>
          <w:color w:val="auto"/>
          <w:lang w:eastAsia="zh-CN"/>
        </w:rPr>
      </w:pPr>
    </w:p>
    <w:p w14:paraId="7EEEFE13">
      <w:pPr>
        <w:pStyle w:val="2"/>
        <w:rPr>
          <w:rFonts w:hint="eastAsia"/>
          <w:color w:val="auto"/>
          <w:lang w:eastAsia="zh-CN"/>
        </w:rPr>
      </w:pPr>
    </w:p>
    <w:p w14:paraId="3B4583A8">
      <w:pPr>
        <w:rPr>
          <w:rFonts w:hint="eastAsia"/>
          <w:color w:val="auto"/>
          <w:lang w:eastAsia="zh-CN"/>
        </w:rPr>
      </w:pPr>
    </w:p>
    <w:p w14:paraId="7FE5D8A0">
      <w:pPr>
        <w:rPr>
          <w:rFonts w:hint="eastAsia"/>
          <w:color w:val="auto"/>
          <w:lang w:eastAsia="zh-CN"/>
        </w:rPr>
      </w:pPr>
    </w:p>
    <w:p w14:paraId="57AC685D">
      <w:pPr>
        <w:outlineLvl w:val="9"/>
        <w:rPr>
          <w:rFonts w:hint="eastAsia" w:ascii="仿宋" w:hAnsi="仿宋" w:eastAsia="仿宋" w:cs="仿宋"/>
          <w:color w:val="auto"/>
          <w:szCs w:val="24"/>
          <w:highlight w:val="none"/>
          <w:lang w:eastAsia="zh-CN"/>
        </w:rPr>
      </w:pPr>
    </w:p>
    <w:p w14:paraId="6EF33BD5">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定标选票表（定标阶段用表）</w:t>
      </w:r>
    </w:p>
    <w:p w14:paraId="1F0FDCF7">
      <w:pPr>
        <w:rPr>
          <w:rFonts w:hint="eastAsia" w:ascii="仿宋" w:hAnsi="仿宋" w:eastAsia="仿宋" w:cs="仿宋"/>
          <w:color w:val="auto"/>
          <w:sz w:val="24"/>
          <w:szCs w:val="24"/>
          <w:highlight w:val="none"/>
        </w:rPr>
      </w:pPr>
    </w:p>
    <w:p w14:paraId="0F02D76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项目名称</w:t>
      </w:r>
      <w:r>
        <w:rPr>
          <w:rFonts w:hint="eastAsia" w:ascii="仿宋" w:hAnsi="仿宋" w:eastAsia="仿宋" w:cs="仿宋"/>
          <w:color w:val="auto"/>
          <w:sz w:val="24"/>
          <w:szCs w:val="24"/>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7"/>
        <w:gridCol w:w="4583"/>
      </w:tblGrid>
      <w:tr w14:paraId="37CF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417" w:type="dxa"/>
            <w:tcBorders>
              <w:top w:val="single" w:color="auto" w:sz="4" w:space="0"/>
              <w:left w:val="single" w:color="auto" w:sz="4" w:space="0"/>
              <w:bottom w:val="single" w:color="auto" w:sz="4" w:space="0"/>
              <w:right w:val="single" w:color="auto" w:sz="4" w:space="0"/>
            </w:tcBorders>
            <w:vAlign w:val="center"/>
          </w:tcPr>
          <w:p w14:paraId="2532B056">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合格中标候选人名称</w:t>
            </w:r>
          </w:p>
        </w:tc>
        <w:tc>
          <w:tcPr>
            <w:tcW w:w="4583" w:type="dxa"/>
            <w:tcBorders>
              <w:top w:val="single" w:color="auto" w:sz="4" w:space="0"/>
              <w:left w:val="nil"/>
              <w:bottom w:val="single" w:color="auto" w:sz="4" w:space="0"/>
              <w:right w:val="single" w:color="auto" w:sz="4" w:space="0"/>
            </w:tcBorders>
            <w:vAlign w:val="center"/>
          </w:tcPr>
          <w:p w14:paraId="30EC3B91">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投票</w:t>
            </w:r>
            <w:r>
              <w:rPr>
                <w:rFonts w:hint="eastAsia" w:ascii="仿宋" w:hAnsi="仿宋" w:eastAsia="仿宋" w:cs="仿宋"/>
                <w:b/>
                <w:color w:val="auto"/>
                <w:kern w:val="0"/>
                <w:sz w:val="24"/>
                <w:szCs w:val="24"/>
                <w:highlight w:val="none"/>
              </w:rPr>
              <w:t>理由</w:t>
            </w:r>
          </w:p>
        </w:tc>
      </w:tr>
      <w:tr w14:paraId="3000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417" w:type="dxa"/>
            <w:tcBorders>
              <w:top w:val="single" w:color="auto" w:sz="4" w:space="0"/>
              <w:left w:val="single" w:color="auto" w:sz="4" w:space="0"/>
              <w:bottom w:val="single" w:color="auto" w:sz="4" w:space="0"/>
              <w:right w:val="single" w:color="auto" w:sz="4" w:space="0"/>
            </w:tcBorders>
            <w:vAlign w:val="center"/>
          </w:tcPr>
          <w:p w14:paraId="2C711BF3">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4"/>
                <w:highlight w:val="none"/>
              </w:rPr>
            </w:pPr>
          </w:p>
        </w:tc>
        <w:tc>
          <w:tcPr>
            <w:tcW w:w="4583" w:type="dxa"/>
            <w:tcBorders>
              <w:top w:val="single" w:color="auto" w:sz="4" w:space="0"/>
              <w:left w:val="nil"/>
              <w:bottom w:val="single" w:color="auto" w:sz="4" w:space="0"/>
              <w:right w:val="single" w:color="auto" w:sz="4" w:space="0"/>
            </w:tcBorders>
            <w:vAlign w:val="center"/>
          </w:tcPr>
          <w:p w14:paraId="0CAEC1FB">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4"/>
                <w:highlight w:val="none"/>
              </w:rPr>
            </w:pPr>
          </w:p>
        </w:tc>
      </w:tr>
    </w:tbl>
    <w:p w14:paraId="3E42096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正式投票规则：</w:t>
      </w:r>
    </w:p>
    <w:p w14:paraId="1F10C7E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（1）以上表格用于正式投票，投票时须注明</w:t>
      </w:r>
      <w:r>
        <w:rPr>
          <w:rFonts w:hint="eastAsia" w:ascii="仿宋" w:hAnsi="仿宋" w:eastAsia="仿宋" w:cs="仿宋"/>
          <w:color w:val="auto"/>
          <w:szCs w:val="21"/>
          <w:highlight w:val="none"/>
          <w:lang w:eastAsia="zh-CN"/>
        </w:rPr>
        <w:t>投票的合格中标候选人</w:t>
      </w:r>
      <w:r>
        <w:rPr>
          <w:rFonts w:hint="eastAsia" w:ascii="仿宋" w:hAnsi="仿宋" w:eastAsia="仿宋" w:cs="仿宋"/>
          <w:color w:val="auto"/>
          <w:szCs w:val="21"/>
          <w:highlight w:val="none"/>
        </w:rPr>
        <w:t>及</w:t>
      </w:r>
      <w:r>
        <w:rPr>
          <w:rFonts w:hint="eastAsia" w:ascii="仿宋" w:hAnsi="仿宋" w:eastAsia="仿宋" w:cs="仿宋"/>
          <w:color w:val="auto"/>
          <w:szCs w:val="21"/>
          <w:highlight w:val="none"/>
          <w:lang w:eastAsia="zh-CN"/>
        </w:rPr>
        <w:t>投票</w:t>
      </w:r>
      <w:r>
        <w:rPr>
          <w:rFonts w:hint="eastAsia" w:ascii="仿宋" w:hAnsi="仿宋" w:eastAsia="仿宋" w:cs="仿宋"/>
          <w:color w:val="auto"/>
          <w:szCs w:val="21"/>
          <w:highlight w:val="none"/>
        </w:rPr>
        <w:t>理由。</w:t>
      </w:r>
    </w:p>
    <w:p w14:paraId="702064F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（2）由定标委员会成员进行投票，各定标委员会成员只有1票表决权（即只能对其中一名合格中标候选人“投票”）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不得弃权</w:t>
      </w:r>
      <w:r>
        <w:rPr>
          <w:rFonts w:hint="eastAsia" w:ascii="仿宋" w:hAnsi="仿宋" w:eastAsia="仿宋" w:cs="仿宋"/>
          <w:color w:val="auto"/>
          <w:szCs w:val="21"/>
          <w:highlight w:val="none"/>
        </w:rPr>
        <w:t>。</w:t>
      </w:r>
    </w:p>
    <w:p w14:paraId="5B4F048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（3）投票结束后，点票人员对投票人数、票数和每票应选方案总数加以核对和统计，作废的选票不得统计，并向定标委员会报告。</w:t>
      </w:r>
    </w:p>
    <w:p w14:paraId="6A9C0FF8">
      <w:pPr>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（4）定标委员会成员应当独立投票，自投票开始至最终排名统计结果公布期间，任何人不得非法干预、影响投票过程，不得透露、协商、改变投票结果，不得使用通信联络工具。</w:t>
      </w:r>
    </w:p>
    <w:p w14:paraId="185EE3C3">
      <w:pPr>
        <w:spacing w:line="360" w:lineRule="auto"/>
        <w:rPr>
          <w:rFonts w:hint="eastAsia" w:ascii="仿宋" w:hAnsi="仿宋" w:eastAsia="仿宋" w:cs="仿宋"/>
          <w:color w:val="auto"/>
          <w:szCs w:val="21"/>
          <w:highlight w:val="none"/>
        </w:rPr>
      </w:pPr>
    </w:p>
    <w:p w14:paraId="3990B0B2">
      <w:pPr>
        <w:adjustRightInd w:val="0"/>
        <w:snapToGrid w:val="0"/>
        <w:spacing w:line="360" w:lineRule="auto"/>
        <w:rPr>
          <w:rFonts w:hint="eastAsia" w:ascii="仿宋" w:hAnsi="仿宋" w:eastAsia="仿宋" w:cs="仿宋"/>
          <w:b/>
          <w:color w:val="auto"/>
          <w:kern w:val="0"/>
          <w:highlight w:val="none"/>
        </w:rPr>
      </w:pPr>
      <w:r>
        <w:rPr>
          <w:rFonts w:hint="eastAsia" w:ascii="仿宋" w:hAnsi="仿宋" w:eastAsia="仿宋" w:cs="仿宋"/>
          <w:color w:val="auto"/>
          <w:szCs w:val="21"/>
          <w:highlight w:val="none"/>
        </w:rPr>
        <w:t>定标委员签名：                                 日期：     年    月    日</w:t>
      </w:r>
    </w:p>
    <w:p w14:paraId="2982465A">
      <w:pPr>
        <w:adjustRightInd w:val="0"/>
        <w:snapToGrid w:val="0"/>
        <w:spacing w:line="360" w:lineRule="auto"/>
        <w:rPr>
          <w:rFonts w:hint="eastAsia" w:ascii="仿宋" w:hAnsi="仿宋" w:eastAsia="仿宋" w:cs="仿宋"/>
          <w:color w:val="auto"/>
          <w:kern w:val="0"/>
          <w:highlight w:val="none"/>
        </w:rPr>
      </w:pPr>
    </w:p>
    <w:p w14:paraId="06F9ECC8">
      <w:pPr>
        <w:pStyle w:val="146"/>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5EDA1AF">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投票汇总表格（定标阶段）</w:t>
      </w:r>
    </w:p>
    <w:p w14:paraId="2D928C59">
      <w:pPr>
        <w:pStyle w:val="146"/>
        <w:rPr>
          <w:rFonts w:hint="eastAsia" w:ascii="仿宋" w:hAnsi="仿宋" w:eastAsia="仿宋" w:cs="仿宋"/>
          <w:color w:val="auto"/>
          <w:highlight w:val="none"/>
        </w:rPr>
      </w:pPr>
    </w:p>
    <w:p w14:paraId="0C82C4E7">
      <w:pPr>
        <w:adjustRightInd w:val="0"/>
        <w:snapToGrid w:val="0"/>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项目名称</w:t>
      </w:r>
      <w:r>
        <w:rPr>
          <w:rFonts w:hint="eastAsia" w:ascii="仿宋" w:hAnsi="仿宋" w:eastAsia="仿宋" w:cs="仿宋"/>
          <w:color w:val="auto"/>
          <w:kern w:val="0"/>
          <w:szCs w:val="21"/>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4282"/>
        <w:gridCol w:w="4026"/>
      </w:tblGrid>
      <w:tr w14:paraId="4C50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52C39AEA">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序号</w:t>
            </w:r>
          </w:p>
        </w:tc>
        <w:tc>
          <w:tcPr>
            <w:tcW w:w="4282" w:type="dxa"/>
            <w:tcBorders>
              <w:top w:val="single" w:color="auto" w:sz="4" w:space="0"/>
              <w:left w:val="single" w:color="auto" w:sz="4" w:space="0"/>
              <w:bottom w:val="single" w:color="auto" w:sz="6" w:space="0"/>
              <w:right w:val="single" w:color="auto" w:sz="6" w:space="0"/>
            </w:tcBorders>
            <w:vAlign w:val="center"/>
          </w:tcPr>
          <w:p w14:paraId="3BB33399">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 w:val="24"/>
                <w:szCs w:val="24"/>
                <w:highlight w:val="none"/>
              </w:rPr>
              <w:t>合格中标候选人名称</w:t>
            </w:r>
          </w:p>
        </w:tc>
        <w:tc>
          <w:tcPr>
            <w:tcW w:w="4026" w:type="dxa"/>
            <w:tcBorders>
              <w:top w:val="single" w:color="auto" w:sz="4" w:space="0"/>
              <w:left w:val="single" w:color="auto" w:sz="6" w:space="0"/>
              <w:bottom w:val="single" w:color="auto" w:sz="6" w:space="0"/>
              <w:right w:val="single" w:color="auto" w:sz="6" w:space="0"/>
            </w:tcBorders>
            <w:vAlign w:val="center"/>
          </w:tcPr>
          <w:p w14:paraId="5B864780">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得票数</w:t>
            </w:r>
          </w:p>
        </w:tc>
      </w:tr>
      <w:tr w14:paraId="3D96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13169BC7">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4282" w:type="dxa"/>
            <w:tcBorders>
              <w:top w:val="single" w:color="auto" w:sz="6" w:space="0"/>
              <w:left w:val="single" w:color="auto" w:sz="4" w:space="0"/>
              <w:bottom w:val="single" w:color="auto" w:sz="6" w:space="0"/>
              <w:right w:val="single" w:color="auto" w:sz="6" w:space="0"/>
            </w:tcBorders>
            <w:vAlign w:val="center"/>
          </w:tcPr>
          <w:p w14:paraId="54CCD004">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7D99C367">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p>
        </w:tc>
      </w:tr>
      <w:tr w14:paraId="0EE9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3930A5AA">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4282" w:type="dxa"/>
            <w:tcBorders>
              <w:top w:val="single" w:color="auto" w:sz="6" w:space="0"/>
              <w:left w:val="single" w:color="auto" w:sz="4" w:space="0"/>
              <w:bottom w:val="single" w:color="auto" w:sz="6" w:space="0"/>
              <w:right w:val="single" w:color="auto" w:sz="6" w:space="0"/>
            </w:tcBorders>
            <w:vAlign w:val="center"/>
          </w:tcPr>
          <w:p w14:paraId="78A2A9B7">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24AF6A87">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p>
        </w:tc>
      </w:tr>
      <w:tr w14:paraId="2A51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2830BC2E">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4282" w:type="dxa"/>
            <w:tcBorders>
              <w:top w:val="single" w:color="auto" w:sz="6" w:space="0"/>
              <w:left w:val="single" w:color="auto" w:sz="4" w:space="0"/>
              <w:bottom w:val="single" w:color="auto" w:sz="6" w:space="0"/>
              <w:right w:val="single" w:color="auto" w:sz="6" w:space="0"/>
            </w:tcBorders>
            <w:vAlign w:val="center"/>
          </w:tcPr>
          <w:p w14:paraId="623AC17E">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43141888">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p>
        </w:tc>
      </w:tr>
      <w:tr w14:paraId="483F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1E16D516">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4282" w:type="dxa"/>
            <w:tcBorders>
              <w:top w:val="single" w:color="auto" w:sz="6" w:space="0"/>
              <w:left w:val="single" w:color="auto" w:sz="4" w:space="0"/>
              <w:bottom w:val="single" w:color="auto" w:sz="6" w:space="0"/>
              <w:right w:val="single" w:color="auto" w:sz="6" w:space="0"/>
            </w:tcBorders>
            <w:vAlign w:val="center"/>
          </w:tcPr>
          <w:p w14:paraId="1C728F06">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304DA65D">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p>
        </w:tc>
      </w:tr>
      <w:tr w14:paraId="10A5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67D908B4">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4282" w:type="dxa"/>
            <w:tcBorders>
              <w:top w:val="single" w:color="auto" w:sz="6" w:space="0"/>
              <w:left w:val="single" w:color="auto" w:sz="4" w:space="0"/>
              <w:bottom w:val="single" w:color="auto" w:sz="4" w:space="0"/>
              <w:right w:val="single" w:color="auto" w:sz="6" w:space="0"/>
            </w:tcBorders>
            <w:vAlign w:val="center"/>
          </w:tcPr>
          <w:p w14:paraId="42C18F45">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p>
        </w:tc>
        <w:tc>
          <w:tcPr>
            <w:tcW w:w="4026" w:type="dxa"/>
            <w:tcBorders>
              <w:top w:val="single" w:color="auto" w:sz="6" w:space="0"/>
              <w:left w:val="single" w:color="auto" w:sz="6" w:space="0"/>
              <w:bottom w:val="single" w:color="auto" w:sz="4" w:space="0"/>
              <w:right w:val="single" w:color="auto" w:sz="6" w:space="0"/>
            </w:tcBorders>
            <w:vAlign w:val="center"/>
          </w:tcPr>
          <w:p w14:paraId="022271D3">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Cs w:val="21"/>
                <w:highlight w:val="none"/>
              </w:rPr>
            </w:pPr>
          </w:p>
        </w:tc>
      </w:tr>
    </w:tbl>
    <w:p w14:paraId="5B8E304D">
      <w:pPr>
        <w:rPr>
          <w:rFonts w:hint="eastAsia" w:ascii="仿宋" w:hAnsi="仿宋" w:eastAsia="仿宋" w:cs="仿宋"/>
          <w:color w:val="auto"/>
          <w:kern w:val="0"/>
          <w:szCs w:val="21"/>
          <w:highlight w:val="none"/>
        </w:rPr>
      </w:pPr>
    </w:p>
    <w:p w14:paraId="3C39AABF">
      <w:pPr>
        <w:adjustRightInd w:val="0"/>
        <w:snapToGrid w:val="0"/>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定标委员会全体成员签字</w:t>
      </w:r>
      <w:r>
        <w:rPr>
          <w:rFonts w:hint="eastAsia" w:ascii="仿宋" w:hAnsi="仿宋" w:eastAsia="仿宋" w:cs="仿宋"/>
          <w:color w:val="auto"/>
          <w:kern w:val="0"/>
          <w:szCs w:val="21"/>
          <w:highlight w:val="none"/>
        </w:rPr>
        <w:t>：                                         日期：</w:t>
      </w:r>
    </w:p>
    <w:p w14:paraId="0FB1DEF2">
      <w:pPr>
        <w:pStyle w:val="146"/>
        <w:rPr>
          <w:rFonts w:hint="eastAsia" w:ascii="仿宋" w:hAnsi="仿宋" w:eastAsia="仿宋" w:cs="仿宋"/>
          <w:color w:val="auto"/>
          <w:highlight w:val="none"/>
        </w:rPr>
      </w:pPr>
    </w:p>
    <w:p w14:paraId="74A1BF7C">
      <w:pPr>
        <w:pStyle w:val="146"/>
        <w:rPr>
          <w:rFonts w:hint="eastAsia" w:ascii="仿宋" w:hAnsi="仿宋" w:eastAsia="仿宋" w:cs="仿宋"/>
          <w:b/>
          <w:color w:val="auto"/>
          <w:sz w:val="28"/>
          <w:szCs w:val="28"/>
          <w:highlight w:val="none"/>
        </w:rPr>
      </w:pPr>
      <w:r>
        <w:rPr>
          <w:rFonts w:hint="eastAsia" w:ascii="仿宋" w:hAnsi="仿宋" w:eastAsia="仿宋" w:cs="仿宋"/>
          <w:color w:val="auto"/>
          <w:highlight w:val="none"/>
        </w:rPr>
        <w:br w:type="page"/>
      </w:r>
    </w:p>
    <w:p w14:paraId="4B51D244">
      <w:pPr>
        <w:pStyle w:val="14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附加</w:t>
      </w:r>
      <w:r>
        <w:rPr>
          <w:rFonts w:hint="eastAsia" w:ascii="仿宋" w:hAnsi="仿宋" w:eastAsia="仿宋" w:cs="仿宋"/>
          <w:b/>
          <w:bCs/>
          <w:color w:val="auto"/>
          <w:kern w:val="0"/>
          <w:sz w:val="28"/>
          <w:szCs w:val="28"/>
          <w:highlight w:val="none"/>
        </w:rPr>
        <w:t>直接票决定标选票</w:t>
      </w:r>
      <w:r>
        <w:rPr>
          <w:rFonts w:hint="eastAsia" w:ascii="仿宋" w:hAnsi="仿宋" w:eastAsia="仿宋" w:cs="仿宋"/>
          <w:b/>
          <w:color w:val="auto"/>
          <w:sz w:val="28"/>
          <w:szCs w:val="28"/>
          <w:highlight w:val="none"/>
        </w:rPr>
        <w:t>表</w:t>
      </w:r>
    </w:p>
    <w:p w14:paraId="302544BC">
      <w:pPr>
        <w:pStyle w:val="14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（定标阶段-票数相同时定标委员会个人用表）</w:t>
      </w:r>
    </w:p>
    <w:p w14:paraId="39B30CBB">
      <w:pPr>
        <w:pStyle w:val="146"/>
        <w:jc w:val="center"/>
        <w:rPr>
          <w:rFonts w:hint="eastAsia" w:ascii="仿宋" w:hAnsi="仿宋" w:eastAsia="仿宋" w:cs="仿宋"/>
          <w:b/>
          <w:color w:val="auto"/>
          <w:sz w:val="28"/>
          <w:szCs w:val="28"/>
          <w:highlight w:val="none"/>
        </w:rPr>
      </w:pPr>
    </w:p>
    <w:p w14:paraId="00B2A817">
      <w:pPr>
        <w:adjustRightInd w:val="0"/>
        <w:snapToGrid w:val="0"/>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lang w:eastAsia="zh-CN"/>
        </w:rPr>
        <w:t>项目名称</w:t>
      </w:r>
      <w:r>
        <w:rPr>
          <w:rFonts w:hint="eastAsia" w:ascii="仿宋" w:hAnsi="仿宋" w:eastAsia="仿宋" w:cs="仿宋"/>
          <w:color w:val="auto"/>
          <w:kern w:val="0"/>
          <w:highlight w:val="none"/>
        </w:rPr>
        <w:t>：</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561C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5FEAA50B">
            <w:pPr>
              <w:keepNext w:val="0"/>
              <w:keepLines w:val="0"/>
              <w:suppressLineNumbers w:val="0"/>
              <w:spacing w:before="0" w:beforeAutospacing="0" w:after="0" w:afterAutospacing="0" w:line="600" w:lineRule="exact"/>
              <w:ind w:left="0" w:right="0"/>
              <w:jc w:val="center"/>
              <w:rPr>
                <w:rFonts w:hint="eastAsia" w:ascii="仿宋" w:hAnsi="仿宋" w:eastAsia="仿宋" w:cs="仿宋"/>
                <w:color w:val="auto"/>
                <w:kern w:val="0"/>
                <w:highlight w:val="none"/>
              </w:rPr>
            </w:pPr>
            <w:r>
              <w:rPr>
                <w:rFonts w:hint="eastAsia" w:ascii="仿宋" w:hAnsi="仿宋" w:eastAsia="仿宋" w:cs="仿宋"/>
                <w:b/>
                <w:color w:val="auto"/>
                <w:kern w:val="0"/>
                <w:sz w:val="21"/>
                <w:szCs w:val="21"/>
                <w:highlight w:val="none"/>
              </w:rPr>
              <w:t>合格中标候选人</w:t>
            </w:r>
          </w:p>
        </w:tc>
        <w:tc>
          <w:tcPr>
            <w:tcW w:w="1930" w:type="dxa"/>
            <w:tcBorders>
              <w:top w:val="single" w:color="auto" w:sz="4" w:space="0"/>
              <w:left w:val="single" w:color="auto" w:sz="4" w:space="0"/>
              <w:bottom w:val="single" w:color="auto" w:sz="4" w:space="0"/>
              <w:right w:val="single" w:color="auto" w:sz="4" w:space="0"/>
            </w:tcBorders>
            <w:vAlign w:val="center"/>
          </w:tcPr>
          <w:p w14:paraId="579CBEC3">
            <w:pPr>
              <w:keepNext w:val="0"/>
              <w:keepLines w:val="0"/>
              <w:suppressLineNumbers w:val="0"/>
              <w:spacing w:before="0" w:beforeAutospacing="0" w:after="0" w:afterAutospacing="0" w:line="600" w:lineRule="exact"/>
              <w:ind w:left="0" w:right="0"/>
              <w:jc w:val="center"/>
              <w:rPr>
                <w:rFonts w:hint="eastAsia" w:ascii="仿宋" w:hAnsi="仿宋" w:eastAsia="仿宋" w:cs="仿宋"/>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30CE06C9">
            <w:pPr>
              <w:keepNext w:val="0"/>
              <w:keepLines w:val="0"/>
              <w:suppressLineNumbers w:val="0"/>
              <w:spacing w:before="0" w:beforeAutospacing="0" w:after="0" w:afterAutospacing="0" w:line="600" w:lineRule="exact"/>
              <w:ind w:left="0" w:right="0"/>
              <w:jc w:val="center"/>
              <w:rPr>
                <w:rFonts w:hint="eastAsia" w:ascii="仿宋" w:hAnsi="仿宋" w:eastAsia="仿宋" w:cs="仿宋"/>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360F9468">
            <w:pPr>
              <w:keepNext w:val="0"/>
              <w:keepLines w:val="0"/>
              <w:suppressLineNumbers w:val="0"/>
              <w:spacing w:before="0" w:beforeAutospacing="0" w:after="0" w:afterAutospacing="0" w:line="600" w:lineRule="exact"/>
              <w:ind w:left="0" w:right="0"/>
              <w:jc w:val="center"/>
              <w:rPr>
                <w:rFonts w:hint="eastAsia" w:ascii="仿宋" w:hAnsi="仿宋" w:eastAsia="仿宋" w:cs="仿宋"/>
                <w:color w:val="auto"/>
                <w:kern w:val="0"/>
                <w:highlight w:val="none"/>
              </w:rPr>
            </w:pPr>
          </w:p>
        </w:tc>
      </w:tr>
      <w:tr w14:paraId="0A3B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0" w:type="dxa"/>
            <w:tcBorders>
              <w:top w:val="single" w:color="auto" w:sz="4" w:space="0"/>
              <w:left w:val="single" w:color="auto" w:sz="4" w:space="0"/>
              <w:bottom w:val="single" w:color="auto" w:sz="4" w:space="0"/>
              <w:right w:val="single" w:color="auto" w:sz="4" w:space="0"/>
            </w:tcBorders>
            <w:vAlign w:val="center"/>
          </w:tcPr>
          <w:p w14:paraId="247B1B37">
            <w:pPr>
              <w:keepNext w:val="0"/>
              <w:keepLines w:val="0"/>
              <w:suppressLineNumbers w:val="0"/>
              <w:spacing w:before="0" w:beforeAutospacing="0" w:after="0" w:afterAutospacing="0" w:line="6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14:paraId="168B71D0">
            <w:pPr>
              <w:keepNext w:val="0"/>
              <w:keepLines w:val="0"/>
              <w:suppressLineNumbers w:val="0"/>
              <w:spacing w:before="0" w:beforeAutospacing="0" w:after="0" w:afterAutospacing="0" w:line="600" w:lineRule="exact"/>
              <w:ind w:left="0" w:right="0"/>
              <w:jc w:val="center"/>
              <w:rPr>
                <w:rFonts w:hint="eastAsia" w:ascii="仿宋" w:hAnsi="仿宋" w:eastAsia="仿宋" w:cs="仿宋"/>
                <w:color w:val="auto"/>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14A19007">
            <w:pPr>
              <w:keepNext w:val="0"/>
              <w:keepLines w:val="0"/>
              <w:suppressLineNumbers w:val="0"/>
              <w:spacing w:before="0" w:beforeAutospacing="0" w:after="0" w:afterAutospacing="0" w:line="600" w:lineRule="exact"/>
              <w:ind w:left="0" w:right="0"/>
              <w:jc w:val="center"/>
              <w:rPr>
                <w:rFonts w:hint="eastAsia" w:ascii="仿宋" w:hAnsi="仿宋" w:eastAsia="仿宋" w:cs="仿宋"/>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3D86D3B5">
            <w:pPr>
              <w:keepNext w:val="0"/>
              <w:keepLines w:val="0"/>
              <w:suppressLineNumbers w:val="0"/>
              <w:spacing w:before="0" w:beforeAutospacing="0" w:after="0" w:afterAutospacing="0" w:line="600" w:lineRule="exact"/>
              <w:ind w:left="0" w:right="0"/>
              <w:jc w:val="center"/>
              <w:rPr>
                <w:rFonts w:hint="eastAsia" w:ascii="仿宋" w:hAnsi="仿宋" w:eastAsia="仿宋" w:cs="仿宋"/>
                <w:color w:val="auto"/>
                <w:kern w:val="0"/>
                <w:highlight w:val="none"/>
              </w:rPr>
            </w:pPr>
          </w:p>
        </w:tc>
      </w:tr>
    </w:tbl>
    <w:p w14:paraId="61D706EB">
      <w:pPr>
        <w:pStyle w:val="146"/>
        <w:rPr>
          <w:rFonts w:hint="eastAsia" w:ascii="仿宋" w:hAnsi="仿宋" w:eastAsia="仿宋" w:cs="仿宋"/>
          <w:color w:val="auto"/>
          <w:kern w:val="0"/>
          <w:szCs w:val="21"/>
          <w:highlight w:val="none"/>
        </w:rPr>
      </w:pPr>
    </w:p>
    <w:p w14:paraId="1DEDA5A0">
      <w:pPr>
        <w:adjustRightInd w:val="0"/>
        <w:snapToGrid w:val="0"/>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定标委员签名：                                            日期：</w:t>
      </w:r>
    </w:p>
    <w:p w14:paraId="1E20D9C5">
      <w:pPr>
        <w:pStyle w:val="146"/>
        <w:rPr>
          <w:rFonts w:hint="eastAsia" w:ascii="仿宋" w:hAnsi="仿宋" w:eastAsia="仿宋" w:cs="仿宋"/>
          <w:color w:val="auto"/>
          <w:highlight w:val="none"/>
        </w:rPr>
      </w:pPr>
    </w:p>
    <w:p w14:paraId="0933F7D4">
      <w:pPr>
        <w:pStyle w:val="146"/>
        <w:rPr>
          <w:rFonts w:hint="eastAsia" w:ascii="仿宋" w:hAnsi="仿宋" w:eastAsia="仿宋" w:cs="仿宋"/>
          <w:b/>
          <w:color w:val="auto"/>
          <w:highlight w:val="none"/>
        </w:rPr>
      </w:pPr>
      <w:r>
        <w:rPr>
          <w:rFonts w:hint="eastAsia" w:ascii="仿宋" w:hAnsi="仿宋" w:eastAsia="仿宋" w:cs="仿宋"/>
          <w:b/>
          <w:color w:val="auto"/>
          <w:highlight w:val="none"/>
        </w:rPr>
        <w:t>备注：</w:t>
      </w:r>
    </w:p>
    <w:p w14:paraId="65A59AA4">
      <w:pPr>
        <w:pStyle w:val="146"/>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1、本表用于投票出现票数相同的情况。</w:t>
      </w:r>
    </w:p>
    <w:p w14:paraId="71922EF1">
      <w:pPr>
        <w:pStyle w:val="146"/>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2、由定标委员会成员进行附加投票，票决意见分别为“投票”或“不投票”，各定标委员会成员只有1票表决权（即只能对其中一名合格中标候选人“投票”），票决意见为“投票”的，用“○”表示；票决意见为“不投票”，用“×”表示。</w:t>
      </w:r>
    </w:p>
    <w:p w14:paraId="582D177D">
      <w:pPr>
        <w:pStyle w:val="146"/>
        <w:rPr>
          <w:rFonts w:hint="eastAsia" w:ascii="仿宋" w:hAnsi="仿宋" w:eastAsia="仿宋" w:cs="仿宋"/>
          <w:b/>
          <w:color w:val="auto"/>
          <w:sz w:val="28"/>
          <w:szCs w:val="28"/>
          <w:highlight w:val="none"/>
        </w:rPr>
      </w:pPr>
      <w:r>
        <w:rPr>
          <w:rFonts w:hint="eastAsia" w:ascii="仿宋" w:hAnsi="仿宋" w:eastAsia="仿宋" w:cs="仿宋"/>
          <w:color w:val="auto"/>
          <w:highlight w:val="none"/>
        </w:rPr>
        <w:br w:type="page"/>
      </w:r>
    </w:p>
    <w:p w14:paraId="4D2074FD">
      <w:pPr>
        <w:pStyle w:val="14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附加</w:t>
      </w:r>
      <w:r>
        <w:rPr>
          <w:rFonts w:hint="eastAsia" w:ascii="仿宋" w:hAnsi="仿宋" w:eastAsia="仿宋" w:cs="仿宋"/>
          <w:b/>
          <w:bCs/>
          <w:color w:val="auto"/>
          <w:kern w:val="0"/>
          <w:sz w:val="28"/>
          <w:szCs w:val="28"/>
          <w:highlight w:val="none"/>
        </w:rPr>
        <w:t>直接票决定标选票汇总</w:t>
      </w:r>
      <w:r>
        <w:rPr>
          <w:rFonts w:hint="eastAsia" w:ascii="仿宋" w:hAnsi="仿宋" w:eastAsia="仿宋" w:cs="仿宋"/>
          <w:b/>
          <w:color w:val="auto"/>
          <w:sz w:val="28"/>
          <w:szCs w:val="28"/>
          <w:highlight w:val="none"/>
        </w:rPr>
        <w:t>表</w:t>
      </w:r>
    </w:p>
    <w:p w14:paraId="511113B5">
      <w:pPr>
        <w:pStyle w:val="14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（定标阶段-票数相同时定标委员会汇总用表）</w:t>
      </w:r>
    </w:p>
    <w:p w14:paraId="5AB8B322">
      <w:pPr>
        <w:pStyle w:val="146"/>
        <w:jc w:val="center"/>
        <w:rPr>
          <w:rFonts w:hint="eastAsia" w:ascii="仿宋" w:hAnsi="仿宋" w:eastAsia="仿宋" w:cs="仿宋"/>
          <w:b/>
          <w:color w:val="auto"/>
          <w:sz w:val="28"/>
          <w:szCs w:val="28"/>
          <w:highlight w:val="none"/>
        </w:rPr>
      </w:pPr>
    </w:p>
    <w:p w14:paraId="536E2D47">
      <w:pPr>
        <w:adjustRightInd w:val="0"/>
        <w:snapToGrid w:val="0"/>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lang w:eastAsia="zh-CN"/>
        </w:rPr>
        <w:t>项目名称</w:t>
      </w:r>
      <w:r>
        <w:rPr>
          <w:rFonts w:hint="eastAsia" w:ascii="仿宋" w:hAnsi="仿宋" w:eastAsia="仿宋" w:cs="仿宋"/>
          <w:color w:val="auto"/>
          <w:kern w:val="0"/>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5435"/>
        <w:gridCol w:w="2363"/>
      </w:tblGrid>
      <w:tr w14:paraId="2753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27" w:type="dxa"/>
            <w:tcBorders>
              <w:top w:val="single" w:color="auto" w:sz="4" w:space="0"/>
              <w:left w:val="single" w:color="auto" w:sz="4" w:space="0"/>
              <w:bottom w:val="single" w:color="auto" w:sz="4" w:space="0"/>
              <w:right w:val="single" w:color="auto" w:sz="4" w:space="0"/>
            </w:tcBorders>
            <w:vAlign w:val="center"/>
          </w:tcPr>
          <w:p w14:paraId="4C73AA3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435" w:type="dxa"/>
            <w:tcBorders>
              <w:top w:val="single" w:color="auto" w:sz="4" w:space="0"/>
              <w:left w:val="single" w:color="auto" w:sz="4" w:space="0"/>
              <w:bottom w:val="single" w:color="auto" w:sz="4" w:space="0"/>
              <w:right w:val="single" w:color="auto" w:sz="4" w:space="0"/>
            </w:tcBorders>
            <w:vAlign w:val="center"/>
          </w:tcPr>
          <w:p w14:paraId="4623118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合格中标候选人</w:t>
            </w:r>
            <w:r>
              <w:rPr>
                <w:rFonts w:hint="eastAsia" w:ascii="仿宋" w:hAnsi="仿宋" w:eastAsia="仿宋" w:cs="仿宋"/>
                <w:color w:val="auto"/>
                <w:sz w:val="24"/>
                <w:highlight w:val="none"/>
                <w:lang w:val="en-US" w:eastAsia="zh-CN"/>
              </w:rPr>
              <w:t>名称</w:t>
            </w:r>
          </w:p>
        </w:tc>
        <w:tc>
          <w:tcPr>
            <w:tcW w:w="2363" w:type="dxa"/>
            <w:tcBorders>
              <w:top w:val="single" w:color="auto" w:sz="4" w:space="0"/>
              <w:left w:val="single" w:color="auto" w:sz="4" w:space="0"/>
              <w:bottom w:val="single" w:color="auto" w:sz="4" w:space="0"/>
              <w:right w:val="single" w:color="auto" w:sz="4" w:space="0"/>
            </w:tcBorders>
            <w:vAlign w:val="center"/>
          </w:tcPr>
          <w:p w14:paraId="3C2FDE55">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得票数</w:t>
            </w:r>
          </w:p>
        </w:tc>
      </w:tr>
      <w:tr w14:paraId="3B42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7B79913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435" w:type="dxa"/>
            <w:tcBorders>
              <w:top w:val="single" w:color="auto" w:sz="4" w:space="0"/>
              <w:left w:val="single" w:color="auto" w:sz="4" w:space="0"/>
              <w:bottom w:val="single" w:color="auto" w:sz="4" w:space="0"/>
              <w:right w:val="single" w:color="auto" w:sz="4" w:space="0"/>
            </w:tcBorders>
            <w:vAlign w:val="center"/>
          </w:tcPr>
          <w:p w14:paraId="7A06416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459BEC0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2148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450932D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435" w:type="dxa"/>
            <w:tcBorders>
              <w:top w:val="single" w:color="auto" w:sz="4" w:space="0"/>
              <w:left w:val="single" w:color="auto" w:sz="4" w:space="0"/>
              <w:bottom w:val="single" w:color="auto" w:sz="4" w:space="0"/>
              <w:right w:val="single" w:color="auto" w:sz="4" w:space="0"/>
            </w:tcBorders>
            <w:vAlign w:val="center"/>
          </w:tcPr>
          <w:p w14:paraId="28B339B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400F6F2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1FC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0AEFF00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435" w:type="dxa"/>
            <w:tcBorders>
              <w:top w:val="single" w:color="auto" w:sz="4" w:space="0"/>
              <w:left w:val="single" w:color="auto" w:sz="4" w:space="0"/>
              <w:bottom w:val="single" w:color="auto" w:sz="4" w:space="0"/>
              <w:right w:val="single" w:color="auto" w:sz="4" w:space="0"/>
            </w:tcBorders>
            <w:vAlign w:val="center"/>
          </w:tcPr>
          <w:p w14:paraId="722140A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0014A83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20C8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43F1791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435" w:type="dxa"/>
            <w:tcBorders>
              <w:top w:val="single" w:color="auto" w:sz="4" w:space="0"/>
              <w:left w:val="single" w:color="auto" w:sz="4" w:space="0"/>
              <w:bottom w:val="single" w:color="auto" w:sz="4" w:space="0"/>
              <w:right w:val="single" w:color="auto" w:sz="4" w:space="0"/>
            </w:tcBorders>
            <w:vAlign w:val="center"/>
          </w:tcPr>
          <w:p w14:paraId="3D61267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7382A2C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6096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1DB2834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5435" w:type="dxa"/>
            <w:tcBorders>
              <w:top w:val="single" w:color="auto" w:sz="4" w:space="0"/>
              <w:left w:val="single" w:color="auto" w:sz="4" w:space="0"/>
              <w:bottom w:val="single" w:color="auto" w:sz="4" w:space="0"/>
              <w:right w:val="single" w:color="auto" w:sz="4" w:space="0"/>
            </w:tcBorders>
            <w:vAlign w:val="center"/>
          </w:tcPr>
          <w:p w14:paraId="657C9D1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2FC5F60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bl>
    <w:p w14:paraId="2FBC3B2A">
      <w:pPr>
        <w:pStyle w:val="146"/>
        <w:rPr>
          <w:rFonts w:hint="eastAsia" w:ascii="仿宋" w:hAnsi="仿宋" w:eastAsia="仿宋" w:cs="仿宋"/>
          <w:color w:val="auto"/>
          <w:kern w:val="0"/>
          <w:szCs w:val="21"/>
          <w:highlight w:val="none"/>
        </w:rPr>
      </w:pPr>
    </w:p>
    <w:p w14:paraId="0971B2C0">
      <w:pPr>
        <w:spacing w:line="360" w:lineRule="auto"/>
        <w:ind w:firstLine="840" w:firstLineChars="400"/>
        <w:rPr>
          <w:rFonts w:hint="eastAsia" w:ascii="仿宋" w:hAnsi="仿宋" w:eastAsia="仿宋" w:cs="仿宋"/>
          <w:color w:val="auto"/>
          <w:sz w:val="24"/>
          <w:szCs w:val="24"/>
          <w:highlight w:val="none"/>
        </w:rPr>
      </w:pPr>
      <w:r>
        <w:rPr>
          <w:rFonts w:hint="eastAsia" w:ascii="仿宋" w:hAnsi="仿宋" w:eastAsia="仿宋" w:cs="仿宋"/>
          <w:color w:val="auto"/>
          <w:kern w:val="0"/>
          <w:szCs w:val="21"/>
          <w:highlight w:val="none"/>
        </w:rPr>
        <w:t>定标委员会签名：                                            日期：</w:t>
      </w:r>
    </w:p>
    <w:p w14:paraId="2A9D6861">
      <w:pPr>
        <w:spacing w:line="360" w:lineRule="auto"/>
        <w:ind w:firstLine="960" w:firstLineChars="400"/>
        <w:rPr>
          <w:rFonts w:hint="eastAsia" w:ascii="仿宋" w:hAnsi="仿宋" w:eastAsia="仿宋" w:cs="仿宋"/>
          <w:color w:val="auto"/>
          <w:sz w:val="24"/>
          <w:szCs w:val="24"/>
          <w:highlight w:val="none"/>
        </w:rPr>
      </w:pPr>
    </w:p>
    <w:p w14:paraId="3E520E1D">
      <w:pPr>
        <w:spacing w:line="360" w:lineRule="auto"/>
        <w:ind w:firstLine="960" w:firstLineChars="400"/>
        <w:rPr>
          <w:rFonts w:hint="eastAsia" w:ascii="仿宋" w:hAnsi="仿宋" w:eastAsia="仿宋" w:cs="仿宋"/>
          <w:color w:val="auto"/>
          <w:sz w:val="24"/>
          <w:szCs w:val="24"/>
          <w:highlight w:val="none"/>
        </w:rPr>
        <w:sectPr>
          <w:headerReference r:id="rId3" w:type="default"/>
          <w:footerReference r:id="rId4" w:type="default"/>
          <w:pgSz w:w="11905" w:h="16838"/>
          <w:pgMar w:top="1247" w:right="1247" w:bottom="1247" w:left="1247" w:header="567" w:footer="850" w:gutter="0"/>
          <w:cols w:space="720" w:num="1"/>
          <w:docGrid w:type="lines" w:linePitch="312" w:charSpace="0"/>
        </w:sectPr>
      </w:pPr>
    </w:p>
    <w:p w14:paraId="16ECB966">
      <w:pPr>
        <w:pStyle w:val="14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定标情况汇总表（定标阶段用表）</w:t>
      </w:r>
    </w:p>
    <w:tbl>
      <w:tblPr>
        <w:tblStyle w:val="40"/>
        <w:tblW w:w="48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144"/>
        <w:gridCol w:w="1180"/>
        <w:gridCol w:w="2212"/>
      </w:tblGrid>
      <w:tr w14:paraId="1B04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18" w:type="pct"/>
            <w:tcBorders>
              <w:top w:val="single" w:color="auto" w:sz="4" w:space="0"/>
              <w:left w:val="single" w:color="auto" w:sz="4" w:space="0"/>
              <w:bottom w:val="single" w:color="auto" w:sz="4" w:space="0"/>
              <w:right w:val="single" w:color="auto" w:sz="4" w:space="0"/>
            </w:tcBorders>
            <w:vAlign w:val="center"/>
          </w:tcPr>
          <w:p w14:paraId="28A5058E">
            <w:pPr>
              <w:keepNext w:val="0"/>
              <w:keepLines w:val="0"/>
              <w:suppressLineNumbers w:val="0"/>
              <w:spacing w:before="0" w:beforeAutospacing="0" w:after="0" w:afterAutospacing="0"/>
              <w:ind w:left="0" w:right="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517" w:type="pct"/>
            <w:tcBorders>
              <w:top w:val="single" w:color="auto" w:sz="4" w:space="0"/>
              <w:left w:val="nil"/>
              <w:bottom w:val="single" w:color="auto" w:sz="4" w:space="0"/>
              <w:right w:val="single" w:color="auto" w:sz="4" w:space="0"/>
            </w:tcBorders>
            <w:vAlign w:val="center"/>
          </w:tcPr>
          <w:p w14:paraId="4585E5B1">
            <w:pPr>
              <w:keepNext w:val="0"/>
              <w:keepLines w:val="0"/>
              <w:suppressLineNumbers w:val="0"/>
              <w:spacing w:before="0" w:beforeAutospacing="0" w:after="0" w:afterAutospacing="0"/>
              <w:ind w:left="0" w:right="0"/>
              <w:jc w:val="center"/>
              <w:rPr>
                <w:rFonts w:hint="eastAsia" w:ascii="仿宋" w:hAnsi="仿宋" w:eastAsia="仿宋" w:cs="仿宋"/>
                <w:b/>
                <w:color w:val="auto"/>
                <w:szCs w:val="24"/>
                <w:highlight w:val="none"/>
              </w:rPr>
            </w:pPr>
            <w:r>
              <w:rPr>
                <w:rFonts w:hint="eastAsia" w:ascii="仿宋" w:hAnsi="仿宋" w:eastAsia="仿宋" w:cs="仿宋"/>
                <w:b/>
                <w:bCs/>
                <w:color w:val="auto"/>
                <w:sz w:val="24"/>
                <w:highlight w:val="none"/>
              </w:rPr>
              <w:t>合格中标候选人</w:t>
            </w:r>
            <w:r>
              <w:rPr>
                <w:rFonts w:hint="eastAsia" w:ascii="仿宋" w:hAnsi="仿宋" w:eastAsia="仿宋" w:cs="仿宋"/>
                <w:b/>
                <w:bCs/>
                <w:color w:val="auto"/>
                <w:sz w:val="24"/>
                <w:highlight w:val="none"/>
                <w:lang w:val="en-US" w:eastAsia="zh-CN"/>
              </w:rPr>
              <w:t>名称</w:t>
            </w:r>
          </w:p>
        </w:tc>
        <w:tc>
          <w:tcPr>
            <w:tcW w:w="718" w:type="pct"/>
            <w:tcBorders>
              <w:top w:val="single" w:color="auto" w:sz="4" w:space="0"/>
              <w:left w:val="nil"/>
              <w:bottom w:val="single" w:color="auto" w:sz="4" w:space="0"/>
              <w:right w:val="single" w:color="auto" w:sz="4" w:space="0"/>
            </w:tcBorders>
            <w:vAlign w:val="center"/>
          </w:tcPr>
          <w:p w14:paraId="409C0BE0">
            <w:pPr>
              <w:keepNext w:val="0"/>
              <w:keepLines w:val="0"/>
              <w:suppressLineNumbers w:val="0"/>
              <w:spacing w:before="0" w:beforeAutospacing="0" w:after="0" w:afterAutospacing="0"/>
              <w:ind w:left="0" w:right="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得票数</w:t>
            </w:r>
          </w:p>
        </w:tc>
        <w:tc>
          <w:tcPr>
            <w:tcW w:w="1344" w:type="pct"/>
            <w:tcBorders>
              <w:top w:val="single" w:color="auto" w:sz="4" w:space="0"/>
              <w:left w:val="nil"/>
              <w:bottom w:val="single" w:color="auto" w:sz="4" w:space="0"/>
              <w:right w:val="single" w:color="auto" w:sz="4" w:space="0"/>
            </w:tcBorders>
            <w:vAlign w:val="center"/>
          </w:tcPr>
          <w:p w14:paraId="2A3D3F5E">
            <w:pPr>
              <w:keepNext w:val="0"/>
              <w:keepLines w:val="0"/>
              <w:suppressLineNumbers w:val="0"/>
              <w:spacing w:before="0" w:beforeAutospacing="0" w:after="0" w:afterAutospacing="0"/>
              <w:ind w:left="0" w:right="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是否被推荐为中标人</w:t>
            </w:r>
          </w:p>
        </w:tc>
      </w:tr>
      <w:tr w14:paraId="3F47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3075EC6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17" w:type="pct"/>
            <w:tcBorders>
              <w:top w:val="single" w:color="auto" w:sz="4" w:space="0"/>
              <w:left w:val="nil"/>
              <w:bottom w:val="single" w:color="auto" w:sz="4" w:space="0"/>
              <w:right w:val="single" w:color="auto" w:sz="4" w:space="0"/>
            </w:tcBorders>
            <w:vAlign w:val="center"/>
          </w:tcPr>
          <w:p w14:paraId="0D50E66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44AABD6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2B7728C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6B03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5A34687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517" w:type="pct"/>
            <w:tcBorders>
              <w:top w:val="single" w:color="auto" w:sz="4" w:space="0"/>
              <w:left w:val="nil"/>
              <w:bottom w:val="single" w:color="auto" w:sz="4" w:space="0"/>
              <w:right w:val="single" w:color="auto" w:sz="4" w:space="0"/>
            </w:tcBorders>
            <w:vAlign w:val="center"/>
          </w:tcPr>
          <w:p w14:paraId="6D74183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53527F3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1434AA7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3E77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1C5E689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517" w:type="pct"/>
            <w:tcBorders>
              <w:top w:val="single" w:color="auto" w:sz="4" w:space="0"/>
              <w:left w:val="nil"/>
              <w:bottom w:val="single" w:color="auto" w:sz="4" w:space="0"/>
              <w:right w:val="single" w:color="auto" w:sz="4" w:space="0"/>
            </w:tcBorders>
            <w:vAlign w:val="center"/>
          </w:tcPr>
          <w:p w14:paraId="5E23C2F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295B415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39D53E2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6C9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47CDD7D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517" w:type="pct"/>
            <w:tcBorders>
              <w:top w:val="single" w:color="auto" w:sz="4" w:space="0"/>
              <w:left w:val="nil"/>
              <w:bottom w:val="single" w:color="auto" w:sz="4" w:space="0"/>
              <w:right w:val="single" w:color="auto" w:sz="4" w:space="0"/>
            </w:tcBorders>
            <w:vAlign w:val="center"/>
          </w:tcPr>
          <w:p w14:paraId="3613FBE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6DB78AC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1E51630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2BFD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348E69F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517" w:type="pct"/>
            <w:tcBorders>
              <w:top w:val="single" w:color="auto" w:sz="4" w:space="0"/>
              <w:left w:val="nil"/>
              <w:bottom w:val="single" w:color="auto" w:sz="4" w:space="0"/>
              <w:right w:val="single" w:color="auto" w:sz="4" w:space="0"/>
            </w:tcBorders>
            <w:vAlign w:val="center"/>
          </w:tcPr>
          <w:p w14:paraId="774181B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200BFB0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4CB3600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62C5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725D301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517" w:type="pct"/>
            <w:tcBorders>
              <w:top w:val="single" w:color="auto" w:sz="4" w:space="0"/>
              <w:left w:val="nil"/>
              <w:bottom w:val="single" w:color="auto" w:sz="4" w:space="0"/>
              <w:right w:val="single" w:color="auto" w:sz="4" w:space="0"/>
            </w:tcBorders>
            <w:vAlign w:val="center"/>
          </w:tcPr>
          <w:p w14:paraId="78742F1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3F9DEF5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6B91E5A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5ACF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7AA21D0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517" w:type="pct"/>
            <w:tcBorders>
              <w:top w:val="single" w:color="auto" w:sz="4" w:space="0"/>
              <w:left w:val="nil"/>
              <w:bottom w:val="single" w:color="auto" w:sz="4" w:space="0"/>
              <w:right w:val="single" w:color="auto" w:sz="4" w:space="0"/>
            </w:tcBorders>
            <w:vAlign w:val="center"/>
          </w:tcPr>
          <w:p w14:paraId="02B5BD1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5FF72B8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4B830A3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54A5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27ADAC7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w:t>
            </w:r>
          </w:p>
        </w:tc>
        <w:tc>
          <w:tcPr>
            <w:tcW w:w="2517" w:type="pct"/>
            <w:tcBorders>
              <w:top w:val="single" w:color="auto" w:sz="4" w:space="0"/>
              <w:left w:val="nil"/>
              <w:bottom w:val="single" w:color="auto" w:sz="4" w:space="0"/>
              <w:right w:val="single" w:color="auto" w:sz="4" w:space="0"/>
            </w:tcBorders>
            <w:vAlign w:val="center"/>
          </w:tcPr>
          <w:p w14:paraId="2B39C38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577C8C0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421989C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bl>
    <w:p w14:paraId="111D1331">
      <w:pPr>
        <w:rPr>
          <w:rFonts w:hint="eastAsia" w:ascii="仿宋" w:hAnsi="仿宋" w:eastAsia="仿宋" w:cs="仿宋"/>
          <w:color w:val="auto"/>
          <w:szCs w:val="21"/>
          <w:highlight w:val="none"/>
        </w:rPr>
      </w:pPr>
    </w:p>
    <w:p w14:paraId="6C186010">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定标委员会签名：</w:t>
      </w:r>
    </w:p>
    <w:p w14:paraId="1C33536F">
      <w:pPr>
        <w:spacing w:line="400" w:lineRule="exact"/>
        <w:rPr>
          <w:rFonts w:hint="eastAsia" w:ascii="仿宋" w:hAnsi="仿宋" w:eastAsia="仿宋" w:cs="仿宋"/>
          <w:color w:val="auto"/>
          <w:sz w:val="24"/>
          <w:szCs w:val="24"/>
          <w:highlight w:val="none"/>
        </w:rPr>
      </w:pPr>
    </w:p>
    <w:p w14:paraId="47FF08CA">
      <w:pPr>
        <w:spacing w:line="400" w:lineRule="exact"/>
        <w:rPr>
          <w:rFonts w:hint="eastAsia" w:ascii="仿宋" w:hAnsi="仿宋" w:eastAsia="仿宋" w:cs="仿宋"/>
          <w:color w:val="auto"/>
          <w:sz w:val="24"/>
          <w:szCs w:val="24"/>
          <w:highlight w:val="none"/>
        </w:rPr>
      </w:pPr>
    </w:p>
    <w:p w14:paraId="3F08CACC">
      <w:pPr>
        <w:spacing w:line="360" w:lineRule="auto"/>
        <w:ind w:right="430" w:firstLine="5200" w:firstLineChars="21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4956444E">
      <w:pPr>
        <w:pStyle w:val="146"/>
        <w:rPr>
          <w:rFonts w:hint="eastAsia" w:ascii="仿宋" w:hAnsi="仿宋" w:eastAsia="仿宋" w:cs="仿宋"/>
          <w:color w:val="auto"/>
          <w:highlight w:val="none"/>
        </w:rPr>
      </w:pPr>
    </w:p>
    <w:p w14:paraId="43FE391F">
      <w:pPr>
        <w:pStyle w:val="146"/>
        <w:rPr>
          <w:rFonts w:hint="eastAsia" w:ascii="仿宋" w:hAnsi="仿宋" w:eastAsia="仿宋" w:cs="仿宋"/>
          <w:color w:val="auto"/>
          <w:highlight w:val="none"/>
        </w:rPr>
      </w:pPr>
    </w:p>
    <w:p w14:paraId="0A2045F5">
      <w:pPr>
        <w:pStyle w:val="38"/>
        <w:spacing w:line="360" w:lineRule="auto"/>
        <w:ind w:firstLine="0"/>
        <w:rPr>
          <w:rFonts w:hint="eastAsia" w:ascii="仿宋" w:hAnsi="仿宋" w:eastAsia="仿宋" w:cs="仿宋"/>
          <w:b/>
          <w:color w:val="auto"/>
          <w:szCs w:val="22"/>
          <w:highlight w:val="none"/>
        </w:rPr>
      </w:pPr>
      <w:r>
        <w:rPr>
          <w:rFonts w:hint="eastAsia" w:ascii="仿宋" w:hAnsi="仿宋" w:eastAsia="仿宋" w:cs="仿宋"/>
          <w:b/>
          <w:color w:val="auto"/>
          <w:sz w:val="24"/>
          <w:highlight w:val="none"/>
        </w:rPr>
        <w:t>注：定标委员会成员须根据每轮的投票结果，得票数最多的合格的中标候选人为中标人。</w:t>
      </w:r>
    </w:p>
    <w:p w14:paraId="25376F5B">
      <w:pPr>
        <w:shd w:val="clear" w:color="auto" w:fill="auto"/>
        <w:rPr>
          <w:rFonts w:hint="eastAsia" w:ascii="仿宋" w:hAnsi="仿宋" w:eastAsia="仿宋" w:cs="仿宋"/>
          <w:color w:val="auto"/>
          <w:highlight w:val="none"/>
        </w:rPr>
      </w:pPr>
    </w:p>
    <w:p w14:paraId="12260665">
      <w:pPr>
        <w:shd w:val="clear" w:color="auto" w:fill="auto"/>
        <w:rPr>
          <w:rFonts w:hint="eastAsia" w:ascii="仿宋" w:hAnsi="仿宋" w:eastAsia="仿宋" w:cs="仿宋"/>
          <w:color w:val="auto"/>
          <w:highlight w:val="none"/>
        </w:rPr>
      </w:pPr>
    </w:p>
    <w:p w14:paraId="089320EF">
      <w:pPr>
        <w:shd w:val="clear" w:color="auto" w:fill="auto"/>
        <w:rPr>
          <w:rFonts w:hint="eastAsia" w:ascii="仿宋" w:hAnsi="仿宋" w:eastAsia="仿宋" w:cs="仿宋"/>
          <w:color w:val="auto"/>
          <w:highlight w:val="none"/>
        </w:rPr>
      </w:pPr>
    </w:p>
    <w:p w14:paraId="4A25CAF1">
      <w:pPr>
        <w:shd w:val="clear" w:color="auto" w:fill="auto"/>
        <w:rPr>
          <w:rFonts w:hint="eastAsia" w:ascii="仿宋" w:hAnsi="仿宋" w:eastAsia="仿宋" w:cs="仿宋"/>
          <w:color w:val="auto"/>
          <w:highlight w:val="none"/>
        </w:rPr>
      </w:pPr>
    </w:p>
    <w:p w14:paraId="26A4F75C">
      <w:pPr>
        <w:shd w:val="clear" w:color="auto" w:fill="auto"/>
        <w:rPr>
          <w:rFonts w:hint="eastAsia" w:ascii="仿宋" w:hAnsi="仿宋" w:eastAsia="仿宋" w:cs="仿宋"/>
          <w:color w:val="auto"/>
          <w:highlight w:val="none"/>
        </w:rPr>
      </w:pPr>
    </w:p>
    <w:p w14:paraId="16C59212">
      <w:pPr>
        <w:shd w:val="clear" w:color="auto" w:fill="auto"/>
        <w:rPr>
          <w:rFonts w:hint="eastAsia" w:ascii="仿宋" w:hAnsi="仿宋" w:eastAsia="仿宋" w:cs="仿宋"/>
          <w:color w:val="auto"/>
          <w:highlight w:val="none"/>
        </w:rPr>
      </w:pPr>
    </w:p>
    <w:p w14:paraId="664868E0">
      <w:pPr>
        <w:shd w:val="clear" w:color="auto" w:fill="auto"/>
        <w:rPr>
          <w:rFonts w:hint="eastAsia" w:ascii="仿宋" w:hAnsi="仿宋" w:eastAsia="仿宋" w:cs="仿宋"/>
          <w:color w:val="auto"/>
          <w:highlight w:val="none"/>
        </w:rPr>
      </w:pPr>
    </w:p>
    <w:p w14:paraId="268BEBC3">
      <w:pPr>
        <w:shd w:val="clear" w:color="auto" w:fill="auto"/>
        <w:rPr>
          <w:rFonts w:hint="eastAsia" w:ascii="仿宋" w:hAnsi="仿宋" w:eastAsia="仿宋" w:cs="仿宋"/>
          <w:color w:val="auto"/>
          <w:highlight w:val="none"/>
        </w:rPr>
      </w:pPr>
    </w:p>
    <w:p w14:paraId="77D1A3DF">
      <w:pPr>
        <w:shd w:val="clear" w:color="auto" w:fill="auto"/>
        <w:rPr>
          <w:rFonts w:hint="eastAsia" w:ascii="仿宋" w:hAnsi="仿宋" w:eastAsia="仿宋" w:cs="仿宋"/>
          <w:color w:val="auto"/>
          <w:highlight w:val="none"/>
        </w:rPr>
      </w:pPr>
    </w:p>
    <w:p w14:paraId="53A41FB9">
      <w:pPr>
        <w:shd w:val="clear" w:color="auto" w:fill="auto"/>
        <w:rPr>
          <w:rFonts w:hint="eastAsia" w:ascii="仿宋" w:hAnsi="仿宋" w:eastAsia="仿宋" w:cs="仿宋"/>
          <w:color w:val="auto"/>
          <w:highlight w:val="none"/>
        </w:rPr>
      </w:pPr>
    </w:p>
    <w:p w14:paraId="62E3BEA9">
      <w:pPr>
        <w:pStyle w:val="3"/>
        <w:keepNext w:val="0"/>
        <w:keepLines w:val="0"/>
        <w:shd w:val="clear" w:color="auto" w:fill="auto"/>
        <w:jc w:val="center"/>
        <w:rPr>
          <w:rFonts w:hint="eastAsia" w:ascii="仿宋" w:hAnsi="仿宋" w:eastAsia="仿宋" w:cs="仿宋"/>
          <w:color w:val="auto"/>
          <w:highlight w:val="none"/>
        </w:rPr>
      </w:pPr>
      <w:bookmarkStart w:id="457" w:name="_Toc22363"/>
      <w:bookmarkStart w:id="458" w:name="_Toc26317"/>
      <w:bookmarkStart w:id="459" w:name="_Toc9276"/>
      <w:bookmarkStart w:id="460" w:name="_Toc24310"/>
      <w:bookmarkStart w:id="461" w:name="_Toc21700"/>
      <w:bookmarkStart w:id="462" w:name="_Toc14966889"/>
      <w:bookmarkStart w:id="463" w:name="_Toc13004"/>
      <w:bookmarkStart w:id="464" w:name="_Toc29029"/>
      <w:bookmarkStart w:id="465" w:name="_Toc6117"/>
      <w:r>
        <w:rPr>
          <w:rFonts w:hint="eastAsia" w:ascii="仿宋" w:hAnsi="仿宋" w:eastAsia="仿宋" w:cs="仿宋"/>
          <w:color w:val="auto"/>
          <w:highlight w:val="none"/>
        </w:rPr>
        <w:br w:type="page"/>
      </w:r>
      <w:bookmarkStart w:id="466" w:name="_Toc30816"/>
      <w:bookmarkStart w:id="467" w:name="_Toc14895"/>
      <w:bookmarkStart w:id="468" w:name="_Toc19910"/>
      <w:bookmarkStart w:id="469" w:name="_Toc8530"/>
      <w:bookmarkStart w:id="470" w:name="_Toc7504"/>
      <w:bookmarkStart w:id="471" w:name="_Toc32141"/>
      <w:bookmarkStart w:id="472" w:name="_Toc12953"/>
      <w:r>
        <w:rPr>
          <w:rFonts w:hint="eastAsia" w:ascii="仿宋" w:hAnsi="仿宋" w:eastAsia="仿宋" w:cs="仿宋"/>
          <w:color w:val="auto"/>
          <w:highlight w:val="none"/>
        </w:rPr>
        <w:t>第四章 合同条款及格式</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0E7A18C">
      <w:pPr>
        <w:jc w:val="center"/>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另册</w:t>
      </w:r>
      <w:r>
        <w:rPr>
          <w:rFonts w:hint="eastAsia" w:ascii="仿宋" w:hAnsi="仿宋" w:eastAsia="仿宋" w:cs="仿宋"/>
          <w:color w:val="auto"/>
          <w:lang w:eastAsia="zh-CN"/>
        </w:rPr>
        <w:t>）</w:t>
      </w:r>
    </w:p>
    <w:p w14:paraId="6F6D1C6F">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 w:val="24"/>
          <w:highlight w:val="none"/>
        </w:rPr>
        <w:br w:type="page"/>
      </w:r>
      <w:bookmarkStart w:id="473" w:name="_Toc246996338"/>
      <w:bookmarkStart w:id="474" w:name="_Toc179632787"/>
      <w:bookmarkStart w:id="475" w:name="_Toc246997081"/>
      <w:bookmarkStart w:id="476" w:name="_Toc247085853"/>
      <w:bookmarkStart w:id="477" w:name="_Toc152042549"/>
      <w:bookmarkStart w:id="478" w:name="_Toc152042388"/>
      <w:bookmarkStart w:id="479" w:name="_Toc144974829"/>
      <w:bookmarkStart w:id="480" w:name="_Toc300835199"/>
      <w:bookmarkStart w:id="481" w:name="_Toc184635122"/>
      <w:bookmarkStart w:id="482" w:name="_Toc144974578"/>
      <w:bookmarkStart w:id="483" w:name="_Toc152045610"/>
      <w:bookmarkStart w:id="484" w:name="_Toc247514197"/>
      <w:bookmarkStart w:id="485" w:name="_Toc247527798"/>
    </w:p>
    <w:p w14:paraId="6BAC50DD">
      <w:pPr>
        <w:pStyle w:val="3"/>
        <w:keepNext w:val="0"/>
        <w:keepLines w:val="0"/>
        <w:shd w:val="clear" w:color="auto" w:fill="auto"/>
        <w:jc w:val="center"/>
        <w:rPr>
          <w:rFonts w:hint="eastAsia" w:ascii="仿宋" w:hAnsi="仿宋" w:eastAsia="仿宋" w:cs="仿宋"/>
          <w:color w:val="auto"/>
          <w:highlight w:val="none"/>
        </w:rPr>
      </w:pPr>
      <w:bookmarkStart w:id="486" w:name="_Toc8928"/>
      <w:bookmarkStart w:id="487" w:name="_Toc22617"/>
      <w:bookmarkStart w:id="488" w:name="_Toc14382"/>
      <w:bookmarkStart w:id="489" w:name="_Toc10319"/>
      <w:bookmarkStart w:id="490" w:name="_Toc20127"/>
      <w:bookmarkStart w:id="491" w:name="_Toc19714"/>
      <w:bookmarkStart w:id="492" w:name="_Toc7375"/>
      <w:bookmarkStart w:id="493" w:name="_Toc3819"/>
      <w:bookmarkStart w:id="494" w:name="_Toc22179"/>
      <w:bookmarkStart w:id="495" w:name="_Toc19249"/>
      <w:bookmarkStart w:id="496" w:name="_Toc14630"/>
      <w:bookmarkStart w:id="497" w:name="_Toc17020"/>
      <w:bookmarkStart w:id="498" w:name="_Toc7551"/>
      <w:bookmarkStart w:id="499" w:name="_Toc14966891"/>
      <w:bookmarkStart w:id="500" w:name="_Toc8192"/>
      <w:bookmarkStart w:id="501" w:name="_Toc24512"/>
      <w:r>
        <w:rPr>
          <w:rFonts w:hint="eastAsia" w:ascii="仿宋" w:hAnsi="仿宋" w:eastAsia="仿宋" w:cs="仿宋"/>
          <w:color w:val="auto"/>
          <w:highlight w:val="none"/>
        </w:rPr>
        <w:t>第二卷</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7A8544FB">
      <w:pPr>
        <w:pStyle w:val="3"/>
        <w:keepNext w:val="0"/>
        <w:keepLines w:val="0"/>
        <w:shd w:val="clear" w:color="auto" w:fill="auto"/>
        <w:spacing w:before="0" w:after="0" w:line="360" w:lineRule="auto"/>
        <w:jc w:val="center"/>
        <w:rPr>
          <w:rFonts w:hint="eastAsia" w:ascii="仿宋" w:hAnsi="仿宋" w:eastAsia="仿宋" w:cs="仿宋"/>
          <w:color w:val="auto"/>
          <w:highlight w:val="none"/>
        </w:rPr>
      </w:pPr>
      <w:bookmarkStart w:id="502" w:name="_Toc25163"/>
      <w:bookmarkStart w:id="503" w:name="_Toc30263"/>
      <w:bookmarkStart w:id="504" w:name="_Toc8626"/>
      <w:bookmarkStart w:id="505" w:name="_Toc22842"/>
      <w:bookmarkStart w:id="506" w:name="_Toc11502"/>
      <w:bookmarkStart w:id="507" w:name="_Toc2626"/>
      <w:bookmarkStart w:id="508" w:name="_Toc18238"/>
      <w:bookmarkStart w:id="509" w:name="_Toc10007"/>
      <w:bookmarkStart w:id="510" w:name="_Toc5031"/>
      <w:bookmarkStart w:id="511" w:name="_Toc26681"/>
      <w:bookmarkStart w:id="512" w:name="_Toc9488"/>
      <w:bookmarkStart w:id="513" w:name="_Toc15401"/>
      <w:bookmarkStart w:id="514" w:name="_Toc11756"/>
      <w:bookmarkStart w:id="515" w:name="_Toc19676"/>
      <w:bookmarkStart w:id="516" w:name="_Toc26520"/>
      <w:bookmarkStart w:id="517" w:name="_Toc14966892"/>
      <w:r>
        <w:rPr>
          <w:rFonts w:hint="eastAsia" w:ascii="仿宋" w:hAnsi="仿宋" w:eastAsia="仿宋" w:cs="仿宋"/>
          <w:color w:val="auto"/>
          <w:highlight w:val="none"/>
        </w:rPr>
        <w:t>第五章委托人要求</w:t>
      </w:r>
      <w:bookmarkEnd w:id="473"/>
      <w:bookmarkEnd w:id="474"/>
      <w:bookmarkEnd w:id="475"/>
      <w:bookmarkEnd w:id="476"/>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C8F53E0">
      <w:pPr>
        <w:shd w:val="clear" w:color="auto" w:fill="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委托人要求通常包括但不限于以下内容：</w:t>
      </w:r>
    </w:p>
    <w:p w14:paraId="24712A3B">
      <w:pPr>
        <w:pStyle w:val="2"/>
        <w:keepNext w:val="0"/>
        <w:keepLines w:val="0"/>
        <w:shd w:val="clear" w:color="auto" w:fill="auto"/>
        <w:spacing w:line="240" w:lineRule="auto"/>
        <w:rPr>
          <w:rFonts w:hint="eastAsia" w:ascii="仿宋" w:hAnsi="仿宋" w:eastAsia="仿宋" w:cs="仿宋"/>
          <w:b w:val="0"/>
          <w:color w:val="auto"/>
          <w:sz w:val="28"/>
          <w:szCs w:val="28"/>
          <w:highlight w:val="none"/>
        </w:rPr>
      </w:pPr>
      <w:bookmarkStart w:id="518" w:name="_Toc19129"/>
      <w:bookmarkStart w:id="519" w:name="_Toc24178"/>
      <w:bookmarkStart w:id="520" w:name="_Toc25581"/>
      <w:bookmarkStart w:id="521" w:name="_Toc28853"/>
      <w:bookmarkStart w:id="522" w:name="_Toc511557110"/>
      <w:bookmarkStart w:id="523" w:name="_Toc17306"/>
      <w:bookmarkStart w:id="524" w:name="_Toc30965"/>
      <w:bookmarkStart w:id="525" w:name="_Toc6588"/>
      <w:bookmarkStart w:id="526" w:name="_Toc749"/>
      <w:bookmarkStart w:id="527" w:name="_Toc13824"/>
      <w:bookmarkStart w:id="528" w:name="_Toc1249"/>
      <w:bookmarkStart w:id="529" w:name="_Toc24590"/>
      <w:bookmarkStart w:id="530" w:name="_Toc3926"/>
      <w:bookmarkStart w:id="531" w:name="_Toc7356"/>
      <w:bookmarkStart w:id="532" w:name="_Toc20690"/>
      <w:bookmarkStart w:id="533" w:name="_Toc17024"/>
      <w:bookmarkStart w:id="534" w:name="_Toc482188637"/>
      <w:bookmarkStart w:id="535" w:name="_Toc7613"/>
      <w:bookmarkStart w:id="536" w:name="_Toc13153"/>
      <w:bookmarkStart w:id="537" w:name="_Toc14966893"/>
      <w:r>
        <w:rPr>
          <w:rFonts w:hint="eastAsia" w:ascii="仿宋" w:hAnsi="仿宋" w:eastAsia="仿宋" w:cs="仿宋"/>
          <w:b w:val="0"/>
          <w:color w:val="auto"/>
          <w:sz w:val="28"/>
          <w:szCs w:val="28"/>
          <w:highlight w:val="none"/>
        </w:rPr>
        <w:t>一、监理要求</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8FB1481">
      <w:pPr>
        <w:shd w:val="clear" w:color="auto" w:fill="auto"/>
        <w:spacing w:line="440" w:lineRule="exact"/>
        <w:ind w:firstLine="361" w:firstLineChars="171"/>
        <w:rPr>
          <w:rFonts w:hint="eastAsia" w:ascii="仿宋" w:hAnsi="仿宋" w:eastAsia="仿宋" w:cs="仿宋"/>
          <w:b/>
          <w:color w:val="auto"/>
          <w:highlight w:val="none"/>
        </w:rPr>
      </w:pPr>
      <w:r>
        <w:rPr>
          <w:rFonts w:hint="eastAsia" w:ascii="仿宋" w:hAnsi="仿宋" w:eastAsia="仿宋" w:cs="仿宋"/>
          <w:b/>
          <w:color w:val="auto"/>
          <w:highlight w:val="none"/>
        </w:rPr>
        <w:t>招标人应当根据项目情况在本章中明确相应的监理要求，一般应包括以下内容：</w:t>
      </w:r>
    </w:p>
    <w:p w14:paraId="6ACE6CEE">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rPr>
        <w:t>1. 项目概况</w:t>
      </w:r>
    </w:p>
    <w:p w14:paraId="7E4A6859">
      <w:pPr>
        <w:shd w:val="clear" w:color="auto" w:fill="auto"/>
        <w:adjustRightInd w:val="0"/>
        <w:snapToGrid w:val="0"/>
        <w:spacing w:line="360" w:lineRule="auto"/>
        <w:ind w:firstLine="420" w:firstLineChars="200"/>
        <w:rPr>
          <w:rFonts w:hint="eastAsia" w:ascii="仿宋" w:hAnsi="仿宋" w:eastAsia="仿宋" w:cs="仿宋"/>
          <w:snapToGrid w:val="0"/>
          <w:color w:val="auto"/>
          <w:kern w:val="0"/>
          <w:szCs w:val="21"/>
          <w:highlight w:val="none"/>
          <w:u w:val="single"/>
        </w:rPr>
      </w:pPr>
      <w:r>
        <w:rPr>
          <w:rFonts w:hint="eastAsia" w:ascii="仿宋" w:hAnsi="仿宋" w:eastAsia="仿宋" w:cs="仿宋"/>
          <w:color w:val="auto"/>
          <w:sz w:val="21"/>
          <w:szCs w:val="21"/>
          <w:highlight w:val="none"/>
          <w:u w:val="single"/>
          <w:lang w:val="en-US" w:eastAsia="zh-CN"/>
        </w:rPr>
        <w:t>项目总用地面积 20820.51 ㎡，可建设用地 8286.53 ㎡，总建筑面积约28912㎡（实际按政府批复数据为准），计容建筑面积 24860 ㎡，容积率 3.0，绿地率为 20%。建设内容包括地上建筑工程、地下建筑工程、室外工程和其他工程等。</w:t>
      </w:r>
    </w:p>
    <w:p w14:paraId="445EBAF3">
      <w:pPr>
        <w:shd w:val="clear" w:color="auto" w:fill="auto"/>
        <w:adjustRightInd w:val="0"/>
        <w:spacing w:line="360" w:lineRule="auto"/>
        <w:ind w:firstLine="367" w:firstLineChars="175"/>
        <w:jc w:val="left"/>
        <w:rPr>
          <w:rFonts w:hint="eastAsia" w:ascii="仿宋" w:hAnsi="仿宋" w:eastAsia="仿宋" w:cs="仿宋"/>
          <w:color w:val="auto"/>
          <w:highlight w:val="none"/>
        </w:rPr>
      </w:pPr>
      <w:r>
        <w:rPr>
          <w:rFonts w:hint="eastAsia" w:ascii="仿宋" w:hAnsi="仿宋" w:eastAsia="仿宋" w:cs="仿宋"/>
          <w:color w:val="auto"/>
          <w:highlight w:val="none"/>
        </w:rPr>
        <w:t>2. 监理范围及内容</w:t>
      </w:r>
    </w:p>
    <w:p w14:paraId="0B41190C">
      <w:pPr>
        <w:shd w:val="clear" w:color="auto" w:fill="auto"/>
        <w:tabs>
          <w:tab w:val="left" w:pos="7513"/>
        </w:tabs>
        <w:spacing w:line="360" w:lineRule="auto"/>
        <w:ind w:firstLine="371" w:firstLineChars="177"/>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 xml:space="preserve">1阶段范围：包括但不限于施工前期勘察、施工图设计、施工准备、施工、工程收尾（含竣工验收、整改、移交、结算等）及质量保修阶段。​  </w:t>
      </w:r>
    </w:p>
    <w:p w14:paraId="291E871E">
      <w:pPr>
        <w:shd w:val="clear" w:color="auto" w:fill="auto"/>
        <w:tabs>
          <w:tab w:val="left" w:pos="7513"/>
        </w:tabs>
        <w:spacing w:line="360" w:lineRule="auto"/>
        <w:ind w:firstLine="371" w:firstLineChars="177"/>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工程范围：含地块红线内外的基坑支护、建筑主体及附属配套设施等；具体包括但不限于各类工程、临时设施及拆除，建筑节能、环保相关工作，零星及配套工程，第三方服务，专项验收，场外监理及住宅交付配合等。</w:t>
      </w:r>
    </w:p>
    <w:p w14:paraId="7C5F80B9">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rPr>
        <w:t>3. 监理内容：</w:t>
      </w:r>
    </w:p>
    <w:p w14:paraId="122422AA">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1涉及质量、投资、进度控制，合同、档案、安全生产、环境监督管理及组织协调。</w:t>
      </w:r>
    </w:p>
    <w:p w14:paraId="1F6F5F8A">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3.2</w:t>
      </w:r>
      <w:r>
        <w:rPr>
          <w:rFonts w:hint="eastAsia" w:ascii="仿宋" w:hAnsi="仿宋" w:eastAsia="仿宋" w:cs="仿宋"/>
          <w:color w:val="auto"/>
          <w:highlight w:val="none"/>
        </w:rPr>
        <w:t>需提前进场参与开工前期准备筹划，协助制定管理办法等。</w:t>
      </w:r>
    </w:p>
    <w:p w14:paraId="262A8A59">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开展包括但不限于前期技术咨询或审查、施工前期手续办理、技术协调等工作。​</w:t>
      </w:r>
    </w:p>
    <w:p w14:paraId="080A624C">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4报送符合要求的《监理规划》和《监理实施细则》，严格履行监理职责，包括但不限于与工程各环节相关的组织协调、审查管理、监督查验、报告编写、验收参与、资料处理等各类工作。</w:t>
      </w:r>
    </w:p>
    <w:p w14:paraId="3990BD1F">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5针对深基坑、高支模等重要或危大分部分项工程进行专项监理，以及负责工程交付期间的陪验等工作。</w:t>
      </w:r>
    </w:p>
    <w:p w14:paraId="70C537EA">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rPr>
        <w:t>4.监理服务目标：</w:t>
      </w:r>
    </w:p>
    <w:p w14:paraId="1D757DC4">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1质量目标：符合国家及地方规范、标准及设计要求，工程验收合格，确保获得广州市建设工程优质奖。​</w:t>
      </w:r>
    </w:p>
    <w:p w14:paraId="37CD2F5A">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2进度目标：严格按照施工合同约定的工期完成工程建设任务，确保工程按时开工、按时竣工，不出现因监理原因导致的工期延误。​</w:t>
      </w:r>
    </w:p>
    <w:p w14:paraId="6F956293">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3投资目标：将工程投资控制在批准的预算范围内，严格控制工程变更和签证，确保项目投资效益最大化。​</w:t>
      </w:r>
    </w:p>
    <w:p w14:paraId="70413B1B">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4安全文明施工目标：符合国家、广东省及广州市安全管理和文明施工的相关规定，杜绝死亡安全事故，实现五无(即无死亡、无重伤、无火灾、无中毒、无倒塌)，千人负伤率控制在1.5%以内。创建广州市建设工程安全文明绿色施工样板工地，争创广东省房屋市政工程安全生产文明施工示范工地和建设工程项目施工安全生产标准化工地。</w:t>
      </w:r>
    </w:p>
    <w:p w14:paraId="18CB5263">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rPr>
        <w:t>5.监理人员：</w:t>
      </w:r>
    </w:p>
    <w:p w14:paraId="5073B6F4">
      <w:pPr>
        <w:shd w:val="clear" w:color="auto" w:fill="auto"/>
        <w:spacing w:line="440" w:lineRule="exact"/>
        <w:ind w:firstLine="359" w:firstLineChars="171"/>
        <w:jc w:val="left"/>
        <w:rPr>
          <w:rFonts w:hint="eastAsia" w:ascii="仿宋" w:hAnsi="仿宋" w:eastAsia="仿宋" w:cs="仿宋"/>
          <w:color w:val="auto"/>
          <w:highlight w:val="none"/>
        </w:rPr>
      </w:pPr>
      <w:r>
        <w:rPr>
          <w:rFonts w:hint="eastAsia" w:ascii="仿宋" w:hAnsi="仿宋" w:eastAsia="仿宋" w:cs="仿宋"/>
          <w:color w:val="auto"/>
          <w:highlight w:val="none"/>
        </w:rPr>
        <w:t>配备的监理机构人员须满足下表要求（最低要求）：</w:t>
      </w:r>
    </w:p>
    <w:p w14:paraId="05432189">
      <w:pPr>
        <w:shd w:val="clear" w:color="auto" w:fill="auto"/>
        <w:tabs>
          <w:tab w:val="left" w:pos="105"/>
        </w:tabs>
        <w:spacing w:line="360" w:lineRule="auto"/>
        <w:ind w:left="72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监理机构人员配备要求表</w:t>
      </w:r>
    </w:p>
    <w:tbl>
      <w:tblPr>
        <w:tblStyle w:val="40"/>
        <w:tblpPr w:leftFromText="180" w:rightFromText="180" w:vertAnchor="text" w:horzAnchor="page" w:tblpX="1805" w:tblpY="5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539"/>
        <w:gridCol w:w="1027"/>
        <w:gridCol w:w="3054"/>
        <w:gridCol w:w="2300"/>
      </w:tblGrid>
      <w:tr w14:paraId="24B3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14:paraId="1548A893">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125CA429">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岗位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5004357">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最低要求数量</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1D96811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基本要求</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76C23174">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备注（</w:t>
            </w:r>
            <w:r>
              <w:rPr>
                <w:rFonts w:hint="eastAsia" w:ascii="仿宋" w:hAnsi="仿宋" w:eastAsia="仿宋" w:cs="仿宋"/>
                <w:b/>
                <w:color w:val="auto"/>
                <w:sz w:val="21"/>
                <w:szCs w:val="21"/>
                <w:highlight w:val="none"/>
                <w:lang w:eastAsia="zh-CN"/>
              </w:rPr>
              <w:t>包括但不限于提供</w:t>
            </w:r>
            <w:r>
              <w:rPr>
                <w:rFonts w:hint="eastAsia" w:ascii="仿宋" w:hAnsi="仿宋" w:eastAsia="仿宋" w:cs="仿宋"/>
                <w:b/>
                <w:color w:val="auto"/>
                <w:sz w:val="21"/>
                <w:szCs w:val="21"/>
                <w:highlight w:val="none"/>
              </w:rPr>
              <w:t>如下证明材料等）</w:t>
            </w:r>
          </w:p>
        </w:tc>
      </w:tr>
      <w:tr w14:paraId="24F5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14:paraId="3091BC33">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7B6316DF">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总监理工程师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DE71E5A">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1CD5582E">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资格要求与招标公告要求一致；</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C587F6D">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注册监理工程师执业证书、职称证书</w:t>
            </w:r>
          </w:p>
        </w:tc>
      </w:tr>
      <w:tr w14:paraId="3C66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14:paraId="5BD77F96">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68D2C903">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总监理工程师代表</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277CD5F5">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106CDDA1">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1、中级或以上职称；</w:t>
            </w:r>
          </w:p>
          <w:p w14:paraId="2FC89F03">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2、持有省级或以上专业监理工程师上岗证或培训证或持有注册监理工程师证书，专业为房屋建筑工程相关专业</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5年以上相关工作经验</w:t>
            </w:r>
            <w:r>
              <w:rPr>
                <w:rFonts w:hint="eastAsia" w:ascii="仿宋" w:hAnsi="仿宋" w:eastAsia="仿宋" w:cs="仿宋"/>
                <w:color w:val="auto"/>
                <w:szCs w:val="21"/>
                <w:highlight w:val="none"/>
              </w:rPr>
              <w:t>。</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2D83C7B">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职称证书、上岗证或培训证或注册监理工程师执业证书</w:t>
            </w:r>
          </w:p>
        </w:tc>
      </w:tr>
      <w:tr w14:paraId="60B4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14:paraId="0EC0CEC5">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4BFCCAF7">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房建专业监理工程师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96608CE">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435E8BE3">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持有省级或以上专业监理工程师上岗证或培训证或持有注册监理工程师证书，专业为房屋建筑工程相关专业</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3年以上相关工作经验</w:t>
            </w:r>
            <w:r>
              <w:rPr>
                <w:rFonts w:hint="eastAsia" w:ascii="仿宋" w:hAnsi="仿宋" w:eastAsia="仿宋" w:cs="仿宋"/>
                <w:color w:val="auto"/>
                <w:szCs w:val="21"/>
                <w:highlight w:val="none"/>
              </w:rPr>
              <w:t>。</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1EFA440">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上岗证或培训证或注册监理工程师执业证书</w:t>
            </w:r>
          </w:p>
        </w:tc>
      </w:tr>
      <w:tr w14:paraId="1C69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14:paraId="5D679668">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0342AD76">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机电安装专业监理工程师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3685683">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0C21AFCA">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持有省级或以上专业监理工程师上岗证或培训证或持有注册监理工程师证书，专业为机电安装工程相关专业</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3年以上相关工作经验</w:t>
            </w:r>
            <w:r>
              <w:rPr>
                <w:rFonts w:hint="eastAsia" w:ascii="仿宋" w:hAnsi="仿宋" w:eastAsia="仿宋" w:cs="仿宋"/>
                <w:color w:val="auto"/>
                <w:szCs w:val="21"/>
                <w:highlight w:val="none"/>
              </w:rPr>
              <w:t>。</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0ACE618">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上岗证或培训证或注册监理工程师执业证书</w:t>
            </w:r>
          </w:p>
        </w:tc>
      </w:tr>
      <w:tr w14:paraId="2760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14:paraId="7A1878C0">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5</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3B5E0E32">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专职资料员</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B89C9AE">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33A93DBF">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1、熟悉工程资料管理相关规范及流程；2、具备一定的房屋建筑工程专业知识，能准确理解各类工程文件；3、熟练操作办公软件及工程资料管理软件；4、参与过国家级抽检相关的资料筹备工作或类似大型项目验收资料整理流程</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5、3年以上相关工作经验</w:t>
            </w:r>
            <w:r>
              <w:rPr>
                <w:rFonts w:hint="eastAsia" w:ascii="仿宋" w:hAnsi="仿宋" w:eastAsia="仿宋" w:cs="仿宋"/>
                <w:color w:val="auto"/>
                <w:szCs w:val="21"/>
                <w:highlight w:val="none"/>
              </w:rPr>
              <w:t>。</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A1C5B74">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需提供资料员岗位培训合格证书；若有相关工程资料管理经验证明优先；相关项目资料工作参与证明材料</w:t>
            </w:r>
          </w:p>
        </w:tc>
      </w:tr>
      <w:tr w14:paraId="1E93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14:paraId="336072DA">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6</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50FAF05C">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监理员</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C87CACE">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53260C56">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持有监理员上岗证或培训证，专业为房屋建筑工程相关专业</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2年以上相关工作经验</w:t>
            </w:r>
            <w:r>
              <w:rPr>
                <w:rFonts w:hint="eastAsia" w:ascii="仿宋" w:hAnsi="仿宋" w:eastAsia="仿宋" w:cs="仿宋"/>
                <w:color w:val="auto"/>
                <w:szCs w:val="21"/>
                <w:highlight w:val="none"/>
              </w:rPr>
              <w:t>。</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4B4A2EE">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上岗证或培训证</w:t>
            </w:r>
          </w:p>
        </w:tc>
      </w:tr>
    </w:tbl>
    <w:p w14:paraId="3A905B2F">
      <w:pPr>
        <w:shd w:val="clear" w:color="auto" w:fill="auto"/>
        <w:spacing w:line="440" w:lineRule="exact"/>
        <w:ind w:firstLine="359" w:firstLineChars="17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备注：</w:t>
      </w:r>
    </w:p>
    <w:p w14:paraId="6D77A204">
      <w:pPr>
        <w:shd w:val="clear" w:color="auto" w:fill="auto"/>
        <w:spacing w:line="440" w:lineRule="exact"/>
        <w:ind w:firstLine="359" w:firstLineChars="17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14:paraId="2B802AA5">
      <w:pPr>
        <w:shd w:val="clear" w:color="auto" w:fill="auto"/>
        <w:spacing w:line="440" w:lineRule="exact"/>
        <w:ind w:firstLine="359" w:firstLineChars="17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6B4C5AC2">
      <w:pPr>
        <w:shd w:val="clear" w:color="auto" w:fill="auto"/>
        <w:spacing w:line="440" w:lineRule="exact"/>
        <w:ind w:firstLine="359" w:firstLineChars="17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总监理工程师及监理机构人员资格、证书及社保证明等方面内容必须提供相应的证明材料；所投入人员必须为投标人本单位人员，所有人员须提供扣除投标截止当月最近一个月在本投标单位购买社保缴纳证明材料，提供证明资料的清晰扫描件并加盖投标单位电子印章，否则不计分。专业以上岗证或培训证或注册证所列专业为准，若相关证书没有显示专业的，则需提供可证明专业的其他证明材料。</w:t>
      </w:r>
    </w:p>
    <w:p w14:paraId="069309AC">
      <w:pPr>
        <w:shd w:val="clear" w:color="auto" w:fill="auto"/>
        <w:spacing w:line="440" w:lineRule="exact"/>
        <w:ind w:firstLine="359" w:firstLineChars="17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）除总监理工程师外，上述人员要求不作为形式评审、资格评审、响应性评审的审查依据，只作为定标因素表的评审依据。</w:t>
      </w:r>
    </w:p>
    <w:p w14:paraId="24C7896B">
      <w:pPr>
        <w:shd w:val="clear" w:color="auto" w:fill="auto"/>
        <w:spacing w:line="440" w:lineRule="exact"/>
        <w:ind w:firstLine="359" w:firstLineChars="17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）总监理工程师、总监理工程师代表、专职资料员需贯穿项目施工全程，确保各阶段工作的连贯性与协调性；其他岗位人员按项目施工阶段分阶段派驻，以下为各阶段配置要求：</w:t>
      </w:r>
    </w:p>
    <w:p w14:paraId="0940BB6F">
      <w:pPr>
        <w:shd w:val="clear" w:color="auto" w:fill="auto"/>
        <w:spacing w:line="440" w:lineRule="exact"/>
        <w:ind w:firstLine="359" w:firstLineChars="17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前期阶段</w:t>
      </w:r>
      <w:r>
        <w:rPr>
          <w:rFonts w:hint="eastAsia" w:ascii="仿宋" w:hAnsi="仿宋" w:eastAsia="仿宋" w:cs="仿宋"/>
          <w:color w:val="auto"/>
          <w:highlight w:val="none"/>
          <w:lang w:val="en-US" w:eastAsia="zh-CN"/>
        </w:rPr>
        <w:t>至±0.00以下主体结构施工阶段</w:t>
      </w:r>
      <w:r>
        <w:rPr>
          <w:rFonts w:hint="eastAsia" w:ascii="仿宋" w:hAnsi="仿宋" w:eastAsia="仿宋" w:cs="仿宋"/>
          <w:color w:val="auto"/>
          <w:highlight w:val="none"/>
          <w:lang w:eastAsia="zh-CN"/>
        </w:rPr>
        <w:t>派驻房建、机电安装专业监理工程师</w:t>
      </w:r>
      <w:r>
        <w:rPr>
          <w:rFonts w:hint="eastAsia" w:ascii="仿宋" w:hAnsi="仿宋" w:eastAsia="仿宋" w:cs="仿宋"/>
          <w:color w:val="auto"/>
          <w:highlight w:val="none"/>
          <w:lang w:val="en-US" w:eastAsia="zh-CN"/>
        </w:rPr>
        <w:t>各1</w:t>
      </w:r>
      <w:r>
        <w:rPr>
          <w:rFonts w:hint="eastAsia" w:ascii="仿宋" w:hAnsi="仿宋" w:eastAsia="仿宋" w:cs="仿宋"/>
          <w:color w:val="auto"/>
          <w:highlight w:val="none"/>
          <w:lang w:eastAsia="zh-CN"/>
        </w:rPr>
        <w:t>名，监理员</w:t>
      </w:r>
      <w:r>
        <w:rPr>
          <w:rFonts w:hint="eastAsia" w:ascii="仿宋" w:hAnsi="仿宋" w:eastAsia="仿宋" w:cs="仿宋"/>
          <w:color w:val="auto"/>
          <w:highlight w:val="none"/>
          <w:lang w:val="en-US" w:eastAsia="zh-CN"/>
        </w:rPr>
        <w:t>不少于2</w:t>
      </w:r>
      <w:r>
        <w:rPr>
          <w:rFonts w:hint="eastAsia" w:ascii="仿宋" w:hAnsi="仿宋" w:eastAsia="仿宋" w:cs="仿宋"/>
          <w:color w:val="auto"/>
          <w:highlight w:val="none"/>
          <w:lang w:eastAsia="zh-CN"/>
        </w:rPr>
        <w:t>名；</w:t>
      </w:r>
    </w:p>
    <w:p w14:paraId="11941EA7">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2）±0.00以上主体结构施工阶段至装修阶段</w:t>
      </w:r>
      <w:r>
        <w:rPr>
          <w:rFonts w:hint="eastAsia" w:ascii="仿宋" w:hAnsi="仿宋" w:eastAsia="仿宋" w:cs="仿宋"/>
          <w:color w:val="auto"/>
          <w:highlight w:val="none"/>
          <w:lang w:eastAsia="zh-CN"/>
        </w:rPr>
        <w:t>派驻房建专业监理工程师2名，机电安装专业监理工程师1名，监理员</w:t>
      </w:r>
      <w:r>
        <w:rPr>
          <w:rFonts w:hint="eastAsia" w:ascii="仿宋" w:hAnsi="仿宋" w:eastAsia="仿宋" w:cs="仿宋"/>
          <w:color w:val="auto"/>
          <w:highlight w:val="none"/>
          <w:lang w:val="en-US" w:eastAsia="zh-CN"/>
        </w:rPr>
        <w:t>不少于</w:t>
      </w:r>
      <w:r>
        <w:rPr>
          <w:rFonts w:hint="eastAsia" w:ascii="仿宋" w:hAnsi="仿宋" w:eastAsia="仿宋" w:cs="仿宋"/>
          <w:color w:val="auto"/>
          <w:highlight w:val="none"/>
          <w:lang w:eastAsia="zh-CN"/>
        </w:rPr>
        <w:t>5名；</w:t>
      </w:r>
    </w:p>
    <w:p w14:paraId="6DE71E5A">
      <w:pPr>
        <w:shd w:val="clear" w:color="auto" w:fill="auto"/>
        <w:spacing w:line="440" w:lineRule="exact"/>
        <w:ind w:firstLine="359" w:firstLineChars="17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竣工</w:t>
      </w:r>
      <w:r>
        <w:rPr>
          <w:rFonts w:hint="eastAsia" w:ascii="仿宋" w:hAnsi="仿宋" w:eastAsia="仿宋" w:cs="仿宋"/>
          <w:color w:val="auto"/>
          <w:highlight w:val="none"/>
          <w:lang w:val="en-US" w:eastAsia="zh-CN"/>
        </w:rPr>
        <w:t>验收</w:t>
      </w:r>
      <w:r>
        <w:rPr>
          <w:rFonts w:hint="eastAsia" w:ascii="仿宋" w:hAnsi="仿宋" w:eastAsia="仿宋" w:cs="仿宋"/>
          <w:color w:val="auto"/>
          <w:highlight w:val="none"/>
          <w:lang w:eastAsia="zh-CN"/>
        </w:rPr>
        <w:t>及交付阶段派驻房建专业监理工程师</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名，机电安装专业监理工程师1名，监理员</w:t>
      </w:r>
      <w:r>
        <w:rPr>
          <w:rFonts w:hint="eastAsia" w:ascii="仿宋" w:hAnsi="仿宋" w:eastAsia="仿宋" w:cs="仿宋"/>
          <w:color w:val="auto"/>
          <w:highlight w:val="none"/>
          <w:lang w:val="en-US" w:eastAsia="zh-CN"/>
        </w:rPr>
        <w:t>不少于3</w:t>
      </w:r>
      <w:r>
        <w:rPr>
          <w:rFonts w:hint="eastAsia" w:ascii="仿宋" w:hAnsi="仿宋" w:eastAsia="仿宋" w:cs="仿宋"/>
          <w:color w:val="auto"/>
          <w:highlight w:val="none"/>
          <w:lang w:eastAsia="zh-CN"/>
        </w:rPr>
        <w:t>名；</w:t>
      </w:r>
    </w:p>
    <w:p w14:paraId="27DB0824">
      <w:pPr>
        <w:shd w:val="clear" w:color="auto" w:fill="auto"/>
        <w:spacing w:line="440" w:lineRule="exact"/>
        <w:ind w:firstLine="359" w:firstLineChars="171"/>
        <w:rPr>
          <w:rFonts w:hint="eastAsia" w:ascii="仿宋" w:hAnsi="仿宋" w:eastAsia="仿宋" w:cs="仿宋"/>
          <w:strike/>
          <w:dstrike w:val="0"/>
          <w:color w:val="auto"/>
          <w:highlight w:val="none"/>
          <w:lang w:eastAsia="zh-CN"/>
        </w:rPr>
      </w:pPr>
      <w:r>
        <w:rPr>
          <w:rFonts w:hint="eastAsia" w:ascii="仿宋" w:hAnsi="仿宋" w:eastAsia="仿宋" w:cs="仿宋"/>
          <w:strike/>
          <w:dstrike w:val="0"/>
          <w:color w:val="auto"/>
          <w:highlight w:val="none"/>
          <w:lang w:val="en-US" w:eastAsia="zh-CN"/>
        </w:rPr>
        <w:t>4）</w:t>
      </w:r>
      <w:r>
        <w:rPr>
          <w:rFonts w:hint="eastAsia" w:ascii="仿宋" w:hAnsi="仿宋" w:eastAsia="仿宋" w:cs="仿宋"/>
          <w:strike/>
          <w:dstrike w:val="0"/>
          <w:color w:val="auto"/>
          <w:highlight w:val="none"/>
          <w:lang w:eastAsia="zh-CN"/>
        </w:rPr>
        <w:t>当出现阶段重叠情况（如南北地块分别处于不同施工阶段）时，人员配置以较高需求阶段的标准为参照，即各岗位人员数量不低于重叠阶段中要求最高的配置数量。</w:t>
      </w:r>
    </w:p>
    <w:p w14:paraId="7DA0AA15">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6.人员更换要求：</w:t>
      </w:r>
    </w:p>
    <w:p w14:paraId="46DC089B">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6.1中标单位须确保现场</w:t>
      </w:r>
      <w:r>
        <w:rPr>
          <w:rFonts w:hint="eastAsia" w:ascii="仿宋" w:hAnsi="仿宋" w:eastAsia="仿宋" w:cs="仿宋"/>
          <w:color w:val="auto"/>
          <w:highlight w:val="none"/>
          <w:lang w:val="en-US" w:eastAsia="zh-CN"/>
        </w:rPr>
        <w:t>监理团队</w:t>
      </w:r>
      <w:r>
        <w:rPr>
          <w:rFonts w:hint="eastAsia" w:ascii="仿宋" w:hAnsi="仿宋" w:eastAsia="仿宋" w:cs="仿宋"/>
          <w:color w:val="auto"/>
          <w:highlight w:val="none"/>
          <w:lang w:val="en-US" w:eastAsia="zh-CN"/>
        </w:rPr>
        <w:t>与投标文件《监理机构人员配备要求表》完全一致，未经建设单位书面批准，不得擅自更换。</w:t>
      </w:r>
    </w:p>
    <w:p w14:paraId="042AED54">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6.2确需更换时，须至少提前14天提交书面申请，详述更换理由及拟派人员资质（其资格与能力不得低于原人员）。经建设单位批准后，方可更换。</w:t>
      </w:r>
    </w:p>
    <w:p w14:paraId="2E7F890A">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6.3若更换人员不符合要求，建设单位有权解除合同。</w:t>
      </w:r>
    </w:p>
    <w:p w14:paraId="7D438D33">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7.监理设施和设备要求：</w:t>
      </w:r>
    </w:p>
    <w:p w14:paraId="1A216183">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7.1.办公设施：中标单位自行解决现场办公用房、饮食住宿和其他办公设备等，费用由中标单位自行承担。</w:t>
      </w:r>
    </w:p>
    <w:p w14:paraId="3877C1A0">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7.2.检测设备：中标单位应配备满足本项目监理工作需要的检测设备和工具，包括不仅限于经纬仪、水准仪、全站仪、回弹仪、游标卡尺、钢卷尺、靠尺、塞尺、混凝土坍落度筒、漆膜测厚仪等。检测设备和工具应具有合格的计量证书，并定期进行校准和维护，确保其准确性和可靠性。</w:t>
      </w:r>
    </w:p>
    <w:p w14:paraId="672773AD">
      <w:pPr>
        <w:shd w:val="clear" w:color="auto" w:fill="auto"/>
        <w:spacing w:line="440" w:lineRule="exact"/>
        <w:ind w:firstLine="359" w:firstLineChars="17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61782A03">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9.服务期限</w:t>
      </w:r>
    </w:p>
    <w:p w14:paraId="15011653">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监理期限：自合同签订之日起至工程竣工验收合格、办妥竣工结算、完成资料交接归档、质保期满且工程款付清之日止。</w:t>
      </w:r>
    </w:p>
    <w:p w14:paraId="6E66E496">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其中，施工工期自各地块成功办理施工许可证且监理单位按业主指令发出工程开工令之日起计算，预估约30个月；具体施工工期以本项目施工招标时约定的工期为准。</w:t>
      </w:r>
    </w:p>
    <w:p w14:paraId="12A7CBD6">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若因施工工期延误（包括但不限于施工方原因、甲方指令暂停、设计变更等导致施工阶段工期延长）造成监理期相应延长的，按以下方式处理：</w:t>
      </w:r>
    </w:p>
    <w:p w14:paraId="514A2DD8">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1.延误周期在6个月以内的，相关监理费用不再增加；</w:t>
      </w:r>
    </w:p>
    <w:p w14:paraId="6B9BF539">
      <w:pPr>
        <w:shd w:val="clear" w:color="auto" w:fill="auto"/>
        <w:spacing w:line="440" w:lineRule="exact"/>
        <w:ind w:firstLine="359" w:firstLineChars="17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2.延误周期自第7个月起，延期费用按甲方实际要求的监理人员配置（人员资质不得低于原合同约定标准）计算，具体为总监理工程师、专业监理工程师、监理员、专职资料员等岗位按月/ 人支付，费用标准由双方另行协商确定，并签订补充协议作为本项目监理合同的组成部分。</w:t>
      </w:r>
    </w:p>
    <w:p w14:paraId="4B0349F4">
      <w:pPr>
        <w:pStyle w:val="2"/>
        <w:keepNext w:val="0"/>
        <w:keepLines w:val="0"/>
        <w:shd w:val="clear" w:color="auto" w:fill="auto"/>
        <w:spacing w:line="240" w:lineRule="auto"/>
        <w:rPr>
          <w:rFonts w:hint="eastAsia" w:ascii="仿宋" w:hAnsi="仿宋" w:eastAsia="仿宋" w:cs="仿宋"/>
          <w:b w:val="0"/>
          <w:color w:val="auto"/>
          <w:sz w:val="28"/>
          <w:szCs w:val="28"/>
          <w:highlight w:val="none"/>
        </w:rPr>
      </w:pPr>
      <w:bookmarkStart w:id="538" w:name="_Toc12282"/>
      <w:bookmarkStart w:id="539" w:name="_Toc25293"/>
      <w:bookmarkStart w:id="540" w:name="_Toc22688"/>
      <w:bookmarkStart w:id="541" w:name="_Toc21295"/>
      <w:bookmarkStart w:id="542" w:name="_Toc25049"/>
      <w:bookmarkStart w:id="543" w:name="_Toc482188638"/>
      <w:bookmarkStart w:id="544" w:name="_Toc15620"/>
      <w:bookmarkStart w:id="545" w:name="_Toc32501"/>
      <w:bookmarkStart w:id="546" w:name="_Toc16455"/>
      <w:bookmarkStart w:id="547" w:name="_Toc511557111"/>
      <w:bookmarkStart w:id="548" w:name="_Toc1291"/>
      <w:bookmarkStart w:id="549" w:name="_Toc21387"/>
      <w:bookmarkStart w:id="550" w:name="_Toc14411"/>
      <w:bookmarkStart w:id="551" w:name="_Toc5368"/>
      <w:bookmarkStart w:id="552" w:name="_Toc7080"/>
      <w:bookmarkStart w:id="553" w:name="_Toc13036"/>
      <w:bookmarkStart w:id="554" w:name="_Toc28309"/>
      <w:bookmarkStart w:id="555" w:name="_Toc24680"/>
      <w:bookmarkStart w:id="556" w:name="_Toc14770"/>
      <w:bookmarkStart w:id="557" w:name="_Toc14966894"/>
      <w:r>
        <w:rPr>
          <w:rFonts w:hint="eastAsia" w:ascii="仿宋" w:hAnsi="仿宋" w:eastAsia="仿宋" w:cs="仿宋"/>
          <w:b w:val="0"/>
          <w:color w:val="auto"/>
          <w:sz w:val="28"/>
          <w:szCs w:val="28"/>
          <w:highlight w:val="none"/>
        </w:rPr>
        <w:t>二、适用规范标准</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308ED17B">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国家、行业、项目所在地规范名录：</w:t>
      </w:r>
      <w:r>
        <w:rPr>
          <w:rFonts w:hint="eastAsia" w:ascii="仿宋" w:hAnsi="仿宋" w:eastAsia="仿宋" w:cs="仿宋"/>
          <w:color w:val="auto"/>
          <w:szCs w:val="21"/>
          <w:highlight w:val="none"/>
          <w:u w:val="single"/>
        </w:rPr>
        <w:t>《建设工程监理规范》GB/T50319-2013，按国家、行业、项目所在地规范名录执行。</w:t>
      </w:r>
    </w:p>
    <w:p w14:paraId="3C69D80B">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国家、行业、项目所在地标准名录：</w:t>
      </w:r>
      <w:r>
        <w:rPr>
          <w:rFonts w:hint="eastAsia" w:ascii="仿宋" w:hAnsi="仿宋" w:eastAsia="仿宋" w:cs="仿宋"/>
          <w:color w:val="auto"/>
          <w:szCs w:val="21"/>
          <w:highlight w:val="none"/>
          <w:u w:val="single"/>
        </w:rPr>
        <w:t>按国家、行业、项目所在地规范标准执行。</w:t>
      </w:r>
    </w:p>
    <w:p w14:paraId="26B5284F">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国家、行业、项目所在地规程名录：</w:t>
      </w:r>
      <w:r>
        <w:rPr>
          <w:rFonts w:hint="eastAsia" w:ascii="仿宋" w:hAnsi="仿宋" w:eastAsia="仿宋" w:cs="仿宋"/>
          <w:color w:val="auto"/>
          <w:szCs w:val="21"/>
          <w:highlight w:val="none"/>
          <w:u w:val="single"/>
        </w:rPr>
        <w:t>按国家、行业、项目所在地规范规程执行。</w:t>
      </w:r>
    </w:p>
    <w:p w14:paraId="17D566AC">
      <w:pPr>
        <w:pStyle w:val="2"/>
        <w:keepNext w:val="0"/>
        <w:keepLines w:val="0"/>
        <w:shd w:val="clear" w:color="auto" w:fill="auto"/>
        <w:spacing w:line="240" w:lineRule="auto"/>
        <w:rPr>
          <w:rFonts w:hint="eastAsia" w:ascii="仿宋" w:hAnsi="仿宋" w:eastAsia="仿宋" w:cs="仿宋"/>
          <w:b w:val="0"/>
          <w:color w:val="auto"/>
          <w:sz w:val="28"/>
          <w:szCs w:val="28"/>
          <w:highlight w:val="none"/>
        </w:rPr>
      </w:pPr>
      <w:bookmarkStart w:id="558" w:name="_Toc239"/>
      <w:bookmarkStart w:id="559" w:name="_Toc19374"/>
      <w:bookmarkStart w:id="560" w:name="_Toc9363"/>
      <w:bookmarkStart w:id="561" w:name="_Toc8193"/>
      <w:bookmarkStart w:id="562" w:name="_Toc14896"/>
      <w:bookmarkStart w:id="563" w:name="_Toc23065"/>
      <w:bookmarkStart w:id="564" w:name="_Toc21920"/>
      <w:bookmarkStart w:id="565" w:name="_Toc12168"/>
      <w:bookmarkStart w:id="566" w:name="_Toc4628"/>
      <w:bookmarkStart w:id="567" w:name="_Toc27418"/>
      <w:bookmarkStart w:id="568" w:name="_Toc28842"/>
      <w:bookmarkStart w:id="569" w:name="_Toc6456"/>
      <w:bookmarkStart w:id="570" w:name="_Toc511557117"/>
      <w:bookmarkStart w:id="571" w:name="_Toc27620"/>
      <w:bookmarkStart w:id="572" w:name="_Toc14966900"/>
      <w:bookmarkStart w:id="573" w:name="_Toc31629"/>
      <w:bookmarkStart w:id="574" w:name="_Toc29967"/>
      <w:bookmarkStart w:id="575" w:name="_Toc482188644"/>
      <w:bookmarkStart w:id="576" w:name="_Toc29299"/>
      <w:bookmarkStart w:id="577" w:name="_Toc7684"/>
      <w:r>
        <w:rPr>
          <w:rFonts w:hint="eastAsia" w:ascii="仿宋" w:hAnsi="仿宋" w:eastAsia="仿宋" w:cs="仿宋"/>
          <w:b w:val="0"/>
          <w:color w:val="auto"/>
          <w:sz w:val="28"/>
          <w:szCs w:val="28"/>
          <w:highlight w:val="none"/>
          <w:lang w:val="en-US" w:eastAsia="zh-CN"/>
        </w:rPr>
        <w:t>三</w:t>
      </w:r>
      <w:r>
        <w:rPr>
          <w:rFonts w:hint="eastAsia" w:ascii="仿宋" w:hAnsi="仿宋" w:eastAsia="仿宋" w:cs="仿宋"/>
          <w:b w:val="0"/>
          <w:color w:val="auto"/>
          <w:sz w:val="28"/>
          <w:szCs w:val="28"/>
          <w:highlight w:val="none"/>
        </w:rPr>
        <w:t>、委托人提供的便利条件</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2A8653F6">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委托人提供的生活条件：</w:t>
      </w:r>
      <w:r>
        <w:rPr>
          <w:rFonts w:hint="eastAsia" w:ascii="仿宋" w:hAnsi="仿宋" w:eastAsia="仿宋" w:cs="仿宋"/>
          <w:color w:val="auto"/>
          <w:highlight w:val="none"/>
          <w:u w:val="single"/>
        </w:rPr>
        <w:t>无；</w:t>
      </w:r>
    </w:p>
    <w:p w14:paraId="40D15150">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委托人提供的交通条件：</w:t>
      </w:r>
      <w:r>
        <w:rPr>
          <w:rFonts w:hint="eastAsia" w:ascii="仿宋" w:hAnsi="仿宋" w:eastAsia="仿宋" w:cs="仿宋"/>
          <w:color w:val="auto"/>
          <w:highlight w:val="none"/>
          <w:u w:val="single"/>
        </w:rPr>
        <w:t>无</w:t>
      </w:r>
    </w:p>
    <w:p w14:paraId="7D47AF94">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委托人提供的网络、通讯条件：</w:t>
      </w:r>
      <w:r>
        <w:rPr>
          <w:rFonts w:hint="eastAsia" w:ascii="仿宋" w:hAnsi="仿宋" w:eastAsia="仿宋" w:cs="仿宋"/>
          <w:color w:val="auto"/>
          <w:highlight w:val="none"/>
          <w:u w:val="single"/>
        </w:rPr>
        <w:t>无</w:t>
      </w:r>
    </w:p>
    <w:p w14:paraId="1A4CAEBA">
      <w:pPr>
        <w:shd w:val="clear" w:color="auto" w:fill="auto"/>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4. 委托人提供的协助人员：</w:t>
      </w:r>
      <w:r>
        <w:rPr>
          <w:rFonts w:hint="eastAsia" w:ascii="仿宋" w:hAnsi="仿宋" w:eastAsia="仿宋" w:cs="仿宋"/>
          <w:color w:val="auto"/>
          <w:highlight w:val="none"/>
          <w:u w:val="single"/>
        </w:rPr>
        <w:t>无</w:t>
      </w:r>
      <w:bookmarkStart w:id="578" w:name="_Toc482188645"/>
      <w:r>
        <w:rPr>
          <w:rFonts w:hint="eastAsia" w:ascii="仿宋" w:hAnsi="仿宋" w:eastAsia="仿宋" w:cs="仿宋"/>
          <w:color w:val="auto"/>
          <w:highlight w:val="none"/>
        </w:rPr>
        <w:t>……</w:t>
      </w:r>
    </w:p>
    <w:p w14:paraId="7F2F8799">
      <w:pPr>
        <w:pStyle w:val="2"/>
        <w:keepNext w:val="0"/>
        <w:keepLines w:val="0"/>
        <w:shd w:val="clear" w:color="auto" w:fill="auto"/>
        <w:spacing w:line="240" w:lineRule="auto"/>
        <w:rPr>
          <w:rFonts w:hint="eastAsia" w:ascii="仿宋" w:hAnsi="仿宋" w:eastAsia="仿宋" w:cs="仿宋"/>
          <w:b w:val="0"/>
          <w:color w:val="auto"/>
          <w:sz w:val="28"/>
          <w:szCs w:val="28"/>
          <w:highlight w:val="none"/>
        </w:rPr>
      </w:pPr>
      <w:bookmarkStart w:id="579" w:name="_Toc27974"/>
      <w:bookmarkStart w:id="580" w:name="_Toc6552"/>
      <w:bookmarkStart w:id="581" w:name="_Toc31848"/>
      <w:bookmarkStart w:id="582" w:name="_Toc32646"/>
      <w:bookmarkStart w:id="583" w:name="_Toc14966901"/>
      <w:bookmarkStart w:id="584" w:name="_Toc20541"/>
      <w:bookmarkStart w:id="585" w:name="_Toc773"/>
      <w:bookmarkStart w:id="586" w:name="_Toc8258"/>
      <w:bookmarkStart w:id="587" w:name="_Toc16246"/>
      <w:bookmarkStart w:id="588" w:name="_Toc25266"/>
      <w:bookmarkStart w:id="589" w:name="_Toc14366"/>
      <w:bookmarkStart w:id="590" w:name="_Toc14557"/>
      <w:bookmarkStart w:id="591" w:name="_Toc25307"/>
      <w:bookmarkStart w:id="592" w:name="_Toc31706"/>
      <w:bookmarkStart w:id="593" w:name="_Toc1957"/>
      <w:bookmarkStart w:id="594" w:name="_Toc20731"/>
      <w:bookmarkStart w:id="595" w:name="_Toc26350"/>
      <w:bookmarkStart w:id="596" w:name="_Toc511557118"/>
      <w:bookmarkStart w:id="597" w:name="_Toc7499"/>
      <w:r>
        <w:rPr>
          <w:rFonts w:hint="eastAsia" w:ascii="仿宋" w:hAnsi="仿宋" w:eastAsia="仿宋" w:cs="仿宋"/>
          <w:b w:val="0"/>
          <w:color w:val="auto"/>
          <w:sz w:val="28"/>
          <w:szCs w:val="28"/>
          <w:highlight w:val="none"/>
          <w:lang w:val="en-US" w:eastAsia="zh-CN"/>
        </w:rPr>
        <w:t>四</w:t>
      </w:r>
      <w:r>
        <w:rPr>
          <w:rFonts w:hint="eastAsia" w:ascii="仿宋" w:hAnsi="仿宋" w:eastAsia="仿宋" w:cs="仿宋"/>
          <w:b w:val="0"/>
          <w:color w:val="auto"/>
          <w:sz w:val="28"/>
          <w:szCs w:val="28"/>
          <w:highlight w:val="none"/>
        </w:rPr>
        <w:t>、监理人需要自备的工作条件</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7F729618">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监理人自备的工作手册：</w:t>
      </w:r>
      <w:r>
        <w:rPr>
          <w:rFonts w:hint="eastAsia" w:ascii="仿宋" w:hAnsi="仿宋" w:eastAsia="仿宋" w:cs="仿宋"/>
          <w:color w:val="auto"/>
          <w:szCs w:val="21"/>
          <w:highlight w:val="none"/>
          <w:u w:val="single"/>
        </w:rPr>
        <w:t>本项目必备的规范标准、图集等。</w:t>
      </w:r>
    </w:p>
    <w:p w14:paraId="5A58EF81">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监理人自备的办公设备：</w:t>
      </w:r>
      <w:r>
        <w:rPr>
          <w:rFonts w:hint="eastAsia" w:ascii="仿宋" w:hAnsi="仿宋" w:eastAsia="仿宋" w:cs="仿宋"/>
          <w:color w:val="auto"/>
          <w:szCs w:val="21"/>
          <w:highlight w:val="none"/>
          <w:u w:val="single"/>
        </w:rPr>
        <w:t>电脑、软件、投影、打印机、复印机、照相机等。</w:t>
      </w:r>
    </w:p>
    <w:p w14:paraId="7E61BE54">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监理人自备的交通工具：</w:t>
      </w:r>
      <w:r>
        <w:rPr>
          <w:rFonts w:hint="eastAsia" w:ascii="仿宋" w:hAnsi="仿宋" w:eastAsia="仿宋" w:cs="仿宋"/>
          <w:color w:val="auto"/>
          <w:szCs w:val="21"/>
          <w:highlight w:val="none"/>
          <w:u w:val="single"/>
        </w:rPr>
        <w:t>出行车辆等。</w:t>
      </w:r>
    </w:p>
    <w:p w14:paraId="1A75CF8A">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 监理人自备的现场办公设施：</w:t>
      </w:r>
      <w:r>
        <w:rPr>
          <w:rFonts w:hint="eastAsia" w:ascii="仿宋" w:hAnsi="仿宋" w:eastAsia="仿宋" w:cs="仿宋"/>
          <w:color w:val="auto"/>
          <w:szCs w:val="21"/>
          <w:highlight w:val="none"/>
          <w:u w:val="single"/>
        </w:rPr>
        <w:t>办公桌椅、文件柜等。</w:t>
      </w:r>
    </w:p>
    <w:p w14:paraId="41EA8DA0">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 监理人自备的安全设施：</w:t>
      </w:r>
      <w:r>
        <w:rPr>
          <w:rFonts w:hint="eastAsia" w:ascii="仿宋" w:hAnsi="仿宋" w:eastAsia="仿宋" w:cs="仿宋"/>
          <w:color w:val="auto"/>
          <w:szCs w:val="21"/>
          <w:highlight w:val="none"/>
          <w:u w:val="single"/>
        </w:rPr>
        <w:t>安全帽、安全鞋、手电筒等。</w:t>
      </w:r>
    </w:p>
    <w:p w14:paraId="58FD2913">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 监理人自备的试验检测仪器、设备、工具：</w:t>
      </w:r>
      <w:r>
        <w:rPr>
          <w:rFonts w:hint="eastAsia" w:ascii="仿宋" w:hAnsi="仿宋" w:eastAsia="仿宋" w:cs="仿宋"/>
          <w:color w:val="auto"/>
          <w:szCs w:val="21"/>
          <w:highlight w:val="none"/>
          <w:u w:val="single"/>
        </w:rPr>
        <w:t>满足本项目监理服务要求。</w:t>
      </w:r>
    </w:p>
    <w:p w14:paraId="51F35BD3">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 监理人自备的试验用房、样品用房：</w:t>
      </w:r>
      <w:r>
        <w:rPr>
          <w:rFonts w:hint="eastAsia" w:ascii="仿宋" w:hAnsi="仿宋" w:eastAsia="仿宋" w:cs="仿宋"/>
          <w:color w:val="auto"/>
          <w:szCs w:val="21"/>
          <w:highlight w:val="none"/>
          <w:u w:val="single"/>
        </w:rPr>
        <w:t>监理人根据现场实际情况自行准备。</w:t>
      </w:r>
    </w:p>
    <w:p w14:paraId="535E3605">
      <w:pPr>
        <w:shd w:val="clear" w:color="auto" w:fill="auto"/>
        <w:spacing w:line="360" w:lineRule="auto"/>
        <w:ind w:firstLine="420" w:firstLineChars="200"/>
        <w:rPr>
          <w:rFonts w:hint="eastAsia" w:ascii="仿宋" w:hAnsi="仿宋" w:eastAsia="仿宋" w:cs="仿宋"/>
          <w:color w:val="auto"/>
          <w:highlight w:val="none"/>
        </w:rPr>
      </w:pPr>
      <w:bookmarkStart w:id="598" w:name="_Toc482188646"/>
      <w:r>
        <w:rPr>
          <w:rFonts w:hint="eastAsia" w:ascii="仿宋" w:hAnsi="仿宋" w:eastAsia="仿宋" w:cs="仿宋"/>
          <w:color w:val="auto"/>
          <w:highlight w:val="none"/>
        </w:rPr>
        <w:t>……</w:t>
      </w:r>
    </w:p>
    <w:p w14:paraId="77DDF03D">
      <w:pPr>
        <w:pStyle w:val="2"/>
        <w:keepNext w:val="0"/>
        <w:keepLines w:val="0"/>
        <w:shd w:val="clear" w:color="auto" w:fill="auto"/>
        <w:spacing w:line="240" w:lineRule="auto"/>
        <w:rPr>
          <w:rFonts w:hint="eastAsia" w:ascii="仿宋" w:hAnsi="仿宋" w:eastAsia="仿宋" w:cs="仿宋"/>
          <w:b w:val="0"/>
          <w:color w:val="auto"/>
          <w:sz w:val="28"/>
          <w:szCs w:val="28"/>
          <w:highlight w:val="none"/>
        </w:rPr>
      </w:pPr>
      <w:bookmarkStart w:id="599" w:name="_Toc14966902"/>
      <w:bookmarkStart w:id="600" w:name="_Toc26274"/>
      <w:bookmarkStart w:id="601" w:name="_Toc7751"/>
      <w:bookmarkStart w:id="602" w:name="_Toc32376"/>
      <w:bookmarkStart w:id="603" w:name="_Toc511557119"/>
      <w:bookmarkStart w:id="604" w:name="_Toc23648"/>
      <w:bookmarkStart w:id="605" w:name="_Toc16488"/>
      <w:bookmarkStart w:id="606" w:name="_Toc25733"/>
      <w:bookmarkStart w:id="607" w:name="_Toc21921"/>
      <w:bookmarkStart w:id="608" w:name="_Toc28255"/>
      <w:bookmarkStart w:id="609" w:name="_Toc8851"/>
      <w:bookmarkStart w:id="610" w:name="_Toc9216"/>
      <w:bookmarkStart w:id="611" w:name="_Toc22582"/>
      <w:bookmarkStart w:id="612" w:name="_Toc27134"/>
      <w:bookmarkStart w:id="613" w:name="_Toc1564"/>
      <w:bookmarkStart w:id="614" w:name="_Toc13811"/>
      <w:bookmarkStart w:id="615" w:name="_Toc13067"/>
      <w:bookmarkStart w:id="616" w:name="_Toc13065"/>
      <w:bookmarkStart w:id="617" w:name="_Toc30065"/>
      <w:r>
        <w:rPr>
          <w:rFonts w:hint="eastAsia" w:ascii="仿宋" w:hAnsi="仿宋" w:eastAsia="仿宋" w:cs="仿宋"/>
          <w:b w:val="0"/>
          <w:color w:val="auto"/>
          <w:sz w:val="28"/>
          <w:szCs w:val="28"/>
          <w:highlight w:val="none"/>
          <w:lang w:val="en-US" w:eastAsia="zh-CN"/>
        </w:rPr>
        <w:t>五</w:t>
      </w:r>
      <w:r>
        <w:rPr>
          <w:rFonts w:hint="eastAsia" w:ascii="仿宋" w:hAnsi="仿宋" w:eastAsia="仿宋" w:cs="仿宋"/>
          <w:b w:val="0"/>
          <w:color w:val="auto"/>
          <w:sz w:val="28"/>
          <w:szCs w:val="28"/>
          <w:highlight w:val="none"/>
        </w:rPr>
        <w:t>、委托人的其他要求</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444EE5FF">
      <w:pPr>
        <w:shd w:val="clear" w:color="auto" w:fill="auto"/>
        <w:autoSpaceDE w:val="0"/>
        <w:autoSpaceDN w:val="0"/>
        <w:adjustRightIn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委托人的其他要求：</w:t>
      </w:r>
      <w:r>
        <w:rPr>
          <w:rFonts w:hint="eastAsia" w:ascii="仿宋" w:hAnsi="仿宋" w:eastAsia="仿宋" w:cs="仿宋"/>
          <w:color w:val="auto"/>
          <w:szCs w:val="21"/>
          <w:highlight w:val="none"/>
          <w:u w:val="single"/>
        </w:rPr>
        <w:t>其他要求详见监理合同。</w:t>
      </w:r>
    </w:p>
    <w:p w14:paraId="5468B44C">
      <w:pPr>
        <w:shd w:val="clear" w:color="auto" w:fill="auto"/>
        <w:rPr>
          <w:rFonts w:hint="eastAsia" w:ascii="仿宋" w:hAnsi="仿宋" w:eastAsia="仿宋" w:cs="仿宋"/>
          <w:color w:val="auto"/>
          <w:highlight w:val="none"/>
        </w:rPr>
      </w:pPr>
    </w:p>
    <w:p w14:paraId="2A2777F7">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539E875">
      <w:pPr>
        <w:pStyle w:val="3"/>
        <w:keepNext w:val="0"/>
        <w:keepLines w:val="0"/>
        <w:shd w:val="clear" w:color="auto" w:fill="auto"/>
        <w:jc w:val="center"/>
        <w:rPr>
          <w:rFonts w:hint="eastAsia" w:ascii="仿宋" w:hAnsi="仿宋" w:eastAsia="仿宋" w:cs="仿宋"/>
          <w:color w:val="auto"/>
          <w:highlight w:val="none"/>
        </w:rPr>
      </w:pPr>
      <w:bookmarkStart w:id="618" w:name="_Toc9036"/>
      <w:bookmarkStart w:id="619" w:name="_Toc14371"/>
      <w:bookmarkStart w:id="620" w:name="_Toc29062"/>
      <w:bookmarkStart w:id="621" w:name="_Toc11369"/>
      <w:bookmarkStart w:id="622" w:name="_Toc494"/>
      <w:bookmarkStart w:id="623" w:name="_Toc30479"/>
      <w:bookmarkStart w:id="624" w:name="_Toc3658"/>
      <w:bookmarkStart w:id="625" w:name="_Toc27506"/>
      <w:bookmarkStart w:id="626" w:name="_Toc8371"/>
      <w:bookmarkStart w:id="627" w:name="_Toc29023"/>
      <w:bookmarkStart w:id="628" w:name="_Toc747"/>
      <w:bookmarkStart w:id="629" w:name="_Toc9048"/>
      <w:bookmarkStart w:id="630" w:name="_Toc14966903"/>
      <w:bookmarkStart w:id="631" w:name="_Toc3302"/>
      <w:bookmarkStart w:id="632" w:name="_Toc28518"/>
      <w:bookmarkStart w:id="633" w:name="_Toc12804"/>
      <w:r>
        <w:rPr>
          <w:rFonts w:hint="eastAsia" w:ascii="仿宋" w:hAnsi="仿宋" w:eastAsia="仿宋" w:cs="仿宋"/>
          <w:color w:val="auto"/>
          <w:highlight w:val="none"/>
        </w:rPr>
        <w:t>第三卷</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0517E3D4">
      <w:pPr>
        <w:shd w:val="clear" w:color="auto" w:fill="auto"/>
        <w:spacing w:line="400" w:lineRule="exact"/>
        <w:jc w:val="center"/>
        <w:rPr>
          <w:rFonts w:hint="eastAsia" w:ascii="仿宋" w:hAnsi="仿宋" w:eastAsia="仿宋" w:cs="仿宋"/>
          <w:color w:val="auto"/>
          <w:highlight w:val="none"/>
        </w:rPr>
      </w:pPr>
    </w:p>
    <w:p w14:paraId="2D828E80">
      <w:pPr>
        <w:pStyle w:val="3"/>
        <w:keepNext w:val="0"/>
        <w:keepLines w:val="0"/>
        <w:shd w:val="clear" w:color="auto" w:fill="auto"/>
        <w:jc w:val="center"/>
        <w:rPr>
          <w:rFonts w:hint="eastAsia" w:ascii="仿宋" w:hAnsi="仿宋" w:eastAsia="仿宋" w:cs="仿宋"/>
          <w:color w:val="auto"/>
          <w:highlight w:val="none"/>
        </w:rPr>
      </w:pPr>
      <w:bookmarkStart w:id="634" w:name="_Toc7862"/>
      <w:bookmarkStart w:id="635" w:name="_Toc2726"/>
      <w:bookmarkStart w:id="636" w:name="_Toc26056"/>
      <w:bookmarkStart w:id="637" w:name="_Toc15609"/>
      <w:bookmarkStart w:id="638" w:name="_Toc13131"/>
      <w:bookmarkStart w:id="639" w:name="_Toc15898"/>
      <w:bookmarkStart w:id="640" w:name="_Toc18701"/>
      <w:bookmarkStart w:id="641" w:name="_Toc14966904"/>
      <w:bookmarkStart w:id="642" w:name="_Toc10367"/>
      <w:bookmarkStart w:id="643" w:name="_Toc19848"/>
      <w:bookmarkStart w:id="644" w:name="_Toc7599"/>
      <w:bookmarkStart w:id="645" w:name="_Toc7321"/>
      <w:bookmarkStart w:id="646" w:name="_Toc24517"/>
      <w:bookmarkStart w:id="647" w:name="_Toc1546"/>
      <w:bookmarkStart w:id="648" w:name="_Toc1274"/>
      <w:bookmarkStart w:id="649" w:name="_Toc27361"/>
      <w:r>
        <w:rPr>
          <w:rFonts w:hint="eastAsia" w:ascii="仿宋" w:hAnsi="仿宋" w:eastAsia="仿宋" w:cs="仿宋"/>
          <w:color w:val="auto"/>
          <w:highlight w:val="none"/>
        </w:rPr>
        <w:t>第六章投标文件格式</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741C06FD">
      <w:pPr>
        <w:shd w:val="clear" w:color="auto" w:fill="auto"/>
        <w:spacing w:line="400" w:lineRule="exact"/>
        <w:rPr>
          <w:rFonts w:hint="eastAsia" w:ascii="仿宋" w:hAnsi="仿宋" w:eastAsia="仿宋" w:cs="仿宋"/>
          <w:color w:val="auto"/>
          <w:highlight w:val="none"/>
        </w:rPr>
      </w:pPr>
    </w:p>
    <w:p w14:paraId="3B034170">
      <w:pPr>
        <w:shd w:val="clear" w:color="auto" w:fill="auto"/>
        <w:spacing w:line="400" w:lineRule="exact"/>
        <w:rPr>
          <w:rFonts w:hint="eastAsia" w:ascii="仿宋" w:hAnsi="仿宋" w:eastAsia="仿宋" w:cs="仿宋"/>
          <w:color w:val="auto"/>
          <w:highlight w:val="none"/>
        </w:rPr>
      </w:pPr>
    </w:p>
    <w:p w14:paraId="334539F5">
      <w:pPr>
        <w:shd w:val="clear" w:color="auto" w:fill="auto"/>
        <w:spacing w:line="400" w:lineRule="exact"/>
        <w:rPr>
          <w:rFonts w:hint="eastAsia" w:ascii="仿宋" w:hAnsi="仿宋" w:eastAsia="仿宋" w:cs="仿宋"/>
          <w:color w:val="auto"/>
          <w:highlight w:val="none"/>
        </w:rPr>
      </w:pPr>
    </w:p>
    <w:p w14:paraId="4C71CAD2">
      <w:pPr>
        <w:shd w:val="clear" w:color="auto" w:fill="auto"/>
        <w:spacing w:line="400" w:lineRule="exact"/>
        <w:rPr>
          <w:rFonts w:hint="eastAsia" w:ascii="仿宋" w:hAnsi="仿宋" w:eastAsia="仿宋" w:cs="仿宋"/>
          <w:color w:val="auto"/>
          <w:highlight w:val="none"/>
        </w:rPr>
      </w:pPr>
    </w:p>
    <w:p w14:paraId="57CFA143">
      <w:pPr>
        <w:shd w:val="clear" w:color="auto" w:fill="auto"/>
        <w:spacing w:line="400" w:lineRule="exact"/>
        <w:rPr>
          <w:rFonts w:hint="eastAsia" w:ascii="仿宋" w:hAnsi="仿宋" w:eastAsia="仿宋" w:cs="仿宋"/>
          <w:color w:val="auto"/>
          <w:highlight w:val="none"/>
        </w:rPr>
      </w:pPr>
    </w:p>
    <w:p w14:paraId="7F012B08">
      <w:pPr>
        <w:shd w:val="clear" w:color="auto" w:fill="auto"/>
        <w:spacing w:line="400" w:lineRule="exact"/>
        <w:rPr>
          <w:rFonts w:hint="eastAsia" w:ascii="仿宋" w:hAnsi="仿宋" w:eastAsia="仿宋" w:cs="仿宋"/>
          <w:color w:val="auto"/>
          <w:highlight w:val="none"/>
        </w:rPr>
      </w:pPr>
    </w:p>
    <w:p w14:paraId="79C573E0">
      <w:pPr>
        <w:shd w:val="clear" w:color="auto" w:fill="auto"/>
        <w:spacing w:line="400" w:lineRule="exact"/>
        <w:rPr>
          <w:rFonts w:hint="eastAsia" w:ascii="仿宋" w:hAnsi="仿宋" w:eastAsia="仿宋" w:cs="仿宋"/>
          <w:color w:val="auto"/>
          <w:highlight w:val="none"/>
        </w:rPr>
      </w:pPr>
    </w:p>
    <w:p w14:paraId="6A6E9ED7">
      <w:pPr>
        <w:shd w:val="clear" w:color="auto" w:fill="auto"/>
        <w:spacing w:line="400" w:lineRule="exact"/>
        <w:rPr>
          <w:rFonts w:hint="eastAsia" w:ascii="仿宋" w:hAnsi="仿宋" w:eastAsia="仿宋" w:cs="仿宋"/>
          <w:color w:val="auto"/>
          <w:highlight w:val="none"/>
        </w:rPr>
      </w:pPr>
    </w:p>
    <w:p w14:paraId="6C836087">
      <w:pPr>
        <w:shd w:val="clear" w:color="auto" w:fill="auto"/>
        <w:spacing w:line="400" w:lineRule="exact"/>
        <w:rPr>
          <w:rFonts w:hint="eastAsia" w:ascii="仿宋" w:hAnsi="仿宋" w:eastAsia="仿宋" w:cs="仿宋"/>
          <w:color w:val="auto"/>
          <w:highlight w:val="none"/>
        </w:rPr>
      </w:pPr>
    </w:p>
    <w:p w14:paraId="14D756DC">
      <w:pPr>
        <w:shd w:val="clear" w:color="auto" w:fill="auto"/>
        <w:spacing w:line="400" w:lineRule="exact"/>
        <w:rPr>
          <w:rFonts w:hint="eastAsia" w:ascii="仿宋" w:hAnsi="仿宋" w:eastAsia="仿宋" w:cs="仿宋"/>
          <w:color w:val="auto"/>
          <w:highlight w:val="none"/>
        </w:rPr>
      </w:pPr>
    </w:p>
    <w:p w14:paraId="3AE13B23">
      <w:pPr>
        <w:shd w:val="clear" w:color="auto" w:fill="auto"/>
        <w:spacing w:line="400" w:lineRule="exact"/>
        <w:rPr>
          <w:rFonts w:hint="eastAsia" w:ascii="仿宋" w:hAnsi="仿宋" w:eastAsia="仿宋" w:cs="仿宋"/>
          <w:color w:val="auto"/>
          <w:highlight w:val="none"/>
        </w:rPr>
      </w:pPr>
    </w:p>
    <w:p w14:paraId="5440B5A6">
      <w:pPr>
        <w:shd w:val="clear" w:color="auto" w:fill="auto"/>
        <w:spacing w:line="400" w:lineRule="exact"/>
        <w:rPr>
          <w:rFonts w:hint="eastAsia" w:ascii="仿宋" w:hAnsi="仿宋" w:eastAsia="仿宋" w:cs="仿宋"/>
          <w:color w:val="auto"/>
          <w:highlight w:val="none"/>
        </w:rPr>
      </w:pPr>
    </w:p>
    <w:p w14:paraId="42AC7836">
      <w:pPr>
        <w:shd w:val="clear" w:color="auto" w:fill="auto"/>
        <w:spacing w:line="400" w:lineRule="exact"/>
        <w:rPr>
          <w:rFonts w:hint="eastAsia" w:ascii="仿宋" w:hAnsi="仿宋" w:eastAsia="仿宋" w:cs="仿宋"/>
          <w:color w:val="auto"/>
          <w:highlight w:val="none"/>
        </w:rPr>
      </w:pPr>
    </w:p>
    <w:p w14:paraId="59D00B2A">
      <w:pPr>
        <w:shd w:val="clear" w:color="auto" w:fill="auto"/>
        <w:spacing w:line="400" w:lineRule="exact"/>
        <w:rPr>
          <w:rFonts w:hint="eastAsia" w:ascii="仿宋" w:hAnsi="仿宋" w:eastAsia="仿宋" w:cs="仿宋"/>
          <w:color w:val="auto"/>
          <w:highlight w:val="none"/>
        </w:rPr>
      </w:pPr>
    </w:p>
    <w:p w14:paraId="1B397DAC">
      <w:pPr>
        <w:shd w:val="clear" w:color="auto" w:fill="auto"/>
        <w:spacing w:line="400" w:lineRule="exact"/>
        <w:rPr>
          <w:rFonts w:hint="eastAsia" w:ascii="仿宋" w:hAnsi="仿宋" w:eastAsia="仿宋" w:cs="仿宋"/>
          <w:color w:val="auto"/>
          <w:highlight w:val="none"/>
        </w:rPr>
      </w:pPr>
    </w:p>
    <w:p w14:paraId="0EA94381">
      <w:pPr>
        <w:shd w:val="clear" w:color="auto" w:fill="auto"/>
        <w:spacing w:line="400" w:lineRule="exact"/>
        <w:rPr>
          <w:rFonts w:hint="eastAsia" w:ascii="仿宋" w:hAnsi="仿宋" w:eastAsia="仿宋" w:cs="仿宋"/>
          <w:color w:val="auto"/>
          <w:highlight w:val="none"/>
        </w:rPr>
      </w:pPr>
    </w:p>
    <w:p w14:paraId="766D89B4">
      <w:pPr>
        <w:shd w:val="clear" w:color="auto" w:fill="auto"/>
        <w:spacing w:line="400" w:lineRule="exact"/>
        <w:rPr>
          <w:rFonts w:hint="eastAsia" w:ascii="仿宋" w:hAnsi="仿宋" w:eastAsia="仿宋" w:cs="仿宋"/>
          <w:color w:val="auto"/>
          <w:highlight w:val="none"/>
        </w:rPr>
      </w:pPr>
    </w:p>
    <w:p w14:paraId="259B51E1">
      <w:pPr>
        <w:shd w:val="clear" w:color="auto" w:fill="auto"/>
        <w:spacing w:line="400" w:lineRule="exact"/>
        <w:rPr>
          <w:rFonts w:hint="eastAsia" w:ascii="仿宋" w:hAnsi="仿宋" w:eastAsia="仿宋" w:cs="仿宋"/>
          <w:color w:val="auto"/>
          <w:highlight w:val="none"/>
        </w:rPr>
      </w:pPr>
    </w:p>
    <w:p w14:paraId="1166FF8F">
      <w:pPr>
        <w:shd w:val="clear" w:color="auto" w:fill="auto"/>
        <w:spacing w:line="400" w:lineRule="exact"/>
        <w:rPr>
          <w:rFonts w:hint="eastAsia" w:ascii="仿宋" w:hAnsi="仿宋" w:eastAsia="仿宋" w:cs="仿宋"/>
          <w:color w:val="auto"/>
          <w:highlight w:val="none"/>
        </w:rPr>
      </w:pPr>
    </w:p>
    <w:p w14:paraId="08EEAD43">
      <w:pPr>
        <w:shd w:val="clear" w:color="auto" w:fill="auto"/>
        <w:spacing w:line="400" w:lineRule="exact"/>
        <w:rPr>
          <w:rFonts w:hint="eastAsia" w:ascii="仿宋" w:hAnsi="仿宋" w:eastAsia="仿宋" w:cs="仿宋"/>
          <w:color w:val="auto"/>
          <w:highlight w:val="none"/>
        </w:rPr>
      </w:pPr>
    </w:p>
    <w:p w14:paraId="530A2A22">
      <w:pPr>
        <w:shd w:val="clear" w:color="auto" w:fill="auto"/>
        <w:spacing w:line="400" w:lineRule="exact"/>
        <w:rPr>
          <w:rFonts w:hint="eastAsia" w:ascii="仿宋" w:hAnsi="仿宋" w:eastAsia="仿宋" w:cs="仿宋"/>
          <w:color w:val="auto"/>
          <w:highlight w:val="none"/>
        </w:rPr>
      </w:pPr>
    </w:p>
    <w:p w14:paraId="082F90E6">
      <w:pPr>
        <w:shd w:val="clear" w:color="auto" w:fill="auto"/>
        <w:spacing w:line="400" w:lineRule="exact"/>
        <w:rPr>
          <w:rFonts w:hint="eastAsia" w:ascii="仿宋" w:hAnsi="仿宋" w:eastAsia="仿宋" w:cs="仿宋"/>
          <w:color w:val="auto"/>
          <w:highlight w:val="none"/>
        </w:rPr>
      </w:pPr>
    </w:p>
    <w:p w14:paraId="55371D24">
      <w:pPr>
        <w:shd w:val="clear" w:color="auto" w:fill="auto"/>
        <w:spacing w:line="400" w:lineRule="exact"/>
        <w:rPr>
          <w:rFonts w:hint="eastAsia" w:ascii="仿宋" w:hAnsi="仿宋" w:eastAsia="仿宋" w:cs="仿宋"/>
          <w:color w:val="auto"/>
          <w:highlight w:val="none"/>
        </w:rPr>
      </w:pPr>
    </w:p>
    <w:p w14:paraId="137144D3">
      <w:pPr>
        <w:shd w:val="clear" w:color="auto" w:fill="auto"/>
        <w:spacing w:line="400" w:lineRule="exact"/>
        <w:rPr>
          <w:rFonts w:hint="eastAsia" w:ascii="仿宋" w:hAnsi="仿宋" w:eastAsia="仿宋" w:cs="仿宋"/>
          <w:color w:val="auto"/>
          <w:highlight w:val="none"/>
        </w:rPr>
      </w:pPr>
    </w:p>
    <w:p w14:paraId="0CDEF93C">
      <w:pPr>
        <w:shd w:val="clear" w:color="auto" w:fill="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（项目名称）招标项目</w:t>
      </w:r>
    </w:p>
    <w:p w14:paraId="014AECDC">
      <w:pPr>
        <w:shd w:val="clear" w:color="auto" w:fill="auto"/>
        <w:rPr>
          <w:rFonts w:hint="eastAsia" w:ascii="仿宋" w:hAnsi="仿宋" w:eastAsia="仿宋" w:cs="仿宋"/>
          <w:color w:val="auto"/>
          <w:sz w:val="20"/>
          <w:highlight w:val="none"/>
        </w:rPr>
      </w:pPr>
    </w:p>
    <w:p w14:paraId="64BA4E81">
      <w:pPr>
        <w:shd w:val="clear" w:color="auto" w:fill="auto"/>
        <w:rPr>
          <w:rFonts w:hint="eastAsia" w:ascii="仿宋" w:hAnsi="仿宋" w:eastAsia="仿宋" w:cs="仿宋"/>
          <w:color w:val="auto"/>
          <w:sz w:val="20"/>
          <w:highlight w:val="none"/>
        </w:rPr>
      </w:pPr>
    </w:p>
    <w:p w14:paraId="46E81768">
      <w:pPr>
        <w:shd w:val="clear" w:color="auto" w:fill="auto"/>
        <w:rPr>
          <w:rFonts w:hint="eastAsia" w:ascii="仿宋" w:hAnsi="仿宋" w:eastAsia="仿宋" w:cs="仿宋"/>
          <w:color w:val="auto"/>
          <w:sz w:val="20"/>
          <w:highlight w:val="none"/>
        </w:rPr>
      </w:pPr>
    </w:p>
    <w:p w14:paraId="6A87FEC5">
      <w:pPr>
        <w:shd w:val="clear" w:color="auto" w:fill="auto"/>
        <w:rPr>
          <w:rFonts w:hint="eastAsia" w:ascii="仿宋" w:hAnsi="仿宋" w:eastAsia="仿宋" w:cs="仿宋"/>
          <w:color w:val="auto"/>
          <w:sz w:val="20"/>
          <w:highlight w:val="none"/>
        </w:rPr>
      </w:pPr>
    </w:p>
    <w:p w14:paraId="4353CF5A">
      <w:pPr>
        <w:shd w:val="clear" w:color="auto" w:fill="auto"/>
        <w:rPr>
          <w:rFonts w:hint="eastAsia" w:ascii="仿宋" w:hAnsi="仿宋" w:eastAsia="仿宋" w:cs="仿宋"/>
          <w:color w:val="auto"/>
          <w:sz w:val="20"/>
          <w:highlight w:val="none"/>
        </w:rPr>
      </w:pPr>
    </w:p>
    <w:p w14:paraId="03947D55">
      <w:pPr>
        <w:shd w:val="clear" w:color="auto" w:fill="auto"/>
        <w:rPr>
          <w:rFonts w:hint="eastAsia" w:ascii="仿宋" w:hAnsi="仿宋" w:eastAsia="仿宋" w:cs="仿宋"/>
          <w:color w:val="auto"/>
          <w:sz w:val="20"/>
          <w:highlight w:val="none"/>
        </w:rPr>
      </w:pPr>
    </w:p>
    <w:p w14:paraId="6FB47414">
      <w:pPr>
        <w:shd w:val="clear" w:color="auto" w:fill="auto"/>
        <w:rPr>
          <w:rFonts w:hint="eastAsia" w:ascii="仿宋" w:hAnsi="仿宋" w:eastAsia="仿宋" w:cs="仿宋"/>
          <w:color w:val="auto"/>
          <w:sz w:val="20"/>
          <w:highlight w:val="none"/>
        </w:rPr>
      </w:pPr>
    </w:p>
    <w:p w14:paraId="06BF7325">
      <w:pPr>
        <w:shd w:val="clear" w:color="auto" w:fill="auto"/>
        <w:rPr>
          <w:rFonts w:hint="eastAsia" w:ascii="仿宋" w:hAnsi="仿宋" w:eastAsia="仿宋" w:cs="仿宋"/>
          <w:color w:val="auto"/>
          <w:sz w:val="20"/>
          <w:highlight w:val="none"/>
        </w:rPr>
      </w:pPr>
    </w:p>
    <w:p w14:paraId="523E8FE4">
      <w:pPr>
        <w:shd w:val="clear" w:color="auto" w:fill="auto"/>
        <w:rPr>
          <w:rFonts w:hint="eastAsia" w:ascii="仿宋" w:hAnsi="仿宋" w:eastAsia="仿宋" w:cs="仿宋"/>
          <w:color w:val="auto"/>
          <w:sz w:val="20"/>
          <w:highlight w:val="none"/>
        </w:rPr>
      </w:pPr>
    </w:p>
    <w:p w14:paraId="3B09EBE3">
      <w:pPr>
        <w:shd w:val="clear" w:color="auto" w:fill="auto"/>
        <w:rPr>
          <w:rFonts w:hint="eastAsia" w:ascii="仿宋" w:hAnsi="仿宋" w:eastAsia="仿宋" w:cs="仿宋"/>
          <w:color w:val="auto"/>
          <w:sz w:val="20"/>
          <w:highlight w:val="none"/>
        </w:rPr>
      </w:pPr>
    </w:p>
    <w:p w14:paraId="0F39F209">
      <w:pPr>
        <w:shd w:val="clear" w:color="auto" w:fill="auto"/>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投 标 文 件</w:t>
      </w:r>
    </w:p>
    <w:p w14:paraId="637329A5">
      <w:pPr>
        <w:shd w:val="clear" w:color="auto" w:fill="auto"/>
        <w:jc w:val="center"/>
        <w:rPr>
          <w:rFonts w:hint="eastAsia" w:ascii="仿宋" w:hAnsi="仿宋" w:eastAsia="仿宋" w:cs="仿宋"/>
          <w:color w:val="auto"/>
          <w:sz w:val="44"/>
          <w:highlight w:val="none"/>
        </w:rPr>
      </w:pPr>
    </w:p>
    <w:p w14:paraId="59AB6755">
      <w:pPr>
        <w:shd w:val="clear" w:color="auto" w:fill="auto"/>
        <w:rPr>
          <w:rFonts w:hint="eastAsia" w:ascii="仿宋" w:hAnsi="仿宋" w:eastAsia="仿宋" w:cs="仿宋"/>
          <w:color w:val="auto"/>
          <w:sz w:val="28"/>
          <w:highlight w:val="none"/>
        </w:rPr>
      </w:pPr>
    </w:p>
    <w:p w14:paraId="7E6B7E97">
      <w:pPr>
        <w:shd w:val="clear" w:color="auto" w:fill="auto"/>
        <w:rPr>
          <w:rFonts w:hint="eastAsia" w:ascii="仿宋" w:hAnsi="仿宋" w:eastAsia="仿宋" w:cs="仿宋"/>
          <w:color w:val="auto"/>
          <w:sz w:val="28"/>
          <w:highlight w:val="none"/>
        </w:rPr>
      </w:pPr>
    </w:p>
    <w:p w14:paraId="13ED6093">
      <w:pPr>
        <w:shd w:val="clear" w:color="auto" w:fill="auto"/>
        <w:rPr>
          <w:rFonts w:hint="eastAsia" w:ascii="仿宋" w:hAnsi="仿宋" w:eastAsia="仿宋" w:cs="仿宋"/>
          <w:color w:val="auto"/>
          <w:sz w:val="28"/>
          <w:highlight w:val="none"/>
        </w:rPr>
      </w:pPr>
    </w:p>
    <w:p w14:paraId="67FCB832">
      <w:pPr>
        <w:shd w:val="clear" w:color="auto" w:fill="auto"/>
        <w:rPr>
          <w:rFonts w:hint="eastAsia" w:ascii="仿宋" w:hAnsi="仿宋" w:eastAsia="仿宋" w:cs="仿宋"/>
          <w:color w:val="auto"/>
          <w:sz w:val="28"/>
          <w:highlight w:val="none"/>
        </w:rPr>
      </w:pPr>
    </w:p>
    <w:p w14:paraId="4B94E5BD">
      <w:pPr>
        <w:shd w:val="clear" w:color="auto" w:fill="auto"/>
        <w:rPr>
          <w:rFonts w:hint="eastAsia" w:ascii="仿宋" w:hAnsi="仿宋" w:eastAsia="仿宋" w:cs="仿宋"/>
          <w:color w:val="auto"/>
          <w:sz w:val="28"/>
          <w:highlight w:val="none"/>
        </w:rPr>
      </w:pPr>
    </w:p>
    <w:p w14:paraId="5B37C45B">
      <w:pPr>
        <w:shd w:val="clear" w:color="auto" w:fill="auto"/>
        <w:rPr>
          <w:rFonts w:hint="eastAsia" w:ascii="仿宋" w:hAnsi="仿宋" w:eastAsia="仿宋" w:cs="仿宋"/>
          <w:color w:val="auto"/>
          <w:sz w:val="28"/>
          <w:highlight w:val="none"/>
        </w:rPr>
      </w:pPr>
    </w:p>
    <w:p w14:paraId="35E8800C">
      <w:pPr>
        <w:shd w:val="clear" w:color="auto" w:fill="auto"/>
        <w:rPr>
          <w:rFonts w:hint="eastAsia" w:ascii="仿宋" w:hAnsi="仿宋" w:eastAsia="仿宋" w:cs="仿宋"/>
          <w:color w:val="auto"/>
          <w:sz w:val="28"/>
          <w:highlight w:val="none"/>
        </w:rPr>
      </w:pPr>
    </w:p>
    <w:p w14:paraId="157816F6">
      <w:pPr>
        <w:shd w:val="clear" w:color="auto" w:fill="auto"/>
        <w:rPr>
          <w:rFonts w:hint="eastAsia" w:ascii="仿宋" w:hAnsi="仿宋" w:eastAsia="仿宋" w:cs="仿宋"/>
          <w:color w:val="auto"/>
          <w:sz w:val="28"/>
          <w:highlight w:val="none"/>
        </w:rPr>
      </w:pPr>
    </w:p>
    <w:p w14:paraId="3E6818E9">
      <w:pPr>
        <w:shd w:val="clear" w:color="auto" w:fill="auto"/>
        <w:rPr>
          <w:rFonts w:hint="eastAsia" w:ascii="仿宋" w:hAnsi="仿宋" w:eastAsia="仿宋" w:cs="仿宋"/>
          <w:color w:val="auto"/>
          <w:sz w:val="28"/>
          <w:highlight w:val="none"/>
        </w:rPr>
      </w:pPr>
    </w:p>
    <w:p w14:paraId="205C5863">
      <w:pPr>
        <w:shd w:val="clear" w:color="auto" w:fill="auto"/>
        <w:rPr>
          <w:rFonts w:hint="eastAsia" w:ascii="仿宋" w:hAnsi="仿宋" w:eastAsia="仿宋" w:cs="仿宋"/>
          <w:color w:val="auto"/>
          <w:sz w:val="28"/>
          <w:highlight w:val="none"/>
        </w:rPr>
      </w:pPr>
    </w:p>
    <w:p w14:paraId="7A255392">
      <w:pPr>
        <w:shd w:val="clear" w:color="auto" w:fill="auto"/>
        <w:spacing w:line="360" w:lineRule="auto"/>
        <w:rPr>
          <w:rFonts w:hint="eastAsia" w:ascii="仿宋" w:hAnsi="仿宋" w:eastAsia="仿宋" w:cs="仿宋"/>
          <w:color w:val="auto"/>
          <w:sz w:val="28"/>
          <w:highlight w:val="none"/>
        </w:rPr>
      </w:pPr>
    </w:p>
    <w:p w14:paraId="57ED1A82">
      <w:pPr>
        <w:shd w:val="clear" w:color="auto" w:fill="auto"/>
        <w:spacing w:line="360" w:lineRule="auto"/>
        <w:ind w:firstLine="1120" w:firstLineChars="40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投标人：</w:t>
      </w:r>
      <w:r>
        <w:rPr>
          <w:rFonts w:hint="eastAsia" w:ascii="仿宋" w:hAnsi="仿宋" w:eastAsia="仿宋" w:cs="仿宋"/>
          <w:color w:val="auto"/>
          <w:highlight w:val="none"/>
          <w:u w:val="single"/>
        </w:rPr>
        <w:t xml:space="preserve">                                            </w:t>
      </w:r>
      <w:r>
        <w:rPr>
          <w:rFonts w:hint="eastAsia" w:ascii="仿宋" w:hAnsi="仿宋" w:eastAsia="仿宋" w:cs="仿宋"/>
          <w:color w:val="auto"/>
          <w:sz w:val="28"/>
          <w:highlight w:val="none"/>
        </w:rPr>
        <w:t>（盖单位章）</w:t>
      </w:r>
    </w:p>
    <w:p w14:paraId="206E1EE0">
      <w:pPr>
        <w:shd w:val="clear" w:color="auto" w:fill="auto"/>
        <w:spacing w:line="360" w:lineRule="auto"/>
        <w:ind w:firstLine="1120" w:firstLineChars="400"/>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法定代表人或其委托代理人：</w:t>
      </w:r>
      <w:r>
        <w:rPr>
          <w:rFonts w:hint="eastAsia" w:ascii="仿宋" w:hAnsi="仿宋" w:eastAsia="仿宋" w:cs="仿宋"/>
          <w:color w:val="auto"/>
          <w:highlight w:val="none"/>
          <w:u w:val="single"/>
        </w:rPr>
        <w:t xml:space="preserve">       </w:t>
      </w:r>
      <w:r>
        <w:rPr>
          <w:rFonts w:hint="eastAsia" w:ascii="仿宋" w:hAnsi="仿宋" w:eastAsia="仿宋" w:cs="仿宋"/>
          <w:color w:val="auto"/>
          <w:sz w:val="28"/>
          <w:highlight w:val="none"/>
        </w:rPr>
        <w:t>（签名或盖章）</w:t>
      </w:r>
    </w:p>
    <w:p w14:paraId="5726CC04">
      <w:pPr>
        <w:shd w:val="clear" w:color="auto" w:fill="auto"/>
        <w:jc w:val="center"/>
        <w:rPr>
          <w:rFonts w:hint="eastAsia" w:ascii="仿宋" w:hAnsi="仿宋" w:eastAsia="仿宋" w:cs="仿宋"/>
          <w:color w:val="auto"/>
          <w:sz w:val="28"/>
          <w:highlight w:val="none"/>
        </w:rPr>
      </w:pPr>
    </w:p>
    <w:p w14:paraId="0D95D3CD">
      <w:pPr>
        <w:shd w:val="clear" w:color="auto" w:fill="auto"/>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sz w:val="28"/>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sz w:val="28"/>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sz w:val="28"/>
          <w:highlight w:val="none"/>
        </w:rPr>
        <w:t>日</w:t>
      </w:r>
    </w:p>
    <w:p w14:paraId="18645909">
      <w:pPr>
        <w:shd w:val="clear" w:color="auto" w:fill="auto"/>
        <w:rPr>
          <w:rFonts w:hint="eastAsia" w:ascii="仿宋" w:hAnsi="仿宋" w:eastAsia="仿宋" w:cs="仿宋"/>
          <w:color w:val="auto"/>
          <w:highlight w:val="none"/>
        </w:rPr>
      </w:pPr>
    </w:p>
    <w:p w14:paraId="202606A2">
      <w:pPr>
        <w:shd w:val="clear" w:color="auto" w:fill="auto"/>
        <w:rPr>
          <w:rFonts w:hint="eastAsia" w:ascii="仿宋" w:hAnsi="仿宋" w:eastAsia="仿宋" w:cs="仿宋"/>
          <w:color w:val="auto"/>
          <w:highlight w:val="none"/>
        </w:rPr>
      </w:pPr>
    </w:p>
    <w:p w14:paraId="6A7996E3">
      <w:pPr>
        <w:pStyle w:val="2"/>
        <w:keepNext w:val="0"/>
        <w:keepLines w:val="0"/>
        <w:shd w:val="clear" w:color="auto" w:fill="auto"/>
        <w:jc w:val="center"/>
        <w:rPr>
          <w:rFonts w:hint="eastAsia" w:ascii="仿宋" w:hAnsi="仿宋" w:eastAsia="仿宋" w:cs="仿宋"/>
          <w:color w:val="auto"/>
          <w:highlight w:val="none"/>
        </w:rPr>
      </w:pPr>
      <w:bookmarkStart w:id="650" w:name="_Toc14966905"/>
      <w:r>
        <w:rPr>
          <w:rFonts w:hint="eastAsia" w:ascii="仿宋" w:hAnsi="仿宋" w:eastAsia="仿宋" w:cs="仿宋"/>
          <w:color w:val="auto"/>
          <w:highlight w:val="none"/>
        </w:rPr>
        <w:br w:type="page"/>
      </w:r>
      <w:bookmarkStart w:id="651" w:name="_Toc1543"/>
      <w:bookmarkStart w:id="652" w:name="_Toc16345"/>
      <w:bookmarkStart w:id="653" w:name="_Toc31506"/>
      <w:bookmarkStart w:id="654" w:name="_Toc14358"/>
      <w:bookmarkStart w:id="655" w:name="_Toc28110"/>
      <w:bookmarkStart w:id="656" w:name="_Toc15105"/>
      <w:bookmarkStart w:id="657" w:name="_Toc23692"/>
      <w:bookmarkStart w:id="658" w:name="_Toc13561"/>
      <w:bookmarkStart w:id="659" w:name="_Toc20494"/>
      <w:bookmarkStart w:id="660" w:name="_Toc22061"/>
      <w:bookmarkStart w:id="661" w:name="_Toc29188"/>
      <w:bookmarkStart w:id="662" w:name="_Toc1423"/>
      <w:bookmarkStart w:id="663" w:name="_Toc12824"/>
      <w:bookmarkStart w:id="664" w:name="_Toc26994"/>
      <w:bookmarkStart w:id="665" w:name="_Toc4227"/>
      <w:bookmarkStart w:id="666" w:name="_Toc20467"/>
      <w:bookmarkStart w:id="667" w:name="_Toc12590"/>
      <w:r>
        <w:rPr>
          <w:rFonts w:hint="eastAsia" w:ascii="仿宋" w:hAnsi="仿宋" w:eastAsia="仿宋" w:cs="仿宋"/>
          <w:color w:val="auto"/>
          <w:highlight w:val="none"/>
        </w:rPr>
        <w:t>目录</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41631C33">
      <w:pPr>
        <w:shd w:val="clear" w:color="auto" w:fill="auto"/>
        <w:spacing w:line="540" w:lineRule="exact"/>
        <w:rPr>
          <w:rFonts w:hint="eastAsia" w:ascii="仿宋" w:hAnsi="仿宋" w:eastAsia="仿宋" w:cs="仿宋"/>
          <w:color w:val="auto"/>
          <w:highlight w:val="none"/>
        </w:rPr>
      </w:pPr>
    </w:p>
    <w:p w14:paraId="3583039B">
      <w:pPr>
        <w:shd w:val="clear" w:color="auto" w:fill="auto"/>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一、投标函及投标函附录</w:t>
      </w:r>
    </w:p>
    <w:p w14:paraId="7E32FFB7">
      <w:pPr>
        <w:shd w:val="clear" w:color="auto" w:fill="auto"/>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二、法定代表人身份证明（适用于无委托代理人的情况）</w:t>
      </w:r>
    </w:p>
    <w:p w14:paraId="134F5B1C">
      <w:pPr>
        <w:shd w:val="clear" w:color="auto" w:fill="auto"/>
        <w:spacing w:line="54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、授权委托书（适用于有委托代理人的情况）</w:t>
      </w:r>
    </w:p>
    <w:p w14:paraId="042A9475">
      <w:pPr>
        <w:shd w:val="clear" w:color="auto" w:fill="auto"/>
        <w:spacing w:line="540" w:lineRule="exact"/>
        <w:rPr>
          <w:rFonts w:hint="eastAsia" w:ascii="仿宋" w:hAnsi="仿宋" w:eastAsia="仿宋" w:cs="仿宋"/>
          <w:strike/>
          <w:dstrike w:val="0"/>
          <w:color w:val="auto"/>
          <w:highlight w:val="none"/>
          <w:lang w:val="en-US" w:eastAsia="zh-CN"/>
        </w:rPr>
      </w:pPr>
      <w:r>
        <w:rPr>
          <w:rFonts w:hint="eastAsia" w:ascii="仿宋" w:hAnsi="仿宋" w:eastAsia="仿宋" w:cs="仿宋"/>
          <w:strike/>
          <w:dstrike w:val="0"/>
          <w:color w:val="auto"/>
          <w:highlight w:val="none"/>
          <w:lang w:val="en-US" w:eastAsia="zh-CN"/>
        </w:rPr>
        <w:t>三、联合体协议书（如有）</w:t>
      </w:r>
    </w:p>
    <w:p w14:paraId="2B6D3E50">
      <w:pPr>
        <w:shd w:val="clear" w:color="auto" w:fill="auto"/>
        <w:spacing w:line="54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、监理报酬清单</w:t>
      </w:r>
    </w:p>
    <w:p w14:paraId="5C56A8BF">
      <w:pPr>
        <w:shd w:val="clear" w:color="auto" w:fill="auto"/>
        <w:spacing w:line="54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、资格审查资料</w:t>
      </w:r>
    </w:p>
    <w:p w14:paraId="523597AD">
      <w:pPr>
        <w:shd w:val="clear" w:color="auto" w:fill="auto"/>
        <w:spacing w:line="54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六、定标评审资料</w:t>
      </w:r>
    </w:p>
    <w:p w14:paraId="1C3EE07F">
      <w:pPr>
        <w:shd w:val="clear" w:color="auto" w:fill="auto"/>
        <w:spacing w:line="54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rPr>
        <w:t>、监理大纲</w:t>
      </w:r>
    </w:p>
    <w:p w14:paraId="5C16F6E5">
      <w:pPr>
        <w:shd w:val="clear" w:color="auto" w:fill="auto"/>
        <w:spacing w:line="540" w:lineRule="exact"/>
        <w:rPr>
          <w:rFonts w:hint="eastAsia" w:ascii="仿宋" w:hAnsi="仿宋" w:eastAsia="仿宋" w:cs="仿宋"/>
          <w:color w:val="auto"/>
          <w:highlight w:val="none"/>
        </w:rPr>
      </w:pPr>
      <w:bookmarkStart w:id="668" w:name="_Toc369531691"/>
      <w:bookmarkStart w:id="669" w:name="_Toc7039"/>
      <w:bookmarkStart w:id="670" w:name="_Toc352691655"/>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投标人认为有必要提供的</w:t>
      </w:r>
      <w:r>
        <w:rPr>
          <w:rFonts w:hint="eastAsia" w:ascii="仿宋" w:hAnsi="仿宋" w:eastAsia="仿宋" w:cs="仿宋"/>
          <w:color w:val="auto"/>
          <w:highlight w:val="none"/>
        </w:rPr>
        <w:t>其他资料</w:t>
      </w:r>
    </w:p>
    <w:p w14:paraId="2DD5CE8D">
      <w:pPr>
        <w:shd w:val="clear" w:color="auto" w:fill="auto"/>
        <w:spacing w:line="540" w:lineRule="exact"/>
        <w:rPr>
          <w:rFonts w:hint="eastAsia" w:ascii="仿宋" w:hAnsi="仿宋" w:eastAsia="仿宋" w:cs="仿宋"/>
          <w:color w:val="auto"/>
          <w:sz w:val="20"/>
          <w:highlight w:val="none"/>
        </w:rPr>
      </w:pPr>
    </w:p>
    <w:p w14:paraId="0C2FAAB6">
      <w:pPr>
        <w:shd w:val="clear" w:color="auto" w:fill="auto"/>
        <w:spacing w:line="540" w:lineRule="exact"/>
        <w:rPr>
          <w:rFonts w:hint="eastAsia" w:ascii="仿宋" w:hAnsi="仿宋" w:eastAsia="仿宋" w:cs="仿宋"/>
          <w:color w:val="auto"/>
          <w:sz w:val="20"/>
          <w:highlight w:val="none"/>
        </w:rPr>
      </w:pPr>
    </w:p>
    <w:p w14:paraId="663C269F">
      <w:pPr>
        <w:shd w:val="clear" w:color="auto" w:fill="auto"/>
        <w:spacing w:line="540" w:lineRule="exact"/>
        <w:rPr>
          <w:rFonts w:hint="eastAsia" w:ascii="仿宋" w:hAnsi="仿宋" w:eastAsia="仿宋" w:cs="仿宋"/>
          <w:color w:val="auto"/>
          <w:sz w:val="20"/>
          <w:highlight w:val="none"/>
        </w:rPr>
      </w:pPr>
    </w:p>
    <w:p w14:paraId="38B0DD0A">
      <w:pPr>
        <w:shd w:val="clear" w:color="auto" w:fill="auto"/>
        <w:spacing w:line="540" w:lineRule="exact"/>
        <w:rPr>
          <w:rFonts w:hint="eastAsia" w:ascii="仿宋" w:hAnsi="仿宋" w:eastAsia="仿宋" w:cs="仿宋"/>
          <w:color w:val="auto"/>
          <w:sz w:val="20"/>
          <w:highlight w:val="none"/>
        </w:rPr>
      </w:pPr>
      <w:r>
        <w:rPr>
          <w:rFonts w:hint="eastAsia" w:ascii="仿宋" w:hAnsi="仿宋" w:eastAsia="仿宋" w:cs="仿宋"/>
          <w:color w:val="auto"/>
          <w:sz w:val="20"/>
          <w:highlight w:val="none"/>
        </w:rPr>
        <w:br w:type="page"/>
      </w:r>
    </w:p>
    <w:bookmarkEnd w:id="668"/>
    <w:bookmarkEnd w:id="669"/>
    <w:bookmarkEnd w:id="670"/>
    <w:p w14:paraId="02C60B4E">
      <w:pPr>
        <w:pStyle w:val="2"/>
        <w:keepNext w:val="0"/>
        <w:keepLines w:val="0"/>
        <w:shd w:val="clear" w:color="auto" w:fill="auto"/>
        <w:jc w:val="center"/>
        <w:rPr>
          <w:rFonts w:hint="eastAsia" w:ascii="仿宋" w:hAnsi="仿宋" w:eastAsia="仿宋" w:cs="仿宋"/>
          <w:color w:val="auto"/>
          <w:highlight w:val="none"/>
        </w:rPr>
      </w:pPr>
      <w:bookmarkStart w:id="671" w:name="_Toc5826"/>
      <w:bookmarkStart w:id="672" w:name="_Toc25136"/>
      <w:bookmarkStart w:id="673" w:name="_Toc14966906"/>
      <w:bookmarkStart w:id="674" w:name="_Toc7219"/>
      <w:bookmarkStart w:id="675" w:name="_Toc7627"/>
      <w:bookmarkStart w:id="676" w:name="_Toc5997"/>
      <w:bookmarkStart w:id="677" w:name="_Toc14689"/>
      <w:bookmarkStart w:id="678" w:name="_Toc15050"/>
      <w:bookmarkStart w:id="679" w:name="_Toc18352"/>
      <w:bookmarkStart w:id="680" w:name="_Toc9423"/>
      <w:bookmarkStart w:id="681" w:name="_Toc3352"/>
      <w:bookmarkStart w:id="682" w:name="_Toc20796"/>
      <w:bookmarkStart w:id="683" w:name="_Toc13162"/>
      <w:bookmarkStart w:id="684" w:name="_Toc28514"/>
      <w:bookmarkStart w:id="685" w:name="_Toc19044"/>
      <w:bookmarkStart w:id="686" w:name="_Toc22728"/>
      <w:bookmarkStart w:id="687" w:name="_Toc22216"/>
      <w:bookmarkStart w:id="688" w:name="_Toc8524"/>
      <w:r>
        <w:rPr>
          <w:rFonts w:hint="eastAsia" w:ascii="仿宋" w:hAnsi="仿宋" w:eastAsia="仿宋" w:cs="仿宋"/>
          <w:color w:val="auto"/>
          <w:highlight w:val="none"/>
        </w:rPr>
        <w:t>一、投标</w:t>
      </w:r>
      <w:bookmarkStart w:id="689" w:name="_Toc352691656"/>
      <w:bookmarkStart w:id="690" w:name="_Toc6931"/>
      <w:bookmarkStart w:id="691" w:name="_Toc369531692"/>
      <w:r>
        <w:rPr>
          <w:rFonts w:hint="eastAsia" w:ascii="仿宋" w:hAnsi="仿宋" w:eastAsia="仿宋" w:cs="仿宋"/>
          <w:color w:val="auto"/>
          <w:highlight w:val="none"/>
        </w:rPr>
        <w:t>函及投标函附录</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bookmarkEnd w:id="477"/>
    <w:bookmarkEnd w:id="478"/>
    <w:bookmarkEnd w:id="479"/>
    <w:bookmarkEnd w:id="480"/>
    <w:bookmarkEnd w:id="481"/>
    <w:bookmarkEnd w:id="482"/>
    <w:bookmarkEnd w:id="483"/>
    <w:bookmarkEnd w:id="484"/>
    <w:bookmarkEnd w:id="485"/>
    <w:bookmarkEnd w:id="689"/>
    <w:bookmarkEnd w:id="690"/>
    <w:bookmarkEnd w:id="691"/>
    <w:p w14:paraId="54F3860F">
      <w:pPr>
        <w:pStyle w:val="4"/>
        <w:shd w:val="clear" w:color="auto" w:fill="auto"/>
        <w:ind w:firstLine="137"/>
        <w:jc w:val="center"/>
        <w:rPr>
          <w:rFonts w:hint="eastAsia" w:ascii="仿宋" w:hAnsi="仿宋" w:eastAsia="仿宋" w:cs="仿宋"/>
          <w:color w:val="auto"/>
          <w:highlight w:val="none"/>
        </w:rPr>
      </w:pPr>
      <w:bookmarkStart w:id="692" w:name="_Toc10046"/>
      <w:bookmarkStart w:id="693" w:name="_Toc370676426"/>
      <w:bookmarkStart w:id="694" w:name="_Toc527969223"/>
      <w:bookmarkStart w:id="695" w:name="_Toc14966907"/>
      <w:bookmarkStart w:id="696" w:name="_Toc18601"/>
      <w:bookmarkStart w:id="697" w:name="_Toc28954"/>
      <w:bookmarkStart w:id="698" w:name="_Toc16013"/>
      <w:bookmarkStart w:id="699" w:name="_Toc7804"/>
      <w:bookmarkStart w:id="700" w:name="_Toc13805"/>
      <w:bookmarkStart w:id="701" w:name="_Toc391394111"/>
      <w:bookmarkStart w:id="702" w:name="_Toc482188651"/>
      <w:bookmarkStart w:id="703" w:name="_Toc22351"/>
      <w:bookmarkStart w:id="704" w:name="_Toc23140"/>
      <w:bookmarkStart w:id="705" w:name="_Toc1444"/>
      <w:bookmarkStart w:id="706" w:name="_Toc385943065"/>
      <w:bookmarkStart w:id="707" w:name="_Toc28304"/>
      <w:bookmarkStart w:id="708" w:name="_Toc10252"/>
      <w:bookmarkStart w:id="709" w:name="_Toc29746"/>
      <w:bookmarkStart w:id="710" w:name="_Toc8410"/>
      <w:bookmarkStart w:id="711" w:name="_Toc16414"/>
      <w:bookmarkStart w:id="712" w:name="_Toc23326"/>
      <w:bookmarkStart w:id="713" w:name="_Toc10601"/>
      <w:bookmarkStart w:id="714" w:name="_Toc21269"/>
      <w:bookmarkStart w:id="715" w:name="_Toc21339"/>
      <w:bookmarkStart w:id="716" w:name="_Toc359594235"/>
      <w:r>
        <w:rPr>
          <w:rFonts w:hint="eastAsia" w:ascii="仿宋" w:hAnsi="仿宋" w:eastAsia="仿宋" w:cs="仿宋"/>
          <w:color w:val="auto"/>
          <w:highlight w:val="none"/>
        </w:rPr>
        <w:t>（一）投标函</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0DDB7515">
      <w:pPr>
        <w:shd w:val="clear" w:color="auto" w:fill="auto"/>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（招标人名称）：</w:t>
      </w:r>
    </w:p>
    <w:p w14:paraId="053858DB">
      <w:pPr>
        <w:shd w:val="clear" w:color="auto" w:fill="auto"/>
        <w:spacing w:line="360" w:lineRule="auto"/>
        <w:ind w:firstLine="405"/>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1．我方已仔细研究了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（项目名称）监理招标文件的全部内容，愿意以《开标一览表》中的投标总报价和监理服务期限，按合同约定完成监理工作。</w:t>
      </w:r>
    </w:p>
    <w:p w14:paraId="2B56B0B4">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我方的投标文件包括下列内容：</w:t>
      </w:r>
    </w:p>
    <w:p w14:paraId="49433E4E">
      <w:pPr>
        <w:shd w:val="clear" w:color="auto" w:fill="auto"/>
        <w:spacing w:line="360" w:lineRule="auto"/>
        <w:ind w:firstLine="405"/>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（1）投标函</w:t>
      </w:r>
      <w:r>
        <w:rPr>
          <w:rFonts w:hint="eastAsia" w:ascii="仿宋" w:hAnsi="仿宋" w:eastAsia="仿宋" w:cs="仿宋"/>
          <w:color w:val="auto"/>
          <w:highlight w:val="none"/>
        </w:rPr>
        <w:t>及投标函附录</w:t>
      </w:r>
      <w:r>
        <w:rPr>
          <w:rFonts w:hint="eastAsia" w:ascii="仿宋" w:hAnsi="仿宋" w:eastAsia="仿宋" w:cs="仿宋"/>
          <w:color w:val="auto"/>
          <w:szCs w:val="21"/>
          <w:highlight w:val="none"/>
        </w:rPr>
        <w:t>；</w:t>
      </w:r>
    </w:p>
    <w:p w14:paraId="5F8080AC">
      <w:pPr>
        <w:shd w:val="clear" w:color="auto" w:fill="auto"/>
        <w:spacing w:line="360" w:lineRule="auto"/>
        <w:ind w:firstLine="405"/>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（2）法定代表人身份证明或授权委托书；</w:t>
      </w:r>
    </w:p>
    <w:p w14:paraId="32C3B928">
      <w:pPr>
        <w:shd w:val="clear" w:color="auto" w:fill="auto"/>
        <w:spacing w:line="360" w:lineRule="auto"/>
        <w:ind w:firstLine="405"/>
        <w:rPr>
          <w:rFonts w:hint="eastAsia" w:ascii="仿宋" w:hAnsi="仿宋" w:eastAsia="仿宋" w:cs="仿宋"/>
          <w:color w:val="auto"/>
          <w:szCs w:val="21"/>
          <w:highlight w:val="none"/>
        </w:rPr>
      </w:pPr>
      <w:r>
        <w:rPr>
          <w:rFonts w:hint="eastAsia" w:ascii="仿宋" w:hAnsi="仿宋" w:eastAsia="仿宋" w:cs="仿宋"/>
          <w:color w:val="auto"/>
          <w:szCs w:val="21"/>
          <w:highlight w:val="none"/>
        </w:rPr>
        <w:t>（3）监理报酬清单；</w:t>
      </w:r>
    </w:p>
    <w:p w14:paraId="2DC52C7C">
      <w:pPr>
        <w:shd w:val="clear" w:color="auto" w:fill="auto"/>
        <w:spacing w:line="360" w:lineRule="auto"/>
        <w:ind w:firstLine="405"/>
        <w:rPr>
          <w:rFonts w:hint="eastAsia" w:ascii="仿宋" w:hAnsi="仿宋" w:eastAsia="仿宋" w:cs="仿宋"/>
          <w:color w:val="auto"/>
          <w:szCs w:val="21"/>
          <w:highlight w:val="none"/>
        </w:rPr>
      </w:pPr>
      <w:r>
        <w:rPr>
          <w:rFonts w:hint="eastAsia" w:ascii="仿宋" w:hAnsi="仿宋" w:eastAsia="仿宋" w:cs="仿宋"/>
          <w:color w:val="auto"/>
          <w:szCs w:val="21"/>
          <w:highlight w:val="none"/>
        </w:rPr>
        <w:t>（4）资格审查资料；</w:t>
      </w:r>
    </w:p>
    <w:p w14:paraId="24F0B541">
      <w:pPr>
        <w:shd w:val="clear" w:color="auto" w:fill="auto"/>
        <w:spacing w:line="360" w:lineRule="auto"/>
        <w:ind w:firstLine="405"/>
        <w:rPr>
          <w:rFonts w:hint="eastAsia" w:ascii="仿宋" w:hAnsi="仿宋" w:eastAsia="仿宋" w:cs="仿宋"/>
          <w:color w:val="auto"/>
          <w:szCs w:val="21"/>
          <w:highlight w:val="none"/>
        </w:rPr>
      </w:pPr>
      <w:r>
        <w:rPr>
          <w:rFonts w:hint="eastAsia" w:ascii="仿宋" w:hAnsi="仿宋" w:eastAsia="仿宋" w:cs="仿宋"/>
          <w:color w:val="auto"/>
          <w:szCs w:val="21"/>
          <w:highlight w:val="none"/>
        </w:rPr>
        <w:t>（5）监理大纲；</w:t>
      </w:r>
    </w:p>
    <w:p w14:paraId="43FB7B6F">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（6）其他资料。投标文件的上述组成部分如存在内容不一致的，以投标函为准。</w:t>
      </w:r>
    </w:p>
    <w:p w14:paraId="3CD8FC06">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3．我方承诺在招标文件规定的投标有效期内不撤销投标文件。</w:t>
      </w:r>
    </w:p>
    <w:p w14:paraId="68AB24CF">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4．如我方中标，我方承诺：</w:t>
      </w:r>
    </w:p>
    <w:p w14:paraId="7E21CDF1">
      <w:pPr>
        <w:shd w:val="clear" w:color="auto" w:fill="auto"/>
        <w:spacing w:line="360" w:lineRule="auto"/>
        <w:ind w:left="945" w:leftChars="400" w:hanging="105" w:hanging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（1）在收到中标通知书后，在中标通知书规定的期限内与你方签订合同；</w:t>
      </w:r>
    </w:p>
    <w:p w14:paraId="643A42ED">
      <w:pPr>
        <w:shd w:val="clear" w:color="auto" w:fill="auto"/>
        <w:spacing w:line="360" w:lineRule="auto"/>
        <w:ind w:left="945" w:leftChars="400" w:hanging="105" w:hanging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（2）在签订合同时不向你方提出附加条件；</w:t>
      </w:r>
    </w:p>
    <w:p w14:paraId="278CB3F6">
      <w:pPr>
        <w:shd w:val="clear" w:color="auto" w:fill="auto"/>
        <w:spacing w:line="360" w:lineRule="auto"/>
        <w:ind w:left="945" w:leftChars="400" w:hanging="105" w:hangingChars="50"/>
        <w:rPr>
          <w:rFonts w:hint="eastAsia" w:ascii="仿宋" w:hAnsi="仿宋" w:eastAsia="仿宋" w:cs="仿宋"/>
          <w:color w:val="auto"/>
          <w:szCs w:val="21"/>
          <w:highlight w:val="none"/>
        </w:rPr>
      </w:pPr>
      <w:bookmarkStart w:id="717" w:name="_Toc369531694"/>
      <w:bookmarkStart w:id="718" w:name="_Toc352691658"/>
      <w:bookmarkStart w:id="719" w:name="_Toc1187"/>
      <w:r>
        <w:rPr>
          <w:rFonts w:hint="eastAsia" w:ascii="仿宋" w:hAnsi="仿宋" w:eastAsia="仿宋" w:cs="仿宋"/>
          <w:color w:val="auto"/>
          <w:szCs w:val="21"/>
          <w:highlight w:val="none"/>
        </w:rPr>
        <w:t>（3）在合</w:t>
      </w:r>
      <w:bookmarkEnd w:id="717"/>
      <w:bookmarkEnd w:id="718"/>
      <w:bookmarkEnd w:id="719"/>
      <w:r>
        <w:rPr>
          <w:rFonts w:hint="eastAsia" w:ascii="仿宋" w:hAnsi="仿宋" w:eastAsia="仿宋" w:cs="仿宋"/>
          <w:color w:val="auto"/>
          <w:szCs w:val="21"/>
          <w:highlight w:val="none"/>
        </w:rPr>
        <w:t>同约定的期限内完成合同规定的全部义务。</w:t>
      </w:r>
    </w:p>
    <w:p w14:paraId="4594ECB2">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5．我方在此声明，所递交的投标文件及有关资料内容完整、真实和准确，且不存在第二章“投标人须知”第1.4.3项规定的任何一种情形。</w:t>
      </w:r>
    </w:p>
    <w:p w14:paraId="2877E338">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rPr>
        <w:t>（其他补充说明）。</w:t>
      </w:r>
    </w:p>
    <w:p w14:paraId="36E672D2">
      <w:pPr>
        <w:shd w:val="clear" w:color="auto" w:fill="auto"/>
        <w:spacing w:line="360" w:lineRule="auto"/>
        <w:ind w:firstLine="2520" w:firstLineChars="1200"/>
        <w:jc w:val="left"/>
        <w:rPr>
          <w:rFonts w:hint="eastAsia" w:ascii="仿宋" w:hAnsi="仿宋" w:eastAsia="仿宋" w:cs="仿宋"/>
          <w:color w:val="auto"/>
          <w:szCs w:val="21"/>
          <w:highlight w:val="none"/>
        </w:rPr>
      </w:pPr>
      <w:bookmarkStart w:id="720" w:name="_Toc16568"/>
      <w:bookmarkEnd w:id="720"/>
      <w:bookmarkStart w:id="721" w:name="_Toc352691660"/>
      <w:bookmarkEnd w:id="721"/>
      <w:bookmarkStart w:id="722" w:name="_Toc16824"/>
      <w:bookmarkEnd w:id="722"/>
      <w:bookmarkStart w:id="723" w:name="_Toc369531696"/>
      <w:bookmarkEnd w:id="723"/>
      <w:bookmarkStart w:id="724" w:name="_Toc369531695"/>
      <w:bookmarkEnd w:id="724"/>
      <w:bookmarkStart w:id="725" w:name="_Toc352691659"/>
      <w:bookmarkEnd w:id="725"/>
      <w:r>
        <w:rPr>
          <w:rFonts w:hint="eastAsia" w:ascii="仿宋" w:hAnsi="仿宋" w:eastAsia="仿宋" w:cs="仿宋"/>
          <w:color w:val="auto"/>
          <w:szCs w:val="21"/>
          <w:highlight w:val="none"/>
        </w:rPr>
        <w:t>投 标 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rPr>
        <w:t>（盖单位章）</w:t>
      </w:r>
    </w:p>
    <w:p w14:paraId="7E32C643">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highlight w:val="none"/>
        </w:rPr>
        <w:t xml:space="preserve">                        法定代表人</w:t>
      </w:r>
      <w:r>
        <w:rPr>
          <w:rFonts w:hint="eastAsia" w:ascii="仿宋" w:hAnsi="仿宋" w:eastAsia="仿宋" w:cs="仿宋"/>
          <w:color w:val="auto"/>
          <w:szCs w:val="21"/>
          <w:highlight w:val="none"/>
        </w:rPr>
        <w:t>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rPr>
        <w:t>（签名或盖章）</w:t>
      </w:r>
    </w:p>
    <w:p w14:paraId="40834037">
      <w:pPr>
        <w:shd w:val="clear" w:color="auto" w:fill="auto"/>
        <w:spacing w:line="360" w:lineRule="auto"/>
        <w:ind w:firstLine="2520" w:firstLineChars="1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p>
    <w:p w14:paraId="78DE2FF0">
      <w:pPr>
        <w:shd w:val="clear" w:color="auto" w:fill="auto"/>
        <w:spacing w:line="360" w:lineRule="auto"/>
        <w:ind w:firstLine="2520" w:firstLineChars="1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网    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p>
    <w:p w14:paraId="69C1F248">
      <w:pPr>
        <w:shd w:val="clear" w:color="auto" w:fill="auto"/>
        <w:spacing w:line="360" w:lineRule="auto"/>
        <w:ind w:firstLine="2520" w:firstLineChars="1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p>
    <w:p w14:paraId="0DF76B40">
      <w:pPr>
        <w:shd w:val="clear" w:color="auto" w:fill="auto"/>
        <w:spacing w:line="360" w:lineRule="auto"/>
        <w:ind w:firstLine="2520" w:firstLineChars="1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p>
    <w:p w14:paraId="19CD6109">
      <w:pPr>
        <w:shd w:val="clear" w:color="auto" w:fill="auto"/>
        <w:spacing w:line="360" w:lineRule="auto"/>
        <w:ind w:firstLine="2520" w:firstLineChars="1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p>
    <w:p w14:paraId="63A00648">
      <w:pPr>
        <w:shd w:val="clear" w:color="auto" w:fill="auto"/>
        <w:spacing w:line="360" w:lineRule="auto"/>
        <w:ind w:firstLine="4725" w:firstLineChars="2250"/>
        <w:jc w:val="right"/>
        <w:rPr>
          <w:rFonts w:hint="eastAsia" w:ascii="仿宋" w:hAnsi="仿宋" w:eastAsia="仿宋" w:cs="仿宋"/>
          <w:color w:val="auto"/>
          <w:szCs w:val="21"/>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szCs w:val="21"/>
          <w:highlight w:val="none"/>
        </w:rPr>
        <w:t>日</w:t>
      </w:r>
    </w:p>
    <w:p w14:paraId="2C4E3AE1">
      <w:pPr>
        <w:pStyle w:val="4"/>
        <w:numPr>
          <w:ilvl w:val="0"/>
          <w:numId w:val="1"/>
        </w:numPr>
        <w:shd w:val="clear" w:color="auto" w:fill="auto"/>
        <w:spacing w:line="360" w:lineRule="auto"/>
        <w:ind w:firstLine="98"/>
        <w:jc w:val="center"/>
        <w:rPr>
          <w:rFonts w:hint="eastAsia" w:ascii="仿宋" w:hAnsi="仿宋" w:eastAsia="仿宋" w:cs="仿宋"/>
          <w:color w:val="auto"/>
          <w:highlight w:val="none"/>
        </w:rPr>
      </w:pPr>
      <w:bookmarkStart w:id="726" w:name="_Toc361508752"/>
      <w:bookmarkStart w:id="727" w:name="_Toc384308375"/>
      <w:bookmarkStart w:id="728" w:name="_Toc152042576"/>
      <w:bookmarkStart w:id="729" w:name="_Toc152045787"/>
      <w:bookmarkStart w:id="730" w:name="_Toc144974856"/>
      <w:bookmarkStart w:id="731" w:name="_Toc247527827"/>
      <w:bookmarkStart w:id="732" w:name="_Toc247514246"/>
      <w:bookmarkStart w:id="733" w:name="_Toc17960"/>
      <w:bookmarkStart w:id="734" w:name="_Toc352691661"/>
      <w:bookmarkStart w:id="735" w:name="_Toc300835209"/>
      <w:bookmarkStart w:id="736" w:name="_Toc369531697"/>
      <w:r>
        <w:rPr>
          <w:rFonts w:hint="eastAsia" w:ascii="仿宋" w:hAnsi="仿宋" w:eastAsia="仿宋" w:cs="仿宋"/>
          <w:color w:val="auto"/>
          <w:sz w:val="20"/>
          <w:highlight w:val="none"/>
        </w:rPr>
        <w:br w:type="page"/>
      </w:r>
      <w:bookmarkStart w:id="737" w:name="_Toc17088"/>
      <w:bookmarkStart w:id="738" w:name="_Toc7575"/>
      <w:bookmarkStart w:id="739" w:name="_Toc25107"/>
      <w:bookmarkStart w:id="740" w:name="_Toc20458"/>
      <w:bookmarkStart w:id="741" w:name="_Toc22478"/>
      <w:bookmarkStart w:id="742" w:name="_Toc482188652"/>
      <w:bookmarkStart w:id="743" w:name="_Toc13035"/>
      <w:bookmarkStart w:id="744" w:name="_Toc32632"/>
      <w:bookmarkStart w:id="745" w:name="_Toc11461"/>
      <w:bookmarkStart w:id="746" w:name="_Toc527969224"/>
      <w:bookmarkStart w:id="747" w:name="_Toc14966908"/>
      <w:bookmarkStart w:id="748" w:name="_Toc370676427"/>
      <w:bookmarkStart w:id="749" w:name="_Toc6814"/>
      <w:bookmarkStart w:id="750" w:name="_Toc23846"/>
      <w:bookmarkStart w:id="751" w:name="_Toc32518"/>
      <w:bookmarkStart w:id="752" w:name="_Toc31849"/>
      <w:bookmarkStart w:id="753" w:name="_Toc385943066"/>
      <w:bookmarkStart w:id="754" w:name="_Toc27433"/>
      <w:bookmarkStart w:id="755" w:name="_Toc19062"/>
      <w:bookmarkStart w:id="756" w:name="_Toc391394112"/>
      <w:bookmarkStart w:id="757" w:name="_Toc2569"/>
      <w:bookmarkStart w:id="758" w:name="_Toc11475"/>
      <w:bookmarkStart w:id="759" w:name="_Toc31447"/>
      <w:bookmarkStart w:id="760" w:name="_Toc12060"/>
      <w:bookmarkStart w:id="761" w:name="_Toc359594236"/>
      <w:r>
        <w:rPr>
          <w:rFonts w:hint="eastAsia" w:ascii="仿宋" w:hAnsi="仿宋" w:eastAsia="仿宋" w:cs="仿宋"/>
          <w:color w:val="auto"/>
          <w:highlight w:val="none"/>
        </w:rPr>
        <w:t>投标函附录</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tbl>
      <w:tblPr>
        <w:tblStyle w:val="40"/>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12"/>
        <w:gridCol w:w="4711"/>
        <w:gridCol w:w="1649"/>
      </w:tblGrid>
      <w:tr w14:paraId="65FE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3DD7C9D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812" w:type="dxa"/>
            <w:tcBorders>
              <w:top w:val="single" w:color="auto" w:sz="4" w:space="0"/>
              <w:left w:val="single" w:color="auto" w:sz="4" w:space="0"/>
              <w:bottom w:val="single" w:color="auto" w:sz="4" w:space="0"/>
              <w:right w:val="single" w:color="auto" w:sz="4" w:space="0"/>
            </w:tcBorders>
            <w:noWrap/>
            <w:vAlign w:val="center"/>
          </w:tcPr>
          <w:p w14:paraId="5B7B299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4711" w:type="dxa"/>
            <w:tcBorders>
              <w:top w:val="single" w:color="auto" w:sz="4" w:space="0"/>
              <w:left w:val="single" w:color="auto" w:sz="4" w:space="0"/>
              <w:bottom w:val="single" w:color="auto" w:sz="4" w:space="0"/>
              <w:right w:val="single" w:color="auto" w:sz="4" w:space="0"/>
            </w:tcBorders>
            <w:noWrap/>
            <w:vAlign w:val="center"/>
          </w:tcPr>
          <w:p w14:paraId="40ADD4A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约定内容</w:t>
            </w:r>
          </w:p>
        </w:tc>
        <w:tc>
          <w:tcPr>
            <w:tcW w:w="1649" w:type="dxa"/>
            <w:tcBorders>
              <w:top w:val="single" w:color="auto" w:sz="4" w:space="0"/>
              <w:left w:val="single" w:color="auto" w:sz="4" w:space="0"/>
              <w:bottom w:val="single" w:color="auto" w:sz="4" w:space="0"/>
              <w:right w:val="single" w:color="auto" w:sz="4" w:space="0"/>
            </w:tcBorders>
            <w:noWrap/>
            <w:vAlign w:val="center"/>
          </w:tcPr>
          <w:p w14:paraId="4E03125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7773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2FCB1D88">
            <w:pPr>
              <w:keepNext w:val="0"/>
              <w:keepLines w:val="0"/>
              <w:suppressLineNumbers w:val="0"/>
              <w:spacing w:before="100" w:beforeAutospacing="1" w:after="100" w:afterAutospacing="1"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12" w:type="dxa"/>
            <w:tcBorders>
              <w:top w:val="single" w:color="auto" w:sz="4" w:space="0"/>
              <w:left w:val="single" w:color="auto" w:sz="4" w:space="0"/>
              <w:bottom w:val="single" w:color="auto" w:sz="4" w:space="0"/>
              <w:right w:val="single" w:color="auto" w:sz="4" w:space="0"/>
            </w:tcBorders>
            <w:noWrap/>
            <w:vAlign w:val="center"/>
          </w:tcPr>
          <w:p w14:paraId="23D171EA">
            <w:pPr>
              <w:keepNext w:val="0"/>
              <w:keepLines w:val="0"/>
              <w:suppressLineNumbers w:val="0"/>
              <w:spacing w:before="100" w:beforeAutospacing="1" w:after="100" w:afterAutospacing="1"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tc>
        <w:tc>
          <w:tcPr>
            <w:tcW w:w="4711" w:type="dxa"/>
            <w:tcBorders>
              <w:top w:val="single" w:color="auto" w:sz="4" w:space="0"/>
              <w:left w:val="single" w:color="auto" w:sz="4" w:space="0"/>
              <w:bottom w:val="single" w:color="auto" w:sz="4" w:space="0"/>
              <w:right w:val="single" w:color="auto" w:sz="4" w:space="0"/>
            </w:tcBorders>
            <w:noWrap/>
            <w:vAlign w:val="center"/>
          </w:tcPr>
          <w:p w14:paraId="4745A09B">
            <w:pPr>
              <w:keepNext w:val="0"/>
              <w:keepLines w:val="0"/>
              <w:suppressLineNumbers w:val="0"/>
              <w:spacing w:before="100" w:beforeAutospacing="1" w:after="100" w:afterAutospacing="1" w:line="400" w:lineRule="exact"/>
              <w:ind w:left="0" w:right="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p w14:paraId="50F7F1E6">
            <w:pPr>
              <w:keepNext w:val="0"/>
              <w:keepLines w:val="0"/>
              <w:suppressLineNumbers w:val="0"/>
              <w:spacing w:before="100" w:beforeAutospacing="1" w:after="100" w:afterAutospacing="1" w:line="400" w:lineRule="exact"/>
              <w:ind w:left="0" w:right="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注册证号：</w:t>
            </w:r>
          </w:p>
        </w:tc>
        <w:tc>
          <w:tcPr>
            <w:tcW w:w="1649" w:type="dxa"/>
            <w:tcBorders>
              <w:top w:val="single" w:color="auto" w:sz="4" w:space="0"/>
              <w:left w:val="single" w:color="auto" w:sz="4" w:space="0"/>
              <w:bottom w:val="single" w:color="auto" w:sz="4" w:space="0"/>
              <w:right w:val="single" w:color="auto" w:sz="4" w:space="0"/>
            </w:tcBorders>
            <w:noWrap/>
            <w:vAlign w:val="center"/>
          </w:tcPr>
          <w:p w14:paraId="4541A626">
            <w:pPr>
              <w:keepNext w:val="0"/>
              <w:keepLines w:val="0"/>
              <w:suppressLineNumbers w:val="0"/>
              <w:spacing w:before="0" w:beforeAutospacing="0" w:after="0" w:afterAutospacing="0" w:line="400" w:lineRule="exact"/>
              <w:ind w:left="0" w:right="0" w:firstLine="820" w:firstLineChars="342"/>
              <w:contextualSpacing/>
              <w:rPr>
                <w:rFonts w:hint="eastAsia" w:ascii="仿宋" w:hAnsi="仿宋" w:eastAsia="仿宋" w:cs="仿宋"/>
                <w:color w:val="auto"/>
                <w:sz w:val="24"/>
                <w:szCs w:val="24"/>
                <w:highlight w:val="none"/>
              </w:rPr>
            </w:pPr>
          </w:p>
        </w:tc>
      </w:tr>
      <w:tr w14:paraId="7BFB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0C6E2F1D">
            <w:pPr>
              <w:keepNext w:val="0"/>
              <w:keepLines w:val="0"/>
              <w:suppressLineNumbers w:val="0"/>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12" w:type="dxa"/>
            <w:tcBorders>
              <w:top w:val="single" w:color="auto" w:sz="4" w:space="0"/>
              <w:left w:val="single" w:color="auto" w:sz="4" w:space="0"/>
              <w:bottom w:val="single" w:color="auto" w:sz="4" w:space="0"/>
              <w:right w:val="single" w:color="auto" w:sz="4" w:space="0"/>
            </w:tcBorders>
            <w:noWrap/>
            <w:vAlign w:val="center"/>
          </w:tcPr>
          <w:p w14:paraId="611CF536">
            <w:pPr>
              <w:keepNext w:val="0"/>
              <w:keepLines w:val="0"/>
              <w:suppressLineNumbers w:val="0"/>
              <w:spacing w:before="100" w:beforeAutospacing="1" w:after="100" w:afterAutospacing="1"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监理服务期限</w:t>
            </w:r>
          </w:p>
        </w:tc>
        <w:tc>
          <w:tcPr>
            <w:tcW w:w="4711" w:type="dxa"/>
            <w:tcBorders>
              <w:top w:val="single" w:color="auto" w:sz="4" w:space="0"/>
              <w:left w:val="single" w:color="auto" w:sz="4" w:space="0"/>
              <w:bottom w:val="single" w:color="auto" w:sz="4" w:space="0"/>
              <w:right w:val="single" w:color="auto" w:sz="4" w:space="0"/>
            </w:tcBorders>
            <w:noWrap/>
            <w:vAlign w:val="center"/>
          </w:tcPr>
          <w:p w14:paraId="652A79AE">
            <w:pPr>
              <w:pStyle w:val="16"/>
              <w:keepNext w:val="0"/>
              <w:keepLines w:val="0"/>
              <w:suppressLineNumbers w:val="0"/>
              <w:topLinePunct/>
              <w:spacing w:before="0" w:beforeAutospacing="0" w:after="0" w:afterAutospacing="0" w:line="400" w:lineRule="exact"/>
              <w:ind w:left="0" w:right="0"/>
              <w:contextualSpacing/>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按招标文件要求。</w:t>
            </w:r>
          </w:p>
        </w:tc>
        <w:tc>
          <w:tcPr>
            <w:tcW w:w="1649" w:type="dxa"/>
            <w:tcBorders>
              <w:top w:val="single" w:color="auto" w:sz="4" w:space="0"/>
              <w:left w:val="single" w:color="auto" w:sz="4" w:space="0"/>
              <w:bottom w:val="single" w:color="auto" w:sz="4" w:space="0"/>
              <w:right w:val="single" w:color="auto" w:sz="4" w:space="0"/>
            </w:tcBorders>
            <w:noWrap/>
            <w:vAlign w:val="center"/>
          </w:tcPr>
          <w:p w14:paraId="227E5470">
            <w:pPr>
              <w:keepNext w:val="0"/>
              <w:keepLines w:val="0"/>
              <w:suppressLineNumbers w:val="0"/>
              <w:spacing w:before="0" w:beforeAutospacing="0" w:after="0" w:afterAutospacing="0" w:line="400" w:lineRule="exact"/>
              <w:ind w:left="0" w:right="0"/>
              <w:contextualSpacing/>
              <w:rPr>
                <w:rFonts w:hint="eastAsia" w:ascii="仿宋" w:hAnsi="仿宋" w:eastAsia="仿宋" w:cs="仿宋"/>
                <w:color w:val="auto"/>
                <w:sz w:val="24"/>
                <w:szCs w:val="24"/>
                <w:highlight w:val="none"/>
              </w:rPr>
            </w:pPr>
          </w:p>
        </w:tc>
      </w:tr>
      <w:tr w14:paraId="2C2C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367B087F">
            <w:pPr>
              <w:keepNext w:val="0"/>
              <w:keepLines w:val="0"/>
              <w:suppressLineNumbers w:val="0"/>
              <w:tabs>
                <w:tab w:val="left" w:pos="360"/>
              </w:tabs>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12" w:type="dxa"/>
            <w:tcBorders>
              <w:top w:val="single" w:color="auto" w:sz="4" w:space="0"/>
              <w:left w:val="single" w:color="auto" w:sz="4" w:space="0"/>
              <w:bottom w:val="single" w:color="auto" w:sz="4" w:space="0"/>
              <w:right w:val="single" w:color="auto" w:sz="4" w:space="0"/>
            </w:tcBorders>
            <w:noWrap/>
            <w:vAlign w:val="center"/>
          </w:tcPr>
          <w:p w14:paraId="70A08D50">
            <w:pPr>
              <w:keepNext w:val="0"/>
              <w:keepLines w:val="0"/>
              <w:suppressLineNumbers w:val="0"/>
              <w:spacing w:before="100" w:beforeAutospacing="1" w:after="100" w:afterAutospacing="1"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合同价款确定方式</w:t>
            </w:r>
          </w:p>
        </w:tc>
        <w:tc>
          <w:tcPr>
            <w:tcW w:w="4711" w:type="dxa"/>
            <w:tcBorders>
              <w:top w:val="single" w:color="auto" w:sz="4" w:space="0"/>
              <w:left w:val="single" w:color="auto" w:sz="4" w:space="0"/>
              <w:bottom w:val="single" w:color="auto" w:sz="4" w:space="0"/>
              <w:right w:val="single" w:color="auto" w:sz="4" w:space="0"/>
            </w:tcBorders>
            <w:noWrap/>
            <w:vAlign w:val="center"/>
          </w:tcPr>
          <w:p w14:paraId="2B8FCE6C">
            <w:pPr>
              <w:keepNext w:val="0"/>
              <w:keepLines w:val="0"/>
              <w:suppressLineNumbers w:val="0"/>
              <w:spacing w:before="100" w:beforeAutospacing="1" w:after="100" w:afterAutospacing="1" w:line="400" w:lineRule="exact"/>
              <w:ind w:left="0" w:right="0"/>
              <w:contextualSpacing/>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按合同约定。</w:t>
            </w:r>
          </w:p>
        </w:tc>
        <w:tc>
          <w:tcPr>
            <w:tcW w:w="1649" w:type="dxa"/>
            <w:tcBorders>
              <w:top w:val="single" w:color="auto" w:sz="4" w:space="0"/>
              <w:left w:val="single" w:color="auto" w:sz="4" w:space="0"/>
              <w:bottom w:val="single" w:color="auto" w:sz="4" w:space="0"/>
              <w:right w:val="single" w:color="auto" w:sz="4" w:space="0"/>
            </w:tcBorders>
            <w:noWrap/>
            <w:vAlign w:val="center"/>
          </w:tcPr>
          <w:p w14:paraId="450C0035">
            <w:pPr>
              <w:keepNext w:val="0"/>
              <w:keepLines w:val="0"/>
              <w:suppressLineNumbers w:val="0"/>
              <w:tabs>
                <w:tab w:val="left" w:pos="360"/>
              </w:tabs>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p>
        </w:tc>
      </w:tr>
      <w:tr w14:paraId="1DD2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08FC98C1">
            <w:pPr>
              <w:keepNext w:val="0"/>
              <w:keepLines w:val="0"/>
              <w:suppressLineNumbers w:val="0"/>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812" w:type="dxa"/>
            <w:tcBorders>
              <w:top w:val="single" w:color="auto" w:sz="4" w:space="0"/>
              <w:left w:val="single" w:color="auto" w:sz="4" w:space="0"/>
              <w:bottom w:val="single" w:color="auto" w:sz="4" w:space="0"/>
              <w:right w:val="single" w:color="auto" w:sz="4" w:space="0"/>
            </w:tcBorders>
            <w:noWrap/>
            <w:vAlign w:val="center"/>
          </w:tcPr>
          <w:p w14:paraId="1638ACEC">
            <w:pPr>
              <w:keepNext w:val="0"/>
              <w:keepLines w:val="0"/>
              <w:suppressLineNumbers w:val="0"/>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4711" w:type="dxa"/>
            <w:tcBorders>
              <w:top w:val="single" w:color="auto" w:sz="4" w:space="0"/>
              <w:left w:val="single" w:color="auto" w:sz="4" w:space="0"/>
              <w:bottom w:val="single" w:color="auto" w:sz="4" w:space="0"/>
              <w:right w:val="single" w:color="auto" w:sz="4" w:space="0"/>
            </w:tcBorders>
            <w:noWrap/>
            <w:vAlign w:val="center"/>
          </w:tcPr>
          <w:p w14:paraId="3CBBB671">
            <w:pPr>
              <w:keepNext w:val="0"/>
              <w:keepLines w:val="0"/>
              <w:suppressLineNumbers w:val="0"/>
              <w:spacing w:before="100" w:beforeAutospacing="1" w:after="100" w:afterAutospacing="1" w:line="400" w:lineRule="exact"/>
              <w:ind w:left="0" w:right="0"/>
              <w:contextualSpacing/>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按招标文件要求。</w:t>
            </w:r>
          </w:p>
        </w:tc>
        <w:tc>
          <w:tcPr>
            <w:tcW w:w="1649" w:type="dxa"/>
            <w:tcBorders>
              <w:top w:val="single" w:color="auto" w:sz="4" w:space="0"/>
              <w:left w:val="single" w:color="auto" w:sz="4" w:space="0"/>
              <w:bottom w:val="single" w:color="auto" w:sz="4" w:space="0"/>
              <w:right w:val="single" w:color="auto" w:sz="4" w:space="0"/>
            </w:tcBorders>
            <w:noWrap/>
            <w:vAlign w:val="center"/>
          </w:tcPr>
          <w:p w14:paraId="7099E4A3">
            <w:pPr>
              <w:keepNext w:val="0"/>
              <w:keepLines w:val="0"/>
              <w:suppressLineNumbers w:val="0"/>
              <w:tabs>
                <w:tab w:val="left" w:pos="360"/>
              </w:tabs>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p>
        </w:tc>
      </w:tr>
      <w:tr w14:paraId="2D65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36ED0D1F">
            <w:pPr>
              <w:keepNext w:val="0"/>
              <w:keepLines w:val="0"/>
              <w:suppressLineNumbers w:val="0"/>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812" w:type="dxa"/>
            <w:tcBorders>
              <w:top w:val="single" w:color="auto" w:sz="4" w:space="0"/>
              <w:left w:val="single" w:color="auto" w:sz="4" w:space="0"/>
              <w:bottom w:val="single" w:color="auto" w:sz="4" w:space="0"/>
              <w:right w:val="single" w:color="auto" w:sz="4" w:space="0"/>
            </w:tcBorders>
            <w:noWrap/>
            <w:vAlign w:val="center"/>
          </w:tcPr>
          <w:p w14:paraId="359040FF">
            <w:pPr>
              <w:keepNext w:val="0"/>
              <w:keepLines w:val="0"/>
              <w:suppressLineNumbers w:val="0"/>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拟投入本项目监理机构人数</w:t>
            </w:r>
          </w:p>
        </w:tc>
        <w:tc>
          <w:tcPr>
            <w:tcW w:w="4711" w:type="dxa"/>
            <w:tcBorders>
              <w:top w:val="single" w:color="auto" w:sz="4" w:space="0"/>
              <w:left w:val="single" w:color="auto" w:sz="4" w:space="0"/>
              <w:bottom w:val="single" w:color="auto" w:sz="4" w:space="0"/>
              <w:right w:val="single" w:color="auto" w:sz="4" w:space="0"/>
            </w:tcBorders>
            <w:noWrap/>
            <w:vAlign w:val="center"/>
          </w:tcPr>
          <w:p w14:paraId="48B812C6">
            <w:pPr>
              <w:keepNext w:val="0"/>
              <w:keepLines w:val="0"/>
              <w:suppressLineNumbers w:val="0"/>
              <w:spacing w:before="100" w:beforeAutospacing="1" w:after="100" w:afterAutospacing="1" w:line="400" w:lineRule="exact"/>
              <w:ind w:left="0" w:right="0"/>
              <w:contextualSpacing/>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人数：</w:t>
            </w:r>
          </w:p>
        </w:tc>
        <w:tc>
          <w:tcPr>
            <w:tcW w:w="1649" w:type="dxa"/>
            <w:tcBorders>
              <w:top w:val="single" w:color="auto" w:sz="4" w:space="0"/>
              <w:left w:val="single" w:color="auto" w:sz="4" w:space="0"/>
              <w:bottom w:val="single" w:color="auto" w:sz="4" w:space="0"/>
              <w:right w:val="single" w:color="auto" w:sz="4" w:space="0"/>
            </w:tcBorders>
            <w:noWrap/>
            <w:vAlign w:val="center"/>
          </w:tcPr>
          <w:p w14:paraId="41220FC5">
            <w:pPr>
              <w:keepNext w:val="0"/>
              <w:keepLines w:val="0"/>
              <w:suppressLineNumbers w:val="0"/>
              <w:tabs>
                <w:tab w:val="left" w:pos="360"/>
              </w:tabs>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p>
        </w:tc>
      </w:tr>
      <w:tr w14:paraId="764F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3A06E99B">
            <w:pPr>
              <w:keepNext w:val="0"/>
              <w:keepLines w:val="0"/>
              <w:suppressLineNumbers w:val="0"/>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812" w:type="dxa"/>
            <w:tcBorders>
              <w:top w:val="single" w:color="auto" w:sz="4" w:space="0"/>
              <w:left w:val="single" w:color="auto" w:sz="4" w:space="0"/>
              <w:bottom w:val="single" w:color="auto" w:sz="4" w:space="0"/>
              <w:right w:val="single" w:color="auto" w:sz="4" w:space="0"/>
            </w:tcBorders>
            <w:noWrap/>
            <w:vAlign w:val="center"/>
          </w:tcPr>
          <w:p w14:paraId="342A7761">
            <w:pPr>
              <w:keepNext w:val="0"/>
              <w:keepLines w:val="0"/>
              <w:suppressLineNumbers w:val="0"/>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投标总报价</w:t>
            </w:r>
          </w:p>
        </w:tc>
        <w:tc>
          <w:tcPr>
            <w:tcW w:w="4711" w:type="dxa"/>
            <w:tcBorders>
              <w:top w:val="single" w:color="auto" w:sz="4" w:space="0"/>
              <w:left w:val="single" w:color="auto" w:sz="4" w:space="0"/>
              <w:bottom w:val="single" w:color="auto" w:sz="4" w:space="0"/>
              <w:right w:val="single" w:color="auto" w:sz="4" w:space="0"/>
            </w:tcBorders>
            <w:noWrap/>
            <w:vAlign w:val="center"/>
          </w:tcPr>
          <w:p w14:paraId="4E7EE6D6">
            <w:pPr>
              <w:keepNext w:val="0"/>
              <w:keepLines w:val="0"/>
              <w:suppressLineNumbers w:val="0"/>
              <w:spacing w:before="100" w:beforeAutospacing="1" w:after="100" w:afterAutospacing="1" w:line="400" w:lineRule="exact"/>
              <w:ind w:left="0" w:right="0"/>
              <w:contextualSpacing/>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大写：                    </w:t>
            </w:r>
          </w:p>
          <w:p w14:paraId="63C1D8B8">
            <w:pPr>
              <w:keepNext w:val="0"/>
              <w:keepLines w:val="0"/>
              <w:suppressLineNumbers w:val="0"/>
              <w:spacing w:before="100" w:beforeAutospacing="1" w:after="100" w:afterAutospacing="1" w:line="400" w:lineRule="exact"/>
              <w:ind w:left="0" w:right="0"/>
              <w:contextualSpacing/>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小写：                元  </w:t>
            </w:r>
          </w:p>
        </w:tc>
        <w:tc>
          <w:tcPr>
            <w:tcW w:w="1649" w:type="dxa"/>
            <w:tcBorders>
              <w:top w:val="single" w:color="auto" w:sz="4" w:space="0"/>
              <w:left w:val="single" w:color="auto" w:sz="4" w:space="0"/>
              <w:bottom w:val="single" w:color="auto" w:sz="4" w:space="0"/>
              <w:right w:val="single" w:color="auto" w:sz="4" w:space="0"/>
            </w:tcBorders>
            <w:noWrap/>
            <w:vAlign w:val="center"/>
          </w:tcPr>
          <w:p w14:paraId="41B3AE08">
            <w:pPr>
              <w:keepNext w:val="0"/>
              <w:keepLines w:val="0"/>
              <w:suppressLineNumbers w:val="0"/>
              <w:tabs>
                <w:tab w:val="left" w:pos="360"/>
              </w:tabs>
              <w:spacing w:before="0" w:beforeAutospacing="0" w:after="0" w:afterAutospacing="0" w:line="400" w:lineRule="exact"/>
              <w:ind w:left="0" w:right="0"/>
              <w:contextualSpacing/>
              <w:jc w:val="left"/>
              <w:rPr>
                <w:rFonts w:hint="eastAsia" w:ascii="仿宋" w:hAnsi="仿宋" w:eastAsia="仿宋" w:cs="仿宋"/>
                <w:b/>
                <w:color w:val="auto"/>
                <w:szCs w:val="21"/>
                <w:highlight w:val="none"/>
              </w:rPr>
            </w:pPr>
          </w:p>
        </w:tc>
      </w:tr>
      <w:tr w14:paraId="2483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14:paraId="7F5916A4">
            <w:pPr>
              <w:keepNext w:val="0"/>
              <w:keepLines w:val="0"/>
              <w:suppressLineNumbers w:val="0"/>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812" w:type="dxa"/>
            <w:tcBorders>
              <w:top w:val="single" w:color="auto" w:sz="4" w:space="0"/>
              <w:left w:val="single" w:color="auto" w:sz="4" w:space="0"/>
              <w:bottom w:val="single" w:color="auto" w:sz="4" w:space="0"/>
              <w:right w:val="single" w:color="auto" w:sz="4" w:space="0"/>
            </w:tcBorders>
            <w:noWrap/>
            <w:vAlign w:val="center"/>
          </w:tcPr>
          <w:p w14:paraId="7EB988BA">
            <w:pPr>
              <w:keepNext w:val="0"/>
              <w:keepLines w:val="0"/>
              <w:suppressLineNumbers w:val="0"/>
              <w:spacing w:before="0" w:beforeAutospacing="0" w:after="0" w:afterAutospacing="0" w:line="400" w:lineRule="exact"/>
              <w:ind w:left="0" w:right="0"/>
              <w:contextualSpacing/>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下浮率</w:t>
            </w:r>
          </w:p>
        </w:tc>
        <w:tc>
          <w:tcPr>
            <w:tcW w:w="4711" w:type="dxa"/>
            <w:tcBorders>
              <w:top w:val="single" w:color="auto" w:sz="4" w:space="0"/>
              <w:left w:val="single" w:color="auto" w:sz="4" w:space="0"/>
              <w:bottom w:val="single" w:color="auto" w:sz="4" w:space="0"/>
              <w:right w:val="single" w:color="auto" w:sz="4" w:space="0"/>
            </w:tcBorders>
            <w:noWrap/>
            <w:vAlign w:val="center"/>
          </w:tcPr>
          <w:p w14:paraId="642C8093">
            <w:pPr>
              <w:keepNext w:val="0"/>
              <w:keepLines w:val="0"/>
              <w:suppressLineNumbers w:val="0"/>
              <w:spacing w:before="100" w:beforeAutospacing="1" w:after="100" w:afterAutospacing="1" w:line="400" w:lineRule="exact"/>
              <w:ind w:left="0" w:right="0" w:firstLine="1440" w:firstLineChars="600"/>
              <w:contextualSpacing/>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c>
          <w:tcPr>
            <w:tcW w:w="1649" w:type="dxa"/>
            <w:tcBorders>
              <w:top w:val="single" w:color="auto" w:sz="4" w:space="0"/>
              <w:left w:val="single" w:color="auto" w:sz="4" w:space="0"/>
              <w:bottom w:val="single" w:color="auto" w:sz="4" w:space="0"/>
              <w:right w:val="single" w:color="auto" w:sz="4" w:space="0"/>
            </w:tcBorders>
            <w:noWrap/>
            <w:vAlign w:val="center"/>
          </w:tcPr>
          <w:p w14:paraId="37D3D415">
            <w:pPr>
              <w:keepNext w:val="0"/>
              <w:keepLines w:val="0"/>
              <w:suppressLineNumbers w:val="0"/>
              <w:tabs>
                <w:tab w:val="left" w:pos="360"/>
              </w:tabs>
              <w:spacing w:before="0" w:beforeAutospacing="0" w:after="0" w:afterAutospacing="0" w:line="400" w:lineRule="exact"/>
              <w:ind w:left="0" w:right="0"/>
              <w:contextualSpacing/>
              <w:jc w:val="left"/>
              <w:rPr>
                <w:rFonts w:hint="eastAsia" w:ascii="仿宋" w:hAnsi="仿宋" w:eastAsia="仿宋" w:cs="仿宋"/>
                <w:b/>
                <w:color w:val="auto"/>
                <w:szCs w:val="21"/>
                <w:highlight w:val="none"/>
              </w:rPr>
            </w:pPr>
          </w:p>
        </w:tc>
      </w:tr>
    </w:tbl>
    <w:p w14:paraId="5F81C9D9">
      <w:pPr>
        <w:shd w:val="clear" w:color="auto" w:fill="auto"/>
        <w:spacing w:line="400" w:lineRule="exact"/>
        <w:rPr>
          <w:rFonts w:hint="eastAsia" w:ascii="仿宋" w:hAnsi="仿宋" w:eastAsia="仿宋" w:cs="仿宋"/>
          <w:snapToGrid w:val="0"/>
          <w:color w:val="auto"/>
          <w:spacing w:val="4"/>
          <w:kern w:val="0"/>
          <w:szCs w:val="21"/>
          <w:highlight w:val="none"/>
        </w:rPr>
      </w:pPr>
      <w:r>
        <w:rPr>
          <w:rFonts w:hint="eastAsia" w:ascii="仿宋" w:hAnsi="仿宋" w:eastAsia="仿宋" w:cs="仿宋"/>
          <w:snapToGrid w:val="0"/>
          <w:color w:val="auto"/>
          <w:spacing w:val="4"/>
          <w:kern w:val="0"/>
          <w:szCs w:val="21"/>
          <w:highlight w:val="none"/>
        </w:rPr>
        <w:t>注：1、监理报价只保留小数点后两位，小数点后第三位及第三位数后做舍弃。</w:t>
      </w:r>
    </w:p>
    <w:p w14:paraId="2CD6D684">
      <w:pPr>
        <w:shd w:val="clear" w:color="auto" w:fill="auto"/>
        <w:spacing w:line="400" w:lineRule="exact"/>
        <w:rPr>
          <w:rFonts w:hint="eastAsia" w:ascii="仿宋" w:hAnsi="仿宋" w:eastAsia="仿宋" w:cs="仿宋"/>
          <w:snapToGrid w:val="0"/>
          <w:color w:val="auto"/>
          <w:spacing w:val="4"/>
          <w:kern w:val="0"/>
          <w:szCs w:val="21"/>
          <w:highlight w:val="none"/>
        </w:rPr>
      </w:pPr>
      <w:r>
        <w:rPr>
          <w:rFonts w:hint="eastAsia" w:ascii="仿宋" w:hAnsi="仿宋" w:eastAsia="仿宋" w:cs="仿宋"/>
          <w:snapToGrid w:val="0"/>
          <w:color w:val="auto"/>
          <w:spacing w:val="4"/>
          <w:kern w:val="0"/>
          <w:szCs w:val="21"/>
          <w:highlight w:val="none"/>
        </w:rPr>
        <w:t>2、监理费的具体结算原则详见合同条款的约定。</w:t>
      </w:r>
    </w:p>
    <w:p w14:paraId="58F71008">
      <w:pPr>
        <w:shd w:val="clear" w:color="auto" w:fill="auto"/>
        <w:spacing w:line="400" w:lineRule="exact"/>
        <w:rPr>
          <w:rFonts w:hint="eastAsia" w:ascii="仿宋" w:hAnsi="仿宋" w:eastAsia="仿宋" w:cs="仿宋"/>
          <w:snapToGrid w:val="0"/>
          <w:color w:val="auto"/>
          <w:spacing w:val="4"/>
          <w:kern w:val="0"/>
          <w:szCs w:val="21"/>
          <w:highlight w:val="none"/>
        </w:rPr>
      </w:pPr>
      <w:r>
        <w:rPr>
          <w:rFonts w:hint="eastAsia" w:ascii="仿宋" w:hAnsi="仿宋" w:eastAsia="仿宋" w:cs="仿宋"/>
          <w:snapToGrid w:val="0"/>
          <w:color w:val="auto"/>
          <w:spacing w:val="4"/>
          <w:kern w:val="0"/>
          <w:szCs w:val="21"/>
          <w:highlight w:val="none"/>
        </w:rPr>
        <w:t>3、经算术复核的投标人报价与其投标报价不一致时，按就低不就高原则确定其最终报价。如修正后的投标报价超出相应的最高投标限价，则由评标委员作废标处理。</w:t>
      </w:r>
    </w:p>
    <w:p w14:paraId="59A4482D">
      <w:pPr>
        <w:shd w:val="clear" w:color="auto" w:fill="auto"/>
        <w:spacing w:line="400" w:lineRule="exact"/>
        <w:rPr>
          <w:rFonts w:hint="eastAsia" w:ascii="仿宋" w:hAnsi="仿宋" w:eastAsia="仿宋" w:cs="仿宋"/>
          <w:snapToGrid w:val="0"/>
          <w:color w:val="auto"/>
          <w:spacing w:val="4"/>
          <w:kern w:val="0"/>
          <w:szCs w:val="21"/>
          <w:highlight w:val="none"/>
        </w:rPr>
      </w:pPr>
      <w:r>
        <w:rPr>
          <w:rFonts w:hint="eastAsia" w:ascii="仿宋" w:hAnsi="仿宋" w:eastAsia="仿宋" w:cs="仿宋"/>
          <w:snapToGrid w:val="0"/>
          <w:color w:val="auto"/>
          <w:spacing w:val="4"/>
          <w:kern w:val="0"/>
          <w:szCs w:val="21"/>
          <w:highlight w:val="none"/>
        </w:rPr>
        <w:t>4、按上述修正错误的原则及方法调整或修正投标文件的投标报价，调整后的投标报价对投标人起约束作用。如果投标人不接受修正后的报价，则取消其中标资格。</w:t>
      </w:r>
    </w:p>
    <w:p w14:paraId="44F0375D">
      <w:pPr>
        <w:pStyle w:val="59"/>
        <w:shd w:val="clear" w:color="auto" w:fill="auto"/>
        <w:rPr>
          <w:rFonts w:hint="eastAsia" w:ascii="仿宋" w:hAnsi="仿宋" w:eastAsia="仿宋" w:cs="仿宋"/>
          <w:color w:val="auto"/>
          <w:sz w:val="21"/>
          <w:szCs w:val="21"/>
          <w:highlight w:val="none"/>
        </w:rPr>
      </w:pPr>
    </w:p>
    <w:p w14:paraId="75EE9A83">
      <w:pPr>
        <w:shd w:val="clear" w:color="auto" w:fill="auto"/>
        <w:spacing w:line="440" w:lineRule="exact"/>
        <w:ind w:firstLine="2520" w:firstLineChars="1200"/>
        <w:jc w:val="left"/>
        <w:rPr>
          <w:rFonts w:hint="eastAsia" w:ascii="仿宋" w:hAnsi="仿宋" w:eastAsia="仿宋" w:cs="仿宋"/>
          <w:color w:val="auto"/>
          <w:szCs w:val="21"/>
          <w:highlight w:val="none"/>
        </w:rPr>
      </w:pPr>
    </w:p>
    <w:p w14:paraId="1198AC6A">
      <w:pPr>
        <w:shd w:val="clear" w:color="auto" w:fill="auto"/>
        <w:spacing w:line="440" w:lineRule="exact"/>
        <w:ind w:firstLine="2520" w:firstLineChars="1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 标 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rPr>
        <w:t>（盖单位章）</w:t>
      </w:r>
    </w:p>
    <w:p w14:paraId="0A875DD0">
      <w:pPr>
        <w:shd w:val="clear" w:color="auto" w:fill="auto"/>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3FC3B40C">
      <w:pPr>
        <w:shd w:val="clear" w:color="auto" w:fill="auto"/>
        <w:rPr>
          <w:rFonts w:hint="eastAsia" w:ascii="仿宋" w:hAnsi="仿宋" w:eastAsia="仿宋" w:cs="仿宋"/>
          <w:b/>
          <w:color w:val="auto"/>
          <w:szCs w:val="21"/>
          <w:highlight w:val="none"/>
        </w:rPr>
      </w:pPr>
    </w:p>
    <w:p w14:paraId="1D8AFFD1">
      <w:pPr>
        <w:pStyle w:val="2"/>
        <w:keepNext w:val="0"/>
        <w:keepLines w:val="0"/>
        <w:shd w:val="clear" w:color="auto" w:fill="auto"/>
        <w:jc w:val="center"/>
        <w:rPr>
          <w:rFonts w:hint="eastAsia" w:ascii="仿宋" w:hAnsi="仿宋" w:eastAsia="仿宋" w:cs="仿宋"/>
          <w:color w:val="auto"/>
          <w:highlight w:val="none"/>
        </w:rPr>
      </w:pPr>
      <w:bookmarkStart w:id="762" w:name="_Toc9318"/>
      <w:bookmarkStart w:id="763" w:name="_Toc14876"/>
      <w:bookmarkStart w:id="764" w:name="_Toc9147"/>
      <w:bookmarkStart w:id="765" w:name="_Toc29529"/>
      <w:bookmarkStart w:id="766" w:name="_Toc15174"/>
      <w:bookmarkStart w:id="767" w:name="_Toc5530"/>
      <w:bookmarkStart w:id="768" w:name="_Toc17361"/>
      <w:bookmarkStart w:id="769" w:name="_Toc26862"/>
      <w:bookmarkStart w:id="770" w:name="_Toc6682"/>
      <w:bookmarkStart w:id="771" w:name="_Toc29502"/>
      <w:bookmarkStart w:id="772" w:name="_Toc24376"/>
      <w:bookmarkStart w:id="773" w:name="_Toc21489"/>
      <w:bookmarkStart w:id="774" w:name="_Toc15335"/>
      <w:bookmarkStart w:id="775" w:name="_Toc12769"/>
      <w:bookmarkStart w:id="776" w:name="_Toc27193"/>
      <w:bookmarkStart w:id="777" w:name="_Toc14966909"/>
      <w:bookmarkStart w:id="778" w:name="_Toc527969225"/>
      <w:r>
        <w:rPr>
          <w:rFonts w:hint="eastAsia" w:ascii="仿宋" w:hAnsi="仿宋" w:eastAsia="仿宋" w:cs="仿宋"/>
          <w:color w:val="auto"/>
          <w:highlight w:val="none"/>
        </w:rPr>
        <w:br w:type="page"/>
      </w:r>
      <w:bookmarkStart w:id="779" w:name="_Toc25832"/>
      <w:bookmarkStart w:id="780" w:name="_Toc4170"/>
      <w:bookmarkStart w:id="781" w:name="_Toc23585"/>
      <w:r>
        <w:rPr>
          <w:rFonts w:hint="eastAsia" w:ascii="仿宋" w:hAnsi="仿宋" w:eastAsia="仿宋" w:cs="仿宋"/>
          <w:color w:val="auto"/>
          <w:highlight w:val="none"/>
        </w:rPr>
        <w:t>二</w:t>
      </w:r>
      <w:bookmarkEnd w:id="726"/>
      <w:bookmarkEnd w:id="727"/>
      <w:bookmarkEnd w:id="728"/>
      <w:bookmarkEnd w:id="729"/>
      <w:bookmarkEnd w:id="730"/>
      <w:bookmarkEnd w:id="731"/>
      <w:bookmarkEnd w:id="732"/>
      <w:bookmarkEnd w:id="733"/>
      <w:bookmarkEnd w:id="734"/>
      <w:bookmarkEnd w:id="735"/>
      <w:bookmarkEnd w:id="736"/>
      <w:r>
        <w:rPr>
          <w:rFonts w:hint="eastAsia" w:ascii="仿宋" w:hAnsi="仿宋" w:eastAsia="仿宋" w:cs="仿宋"/>
          <w:color w:val="auto"/>
          <w:highlight w:val="none"/>
        </w:rPr>
        <w:t>、法定代表人身份证明</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4A2ED3D5">
      <w:pPr>
        <w:shd w:val="clear" w:color="auto" w:fill="auto"/>
        <w:spacing w:line="440" w:lineRule="exact"/>
        <w:rPr>
          <w:rFonts w:hint="eastAsia" w:ascii="仿宋" w:hAnsi="仿宋" w:eastAsia="仿宋" w:cs="仿宋"/>
          <w:color w:val="auto"/>
          <w:sz w:val="20"/>
          <w:highlight w:val="none"/>
        </w:rPr>
      </w:pPr>
    </w:p>
    <w:p w14:paraId="37BF8213">
      <w:pPr>
        <w:shd w:val="clear" w:color="auto" w:fill="auto"/>
        <w:spacing w:line="440" w:lineRule="exact"/>
        <w:rPr>
          <w:rFonts w:hint="eastAsia" w:ascii="仿宋" w:hAnsi="仿宋" w:eastAsia="仿宋" w:cs="仿宋"/>
          <w:color w:val="auto"/>
          <w:highlight w:val="none"/>
        </w:rPr>
      </w:pPr>
    </w:p>
    <w:p w14:paraId="5D2D7151">
      <w:pPr>
        <w:shd w:val="clear" w:color="auto" w:fill="auto"/>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投标人名称：</w:t>
      </w:r>
      <w:r>
        <w:rPr>
          <w:rFonts w:hint="eastAsia" w:ascii="仿宋" w:hAnsi="仿宋" w:eastAsia="仿宋" w:cs="仿宋"/>
          <w:color w:val="auto"/>
          <w:highlight w:val="none"/>
          <w:u w:val="single"/>
        </w:rPr>
        <w:t xml:space="preserve">                        </w:t>
      </w:r>
    </w:p>
    <w:p w14:paraId="325CAE6B">
      <w:pPr>
        <w:shd w:val="clear" w:color="auto" w:fill="auto"/>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姓名：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bookmarkStart w:id="782" w:name="_Toc27897"/>
      <w:bookmarkStart w:id="783" w:name="_Toc352691662"/>
      <w:bookmarkStart w:id="784" w:name="_Toc369531698"/>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bookmarkEnd w:id="782"/>
      <w:bookmarkEnd w:id="783"/>
      <w:bookmarkEnd w:id="784"/>
      <w:r>
        <w:rPr>
          <w:rFonts w:hint="eastAsia" w:ascii="仿宋" w:hAnsi="仿宋" w:eastAsia="仿宋" w:cs="仿宋"/>
          <w:color w:val="auto"/>
          <w:highlight w:val="none"/>
        </w:rPr>
        <w:t>龄</w:t>
      </w:r>
      <w:bookmarkStart w:id="785" w:name="_Toc384308377"/>
      <w:bookmarkStart w:id="786" w:name="_Toc361508754"/>
      <w:bookmarkStart w:id="787" w:name="_Toc152042578"/>
      <w:bookmarkStart w:id="788" w:name="_Toc15573"/>
      <w:bookmarkStart w:id="789" w:name="_Toc247514248"/>
      <w:bookmarkStart w:id="790" w:name="_Toc352691663"/>
      <w:bookmarkStart w:id="791" w:name="_Toc300835211"/>
      <w:bookmarkStart w:id="792" w:name="_Toc247527829"/>
      <w:bookmarkStart w:id="793" w:name="_Toc152045789"/>
      <w:bookmarkStart w:id="794" w:name="_Toc144974858"/>
      <w:bookmarkStart w:id="795" w:name="_Toc369531699"/>
      <w:r>
        <w:rPr>
          <w:rFonts w:hint="eastAsia" w:ascii="仿宋" w:hAnsi="仿宋" w:eastAsia="仿宋" w:cs="仿宋"/>
          <w:color w:val="auto"/>
          <w:highlight w:val="none"/>
        </w:rPr>
        <w:t>：</w:t>
      </w:r>
      <w:bookmarkEnd w:id="785"/>
      <w:bookmarkEnd w:id="786"/>
      <w:bookmarkEnd w:id="787"/>
      <w:bookmarkEnd w:id="788"/>
      <w:bookmarkEnd w:id="789"/>
      <w:bookmarkEnd w:id="790"/>
      <w:bookmarkEnd w:id="791"/>
      <w:bookmarkEnd w:id="792"/>
      <w:bookmarkEnd w:id="793"/>
      <w:bookmarkEnd w:id="794"/>
      <w:bookmarkEnd w:id="795"/>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p>
    <w:p w14:paraId="5897F655">
      <w:pPr>
        <w:shd w:val="clear" w:color="auto" w:fill="auto"/>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（投标人名称）的法定代表人。</w:t>
      </w:r>
    </w:p>
    <w:p w14:paraId="63724913">
      <w:pPr>
        <w:shd w:val="clear" w:color="auto" w:fill="auto"/>
        <w:spacing w:line="4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3AC9BB90">
      <w:pPr>
        <w:shd w:val="clear" w:color="auto" w:fill="auto"/>
        <w:spacing w:line="440" w:lineRule="exact"/>
        <w:rPr>
          <w:rFonts w:hint="eastAsia" w:ascii="仿宋" w:hAnsi="仿宋" w:eastAsia="仿宋" w:cs="仿宋"/>
          <w:color w:val="auto"/>
          <w:highlight w:val="none"/>
        </w:rPr>
      </w:pPr>
    </w:p>
    <w:p w14:paraId="5A8EBD50">
      <w:pPr>
        <w:shd w:val="clear" w:color="auto" w:fill="auto"/>
        <w:spacing w:line="440" w:lineRule="exact"/>
        <w:rPr>
          <w:rFonts w:hint="eastAsia" w:ascii="仿宋" w:hAnsi="仿宋" w:eastAsia="仿宋" w:cs="仿宋"/>
          <w:color w:val="auto"/>
          <w:highlight w:val="none"/>
        </w:rPr>
      </w:pPr>
    </w:p>
    <w:p w14:paraId="512643C5">
      <w:pPr>
        <w:shd w:val="clear" w:color="auto" w:fill="auto"/>
        <w:spacing w:line="4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注：本身份证明需由投标人加盖单位公章。</w:t>
      </w:r>
    </w:p>
    <w:p w14:paraId="4D7F3965">
      <w:pPr>
        <w:shd w:val="clear" w:color="auto" w:fill="auto"/>
        <w:spacing w:line="440" w:lineRule="exact"/>
        <w:jc w:val="left"/>
        <w:rPr>
          <w:rFonts w:hint="eastAsia" w:ascii="仿宋" w:hAnsi="仿宋" w:eastAsia="仿宋" w:cs="仿宋"/>
          <w:color w:val="auto"/>
          <w:highlight w:val="none"/>
        </w:rPr>
      </w:pPr>
    </w:p>
    <w:p w14:paraId="0FF4A85F">
      <w:pPr>
        <w:shd w:val="clear" w:color="auto" w:fill="auto"/>
        <w:spacing w:line="440" w:lineRule="exact"/>
        <w:rPr>
          <w:rFonts w:hint="eastAsia" w:ascii="仿宋" w:hAnsi="仿宋" w:eastAsia="仿宋" w:cs="仿宋"/>
          <w:color w:val="auto"/>
          <w:highlight w:val="none"/>
        </w:rPr>
      </w:pPr>
    </w:p>
    <w:p w14:paraId="29B5E12C">
      <w:pPr>
        <w:shd w:val="clear" w:color="auto" w:fill="auto"/>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highlight w:val="none"/>
        </w:rPr>
        <w:t>（盖单位章）</w:t>
      </w:r>
    </w:p>
    <w:p w14:paraId="665A6B06">
      <w:pPr>
        <w:shd w:val="clear" w:color="auto" w:fill="auto"/>
        <w:spacing w:line="440" w:lineRule="exact"/>
        <w:rPr>
          <w:rFonts w:hint="eastAsia" w:ascii="仿宋" w:hAnsi="仿宋" w:eastAsia="仿宋" w:cs="仿宋"/>
          <w:color w:val="auto"/>
          <w:highlight w:val="none"/>
        </w:rPr>
      </w:pPr>
    </w:p>
    <w:p w14:paraId="7C2F5F67">
      <w:pPr>
        <w:shd w:val="clear" w:color="auto" w:fill="auto"/>
        <w:spacing w:line="440" w:lineRule="exact"/>
        <w:ind w:firstLine="4620" w:firstLineChars="22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22B79D99">
      <w:pPr>
        <w:shd w:val="clear" w:color="auto" w:fill="auto"/>
        <w:spacing w:line="440" w:lineRule="exact"/>
        <w:rPr>
          <w:rFonts w:hint="eastAsia" w:ascii="仿宋" w:hAnsi="仿宋" w:eastAsia="仿宋" w:cs="仿宋"/>
          <w:color w:val="auto"/>
          <w:sz w:val="20"/>
          <w:highlight w:val="none"/>
        </w:rPr>
      </w:pPr>
    </w:p>
    <w:p w14:paraId="4E795795">
      <w:pPr>
        <w:shd w:val="clear" w:color="auto" w:fill="auto"/>
        <w:spacing w:line="440" w:lineRule="exact"/>
        <w:rPr>
          <w:rFonts w:hint="eastAsia" w:ascii="仿宋" w:hAnsi="仿宋" w:eastAsia="仿宋" w:cs="仿宋"/>
          <w:b/>
          <w:bCs/>
          <w:color w:val="auto"/>
          <w:sz w:val="20"/>
          <w:highlight w:val="none"/>
        </w:rPr>
      </w:pPr>
      <w:r>
        <w:rPr>
          <w:rFonts w:hint="eastAsia" w:ascii="仿宋" w:hAnsi="仿宋" w:eastAsia="仿宋" w:cs="仿宋"/>
          <w:color w:val="auto"/>
        </w:rPr>
        <w:t>注：联合体投标的，仅须提供联合体牵头</w:t>
      </w:r>
      <w:r>
        <w:rPr>
          <w:rFonts w:hint="eastAsia" w:ascii="仿宋" w:hAnsi="仿宋" w:eastAsia="仿宋" w:cs="仿宋"/>
          <w:color w:val="auto"/>
          <w:lang w:val="en-US" w:eastAsia="zh-CN"/>
        </w:rPr>
        <w:t>方</w:t>
      </w:r>
      <w:r>
        <w:rPr>
          <w:rFonts w:hint="eastAsia" w:ascii="仿宋" w:hAnsi="仿宋" w:eastAsia="仿宋" w:cs="仿宋"/>
          <w:color w:val="auto"/>
        </w:rPr>
        <w:t>出具的法定代表人证明书。</w:t>
      </w:r>
    </w:p>
    <w:p w14:paraId="6A5F66AC">
      <w:pPr>
        <w:shd w:val="clear" w:color="auto" w:fill="auto"/>
        <w:spacing w:line="440" w:lineRule="exact"/>
        <w:rPr>
          <w:rFonts w:hint="eastAsia" w:ascii="仿宋" w:hAnsi="仿宋" w:eastAsia="仿宋" w:cs="仿宋"/>
          <w:color w:val="auto"/>
          <w:sz w:val="20"/>
          <w:highlight w:val="none"/>
        </w:rPr>
      </w:pPr>
    </w:p>
    <w:p w14:paraId="11E7E054">
      <w:pPr>
        <w:shd w:val="clear" w:color="auto" w:fill="auto"/>
        <w:spacing w:line="440" w:lineRule="exact"/>
        <w:rPr>
          <w:rFonts w:hint="eastAsia" w:ascii="仿宋" w:hAnsi="仿宋" w:eastAsia="仿宋" w:cs="仿宋"/>
          <w:color w:val="auto"/>
          <w:sz w:val="20"/>
          <w:highlight w:val="none"/>
        </w:rPr>
      </w:pPr>
    </w:p>
    <w:p w14:paraId="2A091C2E">
      <w:pPr>
        <w:shd w:val="clear" w:color="auto" w:fill="auto"/>
        <w:spacing w:line="440" w:lineRule="exact"/>
        <w:rPr>
          <w:rFonts w:hint="eastAsia" w:ascii="仿宋" w:hAnsi="仿宋" w:eastAsia="仿宋" w:cs="仿宋"/>
          <w:color w:val="auto"/>
          <w:sz w:val="20"/>
          <w:highlight w:val="none"/>
        </w:rPr>
      </w:pPr>
    </w:p>
    <w:p w14:paraId="6F225263">
      <w:pPr>
        <w:shd w:val="clear" w:color="auto" w:fill="auto"/>
        <w:spacing w:line="440" w:lineRule="exact"/>
        <w:rPr>
          <w:rFonts w:hint="eastAsia" w:ascii="仿宋" w:hAnsi="仿宋" w:eastAsia="仿宋" w:cs="仿宋"/>
          <w:color w:val="auto"/>
          <w:sz w:val="20"/>
          <w:highlight w:val="none"/>
        </w:rPr>
      </w:pPr>
    </w:p>
    <w:p w14:paraId="0820F3BA">
      <w:pPr>
        <w:shd w:val="clear" w:color="auto" w:fill="auto"/>
        <w:spacing w:line="440" w:lineRule="exact"/>
        <w:rPr>
          <w:rFonts w:hint="eastAsia" w:ascii="仿宋" w:hAnsi="仿宋" w:eastAsia="仿宋" w:cs="仿宋"/>
          <w:color w:val="auto"/>
          <w:sz w:val="20"/>
          <w:highlight w:val="none"/>
        </w:rPr>
      </w:pPr>
      <w:r>
        <w:rPr>
          <w:rFonts w:hint="eastAsia" w:ascii="仿宋" w:hAnsi="仿宋" w:eastAsia="仿宋" w:cs="仿宋"/>
          <w:color w:val="auto"/>
          <w:sz w:val="20"/>
          <w:highlight w:val="none"/>
        </w:rPr>
        <w:br w:type="page"/>
      </w:r>
    </w:p>
    <w:p w14:paraId="09B5E5B1">
      <w:pPr>
        <w:pStyle w:val="2"/>
        <w:keepNext w:val="0"/>
        <w:keepLines w:val="0"/>
        <w:shd w:val="clear" w:color="auto" w:fill="auto"/>
        <w:jc w:val="center"/>
        <w:rPr>
          <w:rFonts w:hint="eastAsia" w:ascii="仿宋" w:hAnsi="仿宋" w:eastAsia="仿宋" w:cs="仿宋"/>
          <w:color w:val="auto"/>
          <w:highlight w:val="none"/>
        </w:rPr>
      </w:pPr>
      <w:bookmarkStart w:id="796" w:name="_Toc3031"/>
      <w:bookmarkStart w:id="797" w:name="_Toc12308"/>
      <w:bookmarkStart w:id="798" w:name="_Toc2525"/>
      <w:bookmarkStart w:id="799" w:name="_Toc25299"/>
      <w:bookmarkStart w:id="800" w:name="_Toc27369"/>
      <w:bookmarkStart w:id="801" w:name="_Toc4090"/>
      <w:bookmarkStart w:id="802" w:name="_Toc15002"/>
      <w:bookmarkStart w:id="803" w:name="_Toc527969226"/>
      <w:bookmarkStart w:id="804" w:name="_Toc9553"/>
      <w:bookmarkStart w:id="805" w:name="_Toc29447"/>
      <w:bookmarkStart w:id="806" w:name="_Toc11739"/>
      <w:bookmarkStart w:id="807" w:name="_Toc10917"/>
      <w:bookmarkStart w:id="808" w:name="_Toc28040"/>
      <w:bookmarkStart w:id="809" w:name="_Toc29912"/>
      <w:bookmarkStart w:id="810" w:name="_Toc19586"/>
      <w:bookmarkStart w:id="811" w:name="_Toc17246"/>
      <w:bookmarkStart w:id="812" w:name="_Toc32082"/>
      <w:bookmarkStart w:id="813" w:name="_Toc24946"/>
      <w:bookmarkStart w:id="814" w:name="_Toc14966910"/>
      <w:bookmarkStart w:id="815" w:name="_Toc22045"/>
      <w:r>
        <w:rPr>
          <w:rFonts w:hint="eastAsia" w:ascii="仿宋" w:hAnsi="仿宋" w:eastAsia="仿宋" w:cs="仿宋"/>
          <w:color w:val="auto"/>
          <w:highlight w:val="none"/>
        </w:rPr>
        <w:t>授权委托书</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253A7450">
      <w:pPr>
        <w:shd w:val="clear" w:color="auto" w:fill="auto"/>
        <w:spacing w:line="440" w:lineRule="exact"/>
        <w:rPr>
          <w:rFonts w:hint="eastAsia" w:ascii="仿宋" w:hAnsi="仿宋" w:eastAsia="仿宋" w:cs="仿宋"/>
          <w:color w:val="auto"/>
          <w:highlight w:val="none"/>
        </w:rPr>
      </w:pPr>
    </w:p>
    <w:p w14:paraId="7262271C">
      <w:pPr>
        <w:shd w:val="clear" w:color="auto" w:fill="auto"/>
        <w:topLinePunct/>
        <w:spacing w:line="4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（姓名）系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（投标人名称）的法定代表人，现委托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（姓名）为我方代理人。代理人根据授权，以我方名义签署、澄清确认、递交、撤回、修改监理招标项目投标文件、签订合同和处理有关事宜，其法律后果由我方承担。</w:t>
      </w:r>
    </w:p>
    <w:p w14:paraId="651AC888">
      <w:pPr>
        <w:shd w:val="clear" w:color="auto" w:fill="auto"/>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委托期限：</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A97E7D6">
      <w:pPr>
        <w:shd w:val="clear" w:color="auto" w:fill="auto"/>
        <w:spacing w:line="4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代理人无转委托权。</w:t>
      </w:r>
    </w:p>
    <w:p w14:paraId="7F33D3E7">
      <w:pPr>
        <w:shd w:val="clear" w:color="auto" w:fill="auto"/>
        <w:spacing w:line="440" w:lineRule="exact"/>
        <w:ind w:firstLine="420" w:firstLineChars="200"/>
        <w:rPr>
          <w:rFonts w:hint="eastAsia" w:ascii="仿宋" w:hAnsi="仿宋" w:eastAsia="仿宋" w:cs="仿宋"/>
          <w:color w:val="auto"/>
          <w:highlight w:val="none"/>
        </w:rPr>
      </w:pPr>
    </w:p>
    <w:p w14:paraId="35C23F17">
      <w:pPr>
        <w:shd w:val="clear" w:color="auto" w:fill="auto"/>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附：法定代表人身份证扫描件及委托代理人身份证扫描件</w:t>
      </w:r>
    </w:p>
    <w:p w14:paraId="069DA835">
      <w:pPr>
        <w:shd w:val="clear" w:color="auto" w:fill="auto"/>
        <w:spacing w:line="440" w:lineRule="exact"/>
        <w:rPr>
          <w:rFonts w:hint="eastAsia" w:ascii="仿宋" w:hAnsi="仿宋" w:eastAsia="仿宋" w:cs="仿宋"/>
          <w:color w:val="auto"/>
          <w:highlight w:val="none"/>
        </w:rPr>
      </w:pPr>
    </w:p>
    <w:p w14:paraId="6101F459">
      <w:pPr>
        <w:shd w:val="clear" w:color="auto" w:fill="auto"/>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注：本授权委托书需由投标人加盖单位公章并由其法定代表人和委托代理人签名（或盖章）。</w:t>
      </w:r>
    </w:p>
    <w:p w14:paraId="5E95C58C">
      <w:pPr>
        <w:shd w:val="clear" w:color="auto" w:fill="auto"/>
        <w:spacing w:line="440" w:lineRule="exact"/>
        <w:rPr>
          <w:rFonts w:hint="eastAsia" w:ascii="仿宋" w:hAnsi="仿宋" w:eastAsia="仿宋" w:cs="仿宋"/>
          <w:color w:val="auto"/>
          <w:highlight w:val="none"/>
        </w:rPr>
      </w:pPr>
    </w:p>
    <w:p w14:paraId="354B4DE9">
      <w:pPr>
        <w:shd w:val="clear" w:color="auto" w:fill="auto"/>
        <w:spacing w:line="440" w:lineRule="exact"/>
        <w:ind w:firstLine="2692" w:firstLineChars="1282"/>
        <w:rPr>
          <w:rFonts w:hint="eastAsia"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highlight w:val="none"/>
        </w:rPr>
        <w:t>（盖单位章）</w:t>
      </w:r>
    </w:p>
    <w:p w14:paraId="4CC34EA6">
      <w:pPr>
        <w:shd w:val="clear" w:color="auto" w:fill="auto"/>
        <w:spacing w:line="440" w:lineRule="exact"/>
        <w:ind w:firstLine="2692" w:firstLineChars="1282"/>
        <w:rPr>
          <w:rFonts w:hint="eastAsia" w:ascii="仿宋" w:hAnsi="仿宋" w:eastAsia="仿宋" w:cs="仿宋"/>
          <w:color w:val="auto"/>
          <w:highlight w:val="none"/>
        </w:rPr>
      </w:pPr>
    </w:p>
    <w:p w14:paraId="44FC6220">
      <w:pPr>
        <w:shd w:val="clear" w:color="auto" w:fill="auto"/>
        <w:spacing w:line="440" w:lineRule="exact"/>
        <w:ind w:firstLine="2690" w:firstLineChars="1281"/>
        <w:jc w:val="left"/>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rPr>
        <w:t>（签名或盖章）</w:t>
      </w:r>
    </w:p>
    <w:p w14:paraId="7337567A">
      <w:pPr>
        <w:shd w:val="clear" w:color="auto" w:fill="auto"/>
        <w:spacing w:line="440" w:lineRule="exact"/>
        <w:ind w:firstLine="2692" w:firstLineChars="1282"/>
        <w:rPr>
          <w:rFonts w:hint="eastAsia" w:ascii="仿宋" w:hAnsi="仿宋" w:eastAsia="仿宋" w:cs="仿宋"/>
          <w:color w:val="auto"/>
          <w:highlight w:val="none"/>
        </w:rPr>
      </w:pPr>
    </w:p>
    <w:p w14:paraId="6E4FE2DE">
      <w:pPr>
        <w:shd w:val="clear" w:color="auto" w:fill="auto"/>
        <w:spacing w:line="440" w:lineRule="exact"/>
        <w:ind w:firstLine="2692" w:firstLineChars="1282"/>
        <w:rPr>
          <w:rFonts w:hint="eastAsia" w:ascii="仿宋" w:hAnsi="仿宋" w:eastAsia="仿宋" w:cs="仿宋"/>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p>
    <w:p w14:paraId="46E192E8">
      <w:pPr>
        <w:shd w:val="clear" w:color="auto" w:fill="auto"/>
        <w:spacing w:line="440" w:lineRule="exact"/>
        <w:ind w:firstLine="2692" w:firstLineChars="1282"/>
        <w:rPr>
          <w:rFonts w:hint="eastAsia" w:ascii="仿宋" w:hAnsi="仿宋" w:eastAsia="仿宋" w:cs="仿宋"/>
          <w:color w:val="auto"/>
          <w:highlight w:val="none"/>
        </w:rPr>
      </w:pPr>
    </w:p>
    <w:p w14:paraId="7BA64721">
      <w:pPr>
        <w:shd w:val="clear" w:color="auto" w:fill="auto"/>
        <w:spacing w:line="440" w:lineRule="exact"/>
        <w:ind w:firstLine="2692" w:firstLineChars="1282"/>
        <w:rPr>
          <w:rFonts w:hint="eastAsia" w:ascii="仿宋" w:hAnsi="仿宋" w:eastAsia="仿宋" w:cs="仿宋"/>
          <w:color w:val="auto"/>
          <w:highlight w:val="none"/>
        </w:rPr>
      </w:pPr>
      <w:r>
        <w:rPr>
          <w:rFonts w:hint="eastAsia" w:ascii="仿宋" w:hAnsi="仿宋" w:eastAsia="仿宋" w:cs="仿宋"/>
          <w:color w:val="auto"/>
          <w:highlight w:val="none"/>
        </w:rPr>
        <w:t>委托代理人：</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（签名或盖章）</w:t>
      </w:r>
    </w:p>
    <w:p w14:paraId="1F4C5D55">
      <w:pPr>
        <w:shd w:val="clear" w:color="auto" w:fill="auto"/>
        <w:spacing w:line="440" w:lineRule="exact"/>
        <w:ind w:firstLine="2692" w:firstLineChars="1282"/>
        <w:rPr>
          <w:rFonts w:hint="eastAsia" w:ascii="仿宋" w:hAnsi="仿宋" w:eastAsia="仿宋" w:cs="仿宋"/>
          <w:color w:val="auto"/>
          <w:highlight w:val="none"/>
        </w:rPr>
      </w:pPr>
    </w:p>
    <w:p w14:paraId="4E189FC3">
      <w:pPr>
        <w:shd w:val="clear" w:color="auto" w:fill="auto"/>
        <w:spacing w:line="440" w:lineRule="exact"/>
        <w:ind w:firstLine="2692" w:firstLineChars="1282"/>
        <w:rPr>
          <w:rFonts w:hint="eastAsia" w:ascii="仿宋" w:hAnsi="仿宋" w:eastAsia="仿宋" w:cs="仿宋"/>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p>
    <w:p w14:paraId="0E6EA3D1">
      <w:pPr>
        <w:shd w:val="clear" w:color="auto" w:fill="auto"/>
        <w:spacing w:line="440" w:lineRule="exact"/>
        <w:ind w:firstLine="2692" w:firstLineChars="1282"/>
        <w:rPr>
          <w:rFonts w:hint="eastAsia" w:ascii="仿宋" w:hAnsi="仿宋" w:eastAsia="仿宋" w:cs="仿宋"/>
          <w:color w:val="auto"/>
          <w:highlight w:val="none"/>
        </w:rPr>
      </w:pPr>
    </w:p>
    <w:p w14:paraId="1A9872B7">
      <w:pPr>
        <w:shd w:val="clear" w:color="auto" w:fill="auto"/>
        <w:spacing w:line="440" w:lineRule="exact"/>
        <w:ind w:firstLine="2692" w:firstLineChars="1282"/>
        <w:rPr>
          <w:rFonts w:hint="eastAsia" w:ascii="仿宋" w:hAnsi="仿宋" w:eastAsia="仿宋" w:cs="仿宋"/>
          <w:color w:val="auto"/>
          <w:highlight w:val="none"/>
        </w:rPr>
      </w:pPr>
    </w:p>
    <w:p w14:paraId="0F202438">
      <w:pPr>
        <w:shd w:val="clear" w:color="auto" w:fill="auto"/>
        <w:spacing w:line="440" w:lineRule="exact"/>
        <w:ind w:firstLine="4057" w:firstLineChars="1932"/>
        <w:jc w:val="right"/>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1B19AD19">
      <w:pPr>
        <w:shd w:val="clear" w:color="auto" w:fill="auto"/>
        <w:spacing w:line="440" w:lineRule="exact"/>
        <w:rPr>
          <w:rFonts w:hint="eastAsia" w:ascii="仿宋" w:hAnsi="仿宋" w:eastAsia="仿宋" w:cs="仿宋"/>
          <w:b/>
          <w:bCs/>
          <w:color w:val="auto"/>
          <w:sz w:val="20"/>
          <w:highlight w:val="none"/>
        </w:rPr>
      </w:pPr>
    </w:p>
    <w:p w14:paraId="4D820BDD">
      <w:pPr>
        <w:shd w:val="clear" w:color="auto" w:fill="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FEBF396">
      <w:pPr>
        <w:pStyle w:val="2"/>
        <w:keepNext w:val="0"/>
        <w:keepLines w:val="0"/>
        <w:numPr>
          <w:ilvl w:val="0"/>
          <w:numId w:val="2"/>
        </w:numPr>
        <w:shd w:val="clear" w:color="auto" w:fill="auto"/>
        <w:jc w:val="center"/>
        <w:rPr>
          <w:rFonts w:hint="eastAsia" w:ascii="仿宋" w:hAnsi="仿宋" w:eastAsia="仿宋" w:cs="仿宋"/>
          <w:strike/>
          <w:dstrike w:val="0"/>
          <w:color w:val="auto"/>
          <w:highlight w:val="none"/>
          <w:lang w:val="en-US" w:eastAsia="zh-CN"/>
        </w:rPr>
      </w:pPr>
      <w:bookmarkStart w:id="816" w:name="_Toc2963"/>
      <w:bookmarkStart w:id="817" w:name="_Toc30131"/>
      <w:bookmarkStart w:id="818" w:name="_Toc7825"/>
      <w:bookmarkStart w:id="819" w:name="_Toc28031"/>
      <w:bookmarkStart w:id="820" w:name="_Toc22691"/>
      <w:bookmarkStart w:id="821" w:name="_Toc27211"/>
      <w:bookmarkStart w:id="822" w:name="_Toc16649"/>
      <w:bookmarkStart w:id="823" w:name="_Toc22092"/>
      <w:bookmarkStart w:id="824" w:name="_Toc7209"/>
      <w:bookmarkStart w:id="825" w:name="_Toc3872"/>
      <w:bookmarkStart w:id="826" w:name="_Toc23125"/>
      <w:bookmarkStart w:id="827" w:name="_Toc3539"/>
      <w:bookmarkStart w:id="828" w:name="_Toc22528"/>
      <w:bookmarkStart w:id="829" w:name="_Toc527969228"/>
      <w:bookmarkStart w:id="830" w:name="_Toc14966912"/>
      <w:bookmarkStart w:id="831" w:name="_Toc9382"/>
      <w:bookmarkStart w:id="832" w:name="_Toc22997"/>
      <w:bookmarkStart w:id="833" w:name="_Toc23783"/>
      <w:bookmarkStart w:id="834" w:name="_Toc760"/>
      <w:bookmarkStart w:id="835" w:name="_Toc19557"/>
      <w:r>
        <w:rPr>
          <w:rFonts w:hint="eastAsia" w:ascii="仿宋" w:hAnsi="仿宋" w:eastAsia="仿宋" w:cs="仿宋"/>
          <w:strike/>
          <w:dstrike w:val="0"/>
          <w:color w:val="auto"/>
          <w:highlight w:val="none"/>
          <w:lang w:val="en-US" w:eastAsia="zh-CN"/>
        </w:rPr>
        <w:t>联合体协议书（如有）</w:t>
      </w:r>
      <w:bookmarkEnd w:id="816"/>
    </w:p>
    <w:p w14:paraId="1C330259">
      <w:pPr>
        <w:numPr>
          <w:ilvl w:val="0"/>
          <w:numId w:val="0"/>
        </w:numPr>
        <w:jc w:val="center"/>
        <w:rPr>
          <w:rFonts w:hint="eastAsia" w:ascii="仿宋" w:hAnsi="仿宋" w:eastAsia="仿宋" w:cs="仿宋"/>
          <w:color w:val="auto"/>
          <w:highlight w:val="none"/>
          <w:lang w:val="en-US" w:eastAsia="zh-CN"/>
        </w:rPr>
        <w:sectPr>
          <w:headerReference r:id="rId5" w:type="default"/>
          <w:footerReference r:id="rId6" w:type="default"/>
          <w:type w:val="continuous"/>
          <w:pgSz w:w="11906" w:h="16838"/>
          <w:pgMar w:top="1440" w:right="1803" w:bottom="1440" w:left="1803" w:header="720" w:footer="720" w:gutter="0"/>
          <w:cols w:space="720" w:num="1"/>
          <w:docGrid w:linePitch="285" w:charSpace="0"/>
        </w:sectPr>
      </w:pPr>
    </w:p>
    <w:p w14:paraId="46CD4B56">
      <w:pPr>
        <w:pStyle w:val="2"/>
        <w:keepNext w:val="0"/>
        <w:keepLines w:val="0"/>
        <w:shd w:val="clear" w:color="auto" w:fill="auto"/>
        <w:jc w:val="center"/>
        <w:rPr>
          <w:rFonts w:hint="eastAsia" w:ascii="仿宋" w:hAnsi="仿宋" w:eastAsia="仿宋" w:cs="仿宋"/>
          <w:color w:val="auto"/>
          <w:highlight w:val="none"/>
        </w:rPr>
      </w:pPr>
      <w:bookmarkStart w:id="836" w:name="_Toc9444"/>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、监理报酬清单</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rPr>
          <w:rFonts w:hint="eastAsia" w:ascii="仿宋" w:hAnsi="仿宋" w:eastAsia="仿宋" w:cs="仿宋"/>
          <w:color w:val="auto"/>
          <w:highlight w:val="none"/>
        </w:rPr>
        <w:t>（格式可自定）</w:t>
      </w:r>
      <w:bookmarkEnd w:id="835"/>
      <w:bookmarkEnd w:id="836"/>
    </w:p>
    <w:p w14:paraId="51C43C40">
      <w:pPr>
        <w:shd w:val="clear" w:color="auto" w:fill="auto"/>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监理报酬清单说明</w:t>
      </w:r>
    </w:p>
    <w:p w14:paraId="185F3DB5">
      <w:pPr>
        <w:shd w:val="clear" w:color="auto" w:fill="auto"/>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监理报酬清单</w:t>
      </w:r>
    </w:p>
    <w:p w14:paraId="500C5CE1">
      <w:pPr>
        <w:shd w:val="clear" w:color="auto" w:fill="auto"/>
        <w:spacing w:line="440" w:lineRule="exact"/>
        <w:ind w:firstLine="420" w:firstLineChars="2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单位：人民币（元）</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43"/>
        <w:gridCol w:w="2207"/>
        <w:gridCol w:w="1284"/>
        <w:gridCol w:w="1885"/>
      </w:tblGrid>
      <w:tr w14:paraId="2A4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94" w:type="dxa"/>
            <w:noWrap w:val="0"/>
            <w:vAlign w:val="center"/>
          </w:tcPr>
          <w:p w14:paraId="4B0DDBC9">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b/>
                <w:color w:val="auto"/>
                <w:kern w:val="0"/>
                <w:szCs w:val="21"/>
                <w:highlight w:val="none"/>
              </w:rPr>
            </w:pPr>
            <w:bookmarkStart w:id="837" w:name="_Toc361508760"/>
            <w:r>
              <w:rPr>
                <w:rFonts w:hint="eastAsia" w:ascii="仿宋" w:hAnsi="仿宋" w:eastAsia="仿宋" w:cs="仿宋"/>
                <w:b/>
                <w:color w:val="auto"/>
                <w:kern w:val="0"/>
                <w:szCs w:val="21"/>
                <w:highlight w:val="none"/>
              </w:rPr>
              <w:t>序号</w:t>
            </w:r>
          </w:p>
        </w:tc>
        <w:tc>
          <w:tcPr>
            <w:tcW w:w="2343" w:type="dxa"/>
            <w:noWrap w:val="0"/>
            <w:vAlign w:val="center"/>
          </w:tcPr>
          <w:p w14:paraId="447D2795">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监理报酬分项名称</w:t>
            </w:r>
          </w:p>
        </w:tc>
        <w:tc>
          <w:tcPr>
            <w:tcW w:w="2207" w:type="dxa"/>
            <w:noWrap w:val="0"/>
            <w:vAlign w:val="center"/>
          </w:tcPr>
          <w:p w14:paraId="40D7BE14">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计算依据、过程和公式</w:t>
            </w:r>
          </w:p>
        </w:tc>
        <w:tc>
          <w:tcPr>
            <w:tcW w:w="1284" w:type="dxa"/>
            <w:noWrap w:val="0"/>
            <w:vAlign w:val="center"/>
          </w:tcPr>
          <w:p w14:paraId="3A8C91AD">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金额（元）</w:t>
            </w:r>
          </w:p>
        </w:tc>
        <w:tc>
          <w:tcPr>
            <w:tcW w:w="1885" w:type="dxa"/>
            <w:noWrap w:val="0"/>
            <w:vAlign w:val="center"/>
          </w:tcPr>
          <w:p w14:paraId="2E036C5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备注</w:t>
            </w:r>
          </w:p>
        </w:tc>
      </w:tr>
      <w:tr w14:paraId="6BDA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4" w:type="dxa"/>
            <w:noWrap w:val="0"/>
            <w:vAlign w:val="center"/>
          </w:tcPr>
          <w:p w14:paraId="1D91972C">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343" w:type="dxa"/>
            <w:noWrap w:val="0"/>
            <w:vAlign w:val="center"/>
          </w:tcPr>
          <w:p w14:paraId="31341E12">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2207" w:type="dxa"/>
            <w:noWrap w:val="0"/>
            <w:vAlign w:val="center"/>
          </w:tcPr>
          <w:p w14:paraId="148ED087">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284" w:type="dxa"/>
            <w:noWrap w:val="0"/>
            <w:vAlign w:val="center"/>
          </w:tcPr>
          <w:p w14:paraId="3E6AB3E2">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885" w:type="dxa"/>
            <w:noWrap w:val="0"/>
            <w:vAlign w:val="center"/>
          </w:tcPr>
          <w:p w14:paraId="54EB21FA">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r>
      <w:tr w14:paraId="486F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4" w:type="dxa"/>
            <w:noWrap w:val="0"/>
            <w:vAlign w:val="center"/>
          </w:tcPr>
          <w:p w14:paraId="17FB68E8">
            <w:pPr>
              <w:keepNext w:val="0"/>
              <w:keepLines w:val="0"/>
              <w:suppressLineNumbers w:val="0"/>
              <w:shd w:val="clear" w:color="auto" w:fill="auto"/>
              <w:spacing w:before="100" w:beforeAutospacing="1" w:after="100" w:afterAutospacing="1"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343" w:type="dxa"/>
            <w:noWrap w:val="0"/>
            <w:vAlign w:val="center"/>
          </w:tcPr>
          <w:p w14:paraId="161313E5">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2207" w:type="dxa"/>
            <w:noWrap w:val="0"/>
            <w:vAlign w:val="center"/>
          </w:tcPr>
          <w:p w14:paraId="26E282F5">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284" w:type="dxa"/>
            <w:noWrap w:val="0"/>
            <w:vAlign w:val="center"/>
          </w:tcPr>
          <w:p w14:paraId="11A431D4">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885" w:type="dxa"/>
            <w:noWrap w:val="0"/>
            <w:vAlign w:val="center"/>
          </w:tcPr>
          <w:p w14:paraId="35739E17">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r>
      <w:tr w14:paraId="6619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94" w:type="dxa"/>
            <w:noWrap w:val="0"/>
            <w:vAlign w:val="center"/>
          </w:tcPr>
          <w:p w14:paraId="1073B655">
            <w:pPr>
              <w:keepNext w:val="0"/>
              <w:keepLines w:val="0"/>
              <w:suppressLineNumbers w:val="0"/>
              <w:shd w:val="clear" w:color="auto" w:fill="auto"/>
              <w:spacing w:before="100" w:beforeAutospacing="1" w:after="100" w:afterAutospacing="1"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343" w:type="dxa"/>
            <w:noWrap w:val="0"/>
            <w:vAlign w:val="center"/>
          </w:tcPr>
          <w:p w14:paraId="5686BE3E">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2207" w:type="dxa"/>
            <w:noWrap w:val="0"/>
            <w:vAlign w:val="center"/>
          </w:tcPr>
          <w:p w14:paraId="7520F958">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284" w:type="dxa"/>
            <w:noWrap w:val="0"/>
            <w:vAlign w:val="center"/>
          </w:tcPr>
          <w:p w14:paraId="26956306">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885" w:type="dxa"/>
            <w:noWrap w:val="0"/>
            <w:vAlign w:val="center"/>
          </w:tcPr>
          <w:p w14:paraId="5EE70D6F">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r>
      <w:tr w14:paraId="3BBF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4" w:type="dxa"/>
            <w:noWrap w:val="0"/>
            <w:vAlign w:val="center"/>
          </w:tcPr>
          <w:p w14:paraId="62CAFF9C">
            <w:pPr>
              <w:keepNext w:val="0"/>
              <w:keepLines w:val="0"/>
              <w:suppressLineNumbers w:val="0"/>
              <w:shd w:val="clear" w:color="auto" w:fill="auto"/>
              <w:spacing w:before="100" w:beforeAutospacing="1" w:after="100" w:afterAutospacing="1"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343" w:type="dxa"/>
            <w:noWrap w:val="0"/>
            <w:vAlign w:val="center"/>
          </w:tcPr>
          <w:p w14:paraId="4FEA2CA0">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2207" w:type="dxa"/>
            <w:noWrap w:val="0"/>
            <w:vAlign w:val="center"/>
          </w:tcPr>
          <w:p w14:paraId="28432180">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284" w:type="dxa"/>
            <w:noWrap w:val="0"/>
            <w:vAlign w:val="center"/>
          </w:tcPr>
          <w:p w14:paraId="6470AEEA">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885" w:type="dxa"/>
            <w:noWrap w:val="0"/>
            <w:vAlign w:val="center"/>
          </w:tcPr>
          <w:p w14:paraId="001F1AD7">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r>
      <w:tr w14:paraId="356E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4" w:type="dxa"/>
            <w:noWrap w:val="0"/>
            <w:vAlign w:val="center"/>
          </w:tcPr>
          <w:p w14:paraId="5B91E343">
            <w:pPr>
              <w:keepNext w:val="0"/>
              <w:keepLines w:val="0"/>
              <w:suppressLineNumbers w:val="0"/>
              <w:shd w:val="clear" w:color="auto" w:fill="auto"/>
              <w:spacing w:before="100" w:beforeAutospacing="1" w:after="100" w:afterAutospacing="1"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2343" w:type="dxa"/>
            <w:noWrap w:val="0"/>
            <w:vAlign w:val="center"/>
          </w:tcPr>
          <w:p w14:paraId="5617644B">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2207" w:type="dxa"/>
            <w:noWrap w:val="0"/>
            <w:vAlign w:val="center"/>
          </w:tcPr>
          <w:p w14:paraId="04CD065F">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284" w:type="dxa"/>
            <w:noWrap w:val="0"/>
            <w:vAlign w:val="center"/>
          </w:tcPr>
          <w:p w14:paraId="6DE43AC7">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885" w:type="dxa"/>
            <w:noWrap w:val="0"/>
            <w:vAlign w:val="center"/>
          </w:tcPr>
          <w:p w14:paraId="6E54E872">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r>
      <w:tr w14:paraId="6426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4" w:type="dxa"/>
            <w:noWrap w:val="0"/>
            <w:vAlign w:val="center"/>
          </w:tcPr>
          <w:p w14:paraId="12A5FD79">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2343" w:type="dxa"/>
            <w:noWrap w:val="0"/>
            <w:vAlign w:val="center"/>
          </w:tcPr>
          <w:p w14:paraId="5171DACD">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2207" w:type="dxa"/>
            <w:noWrap w:val="0"/>
            <w:vAlign w:val="center"/>
          </w:tcPr>
          <w:p w14:paraId="2C7BD8DB">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284" w:type="dxa"/>
            <w:noWrap w:val="0"/>
            <w:vAlign w:val="center"/>
          </w:tcPr>
          <w:p w14:paraId="76EA7842">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885" w:type="dxa"/>
            <w:noWrap w:val="0"/>
            <w:vAlign w:val="center"/>
          </w:tcPr>
          <w:p w14:paraId="691E59D5">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r>
      <w:tr w14:paraId="5B02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344" w:type="dxa"/>
            <w:gridSpan w:val="3"/>
            <w:noWrap w:val="0"/>
            <w:vAlign w:val="center"/>
          </w:tcPr>
          <w:p w14:paraId="5C0BD00D">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合计报价</w:t>
            </w:r>
          </w:p>
        </w:tc>
        <w:tc>
          <w:tcPr>
            <w:tcW w:w="1284" w:type="dxa"/>
            <w:noWrap w:val="0"/>
            <w:vAlign w:val="center"/>
          </w:tcPr>
          <w:p w14:paraId="119C3458">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c>
          <w:tcPr>
            <w:tcW w:w="1885" w:type="dxa"/>
            <w:noWrap w:val="0"/>
            <w:vAlign w:val="center"/>
          </w:tcPr>
          <w:p w14:paraId="7D50545D">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highlight w:val="none"/>
              </w:rPr>
            </w:pPr>
          </w:p>
        </w:tc>
      </w:tr>
    </w:tbl>
    <w:p w14:paraId="4DB55691">
      <w:pPr>
        <w:shd w:val="clear" w:color="auto" w:fill="auto"/>
        <w:spacing w:line="400" w:lineRule="exact"/>
        <w:rPr>
          <w:rFonts w:hint="eastAsia" w:ascii="仿宋" w:hAnsi="仿宋" w:eastAsia="仿宋" w:cs="仿宋"/>
          <w:color w:val="auto"/>
          <w:highlight w:val="none"/>
        </w:rPr>
      </w:pPr>
    </w:p>
    <w:p w14:paraId="0FDEF74E">
      <w:pPr>
        <w:shd w:val="clear" w:color="auto" w:fill="auto"/>
        <w:spacing w:line="400" w:lineRule="exact"/>
        <w:rPr>
          <w:rFonts w:hint="eastAsia" w:ascii="仿宋" w:hAnsi="仿宋" w:eastAsia="仿宋" w:cs="仿宋"/>
          <w:snapToGrid w:val="0"/>
          <w:color w:val="auto"/>
          <w:spacing w:val="4"/>
          <w:kern w:val="0"/>
          <w:szCs w:val="21"/>
          <w:highlight w:val="none"/>
        </w:rPr>
      </w:pPr>
      <w:r>
        <w:rPr>
          <w:rFonts w:hint="eastAsia" w:ascii="仿宋" w:hAnsi="仿宋" w:eastAsia="仿宋" w:cs="仿宋"/>
          <w:snapToGrid w:val="0"/>
          <w:color w:val="auto"/>
          <w:spacing w:val="4"/>
          <w:kern w:val="0"/>
          <w:szCs w:val="21"/>
          <w:highlight w:val="none"/>
        </w:rPr>
        <w:t>备注：</w:t>
      </w:r>
    </w:p>
    <w:p w14:paraId="76B72CE5">
      <w:pPr>
        <w:shd w:val="clear" w:color="auto" w:fill="auto"/>
        <w:spacing w:line="400" w:lineRule="exact"/>
        <w:rPr>
          <w:rFonts w:hint="eastAsia" w:ascii="仿宋" w:hAnsi="仿宋" w:eastAsia="仿宋" w:cs="仿宋"/>
          <w:color w:val="auto"/>
          <w:szCs w:val="21"/>
          <w:highlight w:val="none"/>
        </w:rPr>
      </w:pPr>
      <w:r>
        <w:rPr>
          <w:rFonts w:hint="eastAsia" w:ascii="仿宋" w:hAnsi="仿宋" w:eastAsia="仿宋" w:cs="仿宋"/>
          <w:snapToGrid w:val="0"/>
          <w:color w:val="auto"/>
          <w:spacing w:val="4"/>
          <w:kern w:val="0"/>
          <w:szCs w:val="21"/>
          <w:highlight w:val="none"/>
        </w:rPr>
        <w:t>1.监理报酬报价总金额不能超过</w:t>
      </w:r>
      <w:r>
        <w:rPr>
          <w:rFonts w:hint="eastAsia" w:ascii="仿宋" w:hAnsi="仿宋" w:eastAsia="仿宋" w:cs="仿宋"/>
          <w:color w:val="auto"/>
          <w:szCs w:val="21"/>
          <w:highlight w:val="none"/>
        </w:rPr>
        <w:t>最高投标限价。</w:t>
      </w:r>
    </w:p>
    <w:p w14:paraId="7112F1C5">
      <w:pPr>
        <w:shd w:val="clear" w:color="auto" w:fill="auto"/>
        <w:spacing w:line="400" w:lineRule="exact"/>
        <w:rPr>
          <w:rFonts w:hint="eastAsia" w:ascii="仿宋" w:hAnsi="仿宋" w:eastAsia="仿宋" w:cs="仿宋"/>
          <w:snapToGrid w:val="0"/>
          <w:color w:val="auto"/>
          <w:spacing w:val="4"/>
          <w:kern w:val="0"/>
          <w:szCs w:val="21"/>
          <w:highlight w:val="none"/>
        </w:rPr>
      </w:pPr>
      <w:r>
        <w:rPr>
          <w:rFonts w:hint="eastAsia" w:ascii="仿宋" w:hAnsi="仿宋" w:eastAsia="仿宋" w:cs="仿宋"/>
          <w:snapToGrid w:val="0"/>
          <w:color w:val="auto"/>
          <w:spacing w:val="4"/>
          <w:kern w:val="0"/>
          <w:szCs w:val="21"/>
          <w:highlight w:val="none"/>
        </w:rPr>
        <w:t>2.监理费投标报价：包括但不限于监理设备、劳务、管理、交通、维护、保险、利润、税金、政策性文件规定及合同包含的所有风险、责任等各项所有费用；</w:t>
      </w:r>
    </w:p>
    <w:p w14:paraId="651483DB">
      <w:pPr>
        <w:shd w:val="clear" w:color="auto" w:fill="auto"/>
        <w:spacing w:line="400" w:lineRule="exact"/>
        <w:rPr>
          <w:rFonts w:hint="eastAsia" w:ascii="仿宋" w:hAnsi="仿宋" w:eastAsia="仿宋" w:cs="仿宋"/>
          <w:snapToGrid w:val="0"/>
          <w:color w:val="auto"/>
          <w:spacing w:val="4"/>
          <w:kern w:val="0"/>
          <w:szCs w:val="21"/>
          <w:highlight w:val="none"/>
        </w:rPr>
      </w:pPr>
      <w:r>
        <w:rPr>
          <w:rFonts w:hint="eastAsia" w:ascii="仿宋" w:hAnsi="仿宋" w:eastAsia="仿宋" w:cs="仿宋"/>
          <w:snapToGrid w:val="0"/>
          <w:color w:val="auto"/>
          <w:spacing w:val="4"/>
          <w:kern w:val="0"/>
          <w:szCs w:val="21"/>
          <w:highlight w:val="none"/>
        </w:rPr>
        <w:t>3.投标人报价应包含监理单位在监理服务实施中应缴纳的一切税费。如果政府出台新的税费政策，则按照新政策执行；</w:t>
      </w:r>
    </w:p>
    <w:p w14:paraId="11B402DC">
      <w:pPr>
        <w:shd w:val="clear" w:color="auto" w:fill="auto"/>
        <w:spacing w:line="400" w:lineRule="exact"/>
        <w:rPr>
          <w:rFonts w:hint="eastAsia" w:ascii="仿宋" w:hAnsi="仿宋" w:eastAsia="仿宋" w:cs="仿宋"/>
          <w:snapToGrid w:val="0"/>
          <w:color w:val="auto"/>
          <w:spacing w:val="4"/>
          <w:kern w:val="0"/>
          <w:szCs w:val="21"/>
          <w:highlight w:val="none"/>
        </w:rPr>
      </w:pPr>
      <w:r>
        <w:rPr>
          <w:rFonts w:hint="eastAsia" w:ascii="仿宋" w:hAnsi="仿宋" w:eastAsia="仿宋" w:cs="仿宋"/>
          <w:snapToGrid w:val="0"/>
          <w:color w:val="auto"/>
          <w:spacing w:val="4"/>
          <w:kern w:val="0"/>
          <w:szCs w:val="21"/>
          <w:highlight w:val="none"/>
        </w:rPr>
        <w:t>4.投标报价均采用人民币计算，以“元”为单位，只保留小数点后两位，小数点后第三位及第三位数后做舍弃。</w:t>
      </w:r>
    </w:p>
    <w:p w14:paraId="785E2333">
      <w:pPr>
        <w:shd w:val="clear" w:color="auto" w:fill="auto"/>
        <w:spacing w:line="400" w:lineRule="exact"/>
        <w:rPr>
          <w:rFonts w:hint="eastAsia" w:ascii="仿宋" w:hAnsi="仿宋" w:eastAsia="仿宋" w:cs="仿宋"/>
          <w:color w:val="auto"/>
          <w:szCs w:val="21"/>
          <w:highlight w:val="none"/>
        </w:rPr>
      </w:pPr>
    </w:p>
    <w:p w14:paraId="6AF6C1B4">
      <w:pPr>
        <w:shd w:val="clear" w:color="auto" w:fill="auto"/>
        <w:spacing w:line="400" w:lineRule="exact"/>
        <w:rPr>
          <w:rFonts w:hint="eastAsia" w:ascii="仿宋" w:hAnsi="仿宋" w:eastAsia="仿宋" w:cs="仿宋"/>
          <w:color w:val="auto"/>
          <w:szCs w:val="21"/>
          <w:highlight w:val="none"/>
        </w:rPr>
      </w:pPr>
    </w:p>
    <w:p w14:paraId="08D789A2">
      <w:pPr>
        <w:shd w:val="clear" w:color="auto" w:fill="auto"/>
        <w:spacing w:line="440" w:lineRule="exact"/>
        <w:ind w:firstLine="2520" w:firstLineChars="1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 标 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rPr>
        <w:t>（盖单位章）</w:t>
      </w:r>
    </w:p>
    <w:p w14:paraId="58E930BC">
      <w:pPr>
        <w:shd w:val="clear" w:color="auto" w:fill="auto"/>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76B66DE1">
      <w:pPr>
        <w:shd w:val="clear" w:color="auto" w:fill="auto"/>
        <w:spacing w:line="400" w:lineRule="exact"/>
        <w:rPr>
          <w:rFonts w:hint="eastAsia" w:ascii="仿宋" w:hAnsi="仿宋" w:eastAsia="仿宋" w:cs="仿宋"/>
          <w:b/>
          <w:color w:val="auto"/>
          <w:szCs w:val="21"/>
          <w:highlight w:val="none"/>
        </w:rPr>
      </w:pPr>
    </w:p>
    <w:p w14:paraId="1C9FD0AC">
      <w:pPr>
        <w:shd w:val="clear" w:color="auto" w:fill="auto"/>
        <w:spacing w:line="400" w:lineRule="exact"/>
        <w:rPr>
          <w:rFonts w:hint="eastAsia" w:ascii="仿宋" w:hAnsi="仿宋" w:eastAsia="仿宋" w:cs="仿宋"/>
          <w:color w:val="auto"/>
          <w:highlight w:val="none"/>
        </w:rPr>
      </w:pPr>
    </w:p>
    <w:p w14:paraId="25E65A21">
      <w:pPr>
        <w:pStyle w:val="2"/>
        <w:keepNext w:val="0"/>
        <w:keepLines w:val="0"/>
        <w:shd w:val="clear" w:color="auto" w:fill="auto"/>
        <w:spacing w:after="0"/>
        <w:jc w:val="center"/>
        <w:rPr>
          <w:rFonts w:hint="eastAsia" w:ascii="仿宋" w:hAnsi="仿宋" w:eastAsia="仿宋" w:cs="仿宋"/>
          <w:color w:val="auto"/>
          <w:highlight w:val="none"/>
        </w:rPr>
      </w:pPr>
      <w:bookmarkStart w:id="838" w:name="_Toc12106"/>
      <w:bookmarkStart w:id="839" w:name="_Toc527969229"/>
      <w:r>
        <w:rPr>
          <w:rFonts w:hint="eastAsia" w:ascii="仿宋" w:hAnsi="仿宋" w:eastAsia="仿宋" w:cs="仿宋"/>
          <w:color w:val="auto"/>
          <w:highlight w:val="none"/>
        </w:rPr>
        <w:br w:type="page"/>
      </w:r>
      <w:bookmarkStart w:id="840" w:name="_Toc25117"/>
      <w:bookmarkStart w:id="841" w:name="_Toc32092"/>
      <w:bookmarkStart w:id="842" w:name="_Toc22319"/>
      <w:bookmarkStart w:id="843" w:name="_Toc8097"/>
      <w:bookmarkStart w:id="844" w:name="_Toc14966913"/>
      <w:bookmarkStart w:id="845" w:name="_Toc31121"/>
      <w:bookmarkStart w:id="846" w:name="_Toc18266"/>
      <w:bookmarkStart w:id="847" w:name="_Toc17605"/>
      <w:bookmarkStart w:id="848" w:name="_Toc16260"/>
      <w:bookmarkStart w:id="849" w:name="_Toc25887"/>
      <w:bookmarkStart w:id="850" w:name="_Toc30834"/>
      <w:bookmarkStart w:id="851" w:name="_Toc18084"/>
      <w:bookmarkStart w:id="852" w:name="_Toc16168"/>
      <w:bookmarkStart w:id="853" w:name="_Toc6"/>
      <w:bookmarkStart w:id="854" w:name="_Toc15180"/>
      <w:bookmarkStart w:id="855" w:name="_Toc31297"/>
      <w:bookmarkStart w:id="856" w:name="_Toc16434"/>
      <w:bookmarkStart w:id="857" w:name="_Toc1948"/>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、资格审查资料</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7ADA7545">
      <w:pPr>
        <w:pStyle w:val="4"/>
        <w:keepNext w:val="0"/>
        <w:keepLines w:val="0"/>
        <w:shd w:val="clear" w:color="auto" w:fill="auto"/>
        <w:spacing w:before="20" w:after="0"/>
        <w:ind w:firstLine="0" w:firstLineChars="0"/>
        <w:jc w:val="left"/>
        <w:rPr>
          <w:rFonts w:hint="eastAsia" w:ascii="仿宋" w:hAnsi="仿宋" w:eastAsia="仿宋" w:cs="仿宋"/>
          <w:color w:val="auto"/>
          <w:highlight w:val="none"/>
        </w:rPr>
      </w:pPr>
      <w:bookmarkStart w:id="858" w:name="_Toc24029"/>
      <w:bookmarkStart w:id="859" w:name="_Toc18829"/>
      <w:bookmarkStart w:id="860" w:name="_Toc8185"/>
      <w:bookmarkStart w:id="861" w:name="_Toc21372"/>
      <w:bookmarkStart w:id="862" w:name="_Toc1500"/>
      <w:bookmarkStart w:id="863" w:name="_Toc6476"/>
      <w:bookmarkStart w:id="864" w:name="_Toc4080"/>
      <w:bookmarkStart w:id="865" w:name="_Toc32453"/>
      <w:bookmarkStart w:id="866" w:name="_Toc15058"/>
      <w:bookmarkStart w:id="867" w:name="_Toc527969230"/>
      <w:bookmarkStart w:id="868" w:name="_Toc1982"/>
      <w:bookmarkStart w:id="869" w:name="_Toc16516"/>
      <w:bookmarkStart w:id="870" w:name="_Toc10568"/>
      <w:bookmarkStart w:id="871" w:name="_Toc14966914"/>
      <w:bookmarkStart w:id="872" w:name="_Toc30303"/>
      <w:bookmarkStart w:id="873" w:name="_Toc12406"/>
      <w:bookmarkStart w:id="874" w:name="_Toc16597"/>
      <w:bookmarkStart w:id="875" w:name="_Toc23107"/>
      <w:bookmarkStart w:id="876" w:name="_Toc919"/>
      <w:bookmarkStart w:id="877" w:name="_Toc18423"/>
      <w:r>
        <w:rPr>
          <w:rFonts w:hint="eastAsia" w:ascii="仿宋" w:hAnsi="仿宋" w:eastAsia="仿宋" w:cs="仿宋"/>
          <w:color w:val="auto"/>
          <w:highlight w:val="none"/>
        </w:rPr>
        <w:t>（一）投标人基本情况表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4"/>
        <w:gridCol w:w="854"/>
        <w:gridCol w:w="979"/>
        <w:gridCol w:w="1231"/>
        <w:gridCol w:w="426"/>
        <w:gridCol w:w="834"/>
        <w:gridCol w:w="788"/>
        <w:gridCol w:w="269"/>
        <w:gridCol w:w="1179"/>
      </w:tblGrid>
      <w:tr w14:paraId="4CC87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6C3E035D">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投标人名称</w:t>
            </w:r>
          </w:p>
        </w:tc>
        <w:tc>
          <w:tcPr>
            <w:tcW w:w="6560" w:type="dxa"/>
            <w:gridSpan w:val="8"/>
            <w:tcBorders>
              <w:top w:val="single" w:color="auto" w:sz="4" w:space="0"/>
              <w:left w:val="single" w:color="auto" w:sz="4" w:space="0"/>
              <w:bottom w:val="single" w:color="auto" w:sz="4" w:space="0"/>
              <w:right w:val="single" w:color="auto" w:sz="4" w:space="0"/>
            </w:tcBorders>
            <w:noWrap w:val="0"/>
            <w:vAlign w:val="center"/>
          </w:tcPr>
          <w:p w14:paraId="15A756C7">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36E26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3F3F8C5E">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3064" w:type="dxa"/>
            <w:gridSpan w:val="3"/>
            <w:tcBorders>
              <w:top w:val="single" w:color="auto" w:sz="4" w:space="0"/>
              <w:left w:val="single" w:color="auto" w:sz="4" w:space="0"/>
              <w:bottom w:val="single" w:color="auto" w:sz="4" w:space="0"/>
              <w:right w:val="single" w:color="auto" w:sz="4" w:space="0"/>
            </w:tcBorders>
            <w:noWrap w:val="0"/>
            <w:vAlign w:val="center"/>
          </w:tcPr>
          <w:p w14:paraId="121CE814">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298F83E">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邮政编码</w:t>
            </w:r>
          </w:p>
        </w:tc>
        <w:tc>
          <w:tcPr>
            <w:tcW w:w="2236" w:type="dxa"/>
            <w:gridSpan w:val="3"/>
            <w:tcBorders>
              <w:top w:val="single" w:color="auto" w:sz="4" w:space="0"/>
              <w:left w:val="single" w:color="auto" w:sz="4" w:space="0"/>
              <w:bottom w:val="single" w:color="auto" w:sz="4" w:space="0"/>
              <w:right w:val="single" w:color="auto" w:sz="4" w:space="0"/>
            </w:tcBorders>
            <w:noWrap w:val="0"/>
            <w:vAlign w:val="center"/>
          </w:tcPr>
          <w:p w14:paraId="52601A55">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21E4C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0519E745">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联系方式</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4E5D5043">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联系人</w:t>
            </w:r>
          </w:p>
        </w:tc>
        <w:tc>
          <w:tcPr>
            <w:tcW w:w="2210" w:type="dxa"/>
            <w:gridSpan w:val="2"/>
            <w:tcBorders>
              <w:top w:val="single" w:color="auto" w:sz="4" w:space="0"/>
              <w:left w:val="single" w:color="auto" w:sz="4" w:space="0"/>
              <w:bottom w:val="single" w:color="auto" w:sz="4" w:space="0"/>
              <w:right w:val="single" w:color="auto" w:sz="4" w:space="0"/>
            </w:tcBorders>
            <w:noWrap w:val="0"/>
            <w:vAlign w:val="center"/>
          </w:tcPr>
          <w:p w14:paraId="647A5150">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FDA0EF0">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电 话</w:t>
            </w:r>
          </w:p>
        </w:tc>
        <w:tc>
          <w:tcPr>
            <w:tcW w:w="2236" w:type="dxa"/>
            <w:gridSpan w:val="3"/>
            <w:tcBorders>
              <w:top w:val="single" w:color="auto" w:sz="4" w:space="0"/>
              <w:left w:val="single" w:color="auto" w:sz="4" w:space="0"/>
              <w:bottom w:val="single" w:color="auto" w:sz="4" w:space="0"/>
              <w:right w:val="single" w:color="auto" w:sz="4" w:space="0"/>
            </w:tcBorders>
            <w:noWrap w:val="0"/>
            <w:vAlign w:val="center"/>
          </w:tcPr>
          <w:p w14:paraId="40F2DB7F">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4243A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699C402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323EB812">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传  真</w:t>
            </w:r>
          </w:p>
        </w:tc>
        <w:tc>
          <w:tcPr>
            <w:tcW w:w="2210" w:type="dxa"/>
            <w:gridSpan w:val="2"/>
            <w:tcBorders>
              <w:top w:val="single" w:color="auto" w:sz="4" w:space="0"/>
              <w:left w:val="single" w:color="auto" w:sz="4" w:space="0"/>
              <w:bottom w:val="single" w:color="auto" w:sz="4" w:space="0"/>
              <w:right w:val="single" w:color="auto" w:sz="4" w:space="0"/>
            </w:tcBorders>
            <w:noWrap w:val="0"/>
            <w:vAlign w:val="center"/>
          </w:tcPr>
          <w:p w14:paraId="12334AD0">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EE08895">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网 址</w:t>
            </w:r>
          </w:p>
        </w:tc>
        <w:tc>
          <w:tcPr>
            <w:tcW w:w="2236" w:type="dxa"/>
            <w:gridSpan w:val="3"/>
            <w:tcBorders>
              <w:top w:val="single" w:color="auto" w:sz="4" w:space="0"/>
              <w:left w:val="single" w:color="auto" w:sz="4" w:space="0"/>
              <w:bottom w:val="single" w:color="auto" w:sz="4" w:space="0"/>
              <w:right w:val="single" w:color="auto" w:sz="4" w:space="0"/>
            </w:tcBorders>
            <w:noWrap w:val="0"/>
            <w:vAlign w:val="center"/>
          </w:tcPr>
          <w:p w14:paraId="6D5A0F7E">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78CD3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6D074874">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6D7F827C">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3F9CFF9B">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90505FE">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技术职称</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F54CEF0">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1057" w:type="dxa"/>
            <w:gridSpan w:val="2"/>
            <w:tcBorders>
              <w:top w:val="single" w:color="auto" w:sz="4" w:space="0"/>
              <w:left w:val="single" w:color="auto" w:sz="4" w:space="0"/>
              <w:bottom w:val="single" w:color="auto" w:sz="4" w:space="0"/>
              <w:right w:val="single" w:color="auto" w:sz="4" w:space="0"/>
            </w:tcBorders>
            <w:noWrap w:val="0"/>
            <w:vAlign w:val="center"/>
          </w:tcPr>
          <w:p w14:paraId="57750861">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5C4765E">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3134D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2995C455">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szCs w:val="21"/>
                <w:highlight w:val="none"/>
              </w:rPr>
              <w:t>技术负责人</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192530EB">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6AF9C07D">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259A21E">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技术职称</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021CF21">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1057" w:type="dxa"/>
            <w:gridSpan w:val="2"/>
            <w:tcBorders>
              <w:top w:val="single" w:color="auto" w:sz="4" w:space="0"/>
              <w:left w:val="single" w:color="auto" w:sz="4" w:space="0"/>
              <w:bottom w:val="single" w:color="auto" w:sz="4" w:space="0"/>
              <w:right w:val="single" w:color="auto" w:sz="4" w:space="0"/>
            </w:tcBorders>
            <w:noWrap w:val="0"/>
            <w:vAlign w:val="center"/>
          </w:tcPr>
          <w:p w14:paraId="00E69B35">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443F954">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1E7A2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64B3824B">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w:t>
            </w:r>
            <w:r>
              <w:rPr>
                <w:rFonts w:hint="eastAsia" w:ascii="仿宋" w:hAnsi="仿宋" w:eastAsia="仿宋" w:cs="仿宋"/>
                <w:color w:val="auto"/>
                <w:szCs w:val="21"/>
                <w:highlight w:val="none"/>
              </w:rPr>
              <w:t>监理</w:t>
            </w:r>
            <w:r>
              <w:rPr>
                <w:rFonts w:hint="eastAsia" w:ascii="仿宋" w:hAnsi="仿宋" w:eastAsia="仿宋" w:cs="仿宋"/>
                <w:color w:val="auto"/>
                <w:highlight w:val="none"/>
              </w:rPr>
              <w:t>资质证书</w:t>
            </w:r>
          </w:p>
        </w:tc>
        <w:tc>
          <w:tcPr>
            <w:tcW w:w="6560" w:type="dxa"/>
            <w:gridSpan w:val="8"/>
            <w:tcBorders>
              <w:top w:val="single" w:color="auto" w:sz="4" w:space="0"/>
              <w:left w:val="single" w:color="auto" w:sz="4" w:space="0"/>
              <w:bottom w:val="single" w:color="auto" w:sz="4" w:space="0"/>
              <w:right w:val="single" w:color="auto" w:sz="4" w:space="0"/>
            </w:tcBorders>
            <w:noWrap w:val="0"/>
            <w:vAlign w:val="center"/>
          </w:tcPr>
          <w:p w14:paraId="36D32984">
            <w:pPr>
              <w:keepNext w:val="0"/>
              <w:keepLines w:val="0"/>
              <w:suppressLineNumbers w:val="0"/>
              <w:shd w:val="clear" w:color="auto" w:fill="auto"/>
              <w:topLinePunct/>
              <w:spacing w:before="100" w:beforeAutospacing="1" w:after="100" w:afterAutospacing="1" w:line="440" w:lineRule="exact"/>
              <w:ind w:left="0" w:right="0" w:firstLine="105" w:firstLineChars="50"/>
              <w:jc w:val="center"/>
              <w:rPr>
                <w:rFonts w:hint="eastAsia" w:ascii="仿宋" w:hAnsi="仿宋" w:eastAsia="仿宋" w:cs="仿宋"/>
                <w:color w:val="auto"/>
                <w:highlight w:val="none"/>
              </w:rPr>
            </w:pPr>
            <w:r>
              <w:rPr>
                <w:rFonts w:hint="eastAsia" w:ascii="仿宋" w:hAnsi="仿宋" w:eastAsia="仿宋" w:cs="仿宋"/>
                <w:color w:val="auto"/>
                <w:highlight w:val="none"/>
              </w:rPr>
              <w:t>类型：                    等级：      证书号：</w:t>
            </w:r>
          </w:p>
        </w:tc>
      </w:tr>
      <w:tr w14:paraId="2DAC6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60970D3C">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质量管理体系证书（如有）</w:t>
            </w:r>
          </w:p>
        </w:tc>
        <w:tc>
          <w:tcPr>
            <w:tcW w:w="6560" w:type="dxa"/>
            <w:gridSpan w:val="8"/>
            <w:tcBorders>
              <w:top w:val="single" w:color="auto" w:sz="4" w:space="0"/>
              <w:left w:val="single" w:color="auto" w:sz="4" w:space="0"/>
              <w:bottom w:val="single" w:color="auto" w:sz="4" w:space="0"/>
              <w:right w:val="single" w:color="auto" w:sz="4" w:space="0"/>
            </w:tcBorders>
            <w:noWrap w:val="0"/>
            <w:vAlign w:val="center"/>
          </w:tcPr>
          <w:p w14:paraId="6773A2A6">
            <w:pPr>
              <w:keepNext w:val="0"/>
              <w:keepLines w:val="0"/>
              <w:suppressLineNumbers w:val="0"/>
              <w:shd w:val="clear" w:color="auto" w:fill="auto"/>
              <w:topLinePunct/>
              <w:spacing w:before="100" w:beforeAutospacing="1" w:after="100" w:afterAutospacing="1" w:line="440" w:lineRule="exact"/>
              <w:ind w:left="0" w:right="0" w:firstLine="105" w:firstLineChars="50"/>
              <w:jc w:val="center"/>
              <w:rPr>
                <w:rFonts w:hint="eastAsia" w:ascii="仿宋" w:hAnsi="仿宋" w:eastAsia="仿宋" w:cs="仿宋"/>
                <w:color w:val="auto"/>
                <w:highlight w:val="none"/>
              </w:rPr>
            </w:pPr>
            <w:r>
              <w:rPr>
                <w:rFonts w:hint="eastAsia" w:ascii="仿宋" w:hAnsi="仿宋" w:eastAsia="仿宋" w:cs="仿宋"/>
                <w:color w:val="auto"/>
                <w:highlight w:val="none"/>
              </w:rPr>
              <w:t>类型：                    等级：      证书号：</w:t>
            </w:r>
          </w:p>
        </w:tc>
      </w:tr>
      <w:tr w14:paraId="50FC9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5DC2363D">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营业执照号</w:t>
            </w:r>
          </w:p>
        </w:tc>
        <w:tc>
          <w:tcPr>
            <w:tcW w:w="3064" w:type="dxa"/>
            <w:gridSpan w:val="3"/>
            <w:tcBorders>
              <w:top w:val="single" w:color="auto" w:sz="4" w:space="0"/>
              <w:left w:val="single" w:color="auto" w:sz="4" w:space="0"/>
              <w:bottom w:val="single" w:color="auto" w:sz="4" w:space="0"/>
              <w:right w:val="single" w:color="auto" w:sz="4" w:space="0"/>
            </w:tcBorders>
            <w:noWrap w:val="0"/>
            <w:vAlign w:val="center"/>
          </w:tcPr>
          <w:p w14:paraId="07264497">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3496" w:type="dxa"/>
            <w:gridSpan w:val="5"/>
            <w:tcBorders>
              <w:top w:val="single" w:color="auto" w:sz="4" w:space="0"/>
              <w:left w:val="single" w:color="auto" w:sz="4" w:space="0"/>
              <w:bottom w:val="single" w:color="auto" w:sz="4" w:space="0"/>
              <w:right w:val="single" w:color="auto" w:sz="4" w:space="0"/>
            </w:tcBorders>
            <w:noWrap w:val="0"/>
            <w:vAlign w:val="center"/>
          </w:tcPr>
          <w:p w14:paraId="432D6685">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员工总人数：</w:t>
            </w:r>
          </w:p>
        </w:tc>
      </w:tr>
      <w:tr w14:paraId="01FB2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18CD0CF5">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注册资本</w:t>
            </w:r>
          </w:p>
        </w:tc>
        <w:tc>
          <w:tcPr>
            <w:tcW w:w="3064" w:type="dxa"/>
            <w:gridSpan w:val="3"/>
            <w:tcBorders>
              <w:top w:val="single" w:color="auto" w:sz="4" w:space="0"/>
              <w:left w:val="single" w:color="auto" w:sz="4" w:space="0"/>
              <w:bottom w:val="single" w:color="auto" w:sz="4" w:space="0"/>
              <w:right w:val="single" w:color="auto" w:sz="4" w:space="0"/>
            </w:tcBorders>
            <w:noWrap w:val="0"/>
            <w:vAlign w:val="center"/>
          </w:tcPr>
          <w:p w14:paraId="3F013A87">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426" w:type="dxa"/>
            <w:vMerge w:val="restart"/>
            <w:tcBorders>
              <w:top w:val="single" w:color="auto" w:sz="4" w:space="0"/>
              <w:left w:val="single" w:color="auto" w:sz="4" w:space="0"/>
              <w:right w:val="single" w:color="auto" w:sz="4" w:space="0"/>
            </w:tcBorders>
            <w:noWrap w:val="0"/>
            <w:vAlign w:val="center"/>
          </w:tcPr>
          <w:p w14:paraId="3AC1C465">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5701C6A3">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高级职称人员</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51B95F2E">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6982D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08C3290B">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成立日期</w:t>
            </w:r>
          </w:p>
        </w:tc>
        <w:tc>
          <w:tcPr>
            <w:tcW w:w="3064" w:type="dxa"/>
            <w:gridSpan w:val="3"/>
            <w:tcBorders>
              <w:top w:val="single" w:color="auto" w:sz="4" w:space="0"/>
              <w:left w:val="single" w:color="auto" w:sz="4" w:space="0"/>
              <w:bottom w:val="single" w:color="auto" w:sz="4" w:space="0"/>
              <w:right w:val="single" w:color="auto" w:sz="4" w:space="0"/>
            </w:tcBorders>
            <w:noWrap w:val="0"/>
            <w:vAlign w:val="center"/>
          </w:tcPr>
          <w:p w14:paraId="280EA789">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426" w:type="dxa"/>
            <w:vMerge w:val="continue"/>
            <w:tcBorders>
              <w:left w:val="single" w:color="auto" w:sz="4" w:space="0"/>
              <w:right w:val="single" w:color="auto" w:sz="4" w:space="0"/>
            </w:tcBorders>
            <w:noWrap w:val="0"/>
            <w:vAlign w:val="center"/>
          </w:tcPr>
          <w:p w14:paraId="74131EE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highlight w:val="none"/>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36A9724D">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中级职称人员</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15C8564B">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57370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5C211FF4">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基本账户开户银行</w:t>
            </w:r>
          </w:p>
        </w:tc>
        <w:tc>
          <w:tcPr>
            <w:tcW w:w="3064" w:type="dxa"/>
            <w:gridSpan w:val="3"/>
            <w:tcBorders>
              <w:top w:val="single" w:color="auto" w:sz="4" w:space="0"/>
              <w:left w:val="single" w:color="auto" w:sz="4" w:space="0"/>
              <w:bottom w:val="single" w:color="auto" w:sz="4" w:space="0"/>
              <w:right w:val="single" w:color="auto" w:sz="4" w:space="0"/>
            </w:tcBorders>
            <w:noWrap w:val="0"/>
            <w:vAlign w:val="center"/>
          </w:tcPr>
          <w:p w14:paraId="0426C673">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426" w:type="dxa"/>
            <w:vMerge w:val="continue"/>
            <w:tcBorders>
              <w:left w:val="single" w:color="auto" w:sz="4" w:space="0"/>
              <w:right w:val="single" w:color="auto" w:sz="4" w:space="0"/>
            </w:tcBorders>
            <w:noWrap w:val="0"/>
            <w:vAlign w:val="center"/>
          </w:tcPr>
          <w:p w14:paraId="19E896E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highlight w:val="none"/>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2B4BE2A7">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技术人员数量</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2DC763C0">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152F3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1742443D">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基本账户银行账号</w:t>
            </w:r>
          </w:p>
        </w:tc>
        <w:tc>
          <w:tcPr>
            <w:tcW w:w="3064" w:type="dxa"/>
            <w:gridSpan w:val="3"/>
            <w:tcBorders>
              <w:top w:val="single" w:color="auto" w:sz="4" w:space="0"/>
              <w:left w:val="single" w:color="auto" w:sz="4" w:space="0"/>
              <w:bottom w:val="single" w:color="auto" w:sz="4" w:space="0"/>
              <w:right w:val="single" w:color="auto" w:sz="4" w:space="0"/>
            </w:tcBorders>
            <w:noWrap w:val="0"/>
            <w:vAlign w:val="center"/>
          </w:tcPr>
          <w:p w14:paraId="272F3172">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c>
          <w:tcPr>
            <w:tcW w:w="426" w:type="dxa"/>
            <w:vMerge w:val="continue"/>
            <w:tcBorders>
              <w:left w:val="single" w:color="auto" w:sz="4" w:space="0"/>
              <w:right w:val="single" w:color="auto" w:sz="4" w:space="0"/>
            </w:tcBorders>
            <w:noWrap w:val="0"/>
            <w:vAlign w:val="center"/>
          </w:tcPr>
          <w:p w14:paraId="73BFD1F4">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highlight w:val="none"/>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35D17C2C">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szCs w:val="21"/>
                <w:highlight w:val="none"/>
              </w:rPr>
              <w:t>各类注册人员</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436F5448">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564DE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right w:val="single" w:color="auto" w:sz="4" w:space="0"/>
            </w:tcBorders>
            <w:noWrap w:val="0"/>
            <w:vAlign w:val="center"/>
          </w:tcPr>
          <w:p w14:paraId="46FE915B">
            <w:pPr>
              <w:keepNext w:val="0"/>
              <w:keepLines w:val="0"/>
              <w:suppressLineNumbers w:val="0"/>
              <w:shd w:val="clear" w:color="auto" w:fill="auto"/>
              <w:topLinePunct/>
              <w:spacing w:before="100" w:beforeAutospacing="1" w:after="100" w:afterAutospacing="1" w:line="440" w:lineRule="exact"/>
              <w:ind w:left="0" w:right="0" w:firstLine="210" w:firstLineChars="100"/>
              <w:jc w:val="center"/>
              <w:rPr>
                <w:rFonts w:hint="eastAsia" w:ascii="仿宋" w:hAnsi="仿宋" w:eastAsia="仿宋" w:cs="仿宋"/>
                <w:color w:val="auto"/>
                <w:highlight w:val="none"/>
              </w:rPr>
            </w:pPr>
            <w:r>
              <w:rPr>
                <w:rFonts w:hint="eastAsia" w:ascii="仿宋" w:hAnsi="仿宋" w:eastAsia="仿宋" w:cs="仿宋"/>
                <w:color w:val="auto"/>
                <w:highlight w:val="none"/>
              </w:rPr>
              <w:t>经营范围</w:t>
            </w:r>
          </w:p>
        </w:tc>
        <w:tc>
          <w:tcPr>
            <w:tcW w:w="6560" w:type="dxa"/>
            <w:gridSpan w:val="8"/>
            <w:tcBorders>
              <w:top w:val="single" w:color="auto" w:sz="4" w:space="0"/>
              <w:left w:val="single" w:color="auto" w:sz="4" w:space="0"/>
              <w:right w:val="single" w:color="auto" w:sz="4" w:space="0"/>
            </w:tcBorders>
            <w:noWrap w:val="0"/>
            <w:vAlign w:val="center"/>
          </w:tcPr>
          <w:p w14:paraId="03479181">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5DD94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954" w:type="dxa"/>
            <w:tcBorders>
              <w:top w:val="single" w:color="auto" w:sz="4" w:space="0"/>
              <w:left w:val="single" w:color="auto" w:sz="4" w:space="0"/>
              <w:right w:val="single" w:color="auto" w:sz="4" w:space="0"/>
            </w:tcBorders>
            <w:noWrap w:val="0"/>
            <w:vAlign w:val="center"/>
          </w:tcPr>
          <w:p w14:paraId="2D7AD627">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szCs w:val="21"/>
                <w:highlight w:val="none"/>
              </w:rPr>
              <w:t>投标人关联企业情况（包括但不限于与投标人法定代表人为同一人或者存在控股、管理关系的不同单位）</w:t>
            </w:r>
          </w:p>
        </w:tc>
        <w:tc>
          <w:tcPr>
            <w:tcW w:w="6560" w:type="dxa"/>
            <w:gridSpan w:val="8"/>
            <w:tcBorders>
              <w:top w:val="single" w:color="auto" w:sz="4" w:space="0"/>
              <w:left w:val="single" w:color="auto" w:sz="4" w:space="0"/>
              <w:right w:val="single" w:color="auto" w:sz="4" w:space="0"/>
            </w:tcBorders>
            <w:noWrap w:val="0"/>
            <w:vAlign w:val="center"/>
          </w:tcPr>
          <w:p w14:paraId="60CE90E5">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r w14:paraId="2E081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27450CD0">
            <w:pPr>
              <w:keepNext w:val="0"/>
              <w:keepLines w:val="0"/>
              <w:suppressLineNumbers w:val="0"/>
              <w:shd w:val="clear" w:color="auto" w:fill="auto"/>
              <w:topLinePunct/>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560" w:type="dxa"/>
            <w:gridSpan w:val="8"/>
            <w:tcBorders>
              <w:top w:val="single" w:color="auto" w:sz="4" w:space="0"/>
              <w:left w:val="single" w:color="auto" w:sz="4" w:space="0"/>
              <w:bottom w:val="single" w:color="auto" w:sz="4" w:space="0"/>
              <w:right w:val="single" w:color="auto" w:sz="4" w:space="0"/>
            </w:tcBorders>
            <w:noWrap w:val="0"/>
            <w:vAlign w:val="center"/>
          </w:tcPr>
          <w:p w14:paraId="328141B6">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p>
        </w:tc>
      </w:tr>
    </w:tbl>
    <w:p w14:paraId="140E070D">
      <w:pPr>
        <w:shd w:val="clear" w:color="auto" w:fill="auto"/>
        <w:spacing w:line="400" w:lineRule="exact"/>
        <w:rPr>
          <w:rFonts w:hint="eastAsia" w:ascii="仿宋" w:hAnsi="仿宋" w:eastAsia="仿宋" w:cs="仿宋"/>
          <w:strike/>
          <w:color w:val="auto"/>
          <w:highlight w:val="none"/>
        </w:rPr>
      </w:pPr>
      <w:r>
        <w:rPr>
          <w:rFonts w:hint="eastAsia" w:ascii="仿宋" w:hAnsi="仿宋" w:eastAsia="仿宋" w:cs="仿宋"/>
          <w:color w:val="auto"/>
          <w:highlight w:val="none"/>
        </w:rPr>
        <w:t>注：1.投标人应根据投标人须知第3.5项的要求在本表后附相关证明材料。</w:t>
      </w:r>
      <w:r>
        <w:rPr>
          <w:rFonts w:hint="eastAsia" w:ascii="仿宋" w:hAnsi="仿宋" w:eastAsia="仿宋" w:cs="仿宋"/>
          <w:strike/>
          <w:color w:val="auto"/>
          <w:highlight w:val="none"/>
        </w:rPr>
        <w:t>境内投标人以现金或者支票形式提交投标保证金的，还应附基本账户开户许可证扫描件。</w:t>
      </w:r>
    </w:p>
    <w:p w14:paraId="0675CB6A">
      <w:pPr>
        <w:shd w:val="clear" w:color="auto" w:fill="auto"/>
        <w:spacing w:line="440" w:lineRule="exact"/>
        <w:ind w:firstLine="420" w:firstLineChars="200"/>
        <w:rPr>
          <w:rFonts w:hint="eastAsia" w:ascii="仿宋" w:hAnsi="仿宋" w:eastAsia="仿宋" w:cs="仿宋"/>
          <w:color w:val="auto"/>
          <w:highlight w:val="none"/>
        </w:rPr>
      </w:pPr>
    </w:p>
    <w:p w14:paraId="6020029E">
      <w:pPr>
        <w:shd w:val="clear" w:color="auto" w:fill="auto"/>
        <w:spacing w:line="440" w:lineRule="exact"/>
        <w:rPr>
          <w:rFonts w:hint="eastAsia" w:ascii="仿宋" w:hAnsi="仿宋" w:eastAsia="仿宋" w:cs="仿宋"/>
          <w:strike/>
          <w:color w:val="auto"/>
          <w:highlight w:val="none"/>
        </w:rPr>
      </w:pPr>
    </w:p>
    <w:p w14:paraId="211A0102">
      <w:pPr>
        <w:shd w:val="clear" w:color="auto" w:fill="auto"/>
        <w:spacing w:line="440" w:lineRule="exact"/>
        <w:rPr>
          <w:rFonts w:hint="eastAsia" w:ascii="仿宋" w:hAnsi="仿宋" w:eastAsia="仿宋" w:cs="仿宋"/>
          <w:strike/>
          <w:color w:val="auto"/>
          <w:highlight w:val="none"/>
        </w:rPr>
      </w:pPr>
    </w:p>
    <w:p w14:paraId="06DE52B2">
      <w:pPr>
        <w:pStyle w:val="4"/>
        <w:keepNext w:val="0"/>
        <w:keepLines w:val="0"/>
        <w:shd w:val="clear" w:color="auto" w:fill="auto"/>
        <w:spacing w:line="413" w:lineRule="auto"/>
        <w:ind w:firstLine="0" w:firstLineChars="0"/>
        <w:jc w:val="left"/>
        <w:rPr>
          <w:rFonts w:hint="eastAsia" w:ascii="仿宋" w:hAnsi="仿宋" w:eastAsia="仿宋" w:cs="仿宋"/>
          <w:color w:val="auto"/>
          <w:highlight w:val="none"/>
        </w:rPr>
      </w:pPr>
      <w:bookmarkStart w:id="878" w:name="_Toc14934"/>
      <w:bookmarkStart w:id="879" w:name="_Toc11170"/>
      <w:bookmarkStart w:id="880" w:name="_Toc15259"/>
      <w:bookmarkStart w:id="881" w:name="_Toc30910"/>
      <w:bookmarkStart w:id="882" w:name="_Toc17207"/>
      <w:bookmarkStart w:id="883" w:name="_Toc4684"/>
      <w:bookmarkStart w:id="884" w:name="_Toc14966915"/>
      <w:bookmarkStart w:id="885" w:name="_Toc22198"/>
      <w:bookmarkStart w:id="886" w:name="_Toc3761"/>
      <w:bookmarkStart w:id="887" w:name="_Toc18411"/>
      <w:bookmarkStart w:id="888" w:name="_Toc3264"/>
      <w:bookmarkStart w:id="889" w:name="_Toc25591"/>
      <w:bookmarkStart w:id="890" w:name="_Toc527969231"/>
      <w:bookmarkStart w:id="891" w:name="_Toc1695"/>
      <w:bookmarkStart w:id="892" w:name="_Toc27158"/>
      <w:bookmarkStart w:id="893" w:name="_Toc22916"/>
      <w:bookmarkStart w:id="894" w:name="_Toc12593"/>
      <w:bookmarkStart w:id="895" w:name="_Toc501"/>
      <w:bookmarkStart w:id="896" w:name="_Toc9716"/>
      <w:bookmarkStart w:id="897" w:name="_Toc1116"/>
      <w:r>
        <w:rPr>
          <w:rFonts w:hint="eastAsia" w:ascii="仿宋" w:hAnsi="仿宋" w:eastAsia="仿宋" w:cs="仿宋"/>
          <w:color w:val="auto"/>
          <w:highlight w:val="none"/>
        </w:rPr>
        <w:t>（二）近年完成的类似项目情况表</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581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D690987">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105FC5C">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r w14:paraId="6960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041F518">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项目所在地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436D912F">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r w14:paraId="5E69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5101EDDB">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委托人名称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3DA6F745">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r w14:paraId="0BD4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482823EF">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委托人地址</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6639D43">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r w14:paraId="08D3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4C028CB">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委托人电话</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25F9A0F">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r w14:paraId="620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C0DDCC0">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合同价格</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7933839B">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r w14:paraId="6FAC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F6DA20E">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监理服务期限</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3DBBB658">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r w14:paraId="7E5F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5A53511">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监理内容</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2D07A85">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r w14:paraId="70DB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F2F469A">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总监理工程师</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F6EE239">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r w14:paraId="58ED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142A3BD">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项目描述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B361368">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p w14:paraId="372BF17E">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p w14:paraId="7D88688E">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p w14:paraId="5363A6EC">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p w14:paraId="52655C92">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p w14:paraId="36594A2A">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p w14:paraId="02CBD365">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r w14:paraId="40A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2B8502B">
            <w:pPr>
              <w:keepNext w:val="0"/>
              <w:keepLines w:val="0"/>
              <w:suppressLineNumbers w:val="0"/>
              <w:shd w:val="clear" w:color="auto" w:fill="auto"/>
              <w:topLinePunct/>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3F43B0AF">
            <w:pPr>
              <w:keepNext w:val="0"/>
              <w:keepLines w:val="0"/>
              <w:suppressLineNumbers w:val="0"/>
              <w:shd w:val="clear" w:color="auto" w:fill="auto"/>
              <w:topLinePunct/>
              <w:spacing w:before="0" w:beforeAutospacing="0" w:after="0" w:afterAutospacing="0" w:line="440" w:lineRule="exact"/>
              <w:ind w:left="0" w:right="0"/>
              <w:rPr>
                <w:rFonts w:hint="eastAsia" w:ascii="仿宋" w:hAnsi="仿宋" w:eastAsia="仿宋" w:cs="仿宋"/>
                <w:color w:val="auto"/>
                <w:highlight w:val="none"/>
              </w:rPr>
            </w:pPr>
          </w:p>
        </w:tc>
      </w:tr>
    </w:tbl>
    <w:p w14:paraId="772BCF53">
      <w:pPr>
        <w:shd w:val="clear" w:color="auto" w:fill="auto"/>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注：投标人应根据投标人须知第3.5.3项的要求在本表后附相关证明材料。</w:t>
      </w:r>
    </w:p>
    <w:p w14:paraId="45AE0AC3">
      <w:pPr>
        <w:shd w:val="clear" w:color="auto" w:fill="auto"/>
        <w:spacing w:line="440" w:lineRule="exact"/>
        <w:rPr>
          <w:rFonts w:hint="eastAsia" w:ascii="仿宋" w:hAnsi="仿宋" w:eastAsia="仿宋" w:cs="仿宋"/>
          <w:color w:val="auto"/>
          <w:highlight w:val="none"/>
        </w:rPr>
      </w:pPr>
    </w:p>
    <w:p w14:paraId="29C98BA7">
      <w:pPr>
        <w:keepNext w:val="0"/>
        <w:keepLines w:val="0"/>
        <w:shd w:val="clear" w:color="auto" w:fill="auto"/>
        <w:spacing w:before="0" w:line="413" w:lineRule="auto"/>
        <w:ind w:firstLine="0" w:firstLineChars="0"/>
        <w:jc w:val="left"/>
        <w:outlineLvl w:val="9"/>
        <w:rPr>
          <w:rFonts w:hint="eastAsia" w:ascii="仿宋" w:hAnsi="仿宋" w:eastAsia="仿宋" w:cs="仿宋"/>
          <w:color w:val="auto"/>
          <w:highlight w:val="none"/>
        </w:rPr>
      </w:pPr>
      <w:r>
        <w:rPr>
          <w:rFonts w:hint="eastAsia" w:ascii="仿宋" w:hAnsi="仿宋" w:eastAsia="仿宋" w:cs="仿宋"/>
          <w:color w:val="auto"/>
          <w:highlight w:val="none"/>
        </w:rPr>
        <w:br w:type="page"/>
      </w:r>
      <w:bookmarkEnd w:id="837"/>
      <w:bookmarkStart w:id="898" w:name="_Toc23309"/>
      <w:bookmarkStart w:id="899" w:name="_Toc12599"/>
      <w:bookmarkStart w:id="900" w:name="_Toc17636"/>
      <w:bookmarkStart w:id="901" w:name="_Toc12019"/>
      <w:bookmarkStart w:id="902" w:name="_Toc6820"/>
      <w:bookmarkStart w:id="903" w:name="_Toc18936"/>
      <w:bookmarkStart w:id="904" w:name="_Toc4660"/>
      <w:bookmarkStart w:id="905" w:name="_Toc6501"/>
      <w:bookmarkStart w:id="906" w:name="_Toc9461"/>
      <w:bookmarkStart w:id="907" w:name="_Toc482188667"/>
      <w:bookmarkStart w:id="908" w:name="_Toc8635"/>
      <w:bookmarkStart w:id="909" w:name="_Toc13053"/>
      <w:bookmarkStart w:id="910" w:name="_Toc29620"/>
      <w:bookmarkStart w:id="911" w:name="_Toc6689"/>
      <w:bookmarkStart w:id="912" w:name="_Toc7095"/>
      <w:bookmarkStart w:id="913" w:name="_Toc22603"/>
      <w:bookmarkStart w:id="914" w:name="_Toc527969234"/>
      <w:bookmarkStart w:id="915" w:name="_Toc4075"/>
      <w:bookmarkStart w:id="916" w:name="_Toc9157"/>
    </w:p>
    <w:p w14:paraId="097CC5B8">
      <w:pPr>
        <w:pStyle w:val="4"/>
        <w:keepNext w:val="0"/>
        <w:keepLines w:val="0"/>
        <w:shd w:val="clear" w:color="auto" w:fill="auto"/>
        <w:spacing w:before="0" w:line="413" w:lineRule="auto"/>
        <w:ind w:firstLine="0" w:firstLineChars="0"/>
        <w:jc w:val="left"/>
        <w:rPr>
          <w:rFonts w:hint="eastAsia" w:ascii="仿宋" w:hAnsi="仿宋" w:eastAsia="仿宋" w:cs="仿宋"/>
          <w:color w:val="auto"/>
          <w:highlight w:val="none"/>
        </w:rPr>
      </w:pPr>
      <w:bookmarkStart w:id="917" w:name="_Toc6935"/>
      <w:r>
        <w:rPr>
          <w:rFonts w:hint="eastAsia" w:ascii="仿宋" w:hAnsi="仿宋" w:eastAsia="仿宋" w:cs="仿宋"/>
          <w:color w:val="auto"/>
          <w:highlight w:val="none"/>
        </w:rPr>
        <w:t>（三）项目总监简历表</w:t>
      </w:r>
      <w:bookmarkEnd w:id="917"/>
    </w:p>
    <w:p w14:paraId="048EAE57">
      <w:pPr>
        <w:keepNext w:val="0"/>
        <w:keepLines w:val="0"/>
        <w:spacing w:line="240" w:lineRule="auto"/>
        <w:jc w:val="center"/>
        <w:outlineLvl w:val="9"/>
        <w:rPr>
          <w:rFonts w:hint="eastAsia" w:ascii="仿宋" w:hAnsi="仿宋" w:eastAsia="仿宋" w:cs="仿宋"/>
          <w:color w:val="auto"/>
          <w:sz w:val="32"/>
          <w:szCs w:val="36"/>
          <w:highlight w:val="none"/>
        </w:rPr>
      </w:pPr>
      <w:r>
        <w:rPr>
          <w:rFonts w:hint="eastAsia" w:ascii="仿宋" w:hAnsi="仿宋" w:eastAsia="仿宋" w:cs="仿宋"/>
          <w:color w:val="auto"/>
          <w:sz w:val="32"/>
          <w:szCs w:val="36"/>
          <w:highlight w:val="none"/>
        </w:rPr>
        <w:t>项目总监简历表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2"/>
        <w:gridCol w:w="83"/>
        <w:gridCol w:w="1327"/>
        <w:gridCol w:w="7"/>
        <w:gridCol w:w="346"/>
        <w:gridCol w:w="930"/>
        <w:gridCol w:w="650"/>
        <w:gridCol w:w="1051"/>
        <w:gridCol w:w="142"/>
        <w:gridCol w:w="992"/>
        <w:gridCol w:w="21"/>
        <w:gridCol w:w="1800"/>
      </w:tblGrid>
      <w:tr w14:paraId="0BE3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17FE2D0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079" w:type="dxa"/>
            <w:gridSpan w:val="4"/>
            <w:noWrap w:val="0"/>
            <w:vAlign w:val="center"/>
          </w:tcPr>
          <w:p w14:paraId="135EFF5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6" w:type="dxa"/>
            <w:gridSpan w:val="2"/>
            <w:noWrap w:val="0"/>
            <w:vAlign w:val="center"/>
          </w:tcPr>
          <w:p w14:paraId="226A303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701" w:type="dxa"/>
            <w:gridSpan w:val="2"/>
            <w:noWrap w:val="0"/>
            <w:vAlign w:val="center"/>
          </w:tcPr>
          <w:p w14:paraId="58356CF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55" w:type="dxa"/>
            <w:gridSpan w:val="3"/>
            <w:noWrap w:val="0"/>
            <w:vAlign w:val="center"/>
          </w:tcPr>
          <w:p w14:paraId="1190477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800" w:type="dxa"/>
            <w:noWrap w:val="0"/>
            <w:vAlign w:val="center"/>
          </w:tcPr>
          <w:p w14:paraId="67F9740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3C94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72AE3B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2079" w:type="dxa"/>
            <w:gridSpan w:val="4"/>
            <w:noWrap w:val="0"/>
            <w:vAlign w:val="center"/>
          </w:tcPr>
          <w:p w14:paraId="3519645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6" w:type="dxa"/>
            <w:gridSpan w:val="2"/>
            <w:noWrap w:val="0"/>
            <w:vAlign w:val="center"/>
          </w:tcPr>
          <w:p w14:paraId="7418E9E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701" w:type="dxa"/>
            <w:gridSpan w:val="2"/>
            <w:noWrap w:val="0"/>
            <w:vAlign w:val="center"/>
          </w:tcPr>
          <w:p w14:paraId="50F9C30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55" w:type="dxa"/>
            <w:gridSpan w:val="3"/>
            <w:noWrap w:val="0"/>
            <w:vAlign w:val="center"/>
          </w:tcPr>
          <w:p w14:paraId="055ABAA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800" w:type="dxa"/>
            <w:noWrap w:val="0"/>
            <w:vAlign w:val="center"/>
          </w:tcPr>
          <w:p w14:paraId="2E556AB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4DDB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7" w:type="dxa"/>
            <w:gridSpan w:val="2"/>
            <w:noWrap w:val="0"/>
            <w:vAlign w:val="center"/>
          </w:tcPr>
          <w:p w14:paraId="20EAAD2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参加工作时间</w:t>
            </w:r>
          </w:p>
        </w:tc>
        <w:tc>
          <w:tcPr>
            <w:tcW w:w="1410" w:type="dxa"/>
            <w:gridSpan w:val="2"/>
            <w:noWrap w:val="0"/>
            <w:vAlign w:val="center"/>
          </w:tcPr>
          <w:p w14:paraId="7845925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83" w:type="dxa"/>
            <w:gridSpan w:val="3"/>
            <w:noWrap w:val="0"/>
            <w:vAlign w:val="center"/>
          </w:tcPr>
          <w:p w14:paraId="596FEC9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监理工程师资格证书编号</w:t>
            </w:r>
          </w:p>
        </w:tc>
        <w:tc>
          <w:tcPr>
            <w:tcW w:w="1701" w:type="dxa"/>
            <w:gridSpan w:val="2"/>
            <w:noWrap w:val="0"/>
            <w:vAlign w:val="center"/>
          </w:tcPr>
          <w:p w14:paraId="665F6E7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55" w:type="dxa"/>
            <w:gridSpan w:val="3"/>
            <w:noWrap w:val="0"/>
            <w:vAlign w:val="center"/>
          </w:tcPr>
          <w:p w14:paraId="7157E47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手机号码</w:t>
            </w:r>
          </w:p>
        </w:tc>
        <w:tc>
          <w:tcPr>
            <w:tcW w:w="1800" w:type="dxa"/>
            <w:noWrap w:val="0"/>
            <w:vAlign w:val="center"/>
          </w:tcPr>
          <w:p w14:paraId="5750EED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42A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6" w:type="dxa"/>
            <w:gridSpan w:val="13"/>
            <w:noWrap w:val="0"/>
            <w:vAlign w:val="center"/>
          </w:tcPr>
          <w:p w14:paraId="579D26E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已完工程项目情况</w:t>
            </w:r>
          </w:p>
        </w:tc>
      </w:tr>
      <w:tr w14:paraId="5D54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3"/>
            <w:noWrap w:val="0"/>
            <w:vAlign w:val="center"/>
          </w:tcPr>
          <w:p w14:paraId="66DF15A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建设单位</w:t>
            </w:r>
          </w:p>
        </w:tc>
        <w:tc>
          <w:tcPr>
            <w:tcW w:w="1680" w:type="dxa"/>
            <w:gridSpan w:val="3"/>
            <w:noWrap w:val="0"/>
            <w:vAlign w:val="center"/>
          </w:tcPr>
          <w:p w14:paraId="44B5F28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580" w:type="dxa"/>
            <w:gridSpan w:val="2"/>
            <w:noWrap w:val="0"/>
            <w:vAlign w:val="center"/>
          </w:tcPr>
          <w:p w14:paraId="741B394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建设规模</w:t>
            </w:r>
          </w:p>
        </w:tc>
        <w:tc>
          <w:tcPr>
            <w:tcW w:w="1193" w:type="dxa"/>
            <w:gridSpan w:val="2"/>
            <w:noWrap w:val="0"/>
            <w:vAlign w:val="center"/>
          </w:tcPr>
          <w:p w14:paraId="394B2CE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开、竣工</w:t>
            </w:r>
          </w:p>
          <w:p w14:paraId="6EAB4FB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tc>
        <w:tc>
          <w:tcPr>
            <w:tcW w:w="992" w:type="dxa"/>
            <w:noWrap w:val="0"/>
            <w:vAlign w:val="center"/>
          </w:tcPr>
          <w:p w14:paraId="0A240DB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在建或已 完</w:t>
            </w:r>
          </w:p>
        </w:tc>
        <w:tc>
          <w:tcPr>
            <w:tcW w:w="1821" w:type="dxa"/>
            <w:gridSpan w:val="2"/>
            <w:noWrap w:val="0"/>
            <w:vAlign w:val="center"/>
          </w:tcPr>
          <w:p w14:paraId="32ECD38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w:t>
            </w:r>
          </w:p>
        </w:tc>
      </w:tr>
      <w:tr w14:paraId="6B12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noWrap w:val="0"/>
            <w:vAlign w:val="center"/>
          </w:tcPr>
          <w:p w14:paraId="0B1E349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80" w:type="dxa"/>
            <w:gridSpan w:val="3"/>
            <w:noWrap w:val="0"/>
            <w:vAlign w:val="center"/>
          </w:tcPr>
          <w:p w14:paraId="1818FBA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80" w:type="dxa"/>
            <w:gridSpan w:val="2"/>
            <w:noWrap w:val="0"/>
            <w:vAlign w:val="center"/>
          </w:tcPr>
          <w:p w14:paraId="0F5C4C0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93" w:type="dxa"/>
            <w:gridSpan w:val="2"/>
            <w:noWrap w:val="0"/>
            <w:vAlign w:val="center"/>
          </w:tcPr>
          <w:p w14:paraId="3D8191F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992" w:type="dxa"/>
            <w:noWrap w:val="0"/>
            <w:vAlign w:val="center"/>
          </w:tcPr>
          <w:p w14:paraId="75014CA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821" w:type="dxa"/>
            <w:gridSpan w:val="2"/>
            <w:noWrap w:val="0"/>
            <w:vAlign w:val="center"/>
          </w:tcPr>
          <w:p w14:paraId="7A94888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5ECD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noWrap w:val="0"/>
            <w:vAlign w:val="center"/>
          </w:tcPr>
          <w:p w14:paraId="733FE99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80" w:type="dxa"/>
            <w:gridSpan w:val="3"/>
            <w:noWrap w:val="0"/>
            <w:vAlign w:val="center"/>
          </w:tcPr>
          <w:p w14:paraId="4C9081C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80" w:type="dxa"/>
            <w:gridSpan w:val="2"/>
            <w:noWrap w:val="0"/>
            <w:vAlign w:val="center"/>
          </w:tcPr>
          <w:p w14:paraId="79E4278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93" w:type="dxa"/>
            <w:gridSpan w:val="2"/>
            <w:noWrap w:val="0"/>
            <w:vAlign w:val="center"/>
          </w:tcPr>
          <w:p w14:paraId="17AC089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992" w:type="dxa"/>
            <w:noWrap w:val="0"/>
            <w:vAlign w:val="center"/>
          </w:tcPr>
          <w:p w14:paraId="39454F4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821" w:type="dxa"/>
            <w:gridSpan w:val="2"/>
            <w:noWrap w:val="0"/>
            <w:vAlign w:val="center"/>
          </w:tcPr>
          <w:p w14:paraId="0A6B85E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5E77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noWrap w:val="0"/>
            <w:vAlign w:val="center"/>
          </w:tcPr>
          <w:p w14:paraId="6065AAE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80" w:type="dxa"/>
            <w:gridSpan w:val="3"/>
            <w:noWrap w:val="0"/>
            <w:vAlign w:val="center"/>
          </w:tcPr>
          <w:p w14:paraId="7B8A6F5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80" w:type="dxa"/>
            <w:gridSpan w:val="2"/>
            <w:noWrap w:val="0"/>
            <w:vAlign w:val="center"/>
          </w:tcPr>
          <w:p w14:paraId="6DE3A49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93" w:type="dxa"/>
            <w:gridSpan w:val="2"/>
            <w:noWrap w:val="0"/>
            <w:vAlign w:val="center"/>
          </w:tcPr>
          <w:p w14:paraId="77727AF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992" w:type="dxa"/>
            <w:noWrap w:val="0"/>
            <w:vAlign w:val="center"/>
          </w:tcPr>
          <w:p w14:paraId="066A4B0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821" w:type="dxa"/>
            <w:gridSpan w:val="2"/>
            <w:noWrap w:val="0"/>
            <w:vAlign w:val="center"/>
          </w:tcPr>
          <w:p w14:paraId="60D890F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4DA3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noWrap w:val="0"/>
            <w:vAlign w:val="center"/>
          </w:tcPr>
          <w:p w14:paraId="20F823B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80" w:type="dxa"/>
            <w:gridSpan w:val="3"/>
            <w:noWrap w:val="0"/>
            <w:vAlign w:val="center"/>
          </w:tcPr>
          <w:p w14:paraId="592D544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80" w:type="dxa"/>
            <w:gridSpan w:val="2"/>
            <w:noWrap w:val="0"/>
            <w:vAlign w:val="center"/>
          </w:tcPr>
          <w:p w14:paraId="15900E6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93" w:type="dxa"/>
            <w:gridSpan w:val="2"/>
            <w:noWrap w:val="0"/>
            <w:vAlign w:val="center"/>
          </w:tcPr>
          <w:p w14:paraId="5075F70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992" w:type="dxa"/>
            <w:noWrap w:val="0"/>
            <w:vAlign w:val="center"/>
          </w:tcPr>
          <w:p w14:paraId="160428D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821" w:type="dxa"/>
            <w:gridSpan w:val="2"/>
            <w:noWrap w:val="0"/>
            <w:vAlign w:val="center"/>
          </w:tcPr>
          <w:p w14:paraId="6A43FAD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5254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noWrap w:val="0"/>
            <w:vAlign w:val="center"/>
          </w:tcPr>
          <w:p w14:paraId="59DFC19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80" w:type="dxa"/>
            <w:gridSpan w:val="3"/>
            <w:noWrap w:val="0"/>
            <w:vAlign w:val="center"/>
          </w:tcPr>
          <w:p w14:paraId="110792A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80" w:type="dxa"/>
            <w:gridSpan w:val="2"/>
            <w:noWrap w:val="0"/>
            <w:vAlign w:val="center"/>
          </w:tcPr>
          <w:p w14:paraId="29FC2EA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93" w:type="dxa"/>
            <w:gridSpan w:val="2"/>
            <w:noWrap w:val="0"/>
            <w:vAlign w:val="center"/>
          </w:tcPr>
          <w:p w14:paraId="1C4A3D6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992" w:type="dxa"/>
            <w:noWrap w:val="0"/>
            <w:vAlign w:val="center"/>
          </w:tcPr>
          <w:p w14:paraId="0E776AB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821" w:type="dxa"/>
            <w:gridSpan w:val="2"/>
            <w:noWrap w:val="0"/>
            <w:vAlign w:val="center"/>
          </w:tcPr>
          <w:p w14:paraId="5B7C880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57B9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noWrap w:val="0"/>
            <w:vAlign w:val="center"/>
          </w:tcPr>
          <w:p w14:paraId="57E5DE7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80" w:type="dxa"/>
            <w:gridSpan w:val="3"/>
            <w:noWrap w:val="0"/>
            <w:vAlign w:val="center"/>
          </w:tcPr>
          <w:p w14:paraId="2B9CF30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80" w:type="dxa"/>
            <w:gridSpan w:val="2"/>
            <w:noWrap w:val="0"/>
            <w:vAlign w:val="center"/>
          </w:tcPr>
          <w:p w14:paraId="09AC90C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93" w:type="dxa"/>
            <w:gridSpan w:val="2"/>
            <w:noWrap w:val="0"/>
            <w:vAlign w:val="center"/>
          </w:tcPr>
          <w:p w14:paraId="317404D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992" w:type="dxa"/>
            <w:noWrap w:val="0"/>
            <w:vAlign w:val="center"/>
          </w:tcPr>
          <w:p w14:paraId="4C5C7DB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821" w:type="dxa"/>
            <w:gridSpan w:val="2"/>
            <w:noWrap w:val="0"/>
            <w:vAlign w:val="center"/>
          </w:tcPr>
          <w:p w14:paraId="399830A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35B0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noWrap w:val="0"/>
            <w:vAlign w:val="center"/>
          </w:tcPr>
          <w:p w14:paraId="28C56FA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80" w:type="dxa"/>
            <w:gridSpan w:val="3"/>
            <w:noWrap w:val="0"/>
            <w:vAlign w:val="center"/>
          </w:tcPr>
          <w:p w14:paraId="018983F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80" w:type="dxa"/>
            <w:gridSpan w:val="2"/>
            <w:noWrap w:val="0"/>
            <w:vAlign w:val="center"/>
          </w:tcPr>
          <w:p w14:paraId="077FE14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93" w:type="dxa"/>
            <w:gridSpan w:val="2"/>
            <w:noWrap w:val="0"/>
            <w:vAlign w:val="center"/>
          </w:tcPr>
          <w:p w14:paraId="49079D1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992" w:type="dxa"/>
            <w:noWrap w:val="0"/>
            <w:vAlign w:val="center"/>
          </w:tcPr>
          <w:p w14:paraId="1445DF1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821" w:type="dxa"/>
            <w:gridSpan w:val="2"/>
            <w:noWrap w:val="0"/>
            <w:vAlign w:val="center"/>
          </w:tcPr>
          <w:p w14:paraId="0952C20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58A7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noWrap w:val="0"/>
            <w:vAlign w:val="center"/>
          </w:tcPr>
          <w:p w14:paraId="345AC39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80" w:type="dxa"/>
            <w:gridSpan w:val="3"/>
            <w:noWrap w:val="0"/>
            <w:vAlign w:val="center"/>
          </w:tcPr>
          <w:p w14:paraId="7C7498A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80" w:type="dxa"/>
            <w:gridSpan w:val="2"/>
            <w:noWrap w:val="0"/>
            <w:vAlign w:val="center"/>
          </w:tcPr>
          <w:p w14:paraId="4D40D0A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93" w:type="dxa"/>
            <w:gridSpan w:val="2"/>
            <w:noWrap w:val="0"/>
            <w:vAlign w:val="center"/>
          </w:tcPr>
          <w:p w14:paraId="7FAB629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992" w:type="dxa"/>
            <w:noWrap w:val="0"/>
            <w:vAlign w:val="center"/>
          </w:tcPr>
          <w:p w14:paraId="0F90B9A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821" w:type="dxa"/>
            <w:gridSpan w:val="2"/>
            <w:noWrap w:val="0"/>
            <w:vAlign w:val="center"/>
          </w:tcPr>
          <w:p w14:paraId="454E00B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0EC7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noWrap w:val="0"/>
            <w:vAlign w:val="center"/>
          </w:tcPr>
          <w:p w14:paraId="4417A69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80" w:type="dxa"/>
            <w:gridSpan w:val="3"/>
            <w:noWrap w:val="0"/>
            <w:vAlign w:val="center"/>
          </w:tcPr>
          <w:p w14:paraId="5874F0E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80" w:type="dxa"/>
            <w:gridSpan w:val="2"/>
            <w:noWrap w:val="0"/>
            <w:vAlign w:val="center"/>
          </w:tcPr>
          <w:p w14:paraId="1BE333C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193" w:type="dxa"/>
            <w:gridSpan w:val="2"/>
            <w:noWrap w:val="0"/>
            <w:vAlign w:val="center"/>
          </w:tcPr>
          <w:p w14:paraId="195A1FC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992" w:type="dxa"/>
            <w:noWrap w:val="0"/>
            <w:vAlign w:val="center"/>
          </w:tcPr>
          <w:p w14:paraId="42FDBB2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821" w:type="dxa"/>
            <w:gridSpan w:val="2"/>
            <w:noWrap w:val="0"/>
            <w:vAlign w:val="center"/>
          </w:tcPr>
          <w:p w14:paraId="3371060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bl>
    <w:p w14:paraId="7F28CED0">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注：1.表后需附项目总监个人资料，包括身份证、学历证、职称证</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如有</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、注册监理工程师注册证书及执业证书、近一个月社保缴费证明等原件清晰扫描件并加盖单位电子印章（项目总监一经确定，若非业主要求，不得更改，否则业主将按监理合同的约定追究其违约责任）；</w:t>
      </w:r>
    </w:p>
    <w:p w14:paraId="75E26403">
      <w:pPr>
        <w:keepNext w:val="0"/>
        <w:keepLines w:val="0"/>
        <w:shd w:val="clear" w:color="auto" w:fill="auto"/>
        <w:spacing w:before="0" w:line="413" w:lineRule="auto"/>
        <w:ind w:firstLine="0" w:firstLineChars="0"/>
        <w:jc w:val="left"/>
        <w:outlineLvl w:val="9"/>
        <w:rPr>
          <w:rFonts w:hint="eastAsia" w:ascii="仿宋" w:hAnsi="仿宋" w:eastAsia="仿宋" w:cs="仿宋"/>
          <w:color w:val="auto"/>
          <w:highlight w:val="none"/>
        </w:rPr>
      </w:pPr>
    </w:p>
    <w:p w14:paraId="4A4A289B">
      <w:pPr>
        <w:outlineLvl w:val="9"/>
        <w:rPr>
          <w:rFonts w:hint="eastAsia" w:ascii="仿宋" w:hAnsi="仿宋" w:eastAsia="仿宋" w:cs="仿宋"/>
          <w:color w:val="auto"/>
          <w:highlight w:val="none"/>
        </w:rPr>
      </w:pPr>
    </w:p>
    <w:p w14:paraId="6D7B3272">
      <w:pPr>
        <w:outlineLvl w:val="9"/>
        <w:rPr>
          <w:rFonts w:hint="eastAsia" w:ascii="仿宋" w:hAnsi="仿宋" w:eastAsia="仿宋" w:cs="仿宋"/>
          <w:color w:val="auto"/>
        </w:rPr>
      </w:pPr>
    </w:p>
    <w:p w14:paraId="628B80B3">
      <w:pPr>
        <w:keepNext w:val="0"/>
        <w:keepLines w:val="0"/>
        <w:shd w:val="clear" w:color="auto" w:fill="auto"/>
        <w:spacing w:before="0" w:line="413" w:lineRule="auto"/>
        <w:ind w:firstLine="0" w:firstLineChars="0"/>
        <w:jc w:val="left"/>
        <w:outlineLvl w:val="9"/>
        <w:rPr>
          <w:rFonts w:hint="eastAsia" w:ascii="仿宋" w:hAnsi="仿宋" w:eastAsia="仿宋" w:cs="仿宋"/>
          <w:color w:val="auto"/>
          <w:highlight w:val="none"/>
        </w:rPr>
      </w:pPr>
    </w:p>
    <w:p w14:paraId="6C13CD6E">
      <w:pPr>
        <w:keepNext w:val="0"/>
        <w:keepLines w:val="0"/>
        <w:shd w:val="clear" w:color="auto" w:fill="auto"/>
        <w:spacing w:before="0" w:line="413" w:lineRule="auto"/>
        <w:ind w:firstLine="0" w:firstLineChars="0"/>
        <w:jc w:val="left"/>
        <w:outlineLvl w:val="9"/>
        <w:rPr>
          <w:rFonts w:hint="eastAsia" w:ascii="仿宋" w:hAnsi="仿宋" w:eastAsia="仿宋" w:cs="仿宋"/>
          <w:color w:val="auto"/>
          <w:highlight w:val="none"/>
        </w:rPr>
      </w:pPr>
    </w:p>
    <w:p w14:paraId="2E2BAEE9">
      <w:pPr>
        <w:keepNext w:val="0"/>
        <w:keepLines w:val="0"/>
        <w:shd w:val="clear" w:color="auto" w:fill="auto"/>
        <w:spacing w:before="0" w:line="413" w:lineRule="auto"/>
        <w:ind w:firstLine="0" w:firstLineChars="0"/>
        <w:jc w:val="left"/>
        <w:outlineLvl w:val="9"/>
        <w:rPr>
          <w:rFonts w:hint="eastAsia" w:ascii="仿宋" w:hAnsi="仿宋" w:eastAsia="仿宋" w:cs="仿宋"/>
          <w:color w:val="auto"/>
          <w:highlight w:val="none"/>
        </w:rPr>
      </w:pPr>
    </w:p>
    <w:p w14:paraId="7EE39446">
      <w:pPr>
        <w:pStyle w:val="4"/>
        <w:keepNext w:val="0"/>
        <w:keepLines w:val="0"/>
        <w:shd w:val="clear" w:color="auto" w:fill="auto"/>
        <w:spacing w:before="0" w:line="413" w:lineRule="auto"/>
        <w:ind w:firstLine="0" w:firstLineChars="0"/>
        <w:jc w:val="left"/>
        <w:rPr>
          <w:rFonts w:hint="eastAsia" w:ascii="仿宋" w:hAnsi="仿宋" w:eastAsia="仿宋" w:cs="仿宋"/>
          <w:color w:val="auto"/>
          <w:highlight w:val="none"/>
        </w:rPr>
      </w:pPr>
      <w:bookmarkStart w:id="918" w:name="_Toc22150"/>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）拟委任的主要人员汇总表</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8"/>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354"/>
        <w:gridCol w:w="1051"/>
        <w:gridCol w:w="638"/>
        <w:gridCol w:w="518"/>
        <w:gridCol w:w="1204"/>
        <w:gridCol w:w="753"/>
        <w:gridCol w:w="926"/>
        <w:gridCol w:w="1204"/>
      </w:tblGrid>
      <w:tr w14:paraId="20E5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vMerge w:val="restart"/>
            <w:noWrap w:val="0"/>
            <w:vAlign w:val="center"/>
          </w:tcPr>
          <w:p w14:paraId="7FFF264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354" w:type="dxa"/>
            <w:vMerge w:val="restart"/>
            <w:noWrap w:val="0"/>
            <w:vAlign w:val="center"/>
          </w:tcPr>
          <w:p w14:paraId="3949005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本项目任职</w:t>
            </w:r>
          </w:p>
        </w:tc>
        <w:tc>
          <w:tcPr>
            <w:tcW w:w="1051" w:type="dxa"/>
            <w:vMerge w:val="restart"/>
            <w:noWrap w:val="0"/>
            <w:vAlign w:val="center"/>
          </w:tcPr>
          <w:p w14:paraId="7AE9F6B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638" w:type="dxa"/>
            <w:vMerge w:val="restart"/>
            <w:noWrap w:val="0"/>
            <w:vAlign w:val="center"/>
          </w:tcPr>
          <w:p w14:paraId="0CBF72B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518" w:type="dxa"/>
            <w:vMerge w:val="restart"/>
            <w:noWrap w:val="0"/>
            <w:vAlign w:val="center"/>
          </w:tcPr>
          <w:p w14:paraId="0AB597D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专业</w:t>
            </w:r>
          </w:p>
        </w:tc>
        <w:tc>
          <w:tcPr>
            <w:tcW w:w="2883" w:type="dxa"/>
            <w:gridSpan w:val="3"/>
            <w:noWrap w:val="0"/>
            <w:vAlign w:val="center"/>
          </w:tcPr>
          <w:p w14:paraId="7AD11BB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执业或职业资格证明</w:t>
            </w:r>
          </w:p>
        </w:tc>
        <w:tc>
          <w:tcPr>
            <w:tcW w:w="1204" w:type="dxa"/>
            <w:noWrap w:val="0"/>
            <w:vAlign w:val="center"/>
          </w:tcPr>
          <w:p w14:paraId="01A6223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527C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65" w:type="dxa"/>
            <w:vMerge w:val="continue"/>
            <w:noWrap w:val="0"/>
            <w:vAlign w:val="center"/>
          </w:tcPr>
          <w:p w14:paraId="29EDE222">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highlight w:val="none"/>
              </w:rPr>
            </w:pPr>
          </w:p>
        </w:tc>
        <w:tc>
          <w:tcPr>
            <w:tcW w:w="1354" w:type="dxa"/>
            <w:vMerge w:val="continue"/>
            <w:noWrap w:val="0"/>
            <w:vAlign w:val="top"/>
          </w:tcPr>
          <w:p w14:paraId="453CF182">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highlight w:val="none"/>
              </w:rPr>
            </w:pPr>
          </w:p>
        </w:tc>
        <w:tc>
          <w:tcPr>
            <w:tcW w:w="1051" w:type="dxa"/>
            <w:vMerge w:val="continue"/>
            <w:noWrap w:val="0"/>
            <w:vAlign w:val="center"/>
          </w:tcPr>
          <w:p w14:paraId="40CB4BBC">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highlight w:val="none"/>
              </w:rPr>
            </w:pPr>
          </w:p>
        </w:tc>
        <w:tc>
          <w:tcPr>
            <w:tcW w:w="638" w:type="dxa"/>
            <w:vMerge w:val="continue"/>
            <w:noWrap w:val="0"/>
            <w:vAlign w:val="center"/>
          </w:tcPr>
          <w:p w14:paraId="6F088DDA">
            <w:pPr>
              <w:keepNext w:val="0"/>
              <w:keepLines w:val="0"/>
              <w:suppressLineNumbers w:val="0"/>
              <w:shd w:val="clear" w:color="auto" w:fill="auto"/>
              <w:spacing w:before="0" w:beforeAutospacing="0" w:after="0" w:afterAutospacing="0"/>
              <w:ind w:left="0" w:right="0"/>
              <w:rPr>
                <w:rFonts w:hint="eastAsia" w:ascii="仿宋" w:hAnsi="仿宋" w:eastAsia="仿宋" w:cs="仿宋"/>
                <w:color w:val="auto"/>
                <w:highlight w:val="none"/>
              </w:rPr>
            </w:pPr>
          </w:p>
        </w:tc>
        <w:tc>
          <w:tcPr>
            <w:tcW w:w="518" w:type="dxa"/>
            <w:vMerge w:val="continue"/>
            <w:noWrap w:val="0"/>
            <w:vAlign w:val="center"/>
          </w:tcPr>
          <w:p w14:paraId="253EBBD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center"/>
          </w:tcPr>
          <w:p w14:paraId="35CB2640">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证书名称</w:t>
            </w:r>
          </w:p>
        </w:tc>
        <w:tc>
          <w:tcPr>
            <w:tcW w:w="753" w:type="dxa"/>
            <w:noWrap w:val="0"/>
            <w:vAlign w:val="center"/>
          </w:tcPr>
          <w:p w14:paraId="1048F8A3">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级别</w:t>
            </w:r>
          </w:p>
        </w:tc>
        <w:tc>
          <w:tcPr>
            <w:tcW w:w="926" w:type="dxa"/>
            <w:noWrap w:val="0"/>
            <w:vAlign w:val="center"/>
          </w:tcPr>
          <w:p w14:paraId="006589C3">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证号</w:t>
            </w:r>
          </w:p>
        </w:tc>
        <w:tc>
          <w:tcPr>
            <w:tcW w:w="1204" w:type="dxa"/>
            <w:noWrap w:val="0"/>
            <w:vAlign w:val="center"/>
          </w:tcPr>
          <w:p w14:paraId="1B2F1E8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50AB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center"/>
          </w:tcPr>
          <w:p w14:paraId="1E1DDFB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1068E5A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center"/>
          </w:tcPr>
          <w:p w14:paraId="6747A00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center"/>
          </w:tcPr>
          <w:p w14:paraId="50297246">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center"/>
          </w:tcPr>
          <w:p w14:paraId="7A87F92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center"/>
          </w:tcPr>
          <w:p w14:paraId="52D68DA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center"/>
          </w:tcPr>
          <w:p w14:paraId="696F7C2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center"/>
          </w:tcPr>
          <w:p w14:paraId="76CA3F2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center"/>
          </w:tcPr>
          <w:p w14:paraId="33A7A75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446E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13B43A7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310C2BF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0D7492A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29436D0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1DB02EE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7564AEC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061E9AA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20D65C6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6491EAB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0765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2EC5089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4735CB5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1E292E9B">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392FDB9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36FAA13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6AE200F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40CE155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59E505CB">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39A5623B">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2E11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38C49B6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6B06149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30B891A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69B394B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244E853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6B6DC562">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08C0766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6398F12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4BB97ED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3243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48E8BEE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1E4173E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4125B592">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4AFB0DB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4AF0B7F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193B5706">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3BC19C5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3996ECD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2305CE8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373C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6AC929E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5A1DD8F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3ECCF1D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6398260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60EB110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2A44672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508D083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12BDB80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5767C7A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7E98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346A4FB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667272C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5C0DB566">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6412217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53153BB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1D08B59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741A1F9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0352557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336784E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42EA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0F67D8C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2C964C5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1074CAB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28AE2FA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119D252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03F31D1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62E4317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4B268AC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7C159C5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59FB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6942233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321E697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0C6A471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5540C3B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39E09EB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5B5FE1B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6887332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550C231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3413FC6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02D2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0AA17DA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3B6E52AB">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2B436A0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7CA0D7D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5F5F895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0006CD5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2B306D62">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1D8F827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30DEC91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5A7D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351284B6">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07D8D2FB">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5BFF86AB">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652E4F0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61778230">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1A9E701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7FAABFF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2B16379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3EAE0D02">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7DCF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11D2A590">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54A7EE5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2A20A18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574762A0">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662B2C4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6B4C9C0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0AFA7DE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115CBE5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7510511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2B3D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566C03D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737A78B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71AA127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0F28CE9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7528FA0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69B94DB6">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76FF595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04CCD1C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5BFC8450">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0309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5C2E963B">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590ECC76">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14FFE4B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5859181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58CAA39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752E32C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4796942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451D722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2D39A9C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6F6A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130953E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3DDD3E0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6593534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4D7F9E50">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4E9C357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3D5045D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57C7E07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0EA0B862">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0BBF3D6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5506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671B313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28B7D672">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1ED40A0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543ED8F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3AA9CA7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29D3615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2E9A2FF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0A6C09D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6E55E29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28DA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16942FA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52E7E096">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5B78BC9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389A796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53F2E43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3D9DDD50">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14373F3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2CA52EE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3618F60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3FB0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239B457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4950564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7D1572F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11DDE6A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59F3504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0CBE985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5BB2558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4EA4DBE4">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01FC55B6">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36FF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2E4DB79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0436114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7B4FDEC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7BD1A75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28BCCD8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1254E2E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21D1166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3C0FE21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13C4CD0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739D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noWrap w:val="0"/>
            <w:vAlign w:val="top"/>
          </w:tcPr>
          <w:p w14:paraId="6896B98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07D7EB3B">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6A50A21B">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18C05BAA">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1930F122">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27E772A2">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14F83B9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16D74DB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060834C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4030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5" w:type="dxa"/>
            <w:noWrap w:val="0"/>
            <w:vAlign w:val="top"/>
          </w:tcPr>
          <w:p w14:paraId="5614867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354" w:type="dxa"/>
            <w:noWrap w:val="0"/>
            <w:vAlign w:val="top"/>
          </w:tcPr>
          <w:p w14:paraId="152B603C">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051" w:type="dxa"/>
            <w:noWrap w:val="0"/>
            <w:vAlign w:val="top"/>
          </w:tcPr>
          <w:p w14:paraId="17B9774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638" w:type="dxa"/>
            <w:noWrap w:val="0"/>
            <w:vAlign w:val="top"/>
          </w:tcPr>
          <w:p w14:paraId="07489AC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518" w:type="dxa"/>
            <w:noWrap w:val="0"/>
            <w:vAlign w:val="top"/>
          </w:tcPr>
          <w:p w14:paraId="2E4F31C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4A384A7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753" w:type="dxa"/>
            <w:noWrap w:val="0"/>
            <w:vAlign w:val="top"/>
          </w:tcPr>
          <w:p w14:paraId="155DA25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26" w:type="dxa"/>
            <w:noWrap w:val="0"/>
            <w:vAlign w:val="top"/>
          </w:tcPr>
          <w:p w14:paraId="7DD477E2">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1204" w:type="dxa"/>
            <w:noWrap w:val="0"/>
            <w:vAlign w:val="top"/>
          </w:tcPr>
          <w:p w14:paraId="458E8463">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bl>
    <w:p w14:paraId="7C3DA042">
      <w:pPr>
        <w:shd w:val="clear" w:color="auto" w:fill="auto"/>
        <w:spacing w:line="440" w:lineRule="exact"/>
        <w:rPr>
          <w:rFonts w:hint="eastAsia" w:ascii="仿宋" w:hAnsi="仿宋" w:eastAsia="仿宋" w:cs="仿宋"/>
          <w:color w:val="auto"/>
          <w:highlight w:val="none"/>
        </w:rPr>
      </w:pPr>
      <w:bookmarkStart w:id="919" w:name="_Toc179632825"/>
      <w:bookmarkStart w:id="920" w:name="_Toc152042594"/>
      <w:bookmarkStart w:id="921" w:name="_Toc144974873"/>
      <w:bookmarkStart w:id="922" w:name="_Toc152045805"/>
    </w:p>
    <w:p w14:paraId="38B74899">
      <w:pPr>
        <w:shd w:val="clear" w:color="auto" w:fill="auto"/>
        <w:spacing w:line="440" w:lineRule="exact"/>
        <w:jc w:val="left"/>
        <w:outlineLvl w:val="2"/>
        <w:rPr>
          <w:rFonts w:hint="eastAsia" w:ascii="仿宋" w:hAnsi="仿宋" w:eastAsia="仿宋" w:cs="仿宋"/>
          <w:color w:val="auto"/>
          <w:sz w:val="28"/>
          <w:szCs w:val="20"/>
          <w:highlight w:val="none"/>
        </w:rPr>
      </w:pPr>
      <w:r>
        <w:rPr>
          <w:rFonts w:hint="eastAsia" w:ascii="仿宋" w:hAnsi="仿宋" w:eastAsia="仿宋" w:cs="仿宋"/>
          <w:color w:val="auto"/>
          <w:highlight w:val="none"/>
        </w:rPr>
        <w:br w:type="page"/>
      </w:r>
      <w:bookmarkStart w:id="923" w:name="_Toc359594249"/>
      <w:bookmarkStart w:id="924" w:name="_Toc26112"/>
      <w:bookmarkStart w:id="925" w:name="_Toc9680"/>
      <w:bookmarkStart w:id="926" w:name="_Toc19474"/>
      <w:bookmarkStart w:id="927" w:name="_Toc4275"/>
      <w:bookmarkStart w:id="928" w:name="_Toc29962"/>
      <w:bookmarkStart w:id="929" w:name="_Toc300835232"/>
      <w:bookmarkStart w:id="930" w:name="_Toc11766"/>
      <w:bookmarkStart w:id="931" w:name="_Toc391394125"/>
      <w:bookmarkStart w:id="932" w:name="_Toc4326"/>
      <w:bookmarkStart w:id="933" w:name="_Toc482188668"/>
      <w:bookmarkStart w:id="934" w:name="_Toc385943079"/>
      <w:bookmarkStart w:id="935" w:name="_Toc26470"/>
      <w:bookmarkStart w:id="936" w:name="_Toc28595"/>
      <w:bookmarkStart w:id="937" w:name="_Toc26208"/>
      <w:bookmarkStart w:id="938" w:name="_Toc384308390"/>
      <w:bookmarkStart w:id="939" w:name="_Toc11301"/>
      <w:bookmarkStart w:id="940" w:name="_Toc527969235"/>
      <w:bookmarkStart w:id="941" w:name="_Toc14423"/>
      <w:bookmarkStart w:id="942" w:name="_Toc28165"/>
      <w:bookmarkStart w:id="943" w:name="_Toc370676440"/>
      <w:bookmarkStart w:id="944" w:name="_Toc30596"/>
      <w:bookmarkStart w:id="945" w:name="_Toc13154"/>
      <w:bookmarkStart w:id="946" w:name="_Toc29641"/>
      <w:bookmarkStart w:id="947" w:name="_Toc14966916"/>
      <w:bookmarkStart w:id="948" w:name="_Toc12312"/>
      <w:bookmarkStart w:id="949" w:name="_Toc7230"/>
      <w:r>
        <w:rPr>
          <w:rFonts w:hint="eastAsia" w:ascii="仿宋" w:hAnsi="仿宋" w:eastAsia="仿宋" w:cs="仿宋"/>
          <w:color w:val="auto"/>
          <w:sz w:val="28"/>
          <w:szCs w:val="20"/>
          <w:highlight w:val="none"/>
        </w:rPr>
        <w:t>（</w:t>
      </w:r>
      <w:r>
        <w:rPr>
          <w:rFonts w:hint="eastAsia" w:ascii="仿宋" w:hAnsi="仿宋" w:eastAsia="仿宋" w:cs="仿宋"/>
          <w:color w:val="auto"/>
          <w:sz w:val="28"/>
          <w:szCs w:val="20"/>
          <w:highlight w:val="none"/>
          <w:lang w:val="en-US" w:eastAsia="zh-CN"/>
        </w:rPr>
        <w:t>五</w:t>
      </w:r>
      <w:r>
        <w:rPr>
          <w:rFonts w:hint="eastAsia" w:ascii="仿宋" w:hAnsi="仿宋" w:eastAsia="仿宋" w:cs="仿宋"/>
          <w:color w:val="auto"/>
          <w:sz w:val="28"/>
          <w:szCs w:val="20"/>
          <w:highlight w:val="none"/>
        </w:rPr>
        <w:t>）主要人员简历表</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29DAA28C">
      <w:pPr>
        <w:shd w:val="clear" w:color="auto" w:fill="auto"/>
        <w:topLinePunct/>
        <w:spacing w:line="440" w:lineRule="exact"/>
        <w:jc w:val="left"/>
        <w:rPr>
          <w:rFonts w:hint="eastAsia" w:ascii="仿宋" w:hAnsi="仿宋" w:eastAsia="仿宋" w:cs="仿宋"/>
          <w:color w:val="auto"/>
          <w:sz w:val="23"/>
          <w:highlight w:val="none"/>
        </w:rPr>
      </w:pPr>
    </w:p>
    <w:p w14:paraId="4BE23324">
      <w:pPr>
        <w:shd w:val="clear" w:color="auto" w:fill="auto"/>
        <w:topLinePunct/>
        <w:spacing w:line="440" w:lineRule="exact"/>
        <w:ind w:firstLine="460" w:firstLineChars="200"/>
        <w:jc w:val="left"/>
        <w:rPr>
          <w:rFonts w:hint="eastAsia" w:ascii="仿宋" w:hAnsi="仿宋" w:eastAsia="仿宋" w:cs="仿宋"/>
          <w:color w:val="auto"/>
          <w:sz w:val="23"/>
          <w:highlight w:val="none"/>
        </w:rPr>
      </w:pPr>
      <w:r>
        <w:rPr>
          <w:rFonts w:hint="eastAsia" w:ascii="仿宋" w:hAnsi="仿宋" w:eastAsia="仿宋" w:cs="仿宋"/>
          <w:color w:val="auto"/>
          <w:sz w:val="23"/>
          <w:highlight w:val="none"/>
        </w:rPr>
        <w:t>监理单位：                  监理合同段：</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356"/>
        <w:gridCol w:w="690"/>
        <w:gridCol w:w="957"/>
        <w:gridCol w:w="1064"/>
        <w:gridCol w:w="705"/>
        <w:gridCol w:w="1258"/>
        <w:gridCol w:w="402"/>
        <w:gridCol w:w="1897"/>
      </w:tblGrid>
      <w:tr w14:paraId="46D3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4" w:type="dxa"/>
            <w:noWrap w:val="0"/>
            <w:vAlign w:val="center"/>
          </w:tcPr>
          <w:p w14:paraId="6B1AC63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姓  名</w:t>
            </w:r>
          </w:p>
        </w:tc>
        <w:tc>
          <w:tcPr>
            <w:tcW w:w="1046" w:type="dxa"/>
            <w:gridSpan w:val="2"/>
            <w:noWrap w:val="0"/>
            <w:vAlign w:val="center"/>
          </w:tcPr>
          <w:p w14:paraId="6BD838C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57" w:type="dxa"/>
            <w:noWrap w:val="0"/>
            <w:vAlign w:val="center"/>
          </w:tcPr>
          <w:p w14:paraId="4F5ECC1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1064" w:type="dxa"/>
            <w:noWrap w:val="0"/>
            <w:vAlign w:val="center"/>
          </w:tcPr>
          <w:p w14:paraId="3CD3578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2365" w:type="dxa"/>
            <w:gridSpan w:val="3"/>
            <w:noWrap w:val="0"/>
            <w:vAlign w:val="center"/>
          </w:tcPr>
          <w:p w14:paraId="0AFEB33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执业资格证书（或上岗证书）名称</w:t>
            </w:r>
          </w:p>
        </w:tc>
        <w:tc>
          <w:tcPr>
            <w:tcW w:w="1897" w:type="dxa"/>
            <w:noWrap w:val="0"/>
            <w:vAlign w:val="center"/>
          </w:tcPr>
          <w:p w14:paraId="2DD343A1">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288D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4" w:type="dxa"/>
            <w:noWrap w:val="0"/>
            <w:vAlign w:val="center"/>
          </w:tcPr>
          <w:p w14:paraId="7E7B8EC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职  称</w:t>
            </w:r>
          </w:p>
        </w:tc>
        <w:tc>
          <w:tcPr>
            <w:tcW w:w="1046" w:type="dxa"/>
            <w:gridSpan w:val="2"/>
            <w:noWrap w:val="0"/>
            <w:vAlign w:val="center"/>
          </w:tcPr>
          <w:p w14:paraId="3012A1A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957" w:type="dxa"/>
            <w:noWrap w:val="0"/>
            <w:vAlign w:val="center"/>
          </w:tcPr>
          <w:p w14:paraId="05958E9B">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学历</w:t>
            </w:r>
          </w:p>
        </w:tc>
        <w:tc>
          <w:tcPr>
            <w:tcW w:w="1064" w:type="dxa"/>
            <w:noWrap w:val="0"/>
            <w:vAlign w:val="center"/>
          </w:tcPr>
          <w:p w14:paraId="01B9C52E">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2365" w:type="dxa"/>
            <w:gridSpan w:val="3"/>
            <w:noWrap w:val="0"/>
            <w:vAlign w:val="center"/>
          </w:tcPr>
          <w:p w14:paraId="2E0F957D">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拟在本项目任职</w:t>
            </w:r>
          </w:p>
        </w:tc>
        <w:tc>
          <w:tcPr>
            <w:tcW w:w="1897" w:type="dxa"/>
            <w:noWrap w:val="0"/>
            <w:vAlign w:val="center"/>
          </w:tcPr>
          <w:p w14:paraId="4B66C389">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4D29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4" w:type="dxa"/>
            <w:noWrap w:val="0"/>
            <w:vAlign w:val="center"/>
          </w:tcPr>
          <w:p w14:paraId="399D2E35">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工作年限</w:t>
            </w:r>
          </w:p>
        </w:tc>
        <w:tc>
          <w:tcPr>
            <w:tcW w:w="3067" w:type="dxa"/>
            <w:gridSpan w:val="4"/>
            <w:noWrap w:val="0"/>
            <w:vAlign w:val="center"/>
          </w:tcPr>
          <w:p w14:paraId="5BAC49E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c>
          <w:tcPr>
            <w:tcW w:w="2365" w:type="dxa"/>
            <w:gridSpan w:val="3"/>
            <w:noWrap w:val="0"/>
            <w:vAlign w:val="center"/>
          </w:tcPr>
          <w:p w14:paraId="0FBECF5A">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从事监理工作年限</w:t>
            </w:r>
          </w:p>
        </w:tc>
        <w:tc>
          <w:tcPr>
            <w:tcW w:w="1897" w:type="dxa"/>
            <w:noWrap w:val="0"/>
            <w:vAlign w:val="center"/>
          </w:tcPr>
          <w:p w14:paraId="77E1DBE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highlight w:val="none"/>
              </w:rPr>
            </w:pPr>
          </w:p>
        </w:tc>
      </w:tr>
      <w:tr w14:paraId="4ED0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4" w:type="dxa"/>
            <w:noWrap w:val="0"/>
            <w:vAlign w:val="center"/>
          </w:tcPr>
          <w:p w14:paraId="2171117D">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毕业学校</w:t>
            </w:r>
          </w:p>
        </w:tc>
        <w:tc>
          <w:tcPr>
            <w:tcW w:w="7329" w:type="dxa"/>
            <w:gridSpan w:val="8"/>
            <w:noWrap w:val="0"/>
            <w:vAlign w:val="center"/>
          </w:tcPr>
          <w:p w14:paraId="200EEAAD">
            <w:pPr>
              <w:keepNext w:val="0"/>
              <w:keepLines w:val="0"/>
              <w:suppressLineNumbers w:val="0"/>
              <w:shd w:val="clear" w:color="auto" w:fill="auto"/>
              <w:spacing w:before="100" w:beforeAutospacing="1" w:after="100" w:afterAutospacing="1" w:line="440" w:lineRule="exact"/>
              <w:ind w:left="0" w:right="0" w:firstLine="1155" w:firstLineChars="550"/>
              <w:rPr>
                <w:rFonts w:hint="eastAsia" w:ascii="仿宋" w:hAnsi="仿宋" w:eastAsia="仿宋" w:cs="仿宋"/>
                <w:color w:val="auto"/>
                <w:highlight w:val="none"/>
              </w:rPr>
            </w:pPr>
            <w:r>
              <w:rPr>
                <w:rFonts w:hint="eastAsia" w:ascii="仿宋" w:hAnsi="仿宋" w:eastAsia="仿宋" w:cs="仿宋"/>
                <w:color w:val="auto"/>
                <w:highlight w:val="none"/>
              </w:rPr>
              <w:t>年毕业于            学校        专业</w:t>
            </w:r>
          </w:p>
        </w:tc>
      </w:tr>
      <w:tr w14:paraId="6236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13" w:type="dxa"/>
            <w:gridSpan w:val="9"/>
            <w:noWrap w:val="0"/>
            <w:vAlign w:val="center"/>
          </w:tcPr>
          <w:p w14:paraId="61DB2D1F">
            <w:pPr>
              <w:keepNext w:val="0"/>
              <w:keepLines w:val="0"/>
              <w:suppressLineNumbers w:val="0"/>
              <w:shd w:val="clear" w:color="auto" w:fill="auto"/>
              <w:spacing w:before="100" w:beforeAutospacing="1" w:after="100" w:afterAutospacing="1" w:line="440" w:lineRule="exact"/>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主要工作经历</w:t>
            </w:r>
          </w:p>
        </w:tc>
      </w:tr>
      <w:tr w14:paraId="29CF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0" w:type="dxa"/>
            <w:gridSpan w:val="2"/>
            <w:noWrap w:val="0"/>
            <w:vAlign w:val="center"/>
          </w:tcPr>
          <w:p w14:paraId="049E982F">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时  间</w:t>
            </w:r>
          </w:p>
        </w:tc>
        <w:tc>
          <w:tcPr>
            <w:tcW w:w="3416" w:type="dxa"/>
            <w:gridSpan w:val="4"/>
            <w:noWrap w:val="0"/>
            <w:vAlign w:val="center"/>
          </w:tcPr>
          <w:p w14:paraId="7C588643">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参加过的类似项目</w:t>
            </w:r>
          </w:p>
        </w:tc>
        <w:tc>
          <w:tcPr>
            <w:tcW w:w="1258" w:type="dxa"/>
            <w:noWrap w:val="0"/>
            <w:vAlign w:val="center"/>
          </w:tcPr>
          <w:p w14:paraId="02F60CBD">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担任职务</w:t>
            </w:r>
          </w:p>
        </w:tc>
        <w:tc>
          <w:tcPr>
            <w:tcW w:w="2299" w:type="dxa"/>
            <w:gridSpan w:val="2"/>
            <w:noWrap w:val="0"/>
            <w:vAlign w:val="center"/>
          </w:tcPr>
          <w:p w14:paraId="7BA55EF7">
            <w:pPr>
              <w:keepNext w:val="0"/>
              <w:keepLines w:val="0"/>
              <w:suppressLineNumbers w:val="0"/>
              <w:shd w:val="clear" w:color="auto" w:fill="auto"/>
              <w:spacing w:before="100" w:beforeAutospacing="1" w:after="100" w:afterAutospacing="1" w:line="440" w:lineRule="exact"/>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委托人及联系电话</w:t>
            </w:r>
          </w:p>
        </w:tc>
      </w:tr>
      <w:tr w14:paraId="457C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0" w:type="dxa"/>
            <w:gridSpan w:val="2"/>
            <w:noWrap w:val="0"/>
            <w:vAlign w:val="top"/>
          </w:tcPr>
          <w:p w14:paraId="58F74ED8">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3416" w:type="dxa"/>
            <w:gridSpan w:val="4"/>
            <w:noWrap w:val="0"/>
            <w:vAlign w:val="top"/>
          </w:tcPr>
          <w:p w14:paraId="00AF012C">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1258" w:type="dxa"/>
            <w:noWrap w:val="0"/>
            <w:vAlign w:val="top"/>
          </w:tcPr>
          <w:p w14:paraId="0BECD278">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2299" w:type="dxa"/>
            <w:gridSpan w:val="2"/>
            <w:noWrap w:val="0"/>
            <w:vAlign w:val="top"/>
          </w:tcPr>
          <w:p w14:paraId="22D36927">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r>
      <w:tr w14:paraId="4C66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0" w:type="dxa"/>
            <w:gridSpan w:val="2"/>
            <w:noWrap w:val="0"/>
            <w:vAlign w:val="top"/>
          </w:tcPr>
          <w:p w14:paraId="7F791026">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3416" w:type="dxa"/>
            <w:gridSpan w:val="4"/>
            <w:noWrap w:val="0"/>
            <w:vAlign w:val="top"/>
          </w:tcPr>
          <w:p w14:paraId="2525674D">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1258" w:type="dxa"/>
            <w:noWrap w:val="0"/>
            <w:vAlign w:val="top"/>
          </w:tcPr>
          <w:p w14:paraId="7F1E85EA">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2299" w:type="dxa"/>
            <w:gridSpan w:val="2"/>
            <w:noWrap w:val="0"/>
            <w:vAlign w:val="top"/>
          </w:tcPr>
          <w:p w14:paraId="5CF6A6AE">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r>
      <w:tr w14:paraId="3083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0" w:type="dxa"/>
            <w:gridSpan w:val="2"/>
            <w:noWrap w:val="0"/>
            <w:vAlign w:val="top"/>
          </w:tcPr>
          <w:p w14:paraId="4F5AFB8F">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3416" w:type="dxa"/>
            <w:gridSpan w:val="4"/>
            <w:noWrap w:val="0"/>
            <w:vAlign w:val="top"/>
          </w:tcPr>
          <w:p w14:paraId="754124C4">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1258" w:type="dxa"/>
            <w:noWrap w:val="0"/>
            <w:vAlign w:val="top"/>
          </w:tcPr>
          <w:p w14:paraId="00D1C3F8">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2299" w:type="dxa"/>
            <w:gridSpan w:val="2"/>
            <w:noWrap w:val="0"/>
            <w:vAlign w:val="top"/>
          </w:tcPr>
          <w:p w14:paraId="01F27D57">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r>
      <w:tr w14:paraId="7E3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0" w:type="dxa"/>
            <w:gridSpan w:val="2"/>
            <w:noWrap w:val="0"/>
            <w:vAlign w:val="center"/>
          </w:tcPr>
          <w:p w14:paraId="34F04385">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3416" w:type="dxa"/>
            <w:gridSpan w:val="4"/>
            <w:noWrap w:val="0"/>
            <w:vAlign w:val="center"/>
          </w:tcPr>
          <w:p w14:paraId="1BE96CF3">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1258" w:type="dxa"/>
            <w:noWrap w:val="0"/>
            <w:vAlign w:val="center"/>
          </w:tcPr>
          <w:p w14:paraId="79AE6D5A">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2299" w:type="dxa"/>
            <w:gridSpan w:val="2"/>
            <w:noWrap w:val="0"/>
            <w:vAlign w:val="center"/>
          </w:tcPr>
          <w:p w14:paraId="70D78DBB">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r>
      <w:tr w14:paraId="2AA8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0" w:type="dxa"/>
            <w:gridSpan w:val="2"/>
            <w:noWrap w:val="0"/>
            <w:vAlign w:val="center"/>
          </w:tcPr>
          <w:p w14:paraId="7D92FDB7">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3416" w:type="dxa"/>
            <w:gridSpan w:val="4"/>
            <w:noWrap w:val="0"/>
            <w:vAlign w:val="center"/>
          </w:tcPr>
          <w:p w14:paraId="05EA11C5">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1258" w:type="dxa"/>
            <w:noWrap w:val="0"/>
            <w:vAlign w:val="center"/>
          </w:tcPr>
          <w:p w14:paraId="2D282707">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c>
          <w:tcPr>
            <w:tcW w:w="2299" w:type="dxa"/>
            <w:gridSpan w:val="2"/>
            <w:noWrap w:val="0"/>
            <w:vAlign w:val="center"/>
          </w:tcPr>
          <w:p w14:paraId="7ECBE7DA">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highlight w:val="none"/>
              </w:rPr>
            </w:pPr>
          </w:p>
        </w:tc>
      </w:tr>
    </w:tbl>
    <w:p w14:paraId="20463C93">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注：</w:t>
      </w:r>
      <w:r>
        <w:rPr>
          <w:rFonts w:hint="eastAsia" w:ascii="仿宋" w:hAnsi="仿宋" w:eastAsia="仿宋" w:cs="仿宋"/>
          <w:color w:val="auto"/>
          <w:szCs w:val="21"/>
          <w:highlight w:val="none"/>
        </w:rPr>
        <w:t>所投入人员必须为投标人本单位人员，所有人员须提供扣除投标截止当月最近一个月在本投标单位购买社保缴纳证明材料，提供证明资料的清晰扫描件并加盖投标单位电子印章。</w:t>
      </w:r>
    </w:p>
    <w:p w14:paraId="0038D2A7">
      <w:pPr>
        <w:pStyle w:val="4"/>
        <w:keepNext w:val="0"/>
        <w:keepLines w:val="0"/>
        <w:shd w:val="clear" w:color="auto" w:fill="auto"/>
        <w:ind w:firstLine="0" w:firstLineChars="0"/>
        <w:jc w:val="left"/>
        <w:rPr>
          <w:rFonts w:hint="eastAsia" w:ascii="仿宋" w:hAnsi="仿宋" w:eastAsia="仿宋" w:cs="仿宋"/>
          <w:color w:val="auto"/>
          <w:highlight w:val="none"/>
        </w:rPr>
      </w:pPr>
      <w:bookmarkStart w:id="950" w:name="_Toc352703741"/>
      <w:bookmarkStart w:id="951" w:name="_Toc300835229"/>
      <w:r>
        <w:rPr>
          <w:rFonts w:hint="eastAsia" w:ascii="仿宋" w:hAnsi="仿宋" w:eastAsia="仿宋" w:cs="仿宋"/>
          <w:color w:val="auto"/>
          <w:highlight w:val="none"/>
        </w:rPr>
        <w:br w:type="page"/>
      </w:r>
      <w:bookmarkEnd w:id="950"/>
      <w:bookmarkEnd w:id="951"/>
      <w:bookmarkStart w:id="952" w:name="_Toc482188666"/>
      <w:bookmarkStart w:id="953" w:name="_Toc20930"/>
      <w:bookmarkStart w:id="954" w:name="_Toc30900"/>
      <w:bookmarkStart w:id="955" w:name="_Toc30753"/>
      <w:bookmarkStart w:id="956" w:name="_Toc14826"/>
      <w:bookmarkStart w:id="957" w:name="_Toc25104"/>
      <w:bookmarkStart w:id="958" w:name="_Toc14966917"/>
      <w:bookmarkStart w:id="959" w:name="_Toc5297"/>
      <w:bookmarkStart w:id="960" w:name="_Toc11191"/>
      <w:bookmarkStart w:id="961" w:name="_Toc8947"/>
      <w:bookmarkStart w:id="962" w:name="_Toc17168"/>
      <w:bookmarkStart w:id="963" w:name="_Toc30044"/>
      <w:bookmarkStart w:id="964" w:name="_Toc527969236"/>
      <w:bookmarkStart w:id="965" w:name="_Toc16828"/>
      <w:bookmarkStart w:id="966" w:name="_Toc19122"/>
      <w:bookmarkStart w:id="967" w:name="_Toc25480"/>
      <w:bookmarkStart w:id="968" w:name="_Toc20736"/>
      <w:bookmarkStart w:id="969" w:name="_Toc4270"/>
      <w:bookmarkStart w:id="970" w:name="_Toc31249"/>
      <w:bookmarkStart w:id="971" w:name="_Toc29956"/>
      <w:bookmarkStart w:id="972" w:name="_Toc10992"/>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）拟投入本项目的主要</w:t>
      </w:r>
      <w:bookmarkEnd w:id="952"/>
      <w:r>
        <w:rPr>
          <w:rFonts w:hint="eastAsia" w:ascii="仿宋" w:hAnsi="仿宋" w:eastAsia="仿宋" w:cs="仿宋"/>
          <w:color w:val="auto"/>
          <w:highlight w:val="none"/>
        </w:rPr>
        <w:t>试验检测仪器设备表</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855"/>
        <w:gridCol w:w="912"/>
        <w:gridCol w:w="727"/>
        <w:gridCol w:w="826"/>
        <w:gridCol w:w="965"/>
        <w:gridCol w:w="1380"/>
        <w:gridCol w:w="1130"/>
      </w:tblGrid>
      <w:tr w14:paraId="1650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6" w:type="dxa"/>
            <w:noWrap w:val="0"/>
            <w:vAlign w:val="center"/>
          </w:tcPr>
          <w:p w14:paraId="307D9FAA">
            <w:pPr>
              <w:keepNext w:val="0"/>
              <w:keepLines w:val="0"/>
              <w:suppressLineNumbers w:val="0"/>
              <w:shd w:val="clear" w:color="auto" w:fill="auto"/>
              <w:spacing w:before="0" w:beforeAutospacing="0" w:after="0" w:afterAutospacing="0" w:line="440" w:lineRule="exact"/>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855" w:type="dxa"/>
            <w:noWrap w:val="0"/>
            <w:vAlign w:val="center"/>
          </w:tcPr>
          <w:p w14:paraId="503305CB">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仪器设备</w:t>
            </w:r>
          </w:p>
          <w:p w14:paraId="7C6FBA72">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912" w:type="dxa"/>
            <w:noWrap w:val="0"/>
            <w:vAlign w:val="center"/>
          </w:tcPr>
          <w:p w14:paraId="7A503D08">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型号</w:t>
            </w:r>
          </w:p>
          <w:p w14:paraId="6B9B813D">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w:t>
            </w:r>
          </w:p>
        </w:tc>
        <w:tc>
          <w:tcPr>
            <w:tcW w:w="727" w:type="dxa"/>
            <w:noWrap w:val="0"/>
            <w:vAlign w:val="center"/>
          </w:tcPr>
          <w:p w14:paraId="7D8D1645">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826" w:type="dxa"/>
            <w:noWrap w:val="0"/>
            <w:vAlign w:val="center"/>
          </w:tcPr>
          <w:p w14:paraId="42EC3870">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国别</w:t>
            </w:r>
          </w:p>
          <w:p w14:paraId="1BCE1DDF">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产地</w:t>
            </w:r>
          </w:p>
        </w:tc>
        <w:tc>
          <w:tcPr>
            <w:tcW w:w="965" w:type="dxa"/>
            <w:noWrap w:val="0"/>
            <w:vAlign w:val="center"/>
          </w:tcPr>
          <w:p w14:paraId="1CFB44B0">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制造</w:t>
            </w:r>
          </w:p>
          <w:p w14:paraId="38F8CF8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年份</w:t>
            </w:r>
          </w:p>
        </w:tc>
        <w:tc>
          <w:tcPr>
            <w:tcW w:w="1380" w:type="dxa"/>
            <w:noWrap w:val="0"/>
            <w:vAlign w:val="center"/>
          </w:tcPr>
          <w:p w14:paraId="3DCBD4E6">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用途</w:t>
            </w:r>
          </w:p>
        </w:tc>
        <w:tc>
          <w:tcPr>
            <w:tcW w:w="1130" w:type="dxa"/>
            <w:noWrap w:val="0"/>
            <w:vAlign w:val="center"/>
          </w:tcPr>
          <w:p w14:paraId="44519327">
            <w:pPr>
              <w:keepNext w:val="0"/>
              <w:keepLines w:val="0"/>
              <w:suppressLineNumbers w:val="0"/>
              <w:shd w:val="clear" w:color="auto" w:fill="auto"/>
              <w:spacing w:before="0" w:beforeAutospacing="0" w:after="0" w:afterAutospacing="0" w:line="440" w:lineRule="exac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4469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center"/>
          </w:tcPr>
          <w:p w14:paraId="045A412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55" w:type="dxa"/>
            <w:noWrap w:val="0"/>
            <w:vAlign w:val="center"/>
          </w:tcPr>
          <w:p w14:paraId="14A163D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水准仪</w:t>
            </w:r>
          </w:p>
        </w:tc>
        <w:tc>
          <w:tcPr>
            <w:tcW w:w="912" w:type="dxa"/>
            <w:noWrap w:val="0"/>
            <w:vAlign w:val="center"/>
          </w:tcPr>
          <w:p w14:paraId="1B82F325">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center"/>
          </w:tcPr>
          <w:p w14:paraId="26240C32">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center"/>
          </w:tcPr>
          <w:p w14:paraId="5CF5A15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center"/>
          </w:tcPr>
          <w:p w14:paraId="6BA2C604">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center"/>
          </w:tcPr>
          <w:p w14:paraId="485CA72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center"/>
          </w:tcPr>
          <w:p w14:paraId="20E48C68">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2980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6" w:type="dxa"/>
            <w:noWrap w:val="0"/>
            <w:vAlign w:val="center"/>
          </w:tcPr>
          <w:p w14:paraId="43BEC0C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55" w:type="dxa"/>
            <w:noWrap w:val="0"/>
            <w:vAlign w:val="center"/>
          </w:tcPr>
          <w:p w14:paraId="3CA9AD70">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经纬仪</w:t>
            </w:r>
          </w:p>
        </w:tc>
        <w:tc>
          <w:tcPr>
            <w:tcW w:w="912" w:type="dxa"/>
            <w:noWrap w:val="0"/>
            <w:vAlign w:val="center"/>
          </w:tcPr>
          <w:p w14:paraId="6BA8D0A5">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center"/>
          </w:tcPr>
          <w:p w14:paraId="6A4FB05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center"/>
          </w:tcPr>
          <w:p w14:paraId="5DFB271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center"/>
          </w:tcPr>
          <w:p w14:paraId="5BFA067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center"/>
          </w:tcPr>
          <w:p w14:paraId="7216683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center"/>
          </w:tcPr>
          <w:p w14:paraId="18E8AE3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59BF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56F564A2">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55" w:type="dxa"/>
            <w:noWrap w:val="0"/>
            <w:vAlign w:val="center"/>
          </w:tcPr>
          <w:p w14:paraId="296C04A4">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全站仪</w:t>
            </w:r>
          </w:p>
        </w:tc>
        <w:tc>
          <w:tcPr>
            <w:tcW w:w="912" w:type="dxa"/>
            <w:noWrap w:val="0"/>
            <w:vAlign w:val="top"/>
          </w:tcPr>
          <w:p w14:paraId="69AF030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5707053D">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53A42BDD">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071EC09B">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7610CE0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4DEADD89">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635E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28F5FDF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855" w:type="dxa"/>
            <w:noWrap w:val="0"/>
            <w:vAlign w:val="top"/>
          </w:tcPr>
          <w:p w14:paraId="7EAE663A">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卷尺</w:t>
            </w:r>
          </w:p>
        </w:tc>
        <w:tc>
          <w:tcPr>
            <w:tcW w:w="912" w:type="dxa"/>
            <w:noWrap w:val="0"/>
            <w:vAlign w:val="top"/>
          </w:tcPr>
          <w:p w14:paraId="5CA36AD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68F0574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6E8297F4">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2E315FD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0A76F8BA">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0177775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51A0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3CAC2A0E">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855" w:type="dxa"/>
            <w:noWrap w:val="0"/>
            <w:vAlign w:val="top"/>
          </w:tcPr>
          <w:p w14:paraId="37A9BD0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钢尺</w:t>
            </w:r>
          </w:p>
        </w:tc>
        <w:tc>
          <w:tcPr>
            <w:tcW w:w="912" w:type="dxa"/>
            <w:noWrap w:val="0"/>
            <w:vAlign w:val="top"/>
          </w:tcPr>
          <w:p w14:paraId="5AEF6568">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51CFAE1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187DBA28">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32CFEC2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4E20A21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37F6CAD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5476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6" w:type="dxa"/>
            <w:noWrap w:val="0"/>
            <w:vAlign w:val="top"/>
          </w:tcPr>
          <w:p w14:paraId="3C5F9BD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855" w:type="dxa"/>
            <w:noWrap w:val="0"/>
            <w:vAlign w:val="center"/>
          </w:tcPr>
          <w:p w14:paraId="5E9A788B">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4"/>
                <w:highlight w:val="none"/>
              </w:rPr>
              <w:t>响鼓锤</w:t>
            </w:r>
          </w:p>
        </w:tc>
        <w:tc>
          <w:tcPr>
            <w:tcW w:w="912" w:type="dxa"/>
            <w:noWrap w:val="0"/>
            <w:vAlign w:val="top"/>
          </w:tcPr>
          <w:p w14:paraId="725AF7D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1B1DA892">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0E81CFA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4580152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488AB39A">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5796E55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324F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7966B77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855" w:type="dxa"/>
            <w:noWrap w:val="0"/>
            <w:vAlign w:val="center"/>
          </w:tcPr>
          <w:p w14:paraId="4D70D4BB">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4"/>
                <w:highlight w:val="none"/>
              </w:rPr>
              <w:t>回弹仪</w:t>
            </w:r>
          </w:p>
        </w:tc>
        <w:tc>
          <w:tcPr>
            <w:tcW w:w="912" w:type="dxa"/>
            <w:noWrap w:val="0"/>
            <w:vAlign w:val="top"/>
          </w:tcPr>
          <w:p w14:paraId="0D86200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5C7D399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05FB2514">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39B0D5E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68C45E0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017B6309">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462F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29A67A9B">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1855" w:type="dxa"/>
            <w:noWrap w:val="0"/>
            <w:vAlign w:val="center"/>
          </w:tcPr>
          <w:p w14:paraId="0F77608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4"/>
                <w:highlight w:val="none"/>
              </w:rPr>
              <w:t>建筑工程检测尺</w:t>
            </w:r>
          </w:p>
        </w:tc>
        <w:tc>
          <w:tcPr>
            <w:tcW w:w="912" w:type="dxa"/>
            <w:noWrap w:val="0"/>
            <w:vAlign w:val="top"/>
          </w:tcPr>
          <w:p w14:paraId="685C47A0">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7ABFE779">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220116EE">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574B43C0">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46B379E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2B2DFFCA">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55CE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72116CBB">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1855" w:type="dxa"/>
            <w:noWrap w:val="0"/>
            <w:vAlign w:val="center"/>
          </w:tcPr>
          <w:p w14:paraId="573B121E">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4"/>
                <w:highlight w:val="none"/>
              </w:rPr>
              <w:t>坍落度仪</w:t>
            </w:r>
          </w:p>
        </w:tc>
        <w:tc>
          <w:tcPr>
            <w:tcW w:w="912" w:type="dxa"/>
            <w:noWrap w:val="0"/>
            <w:vAlign w:val="top"/>
          </w:tcPr>
          <w:p w14:paraId="3A1E2180">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04CD7A3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2F550A05">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6980DAA4">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285328C8">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0F9AAA6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7103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25A4F81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1855" w:type="dxa"/>
            <w:noWrap w:val="0"/>
            <w:vAlign w:val="center"/>
          </w:tcPr>
          <w:p w14:paraId="0E13F948">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4"/>
                <w:highlight w:val="none"/>
              </w:rPr>
              <w:t>游标卡尺</w:t>
            </w:r>
          </w:p>
        </w:tc>
        <w:tc>
          <w:tcPr>
            <w:tcW w:w="912" w:type="dxa"/>
            <w:noWrap w:val="0"/>
            <w:vAlign w:val="top"/>
          </w:tcPr>
          <w:p w14:paraId="7D53E970">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1EB24309">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029F4D92">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5AA6169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22A8755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49A9E12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7683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1676BF6D">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1855" w:type="dxa"/>
            <w:noWrap w:val="0"/>
            <w:vAlign w:val="center"/>
          </w:tcPr>
          <w:p w14:paraId="0A391C9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4"/>
                <w:highlight w:val="none"/>
              </w:rPr>
              <w:t>激光测距仪</w:t>
            </w:r>
          </w:p>
        </w:tc>
        <w:tc>
          <w:tcPr>
            <w:tcW w:w="912" w:type="dxa"/>
            <w:noWrap w:val="0"/>
            <w:vAlign w:val="top"/>
          </w:tcPr>
          <w:p w14:paraId="360A9C04">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4E20A1A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2B8D6280">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16C25CB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1FA96504">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01F3F35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44EB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64321E7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1855" w:type="dxa"/>
            <w:noWrap w:val="0"/>
            <w:vAlign w:val="center"/>
          </w:tcPr>
          <w:p w14:paraId="75482E6B">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4"/>
                <w:highlight w:val="none"/>
              </w:rPr>
              <w:t>内外直角检测尺</w:t>
            </w:r>
          </w:p>
        </w:tc>
        <w:tc>
          <w:tcPr>
            <w:tcW w:w="912" w:type="dxa"/>
            <w:noWrap w:val="0"/>
            <w:vAlign w:val="top"/>
          </w:tcPr>
          <w:p w14:paraId="41CECAF2">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5EBFAFC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78FF1DC0">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714541E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5166CAC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0C2ABEF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0E35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63438AC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1855" w:type="dxa"/>
            <w:noWrap w:val="0"/>
            <w:vAlign w:val="top"/>
          </w:tcPr>
          <w:p w14:paraId="754AFFC0">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测厚规</w:t>
            </w:r>
          </w:p>
        </w:tc>
        <w:tc>
          <w:tcPr>
            <w:tcW w:w="912" w:type="dxa"/>
            <w:noWrap w:val="0"/>
            <w:vAlign w:val="top"/>
          </w:tcPr>
          <w:p w14:paraId="799381FD">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4093754E">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5BE598A8">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4331FCB5">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3B8F3D78">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3363C52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5607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6" w:type="dxa"/>
            <w:noWrap w:val="0"/>
            <w:vAlign w:val="top"/>
          </w:tcPr>
          <w:p w14:paraId="19BFA172">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1855" w:type="dxa"/>
            <w:noWrap w:val="0"/>
            <w:vAlign w:val="top"/>
          </w:tcPr>
          <w:p w14:paraId="6BB3D46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氯离子含量测定仪（混凝土）</w:t>
            </w:r>
          </w:p>
        </w:tc>
        <w:tc>
          <w:tcPr>
            <w:tcW w:w="912" w:type="dxa"/>
            <w:noWrap w:val="0"/>
            <w:vAlign w:val="top"/>
          </w:tcPr>
          <w:p w14:paraId="4863AEFB">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6254F10E">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5C57D39D">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494729D4">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4565DFA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0A7DD23D">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73FC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7C07251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1855" w:type="dxa"/>
            <w:noWrap w:val="0"/>
            <w:vAlign w:val="top"/>
          </w:tcPr>
          <w:p w14:paraId="65194DBE">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接地电阻测试仪</w:t>
            </w:r>
          </w:p>
        </w:tc>
        <w:tc>
          <w:tcPr>
            <w:tcW w:w="912" w:type="dxa"/>
            <w:noWrap w:val="0"/>
            <w:vAlign w:val="top"/>
          </w:tcPr>
          <w:p w14:paraId="21AF4E0D">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7EFB137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0D03E08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6C1685E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210B63C9">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427A47E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1B2D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68D34EBA">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1855" w:type="dxa"/>
            <w:noWrap w:val="0"/>
            <w:vAlign w:val="top"/>
          </w:tcPr>
          <w:p w14:paraId="584ABDDE">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裂缝测宽仪</w:t>
            </w:r>
          </w:p>
        </w:tc>
        <w:tc>
          <w:tcPr>
            <w:tcW w:w="912" w:type="dxa"/>
            <w:noWrap w:val="0"/>
            <w:vAlign w:val="top"/>
          </w:tcPr>
          <w:p w14:paraId="504233EE">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2D6EB7A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146562B5">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15586545">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6AB32CF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414B730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223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1A54E8E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w:t>
            </w:r>
          </w:p>
        </w:tc>
        <w:tc>
          <w:tcPr>
            <w:tcW w:w="1855" w:type="dxa"/>
            <w:noWrap w:val="0"/>
            <w:vAlign w:val="top"/>
          </w:tcPr>
          <w:p w14:paraId="1DCAEEEB">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兆欧表</w:t>
            </w:r>
          </w:p>
        </w:tc>
        <w:tc>
          <w:tcPr>
            <w:tcW w:w="912" w:type="dxa"/>
            <w:noWrap w:val="0"/>
            <w:vAlign w:val="top"/>
          </w:tcPr>
          <w:p w14:paraId="37A93732">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0F1810E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62E65B5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61C8926E">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12C5D8C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74162A4A">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63A3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2552B95A">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1855" w:type="dxa"/>
            <w:noWrap w:val="0"/>
            <w:vAlign w:val="top"/>
          </w:tcPr>
          <w:p w14:paraId="3A28BE7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漏电测试仪</w:t>
            </w:r>
          </w:p>
        </w:tc>
        <w:tc>
          <w:tcPr>
            <w:tcW w:w="912" w:type="dxa"/>
            <w:noWrap w:val="0"/>
            <w:vAlign w:val="top"/>
          </w:tcPr>
          <w:p w14:paraId="657EA3F8">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6CB1A30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7B44BD65">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5301B56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75C32D2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2C13E007">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7526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6BA3AE42">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19</w:t>
            </w:r>
          </w:p>
        </w:tc>
        <w:tc>
          <w:tcPr>
            <w:tcW w:w="1855" w:type="dxa"/>
            <w:noWrap w:val="0"/>
            <w:vAlign w:val="top"/>
          </w:tcPr>
          <w:p w14:paraId="1A4881C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相位检测仪</w:t>
            </w:r>
          </w:p>
        </w:tc>
        <w:tc>
          <w:tcPr>
            <w:tcW w:w="912" w:type="dxa"/>
            <w:noWrap w:val="0"/>
            <w:vAlign w:val="top"/>
          </w:tcPr>
          <w:p w14:paraId="564A4132">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00A24D2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1BB826B3">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7BE7A020">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110C68CA">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72F47FD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r w14:paraId="0B6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noWrap w:val="0"/>
            <w:vAlign w:val="top"/>
          </w:tcPr>
          <w:p w14:paraId="0C3DA996">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55" w:type="dxa"/>
            <w:noWrap w:val="0"/>
            <w:vAlign w:val="top"/>
          </w:tcPr>
          <w:p w14:paraId="17773C5B">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912" w:type="dxa"/>
            <w:noWrap w:val="0"/>
            <w:vAlign w:val="top"/>
          </w:tcPr>
          <w:p w14:paraId="710BDF6B">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727" w:type="dxa"/>
            <w:noWrap w:val="0"/>
            <w:vAlign w:val="top"/>
          </w:tcPr>
          <w:p w14:paraId="3009EF1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826" w:type="dxa"/>
            <w:noWrap w:val="0"/>
            <w:vAlign w:val="top"/>
          </w:tcPr>
          <w:p w14:paraId="6F34235F">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965" w:type="dxa"/>
            <w:noWrap w:val="0"/>
            <w:vAlign w:val="top"/>
          </w:tcPr>
          <w:p w14:paraId="4490024C">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380" w:type="dxa"/>
            <w:noWrap w:val="0"/>
            <w:vAlign w:val="top"/>
          </w:tcPr>
          <w:p w14:paraId="6159CD3E">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c>
          <w:tcPr>
            <w:tcW w:w="1130" w:type="dxa"/>
            <w:noWrap w:val="0"/>
            <w:vAlign w:val="top"/>
          </w:tcPr>
          <w:p w14:paraId="544843C1">
            <w:pPr>
              <w:keepNext w:val="0"/>
              <w:keepLines w:val="0"/>
              <w:suppressLineNumbers w:val="0"/>
              <w:shd w:val="clear" w:color="auto" w:fill="auto"/>
              <w:spacing w:before="0" w:beforeAutospacing="0" w:after="0" w:afterAutospacing="0"/>
              <w:ind w:left="0" w:right="0"/>
              <w:jc w:val="center"/>
              <w:rPr>
                <w:rFonts w:hint="eastAsia" w:ascii="仿宋" w:hAnsi="仿宋" w:eastAsia="仿宋" w:cs="仿宋"/>
                <w:color w:val="auto"/>
                <w:szCs w:val="21"/>
                <w:highlight w:val="none"/>
              </w:rPr>
            </w:pPr>
          </w:p>
        </w:tc>
      </w:tr>
    </w:tbl>
    <w:p w14:paraId="41B4DAFA">
      <w:pPr>
        <w:shd w:val="clear" w:color="auto" w:fill="auto"/>
        <w:jc w:val="left"/>
        <w:outlineLvl w:val="2"/>
        <w:rPr>
          <w:rFonts w:hint="eastAsia" w:ascii="仿宋" w:hAnsi="仿宋" w:eastAsia="仿宋" w:cs="仿宋"/>
          <w:color w:val="auto"/>
          <w:spacing w:val="18"/>
          <w:sz w:val="24"/>
          <w:highlight w:val="none"/>
        </w:rPr>
      </w:pPr>
      <w:bookmarkStart w:id="973" w:name="_Toc527969237"/>
      <w:bookmarkStart w:id="974" w:name="_Toc26163"/>
      <w:r>
        <w:rPr>
          <w:rFonts w:hint="eastAsia" w:ascii="仿宋" w:hAnsi="仿宋" w:eastAsia="仿宋" w:cs="仿宋"/>
          <w:color w:val="auto"/>
          <w:highlight w:val="none"/>
        </w:rPr>
        <w:br w:type="page"/>
      </w:r>
      <w:bookmarkStart w:id="975" w:name="_Toc29446"/>
      <w:bookmarkStart w:id="976" w:name="_Toc1548"/>
      <w:bookmarkStart w:id="977" w:name="_Toc29089"/>
      <w:bookmarkStart w:id="978" w:name="_Toc18932"/>
      <w:bookmarkStart w:id="979" w:name="_Toc7130"/>
      <w:bookmarkStart w:id="980" w:name="_Toc9556"/>
      <w:bookmarkStart w:id="981" w:name="_Toc24160"/>
      <w:bookmarkStart w:id="982" w:name="_Toc2271"/>
      <w:bookmarkStart w:id="983" w:name="_Toc6940"/>
      <w:bookmarkStart w:id="984" w:name="_Toc19264"/>
      <w:bookmarkStart w:id="985" w:name="_Toc31704"/>
      <w:bookmarkStart w:id="986" w:name="_Toc21867"/>
      <w:bookmarkStart w:id="987" w:name="_Toc18221"/>
      <w:bookmarkStart w:id="988" w:name="_Toc3321"/>
      <w:r>
        <w:rPr>
          <w:rFonts w:hint="eastAsia" w:ascii="仿宋" w:hAnsi="仿宋" w:eastAsia="仿宋" w:cs="仿宋"/>
          <w:color w:val="auto"/>
          <w:sz w:val="28"/>
          <w:szCs w:val="20"/>
          <w:highlight w:val="none"/>
        </w:rPr>
        <w:t>（</w:t>
      </w:r>
      <w:r>
        <w:rPr>
          <w:rFonts w:hint="eastAsia" w:ascii="仿宋" w:hAnsi="仿宋" w:eastAsia="仿宋" w:cs="仿宋"/>
          <w:color w:val="auto"/>
          <w:sz w:val="28"/>
          <w:szCs w:val="20"/>
          <w:highlight w:val="none"/>
          <w:lang w:val="en-US" w:eastAsia="zh-CN"/>
        </w:rPr>
        <w:t>七</w:t>
      </w:r>
      <w:r>
        <w:rPr>
          <w:rFonts w:hint="eastAsia" w:ascii="仿宋" w:hAnsi="仿宋" w:eastAsia="仿宋" w:cs="仿宋"/>
          <w:color w:val="auto"/>
          <w:sz w:val="28"/>
          <w:szCs w:val="20"/>
          <w:highlight w:val="none"/>
        </w:rPr>
        <w:t>）投标人声明格式</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1F32602C">
      <w:pPr>
        <w:widowControl/>
        <w:shd w:val="clear" w:color="auto" w:fill="auto"/>
        <w:snapToGrid w:val="0"/>
        <w:spacing w:before="260" w:after="260" w:line="360" w:lineRule="auto"/>
        <w:ind w:right="384" w:firstLine="2499" w:firstLineChars="1190"/>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highlight w:val="none"/>
        </w:rPr>
        <w:t xml:space="preserve">        </w:t>
      </w:r>
      <w:r>
        <w:rPr>
          <w:rFonts w:hint="eastAsia" w:ascii="仿宋" w:hAnsi="仿宋" w:eastAsia="仿宋" w:cs="仿宋"/>
          <w:b/>
          <w:bCs/>
          <w:color w:val="auto"/>
          <w:kern w:val="0"/>
          <w:sz w:val="28"/>
          <w:szCs w:val="28"/>
          <w:highlight w:val="none"/>
        </w:rPr>
        <w:t xml:space="preserve">  投标人声明</w:t>
      </w:r>
    </w:p>
    <w:p w14:paraId="27EE2516">
      <w:pPr>
        <w:pStyle w:val="58"/>
        <w:shd w:val="clear" w:color="auto" w:fill="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广州市住房和城乡建设局、广州市天河区建设工程招标管理办公室、广州天河城市建设发展有限公司</w:t>
      </w:r>
      <w:r>
        <w:rPr>
          <w:rFonts w:hint="eastAsia" w:ascii="仿宋" w:hAnsi="仿宋" w:eastAsia="仿宋" w:cs="仿宋"/>
          <w:color w:val="auto"/>
          <w:sz w:val="21"/>
          <w:szCs w:val="21"/>
          <w:highlight w:val="none"/>
        </w:rPr>
        <w:t>：</w:t>
      </w:r>
    </w:p>
    <w:p w14:paraId="68C5A6C6">
      <w:pPr>
        <w:shd w:val="clear" w:color="auto" w:fill="auto"/>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本公司就参加</w:t>
      </w:r>
      <w:r>
        <w:rPr>
          <w:rFonts w:hint="eastAsia" w:ascii="仿宋" w:hAnsi="仿宋" w:eastAsia="仿宋" w:cs="仿宋"/>
          <w:color w:val="auto"/>
          <w:kern w:val="0"/>
          <w:szCs w:val="21"/>
          <w:highlight w:val="none"/>
          <w:u w:val="single"/>
        </w:rPr>
        <w:t xml:space="preserve">             （项目名称）</w:t>
      </w:r>
      <w:r>
        <w:rPr>
          <w:rFonts w:hint="eastAsia" w:ascii="仿宋" w:hAnsi="仿宋" w:eastAsia="仿宋" w:cs="仿宋"/>
          <w:color w:val="auto"/>
          <w:kern w:val="0"/>
          <w:szCs w:val="21"/>
          <w:highlight w:val="none"/>
        </w:rPr>
        <w:t>项目投标工作，作出郑重声明：</w:t>
      </w:r>
    </w:p>
    <w:p w14:paraId="35B0E0AE">
      <w:pPr>
        <w:shd w:val="clear" w:color="auto" w:fill="auto"/>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一、本公司保证投标</w:t>
      </w:r>
      <w:r>
        <w:rPr>
          <w:rFonts w:hint="eastAsia" w:ascii="仿宋" w:hAnsi="仿宋" w:eastAsia="仿宋" w:cs="仿宋"/>
          <w:color w:val="auto"/>
          <w:kern w:val="0"/>
          <w:szCs w:val="21"/>
          <w:highlight w:val="none"/>
          <w:u w:val="single"/>
        </w:rPr>
        <w:t>登记</w:t>
      </w:r>
      <w:r>
        <w:rPr>
          <w:rFonts w:hint="eastAsia" w:ascii="仿宋" w:hAnsi="仿宋" w:eastAsia="仿宋" w:cs="仿宋"/>
          <w:color w:val="auto"/>
          <w:kern w:val="0"/>
          <w:szCs w:val="21"/>
          <w:highlight w:val="none"/>
        </w:rPr>
        <w:t>材料及其后提供的一切材料都是真实的。如我司成为本项目中标候选人，我司同意并授权招标人将我司投标文件商务部分的人员、业绩、奖项等资料进行公开。</w:t>
      </w:r>
    </w:p>
    <w:p w14:paraId="524DD01B">
      <w:pPr>
        <w:shd w:val="clear" w:color="auto" w:fill="auto"/>
        <w:spacing w:line="360" w:lineRule="auto"/>
        <w:ind w:firstLine="422" w:firstLineChars="200"/>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5E4B398A">
      <w:pPr>
        <w:shd w:val="clear" w:color="auto" w:fill="auto"/>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三、本公司不存在招标文件第二章投标人须知第1.4.3项所规定的任何一种情形。</w:t>
      </w:r>
    </w:p>
    <w:p w14:paraId="6D6E7F2F">
      <w:pPr>
        <w:shd w:val="clear" w:color="auto" w:fill="auto"/>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四、本公司及其有隶属关系的机构，没有参加本项目招标文件的编写工作；本公司与本次招标的招标代理机构没有隶属关系或其他利害关系。</w:t>
      </w:r>
    </w:p>
    <w:p w14:paraId="225D40FB">
      <w:pPr>
        <w:shd w:val="clear" w:color="auto" w:fill="auto"/>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五、本公司承诺，中标后严格执行安全生产相关管理规定。</w:t>
      </w:r>
    </w:p>
    <w:p w14:paraId="4FA1B576">
      <w:pPr>
        <w:shd w:val="clear" w:color="auto" w:fill="auto"/>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六、与本公司单位负责人为同一人或者与本公司存在控股、管理关系的其他单位包括：</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。（注：本条由投标人如实填写，如有，应列出全部满足招标公告资质要求的相关单位的名称；如无，则填写“无”。）</w:t>
      </w:r>
    </w:p>
    <w:p w14:paraId="77D8249A">
      <w:pPr>
        <w:shd w:val="clear" w:color="auto" w:fill="auto"/>
        <w:spacing w:line="360" w:lineRule="auto"/>
        <w:ind w:firstLine="422" w:firstLineChars="200"/>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本公司违反上述承诺，或本声明陈述与事实不符，经查实，本公司愿意接受公开通报，愿意按照《广州市建筑市场信用管理办法》（穗建规字﹝2019﹞16号）的规定被记录为失信信息，</w:t>
      </w:r>
      <w:r>
        <w:rPr>
          <w:rFonts w:hint="eastAsia" w:ascii="仿宋" w:hAnsi="仿宋" w:eastAsia="仿宋" w:cs="仿宋"/>
          <w:color w:val="auto"/>
          <w:kern w:val="0"/>
          <w:szCs w:val="21"/>
          <w:highlight w:val="none"/>
        </w:rPr>
        <w:t>承担由此带来的一切后果，并自愿停止参加广州市行政辖区内的招标投标活动三个月。</w:t>
      </w:r>
    </w:p>
    <w:p w14:paraId="5F2B2EF0">
      <w:pPr>
        <w:widowControl/>
        <w:shd w:val="clear" w:color="auto" w:fill="auto"/>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特此声明。</w:t>
      </w:r>
    </w:p>
    <w:p w14:paraId="26991ED5">
      <w:pPr>
        <w:shd w:val="clear" w:color="auto" w:fill="auto"/>
        <w:snapToGrid w:val="0"/>
        <w:spacing w:line="360" w:lineRule="auto"/>
        <w:ind w:firstLine="3845" w:firstLineChars="1831"/>
        <w:rPr>
          <w:rFonts w:hint="eastAsia" w:ascii="仿宋" w:hAnsi="仿宋" w:eastAsia="仿宋" w:cs="仿宋"/>
          <w:color w:val="auto"/>
          <w:szCs w:val="21"/>
          <w:highlight w:val="none"/>
        </w:rPr>
      </w:pPr>
    </w:p>
    <w:p w14:paraId="3CE9DB28">
      <w:pPr>
        <w:shd w:val="clear" w:color="auto" w:fill="auto"/>
        <w:snapToGrid w:val="0"/>
        <w:spacing w:line="360" w:lineRule="auto"/>
        <w:ind w:firstLine="3845" w:firstLineChars="1831"/>
        <w:rPr>
          <w:rFonts w:hint="eastAsia" w:ascii="仿宋" w:hAnsi="仿宋" w:eastAsia="仿宋" w:cs="仿宋"/>
          <w:color w:val="auto"/>
          <w:szCs w:val="21"/>
          <w:highlight w:val="none"/>
        </w:rPr>
      </w:pPr>
      <w:r>
        <w:rPr>
          <w:rFonts w:hint="eastAsia" w:ascii="仿宋" w:hAnsi="仿宋" w:eastAsia="仿宋" w:cs="仿宋"/>
          <w:color w:val="auto"/>
          <w:szCs w:val="21"/>
          <w:highlight w:val="none"/>
        </w:rPr>
        <w:t>声明企业：            (企业公章)</w:t>
      </w:r>
    </w:p>
    <w:p w14:paraId="63A92D34">
      <w:pPr>
        <w:shd w:val="clear" w:color="auto" w:fill="auto"/>
        <w:snapToGrid w:val="0"/>
        <w:spacing w:line="360" w:lineRule="auto"/>
        <w:ind w:firstLine="3845" w:firstLineChars="1831"/>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pacing w:val="18"/>
          <w:szCs w:val="21"/>
          <w:highlight w:val="none"/>
        </w:rPr>
        <w:t>（签名或盖章）</w:t>
      </w:r>
      <w:r>
        <w:rPr>
          <w:rFonts w:hint="eastAsia" w:ascii="仿宋" w:hAnsi="仿宋" w:eastAsia="仿宋" w:cs="仿宋"/>
          <w:color w:val="auto"/>
          <w:szCs w:val="21"/>
          <w:highlight w:val="none"/>
        </w:rPr>
        <w:t>：</w:t>
      </w:r>
    </w:p>
    <w:p w14:paraId="516503E0">
      <w:pPr>
        <w:shd w:val="clear" w:color="auto" w:fill="auto"/>
        <w:snapToGrid w:val="0"/>
        <w:spacing w:line="360" w:lineRule="auto"/>
        <w:ind w:firstLine="3845" w:firstLineChars="1831"/>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总监理工程师（签名</w:t>
      </w:r>
      <w:r>
        <w:rPr>
          <w:rFonts w:hint="eastAsia" w:ascii="仿宋" w:hAnsi="仿宋" w:eastAsia="仿宋" w:cs="仿宋"/>
          <w:color w:val="auto"/>
          <w:spacing w:val="18"/>
          <w:szCs w:val="21"/>
          <w:highlight w:val="none"/>
        </w:rPr>
        <w:t>或盖章</w:t>
      </w:r>
      <w:r>
        <w:rPr>
          <w:rFonts w:hint="eastAsia" w:ascii="仿宋" w:hAnsi="仿宋" w:eastAsia="仿宋" w:cs="仿宋"/>
          <w:color w:val="auto"/>
          <w:szCs w:val="21"/>
          <w:highlight w:val="none"/>
        </w:rPr>
        <w:t>）：</w:t>
      </w:r>
    </w:p>
    <w:p w14:paraId="6DC8A990">
      <w:pPr>
        <w:shd w:val="clear" w:color="auto" w:fill="auto"/>
        <w:snapToGrid w:val="0"/>
        <w:spacing w:line="360" w:lineRule="auto"/>
        <w:ind w:firstLine="4244" w:firstLineChars="2021"/>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p w14:paraId="7F57D991">
      <w:pPr>
        <w:shd w:val="clear" w:color="auto" w:fill="auto"/>
        <w:rPr>
          <w:rFonts w:hint="eastAsia" w:ascii="仿宋" w:hAnsi="仿宋" w:eastAsia="仿宋" w:cs="仿宋"/>
          <w:b/>
          <w:color w:val="auto"/>
          <w:kern w:val="0"/>
          <w:szCs w:val="21"/>
          <w:highlight w:val="none"/>
        </w:rPr>
      </w:pPr>
    </w:p>
    <w:p w14:paraId="5E399EBE">
      <w:pPr>
        <w:pStyle w:val="2"/>
        <w:keepNext w:val="0"/>
        <w:keepLines w:val="0"/>
        <w:shd w:val="clear" w:color="auto" w:fill="auto"/>
        <w:spacing w:after="0" w:line="413" w:lineRule="auto"/>
        <w:jc w:val="center"/>
        <w:rPr>
          <w:rFonts w:hint="eastAsia" w:ascii="仿宋" w:hAnsi="仿宋" w:eastAsia="仿宋" w:cs="仿宋"/>
          <w:color w:val="auto"/>
          <w:highlight w:val="none"/>
          <w:lang w:val="en-US" w:eastAsia="zh-CN"/>
        </w:rPr>
      </w:pPr>
      <w:bookmarkStart w:id="989" w:name="_Toc14941"/>
      <w:bookmarkStart w:id="990" w:name="_Toc29919"/>
      <w:bookmarkStart w:id="991" w:name="_Toc31349"/>
      <w:bookmarkStart w:id="992" w:name="_Toc21219"/>
      <w:bookmarkStart w:id="993" w:name="_Toc20605"/>
      <w:bookmarkStart w:id="994" w:name="_Toc18551"/>
      <w:bookmarkStart w:id="995" w:name="_Toc2095"/>
      <w:bookmarkStart w:id="996" w:name="_Toc703"/>
      <w:bookmarkStart w:id="997" w:name="_Toc25481"/>
      <w:bookmarkStart w:id="998" w:name="_Toc14966918"/>
      <w:bookmarkStart w:id="999" w:name="_Toc18471"/>
      <w:bookmarkStart w:id="1000" w:name="_Toc28670"/>
      <w:bookmarkStart w:id="1001" w:name="_Toc3508"/>
      <w:bookmarkStart w:id="1002" w:name="_Toc28421"/>
      <w:bookmarkStart w:id="1003" w:name="_Toc22948"/>
      <w:r>
        <w:rPr>
          <w:rFonts w:hint="eastAsia" w:ascii="仿宋" w:hAnsi="仿宋" w:eastAsia="仿宋" w:cs="仿宋"/>
          <w:color w:val="auto"/>
          <w:highlight w:val="none"/>
        </w:rPr>
        <w:br w:type="page"/>
      </w:r>
      <w:bookmarkStart w:id="1004" w:name="_Toc28167"/>
      <w:bookmarkStart w:id="1005" w:name="_Toc7196"/>
      <w:bookmarkStart w:id="1006" w:name="_Toc24198"/>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w:t>
      </w:r>
      <w:bookmarkStart w:id="1007" w:name="_Toc5190"/>
      <w:bookmarkStart w:id="1008" w:name="_Toc26033"/>
      <w:bookmarkStart w:id="1009" w:name="_Toc2905"/>
      <w:r>
        <w:rPr>
          <w:rFonts w:hint="eastAsia" w:ascii="仿宋" w:hAnsi="仿宋" w:eastAsia="仿宋" w:cs="仿宋"/>
          <w:color w:val="auto"/>
          <w:highlight w:val="none"/>
          <w:lang w:val="en-US" w:eastAsia="zh-CN"/>
        </w:rPr>
        <w:t>定标评审资料</w:t>
      </w:r>
      <w:bookmarkEnd w:id="1004"/>
      <w:bookmarkEnd w:id="1005"/>
      <w:bookmarkEnd w:id="1007"/>
      <w:bookmarkEnd w:id="1008"/>
      <w:bookmarkEnd w:id="1009"/>
    </w:p>
    <w:p w14:paraId="2D3E2D47">
      <w:pPr>
        <w:shd w:val="clear" w:color="auto" w:fill="auto"/>
        <w:spacing w:line="360" w:lineRule="auto"/>
        <w:ind w:firstLine="474" w:firstLineChars="226"/>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按招标文件要求提供相关证明材料</w:t>
      </w:r>
      <w:r>
        <w:rPr>
          <w:rFonts w:hint="eastAsia" w:ascii="仿宋" w:hAnsi="仿宋" w:eastAsia="仿宋" w:cs="仿宋"/>
          <w:color w:val="auto"/>
          <w:szCs w:val="21"/>
          <w:highlight w:val="none"/>
          <w:lang w:eastAsia="zh-CN"/>
        </w:rPr>
        <w:t>）</w:t>
      </w:r>
    </w:p>
    <w:p w14:paraId="54E91B65">
      <w:pPr>
        <w:pStyle w:val="2"/>
        <w:keepNext w:val="0"/>
        <w:keepLines w:val="0"/>
        <w:shd w:val="clear" w:color="auto" w:fill="auto"/>
        <w:spacing w:after="0" w:line="413"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br w:type="page"/>
      </w:r>
      <w:bookmarkStart w:id="1010" w:name="_Toc31742"/>
      <w:bookmarkStart w:id="1011" w:name="_Toc28159"/>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rPr>
        <w:t>监理大纲</w:t>
      </w:r>
      <w:bookmarkEnd w:id="973"/>
      <w:bookmarkEnd w:id="974"/>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6"/>
      <w:bookmarkEnd w:id="1010"/>
      <w:bookmarkEnd w:id="1011"/>
    </w:p>
    <w:p w14:paraId="6A5418A6">
      <w:pPr>
        <w:shd w:val="clear" w:color="auto" w:fill="auto"/>
        <w:spacing w:line="360" w:lineRule="auto"/>
        <w:ind w:firstLine="474" w:firstLineChars="226"/>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监理大纲应包括（但不限于）下列内容（投标单位可根据评分表自行增加或调整内容）：</w:t>
      </w:r>
    </w:p>
    <w:p w14:paraId="0C851CD0">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一、监理工程概况；</w:t>
      </w:r>
    </w:p>
    <w:p w14:paraId="03820F0E">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二、监理范围、监理内容；</w:t>
      </w:r>
    </w:p>
    <w:p w14:paraId="450B0B36">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三、监理依据、监理工作目标；</w:t>
      </w:r>
    </w:p>
    <w:p w14:paraId="23C56984">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四、监理机构设置（监理组织架构框图）、岗位职责；</w:t>
      </w:r>
    </w:p>
    <w:p w14:paraId="1FFE89D2">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五、质量控制、进度控制、投资控制措施；</w:t>
      </w:r>
    </w:p>
    <w:p w14:paraId="460F49CD">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六、安全、文明施工管理；</w:t>
      </w:r>
    </w:p>
    <w:p w14:paraId="2065EE43">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七、合同、信息管理方案；</w:t>
      </w:r>
    </w:p>
    <w:p w14:paraId="6C4A3DB1">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八、监理组织协调内容及措施；</w:t>
      </w:r>
    </w:p>
    <w:p w14:paraId="796300C7">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九、监理工作程序、方法和制度；</w:t>
      </w:r>
    </w:p>
    <w:p w14:paraId="3C5C4FCE">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十、会议制度；</w:t>
      </w:r>
    </w:p>
    <w:p w14:paraId="19E49A2B">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十一、工程进度款、工程结算管理；</w:t>
      </w:r>
    </w:p>
    <w:p w14:paraId="6CFB9780">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rPr>
        <w:t>十二、监理工作重点、难点分析；</w:t>
      </w:r>
    </w:p>
    <w:p w14:paraId="202B8DCF">
      <w:pPr>
        <w:shd w:val="clear" w:color="auto" w:fill="auto"/>
        <w:spacing w:line="360" w:lineRule="auto"/>
        <w:ind w:firstLine="474" w:firstLineChars="226"/>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十三、</w:t>
      </w:r>
      <w:r>
        <w:rPr>
          <w:rFonts w:hint="eastAsia" w:ascii="仿宋" w:hAnsi="仿宋" w:eastAsia="仿宋" w:cs="仿宋"/>
          <w:color w:val="auto"/>
          <w:highlight w:val="none"/>
        </w:rPr>
        <w:t>合理化建议。</w:t>
      </w:r>
    </w:p>
    <w:p w14:paraId="255FCA38">
      <w:pPr>
        <w:pStyle w:val="2"/>
        <w:keepNext w:val="0"/>
        <w:keepLines w:val="0"/>
        <w:shd w:val="clear" w:color="auto" w:fill="auto"/>
        <w:spacing w:after="0" w:line="413" w:lineRule="auto"/>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1012" w:name="_Toc12572"/>
      <w:bookmarkStart w:id="1013" w:name="_Toc27296"/>
      <w:bookmarkStart w:id="1014" w:name="_Toc17012"/>
      <w:bookmarkStart w:id="1015" w:name="_Toc540"/>
      <w:bookmarkStart w:id="1016" w:name="_Toc19226"/>
      <w:bookmarkStart w:id="1017" w:name="_Toc5623"/>
      <w:bookmarkStart w:id="1018" w:name="_Toc14966919"/>
      <w:bookmarkStart w:id="1019" w:name="_Toc27842"/>
      <w:bookmarkStart w:id="1020" w:name="_Toc26026"/>
      <w:bookmarkStart w:id="1021" w:name="_Toc17598"/>
      <w:bookmarkStart w:id="1022" w:name="_Toc10063"/>
      <w:bookmarkStart w:id="1023" w:name="_Toc20377"/>
      <w:bookmarkStart w:id="1024" w:name="_Toc4141"/>
      <w:bookmarkStart w:id="1025" w:name="_Toc26614"/>
      <w:bookmarkStart w:id="1026" w:name="_Toc16341"/>
      <w:bookmarkStart w:id="1027" w:name="_Toc527969238"/>
      <w:bookmarkStart w:id="1028" w:name="_Toc1205"/>
      <w:bookmarkStart w:id="1029" w:name="_Toc24604"/>
      <w:bookmarkStart w:id="1030" w:name="_Toc6609"/>
      <w:bookmarkStart w:id="1031" w:name="_Toc21823"/>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投标人认为有必要提供的</w:t>
      </w:r>
      <w:r>
        <w:rPr>
          <w:rFonts w:hint="eastAsia" w:ascii="仿宋" w:hAnsi="仿宋" w:eastAsia="仿宋" w:cs="仿宋"/>
          <w:color w:val="auto"/>
          <w:highlight w:val="none"/>
        </w:rPr>
        <w:t>其他资料</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0EAAD9ED">
      <w:pPr>
        <w:shd w:val="clear" w:color="auto" w:fill="auto"/>
        <w:rPr>
          <w:rFonts w:hint="eastAsia" w:ascii="仿宋" w:hAnsi="仿宋" w:eastAsia="仿宋" w:cs="仿宋"/>
          <w:color w:val="auto"/>
          <w:highlight w:val="none"/>
        </w:rPr>
      </w:pPr>
    </w:p>
    <w:p w14:paraId="4D1443DE">
      <w:pPr>
        <w:shd w:val="clear" w:color="auto" w:fill="auto"/>
        <w:jc w:val="center"/>
        <w:rPr>
          <w:rFonts w:hint="eastAsia" w:ascii="仿宋" w:hAnsi="仿宋" w:eastAsia="仿宋" w:cs="仿宋"/>
          <w:color w:val="auto"/>
          <w:highlight w:val="none"/>
        </w:rPr>
      </w:pPr>
      <w:r>
        <w:rPr>
          <w:rFonts w:hint="eastAsia" w:ascii="仿宋" w:hAnsi="仿宋" w:eastAsia="仿宋" w:cs="仿宋"/>
          <w:color w:val="auto"/>
          <w:highlight w:val="none"/>
        </w:rPr>
        <w:t>投标人认为有必要提交的其他资料，格式自定。</w:t>
      </w:r>
    </w:p>
    <w:p w14:paraId="5DB505EA">
      <w:pPr>
        <w:shd w:val="clear" w:color="auto" w:fill="auto"/>
        <w:rPr>
          <w:rFonts w:hint="eastAsia" w:ascii="仿宋" w:hAnsi="仿宋" w:eastAsia="仿宋" w:cs="仿宋"/>
          <w:color w:val="auto"/>
          <w:highlight w:val="none"/>
        </w:rPr>
      </w:pPr>
    </w:p>
    <w:sectPr>
      <w:pgSz w:w="11906" w:h="16838"/>
      <w:pgMar w:top="1440" w:right="1803" w:bottom="1440" w:left="1803"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altName w:val="等线 Light"/>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B"/>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SimSun-ExtB">
    <w:panose1 w:val="02010609060101010101"/>
    <w:charset w:val="86"/>
    <w:family w:val="auto"/>
    <w:pitch w:val="default"/>
    <w:sig w:usb0="00000001" w:usb1="02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CB90">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BA4C94">
                          <w:pPr>
                            <w:pStyle w:val="26"/>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3ufeUBAADPAwAADgAAAGRycy9lMm9Eb2MueG1srVNNjtMwFN4jcQfL&#10;e5qkSKMqqjsaqAYhIUAa5gCu4zSWbD/LdpuUA8ANWLFhz7l6Dp6dpAPDZhazSd6fv/e+z8/r68Fo&#10;cpQ+KLCMVouSEmkFNMruGb3/cvtqRUmI3DZcg5WMnmSg15uXL9a9q+USOtCN9ARBbKh7x2gXo6uL&#10;IohOGh4W4KTFZAve8Iiu3xeN5z2iG10sy/Kq6ME3zoOQIWB0OybphOifAghtq4TcgjgYaeOI6qXm&#10;ESmFTrlAN3natpUifmrbICPRjCLTmL/YBO1d+habNa/3nrtOiWkE/pQRHnEyXFlseoHa8sjJwav/&#10;oIwSHgK0cSHAFCORrAiyqMpH2tx13MnMBaUO7iJ6eD5Y8fH42RPVMHpFieUGL/z84/v55+/zr2+k&#10;Kl9XSaHehRoL7xyWxuENDLg3czxgMBEfWm/SHykRzKO+p4u+cohEpEOr5WpVYkpgbnYQv3g47nyI&#10;7yQYkgxGPV5g1pUfP4Q4ls4lqZuFW6V1vkRt/wkg5hiReQum04nJOHGy4rAbJno7aE7IDt8Fdu3A&#10;f6Wkx61g1OIjoES/tyh6WqDZ8LOxmw1uBR5kNFIymm/juGgH59W+Q9wqUwnu5hBx7kwnjTH2RhmS&#10;g/ecBZl2Mi3S336ueni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2z3ufeUBAADPAwAA&#10;DgAAAAAAAAABACAAAAAeAQAAZHJzL2Uyb0RvYy54bWxQSwUGAAAAAAYABgBZAQAAdQUAAAAA&#10;">
              <v:fill on="f" focussize="0,0"/>
              <v:stroke on="f"/>
              <v:imagedata o:title=""/>
              <o:lock v:ext="edit" aspectratio="f"/>
              <v:textbox inset="0mm,0mm,0mm,0mm" style="mso-fit-shape-to-text:t;">
                <w:txbxContent>
                  <w:p w14:paraId="0FBA4C94">
                    <w:pPr>
                      <w:pStyle w:val="2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EEC5">
    <w:pPr>
      <w:pStyle w:val="2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2DDF30">
                          <w:pPr>
                            <w:pStyle w:val="26"/>
                            <w:jc w:val="center"/>
                          </w:pPr>
                          <w:r>
                            <w:fldChar w:fldCharType="begin"/>
                          </w:r>
                          <w:r>
                            <w:instrText xml:space="preserve">PAGE   \* MERGEFORMAT</w:instrText>
                          </w:r>
                          <w:r>
                            <w:fldChar w:fldCharType="separate"/>
                          </w:r>
                          <w:r>
                            <w:rPr>
                              <w:lang w:val="zh-CN"/>
                            </w:rPr>
                            <w:t>37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1A2DDF30">
                    <w:pPr>
                      <w:pStyle w:val="26"/>
                      <w:jc w:val="center"/>
                    </w:pPr>
                    <w:r>
                      <w:fldChar w:fldCharType="begin"/>
                    </w:r>
                    <w:r>
                      <w:instrText xml:space="preserve">PAGE   \* MERGEFORMAT</w:instrText>
                    </w:r>
                    <w:r>
                      <w:fldChar w:fldCharType="separate"/>
                    </w:r>
                    <w:r>
                      <w:rPr>
                        <w:lang w:val="zh-CN"/>
                      </w:rP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2EFE3">
    <w:pPr>
      <w:pStyle w:val="17"/>
      <w:tabs>
        <w:tab w:val="left" w:pos="3240"/>
      </w:tabs>
      <w:kinsoku w:val="0"/>
      <w:overflowPunct w:val="0"/>
      <w:spacing w:line="14" w:lineRule="auto"/>
      <w:rPr>
        <w:sz w:val="20"/>
      </w:rPr>
    </w:pPr>
    <w:r>
      <w:rPr>
        <w:rFonts w:hint="eastAsia"/>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D0E89">
    <w:pPr>
      <w:pStyle w:val="31"/>
      <w:ind w:left="420"/>
      <w:jc w:val="right"/>
      <w:rPr>
        <w:rFonts w:hint="eastAsia"/>
        <w:b/>
        <w:bCs/>
        <w:sz w:val="24"/>
        <w:szCs w:val="24"/>
      </w:rPr>
    </w:pPr>
  </w:p>
  <w:p w14:paraId="1BCF0CF2">
    <w:pPr>
      <w:pStyle w:val="31"/>
      <w:ind w:left="420"/>
      <w:jc w:val="right"/>
      <w:rPr>
        <w:rFonts w:hint="eastAsia"/>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9BD9"/>
    <w:multiLevelType w:val="singleLevel"/>
    <w:tmpl w:val="80AB9BD9"/>
    <w:lvl w:ilvl="0" w:tentative="0">
      <w:start w:val="2"/>
      <w:numFmt w:val="chineseCounting"/>
      <w:suff w:val="nothing"/>
      <w:lvlText w:val="（%1）"/>
      <w:lvlJc w:val="left"/>
      <w:rPr>
        <w:rFonts w:hint="eastAsia"/>
      </w:rPr>
    </w:lvl>
  </w:abstractNum>
  <w:abstractNum w:abstractNumId="1">
    <w:nsid w:val="453D1D8E"/>
    <w:multiLevelType w:val="singleLevel"/>
    <w:tmpl w:val="453D1D8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ODRkZjE1ZTg5M2FkNGRkYzY5Y2RmYjkxMjE3ODIifQ=="/>
    <w:docVar w:name="KSO_WPS_MARK_KEY" w:val="d32df79b-36ab-47bf-9f5b-48b56b44982b"/>
  </w:docVars>
  <w:rsids>
    <w:rsidRoot w:val="00172A27"/>
    <w:rsid w:val="000615AD"/>
    <w:rsid w:val="00074F91"/>
    <w:rsid w:val="000908F8"/>
    <w:rsid w:val="000C7EA9"/>
    <w:rsid w:val="00104B00"/>
    <w:rsid w:val="00143328"/>
    <w:rsid w:val="001A401E"/>
    <w:rsid w:val="00203F88"/>
    <w:rsid w:val="00204D62"/>
    <w:rsid w:val="00255EF6"/>
    <w:rsid w:val="00277407"/>
    <w:rsid w:val="002A0AE9"/>
    <w:rsid w:val="003C0052"/>
    <w:rsid w:val="003F5365"/>
    <w:rsid w:val="004045FD"/>
    <w:rsid w:val="0040546B"/>
    <w:rsid w:val="00432728"/>
    <w:rsid w:val="004B74A2"/>
    <w:rsid w:val="00553FBF"/>
    <w:rsid w:val="00591A1B"/>
    <w:rsid w:val="005F1667"/>
    <w:rsid w:val="00617697"/>
    <w:rsid w:val="0061777E"/>
    <w:rsid w:val="006A66D3"/>
    <w:rsid w:val="006C4247"/>
    <w:rsid w:val="006F19D7"/>
    <w:rsid w:val="00766865"/>
    <w:rsid w:val="007A2D73"/>
    <w:rsid w:val="008D2F29"/>
    <w:rsid w:val="008E5FD6"/>
    <w:rsid w:val="00921F00"/>
    <w:rsid w:val="009B2F4A"/>
    <w:rsid w:val="00A05C96"/>
    <w:rsid w:val="00A95B04"/>
    <w:rsid w:val="00B34B50"/>
    <w:rsid w:val="00BA5C4B"/>
    <w:rsid w:val="00DB4F5D"/>
    <w:rsid w:val="00E03964"/>
    <w:rsid w:val="00E356B1"/>
    <w:rsid w:val="00E77D42"/>
    <w:rsid w:val="00EB20A0"/>
    <w:rsid w:val="00EC7CAF"/>
    <w:rsid w:val="00ED0DED"/>
    <w:rsid w:val="00ED0F71"/>
    <w:rsid w:val="00EF0DB6"/>
    <w:rsid w:val="00F608C4"/>
    <w:rsid w:val="00FD5542"/>
    <w:rsid w:val="010E72CB"/>
    <w:rsid w:val="016D50E6"/>
    <w:rsid w:val="020E6679"/>
    <w:rsid w:val="0225595A"/>
    <w:rsid w:val="027B25EB"/>
    <w:rsid w:val="02AD5A20"/>
    <w:rsid w:val="02DF641B"/>
    <w:rsid w:val="03841418"/>
    <w:rsid w:val="03862564"/>
    <w:rsid w:val="0439248C"/>
    <w:rsid w:val="0454399B"/>
    <w:rsid w:val="04727553"/>
    <w:rsid w:val="04AD26A4"/>
    <w:rsid w:val="04CD286F"/>
    <w:rsid w:val="054B3DBD"/>
    <w:rsid w:val="058D3E05"/>
    <w:rsid w:val="06420AD1"/>
    <w:rsid w:val="06511A7E"/>
    <w:rsid w:val="07272049"/>
    <w:rsid w:val="07381AA5"/>
    <w:rsid w:val="07563EAA"/>
    <w:rsid w:val="076A20CF"/>
    <w:rsid w:val="07740DE4"/>
    <w:rsid w:val="07A34CCA"/>
    <w:rsid w:val="07C67361"/>
    <w:rsid w:val="08100DAB"/>
    <w:rsid w:val="083B668E"/>
    <w:rsid w:val="08CB6A8A"/>
    <w:rsid w:val="08F55EAC"/>
    <w:rsid w:val="090109D5"/>
    <w:rsid w:val="090C16CB"/>
    <w:rsid w:val="095D5F02"/>
    <w:rsid w:val="098F14AD"/>
    <w:rsid w:val="09D24094"/>
    <w:rsid w:val="09DE7675"/>
    <w:rsid w:val="0A605F13"/>
    <w:rsid w:val="0AE771CF"/>
    <w:rsid w:val="0B1C5613"/>
    <w:rsid w:val="0B340B73"/>
    <w:rsid w:val="0B7A140A"/>
    <w:rsid w:val="0BD228FC"/>
    <w:rsid w:val="0BF10026"/>
    <w:rsid w:val="0C195A35"/>
    <w:rsid w:val="0C20264F"/>
    <w:rsid w:val="0C9248FE"/>
    <w:rsid w:val="0CAE05E5"/>
    <w:rsid w:val="0CB23AB2"/>
    <w:rsid w:val="0CC033D3"/>
    <w:rsid w:val="0CEA36C2"/>
    <w:rsid w:val="0D68630B"/>
    <w:rsid w:val="0DA707B9"/>
    <w:rsid w:val="0DC935BB"/>
    <w:rsid w:val="0DEA30FF"/>
    <w:rsid w:val="0E080CBD"/>
    <w:rsid w:val="0ED5121E"/>
    <w:rsid w:val="0F204B8F"/>
    <w:rsid w:val="0F2313C4"/>
    <w:rsid w:val="0F2E01F5"/>
    <w:rsid w:val="0F6E1093"/>
    <w:rsid w:val="0F9C3D37"/>
    <w:rsid w:val="0F9E1CC2"/>
    <w:rsid w:val="0FE67ED4"/>
    <w:rsid w:val="10482EA6"/>
    <w:rsid w:val="107621FE"/>
    <w:rsid w:val="10D517D2"/>
    <w:rsid w:val="10DF1A00"/>
    <w:rsid w:val="10FA04DC"/>
    <w:rsid w:val="116379D3"/>
    <w:rsid w:val="11976A11"/>
    <w:rsid w:val="11AC2823"/>
    <w:rsid w:val="11EF02AD"/>
    <w:rsid w:val="12A621C2"/>
    <w:rsid w:val="12BE134B"/>
    <w:rsid w:val="12EA44D8"/>
    <w:rsid w:val="14322C79"/>
    <w:rsid w:val="14337FB3"/>
    <w:rsid w:val="14BC0E10"/>
    <w:rsid w:val="14F1491D"/>
    <w:rsid w:val="15302F73"/>
    <w:rsid w:val="15324752"/>
    <w:rsid w:val="1580258E"/>
    <w:rsid w:val="158540DD"/>
    <w:rsid w:val="15B71EF5"/>
    <w:rsid w:val="15E50F8A"/>
    <w:rsid w:val="15F865AC"/>
    <w:rsid w:val="1610670F"/>
    <w:rsid w:val="162B00EE"/>
    <w:rsid w:val="16383B80"/>
    <w:rsid w:val="16424906"/>
    <w:rsid w:val="165100A4"/>
    <w:rsid w:val="16B1592E"/>
    <w:rsid w:val="16C55134"/>
    <w:rsid w:val="17096113"/>
    <w:rsid w:val="17511F61"/>
    <w:rsid w:val="17685577"/>
    <w:rsid w:val="17752412"/>
    <w:rsid w:val="17825C9C"/>
    <w:rsid w:val="18812820"/>
    <w:rsid w:val="18831A93"/>
    <w:rsid w:val="189F3E98"/>
    <w:rsid w:val="18BA4824"/>
    <w:rsid w:val="190C4BC0"/>
    <w:rsid w:val="19295E5A"/>
    <w:rsid w:val="19621278"/>
    <w:rsid w:val="19B33E37"/>
    <w:rsid w:val="19DE5FC9"/>
    <w:rsid w:val="19E67B09"/>
    <w:rsid w:val="19F905CF"/>
    <w:rsid w:val="19FD4C46"/>
    <w:rsid w:val="1B1C65AF"/>
    <w:rsid w:val="1BD823FF"/>
    <w:rsid w:val="1C9B67B1"/>
    <w:rsid w:val="1D3079BA"/>
    <w:rsid w:val="1D8F2767"/>
    <w:rsid w:val="1DD05FE6"/>
    <w:rsid w:val="1E4748DA"/>
    <w:rsid w:val="1EAA7010"/>
    <w:rsid w:val="1EC2472B"/>
    <w:rsid w:val="1F7E7512"/>
    <w:rsid w:val="1F9E2793"/>
    <w:rsid w:val="1FA75A7B"/>
    <w:rsid w:val="1FFE563E"/>
    <w:rsid w:val="20795DD4"/>
    <w:rsid w:val="22207409"/>
    <w:rsid w:val="226D2509"/>
    <w:rsid w:val="2272101E"/>
    <w:rsid w:val="22A96A9B"/>
    <w:rsid w:val="22C43467"/>
    <w:rsid w:val="22C7189B"/>
    <w:rsid w:val="22F23E66"/>
    <w:rsid w:val="22F9173E"/>
    <w:rsid w:val="232D7939"/>
    <w:rsid w:val="234714CD"/>
    <w:rsid w:val="235B7191"/>
    <w:rsid w:val="23F92512"/>
    <w:rsid w:val="24462612"/>
    <w:rsid w:val="24600B19"/>
    <w:rsid w:val="247578DE"/>
    <w:rsid w:val="24C21BC6"/>
    <w:rsid w:val="24C31B83"/>
    <w:rsid w:val="25323514"/>
    <w:rsid w:val="25573B50"/>
    <w:rsid w:val="25A46DC6"/>
    <w:rsid w:val="25C27580"/>
    <w:rsid w:val="263D6A99"/>
    <w:rsid w:val="26AA0CC6"/>
    <w:rsid w:val="26B44569"/>
    <w:rsid w:val="26CC32B5"/>
    <w:rsid w:val="26E36F8B"/>
    <w:rsid w:val="26E752A0"/>
    <w:rsid w:val="27027AE5"/>
    <w:rsid w:val="27557D2F"/>
    <w:rsid w:val="2770068A"/>
    <w:rsid w:val="278F55A2"/>
    <w:rsid w:val="27DE0390"/>
    <w:rsid w:val="27FD5B3E"/>
    <w:rsid w:val="28283EF8"/>
    <w:rsid w:val="289A6D28"/>
    <w:rsid w:val="29163C7F"/>
    <w:rsid w:val="292D0D4D"/>
    <w:rsid w:val="293C1580"/>
    <w:rsid w:val="29792CD5"/>
    <w:rsid w:val="299361AE"/>
    <w:rsid w:val="29A504DF"/>
    <w:rsid w:val="2A0F7B8F"/>
    <w:rsid w:val="2A700953"/>
    <w:rsid w:val="2A9F7442"/>
    <w:rsid w:val="2B20072F"/>
    <w:rsid w:val="2B293EAF"/>
    <w:rsid w:val="2B865383"/>
    <w:rsid w:val="2B887514"/>
    <w:rsid w:val="2BB747AB"/>
    <w:rsid w:val="2BD87A25"/>
    <w:rsid w:val="2BEA6B32"/>
    <w:rsid w:val="2C3229FF"/>
    <w:rsid w:val="2C3A7058"/>
    <w:rsid w:val="2C3E70B5"/>
    <w:rsid w:val="2C642A24"/>
    <w:rsid w:val="2CF63BAD"/>
    <w:rsid w:val="2D1130D2"/>
    <w:rsid w:val="2D283624"/>
    <w:rsid w:val="2D665012"/>
    <w:rsid w:val="2D921806"/>
    <w:rsid w:val="2DE45C71"/>
    <w:rsid w:val="2DF11892"/>
    <w:rsid w:val="2E682BD0"/>
    <w:rsid w:val="2E7013BD"/>
    <w:rsid w:val="2ED1015D"/>
    <w:rsid w:val="2F172E4F"/>
    <w:rsid w:val="2F2607CE"/>
    <w:rsid w:val="2F857965"/>
    <w:rsid w:val="2F8A78F5"/>
    <w:rsid w:val="2FB85BD0"/>
    <w:rsid w:val="30193217"/>
    <w:rsid w:val="30810A34"/>
    <w:rsid w:val="30CC121C"/>
    <w:rsid w:val="314B7C8B"/>
    <w:rsid w:val="317B11F9"/>
    <w:rsid w:val="31BC56B8"/>
    <w:rsid w:val="31CD6F8B"/>
    <w:rsid w:val="31D41A4F"/>
    <w:rsid w:val="31DC3029"/>
    <w:rsid w:val="31ED4B77"/>
    <w:rsid w:val="320507FD"/>
    <w:rsid w:val="324D5094"/>
    <w:rsid w:val="32695FAB"/>
    <w:rsid w:val="328B4877"/>
    <w:rsid w:val="33C33478"/>
    <w:rsid w:val="3436379F"/>
    <w:rsid w:val="3449757E"/>
    <w:rsid w:val="34821CCF"/>
    <w:rsid w:val="35794CAC"/>
    <w:rsid w:val="36435A6D"/>
    <w:rsid w:val="36971C9C"/>
    <w:rsid w:val="3704484F"/>
    <w:rsid w:val="37500502"/>
    <w:rsid w:val="376E7E24"/>
    <w:rsid w:val="37986884"/>
    <w:rsid w:val="39956717"/>
    <w:rsid w:val="39A20594"/>
    <w:rsid w:val="39A42B19"/>
    <w:rsid w:val="39C63A65"/>
    <w:rsid w:val="3A41121E"/>
    <w:rsid w:val="3A4B317A"/>
    <w:rsid w:val="3A5A3308"/>
    <w:rsid w:val="3A9337A6"/>
    <w:rsid w:val="3ACF359C"/>
    <w:rsid w:val="3B137B11"/>
    <w:rsid w:val="3B3B7389"/>
    <w:rsid w:val="3B4535CA"/>
    <w:rsid w:val="3B507136"/>
    <w:rsid w:val="3B63067C"/>
    <w:rsid w:val="3B890D1C"/>
    <w:rsid w:val="3C097F87"/>
    <w:rsid w:val="3C0D5838"/>
    <w:rsid w:val="3C73681C"/>
    <w:rsid w:val="3C762B1A"/>
    <w:rsid w:val="3C8F13A7"/>
    <w:rsid w:val="3D0C44E9"/>
    <w:rsid w:val="3D1612C7"/>
    <w:rsid w:val="3D6E0282"/>
    <w:rsid w:val="3EF86EDA"/>
    <w:rsid w:val="3F1243CE"/>
    <w:rsid w:val="3F490DEA"/>
    <w:rsid w:val="3F5A2000"/>
    <w:rsid w:val="3F6F6431"/>
    <w:rsid w:val="3FA4233B"/>
    <w:rsid w:val="40104C12"/>
    <w:rsid w:val="40A806AD"/>
    <w:rsid w:val="40AD5855"/>
    <w:rsid w:val="4143163B"/>
    <w:rsid w:val="41793A79"/>
    <w:rsid w:val="41804289"/>
    <w:rsid w:val="41AC554D"/>
    <w:rsid w:val="427F0BA0"/>
    <w:rsid w:val="42C06130"/>
    <w:rsid w:val="42FD45ED"/>
    <w:rsid w:val="438A4004"/>
    <w:rsid w:val="43BD6D26"/>
    <w:rsid w:val="43C0313E"/>
    <w:rsid w:val="43FB595D"/>
    <w:rsid w:val="449D6145"/>
    <w:rsid w:val="44AC00B9"/>
    <w:rsid w:val="457110FB"/>
    <w:rsid w:val="45934B33"/>
    <w:rsid w:val="45AD208A"/>
    <w:rsid w:val="46C46755"/>
    <w:rsid w:val="46E4394D"/>
    <w:rsid w:val="46EC570E"/>
    <w:rsid w:val="46F956FF"/>
    <w:rsid w:val="47096365"/>
    <w:rsid w:val="47194A84"/>
    <w:rsid w:val="4776150E"/>
    <w:rsid w:val="47C84DB1"/>
    <w:rsid w:val="47E1473F"/>
    <w:rsid w:val="48CC307C"/>
    <w:rsid w:val="48F675A5"/>
    <w:rsid w:val="4941170B"/>
    <w:rsid w:val="497354A5"/>
    <w:rsid w:val="49A40B61"/>
    <w:rsid w:val="49BB77E8"/>
    <w:rsid w:val="49D35E2D"/>
    <w:rsid w:val="4A5D1C5D"/>
    <w:rsid w:val="4A884CDB"/>
    <w:rsid w:val="4A99195B"/>
    <w:rsid w:val="4AC23DC9"/>
    <w:rsid w:val="4AED51DB"/>
    <w:rsid w:val="4AF46791"/>
    <w:rsid w:val="4B94223B"/>
    <w:rsid w:val="4BDC58A3"/>
    <w:rsid w:val="4CAB0851"/>
    <w:rsid w:val="4CD45DA7"/>
    <w:rsid w:val="4CE108CB"/>
    <w:rsid w:val="4D627302"/>
    <w:rsid w:val="4D75441B"/>
    <w:rsid w:val="4DA20175"/>
    <w:rsid w:val="4E9675AB"/>
    <w:rsid w:val="4EA90757"/>
    <w:rsid w:val="4F082F58"/>
    <w:rsid w:val="4F2E04D0"/>
    <w:rsid w:val="4F5046A3"/>
    <w:rsid w:val="4F50502B"/>
    <w:rsid w:val="4F5D79AD"/>
    <w:rsid w:val="4FAC0B4A"/>
    <w:rsid w:val="4FC73F0A"/>
    <w:rsid w:val="50493BA5"/>
    <w:rsid w:val="505B5F66"/>
    <w:rsid w:val="508A1926"/>
    <w:rsid w:val="512D43E5"/>
    <w:rsid w:val="515626A1"/>
    <w:rsid w:val="52463795"/>
    <w:rsid w:val="52BC5DCE"/>
    <w:rsid w:val="5317642D"/>
    <w:rsid w:val="536A3000"/>
    <w:rsid w:val="53A247CD"/>
    <w:rsid w:val="53C8684F"/>
    <w:rsid w:val="544202CB"/>
    <w:rsid w:val="54515D3D"/>
    <w:rsid w:val="54A55E67"/>
    <w:rsid w:val="54B80F78"/>
    <w:rsid w:val="557A6937"/>
    <w:rsid w:val="55AB16CC"/>
    <w:rsid w:val="55B21A15"/>
    <w:rsid w:val="55E02539"/>
    <w:rsid w:val="561E49EC"/>
    <w:rsid w:val="565915CA"/>
    <w:rsid w:val="5673566C"/>
    <w:rsid w:val="567D5EF0"/>
    <w:rsid w:val="568036C9"/>
    <w:rsid w:val="569112BE"/>
    <w:rsid w:val="56CB72F5"/>
    <w:rsid w:val="57561457"/>
    <w:rsid w:val="575C4B36"/>
    <w:rsid w:val="57E06360"/>
    <w:rsid w:val="5892279D"/>
    <w:rsid w:val="58BD51C8"/>
    <w:rsid w:val="58CF5082"/>
    <w:rsid w:val="5910016D"/>
    <w:rsid w:val="591954CE"/>
    <w:rsid w:val="593F5C02"/>
    <w:rsid w:val="59442F30"/>
    <w:rsid w:val="596F42CF"/>
    <w:rsid w:val="59BF18E1"/>
    <w:rsid w:val="5A8A2F33"/>
    <w:rsid w:val="5AA706FB"/>
    <w:rsid w:val="5B780F87"/>
    <w:rsid w:val="5B7C6694"/>
    <w:rsid w:val="5B8524B6"/>
    <w:rsid w:val="5B957C9A"/>
    <w:rsid w:val="5BF101DD"/>
    <w:rsid w:val="5C047F86"/>
    <w:rsid w:val="5C4250FC"/>
    <w:rsid w:val="5C8445D7"/>
    <w:rsid w:val="5C860390"/>
    <w:rsid w:val="5CCA4D88"/>
    <w:rsid w:val="5D084F7F"/>
    <w:rsid w:val="5D132369"/>
    <w:rsid w:val="5D2D0C32"/>
    <w:rsid w:val="5D4B6AD8"/>
    <w:rsid w:val="5D86767D"/>
    <w:rsid w:val="5DB449D7"/>
    <w:rsid w:val="5DE90E3F"/>
    <w:rsid w:val="5E3F0130"/>
    <w:rsid w:val="5E554853"/>
    <w:rsid w:val="5E70341E"/>
    <w:rsid w:val="60056835"/>
    <w:rsid w:val="60187569"/>
    <w:rsid w:val="605C6783"/>
    <w:rsid w:val="60921F86"/>
    <w:rsid w:val="609716A6"/>
    <w:rsid w:val="61316FC7"/>
    <w:rsid w:val="615000A2"/>
    <w:rsid w:val="61564EFF"/>
    <w:rsid w:val="618E4F99"/>
    <w:rsid w:val="62BD1E25"/>
    <w:rsid w:val="63043C87"/>
    <w:rsid w:val="636537F7"/>
    <w:rsid w:val="6371225B"/>
    <w:rsid w:val="63987373"/>
    <w:rsid w:val="63CA2346"/>
    <w:rsid w:val="63E833CF"/>
    <w:rsid w:val="63EF1280"/>
    <w:rsid w:val="643D1F0E"/>
    <w:rsid w:val="64454AED"/>
    <w:rsid w:val="644840E3"/>
    <w:rsid w:val="644C1AE9"/>
    <w:rsid w:val="64562060"/>
    <w:rsid w:val="64842BF4"/>
    <w:rsid w:val="64945292"/>
    <w:rsid w:val="64E53D97"/>
    <w:rsid w:val="655F0EAB"/>
    <w:rsid w:val="65AE7F5D"/>
    <w:rsid w:val="662E10DE"/>
    <w:rsid w:val="66314170"/>
    <w:rsid w:val="66BB56F6"/>
    <w:rsid w:val="66FA5E1C"/>
    <w:rsid w:val="670523B4"/>
    <w:rsid w:val="671C6D69"/>
    <w:rsid w:val="676550B0"/>
    <w:rsid w:val="67736A43"/>
    <w:rsid w:val="67D275BF"/>
    <w:rsid w:val="684A3C7F"/>
    <w:rsid w:val="69610649"/>
    <w:rsid w:val="69D31DDE"/>
    <w:rsid w:val="69E0792C"/>
    <w:rsid w:val="6A421454"/>
    <w:rsid w:val="6AC27D48"/>
    <w:rsid w:val="6B7473C9"/>
    <w:rsid w:val="6B762166"/>
    <w:rsid w:val="6BA45A10"/>
    <w:rsid w:val="6BEF7619"/>
    <w:rsid w:val="6C0D6CD2"/>
    <w:rsid w:val="6C1E2920"/>
    <w:rsid w:val="6C482B87"/>
    <w:rsid w:val="6C547446"/>
    <w:rsid w:val="6C5C4853"/>
    <w:rsid w:val="6C806492"/>
    <w:rsid w:val="6D012DF3"/>
    <w:rsid w:val="6D150720"/>
    <w:rsid w:val="6D47798B"/>
    <w:rsid w:val="6D701D93"/>
    <w:rsid w:val="6DE156BA"/>
    <w:rsid w:val="6E6273B5"/>
    <w:rsid w:val="6E875520"/>
    <w:rsid w:val="6E9811FE"/>
    <w:rsid w:val="6E9F13A4"/>
    <w:rsid w:val="6EE67EE2"/>
    <w:rsid w:val="6F607449"/>
    <w:rsid w:val="6F664697"/>
    <w:rsid w:val="6F764ECD"/>
    <w:rsid w:val="6FB47C6D"/>
    <w:rsid w:val="6FDB17CA"/>
    <w:rsid w:val="6FDD6746"/>
    <w:rsid w:val="6FFE2A17"/>
    <w:rsid w:val="701363A4"/>
    <w:rsid w:val="704E170E"/>
    <w:rsid w:val="70840695"/>
    <w:rsid w:val="709364B2"/>
    <w:rsid w:val="709976F3"/>
    <w:rsid w:val="70A03C77"/>
    <w:rsid w:val="70A5645C"/>
    <w:rsid w:val="711E6125"/>
    <w:rsid w:val="713F6BA8"/>
    <w:rsid w:val="727C443A"/>
    <w:rsid w:val="73D3248C"/>
    <w:rsid w:val="73F73FF7"/>
    <w:rsid w:val="74012CB3"/>
    <w:rsid w:val="74214194"/>
    <w:rsid w:val="74E41CD4"/>
    <w:rsid w:val="74FC737A"/>
    <w:rsid w:val="76EC6E61"/>
    <w:rsid w:val="77A108D3"/>
    <w:rsid w:val="77B95F79"/>
    <w:rsid w:val="783B0AD1"/>
    <w:rsid w:val="78533D4F"/>
    <w:rsid w:val="78673D15"/>
    <w:rsid w:val="78A6188C"/>
    <w:rsid w:val="78C1289A"/>
    <w:rsid w:val="78C57FF6"/>
    <w:rsid w:val="79011137"/>
    <w:rsid w:val="790B0CB5"/>
    <w:rsid w:val="794E79AC"/>
    <w:rsid w:val="795B7CA1"/>
    <w:rsid w:val="7A5231D2"/>
    <w:rsid w:val="7AA2398F"/>
    <w:rsid w:val="7ADE34E7"/>
    <w:rsid w:val="7B197C05"/>
    <w:rsid w:val="7B352807"/>
    <w:rsid w:val="7B407A5C"/>
    <w:rsid w:val="7BE343EF"/>
    <w:rsid w:val="7C6536ED"/>
    <w:rsid w:val="7CF26059"/>
    <w:rsid w:val="7D202558"/>
    <w:rsid w:val="7D9C62F5"/>
    <w:rsid w:val="7DEF0E71"/>
    <w:rsid w:val="7EBF1B5C"/>
    <w:rsid w:val="7EDF2178"/>
    <w:rsid w:val="7F14620B"/>
    <w:rsid w:val="FB7DFF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1" w:name="index 2" w:locked="1"/>
    <w:lsdException w:uiPriority="1" w:name="index 3" w:locked="1"/>
    <w:lsdException w:uiPriority="1" w:name="index 4" w:locked="1"/>
    <w:lsdException w:uiPriority="1" w:name="index 5" w:locked="1"/>
    <w:lsdException w:uiPriority="1" w:name="index 6" w:locked="1"/>
    <w:lsdException w:uiPriority="1" w:name="index 7" w:locked="1"/>
    <w:lsdException w:uiPriority="1" w:name="index 8" w:locked="1"/>
    <w:lsdException w:uiPriority="1"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1"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1" w:name="index heading" w:locked="1"/>
    <w:lsdException w:qFormat="1" w:uiPriority="0" w:name="caption"/>
    <w:lsdException w:uiPriority="1" w:name="table of figures" w:locked="1"/>
    <w:lsdException w:uiPriority="1" w:name="envelope address" w:locked="1"/>
    <w:lsdException w:qFormat="1" w:unhideWhenUsed="0" w:uiPriority="0" w:semiHidden="0" w:name="envelope return" w:locked="1"/>
    <w:lsdException w:qFormat="1" w:unhideWhenUsed="0" w:uiPriority="0" w:semiHidden="0" w:name="footnote reference"/>
    <w:lsdException w:qFormat="1" w:unhideWhenUsed="0" w:uiPriority="99" w:semiHidden="0" w:name="annotation reference"/>
    <w:lsdException w:uiPriority="1" w:name="line number" w:locked="1"/>
    <w:lsdException w:qFormat="1" w:unhideWhenUsed="0" w:uiPriority="0" w:semiHidden="0" w:name="page number"/>
    <w:lsdException w:uiPriority="1" w:name="endnote reference" w:locked="1"/>
    <w:lsdException w:uiPriority="1" w:name="endnote text" w:locked="1"/>
    <w:lsdException w:uiPriority="1" w:name="table of authorities" w:locked="1"/>
    <w:lsdException w:uiPriority="1" w:name="macro" w:locked="1"/>
    <w:lsdException w:uiPriority="1" w:name="toa heading" w:locked="1"/>
    <w:lsdException w:uiPriority="1" w:name="List" w:locked="1"/>
    <w:lsdException w:uiPriority="1" w:name="List Bullet" w:locked="1"/>
    <w:lsdException w:uiPriority="1" w:name="List Number" w:locked="1"/>
    <w:lsdException w:uiPriority="1" w:name="List 2" w:locked="1"/>
    <w:lsdException w:uiPriority="1" w:name="List 3" w:locked="1"/>
    <w:lsdException w:uiPriority="1" w:name="List 4" w:locked="1"/>
    <w:lsdException w:uiPriority="1" w:name="List 5" w:locked="1"/>
    <w:lsdException w:uiPriority="1" w:name="List Bullet 2" w:locked="1"/>
    <w:lsdException w:uiPriority="1" w:name="List Bullet 3" w:locked="1"/>
    <w:lsdException w:uiPriority="1" w:name="List Bullet 4" w:locked="1"/>
    <w:lsdException w:uiPriority="1" w:name="List Bullet 5" w:locked="1"/>
    <w:lsdException w:uiPriority="1" w:name="List Number 2" w:locked="1"/>
    <w:lsdException w:uiPriority="1" w:name="List Number 3" w:locked="1"/>
    <w:lsdException w:uiPriority="1" w:name="List Number 4" w:locked="1"/>
    <w:lsdException w:uiPriority="1" w:name="List Number 5" w:locked="1"/>
    <w:lsdException w:qFormat="1" w:unhideWhenUsed="0" w:uiPriority="0" w:semiHidden="0" w:name="Title"/>
    <w:lsdException w:uiPriority="1" w:name="Closing" w:locked="1"/>
    <w:lsdException w:uiPriority="1"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iPriority="1" w:name="List Continue" w:locked="1"/>
    <w:lsdException w:uiPriority="1" w:name="List Continue 2" w:locked="1"/>
    <w:lsdException w:uiPriority="1" w:name="List Continue 3" w:locked="1"/>
    <w:lsdException w:uiPriority="1" w:name="List Continue 4" w:locked="1"/>
    <w:lsdException w:uiPriority="1" w:name="List Continue 5" w:locked="1"/>
    <w:lsdException w:uiPriority="1" w:name="Message Header" w:locked="1"/>
    <w:lsdException w:qFormat="1" w:unhideWhenUsed="0" w:uiPriority="0" w:semiHidden="0" w:name="Subtitle"/>
    <w:lsdException w:uiPriority="1"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ocked="1"/>
    <w:lsdException w:qFormat="1" w:unhideWhenUsed="0" w:uiPriority="0" w:semiHidden="0" w:name="Note Heading" w:locked="1"/>
    <w:lsdException w:uiPriority="1" w:name="Body Text 2" w:locked="1"/>
    <w:lsdException w:qFormat="1" w:unhideWhenUsed="0" w:uiPriority="0" w:semiHidden="0" w:name="Body Text 3"/>
    <w:lsdException w:uiPriority="1" w:name="Body Text Indent 2" w:locked="1"/>
    <w:lsdException w:qFormat="1" w:unhideWhenUsed="0" w:uiPriority="0" w:semiHidden="0" w:name="Body Text Indent 3"/>
    <w:lsdException w:uiPriority="1" w:name="Block Text" w:locked="1"/>
    <w:lsdException w:qFormat="1" w:unhideWhenUsed="0" w:uiPriority="99" w:semiHidden="0" w:name="Hyperlink"/>
    <w:lsdException w:uiPriority="1" w:name="FollowedHyperlink" w:locked="1"/>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1" w:name="E-mail Signature" w:locked="1"/>
    <w:lsdException w:qFormat="1" w:unhideWhenUsed="0" w:uiPriority="99" w:semiHidden="0" w:name="Normal (Web)"/>
    <w:lsdException w:uiPriority="1" w:name="HTML Acronym" w:locked="1"/>
    <w:lsdException w:uiPriority="1" w:name="HTML Address" w:locked="1"/>
    <w:lsdException w:uiPriority="1" w:name="HTML Cite" w:locked="1"/>
    <w:lsdException w:uiPriority="1" w:name="HTML Code" w:locked="1"/>
    <w:lsdException w:uiPriority="1" w:name="HTML Definition" w:locked="1"/>
    <w:lsdException w:uiPriority="1" w:name="HTML Keyboard" w:locked="1"/>
    <w:lsdException w:uiPriority="1" w:name="HTML Preformatted" w:locked="1"/>
    <w:lsdException w:uiPriority="1" w:name="HTML Sample" w:locked="1"/>
    <w:lsdException w:uiPriority="1" w:name="HTML Typewriter" w:locked="1"/>
    <w:lsdException w:uiPriority="1" w:name="HTML Variable" w:locked="1"/>
    <w:lsdException w:qFormat="1" w:uiPriority="99" w:semiHidden="0" w:name="Normal Table"/>
    <w:lsdException w:qFormat="1" w:unhideWhenUsed="0" w:uiPriority="0" w:semiHidden="0" w:name="annotation subject"/>
    <w:lsdException w:uiPriority="1" w:name="Table Simple 1" w:locked="1"/>
    <w:lsdException w:uiPriority="1" w:name="Table Simple 2" w:locked="1"/>
    <w:lsdException w:uiPriority="1" w:name="Table Simple 3" w:locked="1"/>
    <w:lsdException w:uiPriority="1" w:name="Table Classic 1" w:locked="1"/>
    <w:lsdException w:uiPriority="1" w:name="Table Classic 2" w:locked="1"/>
    <w:lsdException w:uiPriority="1" w:name="Table Classic 3" w:locked="1"/>
    <w:lsdException w:uiPriority="1" w:name="Table Classic 4" w:locked="1"/>
    <w:lsdException w:uiPriority="1" w:name="Table Colorful 1" w:locked="1"/>
    <w:lsdException w:uiPriority="1" w:name="Table Colorful 2" w:locked="1"/>
    <w:lsdException w:uiPriority="1" w:name="Table Colorful 3" w:locked="1"/>
    <w:lsdException w:uiPriority="1" w:name="Table Columns 1" w:locked="1"/>
    <w:lsdException w:uiPriority="1" w:name="Table Columns 2" w:locked="1"/>
    <w:lsdException w:uiPriority="1" w:name="Table Columns 3" w:locked="1"/>
    <w:lsdException w:uiPriority="1" w:name="Table Columns 4" w:locked="1"/>
    <w:lsdException w:uiPriority="1" w:name="Table Columns 5" w:locked="1"/>
    <w:lsdException w:uiPriority="1" w:name="Table Grid 1" w:locked="1"/>
    <w:lsdException w:uiPriority="1" w:name="Table Grid 2" w:locked="1"/>
    <w:lsdException w:uiPriority="1" w:name="Table Grid 3" w:locked="1"/>
    <w:lsdException w:uiPriority="1" w:name="Table Grid 4" w:locked="1"/>
    <w:lsdException w:uiPriority="1" w:name="Table Grid 5" w:locked="1"/>
    <w:lsdException w:uiPriority="1" w:name="Table Grid 6" w:locked="1"/>
    <w:lsdException w:uiPriority="1" w:name="Table Grid 7" w:locked="1"/>
    <w:lsdException w:uiPriority="1" w:name="Table Grid 8" w:locked="1"/>
    <w:lsdException w:uiPriority="1" w:name="Table List 1" w:locked="1"/>
    <w:lsdException w:uiPriority="1" w:name="Table List 2" w:locked="1"/>
    <w:lsdException w:uiPriority="1" w:name="Table List 3" w:locked="1"/>
    <w:lsdException w:uiPriority="1" w:name="Table List 4" w:locked="1"/>
    <w:lsdException w:uiPriority="1" w:name="Table List 5" w:locked="1"/>
    <w:lsdException w:uiPriority="1" w:name="Table List 6" w:locked="1"/>
    <w:lsdException w:uiPriority="1" w:name="Table List 7" w:locked="1"/>
    <w:lsdException w:uiPriority="1" w:name="Table List 8" w:locked="1"/>
    <w:lsdException w:uiPriority="1" w:name="Table 3D effects 1" w:locked="1"/>
    <w:lsdException w:uiPriority="1" w:name="Table 3D effects 2" w:locked="1"/>
    <w:lsdException w:uiPriority="1" w:name="Table 3D effects 3" w:locked="1"/>
    <w:lsdException w:uiPriority="1" w:name="Table Contemporary" w:locked="1"/>
    <w:lsdException w:uiPriority="1" w:name="Table Elegant" w:locked="1"/>
    <w:lsdException w:uiPriority="1" w:name="Table Professional" w:locked="1"/>
    <w:lsdException w:uiPriority="1" w:name="Table Subtle 1" w:locked="1"/>
    <w:lsdException w:uiPriority="1" w:name="Table Subtle 2" w:locked="1"/>
    <w:lsdException w:uiPriority="1" w:name="Table Web 1" w:locked="1"/>
    <w:lsdException w:uiPriority="1" w:name="Table Web 2" w:locked="1"/>
    <w:lsdException w:uiPriority="1" w:name="Table Web 3" w:locked="1"/>
    <w:lsdException w:qFormat="1" w:unhideWhenUsed="0" w:uiPriority="0" w:semiHidden="0" w:name="Balloon Text"/>
    <w:lsdException w:qFormat="1" w:unhideWhenUsed="0" w:uiPriority="59" w:semiHidden="0" w:name="Table Grid"/>
    <w:lsdException w:uiPriority="1"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87"/>
    <w:qFormat/>
    <w:uiPriority w:val="0"/>
    <w:pPr>
      <w:keepNext/>
      <w:keepLines/>
      <w:spacing w:before="340" w:after="330" w:line="576" w:lineRule="auto"/>
      <w:outlineLvl w:val="0"/>
    </w:pPr>
    <w:rPr>
      <w:rFonts w:ascii="Times New Roman" w:hAnsi="Times New Roman"/>
      <w:b/>
      <w:kern w:val="44"/>
      <w:sz w:val="44"/>
      <w:szCs w:val="20"/>
    </w:rPr>
  </w:style>
  <w:style w:type="paragraph" w:styleId="2">
    <w:name w:val="heading 2"/>
    <w:basedOn w:val="1"/>
    <w:next w:val="1"/>
    <w:link w:val="88"/>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90"/>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92"/>
    <w:qFormat/>
    <w:uiPriority w:val="0"/>
    <w:pPr>
      <w:keepNext/>
      <w:keepLines/>
      <w:spacing w:before="280" w:after="290" w:line="374" w:lineRule="auto"/>
      <w:outlineLvl w:val="3"/>
    </w:pPr>
    <w:rPr>
      <w:rFonts w:ascii="Arial" w:hAnsi="Arial" w:eastAsia="黑体"/>
      <w:b/>
      <w:sz w:val="28"/>
      <w:szCs w:val="20"/>
    </w:rPr>
  </w:style>
  <w:style w:type="paragraph" w:styleId="6">
    <w:name w:val="heading 5"/>
    <w:basedOn w:val="1"/>
    <w:next w:val="1"/>
    <w:link w:val="94"/>
    <w:qFormat/>
    <w:uiPriority w:val="9"/>
    <w:pPr>
      <w:keepNext/>
      <w:keepLines/>
      <w:spacing w:before="280" w:after="290" w:line="376" w:lineRule="auto"/>
      <w:outlineLvl w:val="4"/>
    </w:pPr>
    <w:rPr>
      <w:rFonts w:ascii="Times New Roman" w:hAnsi="Times New Roman"/>
      <w:b/>
      <w:sz w:val="28"/>
      <w:szCs w:val="20"/>
    </w:rPr>
  </w:style>
  <w:style w:type="paragraph" w:styleId="7">
    <w:name w:val="heading 6"/>
    <w:basedOn w:val="1"/>
    <w:next w:val="1"/>
    <w:link w:val="95"/>
    <w:qFormat/>
    <w:uiPriority w:val="0"/>
    <w:pPr>
      <w:keepNext/>
      <w:keepLines/>
      <w:widowControl/>
      <w:tabs>
        <w:tab w:val="left" w:pos="1440"/>
      </w:tabs>
      <w:spacing w:before="240" w:after="64" w:line="319" w:lineRule="auto"/>
      <w:ind w:left="1152" w:hanging="1152"/>
      <w:jc w:val="left"/>
      <w:outlineLvl w:val="5"/>
    </w:pPr>
    <w:rPr>
      <w:rFonts w:ascii="Arial" w:hAnsi="Arial" w:eastAsia="黑体"/>
      <w:b/>
      <w:kern w:val="0"/>
      <w:sz w:val="24"/>
      <w:szCs w:val="20"/>
    </w:rPr>
  </w:style>
  <w:style w:type="paragraph" w:styleId="8">
    <w:name w:val="heading 7"/>
    <w:basedOn w:val="1"/>
    <w:next w:val="1"/>
    <w:link w:val="97"/>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kern w:val="0"/>
      <w:sz w:val="24"/>
      <w:szCs w:val="20"/>
    </w:rPr>
  </w:style>
  <w:style w:type="paragraph" w:styleId="9">
    <w:name w:val="heading 8"/>
    <w:basedOn w:val="1"/>
    <w:next w:val="1"/>
    <w:link w:val="9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9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0"/>
    </w:rPr>
  </w:style>
  <w:style w:type="character" w:default="1" w:styleId="42">
    <w:name w:val="Default Paragraph Font"/>
    <w:unhideWhenUsed/>
    <w:qFormat/>
    <w:uiPriority w:val="1"/>
  </w:style>
  <w:style w:type="table" w:default="1" w:styleId="4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te Heading"/>
    <w:basedOn w:val="1"/>
    <w:next w:val="1"/>
    <w:qFormat/>
    <w:locked/>
    <w:uiPriority w:val="0"/>
    <w:pPr>
      <w:snapToGrid w:val="0"/>
      <w:spacing w:before="120" w:after="120" w:line="320" w:lineRule="exact"/>
      <w:ind w:firstLine="413" w:firstLineChars="200"/>
    </w:pPr>
    <w:rPr>
      <w:rFonts w:ascii="宋体" w:hAnsi="宋体"/>
      <w:b/>
      <w:color w:val="000000"/>
    </w:rPr>
  </w:style>
  <w:style w:type="paragraph" w:styleId="13">
    <w:name w:val="Normal Indent"/>
    <w:basedOn w:val="1"/>
    <w:qFormat/>
    <w:uiPriority w:val="0"/>
    <w:pPr>
      <w:ind w:firstLine="420"/>
    </w:pPr>
  </w:style>
  <w:style w:type="paragraph" w:styleId="14">
    <w:name w:val="Document Map"/>
    <w:basedOn w:val="1"/>
    <w:link w:val="101"/>
    <w:qFormat/>
    <w:uiPriority w:val="0"/>
    <w:rPr>
      <w:rFonts w:ascii="Times New Roman" w:hAnsi="Times New Roman"/>
      <w:kern w:val="0"/>
      <w:sz w:val="2"/>
      <w:szCs w:val="20"/>
    </w:rPr>
  </w:style>
  <w:style w:type="paragraph" w:styleId="15">
    <w:name w:val="annotation text"/>
    <w:basedOn w:val="1"/>
    <w:link w:val="144"/>
    <w:qFormat/>
    <w:uiPriority w:val="99"/>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0"/>
      <w:sz w:val="20"/>
      <w:szCs w:val="20"/>
      <w:lang w:val="en-US" w:eastAsia="zh-CN" w:bidi="ar"/>
    </w:rPr>
  </w:style>
  <w:style w:type="paragraph" w:styleId="16">
    <w:name w:val="Body Text 3"/>
    <w:basedOn w:val="1"/>
    <w:link w:val="105"/>
    <w:qFormat/>
    <w:uiPriority w:val="0"/>
    <w:rPr>
      <w:kern w:val="0"/>
      <w:sz w:val="16"/>
      <w:szCs w:val="16"/>
    </w:rPr>
  </w:style>
  <w:style w:type="paragraph" w:styleId="17">
    <w:name w:val="Body Text"/>
    <w:basedOn w:val="1"/>
    <w:next w:val="18"/>
    <w:link w:val="107"/>
    <w:qFormat/>
    <w:uiPriority w:val="0"/>
    <w:pPr>
      <w:spacing w:after="120"/>
    </w:pPr>
    <w:rPr>
      <w:kern w:val="0"/>
      <w:sz w:val="20"/>
      <w:szCs w:val="20"/>
    </w:rPr>
  </w:style>
  <w:style w:type="paragraph" w:styleId="18">
    <w:name w:val="Date"/>
    <w:basedOn w:val="1"/>
    <w:next w:val="1"/>
    <w:link w:val="111"/>
    <w:qFormat/>
    <w:uiPriority w:val="0"/>
    <w:pPr>
      <w:ind w:left="2500" w:leftChars="2500"/>
    </w:pPr>
    <w:rPr>
      <w:kern w:val="0"/>
      <w:sz w:val="20"/>
      <w:szCs w:val="20"/>
    </w:rPr>
  </w:style>
  <w:style w:type="paragraph" w:styleId="19">
    <w:name w:val="Body Text Indent"/>
    <w:basedOn w:val="1"/>
    <w:next w:val="20"/>
    <w:link w:val="109"/>
    <w:qFormat/>
    <w:uiPriority w:val="0"/>
    <w:pPr>
      <w:spacing w:after="120"/>
      <w:ind w:left="420" w:leftChars="200"/>
    </w:pPr>
    <w:rPr>
      <w:kern w:val="0"/>
      <w:sz w:val="20"/>
      <w:szCs w:val="20"/>
    </w:rPr>
  </w:style>
  <w:style w:type="paragraph" w:styleId="20">
    <w:name w:val="envelope return"/>
    <w:basedOn w:val="1"/>
    <w:qFormat/>
    <w:locked/>
    <w:uiPriority w:val="0"/>
    <w:pPr>
      <w:snapToGrid w:val="0"/>
    </w:pPr>
    <w:rPr>
      <w:rFonts w:ascii="Arial" w:hAnsi="Arial"/>
      <w:szCs w:val="24"/>
    </w:rPr>
  </w:style>
  <w:style w:type="paragraph" w:styleId="21">
    <w:name w:val="toc 5"/>
    <w:basedOn w:val="1"/>
    <w:next w:val="1"/>
    <w:qFormat/>
    <w:uiPriority w:val="39"/>
    <w:pPr>
      <w:ind w:left="800" w:leftChars="800"/>
    </w:pPr>
  </w:style>
  <w:style w:type="paragraph" w:styleId="22">
    <w:name w:val="toc 3"/>
    <w:basedOn w:val="1"/>
    <w:next w:val="1"/>
    <w:qFormat/>
    <w:uiPriority w:val="39"/>
    <w:pPr>
      <w:ind w:left="400" w:leftChars="400"/>
    </w:pPr>
  </w:style>
  <w:style w:type="paragraph" w:styleId="23">
    <w:name w:val="Plain Text"/>
    <w:basedOn w:val="1"/>
    <w:link w:val="85"/>
    <w:qFormat/>
    <w:uiPriority w:val="99"/>
    <w:rPr>
      <w:rFonts w:ascii="宋体" w:hAnsi="Courier New"/>
      <w:kern w:val="0"/>
      <w:szCs w:val="21"/>
    </w:rPr>
  </w:style>
  <w:style w:type="paragraph" w:styleId="24">
    <w:name w:val="toc 8"/>
    <w:basedOn w:val="1"/>
    <w:next w:val="1"/>
    <w:qFormat/>
    <w:uiPriority w:val="39"/>
    <w:pPr>
      <w:ind w:left="1400" w:leftChars="1400"/>
    </w:pPr>
  </w:style>
  <w:style w:type="paragraph" w:styleId="25">
    <w:name w:val="Balloon Text"/>
    <w:basedOn w:val="1"/>
    <w:link w:val="113"/>
    <w:qFormat/>
    <w:uiPriority w:val="0"/>
    <w:rPr>
      <w:sz w:val="18"/>
      <w:szCs w:val="18"/>
    </w:rPr>
  </w:style>
  <w:style w:type="paragraph" w:styleId="26">
    <w:name w:val="footer"/>
    <w:basedOn w:val="1"/>
    <w:link w:val="115"/>
    <w:qFormat/>
    <w:uiPriority w:val="99"/>
    <w:pPr>
      <w:tabs>
        <w:tab w:val="center" w:pos="4153"/>
        <w:tab w:val="right" w:pos="8306"/>
      </w:tabs>
      <w:snapToGrid w:val="0"/>
      <w:jc w:val="left"/>
    </w:pPr>
    <w:rPr>
      <w:kern w:val="0"/>
      <w:sz w:val="18"/>
      <w:szCs w:val="18"/>
    </w:rPr>
  </w:style>
  <w:style w:type="paragraph" w:styleId="27">
    <w:name w:val="header"/>
    <w:basedOn w:val="1"/>
    <w:link w:val="116"/>
    <w:qFormat/>
    <w:uiPriority w:val="0"/>
    <w:pPr>
      <w:tabs>
        <w:tab w:val="center" w:pos="4153"/>
        <w:tab w:val="right" w:pos="8306"/>
      </w:tabs>
      <w:snapToGrid w:val="0"/>
    </w:pPr>
    <w:rPr>
      <w:kern w:val="0"/>
      <w:sz w:val="18"/>
      <w:szCs w:val="18"/>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toc 6"/>
    <w:basedOn w:val="1"/>
    <w:next w:val="1"/>
    <w:qFormat/>
    <w:uiPriority w:val="39"/>
    <w:pPr>
      <w:ind w:left="1000" w:leftChars="1000"/>
    </w:pPr>
  </w:style>
  <w:style w:type="paragraph" w:styleId="31">
    <w:name w:val="Body Text Indent 3"/>
    <w:basedOn w:val="1"/>
    <w:link w:val="118"/>
    <w:qFormat/>
    <w:uiPriority w:val="0"/>
    <w:pPr>
      <w:spacing w:after="120"/>
      <w:ind w:left="200" w:leftChars="200"/>
    </w:pPr>
    <w:rPr>
      <w:kern w:val="0"/>
      <w:sz w:val="16"/>
      <w:szCs w:val="16"/>
    </w:rPr>
  </w:style>
  <w:style w:type="paragraph" w:styleId="32">
    <w:name w:val="toc 2"/>
    <w:basedOn w:val="1"/>
    <w:next w:val="1"/>
    <w:qFormat/>
    <w:uiPriority w:val="39"/>
    <w:pPr>
      <w:ind w:left="200" w:leftChars="200"/>
    </w:pPr>
  </w:style>
  <w:style w:type="paragraph" w:styleId="33">
    <w:name w:val="toc 9"/>
    <w:basedOn w:val="1"/>
    <w:next w:val="1"/>
    <w:qFormat/>
    <w:uiPriority w:val="39"/>
    <w:pPr>
      <w:ind w:left="1600" w:leftChars="1600"/>
    </w:pPr>
  </w:style>
  <w:style w:type="paragraph" w:styleId="34">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5">
    <w:name w:val="index 1"/>
    <w:basedOn w:val="1"/>
    <w:next w:val="1"/>
    <w:qFormat/>
    <w:uiPriority w:val="0"/>
    <w:pPr>
      <w:spacing w:line="220" w:lineRule="exact"/>
      <w:jc w:val="center"/>
    </w:pPr>
    <w:rPr>
      <w:rFonts w:ascii="仿宋_GB2312" w:hAnsi="Times New Roman" w:eastAsia="仿宋_GB2312"/>
      <w:szCs w:val="21"/>
    </w:rPr>
  </w:style>
  <w:style w:type="paragraph" w:styleId="36">
    <w:name w:val="Title"/>
    <w:basedOn w:val="1"/>
    <w:link w:val="120"/>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37">
    <w:name w:val="annotation subject"/>
    <w:basedOn w:val="15"/>
    <w:next w:val="15"/>
    <w:link w:val="117"/>
    <w:qFormat/>
    <w:uiPriority w:val="0"/>
    <w:rPr>
      <w:b/>
      <w:bCs/>
      <w:kern w:val="2"/>
      <w:sz w:val="21"/>
    </w:rPr>
  </w:style>
  <w:style w:type="paragraph" w:styleId="38">
    <w:name w:val="Body Text First Indent"/>
    <w:basedOn w:val="17"/>
    <w:next w:val="39"/>
    <w:link w:val="122"/>
    <w:qFormat/>
    <w:uiPriority w:val="0"/>
    <w:pPr>
      <w:spacing w:line="312" w:lineRule="auto"/>
      <w:ind w:firstLine="420"/>
    </w:pPr>
    <w:rPr>
      <w:kern w:val="2"/>
      <w:sz w:val="21"/>
    </w:rPr>
  </w:style>
  <w:style w:type="paragraph" w:styleId="39">
    <w:name w:val="Body Text First Indent 2"/>
    <w:basedOn w:val="19"/>
    <w:link w:val="108"/>
    <w:qFormat/>
    <w:locked/>
    <w:uiPriority w:val="0"/>
    <w:pPr>
      <w:spacing w:after="120" w:line="240" w:lineRule="auto"/>
      <w:ind w:left="200" w:leftChars="200" w:firstLine="200" w:firstLineChars="200"/>
    </w:pPr>
    <w:rPr>
      <w:rFonts w:ascii="Calibri" w:hAnsi="Calibri"/>
      <w:color w:val="0D0D0D"/>
      <w:kern w:val="2"/>
      <w:sz w:val="21"/>
      <w:szCs w:val="24"/>
      <w:lang w:eastAsia="en-US"/>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character" w:styleId="43">
    <w:name w:val="Strong"/>
    <w:qFormat/>
    <w:uiPriority w:val="0"/>
    <w:rPr>
      <w:rFonts w:cs="Times New Roman"/>
      <w:b/>
    </w:rPr>
  </w:style>
  <w:style w:type="character" w:styleId="44">
    <w:name w:val="page number"/>
    <w:basedOn w:val="42"/>
    <w:qFormat/>
    <w:uiPriority w:val="0"/>
    <w:rPr>
      <w:rFonts w:cs="Times New Roman"/>
    </w:rPr>
  </w:style>
  <w:style w:type="character" w:styleId="45">
    <w:name w:val="Hyperlink"/>
    <w:qFormat/>
    <w:uiPriority w:val="99"/>
    <w:rPr>
      <w:rFonts w:cs="Times New Roman"/>
      <w:color w:val="0000FF"/>
      <w:u w:val="single"/>
    </w:rPr>
  </w:style>
  <w:style w:type="character" w:styleId="46">
    <w:name w:val="annotation reference"/>
    <w:qFormat/>
    <w:uiPriority w:val="99"/>
    <w:rPr>
      <w:rFonts w:cs="Times New Roman"/>
      <w:sz w:val="21"/>
    </w:rPr>
  </w:style>
  <w:style w:type="character" w:styleId="47">
    <w:name w:val="footnote reference"/>
    <w:qFormat/>
    <w:uiPriority w:val="0"/>
    <w:rPr>
      <w:rFonts w:cs="Times New Roman"/>
      <w:vertAlign w:val="superscript"/>
    </w:rPr>
  </w:style>
  <w:style w:type="paragraph" w:customStyle="1" w:styleId="48">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rPr>
  </w:style>
  <w:style w:type="paragraph" w:customStyle="1" w:styleId="49">
    <w:name w:val="我的正文"/>
    <w:basedOn w:val="1"/>
    <w:qFormat/>
    <w:uiPriority w:val="0"/>
    <w:rPr>
      <w:rFonts w:ascii="宋体" w:hAnsi="宋体"/>
      <w:sz w:val="24"/>
      <w:szCs w:val="24"/>
    </w:rPr>
  </w:style>
  <w:style w:type="paragraph" w:customStyle="1" w:styleId="50">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51">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52">
    <w:name w:val="列出段落11"/>
    <w:basedOn w:val="1"/>
    <w:qFormat/>
    <w:uiPriority w:val="0"/>
    <w:pPr>
      <w:ind w:firstLine="420" w:firstLineChars="200"/>
    </w:pPr>
  </w:style>
  <w:style w:type="paragraph" w:customStyle="1" w:styleId="53">
    <w:name w:val="文一"/>
    <w:basedOn w:val="1"/>
    <w:link w:val="112"/>
    <w:qFormat/>
    <w:uiPriority w:val="99"/>
    <w:pPr>
      <w:topLinePunct/>
      <w:adjustRightInd w:val="0"/>
      <w:snapToGrid w:val="0"/>
      <w:spacing w:line="360" w:lineRule="auto"/>
      <w:ind w:firstLine="200" w:firstLineChars="200"/>
    </w:pPr>
    <w:rPr>
      <w:rFonts w:ascii="Times New Roman" w:hAnsi="Times New Roman" w:eastAsia="楷体_GB2312"/>
      <w:snapToGrid w:val="0"/>
      <w:spacing w:val="4"/>
      <w:kern w:val="0"/>
      <w:sz w:val="24"/>
      <w:szCs w:val="20"/>
    </w:rPr>
  </w:style>
  <w:style w:type="paragraph" w:customStyle="1" w:styleId="54">
    <w:name w:val="样式1"/>
    <w:basedOn w:val="1"/>
    <w:next w:val="5"/>
    <w:qFormat/>
    <w:uiPriority w:val="0"/>
    <w:pPr>
      <w:spacing w:line="360" w:lineRule="auto"/>
      <w:ind w:firstLine="420" w:firstLineChars="200"/>
    </w:pPr>
    <w:rPr>
      <w:rFonts w:ascii="宋体" w:hAnsi="宋体"/>
      <w:szCs w:val="21"/>
    </w:rPr>
  </w:style>
  <w:style w:type="paragraph" w:customStyle="1" w:styleId="55">
    <w:name w:val="Table Paragraph"/>
    <w:basedOn w:val="1"/>
    <w:unhideWhenUsed/>
    <w:qFormat/>
    <w:uiPriority w:val="0"/>
  </w:style>
  <w:style w:type="paragraph" w:customStyle="1" w:styleId="56">
    <w:name w:val="_Style 54"/>
    <w:unhideWhenUsed/>
    <w:qFormat/>
    <w:uiPriority w:val="99"/>
    <w:rPr>
      <w:rFonts w:ascii="Calibri" w:hAnsi="Calibri" w:eastAsia="宋体" w:cs="Times New Roman"/>
      <w:kern w:val="2"/>
      <w:sz w:val="21"/>
      <w:szCs w:val="22"/>
      <w:lang w:val="en-US" w:eastAsia="zh-CN" w:bidi="ar-SA"/>
    </w:rPr>
  </w:style>
  <w:style w:type="paragraph" w:customStyle="1" w:styleId="57">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5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p0"/>
    <w:basedOn w:val="1"/>
    <w:qFormat/>
    <w:uiPriority w:val="99"/>
    <w:pPr>
      <w:widowControl/>
    </w:pPr>
    <w:rPr>
      <w:rFonts w:cs="宋体"/>
      <w:kern w:val="0"/>
      <w:szCs w:val="21"/>
    </w:rPr>
  </w:style>
  <w:style w:type="paragraph" w:customStyle="1" w:styleId="6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3">
    <w:name w:val="文二"/>
    <w:basedOn w:val="1"/>
    <w:qFormat/>
    <w:uiPriority w:val="0"/>
    <w:rPr>
      <w:rFonts w:ascii="宋体" w:hAnsi="宋体"/>
      <w:szCs w:val="21"/>
    </w:rPr>
  </w:style>
  <w:style w:type="paragraph" w:customStyle="1" w:styleId="64">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65">
    <w:name w:val="Char1"/>
    <w:basedOn w:val="1"/>
    <w:qFormat/>
    <w:uiPriority w:val="0"/>
    <w:pPr>
      <w:tabs>
        <w:tab w:val="left" w:pos="360"/>
      </w:tabs>
    </w:pPr>
    <w:rPr>
      <w:rFonts w:ascii="Times New Roman" w:hAnsi="Times New Roman"/>
      <w:sz w:val="24"/>
      <w:szCs w:val="20"/>
    </w:rPr>
  </w:style>
  <w:style w:type="paragraph" w:customStyle="1" w:styleId="66">
    <w:name w:val="修订2"/>
    <w:qFormat/>
    <w:uiPriority w:val="0"/>
    <w:rPr>
      <w:rFonts w:ascii="Times New Roman" w:hAnsi="Times New Roman" w:eastAsia="宋体" w:cs="Times New Roman"/>
      <w:kern w:val="2"/>
      <w:sz w:val="21"/>
      <w:szCs w:val="24"/>
      <w:lang w:val="en-US" w:eastAsia="zh-CN" w:bidi="ar-SA"/>
    </w:rPr>
  </w:style>
  <w:style w:type="paragraph" w:customStyle="1" w:styleId="67">
    <w:name w:val="1"/>
    <w:basedOn w:val="1"/>
    <w:qFormat/>
    <w:uiPriority w:val="0"/>
    <w:rPr>
      <w:rFonts w:ascii="Times New Roman" w:hAnsi="Times New Roman"/>
      <w:szCs w:val="20"/>
    </w:rPr>
  </w:style>
  <w:style w:type="paragraph" w:customStyle="1" w:styleId="68">
    <w:name w:val="修订1"/>
    <w:qFormat/>
    <w:uiPriority w:val="0"/>
    <w:rPr>
      <w:rFonts w:ascii="Times New Roman" w:hAnsi="Times New Roman" w:eastAsia="宋体" w:cs="Times New Roman"/>
      <w:kern w:val="2"/>
      <w:sz w:val="21"/>
      <w:lang w:val="en-US" w:eastAsia="zh-CN" w:bidi="ar-SA"/>
    </w:rPr>
  </w:style>
  <w:style w:type="paragraph" w:customStyle="1" w:styleId="69">
    <w:name w:val="列出段落1"/>
    <w:basedOn w:val="1"/>
    <w:qFormat/>
    <w:uiPriority w:val="0"/>
    <w:pPr>
      <w:ind w:firstLine="420" w:firstLineChars="200"/>
    </w:pPr>
  </w:style>
  <w:style w:type="paragraph" w:customStyle="1" w:styleId="70">
    <w:name w:val="表格"/>
    <w:basedOn w:val="1"/>
    <w:qFormat/>
    <w:uiPriority w:val="0"/>
    <w:pPr>
      <w:jc w:val="center"/>
      <w:textAlignment w:val="center"/>
    </w:pPr>
    <w:rPr>
      <w:rFonts w:ascii="华文细黑" w:hAnsi="华文细黑"/>
      <w:kern w:val="0"/>
      <w:szCs w:val="20"/>
    </w:rPr>
  </w:style>
  <w:style w:type="paragraph" w:customStyle="1" w:styleId="7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72">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kern w:val="0"/>
      <w:sz w:val="28"/>
      <w:szCs w:val="20"/>
    </w:rPr>
  </w:style>
  <w:style w:type="paragraph" w:customStyle="1" w:styleId="73">
    <w:name w:val="样式2"/>
    <w:basedOn w:val="4"/>
    <w:qFormat/>
    <w:uiPriority w:val="0"/>
    <w:pPr>
      <w:spacing w:line="415" w:lineRule="auto"/>
      <w:ind w:firstLine="137"/>
    </w:pPr>
    <w:rPr>
      <w:rFonts w:hAnsi="Times New Roman"/>
      <w:bCs/>
      <w:i/>
      <w:szCs w:val="28"/>
    </w:rPr>
  </w:style>
  <w:style w:type="paragraph" w:customStyle="1" w:styleId="74">
    <w:name w:val="修订31"/>
    <w:unhideWhenUsed/>
    <w:qFormat/>
    <w:uiPriority w:val="99"/>
    <w:rPr>
      <w:rFonts w:ascii="Calibri" w:hAnsi="Calibri" w:eastAsia="宋体" w:cs="Times New Roman"/>
      <w:kern w:val="2"/>
      <w:sz w:val="21"/>
      <w:szCs w:val="22"/>
      <w:lang w:val="en-US" w:eastAsia="zh-CN" w:bidi="ar-SA"/>
    </w:rPr>
  </w:style>
  <w:style w:type="paragraph" w:customStyle="1" w:styleId="75">
    <w:name w:val="_Style 23"/>
    <w:basedOn w:val="1"/>
    <w:qFormat/>
    <w:uiPriority w:val="0"/>
    <w:pPr>
      <w:widowControl/>
      <w:spacing w:after="160" w:line="240" w:lineRule="exact"/>
      <w:jc w:val="left"/>
    </w:pPr>
  </w:style>
  <w:style w:type="paragraph" w:customStyle="1" w:styleId="76">
    <w:name w:val="修订4"/>
    <w:unhideWhenUsed/>
    <w:qFormat/>
    <w:uiPriority w:val="99"/>
    <w:rPr>
      <w:rFonts w:ascii="Calibri" w:hAnsi="Calibri" w:eastAsia="宋体" w:cs="Times New Roman"/>
      <w:kern w:val="2"/>
      <w:sz w:val="21"/>
      <w:szCs w:val="22"/>
      <w:lang w:val="en-US" w:eastAsia="zh-CN" w:bidi="ar-SA"/>
    </w:rPr>
  </w:style>
  <w:style w:type="paragraph" w:customStyle="1" w:styleId="77">
    <w:name w:val="修订11"/>
    <w:qFormat/>
    <w:uiPriority w:val="0"/>
    <w:rPr>
      <w:rFonts w:ascii="Times New Roman" w:hAnsi="Times New Roman" w:eastAsia="宋体" w:cs="Times New Roman"/>
      <w:kern w:val="2"/>
      <w:sz w:val="21"/>
      <w:szCs w:val="24"/>
      <w:lang w:val="en-US" w:eastAsia="zh-CN" w:bidi="ar-SA"/>
    </w:rPr>
  </w:style>
  <w:style w:type="paragraph" w:customStyle="1" w:styleId="78">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79">
    <w:name w:val="表中"/>
    <w:basedOn w:val="1"/>
    <w:qFormat/>
    <w:uiPriority w:val="0"/>
    <w:pPr>
      <w:adjustRightInd w:val="0"/>
      <w:spacing w:line="360" w:lineRule="atLeast"/>
      <w:jc w:val="center"/>
      <w:textAlignment w:val="baseline"/>
    </w:pPr>
    <w:rPr>
      <w:kern w:val="0"/>
      <w:szCs w:val="20"/>
    </w:rPr>
  </w:style>
  <w:style w:type="paragraph" w:customStyle="1" w:styleId="80">
    <w:name w:val="修订3"/>
    <w:unhideWhenUsed/>
    <w:qFormat/>
    <w:uiPriority w:val="99"/>
    <w:rPr>
      <w:rFonts w:ascii="Calibri" w:hAnsi="Calibri" w:eastAsia="宋体" w:cs="Times New Roman"/>
      <w:kern w:val="2"/>
      <w:sz w:val="21"/>
      <w:szCs w:val="22"/>
      <w:lang w:val="en-US" w:eastAsia="zh-CN" w:bidi="ar-SA"/>
    </w:rPr>
  </w:style>
  <w:style w:type="character" w:customStyle="1" w:styleId="81">
    <w:name w:val="纯文本 Char1"/>
    <w:semiHidden/>
    <w:qFormat/>
    <w:uiPriority w:val="99"/>
    <w:rPr>
      <w:rFonts w:ascii="宋体" w:hAnsi="Courier New" w:cs="Courier New"/>
      <w:sz w:val="21"/>
      <w:szCs w:val="21"/>
    </w:rPr>
  </w:style>
  <w:style w:type="character" w:customStyle="1" w:styleId="82">
    <w:name w:val="正文文本 Char1"/>
    <w:qFormat/>
    <w:uiPriority w:val="0"/>
    <w:rPr>
      <w:sz w:val="21"/>
    </w:rPr>
  </w:style>
  <w:style w:type="character" w:customStyle="1" w:styleId="83">
    <w:name w:val="Title Char"/>
    <w:qFormat/>
    <w:locked/>
    <w:uiPriority w:val="99"/>
    <w:rPr>
      <w:rFonts w:ascii="Arial" w:hAnsi="Arial" w:eastAsia="宋体"/>
      <w:b/>
      <w:sz w:val="32"/>
    </w:rPr>
  </w:style>
  <w:style w:type="character" w:customStyle="1" w:styleId="84">
    <w:name w:val="Comment Text Char"/>
    <w:qFormat/>
    <w:uiPriority w:val="0"/>
  </w:style>
  <w:style w:type="character" w:customStyle="1" w:styleId="85">
    <w:name w:val="纯文本 Char"/>
    <w:link w:val="23"/>
    <w:qFormat/>
    <w:locked/>
    <w:uiPriority w:val="99"/>
    <w:rPr>
      <w:rFonts w:ascii="宋体" w:hAnsi="Courier New" w:eastAsia="宋体" w:cs="Courier New"/>
      <w:sz w:val="21"/>
      <w:szCs w:val="21"/>
    </w:rPr>
  </w:style>
  <w:style w:type="character" w:customStyle="1" w:styleId="86">
    <w:name w:val="Body Text 3 Char"/>
    <w:qFormat/>
    <w:locked/>
    <w:uiPriority w:val="99"/>
    <w:rPr>
      <w:rFonts w:ascii="宋体" w:hAnsi="Calibri" w:eastAsia="宋体"/>
      <w:kern w:val="2"/>
      <w:sz w:val="24"/>
    </w:rPr>
  </w:style>
  <w:style w:type="character" w:customStyle="1" w:styleId="87">
    <w:name w:val="标题 1 Char"/>
    <w:link w:val="3"/>
    <w:qFormat/>
    <w:locked/>
    <w:uiPriority w:val="0"/>
    <w:rPr>
      <w:rFonts w:eastAsia="宋体" w:cs="Times New Roman"/>
      <w:b/>
      <w:kern w:val="44"/>
      <w:sz w:val="44"/>
    </w:rPr>
  </w:style>
  <w:style w:type="character" w:customStyle="1" w:styleId="88">
    <w:name w:val="标题 2 Char"/>
    <w:link w:val="2"/>
    <w:qFormat/>
    <w:locked/>
    <w:uiPriority w:val="0"/>
    <w:rPr>
      <w:rFonts w:ascii="Arial" w:hAnsi="Arial" w:eastAsia="黑体" w:cs="Times New Roman"/>
      <w:b/>
      <w:kern w:val="2"/>
      <w:sz w:val="32"/>
    </w:rPr>
  </w:style>
  <w:style w:type="character" w:customStyle="1" w:styleId="89">
    <w:name w:val="font161"/>
    <w:qFormat/>
    <w:uiPriority w:val="0"/>
    <w:rPr>
      <w:b/>
      <w:sz w:val="32"/>
    </w:rPr>
  </w:style>
  <w:style w:type="character" w:customStyle="1" w:styleId="90">
    <w:name w:val="标题 3 Char"/>
    <w:link w:val="4"/>
    <w:qFormat/>
    <w:locked/>
    <w:uiPriority w:val="0"/>
    <w:rPr>
      <w:rFonts w:ascii="黑体" w:hAnsi="Calibri" w:eastAsia="黑体" w:cs="Times New Roman"/>
      <w:kern w:val="2"/>
      <w:sz w:val="28"/>
    </w:rPr>
  </w:style>
  <w:style w:type="character" w:customStyle="1" w:styleId="91">
    <w:name w:val="Balloon Text Char"/>
    <w:qFormat/>
    <w:locked/>
    <w:uiPriority w:val="99"/>
    <w:rPr>
      <w:rFonts w:eastAsia="宋体"/>
      <w:kern w:val="2"/>
      <w:sz w:val="18"/>
    </w:rPr>
  </w:style>
  <w:style w:type="character" w:customStyle="1" w:styleId="92">
    <w:name w:val="标题 4 Char"/>
    <w:link w:val="5"/>
    <w:qFormat/>
    <w:locked/>
    <w:uiPriority w:val="0"/>
    <w:rPr>
      <w:rFonts w:ascii="Arial" w:hAnsi="Arial" w:eastAsia="黑体" w:cs="Times New Roman"/>
      <w:b/>
      <w:kern w:val="2"/>
      <w:sz w:val="28"/>
    </w:rPr>
  </w:style>
  <w:style w:type="character" w:customStyle="1" w:styleId="93">
    <w:name w:val="正文文本 3 Char1"/>
    <w:semiHidden/>
    <w:qFormat/>
    <w:uiPriority w:val="99"/>
    <w:rPr>
      <w:rFonts w:ascii="Calibri" w:hAnsi="Calibri"/>
      <w:sz w:val="16"/>
      <w:szCs w:val="16"/>
    </w:rPr>
  </w:style>
  <w:style w:type="character" w:customStyle="1" w:styleId="94">
    <w:name w:val="标题 5 Char"/>
    <w:link w:val="6"/>
    <w:qFormat/>
    <w:locked/>
    <w:uiPriority w:val="9"/>
    <w:rPr>
      <w:rFonts w:eastAsia="宋体" w:cs="Times New Roman"/>
      <w:b/>
      <w:kern w:val="2"/>
      <w:sz w:val="28"/>
    </w:rPr>
  </w:style>
  <w:style w:type="character" w:customStyle="1" w:styleId="95">
    <w:name w:val="标题 6 Char"/>
    <w:link w:val="7"/>
    <w:qFormat/>
    <w:locked/>
    <w:uiPriority w:val="0"/>
    <w:rPr>
      <w:rFonts w:ascii="Arial" w:hAnsi="Arial" w:eastAsia="黑体" w:cs="Times New Roman"/>
      <w:b/>
      <w:sz w:val="24"/>
    </w:rPr>
  </w:style>
  <w:style w:type="character" w:customStyle="1" w:styleId="96">
    <w:name w:val="Comment Text Char1"/>
    <w:qFormat/>
    <w:locked/>
    <w:uiPriority w:val="99"/>
    <w:rPr>
      <w:rFonts w:eastAsia="宋体"/>
      <w:kern w:val="2"/>
      <w:sz w:val="21"/>
    </w:rPr>
  </w:style>
  <w:style w:type="character" w:customStyle="1" w:styleId="97">
    <w:name w:val="标题 7 Char"/>
    <w:link w:val="8"/>
    <w:qFormat/>
    <w:locked/>
    <w:uiPriority w:val="0"/>
    <w:rPr>
      <w:rFonts w:eastAsia="宋体" w:cs="Times New Roman"/>
      <w:b/>
      <w:sz w:val="24"/>
    </w:rPr>
  </w:style>
  <w:style w:type="character" w:customStyle="1" w:styleId="98">
    <w:name w:val="标题 8 Char"/>
    <w:link w:val="9"/>
    <w:qFormat/>
    <w:locked/>
    <w:uiPriority w:val="0"/>
    <w:rPr>
      <w:rFonts w:ascii="Arial" w:hAnsi="Arial" w:eastAsia="黑体" w:cs="Times New Roman"/>
      <w:sz w:val="24"/>
    </w:rPr>
  </w:style>
  <w:style w:type="character" w:customStyle="1" w:styleId="99">
    <w:name w:val="标题 9 Char"/>
    <w:link w:val="10"/>
    <w:qFormat/>
    <w:locked/>
    <w:uiPriority w:val="0"/>
    <w:rPr>
      <w:rFonts w:ascii="Arial" w:hAnsi="Arial" w:eastAsia="黑体" w:cs="Times New Roman"/>
      <w:sz w:val="21"/>
    </w:rPr>
  </w:style>
  <w:style w:type="character" w:customStyle="1" w:styleId="100">
    <w:name w:val="NormalCharacter"/>
    <w:qFormat/>
    <w:uiPriority w:val="0"/>
    <w:rPr>
      <w:rFonts w:ascii="Times New Roman" w:hAnsi="Times New Roman" w:eastAsia="宋体" w:cs="Times New Roman"/>
    </w:rPr>
  </w:style>
  <w:style w:type="character" w:customStyle="1" w:styleId="101">
    <w:name w:val="文档结构图 Char"/>
    <w:link w:val="14"/>
    <w:qFormat/>
    <w:locked/>
    <w:uiPriority w:val="0"/>
    <w:rPr>
      <w:rFonts w:eastAsia="宋体" w:cs="Times New Roman"/>
      <w:sz w:val="2"/>
    </w:rPr>
  </w:style>
  <w:style w:type="character" w:customStyle="1" w:styleId="102">
    <w:name w:val="批注文字 Char2"/>
    <w:qFormat/>
    <w:uiPriority w:val="0"/>
    <w:rPr>
      <w:rFonts w:ascii="Times New Roman" w:hAnsi="Times New Roman"/>
      <w:kern w:val="2"/>
      <w:sz w:val="24"/>
    </w:rPr>
  </w:style>
  <w:style w:type="character" w:customStyle="1" w:styleId="103">
    <w:name w:val="批注文字 Char"/>
    <w:link w:val="15"/>
    <w:qFormat/>
    <w:locked/>
    <w:uiPriority w:val="99"/>
    <w:rPr>
      <w:rFonts w:ascii="Calibri" w:hAnsi="Calibri" w:eastAsia="宋体" w:cs="Times New Roman"/>
    </w:rPr>
  </w:style>
  <w:style w:type="character" w:customStyle="1" w:styleId="104">
    <w:name w:val="Footer Char"/>
    <w:qFormat/>
    <w:locked/>
    <w:uiPriority w:val="99"/>
    <w:rPr>
      <w:rFonts w:ascii="Calibri" w:hAnsi="Calibri" w:eastAsia="宋体"/>
      <w:kern w:val="2"/>
      <w:sz w:val="22"/>
    </w:rPr>
  </w:style>
  <w:style w:type="character" w:customStyle="1" w:styleId="105">
    <w:name w:val="正文文本 3 Char"/>
    <w:link w:val="16"/>
    <w:qFormat/>
    <w:locked/>
    <w:uiPriority w:val="0"/>
    <w:rPr>
      <w:rFonts w:ascii="Calibri" w:hAnsi="Calibri" w:eastAsia="宋体" w:cs="Times New Roman"/>
      <w:sz w:val="16"/>
      <w:szCs w:val="16"/>
    </w:rPr>
  </w:style>
  <w:style w:type="character" w:customStyle="1" w:styleId="106">
    <w:name w:val="Body Text Indent Char"/>
    <w:qFormat/>
    <w:locked/>
    <w:uiPriority w:val="99"/>
    <w:rPr>
      <w:rFonts w:eastAsia="宋体"/>
      <w:kern w:val="2"/>
      <w:sz w:val="21"/>
    </w:rPr>
  </w:style>
  <w:style w:type="character" w:customStyle="1" w:styleId="107">
    <w:name w:val="正文文本 Char"/>
    <w:link w:val="17"/>
    <w:qFormat/>
    <w:locked/>
    <w:uiPriority w:val="0"/>
    <w:rPr>
      <w:rFonts w:ascii="Calibri" w:hAnsi="Calibri" w:eastAsia="宋体" w:cs="Times New Roman"/>
    </w:rPr>
  </w:style>
  <w:style w:type="character" w:customStyle="1" w:styleId="108">
    <w:name w:val="正文首行缩进 2 Char"/>
    <w:link w:val="39"/>
    <w:qFormat/>
    <w:uiPriority w:val="0"/>
    <w:rPr>
      <w:rFonts w:ascii="Calibri" w:hAnsi="Calibri"/>
      <w:color w:val="0D0D0D"/>
      <w:kern w:val="2"/>
      <w:sz w:val="21"/>
      <w:szCs w:val="24"/>
      <w:lang w:eastAsia="en-US"/>
    </w:rPr>
  </w:style>
  <w:style w:type="character" w:customStyle="1" w:styleId="109">
    <w:name w:val="正文文本缩进 Char"/>
    <w:link w:val="19"/>
    <w:qFormat/>
    <w:locked/>
    <w:uiPriority w:val="0"/>
    <w:rPr>
      <w:rFonts w:ascii="Calibri" w:hAnsi="Calibri" w:eastAsia="宋体" w:cs="Times New Roman"/>
    </w:rPr>
  </w:style>
  <w:style w:type="character" w:customStyle="1" w:styleId="110">
    <w:name w:val="Document Map Char"/>
    <w:qFormat/>
    <w:locked/>
    <w:uiPriority w:val="99"/>
    <w:rPr>
      <w:rFonts w:ascii="宋体" w:hAnsi="Calibri" w:eastAsia="宋体"/>
      <w:kern w:val="2"/>
      <w:sz w:val="18"/>
    </w:rPr>
  </w:style>
  <w:style w:type="character" w:customStyle="1" w:styleId="111">
    <w:name w:val="日期 Char"/>
    <w:link w:val="18"/>
    <w:qFormat/>
    <w:locked/>
    <w:uiPriority w:val="0"/>
    <w:rPr>
      <w:rFonts w:ascii="Calibri" w:hAnsi="Calibri" w:eastAsia="宋体" w:cs="Times New Roman"/>
    </w:rPr>
  </w:style>
  <w:style w:type="character" w:customStyle="1" w:styleId="112">
    <w:name w:val="文一 Char Char"/>
    <w:link w:val="53"/>
    <w:qFormat/>
    <w:locked/>
    <w:uiPriority w:val="99"/>
    <w:rPr>
      <w:snapToGrid w:val="0"/>
      <w:spacing w:val="4"/>
      <w:sz w:val="24"/>
    </w:rPr>
  </w:style>
  <w:style w:type="character" w:customStyle="1" w:styleId="113">
    <w:name w:val="批注框文本 Char"/>
    <w:link w:val="25"/>
    <w:qFormat/>
    <w:uiPriority w:val="0"/>
    <w:rPr>
      <w:rFonts w:ascii="Calibri" w:hAnsi="Calibri"/>
      <w:kern w:val="2"/>
      <w:sz w:val="18"/>
      <w:szCs w:val="18"/>
    </w:rPr>
  </w:style>
  <w:style w:type="character" w:customStyle="1" w:styleId="114">
    <w:name w:val="标题 Char1"/>
    <w:qFormat/>
    <w:uiPriority w:val="10"/>
    <w:rPr>
      <w:rFonts w:ascii="Cambria" w:hAnsi="Cambria" w:cs="Times New Roman"/>
      <w:b/>
      <w:bCs/>
      <w:sz w:val="32"/>
      <w:szCs w:val="32"/>
    </w:rPr>
  </w:style>
  <w:style w:type="character" w:customStyle="1" w:styleId="115">
    <w:name w:val="页脚 Char"/>
    <w:link w:val="26"/>
    <w:qFormat/>
    <w:locked/>
    <w:uiPriority w:val="99"/>
    <w:rPr>
      <w:rFonts w:ascii="Calibri" w:hAnsi="Calibri" w:eastAsia="宋体" w:cs="Times New Roman"/>
      <w:sz w:val="18"/>
      <w:szCs w:val="18"/>
    </w:rPr>
  </w:style>
  <w:style w:type="character" w:customStyle="1" w:styleId="116">
    <w:name w:val="页眉 Char"/>
    <w:link w:val="27"/>
    <w:qFormat/>
    <w:locked/>
    <w:uiPriority w:val="0"/>
    <w:rPr>
      <w:rFonts w:ascii="Calibri" w:hAnsi="Calibri" w:eastAsia="宋体" w:cs="Times New Roman"/>
      <w:sz w:val="18"/>
      <w:szCs w:val="18"/>
    </w:rPr>
  </w:style>
  <w:style w:type="character" w:customStyle="1" w:styleId="117">
    <w:name w:val="批注主题 Char"/>
    <w:link w:val="37"/>
    <w:qFormat/>
    <w:locked/>
    <w:uiPriority w:val="0"/>
    <w:rPr>
      <w:rFonts w:ascii="Calibri" w:hAnsi="Calibri" w:eastAsia="宋体" w:cs="Times New Roman"/>
      <w:b/>
      <w:bCs/>
      <w:kern w:val="2"/>
      <w:sz w:val="21"/>
    </w:rPr>
  </w:style>
  <w:style w:type="character" w:customStyle="1" w:styleId="118">
    <w:name w:val="正文文本缩进 3 Char"/>
    <w:link w:val="31"/>
    <w:qFormat/>
    <w:locked/>
    <w:uiPriority w:val="0"/>
    <w:rPr>
      <w:rFonts w:ascii="Calibri" w:hAnsi="Calibri" w:eastAsia="宋体" w:cs="Times New Roman"/>
      <w:sz w:val="16"/>
      <w:szCs w:val="16"/>
    </w:rPr>
  </w:style>
  <w:style w:type="character" w:customStyle="1" w:styleId="119">
    <w:name w:val="批注主题 Char1"/>
    <w:semiHidden/>
    <w:qFormat/>
    <w:uiPriority w:val="99"/>
    <w:rPr>
      <w:rFonts w:ascii="Calibri" w:hAnsi="Calibri"/>
      <w:b/>
      <w:bCs/>
      <w:sz w:val="21"/>
      <w:szCs w:val="22"/>
    </w:rPr>
  </w:style>
  <w:style w:type="character" w:customStyle="1" w:styleId="120">
    <w:name w:val="标题 Char"/>
    <w:link w:val="36"/>
    <w:qFormat/>
    <w:locked/>
    <w:uiPriority w:val="0"/>
    <w:rPr>
      <w:rFonts w:ascii="Cambria" w:hAnsi="Cambria" w:eastAsia="宋体" w:cs="Times New Roman"/>
      <w:b/>
      <w:bCs/>
      <w:sz w:val="32"/>
      <w:szCs w:val="32"/>
    </w:rPr>
  </w:style>
  <w:style w:type="character" w:customStyle="1" w:styleId="121">
    <w:name w:val="正文文本 Char2"/>
    <w:semiHidden/>
    <w:qFormat/>
    <w:uiPriority w:val="99"/>
    <w:rPr>
      <w:rFonts w:ascii="Calibri" w:hAnsi="Calibri"/>
      <w:sz w:val="21"/>
      <w:szCs w:val="22"/>
    </w:rPr>
  </w:style>
  <w:style w:type="character" w:customStyle="1" w:styleId="122">
    <w:name w:val="正文首行缩进 Char"/>
    <w:link w:val="38"/>
    <w:qFormat/>
    <w:locked/>
    <w:uiPriority w:val="0"/>
    <w:rPr>
      <w:rFonts w:ascii="Calibri" w:hAnsi="Calibri" w:eastAsia="宋体" w:cs="Times New Roman"/>
      <w:kern w:val="2"/>
      <w:sz w:val="21"/>
    </w:rPr>
  </w:style>
  <w:style w:type="character" w:customStyle="1" w:styleId="123">
    <w:name w:val="批注框文本 Char1"/>
    <w:semiHidden/>
    <w:qFormat/>
    <w:uiPriority w:val="99"/>
    <w:rPr>
      <w:rFonts w:ascii="Calibri" w:hAnsi="Calibri"/>
      <w:sz w:val="18"/>
      <w:szCs w:val="18"/>
    </w:rPr>
  </w:style>
  <w:style w:type="character" w:customStyle="1" w:styleId="124">
    <w:name w:val="正文文本 Char Char"/>
    <w:qFormat/>
    <w:uiPriority w:val="99"/>
    <w:rPr>
      <w:rFonts w:eastAsia="宋体"/>
      <w:kern w:val="2"/>
      <w:sz w:val="24"/>
      <w:lang w:val="en-US" w:eastAsia="zh-CN"/>
    </w:rPr>
  </w:style>
  <w:style w:type="character" w:customStyle="1" w:styleId="125">
    <w:name w:val="正文首行缩进 Char1"/>
    <w:qFormat/>
    <w:uiPriority w:val="99"/>
    <w:rPr>
      <w:rFonts w:eastAsia="宋体"/>
      <w:kern w:val="2"/>
      <w:sz w:val="21"/>
    </w:rPr>
  </w:style>
  <w:style w:type="character" w:customStyle="1" w:styleId="126">
    <w:name w:val="Body Text First Indent Char"/>
    <w:qFormat/>
    <w:locked/>
    <w:uiPriority w:val="99"/>
    <w:rPr>
      <w:rFonts w:eastAsia="宋体"/>
      <w:kern w:val="2"/>
      <w:sz w:val="24"/>
      <w:lang w:val="en-US" w:eastAsia="zh-CN"/>
    </w:rPr>
  </w:style>
  <w:style w:type="character" w:customStyle="1" w:styleId="127">
    <w:name w:val="Plain Text Char"/>
    <w:qFormat/>
    <w:locked/>
    <w:uiPriority w:val="99"/>
    <w:rPr>
      <w:rFonts w:ascii="宋体" w:hAnsi="Calibri" w:eastAsia="宋体"/>
      <w:kern w:val="2"/>
      <w:sz w:val="22"/>
    </w:rPr>
  </w:style>
  <w:style w:type="character" w:customStyle="1" w:styleId="128">
    <w:name w:val="Body Text Char"/>
    <w:qFormat/>
    <w:locked/>
    <w:uiPriority w:val="99"/>
    <w:rPr>
      <w:rFonts w:eastAsia="宋体"/>
      <w:kern w:val="2"/>
      <w:sz w:val="21"/>
    </w:rPr>
  </w:style>
  <w:style w:type="character" w:customStyle="1" w:styleId="129">
    <w:name w:val="正文文本缩进 3 Char1"/>
    <w:semiHidden/>
    <w:qFormat/>
    <w:uiPriority w:val="99"/>
    <w:rPr>
      <w:rFonts w:ascii="Calibri" w:hAnsi="Calibri"/>
      <w:sz w:val="16"/>
      <w:szCs w:val="16"/>
    </w:rPr>
  </w:style>
  <w:style w:type="character" w:customStyle="1" w:styleId="130">
    <w:name w:val="日期 Char1"/>
    <w:semiHidden/>
    <w:qFormat/>
    <w:uiPriority w:val="99"/>
    <w:rPr>
      <w:rFonts w:ascii="Calibri" w:hAnsi="Calibri"/>
      <w:sz w:val="21"/>
      <w:szCs w:val="22"/>
    </w:rPr>
  </w:style>
  <w:style w:type="character" w:customStyle="1" w:styleId="131">
    <w:name w:val="Comment Subject Char"/>
    <w:qFormat/>
    <w:locked/>
    <w:uiPriority w:val="99"/>
    <w:rPr>
      <w:rFonts w:eastAsia="宋体"/>
      <w:kern w:val="2"/>
      <w:sz w:val="21"/>
    </w:rPr>
  </w:style>
  <w:style w:type="character" w:customStyle="1" w:styleId="132">
    <w:name w:val="正文文本缩进 Char1"/>
    <w:semiHidden/>
    <w:qFormat/>
    <w:uiPriority w:val="99"/>
    <w:rPr>
      <w:rFonts w:ascii="Calibri" w:hAnsi="Calibri"/>
      <w:sz w:val="21"/>
      <w:szCs w:val="22"/>
    </w:rPr>
  </w:style>
  <w:style w:type="character" w:customStyle="1" w:styleId="133">
    <w:name w:val="文一 Char"/>
    <w:qFormat/>
    <w:locked/>
    <w:uiPriority w:val="0"/>
    <w:rPr>
      <w:snapToGrid w:val="0"/>
      <w:spacing w:val="4"/>
      <w:sz w:val="24"/>
      <w:szCs w:val="24"/>
    </w:rPr>
  </w:style>
  <w:style w:type="character" w:customStyle="1" w:styleId="134">
    <w:name w:val="文档结构图 Char1"/>
    <w:semiHidden/>
    <w:qFormat/>
    <w:uiPriority w:val="99"/>
    <w:rPr>
      <w:rFonts w:ascii="宋体" w:hAnsi="Calibri"/>
      <w:sz w:val="18"/>
      <w:szCs w:val="18"/>
    </w:rPr>
  </w:style>
  <w:style w:type="character" w:customStyle="1" w:styleId="135">
    <w:name w:val="页眉 Char1"/>
    <w:semiHidden/>
    <w:qFormat/>
    <w:uiPriority w:val="99"/>
    <w:rPr>
      <w:rFonts w:ascii="Calibri" w:hAnsi="Calibri"/>
      <w:sz w:val="18"/>
      <w:szCs w:val="18"/>
    </w:rPr>
  </w:style>
  <w:style w:type="character" w:customStyle="1" w:styleId="136">
    <w:name w:val="Header Char"/>
    <w:qFormat/>
    <w:locked/>
    <w:uiPriority w:val="99"/>
    <w:rPr>
      <w:rFonts w:eastAsia="宋体"/>
      <w:kern w:val="2"/>
      <w:sz w:val="18"/>
    </w:rPr>
  </w:style>
  <w:style w:type="character" w:customStyle="1" w:styleId="137">
    <w:name w:val="批注文字 Char1"/>
    <w:qFormat/>
    <w:uiPriority w:val="0"/>
    <w:rPr>
      <w:rFonts w:ascii="Times New Roman" w:hAnsi="Times New Roman" w:eastAsia="宋体"/>
      <w:sz w:val="20"/>
    </w:rPr>
  </w:style>
  <w:style w:type="character" w:customStyle="1" w:styleId="138">
    <w:name w:val="页脚 Char1"/>
    <w:semiHidden/>
    <w:qFormat/>
    <w:uiPriority w:val="99"/>
    <w:rPr>
      <w:rFonts w:ascii="Calibri" w:hAnsi="Calibri"/>
      <w:sz w:val="18"/>
      <w:szCs w:val="18"/>
    </w:rPr>
  </w:style>
  <w:style w:type="character" w:customStyle="1" w:styleId="139">
    <w:name w:val="Body Text Indent 3 Char"/>
    <w:qFormat/>
    <w:locked/>
    <w:uiPriority w:val="99"/>
    <w:rPr>
      <w:rFonts w:ascii="Calibri" w:hAnsi="Calibri" w:eastAsia="宋体"/>
      <w:kern w:val="2"/>
      <w:sz w:val="16"/>
    </w:rPr>
  </w:style>
  <w:style w:type="character" w:customStyle="1" w:styleId="140">
    <w:name w:val="Date Char"/>
    <w:qFormat/>
    <w:locked/>
    <w:uiPriority w:val="99"/>
    <w:rPr>
      <w:rFonts w:eastAsia="宋体"/>
      <w:kern w:val="2"/>
      <w:sz w:val="21"/>
    </w:rPr>
  </w:style>
  <w:style w:type="character" w:customStyle="1" w:styleId="141">
    <w:name w:val="正文首行缩进 Char2"/>
    <w:semiHidden/>
    <w:qFormat/>
    <w:uiPriority w:val="99"/>
    <w:rPr>
      <w:rFonts w:ascii="Calibri" w:hAnsi="Calibri"/>
      <w:sz w:val="21"/>
      <w:szCs w:val="22"/>
    </w:rPr>
  </w:style>
  <w:style w:type="character" w:customStyle="1" w:styleId="142">
    <w:name w:val="style_kwd"/>
    <w:qFormat/>
    <w:uiPriority w:val="0"/>
    <w:rPr>
      <w:rFonts w:cs="Times New Roman"/>
    </w:rPr>
  </w:style>
  <w:style w:type="character" w:customStyle="1" w:styleId="143">
    <w:name w:val="批注文字 Char3"/>
    <w:semiHidden/>
    <w:qFormat/>
    <w:uiPriority w:val="99"/>
    <w:rPr>
      <w:rFonts w:ascii="Calibri" w:hAnsi="Calibri"/>
      <w:sz w:val="21"/>
      <w:szCs w:val="22"/>
    </w:rPr>
  </w:style>
  <w:style w:type="character" w:customStyle="1" w:styleId="144">
    <w:name w:val="批注文字 字符"/>
    <w:basedOn w:val="42"/>
    <w:link w:val="15"/>
    <w:qFormat/>
    <w:uiPriority w:val="0"/>
    <w:rPr>
      <w:rFonts w:hint="default" w:ascii="Calibri" w:hAnsi="Calibri" w:cs="Calibri"/>
    </w:rPr>
  </w:style>
  <w:style w:type="paragraph" w:customStyle="1" w:styleId="145">
    <w:name w:val="样式 宋体 行距: 1.5 倍行距"/>
    <w:basedOn w:val="1"/>
    <w:qFormat/>
    <w:uiPriority w:val="0"/>
    <w:pPr>
      <w:jc w:val="center"/>
    </w:pPr>
    <w:rPr>
      <w:b/>
    </w:rPr>
  </w:style>
  <w:style w:type="paragraph" w:styleId="146">
    <w:name w:val="No Spacing"/>
    <w:qFormat/>
    <w:uiPriority w:val="1"/>
    <w:pPr>
      <w:widowControl w:val="0"/>
      <w:jc w:val="both"/>
    </w:pPr>
    <w:rPr>
      <w:rFonts w:ascii="Times New Roman"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11275</Words>
  <Characters>12157</Characters>
  <Lines>662</Lines>
  <Paragraphs>186</Paragraphs>
  <TotalTime>14</TotalTime>
  <ScaleCrop>false</ScaleCrop>
  <LinksUpToDate>false</LinksUpToDate>
  <CharactersWithSpaces>12527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2023-12-10T14:43:00Z</dcterms:created>
  <dc:creator>机电招标</dc:creator>
  <cp:lastModifiedBy>杜某</cp:lastModifiedBy>
  <cp:lastPrinted>2022-09-27T18:50:00Z</cp:lastPrinted>
  <dcterms:modified xsi:type="dcterms:W3CDTF">2025-10-11T09:23:54Z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E5A730CA601A40D08748683C72C586B8</vt:lpwstr>
  </property>
  <property fmtid="{D5CDD505-2E9C-101B-9397-08002B2CF9AE}" pid="4" name="KSOTemplateDocerSaveRecord">
    <vt:lpwstr>eyJoZGlkIjoiZjY5ZGJmN2UyZTRlNjdkNjQwOTQ4M2ExZDlhODRjNTAiLCJ1c2VySWQiOiIzMDU3OTc3NjEifQ==</vt:lpwstr>
  </property>
</Properties>
</file>