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0B9DB">
      <w:pPr>
        <w:rPr>
          <w:rFonts w:ascii="宋体" w:hAnsi="宋体" w:eastAsia="仿宋" w:cs="仿宋_GB2312"/>
          <w:color w:val="000000" w:themeColor="text1"/>
          <w:sz w:val="32"/>
          <w:szCs w:val="32"/>
          <w:highlight w:val="none"/>
          <w:lang w:eastAsia="zh-CN"/>
          <w14:textFill>
            <w14:solidFill>
              <w14:schemeClr w14:val="tx1"/>
            </w14:solidFill>
          </w14:textFill>
        </w:rPr>
      </w:pPr>
      <w:bookmarkStart w:id="0" w:name="_Toc17184"/>
      <w:bookmarkStart w:id="818" w:name="_GoBack"/>
      <w:r>
        <w:rPr>
          <w:rFonts w:ascii="仿宋" w:hAnsi="仿宋" w:eastAsia="仿宋" w:cs="仿宋"/>
          <w:color w:val="000000" w:themeColor="text1"/>
          <w:highlight w:val="none"/>
          <w:lang w:eastAsia="zh-CN"/>
          <w14:textFill>
            <w14:solidFill>
              <w14:schemeClr w14:val="tx1"/>
            </w14:solidFill>
          </w14:textFill>
        </w:rPr>
        <w:t>SF-202</w:t>
      </w:r>
      <w:r>
        <w:rPr>
          <w:rFonts w:hint="eastAsia" w:ascii="仿宋" w:hAnsi="仿宋" w:eastAsia="仿宋" w:cs="仿宋"/>
          <w:color w:val="000000" w:themeColor="text1"/>
          <w:highlight w:val="none"/>
          <w:lang w:eastAsia="zh-CN"/>
          <w14:textFill>
            <w14:solidFill>
              <w14:schemeClr w14:val="tx1"/>
            </w14:solidFill>
          </w14:textFill>
        </w:rPr>
        <w:t>2</w:t>
      </w:r>
      <w:r>
        <w:rPr>
          <w:rFonts w:ascii="仿宋" w:hAnsi="仿宋" w:eastAsia="仿宋" w:cs="仿宋"/>
          <w:color w:val="000000" w:themeColor="text1"/>
          <w:highlight w:val="none"/>
          <w:lang w:eastAsia="zh-CN"/>
          <w14:textFill>
            <w14:solidFill>
              <w14:schemeClr w14:val="tx1"/>
            </w14:solidFill>
          </w14:textFill>
        </w:rPr>
        <w:t>-</w:t>
      </w:r>
      <w:bookmarkEnd w:id="0"/>
      <w:r>
        <w:rPr>
          <w:rFonts w:hint="eastAsia" w:ascii="仿宋" w:hAnsi="仿宋" w:eastAsia="仿宋" w:cs="仿宋"/>
          <w:color w:val="000000" w:themeColor="text1"/>
          <w:highlight w:val="none"/>
          <w:lang w:eastAsia="zh-CN"/>
          <w14:textFill>
            <w14:solidFill>
              <w14:schemeClr w14:val="tx1"/>
            </w14:solidFill>
          </w14:textFill>
        </w:rPr>
        <w:t>0210</w:t>
      </w:r>
    </w:p>
    <w:p w14:paraId="33F6C559">
      <w:pPr>
        <w:pStyle w:val="207"/>
        <w:spacing w:line="240" w:lineRule="auto"/>
        <w:rPr>
          <w:rFonts w:ascii="华文中宋" w:hAnsi="华文中宋" w:eastAsia="华文中宋" w:cs="华文中宋"/>
          <w:color w:val="000000" w:themeColor="text1"/>
          <w:sz w:val="32"/>
          <w:szCs w:val="32"/>
          <w:highlight w:val="none"/>
          <w:u w:val="single"/>
          <w14:textFill>
            <w14:solidFill>
              <w14:schemeClr w14:val="tx1"/>
            </w14:solidFill>
          </w14:textFill>
        </w:rPr>
      </w:pPr>
      <w:r>
        <w:rPr>
          <w:rFonts w:hint="eastAsia" w:ascii="华文中宋" w:hAnsi="华文中宋" w:eastAsia="华文中宋" w:cs="华文中宋"/>
          <w:color w:val="000000" w:themeColor="text1"/>
          <w:sz w:val="32"/>
          <w:szCs w:val="32"/>
          <w:highlight w:val="none"/>
          <w14:textFill>
            <w14:solidFill>
              <w14:schemeClr w14:val="tx1"/>
            </w14:solidFill>
          </w14:textFill>
        </w:rPr>
        <w:t>项目编码：</w:t>
      </w:r>
    </w:p>
    <w:p w14:paraId="1CFDC96B">
      <w:pPr>
        <w:pStyle w:val="207"/>
        <w:spacing w:line="240" w:lineRule="auto"/>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s="华文中宋"/>
          <w:color w:val="000000" w:themeColor="text1"/>
          <w:sz w:val="32"/>
          <w:szCs w:val="32"/>
          <w:highlight w:val="none"/>
          <w14:textFill>
            <w14:solidFill>
              <w14:schemeClr w14:val="tx1"/>
            </w14:solidFill>
          </w14:textFill>
        </w:rPr>
        <w:t>工程编码：</w:t>
      </w:r>
    </w:p>
    <w:p w14:paraId="4F24C6D1">
      <w:pPr>
        <w:pStyle w:val="207"/>
        <w:spacing w:line="240" w:lineRule="auto"/>
        <w:rPr>
          <w:rFonts w:ascii="华文中宋" w:hAnsi="华文中宋" w:eastAsia="华文中宋"/>
          <w:color w:val="000000" w:themeColor="text1"/>
          <w:sz w:val="32"/>
          <w:szCs w:val="32"/>
          <w:highlight w:val="none"/>
          <w14:textFill>
            <w14:solidFill>
              <w14:schemeClr w14:val="tx1"/>
            </w14:solidFill>
          </w14:textFill>
        </w:rPr>
      </w:pPr>
      <w:r>
        <w:rPr>
          <w:rFonts w:hint="eastAsia" w:ascii="华文中宋" w:hAnsi="华文中宋" w:eastAsia="华文中宋" w:cs="华文中宋"/>
          <w:color w:val="000000" w:themeColor="text1"/>
          <w:sz w:val="32"/>
          <w:szCs w:val="32"/>
          <w:highlight w:val="none"/>
          <w14:textFill>
            <w14:solidFill>
              <w14:schemeClr w14:val="tx1"/>
            </w14:solidFill>
          </w14:textFill>
        </w:rPr>
        <w:t>合同编号：</w:t>
      </w:r>
    </w:p>
    <w:p w14:paraId="50EC1B90">
      <w:pPr>
        <w:spacing w:line="360" w:lineRule="auto"/>
        <w:jc w:val="right"/>
        <w:rPr>
          <w:rFonts w:ascii="宋体"/>
          <w:color w:val="000000" w:themeColor="text1"/>
          <w:sz w:val="32"/>
          <w:szCs w:val="32"/>
          <w:highlight w:val="none"/>
          <w:u w:val="single"/>
          <w:lang w:eastAsia="zh-CN"/>
          <w14:textFill>
            <w14:solidFill>
              <w14:schemeClr w14:val="tx1"/>
            </w14:solidFill>
          </w14:textFill>
        </w:rPr>
      </w:pPr>
    </w:p>
    <w:p w14:paraId="0CEA42C6">
      <w:pPr>
        <w:spacing w:line="360" w:lineRule="auto"/>
        <w:jc w:val="center"/>
        <w:rPr>
          <w:rFonts w:ascii="宋体" w:hAnsi="宋体" w:cs="宋体"/>
          <w:b/>
          <w:bCs/>
          <w:color w:val="000000" w:themeColor="text1"/>
          <w:spacing w:val="-40"/>
          <w:sz w:val="52"/>
          <w:szCs w:val="52"/>
          <w:highlight w:val="none"/>
          <w:lang w:eastAsia="zh-CN"/>
          <w14:textFill>
            <w14:solidFill>
              <w14:schemeClr w14:val="tx1"/>
            </w14:solidFill>
          </w14:textFill>
        </w:rPr>
      </w:pPr>
      <w:r>
        <w:rPr>
          <w:rFonts w:hint="eastAsia" w:ascii="宋体" w:hAnsi="宋体" w:cs="宋体"/>
          <w:b/>
          <w:bCs/>
          <w:color w:val="000000" w:themeColor="text1"/>
          <w:spacing w:val="-40"/>
          <w:sz w:val="52"/>
          <w:szCs w:val="52"/>
          <w:highlight w:val="none"/>
          <w:lang w:eastAsia="zh-CN"/>
          <w14:textFill>
            <w14:solidFill>
              <w14:schemeClr w14:val="tx1"/>
            </w14:solidFill>
          </w14:textFill>
        </w:rPr>
        <w:t>广州市建设工程总承包合同</w:t>
      </w:r>
    </w:p>
    <w:p w14:paraId="12106925">
      <w:pPr>
        <w:spacing w:after="120" w:line="360" w:lineRule="auto"/>
        <w:ind w:right="463" w:rightChars="193"/>
        <w:rPr>
          <w:rFonts w:cs="宋体"/>
          <w:color w:val="000000" w:themeColor="text1"/>
          <w:sz w:val="32"/>
          <w:szCs w:val="32"/>
          <w:highlight w:val="none"/>
          <w:lang w:eastAsia="zh-CN"/>
          <w14:textFill>
            <w14:solidFill>
              <w14:schemeClr w14:val="tx1"/>
            </w14:solidFill>
          </w14:textFill>
        </w:rPr>
      </w:pPr>
    </w:p>
    <w:p w14:paraId="1A9E614C">
      <w:pPr>
        <w:spacing w:after="120" w:line="360" w:lineRule="auto"/>
        <w:ind w:right="463" w:rightChars="193"/>
        <w:rPr>
          <w:rFonts w:cs="宋体"/>
          <w:color w:val="000000" w:themeColor="text1"/>
          <w:sz w:val="32"/>
          <w:szCs w:val="32"/>
          <w:highlight w:val="none"/>
          <w:lang w:eastAsia="zh-CN"/>
          <w14:textFill>
            <w14:solidFill>
              <w14:schemeClr w14:val="tx1"/>
            </w14:solidFill>
          </w14:textFill>
        </w:rPr>
      </w:pPr>
      <w:r>
        <w:rPr>
          <w:rFonts w:hint="eastAsia" w:cs="宋体"/>
          <w:color w:val="000000" w:themeColor="text1"/>
          <w:sz w:val="32"/>
          <w:szCs w:val="32"/>
          <w:highlight w:val="none"/>
          <w:lang w:eastAsia="zh-CN"/>
          <w14:textFill>
            <w14:solidFill>
              <w14:schemeClr w14:val="tx1"/>
            </w14:solidFill>
          </w14:textFill>
        </w:rPr>
        <w:t>工程名称：</w:t>
      </w:r>
      <w:bookmarkStart w:id="1" w:name="_Hlk104886092"/>
      <w:r>
        <w:rPr>
          <w:rFonts w:hint="eastAsia" w:cs="宋体"/>
          <w:color w:val="000000" w:themeColor="text1"/>
          <w:sz w:val="32"/>
          <w:szCs w:val="32"/>
          <w:highlight w:val="none"/>
          <w:lang w:eastAsia="zh-CN"/>
          <w14:textFill>
            <w14:solidFill>
              <w14:schemeClr w14:val="tx1"/>
            </w14:solidFill>
          </w14:textFill>
        </w:rPr>
        <w:t>广州市海珠区三滘村城中村改造项目</w:t>
      </w:r>
      <w:r>
        <w:rPr>
          <w:rFonts w:hint="eastAsia" w:cs="宋体"/>
          <w:color w:val="000000" w:themeColor="text1"/>
          <w:sz w:val="32"/>
          <w:szCs w:val="32"/>
          <w:highlight w:val="none"/>
          <w:lang w:val="en-US" w:eastAsia="zh-CN"/>
          <w14:textFill>
            <w14:solidFill>
              <w14:schemeClr w14:val="tx1"/>
            </w14:solidFill>
          </w14:textFill>
        </w:rPr>
        <w:t>启动区</w:t>
      </w:r>
      <w:r>
        <w:rPr>
          <w:rFonts w:hint="eastAsia" w:cs="宋体"/>
          <w:color w:val="000000" w:themeColor="text1"/>
          <w:sz w:val="32"/>
          <w:szCs w:val="32"/>
          <w:highlight w:val="none"/>
          <w:lang w:eastAsia="zh-CN"/>
          <w14:textFill>
            <w14:solidFill>
              <w14:schemeClr w14:val="tx1"/>
            </w14:solidFill>
          </w14:textFill>
        </w:rPr>
        <w:t>S4地块</w:t>
      </w:r>
      <w:r>
        <w:rPr>
          <w:rFonts w:hint="eastAsia" w:ascii="Times New Roman" w:hAnsi="Times New Roman" w:eastAsia="宋体" w:cs="宋体"/>
          <w:color w:val="000000" w:themeColor="text1"/>
          <w:sz w:val="32"/>
          <w:szCs w:val="32"/>
          <w:highlight w:val="none"/>
          <w:lang w:val="en-US" w:eastAsia="zh-CN"/>
          <w14:textFill>
            <w14:solidFill>
              <w14:schemeClr w14:val="tx1"/>
            </w14:solidFill>
          </w14:textFill>
        </w:rPr>
        <w:t>复建安置房建设项目</w:t>
      </w:r>
      <w:r>
        <w:rPr>
          <w:rFonts w:hint="eastAsia" w:cs="宋体"/>
          <w:color w:val="000000" w:themeColor="text1"/>
          <w:sz w:val="32"/>
          <w:szCs w:val="32"/>
          <w:highlight w:val="none"/>
          <w:lang w:eastAsia="zh-CN"/>
          <w14:textFill>
            <w14:solidFill>
              <w14:schemeClr w14:val="tx1"/>
            </w14:solidFill>
          </w14:textFill>
        </w:rPr>
        <w:t>基坑支护及土石方工程设计施工总承包</w:t>
      </w:r>
      <w:bookmarkEnd w:id="1"/>
    </w:p>
    <w:p w14:paraId="49076492">
      <w:pPr>
        <w:spacing w:after="120" w:line="360" w:lineRule="auto"/>
        <w:ind w:right="463" w:rightChars="193"/>
        <w:rPr>
          <w:rFonts w:cs="宋体"/>
          <w:color w:val="000000" w:themeColor="text1"/>
          <w:sz w:val="32"/>
          <w:szCs w:val="32"/>
          <w:highlight w:val="none"/>
          <w:lang w:eastAsia="zh-CN"/>
          <w14:textFill>
            <w14:solidFill>
              <w14:schemeClr w14:val="tx1"/>
            </w14:solidFill>
          </w14:textFill>
        </w:rPr>
      </w:pPr>
      <w:r>
        <w:rPr>
          <w:rFonts w:hint="eastAsia" w:cs="宋体"/>
          <w:color w:val="000000" w:themeColor="text1"/>
          <w:sz w:val="32"/>
          <w:szCs w:val="32"/>
          <w:highlight w:val="none"/>
          <w:lang w:eastAsia="zh-CN"/>
          <w14:textFill>
            <w14:solidFill>
              <w14:schemeClr w14:val="tx1"/>
            </w14:solidFill>
          </w14:textFill>
        </w:rPr>
        <w:t>工程地点：广州市海珠区</w:t>
      </w:r>
    </w:p>
    <w:p w14:paraId="3BAA0537">
      <w:pPr>
        <w:spacing w:after="120" w:line="360" w:lineRule="auto"/>
        <w:ind w:right="463" w:rightChars="193"/>
        <w:rPr>
          <w:rFonts w:cs="宋体"/>
          <w:color w:val="000000" w:themeColor="text1"/>
          <w:sz w:val="32"/>
          <w:szCs w:val="32"/>
          <w:highlight w:val="none"/>
          <w:lang w:eastAsia="zh-CN"/>
          <w14:textFill>
            <w14:solidFill>
              <w14:schemeClr w14:val="tx1"/>
            </w14:solidFill>
          </w14:textFill>
        </w:rPr>
      </w:pPr>
    </w:p>
    <w:p w14:paraId="0496D019">
      <w:pPr>
        <w:spacing w:after="120" w:line="360" w:lineRule="auto"/>
        <w:ind w:right="463" w:rightChars="193"/>
        <w:rPr>
          <w:rFonts w:cs="宋体"/>
          <w:color w:val="000000" w:themeColor="text1"/>
          <w:sz w:val="32"/>
          <w:szCs w:val="32"/>
          <w:highlight w:val="none"/>
          <w:lang w:eastAsia="zh-CN"/>
          <w14:textFill>
            <w14:solidFill>
              <w14:schemeClr w14:val="tx1"/>
            </w14:solidFill>
          </w14:textFill>
        </w:rPr>
      </w:pPr>
      <w:r>
        <w:rPr>
          <w:rFonts w:hint="eastAsia" w:cs="宋体"/>
          <w:color w:val="000000" w:themeColor="text1"/>
          <w:sz w:val="32"/>
          <w:szCs w:val="32"/>
          <w:highlight w:val="none"/>
          <w:lang w:eastAsia="zh-CN"/>
          <w14:textFill>
            <w14:solidFill>
              <w14:schemeClr w14:val="tx1"/>
            </w14:solidFill>
          </w14:textFill>
        </w:rPr>
        <w:t>发包人：广州新中轴海珠片区城市更新有限公司</w:t>
      </w:r>
    </w:p>
    <w:p w14:paraId="28B9FCA4">
      <w:pPr>
        <w:spacing w:after="120" w:line="360" w:lineRule="auto"/>
        <w:ind w:right="463" w:rightChars="193"/>
        <w:jc w:val="both"/>
        <w:rPr>
          <w:rFonts w:cs="宋体"/>
          <w:color w:val="000000" w:themeColor="text1"/>
          <w:sz w:val="32"/>
          <w:szCs w:val="32"/>
          <w:highlight w:val="none"/>
          <w:lang w:eastAsia="zh-CN"/>
          <w14:textFill>
            <w14:solidFill>
              <w14:schemeClr w14:val="tx1"/>
            </w14:solidFill>
          </w14:textFill>
        </w:rPr>
      </w:pPr>
      <w:r>
        <w:rPr>
          <w:rFonts w:hint="eastAsia" w:cs="宋体"/>
          <w:color w:val="000000" w:themeColor="text1"/>
          <w:sz w:val="32"/>
          <w:szCs w:val="32"/>
          <w:highlight w:val="none"/>
          <w:lang w:eastAsia="zh-CN"/>
          <w14:textFill>
            <w14:solidFill>
              <w14:schemeClr w14:val="tx1"/>
            </w14:solidFill>
          </w14:textFill>
        </w:rPr>
        <w:t>承包人（牵头单位全称）：</w:t>
      </w:r>
    </w:p>
    <w:p w14:paraId="021DE3D8">
      <w:pPr>
        <w:spacing w:after="120" w:line="360" w:lineRule="auto"/>
        <w:ind w:right="463" w:rightChars="193"/>
        <w:rPr>
          <w:color w:val="000000" w:themeColor="text1"/>
          <w:sz w:val="30"/>
          <w:szCs w:val="30"/>
          <w:highlight w:val="none"/>
          <w:u w:val="single"/>
          <w:lang w:eastAsia="zh-CN"/>
          <w14:textFill>
            <w14:solidFill>
              <w14:schemeClr w14:val="tx1"/>
            </w14:solidFill>
          </w14:textFill>
        </w:rPr>
      </w:pPr>
      <w:r>
        <w:rPr>
          <w:rFonts w:hint="eastAsia" w:cs="宋体"/>
          <w:color w:val="000000" w:themeColor="text1"/>
          <w:sz w:val="32"/>
          <w:szCs w:val="32"/>
          <w:highlight w:val="none"/>
          <w:lang w:eastAsia="zh-CN"/>
          <w14:textFill>
            <w14:solidFill>
              <w14:schemeClr w14:val="tx1"/>
            </w14:solidFill>
          </w14:textFill>
        </w:rPr>
        <w:t>承包人（成员单位全称）：</w:t>
      </w:r>
    </w:p>
    <w:p w14:paraId="4FBA74CA">
      <w:pPr>
        <w:spacing w:line="240" w:lineRule="atLeast"/>
        <w:jc w:val="center"/>
        <w:rPr>
          <w:rFonts w:ascii="宋体"/>
          <w:b/>
          <w:bCs/>
          <w:color w:val="000000" w:themeColor="text1"/>
          <w:spacing w:val="50"/>
          <w:sz w:val="32"/>
          <w:szCs w:val="32"/>
          <w:highlight w:val="none"/>
          <w:lang w:eastAsia="zh-CN"/>
          <w14:textFill>
            <w14:solidFill>
              <w14:schemeClr w14:val="tx1"/>
            </w14:solidFill>
          </w14:textFill>
        </w:rPr>
      </w:pPr>
      <w:r>
        <w:rPr>
          <w:rFonts w:hint="eastAsia" w:ascii="宋体" w:hAnsi="宋体" w:cs="宋体"/>
          <w:b/>
          <w:bCs/>
          <w:color w:val="000000" w:themeColor="text1"/>
          <w:spacing w:val="50"/>
          <w:sz w:val="32"/>
          <w:szCs w:val="32"/>
          <w:highlight w:val="none"/>
          <w:lang w:eastAsia="zh-CN"/>
          <w14:textFill>
            <w14:solidFill>
              <w14:schemeClr w14:val="tx1"/>
            </w14:solidFill>
          </w14:textFill>
        </w:rPr>
        <w:t>广州市住房和城乡建设局</w:t>
      </w:r>
    </w:p>
    <w:p w14:paraId="3F1F4061">
      <w:pPr>
        <w:spacing w:line="240" w:lineRule="atLeast"/>
        <w:jc w:val="center"/>
        <w:rPr>
          <w:rFonts w:ascii="宋体"/>
          <w:b/>
          <w:bCs/>
          <w:color w:val="000000" w:themeColor="text1"/>
          <w:spacing w:val="20"/>
          <w:sz w:val="32"/>
          <w:szCs w:val="32"/>
          <w:highlight w:val="none"/>
          <w:lang w:eastAsia="zh-CN"/>
          <w14:textFill>
            <w14:solidFill>
              <w14:schemeClr w14:val="tx1"/>
            </w14:solidFill>
          </w14:textFill>
        </w:rPr>
      </w:pPr>
      <w:r>
        <w:rPr>
          <w:rFonts w:hint="eastAsia" w:ascii="宋体" w:hAnsi="宋体" w:cs="宋体"/>
          <w:b/>
          <w:bCs/>
          <w:color w:val="000000" w:themeColor="text1"/>
          <w:spacing w:val="20"/>
          <w:sz w:val="32"/>
          <w:szCs w:val="32"/>
          <w:highlight w:val="none"/>
          <w:lang w:eastAsia="zh-CN"/>
          <w14:textFill>
            <w14:solidFill>
              <w14:schemeClr w14:val="tx1"/>
            </w14:solidFill>
          </w14:textFill>
        </w:rPr>
        <w:t>制定</w:t>
      </w:r>
    </w:p>
    <w:p w14:paraId="2CF58F4C">
      <w:pPr>
        <w:spacing w:line="240" w:lineRule="atLeast"/>
        <w:ind w:firstLine="2126" w:firstLineChars="455"/>
        <w:rPr>
          <w:rFonts w:ascii="宋体"/>
          <w:b/>
          <w:bCs/>
          <w:color w:val="000000" w:themeColor="text1"/>
          <w:spacing w:val="20"/>
          <w:sz w:val="32"/>
          <w:szCs w:val="32"/>
          <w:highlight w:val="none"/>
          <w:lang w:eastAsia="zh-CN"/>
          <w14:textFill>
            <w14:solidFill>
              <w14:schemeClr w14:val="tx1"/>
            </w14:solidFill>
          </w14:textFill>
        </w:rPr>
      </w:pPr>
      <w:r>
        <w:rPr>
          <w:rFonts w:hint="eastAsia" w:ascii="宋体" w:hAnsi="宋体" w:cs="宋体"/>
          <w:b/>
          <w:bCs/>
          <w:color w:val="000000" w:themeColor="text1"/>
          <w:spacing w:val="73"/>
          <w:sz w:val="32"/>
          <w:szCs w:val="32"/>
          <w:highlight w:val="none"/>
          <w:lang w:eastAsia="zh-CN"/>
          <w14:textFill>
            <w14:solidFill>
              <w14:schemeClr w14:val="tx1"/>
            </w14:solidFill>
          </w14:textFill>
        </w:rPr>
        <w:t>广州市市场监督管理局</w:t>
      </w:r>
    </w:p>
    <w:p w14:paraId="055A37C2">
      <w:pPr>
        <w:spacing w:line="360" w:lineRule="auto"/>
        <w:rPr>
          <w:rFonts w:ascii="宋体"/>
          <w:b/>
          <w:bCs/>
          <w:color w:val="000000" w:themeColor="text1"/>
          <w:spacing w:val="80"/>
          <w:sz w:val="36"/>
          <w:szCs w:val="36"/>
          <w:highlight w:val="none"/>
          <w:lang w:eastAsia="zh-CN"/>
          <w14:textFill>
            <w14:solidFill>
              <w14:schemeClr w14:val="tx1"/>
            </w14:solidFill>
          </w14:textFill>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53662871">
      <w:pPr>
        <w:jc w:val="center"/>
        <w:rPr>
          <w:rFonts w:cs="宋体"/>
          <w:b/>
          <w:color w:val="000000" w:themeColor="text1"/>
          <w:sz w:val="36"/>
          <w:szCs w:val="36"/>
          <w:highlight w:val="none"/>
          <w:lang w:eastAsia="zh-CN"/>
          <w14:textFill>
            <w14:solidFill>
              <w14:schemeClr w14:val="tx1"/>
            </w14:solidFill>
          </w14:textFill>
        </w:rPr>
      </w:pPr>
      <w:r>
        <w:rPr>
          <w:rFonts w:hint="eastAsia" w:cs="宋体"/>
          <w:b/>
          <w:color w:val="000000" w:themeColor="text1"/>
          <w:sz w:val="36"/>
          <w:szCs w:val="36"/>
          <w:highlight w:val="none"/>
          <w:lang w:eastAsia="zh-CN"/>
          <w14:textFill>
            <w14:solidFill>
              <w14:schemeClr w14:val="tx1"/>
            </w14:solidFill>
          </w14:textFill>
        </w:rPr>
        <w:t>目录</w:t>
      </w:r>
    </w:p>
    <w:p w14:paraId="112A5577">
      <w:pPr>
        <w:jc w:val="center"/>
        <w:rPr>
          <w:b/>
          <w:color w:val="000000" w:themeColor="text1"/>
          <w:sz w:val="36"/>
          <w:szCs w:val="36"/>
          <w:highlight w:val="none"/>
          <w:lang w:eastAsia="zh-CN"/>
          <w14:textFill>
            <w14:solidFill>
              <w14:schemeClr w14:val="tx1"/>
            </w14:solidFill>
          </w14:textFill>
        </w:rPr>
      </w:pPr>
    </w:p>
    <w:p w14:paraId="201D649D">
      <w:pPr>
        <w:pStyle w:val="53"/>
        <w:tabs>
          <w:tab w:val="right" w:leader="dot" w:pos="9026"/>
        </w:tabs>
        <w:rPr>
          <w:color w:val="000000" w:themeColor="text1"/>
          <w:highlight w:val="none"/>
          <w14:textFill>
            <w14:solidFill>
              <w14:schemeClr w14:val="tx1"/>
            </w14:solidFill>
          </w14:textFill>
        </w:rPr>
      </w:pPr>
      <w:r>
        <w:rPr>
          <w:rFonts w:hint="eastAsia" w:ascii="仿宋" w:hAnsi="仿宋" w:eastAsia="仿宋" w:cs="宋体"/>
          <w:b w:val="0"/>
          <w:color w:val="000000" w:themeColor="text1"/>
          <w:sz w:val="24"/>
          <w:szCs w:val="24"/>
          <w:highlight w:val="none"/>
          <w:lang w:eastAsia="zh-CN"/>
          <w14:textFill>
            <w14:solidFill>
              <w14:schemeClr w14:val="tx1"/>
            </w14:solidFill>
          </w14:textFill>
        </w:rPr>
        <w:fldChar w:fldCharType="begin"/>
      </w:r>
      <w:r>
        <w:rPr>
          <w:rStyle w:val="90"/>
          <w:rFonts w:hint="eastAsia" w:ascii="仿宋" w:hAnsi="仿宋" w:eastAsia="仿宋" w:cs="宋体"/>
          <w:b w:val="0"/>
          <w:color w:val="000000" w:themeColor="text1"/>
          <w:sz w:val="24"/>
          <w:szCs w:val="24"/>
          <w:highlight w:val="none"/>
          <w:lang w:eastAsia="zh-CN"/>
          <w14:textFill>
            <w14:solidFill>
              <w14:schemeClr w14:val="tx1"/>
            </w14:solidFill>
          </w14:textFill>
        </w:rPr>
        <w:instrText xml:space="preserve"> TOC \o "1-3" \h \z \u </w:instrText>
      </w:r>
      <w:r>
        <w:rPr>
          <w:rFonts w:hint="eastAsia" w:ascii="仿宋" w:hAnsi="仿宋" w:eastAsia="仿宋" w:cs="宋体"/>
          <w:b w:val="0"/>
          <w:color w:val="000000" w:themeColor="text1"/>
          <w:sz w:val="24"/>
          <w:szCs w:val="24"/>
          <w:highlight w:val="none"/>
          <w:lang w:eastAsia="zh-CN"/>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"_Toc13601"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Cs w:val="36"/>
          <w:highlight w:val="none"/>
          <w:lang w:eastAsia="zh-CN"/>
          <w14:textFill>
            <w14:solidFill>
              <w14:schemeClr w14:val="tx1"/>
            </w14:solidFill>
          </w14:textFill>
        </w:rPr>
        <w:t xml:space="preserve">第一部分 </w:t>
      </w:r>
      <w:r>
        <w:rPr>
          <w:rFonts w:ascii="宋体" w:hAnsi="宋体" w:cs="宋体"/>
          <w:color w:val="000000" w:themeColor="text1"/>
          <w:szCs w:val="36"/>
          <w:highlight w:val="none"/>
          <w:lang w:eastAsia="zh-CN"/>
          <w14:textFill>
            <w14:solidFill>
              <w14:schemeClr w14:val="tx1"/>
            </w14:solidFill>
          </w14:textFill>
        </w:rPr>
        <w:t xml:space="preserve"> </w:t>
      </w:r>
      <w:r>
        <w:rPr>
          <w:rFonts w:hint="eastAsia" w:ascii="宋体" w:hAnsi="宋体" w:cs="宋体"/>
          <w:color w:val="000000" w:themeColor="text1"/>
          <w:szCs w:val="36"/>
          <w:highlight w:val="none"/>
          <w:lang w:eastAsia="zh-CN"/>
          <w14:textFill>
            <w14:solidFill>
              <w14:schemeClr w14:val="tx1"/>
            </w14:solidFill>
          </w14:textFill>
        </w:rPr>
        <w:t>协议书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_Toc13601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2A99F3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"_Toc24913"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一、工程概况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4E0C6C">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"_Toc3867"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二、总承包范围与工程内容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_Toc3867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3F665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★三、质量标准和要求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46395F">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"_Toc18313"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四、创优目标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_Toc18313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513F7EF">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"_Toc16458"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五、创文明工地目标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_Toc16458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A1B609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"_Toc19926"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六、职业健康安全管理目标和环境管理目标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54853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"_Toc22136"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七、合同工期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_Toc22136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87C0C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"_Toc7860"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八、签约合同价与合同价格形式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2FBBA34">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"_Toc32200"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highlight w:val="none"/>
          <w:lang w:eastAsia="zh-CN"/>
          <w14:textFill>
            <w14:solidFill>
              <w14:schemeClr w14:val="tx1"/>
            </w14:solidFill>
          </w14:textFill>
        </w:rPr>
        <w:t>承包人名称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_Toc32200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235F44">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"_Toc24220"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highlight w:val="none"/>
          <w:lang w:eastAsia="zh-CN"/>
          <w14:textFill>
            <w14:solidFill>
              <w14:schemeClr w14:val="tx1"/>
            </w14:solidFill>
          </w14:textFill>
        </w:rPr>
        <w:t>工作范围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E0A9B2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"_Toc4512"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highlight w:val="none"/>
          <w:lang w:eastAsia="zh-CN"/>
          <w14:textFill>
            <w14:solidFill>
              <w14:schemeClr w14:val="tx1"/>
            </w14:solidFill>
          </w14:textFill>
        </w:rPr>
        <w:t>各方合同金额（元）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_Toc4512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7F007A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"_Toc18695"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★九、工人工资支付分账、建筑安装工程费支付专户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61961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"_Toc32429"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十、组成合同的文件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_Toc32429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0C89C3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"_Toc8857"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十一、词语含义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_Toc8857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1DE75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"_Toc3491"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十二、承诺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_Toc3491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540A3A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"_Toc674"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十三、合同生效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D366E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"_Toc23454"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十四、合同份数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_Toc23454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8209EE4">
      <w:pPr>
        <w:pStyle w:val="53"/>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"_Toc30322"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Cs w:val="36"/>
          <w:highlight w:val="none"/>
          <w:lang w:eastAsia="zh-CN"/>
          <w14:textFill>
            <w14:solidFill>
              <w14:schemeClr w14:val="tx1"/>
            </w14:solidFill>
          </w14:textFill>
        </w:rPr>
        <w:t xml:space="preserve">第二部分 </w:t>
      </w:r>
      <w:r>
        <w:rPr>
          <w:rFonts w:ascii="宋体" w:hAnsi="宋体" w:cs="宋体"/>
          <w:color w:val="000000" w:themeColor="text1"/>
          <w:szCs w:val="36"/>
          <w:highlight w:val="none"/>
          <w:lang w:eastAsia="zh-CN"/>
          <w14:textFill>
            <w14:solidFill>
              <w14:schemeClr w14:val="tx1"/>
            </w14:solidFill>
          </w14:textFill>
        </w:rPr>
        <w:t xml:space="preserve"> </w:t>
      </w:r>
      <w:r>
        <w:rPr>
          <w:rFonts w:hint="eastAsia" w:ascii="宋体" w:hAnsi="宋体" w:cs="宋体"/>
          <w:color w:val="000000" w:themeColor="text1"/>
          <w:szCs w:val="36"/>
          <w:highlight w:val="none"/>
          <w:lang w:eastAsia="zh-CN"/>
          <w14:textFill>
            <w14:solidFill>
              <w14:schemeClr w14:val="tx1"/>
            </w14:solidFill>
          </w14:textFill>
        </w:rPr>
        <w:t>通用条款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67C4FE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"_Toc2957" </w:instrText>
      </w:r>
      <w:r>
        <w:rPr>
          <w:color w:val="000000" w:themeColor="text1"/>
          <w:highlight w:val="none"/>
          <w14:textFill>
            <w14:solidFill>
              <w14:schemeClr w14:val="tx1"/>
            </w14:solidFill>
          </w14:textFill>
        </w:rPr>
        <w:fldChar w:fldCharType="separate"/>
      </w:r>
      <w:r>
        <w:rPr>
          <w:rFonts w:hint="eastAsia" w:hAnsi="宋体"/>
          <w:bCs/>
          <w:color w:val="000000" w:themeColor="text1"/>
          <w:szCs w:val="32"/>
          <w:highlight w:val="none"/>
          <w:lang w:eastAsia="zh-CN"/>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12C1F6">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"_Toc22189" </w:instrText>
      </w:r>
      <w:r>
        <w:rPr>
          <w:color w:val="000000" w:themeColor="text1"/>
          <w:highlight w:val="none"/>
          <w14:textFill>
            <w14:solidFill>
              <w14:schemeClr w14:val="tx1"/>
            </w14:solidFill>
          </w14:textFill>
        </w:rPr>
        <w:fldChar w:fldCharType="separate"/>
      </w:r>
      <w:r>
        <w:rPr>
          <w:rFonts w:ascii="仿宋" w:hAnsi="仿宋" w:eastAsia="仿宋" w:cs="仿宋"/>
          <w:bCs/>
          <w:color w:val="000000" w:themeColor="text1"/>
          <w:szCs w:val="24"/>
          <w:highlight w:val="none"/>
          <w:lang w:eastAsia="zh-CN"/>
          <w14:textFill>
            <w14:solidFill>
              <w14:schemeClr w14:val="tx1"/>
            </w14:solidFill>
          </w14:textFill>
        </w:rPr>
        <w:t xml:space="preserve">1 </w:t>
      </w:r>
      <w:r>
        <w:rPr>
          <w:rFonts w:hint="eastAsia" w:ascii="仿宋" w:hAnsi="仿宋" w:eastAsia="仿宋" w:cs="仿宋"/>
          <w:bCs/>
          <w:color w:val="000000" w:themeColor="text1"/>
          <w:szCs w:val="24"/>
          <w:highlight w:val="none"/>
          <w:lang w:eastAsia="zh-CN"/>
          <w14:textFill>
            <w14:solidFill>
              <w14:schemeClr w14:val="tx1"/>
            </w14:solidFill>
          </w14:textFill>
        </w:rPr>
        <w:t>定义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_Toc22189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CA7E12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"_Toc25705"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 xml:space="preserve">2 </w:t>
      </w:r>
      <w:r>
        <w:rPr>
          <w:rFonts w:hint="eastAsia" w:ascii="仿宋" w:hAnsi="仿宋" w:eastAsia="仿宋" w:cs="仿宋"/>
          <w:color w:val="000000" w:themeColor="text1"/>
          <w:szCs w:val="24"/>
          <w:highlight w:val="none"/>
          <w:lang w:eastAsia="zh-CN"/>
          <w14:textFill>
            <w14:solidFill>
              <w14:schemeClr w14:val="tx1"/>
            </w14:solidFill>
          </w14:textFill>
        </w:rPr>
        <w:t>合同文件及解释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_Toc25705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76108D">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"_Toc652"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 xml:space="preserve">3 </w:t>
      </w:r>
      <w:r>
        <w:rPr>
          <w:rFonts w:hint="eastAsia" w:ascii="仿宋" w:hAnsi="仿宋" w:eastAsia="仿宋" w:cs="仿宋"/>
          <w:color w:val="000000" w:themeColor="text1"/>
          <w:szCs w:val="24"/>
          <w:highlight w:val="none"/>
          <w:lang w:eastAsia="zh-CN"/>
          <w14:textFill>
            <w14:solidFill>
              <w14:schemeClr w14:val="tx1"/>
            </w14:solidFill>
          </w14:textFill>
        </w:rPr>
        <w:t>阅读、理解与接受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65DA9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"_Toc21515"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 xml:space="preserve">4 </w:t>
      </w:r>
      <w:r>
        <w:rPr>
          <w:rFonts w:hint="eastAsia" w:ascii="仿宋" w:hAnsi="仿宋" w:eastAsia="仿宋" w:cs="仿宋"/>
          <w:color w:val="000000" w:themeColor="text1"/>
          <w:szCs w:val="24"/>
          <w:highlight w:val="none"/>
          <w:lang w:eastAsia="zh-CN"/>
          <w14:textFill>
            <w14:solidFill>
              <w14:schemeClr w14:val="tx1"/>
            </w14:solidFill>
          </w14:textFill>
        </w:rPr>
        <w:t>语言及适用的法律、标准与规范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7EFBB8">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"_Toc5637"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 发包人要求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8B6BC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"_Toc15910"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 项目基础资料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_Toc15910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2B38CE3">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"_Toc1861"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 勘察报告、设计文件、建筑信息模型（BIM）</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30AC2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"_Toc1105"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14:textFill>
            <w14:solidFill>
              <w14:schemeClr w14:val="tx1"/>
            </w14:solidFill>
          </w14:textFill>
        </w:rPr>
        <w:t>8 合同价格的控制原则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48CC73">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"_Toc27941"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9通讯联络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6D83CC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"_Toc5942"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10分包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0A098C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"_Toc7692"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11现场查勘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_Toc7692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C12C9A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"_Toc8796"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12招标错失的修正</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_Toc8796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CE51E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"_Toc4895"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3投标文件的完备性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_Toc4895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128BCBF">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"_Toc12078"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4文物和地下障碍物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_Toc12078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2DDBD48">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"_Toc6572"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5事故处理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_Toc6572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FB36174">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"_Toc16671"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6交通运输</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_Toc16671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AE6101">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"_Toc27955"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7专项批准事项的签认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FCC303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"_Toc15395"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8专利技术和知识产权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_Toc15395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637BEF">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"_Toc26238"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9 联合体</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966F9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"_Toc12253"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20保障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C44DA8A">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"_Toc4256"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21财产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_Toc4256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80A750">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"_Toc13605"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二、合同主体</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_Toc13605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A9F975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"_Toc15068"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22发包人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_Toc15068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7D679A">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"_Toc14550"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3承包人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0FC62FA">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"_Toc5818"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4现场管理人员任命和更换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_Toc5818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D6DD71A">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"_Toc11224"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5发包人代表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_Toc11224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E1E8D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"_Toc13093"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6设计顾问人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_Toc13093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AAD9B1A">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"_Toc30525"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7监理人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2413FC">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"_Toc28780"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8造价咨询人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_Toc28780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1F4E5C">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"_Toc31278"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9承包人代表及其专业负责人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C0E18E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"_Toc27625"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30指定分包人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3DD65E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"_Toc23777"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31 承包人劳务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_Toc23777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9B138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"_Toc7668"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szCs w:val="24"/>
          <w:highlight w:val="none"/>
          <w:lang w:eastAsia="zh-CN"/>
          <w14:textFill>
            <w14:solidFill>
              <w14:schemeClr w14:val="tx1"/>
            </w14:solidFill>
          </w14:textFill>
        </w:rPr>
        <w:t>三、担保、保险与风险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_Toc7668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49F0C0">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"_Toc11128"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32工程担保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_Toc11128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A5B823">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"_Toc10915"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33发包人风险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695EE0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"_Toc10286"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4承包人风险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D88DA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"_Toc10201"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3</w:t>
      </w:r>
      <w:r>
        <w:rPr>
          <w:rFonts w:hint="eastAsia" w:ascii="仿宋" w:hAnsi="仿宋" w:eastAsia="仿宋" w:cs="仿宋"/>
          <w:color w:val="000000" w:themeColor="text1"/>
          <w:szCs w:val="24"/>
          <w:highlight w:val="none"/>
          <w:lang w:eastAsia="zh-CN"/>
          <w14:textFill>
            <w14:solidFill>
              <w14:schemeClr w14:val="tx1"/>
            </w14:solidFill>
          </w14:textFill>
        </w:rPr>
        <w:t>5不可抗力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EBF321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"_Toc17313"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3</w:t>
      </w:r>
      <w:r>
        <w:rPr>
          <w:rFonts w:hint="eastAsia" w:ascii="仿宋" w:hAnsi="仿宋" w:eastAsia="仿宋" w:cs="仿宋"/>
          <w:color w:val="000000" w:themeColor="text1"/>
          <w:szCs w:val="24"/>
          <w:highlight w:val="none"/>
          <w:lang w:eastAsia="zh-CN"/>
          <w14:textFill>
            <w14:solidFill>
              <w14:schemeClr w14:val="tx1"/>
            </w14:solidFill>
          </w14:textFill>
        </w:rPr>
        <w:t>6保险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_Toc17313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F1377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"_Toc21727"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四、勘察、设计与BIM技术应用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_Toc21727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EA3A3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"_Toc5266"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37  工程勘察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_Toc5266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3C8CD64">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"_Toc22436"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38  工程设计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7C34A4">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"_Toc12956"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39  BIM技术应用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CFC6413">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"_Toc29975"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szCs w:val="24"/>
          <w:highlight w:val="none"/>
          <w:lang w:eastAsia="zh-CN"/>
          <w14:textFill>
            <w14:solidFill>
              <w14:schemeClr w14:val="tx1"/>
            </w14:solidFill>
          </w14:textFill>
        </w:rPr>
        <w:t>五、工期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98075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"_Toc13233"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40进度计划和报告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_Toc13233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5E77A9">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"_Toc9527"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41开始工作或开工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_Toc9527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216D2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"_Toc19030"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42暂停工作、暂停施工和复工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C664EE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"_Toc10452"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43工期和工期延误</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_Toc10452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BEEFCC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"_Toc13052"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44加快进度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_Toc13052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A63D23C">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"_Toc13838"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45竣工日期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_Toc13838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284F1E8">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"_Toc20713"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46提前竣工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_Toc20713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1412E4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"_Toc14870"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4</w:t>
      </w:r>
      <w:r>
        <w:rPr>
          <w:rFonts w:hint="eastAsia" w:ascii="仿宋" w:hAnsi="仿宋" w:eastAsia="仿宋" w:cs="仿宋"/>
          <w:color w:val="000000" w:themeColor="text1"/>
          <w:szCs w:val="24"/>
          <w:highlight w:val="none"/>
          <w:lang w:eastAsia="zh-CN"/>
          <w14:textFill>
            <w14:solidFill>
              <w14:schemeClr w14:val="tx1"/>
            </w14:solidFill>
          </w14:textFill>
        </w:rPr>
        <w:t>7误期赔偿</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C98D08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"_Toc25028"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szCs w:val="24"/>
          <w:highlight w:val="none"/>
          <w:lang w:eastAsia="zh-CN"/>
          <w14:textFill>
            <w14:solidFill>
              <w14:schemeClr w14:val="tx1"/>
            </w14:solidFill>
          </w14:textFill>
        </w:rPr>
        <w:t>六、质量与安全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D83AA9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"_Toc786"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w:t>
      </w:r>
      <w:r>
        <w:rPr>
          <w:rFonts w:ascii="仿宋" w:hAnsi="仿宋" w:eastAsia="仿宋" w:cs="仿宋"/>
          <w:color w:val="000000" w:themeColor="text1"/>
          <w:szCs w:val="24"/>
          <w:highlight w:val="none"/>
          <w:lang w:eastAsia="zh-CN"/>
          <w14:textFill>
            <w14:solidFill>
              <w14:schemeClr w14:val="tx1"/>
            </w14:solidFill>
          </w14:textFill>
        </w:rPr>
        <w:t>4</w:t>
      </w:r>
      <w:r>
        <w:rPr>
          <w:rFonts w:hint="eastAsia" w:ascii="仿宋" w:hAnsi="仿宋" w:eastAsia="仿宋" w:cs="仿宋"/>
          <w:color w:val="000000" w:themeColor="text1"/>
          <w:szCs w:val="24"/>
          <w:highlight w:val="none"/>
          <w:lang w:eastAsia="zh-CN"/>
          <w14:textFill>
            <w14:solidFill>
              <w14:schemeClr w14:val="tx1"/>
            </w14:solidFill>
          </w14:textFill>
        </w:rPr>
        <w:t>8质量与安全管理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3573B9">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"_Toc26614"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★49质量标准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_Toc26614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A551A9">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"_Toc7185"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★50工程质量创优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_Toc7185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3A5E84">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"_Toc24537"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51工程的照管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_Toc24537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748C88C">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"_Toc6885"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★52绿色施工安全防护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_Toc6885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425296">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"_Toc8842"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53测量放线</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_Toc8842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167396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"_Toc15727"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54钻孔与勘探性开挖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1125DD">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"_Toc690"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55发包人供应工程材料和工程设备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CE6712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"_Toc11967"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56承包人购置设备及工器具、采购工程材料和工程设备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F8F547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"_Toc15881"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5</w:t>
      </w:r>
      <w:r>
        <w:rPr>
          <w:rFonts w:hint="eastAsia" w:ascii="仿宋" w:hAnsi="仿宋" w:eastAsia="仿宋" w:cs="仿宋"/>
          <w:color w:val="000000" w:themeColor="text1"/>
          <w:szCs w:val="24"/>
          <w:highlight w:val="none"/>
          <w:lang w:eastAsia="zh-CN"/>
          <w14:textFill>
            <w14:solidFill>
              <w14:schemeClr w14:val="tx1"/>
            </w14:solidFill>
          </w14:textFill>
        </w:rPr>
        <w:t>7设备及工器具的验收、工程材料和工程设备的检验试验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A7F94D">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"_Toc265"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5</w:t>
      </w:r>
      <w:r>
        <w:rPr>
          <w:rFonts w:hint="eastAsia" w:ascii="仿宋" w:hAnsi="仿宋" w:eastAsia="仿宋" w:cs="仿宋"/>
          <w:color w:val="000000" w:themeColor="text1"/>
          <w:szCs w:val="24"/>
          <w:highlight w:val="none"/>
          <w:lang w:eastAsia="zh-CN"/>
          <w14:textFill>
            <w14:solidFill>
              <w14:schemeClr w14:val="tx1"/>
            </w14:solidFill>
          </w14:textFill>
        </w:rPr>
        <w:t>8施工设备和临时设施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F13CEEC">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"_Toc9185"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★59工程质量检查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5F6064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"_Toc31869"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★60隐蔽工程和中间验收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_Toc31869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A5CBE9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"_Toc24879"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★61重新验收和额外检查检验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_Toc24879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3099CE6">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"_Toc4537"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62工程试车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_Toc4537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D4F3C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"_Toc9639"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★63工程变更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E99EDEC">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"_Toc29931"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64竣工验收条件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249202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"_Toc13027"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65竣工验收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_Toc13027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A63FC9F">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"_Toc20190"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66缺陷责任与质量保修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DF21E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"_Toc11703"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七、合同价格</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25437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"_Toc7039"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6</w:t>
      </w:r>
      <w:r>
        <w:rPr>
          <w:rFonts w:hint="eastAsia" w:ascii="仿宋" w:hAnsi="仿宋" w:eastAsia="仿宋" w:cs="仿宋"/>
          <w:color w:val="000000" w:themeColor="text1"/>
          <w:szCs w:val="24"/>
          <w:highlight w:val="none"/>
          <w:lang w:eastAsia="zh-CN"/>
          <w14:textFill>
            <w14:solidFill>
              <w14:schemeClr w14:val="tx1"/>
            </w14:solidFill>
          </w14:textFill>
        </w:rPr>
        <w:t>7资金计划和安排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_Toc7039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79AC35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"_Toc2840"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68联合体牵头人项目管理费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44AB88">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"_Toc18862"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★69合同价格的约定与调整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_Toc18862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7572D3">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"_Toc32061"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★70合同价格调整程序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_Toc32061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C2CA3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"_Toc3656"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★71工作量或工程量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_Toc3656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D47759">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"_Toc10993"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★72计量和计价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4F3633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"_Toc11470"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★73暂列金额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_Toc11470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832965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★74计日工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BF5603">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"_Toc18977"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★75暂估价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_Toc18977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2537DF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"_Toc16424"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★76提前竣工奖与误期赔偿费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_Toc16424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145482">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"_Toc16928"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★77优质优价费用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_Toc16928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FAC8A8">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"_Toc15747"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★78后继法律变化引起的价格调整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5F0AF2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"_Toc32554"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★79 可调价变更定价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_Toc32554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D7CF22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"_Toc14256"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★80费用索赔</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D632488">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"_Toc2780"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★81现场签证价格的确定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7D1EC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"_Toc31633"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★82物价涨落的价格调整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_Toc31633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E12293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★83支付事项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9C4A914">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"_Toc9113"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★84预付款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974CC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"_Toc7650"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★85绿色施工安全防护费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_Toc7650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F69CA21">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"_Toc22650"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★86进度款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_Toc22650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7C51A5">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"_Toc25100"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w:t>
      </w:r>
      <w:r>
        <w:rPr>
          <w:rFonts w:ascii="仿宋" w:hAnsi="仿宋" w:eastAsia="仿宋" w:cs="仿宋"/>
          <w:color w:val="000000" w:themeColor="text1"/>
          <w:szCs w:val="24"/>
          <w:highlight w:val="none"/>
          <w:lang w:eastAsia="zh-CN"/>
          <w14:textFill>
            <w14:solidFill>
              <w14:schemeClr w14:val="tx1"/>
            </w14:solidFill>
          </w14:textFill>
        </w:rPr>
        <w:t>8</w:t>
      </w:r>
      <w:r>
        <w:rPr>
          <w:rFonts w:hint="eastAsia" w:ascii="仿宋" w:hAnsi="仿宋" w:eastAsia="仿宋" w:cs="仿宋"/>
          <w:color w:val="000000" w:themeColor="text1"/>
          <w:szCs w:val="24"/>
          <w:highlight w:val="none"/>
          <w:lang w:eastAsia="zh-CN"/>
          <w14:textFill>
            <w14:solidFill>
              <w14:schemeClr w14:val="tx1"/>
            </w14:solidFill>
          </w14:textFill>
        </w:rPr>
        <w:t>7竣工结算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_Toc25100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54F1F1">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"_Toc14389"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w:t>
      </w:r>
      <w:r>
        <w:rPr>
          <w:rFonts w:ascii="仿宋" w:hAnsi="仿宋" w:eastAsia="仿宋" w:cs="仿宋"/>
          <w:color w:val="000000" w:themeColor="text1"/>
          <w:szCs w:val="24"/>
          <w:highlight w:val="none"/>
          <w:lang w:eastAsia="zh-CN"/>
          <w14:textFill>
            <w14:solidFill>
              <w14:schemeClr w14:val="tx1"/>
            </w14:solidFill>
          </w14:textFill>
        </w:rPr>
        <w:t>8</w:t>
      </w:r>
      <w:r>
        <w:rPr>
          <w:rFonts w:hint="eastAsia" w:ascii="仿宋" w:hAnsi="仿宋" w:eastAsia="仿宋" w:cs="仿宋"/>
          <w:color w:val="000000" w:themeColor="text1"/>
          <w:szCs w:val="24"/>
          <w:highlight w:val="none"/>
          <w:lang w:eastAsia="zh-CN"/>
          <w14:textFill>
            <w14:solidFill>
              <w14:schemeClr w14:val="tx1"/>
            </w14:solidFill>
          </w14:textFill>
        </w:rPr>
        <w:t>8结算款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_Toc14389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9D2A3E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"_Toc16462"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★89质量保证金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_Toc16462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E7EB8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"_Toc7865"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90最终清算款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C44776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"_Toc7170"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szCs w:val="24"/>
          <w:highlight w:val="none"/>
          <w:lang w:eastAsia="zh-CN"/>
          <w14:textFill>
            <w14:solidFill>
              <w14:schemeClr w14:val="tx1"/>
            </w14:solidFill>
          </w14:textFill>
        </w:rPr>
        <w:t>八、合同争议、解除与终止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_Toc7170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A6B6C9">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"_Toc9337"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91合同争议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_Toc9337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BF38BA">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"_Toc27725"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92合同解除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_Toc27725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1F00D24">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"_Toc2713"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93合同解除的支付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34E230">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"_Toc16907"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94合同终止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_Toc16907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4D6298C">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"_Toc18853"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szCs w:val="24"/>
          <w:highlight w:val="none"/>
          <w:lang w:eastAsia="zh-CN"/>
          <w14:textFill>
            <w14:solidFill>
              <w14:schemeClr w14:val="tx1"/>
            </w14:solidFill>
          </w14:textFill>
        </w:rPr>
        <w:t>九、违约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_Toc18853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704BF17">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"_Toc14896"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★95承包人违约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23D063">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"_Toc24311"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★96 发包人违约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_Toc24311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4FE498B">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"_Toc10270"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w:t>
      </w:r>
      <w:r>
        <w:rPr>
          <w:rFonts w:ascii="仿宋" w:hAnsi="仿宋" w:eastAsia="仿宋" w:cs="仿宋"/>
          <w:color w:val="000000" w:themeColor="text1"/>
          <w:szCs w:val="24"/>
          <w:highlight w:val="none"/>
          <w:lang w:eastAsia="zh-CN"/>
          <w14:textFill>
            <w14:solidFill>
              <w14:schemeClr w14:val="tx1"/>
            </w14:solidFill>
          </w14:textFill>
        </w:rPr>
        <w:t>9</w:t>
      </w:r>
      <w:r>
        <w:rPr>
          <w:rFonts w:hint="eastAsia" w:ascii="仿宋" w:hAnsi="仿宋" w:eastAsia="仿宋" w:cs="仿宋"/>
          <w:color w:val="000000" w:themeColor="text1"/>
          <w:szCs w:val="24"/>
          <w:highlight w:val="none"/>
          <w:lang w:eastAsia="zh-CN"/>
          <w14:textFill>
            <w14:solidFill>
              <w14:schemeClr w14:val="tx1"/>
            </w14:solidFill>
          </w14:textFill>
        </w:rPr>
        <w:t>7第三方违约与除外责任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A5842B1">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"_Toc5672"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9</w:t>
      </w:r>
      <w:r>
        <w:rPr>
          <w:rFonts w:hint="eastAsia" w:ascii="仿宋" w:hAnsi="仿宋" w:eastAsia="仿宋" w:cs="仿宋"/>
          <w:color w:val="000000" w:themeColor="text1"/>
          <w:szCs w:val="24"/>
          <w:highlight w:val="none"/>
          <w:lang w:eastAsia="zh-CN"/>
          <w14:textFill>
            <w14:solidFill>
              <w14:schemeClr w14:val="tx1"/>
            </w14:solidFill>
          </w14:textFill>
        </w:rPr>
        <w:t>8缴纳税费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703816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"_Toc24511"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szCs w:val="24"/>
          <w:highlight w:val="none"/>
          <w:lang w:eastAsia="zh-CN"/>
          <w14:textFill>
            <w14:solidFill>
              <w14:schemeClr w14:val="tx1"/>
            </w14:solidFill>
          </w14:textFill>
        </w:rPr>
        <w:t>十、其他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_Toc24511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8824FC">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"_Toc14153"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99保密要求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_Toc14153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DFFA5D9">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"_Toc1386"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100 廉政建设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8A488D">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"_Toc1981"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101禁止转让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0E3771">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"_Toc14800"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102合同份数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B71CB4E">
      <w:pPr>
        <w:pStyle w:val="39"/>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"_Toc15071"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103合同管理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_Toc15071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79166B2">
      <w:pPr>
        <w:pStyle w:val="53"/>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"_Toc27278" </w:instrText>
      </w:r>
      <w:r>
        <w:rPr>
          <w:color w:val="000000" w:themeColor="text1"/>
          <w:highlight w:val="none"/>
          <w14:textFill>
            <w14:solidFill>
              <w14:schemeClr w14:val="tx1"/>
            </w14:solidFill>
          </w14:textFill>
        </w:rPr>
        <w:fldChar w:fldCharType="separate"/>
      </w:r>
      <w:r>
        <w:rPr>
          <w:rFonts w:hint="eastAsia" w:hAnsi="宋体"/>
          <w:bCs w:val="0"/>
          <w:color w:val="000000" w:themeColor="text1"/>
          <w:szCs w:val="36"/>
          <w:highlight w:val="none"/>
          <w:lang w:eastAsia="zh-CN"/>
          <w14:textFill>
            <w14:solidFill>
              <w14:schemeClr w14:val="tx1"/>
            </w14:solidFill>
          </w14:textFill>
        </w:rPr>
        <w:t>第三部分  专用条款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_Toc27278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1DA22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"_Toc6363" </w:instrText>
      </w:r>
      <w:r>
        <w:rPr>
          <w:color w:val="000000" w:themeColor="text1"/>
          <w:highlight w:val="none"/>
          <w14:textFill>
            <w14:solidFill>
              <w14:schemeClr w14:val="tx1"/>
            </w14:solidFill>
          </w14:textFill>
        </w:rPr>
        <w:fldChar w:fldCharType="separate"/>
      </w:r>
      <w:r>
        <w:rPr>
          <w:rFonts w:hint="eastAsia" w:ascii="仿宋" w:hAnsi="仿宋" w:eastAsia="仿宋"/>
          <w:snapToGrid w:val="0"/>
          <w:color w:val="000000" w:themeColor="text1"/>
          <w:highlight w:val="none"/>
          <w:lang w:eastAsia="zh-CN"/>
          <w14:textFill>
            <w14:solidFill>
              <w14:schemeClr w14:val="tx1"/>
            </w14:solidFill>
          </w14:textFill>
        </w:rPr>
        <w:t>总则（补充）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E21300">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"_Toc5144"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  定义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_Toc5144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AFFAB4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"_Toc5481"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  合同文件及解释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_Toc5481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D59FD6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"_Toc26636"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  语言及适用的法律、标准与</w:t>
      </w:r>
      <w:r>
        <w:rPr>
          <w:rFonts w:hint="eastAsia" w:ascii="仿宋" w:hAnsi="仿宋" w:eastAsia="仿宋"/>
          <w:color w:val="000000" w:themeColor="text1"/>
          <w:szCs w:val="24"/>
          <w:highlight w:val="none"/>
          <w:lang w:eastAsia="zh-CN"/>
          <w14:textFill>
            <w14:solidFill>
              <w14:schemeClr w14:val="tx1"/>
            </w14:solidFill>
          </w14:textFill>
        </w:rPr>
        <w:t>规范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_Toc26636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05B1B7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"_Toc7500"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  发包人要求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_Toc7500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23A06F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"_Toc9024"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  项目基础资料的提供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_Toc9024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729FDF0">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"_Toc22714"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  勘察报告、设计文件、建筑信息模型（BIM）</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_Toc22714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0FF893F">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"_Toc30971"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  合同价格的控制原则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_Toc30971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6413B6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"_Toc21019"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  通信联络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_Toc21019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909CF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  分包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9E33CB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"_Toc11211"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13.  投标文件的完备性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_Toc11211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9D627F">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"_Toc1533"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14. 文物和地下障碍物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9D85B16">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"_Toc9396"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16.  交通运输</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_Toc9396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C2B1044">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"_Toc23512"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17.  专项批准事项的签认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_Toc23512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B1BE02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"_Toc27395"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18.  专利技术和知识产权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7736E7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"_Toc5233"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19.  联合体的责任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_Toc5233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261C8CF">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"_Toc30023"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22.  发包人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_Toc30023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C61978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"_Toc21907"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23.  承包人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_Toc21907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6FEBFD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"_Toc7605"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24.  现场管理人员任命和更换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_Toc7605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12F5AC">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"_Toc30186"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25.  发包人代表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_Toc30186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679B6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"_Toc22637"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26.  设计顾问人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_Toc22637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1C1A90C">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"_Toc14513"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27.  监理人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D7ED0A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"_Toc25835"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28.  造价咨询人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_Toc25835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187A3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14:textFill>
            <w14:solidFill>
              <w14:schemeClr w14:val="tx1"/>
            </w14:solidFill>
          </w14:textFill>
        </w:rPr>
        <w:t>30.  指定分包人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715095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"_Toc7182"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32.  工程担保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_Toc7182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D13158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"_Toc1164" </w:instrText>
      </w:r>
      <w:r>
        <w:rPr>
          <w:color w:val="000000" w:themeColor="text1"/>
          <w:highlight w:val="none"/>
          <w14:textFill>
            <w14:solidFill>
              <w14:schemeClr w14:val="tx1"/>
            </w14:solidFill>
          </w14:textFill>
        </w:rPr>
        <w:fldChar w:fldCharType="separate"/>
      </w:r>
      <w:r>
        <w:rPr>
          <w:rFonts w:ascii="仿宋" w:hAnsi="仿宋" w:eastAsia="仿宋" w:cs="仿宋"/>
          <w:color w:val="000000" w:themeColor="text1"/>
          <w:szCs w:val="24"/>
          <w:highlight w:val="none"/>
          <w:lang w:eastAsia="zh-CN"/>
          <w14:textFill>
            <w14:solidFill>
              <w14:schemeClr w14:val="tx1"/>
            </w14:solidFill>
          </w14:textFill>
        </w:rPr>
        <w:t xml:space="preserve">33. </w:t>
      </w:r>
      <w:r>
        <w:rPr>
          <w:rFonts w:hint="eastAsia" w:ascii="仿宋" w:hAnsi="仿宋" w:eastAsia="仿宋" w:cs="仿宋"/>
          <w:color w:val="000000" w:themeColor="text1"/>
          <w:szCs w:val="24"/>
          <w:highlight w:val="none"/>
          <w:lang w:eastAsia="zh-CN"/>
          <w14:textFill>
            <w14:solidFill>
              <w14:schemeClr w14:val="tx1"/>
            </w14:solidFill>
          </w14:textFill>
        </w:rPr>
        <w:t>发包人风险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2DE996">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"_Toc18274"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35.  不可抗力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_Toc18274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C66D78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"_Toc29604"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36.  保险</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_Toc29604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0679DE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"_Toc4994"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37.  工程勘察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_Toc4994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220936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"_Toc32043"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38.  工程设计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_Toc32043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6C2FDD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"_Toc32469"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39.  BIM技术应用及智能建造</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_Toc32469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19179B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"_Toc11928"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40.  进度计划和报告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4F78CC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"_Toc28406"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41.  开始工作或开工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_Toc28406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E01DE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"_Toc13589"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42.  暂停工作、暂停施工和复工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_Toc13589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BE7496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"_Toc10878"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43.  工期和工期延误</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_Toc10878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2F8009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"_Toc8722"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45.  竣工日期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_Toc8722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3C34D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"_Toc26983"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★49.  质量标准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_Toc26983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3C30F2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"_Toc2779"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★50.  工程质量创优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D29A4E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"_Toc20181"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★52.  绿色施工安全防护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1A852A4">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"_Toc7641"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53.  测量放线</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_Toc7641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7728C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"_Toc25637"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55.  发包人供应工程材料和工程设备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_Toc25637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654EC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"_Toc10926"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56.  承包人购置设备及工器具、采购工程材料和工程设备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08B663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"_Toc12410"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57.  设备及工器具的验收、工程材料和工程设备的检验试验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_Toc12410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DCD12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"_Toc25040"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58.  施工设备和临时设施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508D1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"_Toc22734"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★60.  隐蔽工程和中间验收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_Toc22734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541E050">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"_Toc6471"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62. 工程试车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_Toc6471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470393">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"_Toc21553"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★63. 工程变更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E61062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"_Toc10338"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64. 竣工验收条件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_Toc10338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36DC23">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"_Toc28467"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★65. 竣工验收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_Toc28467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2A82B3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"_Toc6661"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66.  缺陷责任与质量保修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_Toc6661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88ECA9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"_Toc32622"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68.联合体牵头人项目管理费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FF45D2">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"_Toc12931"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★69. 合同价格的约定与调整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426550B">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"_Toc28808"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★71. 工作量或工程量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_Toc28808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D9952F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"_Toc27931"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★75.  暂估价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_Toc27931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E10FB57">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"_Toc24107"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★76.  提前竣工奖与误期赔偿费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_Toc24107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C870D2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"_Toc30356"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★77.  优质优价费用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40F5A4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"_Toc19132"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79.  可调价变更定价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_Toc19132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C06D42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"_Toc5520"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★81.  现场签证价格的确定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_Toc5520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D05696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"_Toc16606"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★82.  物价涨落的价格调整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_Toc16606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3AA8093">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"_Toc13958"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★83. 支付事项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F13323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"_Toc24070"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★84.  预付款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E792A6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"_Toc16522"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★85.  绿色施工安全防护费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_Toc16522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95CE93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"_Toc30376"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★86.  进度款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6BD28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"_Toc16707"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★87. 竣工结算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_Toc16707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F793076">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"_Toc18625"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★88.  结算款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44CC0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"_Toc12747"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★89.  质量保证金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_Toc12747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554D68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"_Toc6095"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90.  最终清算款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_Toc6095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2B5ED28">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"_Toc25417"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91.  合同争议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_Toc25417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57C64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"_Toc9593"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92.  合同解除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_Toc9593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A5EC58C">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"_Toc22908"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★95承包人违约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_Toc22908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CD7356">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"_Toc21614"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★96发包人违约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_Toc21614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4CE7E3E">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"_Toc19096"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99.  保密要求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CDB564">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"_Toc28486"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102.  合同份数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_Toc28486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EB47EE3">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"_Toc30505"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Cs w:val="24"/>
          <w:highlight w:val="none"/>
          <w:lang w:eastAsia="zh-CN"/>
          <w14:textFill>
            <w14:solidFill>
              <w14:schemeClr w14:val="tx1"/>
            </w14:solidFill>
          </w14:textFill>
        </w:rPr>
        <w:t>103合同管理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D74C833">
      <w:pPr>
        <w:pStyle w:val="53"/>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"_Toc7019" </w:instrText>
      </w:r>
      <w:r>
        <w:rPr>
          <w:color w:val="000000" w:themeColor="text1"/>
          <w:highlight w:val="none"/>
          <w14:textFill>
            <w14:solidFill>
              <w14:schemeClr w14:val="tx1"/>
            </w14:solidFill>
          </w14:textFill>
        </w:rPr>
        <w:fldChar w:fldCharType="separate"/>
      </w:r>
      <w:r>
        <w:rPr>
          <w:rFonts w:hint="eastAsia" w:hAnsi="宋体"/>
          <w:bCs w:val="0"/>
          <w:color w:val="000000" w:themeColor="text1"/>
          <w:szCs w:val="36"/>
          <w:highlight w:val="none"/>
          <w:lang w:eastAsia="zh-CN"/>
          <w14:textFill>
            <w14:solidFill>
              <w14:schemeClr w14:val="tx1"/>
            </w14:solidFill>
          </w14:textFill>
        </w:rPr>
        <w:t>第四部分  附件与格式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_Toc7019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431039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"_Toc25039"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附件一：联合体承包协议书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763F1D5">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"_Toc88"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41256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"_Toc28174"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_Toc28174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E450D59">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"_Toc11690"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附件四：工程质量终身责任承诺书（含法定代表人授权书）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_Toc11690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A1E183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"_Toc26258"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附件五</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943D84">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"_Toc24276" </w:instrText>
      </w:r>
      <w:r>
        <w:rPr>
          <w:color w:val="000000" w:themeColor="text1"/>
          <w:highlight w:val="none"/>
          <w14:textFill>
            <w14:solidFill>
              <w14:schemeClr w14:val="tx1"/>
            </w14:solidFill>
          </w14:textFill>
        </w:rPr>
        <w:fldChar w:fldCharType="separate"/>
      </w:r>
      <w:r>
        <w:rPr>
          <w:rFonts w:hint="eastAsia" w:ascii="仿宋" w:hAnsi="仿宋" w:eastAsia="仿宋"/>
          <w:bCs/>
          <w:color w:val="000000" w:themeColor="text1"/>
          <w:highlight w:val="none"/>
          <w:lang w:eastAsia="zh-CN"/>
          <w14:textFill>
            <w14:solidFill>
              <w14:schemeClr w14:val="tx1"/>
            </w14:solidFill>
          </w14:textFill>
        </w:rPr>
        <w:t>附件六：</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508BFA0">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"_Toc11921"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附件七：中标通知书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AC52B1">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"_Toc29056"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附件八：工程总承包承诺书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_Toc29056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CED038D">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"_Toc16174" </w:instrText>
      </w:r>
      <w:r>
        <w:rPr>
          <w:color w:val="000000" w:themeColor="text1"/>
          <w:highlight w:val="none"/>
          <w14:textFill>
            <w14:solidFill>
              <w14:schemeClr w14:val="tx1"/>
            </w14:solidFill>
          </w14:textFill>
        </w:rPr>
        <w:fldChar w:fldCharType="separate"/>
      </w:r>
      <w:r>
        <w:rPr>
          <w:rFonts w:hint="eastAsia" w:ascii="仿宋" w:hAnsi="仿宋" w:eastAsia="仿宋" w:cs="仿宋"/>
          <w:bCs/>
          <w:snapToGrid w:val="0"/>
          <w:color w:val="000000" w:themeColor="text1"/>
          <w:highlight w:val="none"/>
          <w:lang w:eastAsia="zh-CN"/>
          <w14:textFill>
            <w14:solidFill>
              <w14:schemeClr w14:val="tx1"/>
            </w14:solidFill>
          </w14:textFill>
        </w:rPr>
        <w:t>附件九：设计工作考核评分表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_Toc16174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AE1B5A">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"_Toc19423"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_Toc19423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5C3173">
      <w:pPr>
        <w:pStyle w:val="64"/>
        <w:tabs>
          <w:tab w:val="right" w:leader="dot" w:pos="902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"_Toc22799" </w:instrText>
      </w:r>
      <w:r>
        <w:rPr>
          <w:color w:val="000000" w:themeColor="text1"/>
          <w:highlight w:val="none"/>
          <w14:textFill>
            <w14:solidFill>
              <w14:schemeClr w14:val="tx1"/>
            </w14:solidFill>
          </w14:textFill>
        </w:rPr>
        <w:fldChar w:fldCharType="separate"/>
      </w:r>
      <w:r>
        <w:rPr>
          <w:rFonts w:hint="eastAsia" w:ascii="仿宋" w:hAnsi="仿宋" w:eastAsia="仿宋" w:cs="仿宋"/>
          <w:bCs/>
          <w:color w:val="000000" w:themeColor="text1"/>
          <w:highlight w:val="none"/>
          <w:lang w:eastAsia="zh-CN"/>
          <w14:textFill>
            <w14:solidFill>
              <w14:schemeClr w14:val="tx1"/>
            </w14:solidFill>
          </w14:textFill>
        </w:rPr>
        <w:t>附件十一</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_Toc22799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8E1D608">
      <w:pPr>
        <w:pStyle w:val="64"/>
        <w:tabs>
          <w:tab w:val="right" w:leader="dot" w:pos="10194"/>
        </w:tabs>
        <w:spacing w:line="360" w:lineRule="auto"/>
        <w:ind w:left="0"/>
        <w:rPr>
          <w:rStyle w:val="90"/>
          <w:rFonts w:ascii="仿宋" w:hAnsi="仿宋" w:eastAsia="仿宋" w:cs="宋体"/>
          <w:caps/>
          <w:color w:val="000000" w:themeColor="text1"/>
          <w:sz w:val="24"/>
          <w:szCs w:val="24"/>
          <w:highlight w:val="none"/>
          <w:lang w:eastAsia="zh-CN"/>
          <w14:textFill>
            <w14:solidFill>
              <w14:schemeClr w14:val="tx1"/>
            </w14:solidFill>
          </w14:textFill>
        </w:rPr>
      </w:pPr>
      <w:r>
        <w:rPr>
          <w:rFonts w:hint="eastAsia" w:ascii="仿宋" w:hAnsi="仿宋" w:eastAsia="仿宋" w:cs="宋体"/>
          <w:bCs/>
          <w:caps/>
          <w:smallCaps w:val="0"/>
          <w:color w:val="000000" w:themeColor="text1"/>
          <w:sz w:val="24"/>
          <w:szCs w:val="24"/>
          <w:highlight w:val="none"/>
          <w:lang w:eastAsia="zh-CN"/>
          <w14:textFill>
            <w14:solidFill>
              <w14:schemeClr w14:val="tx1"/>
            </w14:solidFill>
          </w14:textFill>
        </w:rPr>
        <w:fldChar w:fldCharType="end"/>
      </w:r>
      <w:r>
        <w:rPr>
          <w:rFonts w:hint="eastAsia" w:ascii="仿宋" w:hAnsi="仿宋" w:eastAsia="仿宋" w:cs="宋体"/>
          <w:bCs/>
          <w:caps/>
          <w:smallCaps w:val="0"/>
          <w:color w:val="000000" w:themeColor="text1"/>
          <w:sz w:val="24"/>
          <w:szCs w:val="24"/>
          <w:highlight w:val="none"/>
          <w:lang w:eastAsia="zh-CN"/>
          <w14:textFill>
            <w14:solidFill>
              <w14:schemeClr w14:val="tx1"/>
            </w14:solidFill>
          </w14:textFill>
        </w:rPr>
        <w:t xml:space="preserve"> </w:t>
      </w:r>
    </w:p>
    <w:p w14:paraId="07A0997E">
      <w:pPr>
        <w:pStyle w:val="212"/>
        <w:spacing w:before="0" w:after="0" w:line="500" w:lineRule="exact"/>
        <w:jc w:val="center"/>
        <w:rPr>
          <w:rFonts w:ascii="仿宋" w:hAnsi="仿宋" w:eastAsia="仿宋" w:cs="仿宋"/>
          <w:color w:val="000000" w:themeColor="text1"/>
          <w:sz w:val="36"/>
          <w:szCs w:val="36"/>
          <w:highlight w:val="none"/>
          <w:lang w:val="zh-CN" w:eastAsia="zh-CN"/>
          <w14:textFill>
            <w14:solidFill>
              <w14:schemeClr w14:val="tx1"/>
            </w14:solidFill>
          </w14:textFill>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bookmarkStart w:id="2" w:name="_Toc16018"/>
    </w:p>
    <w:p w14:paraId="6F2AA34B">
      <w:pPr>
        <w:pStyle w:val="212"/>
        <w:spacing w:before="0" w:after="0" w:line="500" w:lineRule="exact"/>
        <w:jc w:val="center"/>
        <w:rPr>
          <w:rFonts w:ascii="仿宋" w:hAnsi="仿宋" w:eastAsia="仿宋" w:cs="Times New Roman"/>
          <w:color w:val="000000" w:themeColor="text1"/>
          <w:sz w:val="36"/>
          <w:szCs w:val="36"/>
          <w:highlight w:val="none"/>
          <w:lang w:val="zh-CN" w:eastAsia="zh-CN"/>
          <w14:textFill>
            <w14:solidFill>
              <w14:schemeClr w14:val="tx1"/>
            </w14:solidFill>
          </w14:textFill>
        </w:rPr>
      </w:pPr>
      <w:r>
        <w:rPr>
          <w:rFonts w:hint="eastAsia" w:ascii="仿宋" w:hAnsi="仿宋" w:eastAsia="仿宋" w:cs="仿宋"/>
          <w:color w:val="000000" w:themeColor="text1"/>
          <w:sz w:val="36"/>
          <w:szCs w:val="36"/>
          <w:highlight w:val="none"/>
          <w:lang w:val="zh-CN" w:eastAsia="zh-CN"/>
          <w14:textFill>
            <w14:solidFill>
              <w14:schemeClr w14:val="tx1"/>
            </w14:solidFill>
          </w14:textFill>
        </w:rPr>
        <w:t>总说明</w:t>
      </w:r>
      <w:bookmarkEnd w:id="2"/>
    </w:p>
    <w:p w14:paraId="51C7769F">
      <w:pPr>
        <w:rPr>
          <w:color w:val="000000" w:themeColor="text1"/>
          <w:highlight w:val="none"/>
          <w:lang w:val="zh-CN" w:eastAsia="zh-CN"/>
          <w14:textFill>
            <w14:solidFill>
              <w14:schemeClr w14:val="tx1"/>
            </w14:solidFill>
          </w14:textFill>
        </w:rPr>
      </w:pPr>
    </w:p>
    <w:p w14:paraId="6C1E8DB2">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000000" w:themeColor="text1"/>
          <w:highlight w:val="none"/>
          <w:lang w:eastAsia="zh-CN"/>
          <w14:textFill>
            <w14:solidFill>
              <w14:schemeClr w14:val="tx1"/>
            </w14:solidFill>
          </w14:textFill>
        </w:rPr>
        <w:t>GF-2011-0216</w:t>
      </w:r>
      <w:r>
        <w:rPr>
          <w:rFonts w:hint="eastAsia" w:ascii="仿宋" w:hAnsi="仿宋" w:eastAsia="仿宋" w:cs="仿宋"/>
          <w:color w:val="000000" w:themeColor="text1"/>
          <w:highlight w:val="none"/>
          <w:lang w:eastAsia="zh-CN"/>
          <w14:textFill>
            <w14:solidFill>
              <w14:schemeClr w14:val="tx1"/>
            </w14:solidFill>
          </w14:textFill>
        </w:rPr>
        <w:t>）、《建设工程施工合同（示范文本）》（</w:t>
      </w:r>
      <w:r>
        <w:rPr>
          <w:rFonts w:ascii="仿宋" w:hAnsi="仿宋" w:eastAsia="仿宋" w:cs="仿宋"/>
          <w:color w:val="000000" w:themeColor="text1"/>
          <w:highlight w:val="none"/>
          <w:lang w:eastAsia="zh-CN"/>
          <w14:textFill>
            <w14:solidFill>
              <w14:schemeClr w14:val="tx1"/>
            </w14:solidFill>
          </w14:textFill>
        </w:rPr>
        <w:t>GF—2017—0201</w:t>
      </w:r>
      <w:r>
        <w:rPr>
          <w:rFonts w:hint="eastAsia" w:ascii="仿宋" w:hAnsi="仿宋" w:eastAsia="仿宋" w:cs="仿宋"/>
          <w:color w:val="000000" w:themeColor="text1"/>
          <w:highlight w:val="none"/>
          <w:lang w:eastAsia="zh-CN"/>
          <w14:textFill>
            <w14:solidFill>
              <w14:schemeClr w14:val="tx1"/>
            </w14:solidFill>
          </w14:textFill>
        </w:rPr>
        <w:t>）、《广东省建设工程标准施工合同（</w:t>
      </w:r>
      <w:r>
        <w:rPr>
          <w:rFonts w:ascii="仿宋" w:hAnsi="仿宋" w:eastAsia="仿宋" w:cs="仿宋"/>
          <w:color w:val="000000" w:themeColor="text1"/>
          <w:highlight w:val="none"/>
          <w:lang w:eastAsia="zh-CN"/>
          <w14:textFill>
            <w14:solidFill>
              <w14:schemeClr w14:val="tx1"/>
            </w14:solidFill>
          </w14:textFill>
        </w:rPr>
        <w:t>2009</w:t>
      </w:r>
      <w:r>
        <w:rPr>
          <w:rFonts w:hint="eastAsia" w:ascii="仿宋" w:hAnsi="仿宋" w:eastAsia="仿宋" w:cs="仿宋"/>
          <w:color w:val="000000" w:themeColor="text1"/>
          <w:highlight w:val="none"/>
          <w:lang w:eastAsia="zh-CN"/>
          <w14:textFill>
            <w14:solidFill>
              <w14:schemeClr w14:val="tx1"/>
            </w14:solidFill>
          </w14:textFill>
        </w:rPr>
        <w:t>年版）》《建设工程设计合同示范文本（房屋建筑工程）》（</w:t>
      </w:r>
      <w:r>
        <w:rPr>
          <w:rFonts w:ascii="仿宋" w:hAnsi="仿宋" w:eastAsia="仿宋" w:cs="仿宋"/>
          <w:color w:val="000000" w:themeColor="text1"/>
          <w:highlight w:val="none"/>
          <w:lang w:eastAsia="zh-CN"/>
          <w14:textFill>
            <w14:solidFill>
              <w14:schemeClr w14:val="tx1"/>
            </w14:solidFill>
          </w14:textFill>
        </w:rPr>
        <w:t>GF-201</w:t>
      </w:r>
      <w:r>
        <w:rPr>
          <w:rFonts w:hint="eastAsia" w:ascii="仿宋" w:hAnsi="仿宋" w:eastAsia="仿宋" w:cs="仿宋"/>
          <w:color w:val="000000" w:themeColor="text1"/>
          <w:highlight w:val="none"/>
          <w:lang w:eastAsia="zh-CN"/>
          <w14:textFill>
            <w14:solidFill>
              <w14:schemeClr w14:val="tx1"/>
            </w14:solidFill>
          </w14:textFill>
        </w:rPr>
        <w:t>5</w:t>
      </w:r>
      <w:r>
        <w:rPr>
          <w:rFonts w:ascii="仿宋" w:hAnsi="仿宋" w:eastAsia="仿宋" w:cs="仿宋"/>
          <w:color w:val="000000" w:themeColor="text1"/>
          <w:highlight w:val="none"/>
          <w:lang w:eastAsia="zh-CN"/>
          <w14:textFill>
            <w14:solidFill>
              <w14:schemeClr w14:val="tx1"/>
            </w14:solidFill>
          </w14:textFill>
        </w:rPr>
        <w:t>-02</w:t>
      </w:r>
      <w:r>
        <w:rPr>
          <w:rFonts w:hint="eastAsia" w:ascii="仿宋" w:hAnsi="仿宋" w:eastAsia="仿宋" w:cs="仿宋"/>
          <w:color w:val="000000" w:themeColor="text1"/>
          <w:highlight w:val="none"/>
          <w:lang w:eastAsia="zh-CN"/>
          <w14:textFill>
            <w14:solidFill>
              <w14:schemeClr w14:val="tx1"/>
            </w14:solidFill>
          </w14:textFill>
        </w:rPr>
        <w:t>09）、《建设工程勘察合同示范文本》（</w:t>
      </w:r>
      <w:r>
        <w:rPr>
          <w:rFonts w:ascii="仿宋" w:hAnsi="仿宋" w:eastAsia="仿宋" w:cs="仿宋"/>
          <w:color w:val="000000" w:themeColor="text1"/>
          <w:highlight w:val="none"/>
          <w:lang w:eastAsia="zh-CN"/>
          <w14:textFill>
            <w14:solidFill>
              <w14:schemeClr w14:val="tx1"/>
            </w14:solidFill>
          </w14:textFill>
        </w:rPr>
        <w:t>GF-201</w:t>
      </w:r>
      <w:r>
        <w:rPr>
          <w:rFonts w:hint="eastAsia" w:ascii="仿宋" w:hAnsi="仿宋" w:eastAsia="仿宋" w:cs="仿宋"/>
          <w:color w:val="000000" w:themeColor="text1"/>
          <w:highlight w:val="none"/>
          <w:lang w:eastAsia="zh-CN"/>
          <w14:textFill>
            <w14:solidFill>
              <w14:schemeClr w14:val="tx1"/>
            </w14:solidFill>
          </w14:textFill>
        </w:rPr>
        <w:t>6</w:t>
      </w:r>
      <w:r>
        <w:rPr>
          <w:rFonts w:ascii="仿宋" w:hAnsi="仿宋" w:eastAsia="仿宋" w:cs="仿宋"/>
          <w:color w:val="000000" w:themeColor="text1"/>
          <w:highlight w:val="none"/>
          <w:lang w:eastAsia="zh-CN"/>
          <w14:textFill>
            <w14:solidFill>
              <w14:schemeClr w14:val="tx1"/>
            </w14:solidFill>
          </w14:textFill>
        </w:rPr>
        <w:t>-02</w:t>
      </w:r>
      <w:r>
        <w:rPr>
          <w:rFonts w:hint="eastAsia" w:ascii="仿宋" w:hAnsi="仿宋" w:eastAsia="仿宋" w:cs="仿宋"/>
          <w:color w:val="000000" w:themeColor="text1"/>
          <w:highlight w:val="none"/>
          <w:lang w:eastAsia="zh-CN"/>
          <w14:textFill>
            <w14:solidFill>
              <w14:schemeClr w14:val="tx1"/>
            </w14:solidFill>
          </w14:textFill>
        </w:rPr>
        <w:t>03）等合同范本，结合近年来广州市建设工程EPC项目的实施情况，特编制本合同示范文本《广州市建设工程总承包合同》（</w:t>
      </w:r>
      <w:r>
        <w:rPr>
          <w:rFonts w:ascii="仿宋" w:hAnsi="仿宋" w:eastAsia="仿宋" w:cs="仿宋"/>
          <w:color w:val="000000" w:themeColor="text1"/>
          <w:highlight w:val="none"/>
          <w:lang w:eastAsia="zh-CN"/>
          <w14:textFill>
            <w14:solidFill>
              <w14:schemeClr w14:val="tx1"/>
            </w14:solidFill>
          </w14:textFill>
        </w:rPr>
        <w:t>SF-202</w:t>
      </w:r>
      <w:r>
        <w:rPr>
          <w:rFonts w:hint="eastAsia" w:ascii="仿宋" w:hAnsi="仿宋" w:eastAsia="仿宋" w:cs="仿宋"/>
          <w:color w:val="000000" w:themeColor="text1"/>
          <w:highlight w:val="none"/>
          <w:lang w:eastAsia="zh-CN"/>
          <w14:textFill>
            <w14:solidFill>
              <w14:schemeClr w14:val="tx1"/>
            </w14:solidFill>
          </w14:textFill>
        </w:rPr>
        <w:t>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）。为了便于合同当事人使用《广州市建设工程总承包合同》（</w:t>
      </w:r>
      <w:r>
        <w:rPr>
          <w:rFonts w:ascii="仿宋" w:hAnsi="仿宋" w:eastAsia="仿宋" w:cs="仿宋"/>
          <w:color w:val="000000" w:themeColor="text1"/>
          <w:highlight w:val="none"/>
          <w:lang w:eastAsia="zh-CN"/>
          <w14:textFill>
            <w14:solidFill>
              <w14:schemeClr w14:val="tx1"/>
            </w14:solidFill>
          </w14:textFill>
        </w:rPr>
        <w:t>SF-</w:t>
      </w:r>
      <w:r>
        <w:rPr>
          <w:rFonts w:hint="eastAsia" w:ascii="仿宋" w:hAnsi="仿宋" w:eastAsia="仿宋" w:cs="仿宋"/>
          <w:color w:val="000000" w:themeColor="text1"/>
          <w:highlight w:val="none"/>
          <w:lang w:eastAsia="zh-CN"/>
          <w14:textFill>
            <w14:solidFill>
              <w14:schemeClr w14:val="tx1"/>
            </w14:solidFill>
          </w14:textFill>
        </w:rPr>
        <w:t>2022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）示范文本，现就有关问题说明如下：</w:t>
      </w:r>
    </w:p>
    <w:p w14:paraId="6B2EE0FE">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一、工程总承包与施工总承包、建设工程设计、建设工程勘察合同的区别与联系</w:t>
      </w:r>
    </w:p>
    <w:p w14:paraId="007A6FE1">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总承包（EPC）与施工总承包两种模式的联系与区别，两者都厘清总承包范围内合同当事人的权利和义务，但工程总承包明确了参建各方在勘察、设计、施工等各阶段工作的角色定位和责任划分，以及合同价款确定和造价控制模式。</w:t>
      </w:r>
    </w:p>
    <w:p w14:paraId="7422CB19">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3" w:name="_Hlk89524773"/>
      <w:r>
        <w:rPr>
          <w:rFonts w:hint="eastAsia" w:ascii="仿宋" w:hAnsi="仿宋" w:eastAsia="仿宋" w:cs="仿宋"/>
          <w:color w:val="000000" w:themeColor="text1"/>
          <w:highlight w:val="none"/>
          <w:lang w:eastAsia="zh-CN"/>
          <w14:textFill>
            <w14:solidFill>
              <w14:schemeClr w14:val="tx1"/>
            </w14:solidFill>
          </w14:textFill>
        </w:rPr>
        <w:t>其合同约定与工程地质勘察有关的范围内容、质量、进度和价格等权利、义务和责任；</w:t>
      </w:r>
      <w:bookmarkEnd w:id="3"/>
      <w:r>
        <w:rPr>
          <w:rFonts w:hint="eastAsia" w:ascii="仿宋" w:hAnsi="仿宋" w:eastAsia="仿宋" w:cs="仿宋"/>
          <w:color w:val="000000" w:themeColor="text1"/>
          <w:highlight w:val="none"/>
          <w:lang w:eastAsia="zh-CN"/>
          <w14:textFill>
            <w14:solidFill>
              <w14:schemeClr w14:val="tx1"/>
            </w14:solidFill>
          </w14:textFill>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75D67F68">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40E2B1CA">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二、《广州市建设工程总承包合同》（</w:t>
      </w:r>
      <w:r>
        <w:rPr>
          <w:rFonts w:ascii="仿宋" w:hAnsi="仿宋" w:eastAsia="仿宋" w:cs="仿宋"/>
          <w:color w:val="000000" w:themeColor="text1"/>
          <w:highlight w:val="none"/>
          <w:lang w:eastAsia="zh-CN"/>
          <w14:textFill>
            <w14:solidFill>
              <w14:schemeClr w14:val="tx1"/>
            </w14:solidFill>
          </w14:textFill>
        </w:rPr>
        <w:t>SF-202</w:t>
      </w:r>
      <w:r>
        <w:rPr>
          <w:rFonts w:hint="eastAsia" w:ascii="仿宋" w:hAnsi="仿宋" w:eastAsia="仿宋" w:cs="仿宋"/>
          <w:color w:val="000000" w:themeColor="text1"/>
          <w:highlight w:val="none"/>
          <w:lang w:eastAsia="zh-CN"/>
          <w14:textFill>
            <w14:solidFill>
              <w14:schemeClr w14:val="tx1"/>
            </w14:solidFill>
          </w14:textFill>
        </w:rPr>
        <w:t>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）的适用范围</w:t>
      </w:r>
    </w:p>
    <w:p w14:paraId="53CB79B5">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《广州市建设工程总承包合同》（SF-2022-0210）适用于广州市行政区域内房屋建筑与市政基础设施项目，并应符合以下条件：</w:t>
      </w:r>
    </w:p>
    <w:p w14:paraId="4009011A">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（一）新建、扩建、改建、装修、修缮等建设工程项目；</w:t>
      </w:r>
    </w:p>
    <w:p w14:paraId="347C0EF3">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（二）建设标准和建设内容明确、设计方案成熟、技术要求明确；</w:t>
      </w:r>
    </w:p>
    <w:p w14:paraId="16564537">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06AA06A8">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三、《广州市建设工程总承包合同》（</w:t>
      </w:r>
      <w:r>
        <w:rPr>
          <w:rFonts w:ascii="仿宋" w:hAnsi="仿宋" w:eastAsia="仿宋" w:cs="仿宋"/>
          <w:color w:val="000000" w:themeColor="text1"/>
          <w:highlight w:val="none"/>
          <w:lang w:eastAsia="zh-CN"/>
          <w14:textFill>
            <w14:solidFill>
              <w14:schemeClr w14:val="tx1"/>
            </w14:solidFill>
          </w14:textFill>
        </w:rPr>
        <w:t>SF-</w:t>
      </w:r>
      <w:r>
        <w:rPr>
          <w:rFonts w:hint="eastAsia" w:ascii="仿宋" w:hAnsi="仿宋" w:eastAsia="仿宋" w:cs="仿宋"/>
          <w:color w:val="000000" w:themeColor="text1"/>
          <w:highlight w:val="none"/>
          <w:lang w:eastAsia="zh-CN"/>
          <w14:textFill>
            <w14:solidFill>
              <w14:schemeClr w14:val="tx1"/>
            </w14:solidFill>
          </w14:textFill>
        </w:rPr>
        <w:t>2022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）的组成</w:t>
      </w:r>
    </w:p>
    <w:p w14:paraId="43CE0CEF">
      <w:pPr>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《广州市建设工程总承包合同》（</w:t>
      </w:r>
      <w:r>
        <w:rPr>
          <w:rFonts w:ascii="仿宋" w:hAnsi="仿宋" w:eastAsia="仿宋" w:cs="仿宋"/>
          <w:color w:val="000000" w:themeColor="text1"/>
          <w:highlight w:val="none"/>
          <w:lang w:eastAsia="zh-CN"/>
          <w14:textFill>
            <w14:solidFill>
              <w14:schemeClr w14:val="tx1"/>
            </w14:solidFill>
          </w14:textFill>
        </w:rPr>
        <w:t>SF-</w:t>
      </w:r>
      <w:r>
        <w:rPr>
          <w:rFonts w:hint="eastAsia" w:ascii="仿宋" w:hAnsi="仿宋" w:eastAsia="仿宋" w:cs="仿宋"/>
          <w:color w:val="000000" w:themeColor="text1"/>
          <w:highlight w:val="none"/>
          <w:lang w:eastAsia="zh-CN"/>
          <w14:textFill>
            <w14:solidFill>
              <w14:schemeClr w14:val="tx1"/>
            </w14:solidFill>
          </w14:textFill>
        </w:rPr>
        <w:t>2022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）由协议书、通用条款和专用条款三部分组成。</w:t>
      </w:r>
    </w:p>
    <w:p w14:paraId="52D3059D">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四、其他重要事项</w:t>
      </w:r>
    </w:p>
    <w:p w14:paraId="048B3B3F">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1、发包人（项目业主）首要责任制</w:t>
      </w:r>
    </w:p>
    <w:p w14:paraId="6C6C7FE1">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1972CA16">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2、工程总承包（EPC）的定义</w:t>
      </w:r>
    </w:p>
    <w:p w14:paraId="63BF5E78">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他合同。</w:t>
      </w:r>
    </w:p>
    <w:p w14:paraId="3F980F70">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3、新型建筑工业化</w:t>
      </w:r>
    </w:p>
    <w:p w14:paraId="47952077">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3F0B5AD5">
      <w:pPr>
        <w:spacing w:line="500" w:lineRule="exact"/>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4、全过程咨询、第三方咨询人</w:t>
      </w:r>
    </w:p>
    <w:p w14:paraId="31A882E8">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28B2DCD8">
      <w:pPr>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bookmarkStart w:id="4" w:name="_Toc3056"/>
      <w:r>
        <w:rPr>
          <w:rFonts w:hint="eastAsia" w:ascii="仿宋" w:hAnsi="仿宋" w:eastAsia="仿宋" w:cs="仿宋"/>
          <w:color w:val="000000" w:themeColor="text1"/>
          <w:highlight w:val="none"/>
          <w:lang w:eastAsia="zh-CN"/>
          <w14:textFill>
            <w14:solidFill>
              <w14:schemeClr w14:val="tx1"/>
            </w14:solidFill>
          </w14:textFill>
        </w:rPr>
        <w:t>5、专用条款</w:t>
      </w:r>
      <w:bookmarkEnd w:id="4"/>
      <w:r>
        <w:rPr>
          <w:rFonts w:hint="eastAsia" w:ascii="仿宋" w:hAnsi="仿宋" w:eastAsia="仿宋" w:cs="仿宋"/>
          <w:color w:val="000000" w:themeColor="text1"/>
          <w:highlight w:val="none"/>
          <w:lang w:eastAsia="zh-CN"/>
          <w14:textFill>
            <w14:solidFill>
              <w14:schemeClr w14:val="tx1"/>
            </w14:solidFill>
          </w14:textFill>
        </w:rPr>
        <w:t>注意事项</w:t>
      </w:r>
    </w:p>
    <w:p w14:paraId="70CF06C9">
      <w:pPr>
        <w:widowControl w:val="0"/>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51442F53">
      <w:pPr>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（1）专用条款的编号应与相应的通用条款的编号一致；</w:t>
      </w:r>
    </w:p>
    <w:p w14:paraId="3FD868FB">
      <w:pPr>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（2）合同当事人可以通过对专用条款的补充、完善，满足具体工程的特殊要求，不得直接修改通用条款；</w:t>
      </w:r>
    </w:p>
    <w:p w14:paraId="6C403940">
      <w:pPr>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（3）在专用条款中有横道线的地方，合同当事人可针对相应的通用条款进行细化、完善、补充或另行约定；如无细化、完善、补充或另行约定，则填写“无”或划“</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w:t>
      </w:r>
    </w:p>
    <w:p w14:paraId="76E144CE">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6.示范文本非强制性使用</w:t>
      </w:r>
    </w:p>
    <w:p w14:paraId="3B199D14">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《广州市建设工程总承包合同》（</w:t>
      </w:r>
      <w:r>
        <w:rPr>
          <w:rFonts w:ascii="仿宋" w:hAnsi="仿宋" w:eastAsia="仿宋" w:cs="仿宋"/>
          <w:color w:val="000000" w:themeColor="text1"/>
          <w:highlight w:val="none"/>
          <w:lang w:eastAsia="zh-CN"/>
          <w14:textFill>
            <w14:solidFill>
              <w14:schemeClr w14:val="tx1"/>
            </w14:solidFill>
          </w14:textFill>
        </w:rPr>
        <w:t>SF-</w:t>
      </w:r>
      <w:r>
        <w:rPr>
          <w:rFonts w:hint="eastAsia" w:ascii="仿宋" w:hAnsi="仿宋" w:eastAsia="仿宋" w:cs="仿宋"/>
          <w:color w:val="000000" w:themeColor="text1"/>
          <w:highlight w:val="none"/>
          <w:lang w:eastAsia="zh-CN"/>
          <w14:textFill>
            <w14:solidFill>
              <w14:schemeClr w14:val="tx1"/>
            </w14:solidFill>
          </w14:textFill>
        </w:rPr>
        <w:t>2022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）为非强制性使用文本。</w:t>
      </w:r>
      <w:r>
        <w:rPr>
          <w:rFonts w:ascii="仿宋" w:hAnsi="仿宋" w:eastAsia="仿宋" w:cs="仿宋"/>
          <w:color w:val="000000" w:themeColor="text1"/>
          <w:highlight w:val="none"/>
          <w:lang w:eastAsia="zh-CN"/>
          <w14:textFill>
            <w14:solidFill>
              <w14:schemeClr w14:val="tx1"/>
            </w14:solidFill>
          </w14:textFill>
        </w:rPr>
        <w:t>发包人与承包人</w:t>
      </w:r>
      <w:r>
        <w:rPr>
          <w:rFonts w:hint="eastAsia" w:ascii="仿宋" w:hAnsi="仿宋" w:eastAsia="仿宋" w:cs="仿宋"/>
          <w:color w:val="000000" w:themeColor="text1"/>
          <w:highlight w:val="none"/>
          <w:lang w:eastAsia="zh-CN"/>
          <w14:textFill>
            <w14:solidFill>
              <w14:schemeClr w14:val="tx1"/>
            </w14:solidFill>
          </w14:textFill>
        </w:rPr>
        <w:t>应</w:t>
      </w:r>
      <w:r>
        <w:rPr>
          <w:rFonts w:ascii="仿宋" w:hAnsi="仿宋" w:eastAsia="仿宋" w:cs="仿宋"/>
          <w:color w:val="000000" w:themeColor="text1"/>
          <w:highlight w:val="none"/>
          <w:lang w:eastAsia="zh-CN"/>
          <w14:textFill>
            <w14:solidFill>
              <w14:schemeClr w14:val="tx1"/>
            </w14:solidFill>
          </w14:textFill>
        </w:rPr>
        <w:t>结合建设工程具体情况，参考本</w:t>
      </w:r>
      <w:r>
        <w:rPr>
          <w:rFonts w:hint="eastAsia" w:ascii="仿宋" w:hAnsi="仿宋" w:eastAsia="仿宋" w:cs="仿宋"/>
          <w:color w:val="000000" w:themeColor="text1"/>
          <w:highlight w:val="none"/>
          <w:lang w:eastAsia="zh-CN"/>
          <w14:textFill>
            <w14:solidFill>
              <w14:schemeClr w14:val="tx1"/>
            </w14:solidFill>
          </w14:textFill>
        </w:rPr>
        <w:t>示范文本订立合同，履行合同约定的合同权利义务，并承担相应的法律责任。</w:t>
      </w:r>
    </w:p>
    <w:p w14:paraId="60ABE70C">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7.带</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号的条文的要求</w:t>
      </w:r>
    </w:p>
    <w:p w14:paraId="3DCBAEF2">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通用条款中带</w:t>
      </w: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000000" w:themeColor="text1"/>
          <w:highlight w:val="none"/>
          <w:lang w:eastAsia="zh-CN"/>
          <w14:textFill>
            <w14:solidFill>
              <w14:schemeClr w14:val="tx1"/>
            </w14:solidFill>
          </w14:textFill>
        </w:rPr>
        <w:t>SF-</w:t>
      </w:r>
      <w:r>
        <w:rPr>
          <w:rFonts w:hint="eastAsia" w:ascii="仿宋" w:hAnsi="仿宋" w:eastAsia="仿宋" w:cs="仿宋"/>
          <w:color w:val="000000" w:themeColor="text1"/>
          <w:highlight w:val="none"/>
          <w:lang w:eastAsia="zh-CN"/>
          <w14:textFill>
            <w14:solidFill>
              <w14:schemeClr w14:val="tx1"/>
            </w14:solidFill>
          </w14:textFill>
        </w:rPr>
        <w:t>2022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）的内容，约定双方具体的权利义务。</w:t>
      </w:r>
    </w:p>
    <w:p w14:paraId="4A034FDB">
      <w:pPr>
        <w:spacing w:line="500" w:lineRule="exact"/>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8.“预付款”、“进度款”、“竣工结算”条款的要求</w:t>
      </w:r>
    </w:p>
    <w:p w14:paraId="7C1B6B82">
      <w:pPr>
        <w:spacing w:line="500" w:lineRule="exact"/>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《广州市建设工程总承包合同》（</w:t>
      </w:r>
      <w:r>
        <w:rPr>
          <w:rFonts w:ascii="仿宋" w:hAnsi="仿宋" w:eastAsia="仿宋" w:cs="仿宋"/>
          <w:color w:val="000000" w:themeColor="text1"/>
          <w:highlight w:val="none"/>
          <w:lang w:eastAsia="zh-CN"/>
          <w14:textFill>
            <w14:solidFill>
              <w14:schemeClr w14:val="tx1"/>
            </w14:solidFill>
          </w14:textFill>
        </w:rPr>
        <w:t>SF-</w:t>
      </w:r>
      <w:r>
        <w:rPr>
          <w:rFonts w:hint="eastAsia" w:ascii="仿宋" w:hAnsi="仿宋" w:eastAsia="仿宋" w:cs="仿宋"/>
          <w:color w:val="000000" w:themeColor="text1"/>
          <w:highlight w:val="none"/>
          <w:lang w:eastAsia="zh-CN"/>
          <w14:textFill>
            <w14:solidFill>
              <w14:schemeClr w14:val="tx1"/>
            </w14:solidFill>
          </w14:textFill>
        </w:rPr>
        <w:t>2022</w:t>
      </w:r>
      <w:r>
        <w:rPr>
          <w:rFonts w:ascii="仿宋" w:hAnsi="仿宋" w:eastAsia="仿宋" w:cs="仿宋"/>
          <w:color w:val="000000" w:themeColor="text1"/>
          <w:highlight w:val="none"/>
          <w:lang w:eastAsia="zh-CN"/>
          <w14:textFill>
            <w14:solidFill>
              <w14:schemeClr w14:val="tx1"/>
            </w14:solidFill>
          </w14:textFill>
        </w:rPr>
        <w:t>-0210</w:t>
      </w:r>
      <w:r>
        <w:rPr>
          <w:rFonts w:hint="eastAsia" w:ascii="仿宋" w:hAnsi="仿宋" w:eastAsia="仿宋" w:cs="仿宋"/>
          <w:color w:val="000000" w:themeColor="text1"/>
          <w:highlight w:val="none"/>
          <w:lang w:eastAsia="zh-CN"/>
          <w14:textFill>
            <w14:solidFill>
              <w14:schemeClr w14:val="tx1"/>
            </w14:solidFill>
          </w14:textFill>
        </w:rPr>
        <w:t>）专用条款中的“预付款”、“进度款”、“竣工结算”条款，在签订合同时优先选择本合同中已列的支付条件、支付方式，如选择“其它方式”或“另作约定”形式的，需以合同附件的形式予以说明原因。</w:t>
      </w:r>
    </w:p>
    <w:p w14:paraId="10F4B1DF">
      <w:pPr>
        <w:spacing w:beforeAutospacing="1" w:afterAutospacing="1"/>
        <w:rPr>
          <w:rFonts w:ascii="宋体"/>
          <w:color w:val="000000" w:themeColor="text1"/>
          <w:sz w:val="36"/>
          <w:szCs w:val="36"/>
          <w:highlight w:val="none"/>
          <w:lang w:eastAsia="zh-CN"/>
          <w14:textFill>
            <w14:solidFill>
              <w14:schemeClr w14:val="tx1"/>
            </w14:solidFill>
          </w14:textFill>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4A3F5BE7">
      <w:pPr>
        <w:spacing w:line="360" w:lineRule="auto"/>
        <w:jc w:val="center"/>
        <w:outlineLvl w:val="0"/>
        <w:rPr>
          <w:rFonts w:ascii="宋体"/>
          <w:b/>
          <w:bCs/>
          <w:color w:val="000000" w:themeColor="text1"/>
          <w:sz w:val="36"/>
          <w:szCs w:val="36"/>
          <w:highlight w:val="none"/>
          <w:lang w:eastAsia="zh-CN"/>
          <w14:textFill>
            <w14:solidFill>
              <w14:schemeClr w14:val="tx1"/>
            </w14:solidFill>
          </w14:textFill>
        </w:rPr>
      </w:pPr>
      <w:bookmarkStart w:id="5" w:name="_Toc149731411"/>
      <w:bookmarkStart w:id="6" w:name="_Toc13601"/>
      <w:r>
        <w:rPr>
          <w:rFonts w:hint="eastAsia" w:ascii="宋体" w:hAnsi="宋体" w:cs="宋体"/>
          <w:b/>
          <w:bCs/>
          <w:color w:val="000000" w:themeColor="text1"/>
          <w:sz w:val="36"/>
          <w:szCs w:val="36"/>
          <w:highlight w:val="none"/>
          <w:lang w:eastAsia="zh-CN"/>
          <w14:textFill>
            <w14:solidFill>
              <w14:schemeClr w14:val="tx1"/>
            </w14:solidFill>
          </w14:textFill>
        </w:rPr>
        <w:t xml:space="preserve">第一部分 </w:t>
      </w:r>
      <w:r>
        <w:rPr>
          <w:rFonts w:ascii="宋体" w:hAnsi="宋体" w:cs="宋体"/>
          <w:b/>
          <w:bCs/>
          <w:color w:val="000000" w:themeColor="text1"/>
          <w:sz w:val="36"/>
          <w:szCs w:val="36"/>
          <w:highlight w:val="none"/>
          <w:lang w:eastAsia="zh-CN"/>
          <w14:textFill>
            <w14:solidFill>
              <w14:schemeClr w14:val="tx1"/>
            </w14:solidFill>
          </w14:textFill>
        </w:rPr>
        <w:t xml:space="preserve"> </w:t>
      </w:r>
      <w:r>
        <w:rPr>
          <w:rFonts w:hint="eastAsia" w:ascii="宋体" w:hAnsi="宋体" w:cs="宋体"/>
          <w:b/>
          <w:bCs/>
          <w:color w:val="000000" w:themeColor="text1"/>
          <w:sz w:val="36"/>
          <w:szCs w:val="36"/>
          <w:highlight w:val="none"/>
          <w:lang w:eastAsia="zh-CN"/>
          <w14:textFill>
            <w14:solidFill>
              <w14:schemeClr w14:val="tx1"/>
            </w14:solidFill>
          </w14:textFill>
        </w:rPr>
        <w:t>协议书</w:t>
      </w:r>
      <w:bookmarkEnd w:id="5"/>
      <w:bookmarkEnd w:id="6"/>
    </w:p>
    <w:p w14:paraId="7BB576F2">
      <w:pPr>
        <w:spacing w:line="360" w:lineRule="auto"/>
        <w:jc w:val="center"/>
        <w:rPr>
          <w:rFonts w:ascii="宋体"/>
          <w:color w:val="000000" w:themeColor="text1"/>
          <w:sz w:val="36"/>
          <w:szCs w:val="36"/>
          <w:highlight w:val="none"/>
          <w:lang w:eastAsia="zh-CN"/>
          <w14:textFill>
            <w14:solidFill>
              <w14:schemeClr w14:val="tx1"/>
            </w14:solidFill>
          </w14:textFill>
        </w:rPr>
      </w:pPr>
    </w:p>
    <w:p w14:paraId="7BA10D6F">
      <w:pPr>
        <w:spacing w:line="360" w:lineRule="auto"/>
        <w:ind w:left="480" w:left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（全称）广州新中轴海珠片区城市更新有限公司</w:t>
      </w:r>
    </w:p>
    <w:p w14:paraId="6C8D4E56">
      <w:pPr>
        <w:spacing w:line="360" w:lineRule="auto"/>
        <w:ind w:left="480" w:left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（全称）/</w:t>
      </w:r>
    </w:p>
    <w:p w14:paraId="0403328E">
      <w:pPr>
        <w:spacing w:after="120" w:line="360" w:lineRule="auto"/>
        <w:ind w:right="463" w:rightChars="193"/>
        <w:rPr>
          <w:rFonts w:cs="宋体"/>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承包人（承包人为联合体时）：</w:t>
      </w:r>
    </w:p>
    <w:p w14:paraId="09B72810">
      <w:pPr>
        <w:spacing w:after="120" w:line="360" w:lineRule="auto"/>
        <w:ind w:right="463" w:rightChars="19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(牵头单位全称）：</w:t>
      </w:r>
    </w:p>
    <w:p w14:paraId="5288A34F">
      <w:pPr>
        <w:spacing w:line="360" w:lineRule="auto"/>
        <w:ind w:left="1920" w:hanging="1920" w:hangingChars="8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(成员单位全称）：</w:t>
      </w:r>
    </w:p>
    <w:p w14:paraId="5EEE0210">
      <w:pPr>
        <w:spacing w:after="120" w:line="360" w:lineRule="auto"/>
        <w:ind w:right="463" w:rightChars="193"/>
        <w:rPr>
          <w:rFonts w:ascii="仿宋" w:hAnsi="仿宋" w:eastAsia="仿宋"/>
          <w:color w:val="000000" w:themeColor="text1"/>
          <w:highlight w:val="none"/>
          <w:lang w:eastAsia="zh-CN"/>
          <w14:textFill>
            <w14:solidFill>
              <w14:schemeClr w14:val="tx1"/>
            </w14:solidFill>
          </w14:textFill>
        </w:rPr>
      </w:pPr>
    </w:p>
    <w:p w14:paraId="6BD1FD05">
      <w:pPr>
        <w:spacing w:line="360" w:lineRule="auto"/>
        <w:ind w:left="480" w:leftChars="200" w:right="192" w:rightChars="8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71E4A784">
      <w:pPr>
        <w:spacing w:line="360" w:lineRule="auto"/>
        <w:ind w:left="480" w:leftChars="200"/>
        <w:rPr>
          <w:rFonts w:ascii="仿宋" w:hAnsi="仿宋" w:eastAsia="仿宋" w:cs="仿宋"/>
          <w:b/>
          <w:bCs/>
          <w:color w:val="000000" w:themeColor="text1"/>
          <w:highlight w:val="none"/>
          <w:lang w:eastAsia="zh-CN"/>
          <w14:textFill>
            <w14:solidFill>
              <w14:schemeClr w14:val="tx1"/>
            </w14:solidFill>
          </w14:textFill>
        </w:rPr>
      </w:pPr>
    </w:p>
    <w:p w14:paraId="6BFB7926">
      <w:pPr>
        <w:spacing w:line="360" w:lineRule="auto"/>
        <w:ind w:left="480" w:leftChars="200"/>
        <w:outlineLvl w:val="1"/>
        <w:rPr>
          <w:rFonts w:ascii="仿宋" w:hAnsi="仿宋" w:eastAsia="仿宋" w:cs="仿宋"/>
          <w:b/>
          <w:bCs/>
          <w:color w:val="000000" w:themeColor="text1"/>
          <w:highlight w:val="none"/>
          <w:lang w:eastAsia="zh-CN"/>
          <w14:textFill>
            <w14:solidFill>
              <w14:schemeClr w14:val="tx1"/>
            </w14:solidFill>
          </w14:textFill>
        </w:rPr>
      </w:pPr>
      <w:bookmarkStart w:id="7" w:name="_Toc26526"/>
      <w:bookmarkStart w:id="8" w:name="_Toc24913"/>
      <w:bookmarkStart w:id="9" w:name="_Toc149731412"/>
      <w:r>
        <w:rPr>
          <w:rFonts w:hint="eastAsia" w:ascii="仿宋" w:hAnsi="仿宋" w:eastAsia="仿宋" w:cs="仿宋"/>
          <w:b/>
          <w:bCs/>
          <w:color w:val="000000" w:themeColor="text1"/>
          <w:highlight w:val="none"/>
          <w:lang w:eastAsia="zh-CN"/>
          <w14:textFill>
            <w14:solidFill>
              <w14:schemeClr w14:val="tx1"/>
            </w14:solidFill>
          </w14:textFill>
        </w:rPr>
        <w:t>一、工程概况</w:t>
      </w:r>
      <w:bookmarkEnd w:id="7"/>
      <w:bookmarkEnd w:id="8"/>
      <w:bookmarkEnd w:id="9"/>
    </w:p>
    <w:p w14:paraId="29638CEF">
      <w:pPr>
        <w:spacing w:line="360" w:lineRule="auto"/>
        <w:ind w:left="480" w:left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1、立项批文编号或广东省企业基本建设投资项目备案证备案项目编号：</w:t>
      </w:r>
    </w:p>
    <w:p w14:paraId="6B22767A">
      <w:pPr>
        <w:spacing w:line="360" w:lineRule="auto"/>
        <w:ind w:left="480" w:left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2、项目名称：广州市海珠区三滘村城中村改造项目</w:t>
      </w:r>
      <w:r>
        <w:rPr>
          <w:rFonts w:hint="eastAsia" w:ascii="仿宋" w:hAnsi="仿宋" w:eastAsia="仿宋" w:cs="仿宋"/>
          <w:color w:val="000000" w:themeColor="text1"/>
          <w:highlight w:val="none"/>
          <w:lang w:val="en-US" w:eastAsia="zh-CN"/>
          <w14:textFill>
            <w14:solidFill>
              <w14:schemeClr w14:val="tx1"/>
            </w14:solidFill>
          </w14:textFill>
        </w:rPr>
        <w:t>启动区</w:t>
      </w:r>
      <w:r>
        <w:rPr>
          <w:rFonts w:hint="eastAsia" w:ascii="仿宋" w:hAnsi="仿宋" w:eastAsia="仿宋" w:cs="仿宋"/>
          <w:color w:val="000000" w:themeColor="text1"/>
          <w:highlight w:val="none"/>
          <w:lang w:eastAsia="zh-CN"/>
          <w14:textFill>
            <w14:solidFill>
              <w14:schemeClr w14:val="tx1"/>
            </w14:solidFill>
          </w14:textFill>
        </w:rPr>
        <w:t>S4地块</w:t>
      </w:r>
      <w:r>
        <w:rPr>
          <w:rFonts w:hint="eastAsia" w:ascii="仿宋" w:hAnsi="仿宋" w:eastAsia="仿宋" w:cs="仿宋"/>
          <w:color w:val="000000" w:themeColor="text1"/>
          <w:highlight w:val="none"/>
          <w:lang w:val="en-US" w:eastAsia="zh-CN"/>
          <w14:textFill>
            <w14:solidFill>
              <w14:schemeClr w14:val="tx1"/>
            </w14:solidFill>
          </w14:textFill>
        </w:rPr>
        <w:t>复建安置房建设项目</w:t>
      </w:r>
      <w:r>
        <w:rPr>
          <w:rFonts w:hint="eastAsia" w:ascii="仿宋" w:hAnsi="仿宋" w:eastAsia="仿宋" w:cs="仿宋"/>
          <w:color w:val="000000" w:themeColor="text1"/>
          <w:highlight w:val="none"/>
          <w:lang w:eastAsia="zh-CN"/>
          <w14:textFill>
            <w14:solidFill>
              <w14:schemeClr w14:val="tx1"/>
            </w14:solidFill>
          </w14:textFill>
        </w:rPr>
        <w:t>基坑支护及土石方工程设计施工总承包</w:t>
      </w:r>
    </w:p>
    <w:p w14:paraId="2428155E">
      <w:pPr>
        <w:spacing w:line="360" w:lineRule="auto"/>
        <w:ind w:left="480" w:left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3、建设地点：</w:t>
      </w:r>
      <w:r>
        <w:rPr>
          <w:rFonts w:hint="eastAsia" w:ascii="仿宋" w:hAnsi="仿宋" w:eastAsia="仿宋" w:cs="仿宋"/>
          <w:color w:val="000000" w:themeColor="text1"/>
          <w:highlight w:val="none"/>
          <w:u w:val="single"/>
          <w:lang w:eastAsia="zh-CN"/>
          <w14:textFill>
            <w14:solidFill>
              <w14:schemeClr w14:val="tx1"/>
            </w14:solidFill>
          </w14:textFill>
        </w:rPr>
        <w:t>广州市海珠区。</w:t>
      </w:r>
    </w:p>
    <w:p w14:paraId="30C8721E">
      <w:pPr>
        <w:spacing w:line="360" w:lineRule="auto"/>
        <w:ind w:left="480" w:left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4、合同类型：□设计、采购、施工合同</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勘察、设计、施工合同</w:t>
      </w:r>
    </w:p>
    <w:p w14:paraId="14CEC0DE">
      <w:pPr>
        <w:spacing w:line="360" w:lineRule="auto"/>
        <w:ind w:left="480" w:leftChars="200" w:firstLine="1504" w:firstLineChars="627"/>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☑设计、施工合同□其他：</w:t>
      </w:r>
    </w:p>
    <w:p w14:paraId="5AC9C190">
      <w:pPr>
        <w:spacing w:line="360" w:lineRule="auto"/>
        <w:ind w:left="480" w:left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5、合同签订阶段：☑可行性研究批准立项或者备案后   </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初步设计批准后</w:t>
      </w:r>
    </w:p>
    <w:p w14:paraId="0913A501">
      <w:pPr>
        <w:spacing w:line="360" w:lineRule="auto"/>
        <w:ind w:left="480" w:leftChars="200" w:firstLine="1680" w:firstLineChars="7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□其他阶段：</w:t>
      </w:r>
    </w:p>
    <w:p w14:paraId="51ADDC3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6、工程规模：</w:t>
      </w:r>
      <w:r>
        <w:rPr>
          <w:rFonts w:ascii="仿宋" w:hAnsi="仿宋" w:eastAsia="仿宋" w:cs="仿宋"/>
          <w:color w:val="000000" w:themeColor="text1"/>
          <w:highlight w:val="none"/>
          <w:u w:val="singl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同招标公告</w:t>
      </w:r>
      <w:r>
        <w:rPr>
          <w:rFonts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15E64DC7">
      <w:pPr>
        <w:spacing w:line="360" w:lineRule="auto"/>
        <w:ind w:left="480" w:left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7、结构形式：</w:t>
      </w:r>
      <w:r>
        <w:rPr>
          <w:rFonts w:ascii="仿宋" w:hAnsi="仿宋" w:eastAsia="仿宋" w:cs="仿宋"/>
          <w:color w:val="000000" w:themeColor="text1"/>
          <w:highlight w:val="none"/>
          <w:u w:val="singl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详见招标图纸</w:t>
      </w:r>
      <w:r>
        <w:rPr>
          <w:rFonts w:ascii="仿宋" w:hAnsi="仿宋" w:eastAsia="仿宋" w:cs="仿宋"/>
          <w:color w:val="000000" w:themeColor="text1"/>
          <w:highlight w:val="none"/>
          <w:u w:val="single"/>
          <w:lang w:eastAsia="zh-CN"/>
          <w14:textFill>
            <w14:solidFill>
              <w14:schemeClr w14:val="tx1"/>
            </w14:solidFill>
          </w14:textFill>
        </w:rPr>
        <w:t xml:space="preserve">）  </w:t>
      </w:r>
    </w:p>
    <w:p w14:paraId="3F428151">
      <w:pPr>
        <w:spacing w:line="360" w:lineRule="auto"/>
        <w:ind w:left="480" w:leftChars="200" w:firstLine="1200" w:firstLineChars="5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☑本项目不含装配式建筑</w:t>
      </w:r>
    </w:p>
    <w:p w14:paraId="7567D8D7">
      <w:pPr>
        <w:spacing w:line="360" w:lineRule="auto"/>
        <w:ind w:left="480" w:leftChars="200" w:firstLine="1200" w:firstLineChars="5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本项目含装配式建筑，各装配式单体工程名称：</w:t>
      </w:r>
    </w:p>
    <w:p w14:paraId="2BF696D5">
      <w:pPr>
        <w:spacing w:line="360" w:lineRule="auto"/>
        <w:ind w:left="425" w:leftChars="177" w:firstLine="1272" w:firstLineChars="53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各装配式单体工程装配率或评价等级：</w:t>
      </w:r>
    </w:p>
    <w:p w14:paraId="2E05446B">
      <w:pPr>
        <w:spacing w:line="360" w:lineRule="auto"/>
        <w:ind w:left="480" w:left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8、BIM技术应用：☑本项目不采用BIM技术应用</w:t>
      </w:r>
    </w:p>
    <w:p w14:paraId="1B1E8AF3">
      <w:pPr>
        <w:spacing w:line="360" w:lineRule="auto"/>
        <w:ind w:firstLine="2505" w:firstLineChars="104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本项目采用BIM技术应用：</w:t>
      </w:r>
    </w:p>
    <w:p w14:paraId="7DC54A17">
      <w:pPr>
        <w:spacing w:line="360" w:lineRule="auto"/>
        <w:ind w:left="960" w:left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选用平台：</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宋体" w:hAnsi="宋体"/>
          <w:color w:val="000000" w:themeColor="text1"/>
          <w:highlight w:val="none"/>
          <w14:textFill>
            <w14:solidFill>
              <w14:schemeClr w14:val="tx1"/>
            </w14:solidFill>
          </w14:textFill>
        </w:rPr>
        <w:t xml:space="preserve">Revit  </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ascii="宋体" w:hAnsi="宋体"/>
          <w:color w:val="000000" w:themeColor="text1"/>
          <w:highlight w:val="none"/>
          <w14:textFill>
            <w14:solidFill>
              <w14:schemeClr w14:val="tx1"/>
            </w14:solidFill>
          </w14:textFill>
        </w:rPr>
        <w:t>Navisworks</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ascii="宋体" w:hAnsi="宋体"/>
          <w:color w:val="000000" w:themeColor="text1"/>
          <w:highlight w:val="none"/>
          <w14:textFill>
            <w14:solidFill>
              <w14:schemeClr w14:val="tx1"/>
            </w14:solidFill>
          </w14:textFill>
        </w:rPr>
        <w:t>Bentley Navigator</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ascii="宋体" w:hAnsi="宋体"/>
          <w:color w:val="000000" w:themeColor="text1"/>
          <w:highlight w:val="none"/>
          <w14:textFill>
            <w14:solidFill>
              <w14:schemeClr w14:val="tx1"/>
            </w14:solidFill>
          </w14:textFill>
        </w:rPr>
        <w:t>Tekla Structures</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ascii="宋体" w:hAnsi="宋体"/>
          <w:color w:val="000000" w:themeColor="text1"/>
          <w:highlight w:val="none"/>
          <w14:textFill>
            <w14:solidFill>
              <w14:schemeClr w14:val="tx1"/>
            </w14:solidFill>
          </w14:textFill>
        </w:rPr>
        <w:t>ArchiCAD</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宋体" w:hAnsi="宋体"/>
          <w:color w:val="000000" w:themeColor="text1"/>
          <w:highlight w:val="none"/>
          <w14:textFill>
            <w14:solidFill>
              <w14:schemeClr w14:val="tx1"/>
            </w14:solidFill>
          </w14:textFill>
        </w:rPr>
        <w:t xml:space="preserve">OpenPlant  </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14:textFill>
            <w14:solidFill>
              <w14:schemeClr w14:val="tx1"/>
            </w14:solidFill>
          </w14:textFill>
        </w:rPr>
        <w:t>Rebro  （</w:t>
      </w:r>
      <w:r>
        <w:rPr>
          <w:rFonts w:hint="eastAsia" w:ascii="仿宋" w:hAnsi="仿宋" w:eastAsia="仿宋" w:cs="仿宋"/>
          <w:color w:val="000000" w:themeColor="text1"/>
          <w:highlight w:val="none"/>
          <w:lang w:eastAsia="zh-CN"/>
          <w14:textFill>
            <w14:solidFill>
              <w14:schemeClr w14:val="tx1"/>
            </w14:solidFill>
          </w14:textFill>
        </w:rPr>
        <w:t>注：具体以发包人要求为准。）</w:t>
      </w:r>
    </w:p>
    <w:p w14:paraId="14B84EF1">
      <w:pPr>
        <w:spacing w:line="360" w:lineRule="auto"/>
        <w:ind w:left="960" w:leftChars="4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（2）应用阶段：</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设计施工运营三阶段应用  </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设计与施工联合应用  □施工与运维联合应用  □其他</w:t>
      </w:r>
    </w:p>
    <w:p w14:paraId="7DB92D5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9、资金来源：</w:t>
      </w:r>
      <w:r>
        <w:rPr>
          <w:rFonts w:hint="eastAsia" w:ascii="仿宋" w:hAnsi="仿宋" w:eastAsia="仿宋" w:cs="仿宋"/>
          <w:color w:val="000000" w:themeColor="text1"/>
          <w:highlight w:val="none"/>
          <w:u w:val="single"/>
          <w:lang w:eastAsia="zh-CN"/>
          <w14:textFill>
            <w14:solidFill>
              <w14:schemeClr w14:val="tx1"/>
            </w14:solidFill>
          </w14:textFill>
        </w:rPr>
        <w:t>城中村专项借款及企业自有资金等。</w:t>
      </w:r>
    </w:p>
    <w:p w14:paraId="440C7E5A">
      <w:pPr>
        <w:spacing w:line="360" w:lineRule="auto"/>
        <w:ind w:firstLine="48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10、其他：</w:t>
      </w:r>
      <w:r>
        <w:rPr>
          <w:rFonts w:hint="eastAsia" w:ascii="仿宋" w:hAnsi="仿宋" w:eastAsia="仿宋" w:cs="仿宋"/>
          <w:color w:val="000000" w:themeColor="text1"/>
          <w:highlight w:val="none"/>
          <w:u w:val="single"/>
          <w:lang w:eastAsia="zh-CN"/>
          <w14:textFill>
            <w14:solidFill>
              <w14:schemeClr w14:val="tx1"/>
            </w14:solidFill>
          </w14:textFill>
        </w:rPr>
        <w:t>/</w:t>
      </w:r>
    </w:p>
    <w:p w14:paraId="2E581B56">
      <w:pPr>
        <w:spacing w:line="360" w:lineRule="auto"/>
        <w:ind w:firstLine="480"/>
        <w:rPr>
          <w:rFonts w:ascii="仿宋" w:hAnsi="仿宋" w:eastAsia="仿宋"/>
          <w:color w:val="000000" w:themeColor="text1"/>
          <w:highlight w:val="none"/>
          <w:lang w:eastAsia="zh-CN"/>
          <w14:textFill>
            <w14:solidFill>
              <w14:schemeClr w14:val="tx1"/>
            </w14:solidFill>
          </w14:textFill>
        </w:rPr>
      </w:pPr>
    </w:p>
    <w:p w14:paraId="051D8784">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10" w:name="_Toc10817"/>
      <w:bookmarkStart w:id="11" w:name="_Toc3867"/>
      <w:bookmarkStart w:id="12" w:name="_Toc149731413"/>
      <w:r>
        <w:rPr>
          <w:rFonts w:hint="eastAsia" w:ascii="仿宋" w:hAnsi="仿宋" w:eastAsia="仿宋" w:cs="仿宋"/>
          <w:b/>
          <w:bCs/>
          <w:color w:val="000000" w:themeColor="text1"/>
          <w:highlight w:val="none"/>
          <w:lang w:eastAsia="zh-CN"/>
          <w14:textFill>
            <w14:solidFill>
              <w14:schemeClr w14:val="tx1"/>
            </w14:solidFill>
          </w14:textFill>
        </w:rPr>
        <w:t>二、总承包范围与工程内容</w:t>
      </w:r>
      <w:bookmarkEnd w:id="10"/>
      <w:bookmarkEnd w:id="11"/>
      <w:bookmarkEnd w:id="12"/>
    </w:p>
    <w:p w14:paraId="58E47B30">
      <w:pPr>
        <w:spacing w:line="360" w:lineRule="auto"/>
        <w:ind w:firstLine="523" w:firstLineChars="218"/>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根据发包人提供的初步设计文件、发包人要求等资料，负责广州市海珠区三滘村城中村改造项目</w:t>
      </w:r>
      <w:r>
        <w:rPr>
          <w:rFonts w:hint="eastAsia" w:ascii="仿宋" w:hAnsi="仿宋" w:eastAsia="仿宋" w:cs="仿宋"/>
          <w:color w:val="000000" w:themeColor="text1"/>
          <w:highlight w:val="none"/>
          <w:lang w:val="en-US" w:eastAsia="zh-CN"/>
          <w14:textFill>
            <w14:solidFill>
              <w14:schemeClr w14:val="tx1"/>
            </w14:solidFill>
          </w14:textFill>
        </w:rPr>
        <w:t>启动区</w:t>
      </w:r>
      <w:r>
        <w:rPr>
          <w:rFonts w:hint="eastAsia" w:ascii="仿宋" w:hAnsi="仿宋" w:eastAsia="仿宋" w:cs="仿宋"/>
          <w:color w:val="000000" w:themeColor="text1"/>
          <w:highlight w:val="none"/>
          <w:lang w:eastAsia="zh-CN"/>
          <w14:textFill>
            <w14:solidFill>
              <w14:schemeClr w14:val="tx1"/>
            </w14:solidFill>
          </w14:textFill>
        </w:rPr>
        <w:t>S4地块</w:t>
      </w:r>
      <w:r>
        <w:rPr>
          <w:rFonts w:hint="eastAsia" w:ascii="仿宋" w:hAnsi="仿宋" w:eastAsia="仿宋" w:cs="仿宋"/>
          <w:color w:val="000000" w:themeColor="text1"/>
          <w:highlight w:val="none"/>
          <w:lang w:val="en-US" w:eastAsia="zh-CN"/>
          <w14:textFill>
            <w14:solidFill>
              <w14:schemeClr w14:val="tx1"/>
            </w14:solidFill>
          </w14:textFill>
        </w:rPr>
        <w:t>复建安置房建设项目</w:t>
      </w:r>
      <w:r>
        <w:rPr>
          <w:rFonts w:hint="eastAsia" w:ascii="仿宋" w:hAnsi="仿宋" w:eastAsia="仿宋" w:cs="仿宋"/>
          <w:color w:val="000000" w:themeColor="text1"/>
          <w:highlight w:val="none"/>
          <w:lang w:eastAsia="zh-CN"/>
          <w14:textFill>
            <w14:solidFill>
              <w14:schemeClr w14:val="tx1"/>
            </w14:solidFill>
          </w14:textFill>
        </w:rPr>
        <w:t>基坑支护及土石方工程设计施工总承包项目从施工图设计阶段开始的设计、施工总承包工作，包括但不限于以下内容：</w:t>
      </w:r>
    </w:p>
    <w:p w14:paraId="5056CF08">
      <w:pPr>
        <w:pStyle w:val="2"/>
        <w:spacing w:before="193" w:line="360" w:lineRule="auto"/>
        <w:ind w:firstLine="46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pacing w:val="7"/>
          <w:highlight w:val="none"/>
          <w:lang w:eastAsia="zh-CN"/>
          <w14:textFill>
            <w14:solidFill>
              <w14:schemeClr w14:val="tx1"/>
            </w14:solidFill>
          </w14:textFill>
        </w:rPr>
        <w:t>1.</w:t>
      </w:r>
      <w:r>
        <w:rPr>
          <w:rFonts w:ascii="仿宋" w:hAnsi="仿宋" w:eastAsia="仿宋" w:cs="仿宋"/>
          <w:color w:val="000000" w:themeColor="text1"/>
          <w:spacing w:val="7"/>
          <w:highlight w:val="none"/>
          <w:lang w:eastAsia="zh-CN"/>
          <w14:textFill>
            <w14:solidFill>
              <w14:schemeClr w14:val="tx1"/>
            </w14:solidFill>
          </w14:textFill>
        </w:rPr>
        <w:t>总承包范围：</w:t>
      </w:r>
      <w:r>
        <w:rPr>
          <w:rFonts w:hint="eastAsia" w:ascii="仿宋" w:hAnsi="仿宋" w:eastAsia="仿宋" w:cs="仿宋"/>
          <w:color w:val="000000" w:themeColor="text1"/>
          <w:highlight w:val="none"/>
          <w:lang w:eastAsia="zh-CN"/>
          <w14:textFill>
            <w14:solidFill>
              <w14:schemeClr w14:val="tx1"/>
            </w14:solidFill>
          </w14:textFill>
        </w:rPr>
        <w:t>根据发包人提供的初步设计文件、发包人要求等资料</w:t>
      </w:r>
      <w:r>
        <w:rPr>
          <w:rFonts w:ascii="仿宋" w:hAnsi="仿宋" w:eastAsia="仿宋" w:cs="仿宋"/>
          <w:color w:val="000000" w:themeColor="text1"/>
          <w:spacing w:val="7"/>
          <w:highlight w:val="none"/>
          <w:lang w:eastAsia="zh-CN"/>
          <w14:textFill>
            <w14:solidFill>
              <w14:schemeClr w14:val="tx1"/>
            </w14:solidFill>
          </w14:textFill>
        </w:rPr>
        <w:t>，负责</w:t>
      </w:r>
      <w:r>
        <w:rPr>
          <w:rFonts w:hint="eastAsia" w:ascii="仿宋" w:hAnsi="仿宋" w:eastAsia="仿宋" w:cs="仿宋"/>
          <w:color w:val="000000" w:themeColor="text1"/>
          <w:highlight w:val="none"/>
          <w:lang w:eastAsia="zh-CN"/>
          <w14:textFill>
            <w14:solidFill>
              <w14:schemeClr w14:val="tx1"/>
            </w14:solidFill>
          </w14:textFill>
        </w:rPr>
        <w:t>广州市海珠区三滘村城中村改造项目</w:t>
      </w:r>
      <w:r>
        <w:rPr>
          <w:rFonts w:hint="eastAsia" w:ascii="仿宋" w:hAnsi="仿宋" w:eastAsia="仿宋" w:cs="仿宋"/>
          <w:color w:val="000000" w:themeColor="text1"/>
          <w:highlight w:val="none"/>
          <w:lang w:val="en-US" w:eastAsia="zh-CN"/>
          <w14:textFill>
            <w14:solidFill>
              <w14:schemeClr w14:val="tx1"/>
            </w14:solidFill>
          </w14:textFill>
        </w:rPr>
        <w:t>启动区</w:t>
      </w:r>
      <w:r>
        <w:rPr>
          <w:rFonts w:hint="eastAsia" w:ascii="仿宋" w:hAnsi="仿宋" w:eastAsia="仿宋" w:cs="仿宋"/>
          <w:color w:val="000000" w:themeColor="text1"/>
          <w:highlight w:val="none"/>
          <w:lang w:eastAsia="zh-CN"/>
          <w14:textFill>
            <w14:solidFill>
              <w14:schemeClr w14:val="tx1"/>
            </w14:solidFill>
          </w14:textFill>
        </w:rPr>
        <w:t>S4地块</w:t>
      </w:r>
      <w:r>
        <w:rPr>
          <w:rFonts w:hint="eastAsia" w:ascii="仿宋" w:hAnsi="仿宋" w:eastAsia="仿宋" w:cs="仿宋"/>
          <w:color w:val="000000" w:themeColor="text1"/>
          <w:highlight w:val="none"/>
          <w:lang w:val="en-US" w:eastAsia="zh-CN"/>
          <w14:textFill>
            <w14:solidFill>
              <w14:schemeClr w14:val="tx1"/>
            </w14:solidFill>
          </w14:textFill>
        </w:rPr>
        <w:t>复建安置房建设项目</w:t>
      </w:r>
      <w:r>
        <w:rPr>
          <w:rFonts w:hint="eastAsia" w:ascii="仿宋" w:hAnsi="仿宋" w:eastAsia="仿宋" w:cs="仿宋"/>
          <w:color w:val="000000" w:themeColor="text1"/>
          <w:highlight w:val="none"/>
          <w:lang w:eastAsia="zh-CN"/>
          <w14:textFill>
            <w14:solidFill>
              <w14:schemeClr w14:val="tx1"/>
            </w14:solidFill>
          </w14:textFill>
        </w:rPr>
        <w:t>基坑支护及土石方工程设计施工总承包项目</w:t>
      </w:r>
      <w:r>
        <w:rPr>
          <w:rFonts w:ascii="仿宋" w:hAnsi="仿宋" w:eastAsia="仿宋" w:cs="仿宋"/>
          <w:color w:val="000000" w:themeColor="text1"/>
          <w:spacing w:val="9"/>
          <w:highlight w:val="none"/>
          <w:lang w:eastAsia="zh-CN"/>
          <w14:textFill>
            <w14:solidFill>
              <w14:schemeClr w14:val="tx1"/>
            </w14:solidFill>
          </w14:textFill>
        </w:rPr>
        <w:t>规划用地红线范</w:t>
      </w:r>
      <w:r>
        <w:rPr>
          <w:rFonts w:ascii="仿宋" w:hAnsi="仿宋" w:eastAsia="仿宋" w:cs="仿宋"/>
          <w:color w:val="000000" w:themeColor="text1"/>
          <w:spacing w:val="15"/>
          <w:highlight w:val="none"/>
          <w:lang w:eastAsia="zh-CN"/>
          <w14:textFill>
            <w14:solidFill>
              <w14:schemeClr w14:val="tx1"/>
            </w14:solidFill>
          </w14:textFill>
        </w:rPr>
        <w:t>围内(或项目建设影响范围内</w:t>
      </w:r>
      <w:r>
        <w:rPr>
          <w:rFonts w:hint="eastAsia" w:ascii="仿宋" w:hAnsi="仿宋" w:eastAsia="仿宋" w:cs="仿宋"/>
          <w:color w:val="000000" w:themeColor="text1"/>
          <w:spacing w:val="15"/>
          <w:highlight w:val="none"/>
          <w:lang w:eastAsia="zh-CN"/>
          <w14:textFill>
            <w14:solidFill>
              <w14:schemeClr w14:val="tx1"/>
            </w14:solidFill>
          </w14:textFill>
        </w:rPr>
        <w:t>）</w:t>
      </w:r>
      <w:r>
        <w:rPr>
          <w:rFonts w:ascii="仿宋" w:hAnsi="仿宋" w:eastAsia="仿宋" w:cs="仿宋"/>
          <w:color w:val="000000" w:themeColor="text1"/>
          <w:spacing w:val="15"/>
          <w:highlight w:val="none"/>
          <w:lang w:eastAsia="zh-CN"/>
          <w14:textFill>
            <w14:solidFill>
              <w14:schemeClr w14:val="tx1"/>
            </w14:solidFill>
          </w14:textFill>
        </w:rPr>
        <w:t>所涉及建设内容的</w:t>
      </w:r>
      <w:r>
        <w:rPr>
          <w:rFonts w:ascii="仿宋" w:hAnsi="仿宋" w:eastAsia="仿宋" w:cs="仿宋"/>
          <w:color w:val="000000" w:themeColor="text1"/>
          <w:spacing w:val="14"/>
          <w:highlight w:val="none"/>
          <w:lang w:eastAsia="zh-CN"/>
          <w14:textFill>
            <w14:solidFill>
              <w14:schemeClr w14:val="tx1"/>
            </w14:solidFill>
          </w14:textFill>
        </w:rPr>
        <w:t>所有基坑支护设计及施工工作，包括</w:t>
      </w:r>
      <w:r>
        <w:rPr>
          <w:rFonts w:ascii="仿宋" w:hAnsi="仿宋" w:eastAsia="仿宋" w:cs="仿宋"/>
          <w:color w:val="000000" w:themeColor="text1"/>
          <w:spacing w:val="5"/>
          <w:highlight w:val="none"/>
          <w:lang w:eastAsia="zh-CN"/>
          <w14:textFill>
            <w14:solidFill>
              <w14:schemeClr w14:val="tx1"/>
            </w14:solidFill>
          </w14:textFill>
        </w:rPr>
        <w:t>但不限于：基坑支护设计、施工工作、施工场地临时工程及附属临时设施(含</w:t>
      </w:r>
      <w:r>
        <w:rPr>
          <w:rFonts w:hint="eastAsia" w:ascii="仿宋" w:hAnsi="仿宋" w:eastAsia="仿宋" w:cs="仿宋"/>
          <w:color w:val="000000" w:themeColor="text1"/>
          <w:spacing w:val="5"/>
          <w:highlight w:val="none"/>
          <w:lang w:eastAsia="zh-CN"/>
          <w14:textFill>
            <w14:solidFill>
              <w14:schemeClr w14:val="tx1"/>
            </w14:solidFill>
          </w14:textFill>
        </w:rPr>
        <w:t>三</w:t>
      </w:r>
      <w:r>
        <w:rPr>
          <w:rFonts w:ascii="仿宋" w:hAnsi="仿宋" w:eastAsia="仿宋" w:cs="仿宋"/>
          <w:color w:val="000000" w:themeColor="text1"/>
          <w:spacing w:val="5"/>
          <w:highlight w:val="none"/>
          <w:lang w:eastAsia="zh-CN"/>
          <w14:textFill>
            <w14:solidFill>
              <w14:schemeClr w14:val="tx1"/>
            </w14:solidFill>
          </w14:textFill>
        </w:rPr>
        <w:t>通一平</w:t>
      </w:r>
      <w:r>
        <w:rPr>
          <w:rFonts w:hint="eastAsia" w:ascii="仿宋" w:hAnsi="仿宋" w:eastAsia="仿宋" w:cs="仿宋"/>
          <w:color w:val="000000" w:themeColor="text1"/>
          <w:spacing w:val="5"/>
          <w:highlight w:val="none"/>
          <w:lang w:eastAsia="zh-CN"/>
          <w14:textFill>
            <w14:solidFill>
              <w14:schemeClr w14:val="tx1"/>
            </w14:solidFill>
          </w14:textFill>
        </w:rPr>
        <w:t>）</w:t>
      </w:r>
      <w:r>
        <w:rPr>
          <w:rFonts w:ascii="仿宋" w:hAnsi="仿宋" w:eastAsia="仿宋" w:cs="仿宋"/>
          <w:color w:val="000000" w:themeColor="text1"/>
          <w:spacing w:val="5"/>
          <w:highlight w:val="none"/>
          <w:lang w:eastAsia="zh-CN"/>
          <w14:textFill>
            <w14:solidFill>
              <w14:schemeClr w14:val="tx1"/>
            </w14:solidFill>
          </w14:textFill>
        </w:rPr>
        <w:t>、</w:t>
      </w:r>
      <w:r>
        <w:rPr>
          <w:rFonts w:ascii="仿宋" w:hAnsi="仿宋" w:eastAsia="仿宋" w:cs="仿宋"/>
          <w:color w:val="000000" w:themeColor="text1"/>
          <w:spacing w:val="9"/>
          <w:highlight w:val="none"/>
          <w:lang w:eastAsia="zh-CN"/>
          <w14:textFill>
            <w14:solidFill>
              <w14:schemeClr w14:val="tx1"/>
            </w14:solidFill>
          </w14:textFill>
        </w:rPr>
        <w:t>土石方工程、</w:t>
      </w:r>
      <w:r>
        <w:rPr>
          <w:rFonts w:hint="eastAsia" w:ascii="仿宋" w:hAnsi="仿宋" w:eastAsia="仿宋" w:cs="仿宋"/>
          <w:color w:val="000000" w:themeColor="text1"/>
          <w:spacing w:val="9"/>
          <w:highlight w:val="none"/>
          <w:lang w:eastAsia="zh-CN"/>
          <w14:textFill>
            <w14:solidFill>
              <w14:schemeClr w14:val="tx1"/>
            </w14:solidFill>
          </w14:textFill>
        </w:rPr>
        <w:t>内支撑系统拆除、</w:t>
      </w:r>
      <w:r>
        <w:rPr>
          <w:rFonts w:ascii="仿宋" w:hAnsi="仿宋" w:eastAsia="仿宋" w:cs="仿宋"/>
          <w:color w:val="000000" w:themeColor="text1"/>
          <w:spacing w:val="9"/>
          <w:highlight w:val="none"/>
          <w:lang w:eastAsia="zh-CN"/>
          <w14:textFill>
            <w14:solidFill>
              <w14:schemeClr w14:val="tx1"/>
            </w14:solidFill>
          </w14:textFill>
        </w:rPr>
        <w:t>止水帷幕、</w:t>
      </w:r>
      <w:r>
        <w:rPr>
          <w:rFonts w:hint="eastAsia" w:ascii="仿宋" w:hAnsi="仿宋" w:eastAsia="仿宋" w:cs="仿宋"/>
          <w:color w:val="000000" w:themeColor="text1"/>
          <w:spacing w:val="9"/>
          <w:highlight w:val="none"/>
          <w:lang w:eastAsia="zh-CN"/>
          <w14:textFill>
            <w14:solidFill>
              <w14:schemeClr w14:val="tx1"/>
            </w14:solidFill>
          </w14:textFill>
        </w:rPr>
        <w:t>临时</w:t>
      </w:r>
      <w:r>
        <w:rPr>
          <w:rFonts w:ascii="仿宋" w:hAnsi="仿宋" w:eastAsia="仿宋" w:cs="仿宋"/>
          <w:color w:val="000000" w:themeColor="text1"/>
          <w:spacing w:val="9"/>
          <w:highlight w:val="none"/>
          <w:lang w:eastAsia="zh-CN"/>
          <w14:textFill>
            <w14:solidFill>
              <w14:schemeClr w14:val="tx1"/>
            </w14:solidFill>
          </w14:textFill>
        </w:rPr>
        <w:t>供水供电、</w:t>
      </w:r>
      <w:r>
        <w:rPr>
          <w:rFonts w:hint="eastAsia" w:ascii="仿宋" w:hAnsi="仿宋" w:eastAsia="仿宋" w:cs="仿宋"/>
          <w:color w:val="000000" w:themeColor="text1"/>
          <w:spacing w:val="9"/>
          <w:highlight w:val="none"/>
          <w:lang w:eastAsia="zh-CN"/>
          <w14:textFill>
            <w14:solidFill>
              <w14:schemeClr w14:val="tx1"/>
            </w14:solidFill>
          </w14:textFill>
        </w:rPr>
        <w:t>降排水</w:t>
      </w:r>
      <w:r>
        <w:rPr>
          <w:rFonts w:ascii="仿宋" w:hAnsi="仿宋" w:eastAsia="仿宋" w:cs="仿宋"/>
          <w:color w:val="000000" w:themeColor="text1"/>
          <w:spacing w:val="8"/>
          <w:highlight w:val="none"/>
          <w:lang w:eastAsia="zh-CN"/>
          <w14:textFill>
            <w14:solidFill>
              <w14:schemeClr w14:val="tx1"/>
            </w14:solidFill>
          </w14:textFill>
        </w:rPr>
        <w:t>、</w:t>
      </w:r>
      <w:r>
        <w:rPr>
          <w:rFonts w:hint="eastAsia" w:ascii="仿宋" w:hAnsi="仿宋" w:eastAsia="仿宋" w:cs="仿宋"/>
          <w:color w:val="000000" w:themeColor="text1"/>
          <w:spacing w:val="8"/>
          <w:highlight w:val="none"/>
          <w:lang w:eastAsia="zh-CN"/>
          <w14:textFill>
            <w14:solidFill>
              <w14:schemeClr w14:val="tx1"/>
            </w14:solidFill>
          </w14:textFill>
        </w:rPr>
        <w:t>临时</w:t>
      </w:r>
      <w:r>
        <w:rPr>
          <w:rFonts w:ascii="仿宋" w:hAnsi="仿宋" w:eastAsia="仿宋" w:cs="仿宋"/>
          <w:color w:val="000000" w:themeColor="text1"/>
          <w:spacing w:val="8"/>
          <w:highlight w:val="none"/>
          <w:lang w:eastAsia="zh-CN"/>
          <w14:textFill>
            <w14:solidFill>
              <w14:schemeClr w14:val="tx1"/>
            </w14:solidFill>
          </w14:textFill>
        </w:rPr>
        <w:t>道路等临时设</w:t>
      </w:r>
      <w:r>
        <w:rPr>
          <w:rFonts w:ascii="仿宋" w:hAnsi="仿宋" w:eastAsia="仿宋" w:cs="仿宋"/>
          <w:color w:val="000000" w:themeColor="text1"/>
          <w:spacing w:val="3"/>
          <w:highlight w:val="none"/>
          <w:lang w:eastAsia="zh-CN"/>
          <w14:textFill>
            <w14:solidFill>
              <w14:schemeClr w14:val="tx1"/>
            </w14:solidFill>
          </w14:textFill>
        </w:rPr>
        <w:t>施等。</w:t>
      </w:r>
    </w:p>
    <w:p w14:paraId="2D5143A5">
      <w:pPr>
        <w:pStyle w:val="2"/>
        <w:spacing w:before="229" w:line="360" w:lineRule="auto"/>
        <w:ind w:left="46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w:t>
      </w:r>
      <w:r>
        <w:rPr>
          <w:rFonts w:ascii="仿宋" w:hAnsi="仿宋" w:eastAsia="仿宋" w:cs="仿宋"/>
          <w:color w:val="000000" w:themeColor="text1"/>
          <w:highlight w:val="none"/>
          <w:lang w:eastAsia="zh-CN"/>
          <w14:textFill>
            <w14:solidFill>
              <w14:schemeClr w14:val="tx1"/>
            </w14:solidFill>
          </w14:textFill>
        </w:rPr>
        <w:t>工程内容：</w:t>
      </w:r>
      <w:r>
        <w:rPr>
          <w:rFonts w:ascii="仿宋" w:hAnsi="仿宋" w:eastAsia="仿宋" w:cs="仿宋"/>
          <w:color w:val="000000" w:themeColor="text1"/>
          <w:highlight w:val="none"/>
          <w:u w:val="single"/>
          <w:lang w:eastAsia="zh-CN"/>
          <w14:textFill>
            <w14:solidFill>
              <w14:schemeClr w14:val="tx1"/>
            </w14:solidFill>
          </w14:textFill>
        </w:rPr>
        <w:t>负责基坑支护设计、施工工作范围包括但不限于：</w:t>
      </w:r>
      <w:r>
        <w:rPr>
          <w:rFonts w:ascii="仿宋" w:hAnsi="仿宋" w:eastAsia="仿宋" w:cs="仿宋"/>
          <w:color w:val="000000" w:themeColor="text1"/>
          <w:spacing w:val="4"/>
          <w:highlight w:val="none"/>
          <w:u w:val="single"/>
          <w:lang w:eastAsia="zh-CN"/>
          <w14:textFill>
            <w14:solidFill>
              <w14:schemeClr w14:val="tx1"/>
            </w14:solidFill>
          </w14:textFill>
        </w:rPr>
        <w:t xml:space="preserve">  </w:t>
      </w:r>
    </w:p>
    <w:p w14:paraId="219CCD56">
      <w:pPr>
        <w:pStyle w:val="2"/>
        <w:spacing w:before="161" w:line="360" w:lineRule="auto"/>
        <w:ind w:left="46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pacing w:val="10"/>
          <w:highlight w:val="none"/>
          <w:lang w:eastAsia="zh-CN"/>
          <w14:textFill>
            <w14:solidFill>
              <w14:schemeClr w14:val="tx1"/>
            </w14:solidFill>
          </w14:textFill>
        </w:rPr>
        <w:t>2.1.</w:t>
      </w:r>
      <w:r>
        <w:rPr>
          <w:rFonts w:ascii="仿宋" w:hAnsi="仿宋" w:eastAsia="仿宋" w:cs="仿宋"/>
          <w:color w:val="000000" w:themeColor="text1"/>
          <w:spacing w:val="10"/>
          <w:highlight w:val="none"/>
          <w:lang w:eastAsia="zh-CN"/>
          <w14:textFill>
            <w14:solidFill>
              <w14:schemeClr w14:val="tx1"/>
            </w14:solidFill>
          </w14:textFill>
        </w:rPr>
        <w:t>基坑支护设计</w:t>
      </w:r>
    </w:p>
    <w:p w14:paraId="177E1F28">
      <w:pPr>
        <w:spacing w:before="177" w:line="360" w:lineRule="auto"/>
        <w:ind w:firstLine="460"/>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spacing w:val="10"/>
          <w:highlight w:val="none"/>
          <w:lang w:eastAsia="zh-CN"/>
          <w14:textFill>
            <w14:solidFill>
              <w14:schemeClr w14:val="tx1"/>
            </w14:solidFill>
          </w14:textFill>
        </w:rPr>
        <w:t>2.1.1设计内容：负责本项目基坑支护工程的设计工作(包含</w:t>
      </w:r>
      <w:r>
        <w:rPr>
          <w:rFonts w:hint="eastAsia" w:ascii="仿宋" w:hAnsi="仿宋" w:eastAsia="仿宋" w:cs="仿宋"/>
          <w:color w:val="000000" w:themeColor="text1"/>
          <w:highlight w:val="none"/>
          <w:lang w:eastAsia="zh-CN"/>
          <w14:textFill>
            <w14:solidFill>
              <w14:schemeClr w14:val="tx1"/>
            </w14:solidFill>
          </w14:textFill>
        </w:rPr>
        <w:t>与初步设计工作衔接、</w:t>
      </w:r>
      <w:r>
        <w:rPr>
          <w:rFonts w:ascii="仿宋" w:hAnsi="仿宋" w:eastAsia="仿宋" w:cs="仿宋"/>
          <w:color w:val="000000" w:themeColor="text1"/>
          <w:spacing w:val="17"/>
          <w:highlight w:val="none"/>
          <w:lang w:eastAsia="zh-CN"/>
          <w14:textFill>
            <w14:solidFill>
              <w14:schemeClr w14:val="tx1"/>
            </w14:solidFill>
          </w14:textFill>
        </w:rPr>
        <w:t>施工图设计、竣工图等阶段</w:t>
      </w:r>
      <w:r>
        <w:rPr>
          <w:rFonts w:hint="eastAsia" w:ascii="仿宋" w:hAnsi="仿宋" w:eastAsia="仿宋" w:cs="仿宋"/>
          <w:color w:val="000000" w:themeColor="text1"/>
          <w:spacing w:val="17"/>
          <w:highlight w:val="none"/>
          <w:lang w:eastAsia="zh-CN"/>
          <w14:textFill>
            <w14:solidFill>
              <w14:schemeClr w14:val="tx1"/>
            </w14:solidFill>
          </w14:textFill>
        </w:rPr>
        <w:t>），</w:t>
      </w:r>
      <w:r>
        <w:rPr>
          <w:rFonts w:ascii="仿宋" w:hAnsi="仿宋" w:eastAsia="仿宋" w:cs="仿宋"/>
          <w:color w:val="000000" w:themeColor="text1"/>
          <w:spacing w:val="17"/>
          <w:highlight w:val="none"/>
          <w:lang w:eastAsia="zh-CN"/>
          <w14:textFill>
            <w14:solidFill>
              <w14:schemeClr w14:val="tx1"/>
            </w14:solidFill>
          </w14:textFill>
        </w:rPr>
        <w:t>负责本项目范围内(或红</w:t>
      </w:r>
      <w:r>
        <w:rPr>
          <w:rFonts w:ascii="仿宋" w:hAnsi="仿宋" w:eastAsia="仿宋" w:cs="仿宋"/>
          <w:color w:val="000000" w:themeColor="text1"/>
          <w:spacing w:val="16"/>
          <w:highlight w:val="none"/>
          <w:lang w:eastAsia="zh-CN"/>
          <w14:textFill>
            <w14:solidFill>
              <w14:schemeClr w14:val="tx1"/>
            </w14:solidFill>
          </w14:textFill>
        </w:rPr>
        <w:t>线外建设影响范围内</w:t>
      </w:r>
      <w:r>
        <w:rPr>
          <w:rFonts w:hint="eastAsia" w:ascii="仿宋" w:hAnsi="仿宋" w:eastAsia="仿宋" w:cs="仿宋"/>
          <w:color w:val="000000" w:themeColor="text1"/>
          <w:spacing w:val="16"/>
          <w:highlight w:val="none"/>
          <w:lang w:eastAsia="zh-CN"/>
          <w14:textFill>
            <w14:solidFill>
              <w14:schemeClr w14:val="tx1"/>
            </w14:solidFill>
          </w14:textFill>
        </w:rPr>
        <w:t>）</w:t>
      </w:r>
      <w:r>
        <w:rPr>
          <w:rFonts w:ascii="仿宋" w:hAnsi="仿宋" w:eastAsia="仿宋" w:cs="仿宋"/>
          <w:color w:val="000000" w:themeColor="text1"/>
          <w:spacing w:val="16"/>
          <w:highlight w:val="none"/>
          <w:lang w:eastAsia="zh-CN"/>
          <w14:textFill>
            <w14:solidFill>
              <w14:schemeClr w14:val="tx1"/>
            </w14:solidFill>
          </w14:textFill>
        </w:rPr>
        <w:t>的临水、</w:t>
      </w:r>
      <w:r>
        <w:rPr>
          <w:rFonts w:ascii="仿宋" w:hAnsi="仿宋" w:eastAsia="仿宋" w:cs="仿宋"/>
          <w:color w:val="000000" w:themeColor="text1"/>
          <w:spacing w:val="9"/>
          <w:highlight w:val="none"/>
          <w:lang w:eastAsia="zh-CN"/>
          <w14:textFill>
            <w14:solidFill>
              <w14:schemeClr w14:val="tx1"/>
            </w14:solidFill>
          </w14:textFill>
        </w:rPr>
        <w:t>临电、临时道路等相关临时设施的设计工作，以及与后续项目设计衔接工作。</w:t>
      </w:r>
      <w:r>
        <w:rPr>
          <w:rFonts w:ascii="仿宋" w:hAnsi="仿宋" w:eastAsia="仿宋" w:cs="仿宋"/>
          <w:color w:val="000000" w:themeColor="text1"/>
          <w:spacing w:val="8"/>
          <w:highlight w:val="none"/>
          <w:lang w:eastAsia="zh-CN"/>
          <w14:textFill>
            <w14:solidFill>
              <w14:schemeClr w14:val="tx1"/>
            </w14:solidFill>
          </w14:textFill>
        </w:rPr>
        <w:t>包括但不</w:t>
      </w:r>
      <w:r>
        <w:rPr>
          <w:rFonts w:ascii="仿宋" w:hAnsi="仿宋" w:eastAsia="仿宋" w:cs="仿宋"/>
          <w:color w:val="000000" w:themeColor="text1"/>
          <w:spacing w:val="9"/>
          <w:highlight w:val="none"/>
          <w:lang w:eastAsia="zh-CN"/>
          <w14:textFill>
            <w14:solidFill>
              <w14:schemeClr w14:val="tx1"/>
            </w14:solidFill>
          </w14:textFill>
        </w:rPr>
        <w:t>限于临时道路、施工用水用电、临时给水、排水、施工围墙、基坑支</w:t>
      </w:r>
      <w:r>
        <w:rPr>
          <w:rFonts w:ascii="仿宋" w:hAnsi="仿宋" w:eastAsia="仿宋" w:cs="仿宋"/>
          <w:color w:val="000000" w:themeColor="text1"/>
          <w:spacing w:val="8"/>
          <w:highlight w:val="none"/>
          <w:lang w:eastAsia="zh-CN"/>
          <w14:textFill>
            <w14:solidFill>
              <w14:schemeClr w14:val="tx1"/>
            </w14:solidFill>
          </w14:textFill>
        </w:rPr>
        <w:t>护工程的溶土洞处</w:t>
      </w:r>
      <w:r>
        <w:rPr>
          <w:rFonts w:ascii="仿宋" w:hAnsi="仿宋" w:eastAsia="仿宋" w:cs="仿宋"/>
          <w:color w:val="000000" w:themeColor="text1"/>
          <w:spacing w:val="15"/>
          <w:highlight w:val="none"/>
          <w:lang w:eastAsia="zh-CN"/>
          <w14:textFill>
            <w14:solidFill>
              <w14:schemeClr w14:val="tx1"/>
            </w14:solidFill>
          </w14:textFill>
        </w:rPr>
        <w:t>理(如有</w:t>
      </w:r>
      <w:r>
        <w:rPr>
          <w:rFonts w:hint="eastAsia" w:ascii="仿宋" w:hAnsi="仿宋" w:eastAsia="仿宋" w:cs="仿宋"/>
          <w:color w:val="000000" w:themeColor="text1"/>
          <w:spacing w:val="15"/>
          <w:highlight w:val="none"/>
          <w:lang w:eastAsia="zh-CN"/>
          <w14:textFill>
            <w14:solidFill>
              <w14:schemeClr w14:val="tx1"/>
            </w14:solidFill>
          </w14:textFill>
        </w:rPr>
        <w:t>）</w:t>
      </w:r>
      <w:r>
        <w:rPr>
          <w:rFonts w:ascii="仿宋" w:hAnsi="仿宋" w:eastAsia="仿宋" w:cs="仿宋"/>
          <w:color w:val="000000" w:themeColor="text1"/>
          <w:spacing w:val="15"/>
          <w:highlight w:val="none"/>
          <w:lang w:eastAsia="zh-CN"/>
          <w14:textFill>
            <w14:solidFill>
              <w14:schemeClr w14:val="tx1"/>
            </w14:solidFill>
          </w14:textFill>
        </w:rPr>
        <w:t>、设计衔接等设计工作，以及基坑支护</w:t>
      </w:r>
      <w:r>
        <w:rPr>
          <w:rFonts w:ascii="仿宋" w:hAnsi="仿宋" w:eastAsia="仿宋" w:cs="仿宋"/>
          <w:color w:val="000000" w:themeColor="text1"/>
          <w:spacing w:val="14"/>
          <w:highlight w:val="none"/>
          <w:lang w:eastAsia="zh-CN"/>
          <w14:textFill>
            <w14:solidFill>
              <w14:schemeClr w14:val="tx1"/>
            </w14:solidFill>
          </w14:textFill>
        </w:rPr>
        <w:t>工程施工期间的临时驻场办公场所设</w:t>
      </w:r>
      <w:r>
        <w:rPr>
          <w:rFonts w:ascii="仿宋" w:hAnsi="仿宋" w:eastAsia="仿宋" w:cs="仿宋"/>
          <w:color w:val="000000" w:themeColor="text1"/>
          <w:spacing w:val="15"/>
          <w:highlight w:val="none"/>
          <w:lang w:eastAsia="zh-CN"/>
          <w14:textFill>
            <w14:solidFill>
              <w14:schemeClr w14:val="tx1"/>
            </w14:solidFill>
          </w14:textFill>
        </w:rPr>
        <w:t>计(临时板房、景观绿化、旗杆</w:t>
      </w:r>
      <w:r>
        <w:rPr>
          <w:rFonts w:hint="eastAsia" w:ascii="仿宋" w:hAnsi="仿宋" w:eastAsia="仿宋" w:cs="仿宋"/>
          <w:color w:val="000000" w:themeColor="text1"/>
          <w:spacing w:val="15"/>
          <w:highlight w:val="none"/>
          <w:lang w:eastAsia="zh-CN"/>
          <w14:textFill>
            <w14:solidFill>
              <w14:schemeClr w14:val="tx1"/>
            </w14:solidFill>
          </w14:textFill>
        </w:rPr>
        <w:t>）</w:t>
      </w:r>
      <w:r>
        <w:rPr>
          <w:rFonts w:ascii="仿宋" w:hAnsi="仿宋" w:eastAsia="仿宋" w:cs="仿宋"/>
          <w:color w:val="000000" w:themeColor="text1"/>
          <w:spacing w:val="15"/>
          <w:highlight w:val="none"/>
          <w:lang w:eastAsia="zh-CN"/>
          <w14:textFill>
            <w14:solidFill>
              <w14:schemeClr w14:val="tx1"/>
            </w14:solidFill>
          </w14:textFill>
        </w:rPr>
        <w:t>等所有临时设</w:t>
      </w:r>
      <w:r>
        <w:rPr>
          <w:rFonts w:ascii="仿宋" w:hAnsi="仿宋" w:eastAsia="仿宋" w:cs="仿宋"/>
          <w:color w:val="000000" w:themeColor="text1"/>
          <w:spacing w:val="14"/>
          <w:highlight w:val="none"/>
          <w:lang w:eastAsia="zh-CN"/>
          <w14:textFill>
            <w14:solidFill>
              <w14:schemeClr w14:val="tx1"/>
            </w14:solidFill>
          </w14:textFill>
        </w:rPr>
        <w:t>施的设计工作，负责上述相对应的造价</w:t>
      </w:r>
      <w:r>
        <w:rPr>
          <w:rFonts w:ascii="仿宋" w:hAnsi="仿宋" w:eastAsia="仿宋" w:cs="仿宋"/>
          <w:color w:val="000000" w:themeColor="text1"/>
          <w:spacing w:val="9"/>
          <w:highlight w:val="none"/>
          <w:lang w:eastAsia="zh-CN"/>
          <w14:textFill>
            <w14:solidFill>
              <w14:schemeClr w14:val="tx1"/>
            </w14:solidFill>
          </w14:textFill>
        </w:rPr>
        <w:t>文件的编制工作。确保满足国家、省、市现行有效规范的要求，满</w:t>
      </w:r>
      <w:r>
        <w:rPr>
          <w:rFonts w:ascii="仿宋" w:hAnsi="仿宋" w:eastAsia="仿宋" w:cs="仿宋"/>
          <w:color w:val="000000" w:themeColor="text1"/>
          <w:spacing w:val="8"/>
          <w:highlight w:val="none"/>
          <w:lang w:eastAsia="zh-CN"/>
          <w14:textFill>
            <w14:solidFill>
              <w14:schemeClr w14:val="tx1"/>
            </w14:solidFill>
          </w14:textFill>
        </w:rPr>
        <w:t>足施工进度及施工安</w:t>
      </w:r>
      <w:r>
        <w:rPr>
          <w:rFonts w:ascii="仿宋" w:hAnsi="仿宋" w:eastAsia="仿宋" w:cs="仿宋"/>
          <w:color w:val="000000" w:themeColor="text1"/>
          <w:spacing w:val="9"/>
          <w:highlight w:val="none"/>
          <w:lang w:eastAsia="zh-CN"/>
          <w14:textFill>
            <w14:solidFill>
              <w14:schemeClr w14:val="tx1"/>
            </w14:solidFill>
          </w14:textFill>
        </w:rPr>
        <w:t>全要求，满足周围建筑物及构造物的安全要求，并保证通过各项技术评</w:t>
      </w:r>
      <w:r>
        <w:rPr>
          <w:rFonts w:ascii="仿宋" w:hAnsi="仿宋" w:eastAsia="仿宋" w:cs="仿宋"/>
          <w:color w:val="000000" w:themeColor="text1"/>
          <w:spacing w:val="8"/>
          <w:highlight w:val="none"/>
          <w:lang w:eastAsia="zh-CN"/>
          <w14:textFill>
            <w14:solidFill>
              <w14:schemeClr w14:val="tx1"/>
            </w14:solidFill>
          </w14:textFill>
        </w:rPr>
        <w:t>审。具体要求包</w:t>
      </w:r>
      <w:r>
        <w:rPr>
          <w:rFonts w:ascii="仿宋" w:hAnsi="仿宋" w:eastAsia="仿宋" w:cs="仿宋"/>
          <w:color w:val="000000" w:themeColor="text1"/>
          <w:spacing w:val="4"/>
          <w:highlight w:val="none"/>
          <w:lang w:eastAsia="zh-CN"/>
          <w14:textFill>
            <w14:solidFill>
              <w14:schemeClr w14:val="tx1"/>
            </w14:solidFill>
          </w14:textFill>
        </w:rPr>
        <w:t>括但不限于以下：</w:t>
      </w:r>
    </w:p>
    <w:p w14:paraId="5C7DFCE0">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13" w:name="bookmark230"/>
      <w:bookmarkEnd w:id="13"/>
      <w:r>
        <w:rPr>
          <w:rFonts w:hint="eastAsia" w:ascii="仿宋" w:hAnsi="仿宋" w:eastAsia="仿宋" w:cs="仿宋"/>
          <w:color w:val="000000" w:themeColor="text1"/>
          <w:highlight w:val="none"/>
          <w:lang w:eastAsia="zh-CN"/>
          <w14:textFill>
            <w14:solidFill>
              <w14:schemeClr w14:val="tx1"/>
            </w14:solidFill>
          </w14:textFill>
        </w:rPr>
        <w:t>(1）编制基坑支护工程施工图纸(包括设计说明、基坑平面图纸图、配筋图、基坑监测点位图纸、节点大样等详图），系统地明确施工应急预案(措施）和相应的施工要求等。</w:t>
      </w:r>
    </w:p>
    <w:p w14:paraId="685AF1D1">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(2）本工程实行全过程限额设计施工，发包人有权在限额范围内，根据承包人的承包范围和承包工程量进行适当调整。</w:t>
      </w:r>
    </w:p>
    <w:p w14:paraId="03FBD3F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此外，承包人还应系统地对基坑开挖过程引起的基坑内外土体的变形及其对邻近建筑物和周边环境的影响进行分析，论证基坑开挖施工方法的可行性，并在设计成果中系统地提出基坑监测要求以及施工注意事项等。</w:t>
      </w:r>
    </w:p>
    <w:p w14:paraId="6EFF79ED">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2.1.2承包人提供的服务包括但不限于以下内容：</w:t>
      </w:r>
    </w:p>
    <w:p w14:paraId="59F57913">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(1）结合初步设计文件，修改完善基坑支护方案，并完成支护工程的施工图设计，为基坑支护工程的施工提供依据。</w:t>
      </w:r>
    </w:p>
    <w:p w14:paraId="3932B109">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(2）明确基坑支护工程的监测要求，提出有效、经济的基坑监测方案，提供监测点位置及有关监测预警值，协助发包人选择基坑监测单位所需要的资料及技术文件。</w:t>
      </w:r>
    </w:p>
    <w:p w14:paraId="68BE65A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(3）参与审核施工单位提交的基坑土方开挖及基坑支护施工方案，提出基坑施工注意事项，确保基坑开挖过程、工艺等与基坑支护设计计算假定条件相吻合。</w:t>
      </w:r>
    </w:p>
    <w:p w14:paraId="6B4ED17E">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(4）及时参与解决基坑开挖及支护施工期间存在的工程技术问题，确保基坑工程施工安全。</w:t>
      </w:r>
    </w:p>
    <w:p w14:paraId="49C7CB74">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(5）参与基坑支护工程施工过程中的重要节点验收(发包人提前24小时通知）、发表设计方意见。</w:t>
      </w:r>
    </w:p>
    <w:p w14:paraId="10D50493">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2.1.3设计依据</w:t>
      </w:r>
    </w:p>
    <w:p w14:paraId="571D304D">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(1）本工程地质勘察报告。</w:t>
      </w:r>
    </w:p>
    <w:p w14:paraId="15D2DCF5">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(2）国家、行业及地方现行相关标准规范。</w:t>
      </w:r>
    </w:p>
    <w:p w14:paraId="55735475">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(3）其他资料。</w:t>
      </w:r>
    </w:p>
    <w:p w14:paraId="447BE1D9">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2.1.4主要设计要求</w:t>
      </w:r>
    </w:p>
    <w:p w14:paraId="5F941766">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14" w:name="bookmark231"/>
      <w:bookmarkEnd w:id="14"/>
      <w:r>
        <w:rPr>
          <w:rFonts w:hint="eastAsia" w:ascii="仿宋" w:hAnsi="仿宋" w:eastAsia="仿宋" w:cs="仿宋"/>
          <w:color w:val="000000" w:themeColor="text1"/>
          <w:highlight w:val="none"/>
          <w:lang w:eastAsia="zh-CN"/>
          <w14:textFill>
            <w14:solidFill>
              <w14:schemeClr w14:val="tx1"/>
            </w14:solidFill>
          </w14:textFill>
        </w:rPr>
        <w:t>(1）本项目基坑支护工程的设计，应当严格执行国家及省市现行的法律、规范、规程和标准，保证岩土开挖、地下结构施工的安全，并确保基坑周边建筑、构筑物、道路、管线等市政设施的安全和正常使用。</w:t>
      </w:r>
    </w:p>
    <w:p w14:paraId="4F528E87">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(2）本项目基坑支护体系的平面布置应规</w:t>
      </w:r>
      <w:r>
        <w:rPr>
          <w:rFonts w:hint="eastAsia" w:ascii="仿宋" w:hAnsi="仿宋" w:eastAsia="仿宋" w:cs="仿宋"/>
          <w:color w:val="000000" w:themeColor="text1"/>
          <w:highlight w:val="none"/>
          <w:lang w:val="en-US" w:eastAsia="zh-CN"/>
          <w14:textFill>
            <w14:solidFill>
              <w14:schemeClr w14:val="tx1"/>
            </w14:solidFill>
          </w14:textFill>
        </w:rPr>
        <w:t>整</w:t>
      </w:r>
      <w:r>
        <w:rPr>
          <w:rFonts w:hint="eastAsia" w:ascii="仿宋" w:hAnsi="仿宋" w:eastAsia="仿宋" w:cs="仿宋"/>
          <w:color w:val="000000" w:themeColor="text1"/>
          <w:highlight w:val="none"/>
          <w:lang w:eastAsia="zh-CN"/>
          <w14:textFill>
            <w14:solidFill>
              <w14:schemeClr w14:val="tx1"/>
            </w14:solidFill>
          </w14:textFill>
        </w:rPr>
        <w:t>简单，除非有特殊考虑，否则基坑平面的布置不应有过多的转折或转角，以避免造成受力薄弱部位。</w:t>
      </w:r>
    </w:p>
    <w:p w14:paraId="2D32AF2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(4）支护结构体系计算分析时，应充分考虑施工时场地布置需要，支护结构与地下外墙间应考虑留有一定的满足施工要求的操作空间，必要时考虑相应的基坑边部堆载</w:t>
      </w:r>
      <w:r>
        <w:rPr>
          <w:rFonts w:hint="eastAsia" w:ascii="仿宋" w:hAnsi="仿宋" w:eastAsia="仿宋" w:cs="仿宋"/>
          <w:color w:val="000000" w:themeColor="text1"/>
          <w:highlight w:val="none"/>
          <w:lang w:eastAsia="zh-CN"/>
          <w14:textFill>
            <w14:solidFill>
              <w14:schemeClr w14:val="tx1"/>
            </w14:solidFill>
          </w14:textFill>
        </w:rPr>
        <w:tab/>
      </w:r>
      <w:r>
        <w:rPr>
          <w:rFonts w:hint="eastAsia" w:ascii="仿宋" w:hAnsi="仿宋" w:eastAsia="仿宋" w:cs="仿宋"/>
          <w:color w:val="000000" w:themeColor="text1"/>
          <w:highlight w:val="none"/>
          <w:lang w:eastAsia="zh-CN"/>
          <w14:textFill>
            <w14:solidFill>
              <w14:schemeClr w14:val="tx1"/>
            </w14:solidFill>
          </w14:textFill>
        </w:rPr>
        <w:t>(并注明堆载量限额）。</w:t>
      </w:r>
    </w:p>
    <w:p w14:paraId="0C764A6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(5）基坑开挖与支护计算时，应根据场地的实际土层分布、地下水条件、环境控制条件等，按基坑开挖施工过程的实际工况进行设计。</w:t>
      </w:r>
    </w:p>
    <w:p w14:paraId="31112617">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(6）基坑开挖与支护应进行稳定性验算，基坑稳定安全系数取值应结合本工程实际情况、项目所在地经验值以及相关标准规范的规定等综合确定。</w:t>
      </w:r>
    </w:p>
    <w:p w14:paraId="79EEFD92">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因支护结构变形、岩土开挖及地下水条件引起的基坑内外土体变形，应以支护体系安全、不影响地下结构尺寸形状和正常施工、对周边既有建(构）筑物引起的沉降控制在现行相关标准的规定以内等条件进行控制。</w:t>
      </w:r>
    </w:p>
    <w:p w14:paraId="6082B33D">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(8）应根据工程周边环境及水文地质条件等，采用必要的坑内明排或组合排水方法等措施，地表应设有明沟排(截）水措施，以防地表水流向基坑内。</w:t>
      </w:r>
    </w:p>
    <w:p w14:paraId="112305E7">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(9）应充分考虑基坑支护体系的监测措施，明确支护体系结构内力与变形、地面沉降(位移）、地下水位(水压力）变化以及相邻建(构）筑物或市政管网设施沉降(位移）等监测项目的预警值。</w:t>
      </w:r>
    </w:p>
    <w:p w14:paraId="07A62120">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15" w:name="bookmark232"/>
      <w:bookmarkEnd w:id="15"/>
      <w:r>
        <w:rPr>
          <w:rFonts w:hint="eastAsia" w:ascii="仿宋" w:hAnsi="仿宋" w:eastAsia="仿宋" w:cs="仿宋"/>
          <w:color w:val="000000" w:themeColor="text1"/>
          <w:highlight w:val="none"/>
          <w:lang w:eastAsia="zh-CN"/>
          <w14:textFill>
            <w14:solidFill>
              <w14:schemeClr w14:val="tx1"/>
            </w14:solidFill>
          </w14:textFill>
        </w:rPr>
        <w:t>(10）应对基坑开挖及支护施工提出相应的施工要求，并充分考虑基坑开挖及支护工程施工顺序及方案。</w:t>
      </w:r>
    </w:p>
    <w:p w14:paraId="0B517091">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2.2.施工工作：根据项目相关资料及施工图纸，承担本项目规划用地红线范围内(或项目建设影响范围内）所涉及建设内容的基坑支护工程等各项工作，包括但不限于：</w:t>
      </w:r>
    </w:p>
    <w:p w14:paraId="4E58170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2.2.1办理施工阶段各行政部门开工前置手续，包括但不限于建设工程质量安全监督登记、建设工程合同备案、建筑工程施工许可、夜间施工许可、施工噪声排污许可、临时排水许可、临时开设路口服务(含手续办理、交通评估报告等）、临水临电手续办理、建筑废弃物处置核准、淤泥排放、排水咨询意见，排水水质检测、临时排水设施接驳许可等手续。</w:t>
      </w:r>
    </w:p>
    <w:p w14:paraId="24787C21">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按照招标文件及合同约定的范围和发包人批准的基坑施工图进行施工，并办理基坑支护工程范围内的完工验收及备案手续，包括且不限于以下工作：供水供电、降排水、道路等临时工程，止水帷幕、施工测量、溶(土）洞处理(如有）、边坡支护与土石方工程、专项施工方案专家的论证进行深化实施，重点针对坑施工措施提供关键做法，实施并保证施工质量。承包范围内所有工程涉及的方案应符合相关主管部门审批验收。</w:t>
      </w:r>
    </w:p>
    <w:p w14:paraId="3D3EB8E2">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2.2.2.1施工内容包括：按照招标文件及合同约定的范围和发包人批复的施工图进行施工总承包，包工、包材料、包设备、包工期、包质量、包安全生产、包文明施工、包本项目总承包范围内各项施工手续办理及工程完工验收通过、包结算编制、包竣工图编制、工程资料汇总及整理归档等，包括但不限于如下内容：</w:t>
      </w:r>
    </w:p>
    <w:p w14:paraId="2A47871A">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(1）场地平整硬化、场内施工道路、临水临电布设、绿化迁移（如有）、排水排污设施、施工围蔽、洗车槽等工作满足相关要求，如有新的标准或发包人另有要求，承包人须按新的标准或要求执行。</w:t>
      </w:r>
    </w:p>
    <w:p w14:paraId="1516B17C">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(2）土石方工程：基坑土石方开挖、外运，地下建构筑物、管线管沟、障碍物及一切淤泥和流沙挖运、清除，地下室肥槽、顶板等部位土方回填、压实、外购等。</w:t>
      </w:r>
    </w:p>
    <w:p w14:paraId="22A3AF00">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(3）基坑支护工程(具体基坑支护形式以施工图为准），包括但不限于：</w:t>
      </w:r>
    </w:p>
    <w:p w14:paraId="7C7D5B61">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16" w:name="bookmark233"/>
      <w:bookmarkEnd w:id="16"/>
      <w:r>
        <w:rPr>
          <w:rFonts w:hint="eastAsia" w:ascii="仿宋" w:hAnsi="仿宋" w:eastAsia="仿宋" w:cs="仿宋"/>
          <w:color w:val="000000" w:themeColor="text1"/>
          <w:highlight w:val="none"/>
          <w:lang w:eastAsia="zh-CN"/>
          <w14:textFill>
            <w14:solidFill>
              <w14:schemeClr w14:val="tx1"/>
            </w14:solidFill>
          </w14:textFill>
        </w:rPr>
        <w:t>1）编制基坑支护专项方案及组织专家论证，承担相应的费用，此费用承包人应在投标报价中综合考虑，发包人不再另行计量支付。</w:t>
      </w:r>
    </w:p>
    <w:p w14:paraId="702783E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2）土石方工程：现场土石方工程施工进度，配合主体施工单位施工工序，实行分层分段施工，如发现有超挖或少挖现象，由承包方负责处理。</w:t>
      </w:r>
    </w:p>
    <w:p w14:paraId="36FC5C3C">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3）放坡支护：进行修坡及余土外运。</w:t>
      </w:r>
    </w:p>
    <w:p w14:paraId="0A6B3481">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4）素混凝土面层或混凝土加钢筋网面层支护。</w:t>
      </w:r>
    </w:p>
    <w:p w14:paraId="4DC9F003">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5）土钉墙、锚杆、锚索（如有）、钢管桩支护。</w:t>
      </w:r>
    </w:p>
    <w:p w14:paraId="570970F0">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6）搅拌桩、灌注桩、旋喷桩止水帷幕支护。</w:t>
      </w:r>
    </w:p>
    <w:p w14:paraId="203E9CD4">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7）地下、水下连续墙支护。</w:t>
      </w:r>
    </w:p>
    <w:p w14:paraId="1D132B3D">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8）钢板桩支护。</w:t>
      </w:r>
    </w:p>
    <w:p w14:paraId="036E7BCF">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9）支护结构内支撑系统施工和拆除。</w:t>
      </w:r>
    </w:p>
    <w:p w14:paraId="409073F7">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10）基坑降排水及回灌措施。</w:t>
      </w:r>
    </w:p>
    <w:p w14:paraId="00BD9450">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11）基坑施工临边防护。</w:t>
      </w:r>
    </w:p>
    <w:p w14:paraId="03EF82C7">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12）配合施工期间的基桩检测、材料检测、监测。</w:t>
      </w:r>
    </w:p>
    <w:p w14:paraId="1678CB3D">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13）施工过程中与施工工作相关的砖渣回填、外运等必须的地基处理。</w:t>
      </w:r>
    </w:p>
    <w:p w14:paraId="331991F3">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14）本工程所有土方、建筑垃圾、泥浆等承包人必须自行联系政府规定合法弃土地点，从工地清运出去，不论距离远近和运输过程中发生的环保费、城市卫生费等一切开支已包含在本项目合同价款中，并需做到满足项目要求、工完场清。</w:t>
      </w:r>
    </w:p>
    <w:p w14:paraId="7700E6FB">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2.2.2.2承担本工程项目建设相关的工作，包括但不限于：</w:t>
      </w:r>
    </w:p>
    <w:p w14:paraId="78AA1714">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协助办理施工阶段各项行政部门开工前置手续，包括建设工程质量安全监督登记、建设工程合同备案、建筑工程施工许可、夜间施工许可、施工噪声排污许可、临时排水许可、建筑废弃物处置核准、排水排污设施接驳许可等手续等。</w:t>
      </w:r>
    </w:p>
    <w:p w14:paraId="304449AF">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(2）负责组织本工程范围内的竣工验收及备案手续，包括分部分项工程验收、各项专业工程验收、工程完工验收以及涉及承包人的验收手续及证明等。</w:t>
      </w:r>
    </w:p>
    <w:p w14:paraId="46CB9C4F">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(3）负责本工程范围内施工管理配合服务，对后续进场单位进行配合移交场地、设施及相关资料。</w:t>
      </w:r>
    </w:p>
    <w:p w14:paraId="0C386575">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17" w:name="bookmark234"/>
      <w:bookmarkEnd w:id="17"/>
      <w:r>
        <w:rPr>
          <w:rFonts w:hint="eastAsia" w:ascii="仿宋" w:hAnsi="仿宋" w:eastAsia="仿宋" w:cs="仿宋"/>
          <w:color w:val="000000" w:themeColor="text1"/>
          <w:highlight w:val="none"/>
          <w:lang w:eastAsia="zh-CN"/>
          <w14:textFill>
            <w14:solidFill>
              <w14:schemeClr w14:val="tx1"/>
            </w14:solidFill>
          </w14:textFill>
        </w:rPr>
        <w:t>(4）负责协调本工程施工过程中的相关职能部门及周边居民、包括街道居委、公安派出所、交通部门、质安监部门、建管部门、城管部门等。</w:t>
      </w:r>
    </w:p>
    <w:p w14:paraId="6A98FC6A">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(5）负责编制本工程范围内的现场安全文明施工管理及现场办公场所的场地管理、安保服务方案，配合发包人做好开工、迎检、观摩等仪式的筹备工作。</w:t>
      </w:r>
    </w:p>
    <w:p w14:paraId="0A185038">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2.2.2.3负责本工程红线内(或项目建设影响范围内）的施工场地保管，基坑支护验收竣工后至交付下一阶段承包人；负责本工程阶段范围内(不仅限于红线范围内）的施工管理，对本工程范围内发包人另行发包的其他工程提供配合服务工作，为其提供场地和使用临时设施等；负责缴纳本阶段施工用电、施工用水费用至移交下一承包人期间的费用。</w:t>
      </w:r>
    </w:p>
    <w:p w14:paraId="61CA226C">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2.2.2.4负责根据广州市住房和城乡建设局关于建设工程现场视频监控管理办法的规定，完成基坑支护工程现场视频监控系统的方案(设计）报批、施工、维护等；负责协调基坑支护工程施工过程中的相关职能部门及周边居民，包括街道居委、公安派出所、交通部门、质安监部门、建管部门、城管部门等；负责基坑支护工程范围内的现场安全文明施工管理及现场办公场所的安保服务，配合发包人做好迎检、宣传等工作。</w:t>
      </w:r>
    </w:p>
    <w:p w14:paraId="22977E46">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2.2.2.5其他施工工作。</w:t>
      </w:r>
    </w:p>
    <w:p w14:paraId="28D412A1">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2.2.2.6办理工程验收并配合工程交付：包括分部分项工程和各项专业工程验收，以及涉及施工单位的验收手续及证明，配合建设单位组织向下一阶段承包单位交付的工程查验、整改，确保基坑工程交付。</w:t>
      </w:r>
    </w:p>
    <w:p w14:paraId="6ADB841A">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2.2.2.7配合基坑支护设计概算，负责基坑支护设计预算、竣工结算等造价文件的编制工作，并配合送审及评审工作；完成并配合相关部门结(决）算审计等工作。</w:t>
      </w:r>
    </w:p>
    <w:p w14:paraId="0267BC94">
      <w:pPr>
        <w:spacing w:line="360" w:lineRule="auto"/>
        <w:ind w:firstLine="523" w:firstLineChars="218"/>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3、根据《发包人要求》，在不降低初步设计相关标准和工程安全的前提下，必须对初步设计文件进行改进和完善，实行全过程限额设计，限额投资。</w:t>
      </w:r>
    </w:p>
    <w:p w14:paraId="60BA393A">
      <w:pPr>
        <w:spacing w:line="360" w:lineRule="auto"/>
        <w:ind w:firstLine="523" w:firstLineChars="218"/>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4、做好项目设计、施工总协调（含专业分包管理）工作及工程涉及的其他协调管理工作。</w:t>
      </w:r>
    </w:p>
    <w:p w14:paraId="63326081">
      <w:pPr>
        <w:spacing w:line="360" w:lineRule="auto"/>
        <w:ind w:firstLine="523" w:firstLineChars="218"/>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5、发包人根据工程实施情况，有权对承包人的承包范围及内容进行适当调整，调整的部分应及时通知承包人，双方另签协议明确承包人承包范围。</w:t>
      </w:r>
    </w:p>
    <w:p w14:paraId="1EAD1E11">
      <w:pPr>
        <w:spacing w:line="360" w:lineRule="auto"/>
        <w:ind w:firstLine="523" w:firstLineChars="218"/>
        <w:rPr>
          <w:rFonts w:ascii="仿宋" w:hAnsi="仿宋" w:eastAsia="仿宋" w:cs="仿宋"/>
          <w:color w:val="000000" w:themeColor="text1"/>
          <w:highlight w:val="none"/>
          <w:u w:val="single"/>
          <w:lang w:eastAsia="zh-CN"/>
          <w14:textFill>
            <w14:solidFill>
              <w14:schemeClr w14:val="tx1"/>
            </w14:solidFill>
          </w14:textFill>
        </w:rPr>
      </w:pPr>
    </w:p>
    <w:p w14:paraId="7267268C">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18" w:name="_Toc149731414"/>
      <w:bookmarkStart w:id="19" w:name="_Toc26421"/>
      <w:bookmarkStart w:id="20" w:name="_Toc98"/>
      <w:r>
        <w:rPr>
          <w:rFonts w:hint="eastAsia" w:ascii="仿宋" w:hAnsi="仿宋" w:eastAsia="仿宋" w:cs="仿宋"/>
          <w:b/>
          <w:bCs/>
          <w:color w:val="000000" w:themeColor="text1"/>
          <w:highlight w:val="none"/>
          <w:lang w:eastAsia="zh-CN"/>
          <w14:textFill>
            <w14:solidFill>
              <w14:schemeClr w14:val="tx1"/>
            </w14:solidFill>
          </w14:textFill>
        </w:rPr>
        <w:t>★三、质量标准和要求</w:t>
      </w:r>
      <w:bookmarkEnd w:id="18"/>
      <w:bookmarkEnd w:id="19"/>
      <w:bookmarkEnd w:id="20"/>
    </w:p>
    <w:p w14:paraId="7A3EC7C9">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设计标准和要求：满足设计任务书要求，符合《建设工程质量管理条例》《建设工程勘察设计管理条例》《建筑工程设计文件编制深度规定（2016年版）》等国家及地方有关工程设计管理法规和规章，达到行业相关规范和技术标准等要求。</w:t>
      </w:r>
    </w:p>
    <w:p w14:paraId="55835ED5">
      <w:pPr>
        <w:kinsoku w:val="0"/>
        <w:wordWrap w:val="0"/>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2、工程质量标准和要求</w:t>
      </w:r>
      <w:r>
        <w:rPr>
          <w:rFonts w:hint="eastAsia" w:ascii="仿宋" w:hAnsi="仿宋" w:eastAsia="仿宋"/>
          <w:color w:val="000000" w:themeColor="text1"/>
          <w:highlight w:val="none"/>
          <w:lang w:eastAsia="zh-CN"/>
          <w14:textFill>
            <w14:solidFill>
              <w14:schemeClr w14:val="tx1"/>
            </w14:solidFill>
          </w14:textFill>
        </w:rPr>
        <w:t>（施工质量</w:t>
      </w:r>
      <w:r>
        <w:rPr>
          <w:rFonts w:ascii="仿宋" w:hAnsi="仿宋" w:eastAsia="仿宋"/>
          <w:color w:val="000000" w:themeColor="text1"/>
          <w:highlight w:val="none"/>
          <w:lang w:eastAsia="zh-CN"/>
          <w14:textFill>
            <w14:solidFill>
              <w14:schemeClr w14:val="tx1"/>
            </w14:solidFill>
          </w14:textFill>
        </w:rPr>
        <w:t>及项目成效</w:t>
      </w:r>
      <w:r>
        <w:rPr>
          <w:rFonts w:hint="eastAsia" w:ascii="仿宋" w:hAnsi="仿宋" w:eastAsia="仿宋"/>
          <w:color w:val="000000" w:themeColor="text1"/>
          <w:highlight w:val="none"/>
          <w:lang w:eastAsia="zh-CN"/>
          <w14:textFill>
            <w14:solidFill>
              <w14:schemeClr w14:val="tx1"/>
            </w14:solidFill>
          </w14:textFill>
        </w:rPr>
        <w:t>目标</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：分部工程验收合格率100%，项目所涉及的政府专项验收全部通过，单位工程一次竣工验收合格。</w:t>
      </w:r>
    </w:p>
    <w:p w14:paraId="2BD9F21D">
      <w:pPr>
        <w:pStyle w:val="40"/>
        <w:rPr>
          <w:color w:val="000000" w:themeColor="text1"/>
          <w:highlight w:val="none"/>
          <w:lang w:eastAsia="zh-CN"/>
          <w14:textFill>
            <w14:solidFill>
              <w14:schemeClr w14:val="tx1"/>
            </w14:solidFill>
          </w14:textFill>
        </w:rPr>
      </w:pPr>
    </w:p>
    <w:p w14:paraId="632A091E">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21" w:name="_Toc18313"/>
      <w:bookmarkStart w:id="22" w:name="_Toc25327"/>
      <w:bookmarkStart w:id="23" w:name="_Toc149731415"/>
      <w:r>
        <w:rPr>
          <w:rFonts w:hint="eastAsia" w:ascii="仿宋" w:hAnsi="仿宋" w:eastAsia="仿宋" w:cs="仿宋"/>
          <w:b/>
          <w:bCs/>
          <w:color w:val="000000" w:themeColor="text1"/>
          <w:highlight w:val="none"/>
          <w:lang w:eastAsia="zh-CN"/>
          <w14:textFill>
            <w14:solidFill>
              <w14:schemeClr w14:val="tx1"/>
            </w14:solidFill>
          </w14:textFill>
        </w:rPr>
        <w:t>四、创优目标</w:t>
      </w:r>
      <w:bookmarkEnd w:id="21"/>
      <w:bookmarkEnd w:id="22"/>
      <w:bookmarkEnd w:id="23"/>
    </w:p>
    <w:p w14:paraId="5EACA1C8">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□市级优秀勘察设计奖(□ 一等奖 □二等奖 □三等奖 □其他：</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w:t>
      </w:r>
    </w:p>
    <w:p w14:paraId="1FC7665A">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□省部级优秀勘察设计奖(□一等奖 □二等奖 □三等奖 □其他：</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w:t>
      </w:r>
    </w:p>
    <w:p w14:paraId="3FAE455D">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□国家级优秀勘察设计奖(□金奖 □银奖 □其他：</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w:t>
      </w:r>
    </w:p>
    <w:p w14:paraId="1BA7E33E">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□市级工程优质奖；</w:t>
      </w:r>
    </w:p>
    <w:p w14:paraId="12C58EED">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□省级工程优质奖；</w:t>
      </w:r>
    </w:p>
    <w:p w14:paraId="4008E5ED">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□国家级工程优质奖；</w:t>
      </w:r>
    </w:p>
    <w:p w14:paraId="3069880B">
      <w:pPr>
        <w:kinsoku w:val="0"/>
        <w:wordWrap w:val="0"/>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□精品工程； </w:t>
      </w:r>
    </w:p>
    <w:p w14:paraId="5B94EAC2">
      <w:pPr>
        <w:kinsoku w:val="0"/>
        <w:wordWrap w:val="0"/>
        <w:autoSpaceDE w:val="0"/>
        <w:autoSpaceDN w:val="0"/>
        <w:adjustRightInd w:val="0"/>
        <w:spacing w:line="360" w:lineRule="auto"/>
        <w:ind w:firstLine="488" w:firstLineChars="200"/>
        <w:rPr>
          <w:rFonts w:ascii="仿宋" w:hAnsi="仿宋" w:eastAsia="仿宋" w:cs="仿宋"/>
          <w:color w:val="000000" w:themeColor="text1"/>
          <w:highlight w:val="none"/>
          <w:lang w:eastAsia="zh-CN"/>
          <w14:textFill>
            <w14:solidFill>
              <w14:schemeClr w14:val="tx1"/>
            </w14:solidFill>
          </w14:textFill>
        </w:rPr>
      </w:pPr>
      <w:r>
        <w:rPr>
          <w:rFonts w:hint="eastAsia" w:ascii="MS Gothic" w:hAnsi="MS Gothic" w:eastAsia="MS Gothic" w:cs="MS Gothic"/>
          <w:color w:val="000000" w:themeColor="text1"/>
          <w:spacing w:val="2"/>
          <w:highlight w:val="none"/>
          <w:lang w:eastAsia="zh-CN"/>
          <w14:textFill>
            <w14:solidFill>
              <w14:schemeClr w14:val="tx1"/>
            </w14:solidFill>
          </w14:textFill>
        </w:rPr>
        <w:t>□</w:t>
      </w:r>
      <w:r>
        <w:rPr>
          <w:rFonts w:hint="eastAsia" w:ascii="MS Gothic" w:hAnsi="MS Gothic" w:cs="MS Gothic"/>
          <w:color w:val="000000" w:themeColor="text1"/>
          <w:spacing w:val="2"/>
          <w:highlight w:val="none"/>
          <w:lang w:eastAsia="zh-CN"/>
          <w14:textFill>
            <w14:solidFill>
              <w14:schemeClr w14:val="tx1"/>
            </w14:solidFill>
          </w14:textFill>
        </w:rPr>
        <w:t>其他：</w:t>
      </w:r>
    </w:p>
    <w:p w14:paraId="7AFEE95E">
      <w:pPr>
        <w:kinsoku w:val="0"/>
        <w:wordWrap w:val="0"/>
        <w:spacing w:line="360" w:lineRule="auto"/>
        <w:ind w:firstLine="566" w:firstLineChars="236"/>
        <w:rPr>
          <w:rFonts w:ascii="仿宋" w:hAnsi="仿宋" w:eastAsia="仿宋"/>
          <w:color w:val="000000" w:themeColor="text1"/>
          <w:highlight w:val="none"/>
          <w:u w:val="single"/>
          <w:lang w:eastAsia="zh-CN"/>
          <w14:textFill>
            <w14:solidFill>
              <w14:schemeClr w14:val="tx1"/>
            </w14:solidFill>
          </w14:textFill>
        </w:rPr>
      </w:pPr>
    </w:p>
    <w:p w14:paraId="204BB3A3">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24" w:name="_Toc149731416"/>
      <w:bookmarkStart w:id="25" w:name="_Toc21620"/>
      <w:bookmarkStart w:id="26" w:name="_Toc16458"/>
      <w:r>
        <w:rPr>
          <w:rFonts w:hint="eastAsia" w:ascii="仿宋" w:hAnsi="仿宋" w:eastAsia="仿宋" w:cs="仿宋"/>
          <w:b/>
          <w:bCs/>
          <w:color w:val="000000" w:themeColor="text1"/>
          <w:highlight w:val="none"/>
          <w:lang w:eastAsia="zh-CN"/>
          <w14:textFill>
            <w14:solidFill>
              <w14:schemeClr w14:val="tx1"/>
            </w14:solidFill>
          </w14:textFill>
        </w:rPr>
        <w:t>五、创文明工地目标</w:t>
      </w:r>
      <w:bookmarkEnd w:id="24"/>
      <w:bookmarkEnd w:id="25"/>
      <w:bookmarkEnd w:id="26"/>
    </w:p>
    <w:p w14:paraId="13372AB1">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□市级安全文明绿色施工样板工地；</w:t>
      </w:r>
    </w:p>
    <w:p w14:paraId="466D7DCD">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□省级安全文明示范工地；</w:t>
      </w:r>
    </w:p>
    <w:p w14:paraId="717FEF78">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□国家级安全文明工地；</w:t>
      </w:r>
    </w:p>
    <w:p w14:paraId="5412D22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□广州市建筑业绿色施工示范工程；</w:t>
      </w:r>
    </w:p>
    <w:p w14:paraId="711593F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□广东省建筑业绿色施工示范工程；</w:t>
      </w:r>
    </w:p>
    <w:p w14:paraId="63DA242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□全国建筑业绿色施工示范工程；</w:t>
      </w:r>
    </w:p>
    <w:p w14:paraId="42A8BEDC">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其他：</w:t>
      </w:r>
      <w:r>
        <w:rPr>
          <w:rFonts w:ascii="仿宋" w:hAnsi="仿宋" w:eastAsia="仿宋" w:cs="仿宋"/>
          <w:color w:val="000000" w:themeColor="text1"/>
          <w:spacing w:val="10"/>
          <w:highlight w:val="none"/>
          <w:u w:val="single"/>
          <w:lang w:eastAsia="zh-CN"/>
          <w14:textFill>
            <w14:solidFill>
              <w14:schemeClr w14:val="tx1"/>
            </w14:solidFill>
          </w14:textFill>
        </w:rPr>
        <w:t>本项目工程现场文明施工必须严格按照国家、省市最新颁布的法律法规、规章制度及建设行政主管部门最新发布的相关文件等执行，不低</w:t>
      </w:r>
      <w:r>
        <w:rPr>
          <w:rFonts w:ascii="仿宋" w:hAnsi="仿宋" w:eastAsia="仿宋" w:cs="仿宋"/>
          <w:color w:val="000000" w:themeColor="text1"/>
          <w:spacing w:val="9"/>
          <w:highlight w:val="none"/>
          <w:u w:val="single"/>
          <w:lang w:eastAsia="zh-CN"/>
          <w14:textFill>
            <w14:solidFill>
              <w14:schemeClr w14:val="tx1"/>
            </w14:solidFill>
          </w14:textFill>
        </w:rPr>
        <w:t>于广州市建设</w:t>
      </w:r>
      <w:r>
        <w:rPr>
          <w:rFonts w:ascii="仿宋" w:hAnsi="仿宋" w:eastAsia="仿宋" w:cs="仿宋"/>
          <w:color w:val="000000" w:themeColor="text1"/>
          <w:spacing w:val="1"/>
          <w:highlight w:val="none"/>
          <w:u w:val="single"/>
          <w:lang w:eastAsia="zh-CN"/>
          <w14:textFill>
            <w14:solidFill>
              <w14:schemeClr w14:val="tx1"/>
            </w14:solidFill>
          </w14:textFill>
        </w:rPr>
        <w:t>工程安全文明绿色施工样板工地标准</w:t>
      </w:r>
      <w:r>
        <w:rPr>
          <w:rFonts w:hint="eastAsia" w:ascii="仿宋" w:hAnsi="仿宋" w:eastAsia="仿宋"/>
          <w:color w:val="000000" w:themeColor="text1"/>
          <w:highlight w:val="none"/>
          <w:u w:val="single"/>
          <w:lang w:eastAsia="zh-CN"/>
          <w14:textFill>
            <w14:solidFill>
              <w14:schemeClr w14:val="tx1"/>
            </w14:solidFill>
          </w14:textFill>
        </w:rPr>
        <w:t>。</w:t>
      </w:r>
    </w:p>
    <w:p w14:paraId="5EAED297">
      <w:pPr>
        <w:spacing w:line="360" w:lineRule="auto"/>
        <w:ind w:firstLine="482"/>
        <w:rPr>
          <w:rFonts w:ascii="仿宋" w:hAnsi="仿宋" w:eastAsia="仿宋" w:cs="仿宋"/>
          <w:b/>
          <w:bCs/>
          <w:color w:val="000000" w:themeColor="text1"/>
          <w:highlight w:val="none"/>
          <w:lang w:eastAsia="zh-CN"/>
          <w14:textFill>
            <w14:solidFill>
              <w14:schemeClr w14:val="tx1"/>
            </w14:solidFill>
          </w14:textFill>
        </w:rPr>
      </w:pPr>
    </w:p>
    <w:p w14:paraId="73D1CE6F">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27" w:name="_Toc149731417"/>
      <w:bookmarkStart w:id="28" w:name="_Toc7291"/>
      <w:bookmarkStart w:id="29" w:name="_Toc19926"/>
      <w:r>
        <w:rPr>
          <w:rFonts w:hint="eastAsia" w:ascii="仿宋" w:hAnsi="仿宋" w:eastAsia="仿宋" w:cs="仿宋"/>
          <w:b/>
          <w:bCs/>
          <w:color w:val="000000" w:themeColor="text1"/>
          <w:highlight w:val="none"/>
          <w:lang w:eastAsia="zh-CN"/>
          <w14:textFill>
            <w14:solidFill>
              <w14:schemeClr w14:val="tx1"/>
            </w14:solidFill>
          </w14:textFill>
        </w:rPr>
        <w:t>六、职业健康安全管理目标和环境管理目标</w:t>
      </w:r>
      <w:bookmarkEnd w:id="27"/>
      <w:bookmarkEnd w:id="28"/>
      <w:bookmarkEnd w:id="29"/>
    </w:p>
    <w:p w14:paraId="52E9618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1、职业健康安全管理目标：</w:t>
      </w:r>
    </w:p>
    <w:p w14:paraId="5E4F2C6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（1）杜绝发生一般事故等级及以上的伤亡事故且工伤责任事故死亡人数为零。</w:t>
      </w:r>
    </w:p>
    <w:p w14:paraId="1E67DD7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（2）杜绝发生火灾（火情）、舆情、行政处罚、职业病等事故事件。</w:t>
      </w:r>
    </w:p>
    <w:p w14:paraId="11A6DFF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2、环境管理目标：</w:t>
      </w:r>
    </w:p>
    <w:p w14:paraId="49EBBFA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》（穗建质〔2020〕1号）等，杜绝环境破坏、环境污染和水体污染事故等。</w:t>
      </w:r>
    </w:p>
    <w:p w14:paraId="742371B4">
      <w:pPr>
        <w:spacing w:line="360" w:lineRule="auto"/>
        <w:ind w:firstLine="482" w:firstLineChars="200"/>
        <w:rPr>
          <w:rFonts w:ascii="仿宋" w:hAnsi="仿宋" w:eastAsia="仿宋" w:cs="仿宋"/>
          <w:b/>
          <w:bCs/>
          <w:color w:val="000000" w:themeColor="text1"/>
          <w:highlight w:val="none"/>
          <w:lang w:eastAsia="zh-CN"/>
          <w14:textFill>
            <w14:solidFill>
              <w14:schemeClr w14:val="tx1"/>
            </w14:solidFill>
          </w14:textFill>
        </w:rPr>
      </w:pPr>
    </w:p>
    <w:p w14:paraId="0ECE0E04">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30" w:name="_Toc22136"/>
      <w:bookmarkStart w:id="31" w:name="_Toc20112"/>
      <w:bookmarkStart w:id="32" w:name="_Toc149731418"/>
      <w:r>
        <w:rPr>
          <w:rFonts w:hint="eastAsia" w:ascii="仿宋" w:hAnsi="仿宋" w:eastAsia="仿宋" w:cs="仿宋"/>
          <w:b/>
          <w:bCs/>
          <w:color w:val="000000" w:themeColor="text1"/>
          <w:highlight w:val="none"/>
          <w:lang w:eastAsia="zh-CN"/>
          <w14:textFill>
            <w14:solidFill>
              <w14:schemeClr w14:val="tx1"/>
            </w14:solidFill>
          </w14:textFill>
        </w:rPr>
        <w:t>七、合同工期</w:t>
      </w:r>
      <w:bookmarkEnd w:id="30"/>
      <w:bookmarkEnd w:id="31"/>
      <w:bookmarkEnd w:id="32"/>
    </w:p>
    <w:p w14:paraId="11FC5A3E">
      <w:pPr>
        <w:spacing w:line="360" w:lineRule="auto"/>
        <w:ind w:left="199" w:leftChars="83" w:firstLine="240"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w:t>
      </w:r>
      <w:r>
        <w:rPr>
          <w:rFonts w:ascii="仿宋" w:hAnsi="仿宋" w:eastAsia="仿宋" w:cs="仿宋"/>
          <w:color w:val="000000" w:themeColor="text1"/>
          <w:highlight w:val="none"/>
          <w:lang w:eastAsia="zh-CN"/>
          <w14:textFill>
            <w14:solidFill>
              <w14:schemeClr w14:val="tx1"/>
            </w14:solidFill>
          </w14:textFill>
        </w:rPr>
        <w:t>工期</w:t>
      </w:r>
      <w:r>
        <w:rPr>
          <w:rFonts w:hint="eastAsia" w:ascii="仿宋" w:hAnsi="仿宋" w:eastAsia="仿宋" w:cs="仿宋"/>
          <w:color w:val="000000" w:themeColor="text1"/>
          <w:highlight w:val="none"/>
          <w:lang w:eastAsia="zh-CN"/>
          <w14:textFill>
            <w14:solidFill>
              <w14:schemeClr w14:val="tx1"/>
            </w14:solidFill>
          </w14:textFill>
        </w:rPr>
        <w:t>总日历天数：531 日历天（包括设计工期和施工工期），</w:t>
      </w:r>
      <w:r>
        <w:rPr>
          <w:rFonts w:ascii="仿宋" w:hAnsi="仿宋" w:eastAsia="仿宋" w:cs="仿宋"/>
          <w:color w:val="000000" w:themeColor="text1"/>
          <w:spacing w:val="6"/>
          <w:sz w:val="23"/>
          <w:szCs w:val="23"/>
          <w:highlight w:val="none"/>
          <w:u w:val="single"/>
          <w:lang w:eastAsia="zh-CN"/>
          <w14:textFill>
            <w14:solidFill>
              <w14:schemeClr w14:val="tx1"/>
            </w14:solidFill>
          </w14:textFill>
        </w:rPr>
        <w:t>其中</w:t>
      </w:r>
      <w:r>
        <w:rPr>
          <w:rFonts w:ascii="仿宋" w:hAnsi="仿宋" w:eastAsia="仿宋" w:cs="仿宋"/>
          <w:color w:val="000000" w:themeColor="text1"/>
          <w:spacing w:val="5"/>
          <w:sz w:val="23"/>
          <w:szCs w:val="23"/>
          <w:highlight w:val="none"/>
          <w:u w:val="single"/>
          <w:lang w:eastAsia="zh-CN"/>
          <w14:textFill>
            <w14:solidFill>
              <w14:schemeClr w14:val="tx1"/>
            </w14:solidFill>
          </w14:textFill>
        </w:rPr>
        <w:t>设计工期</w:t>
      </w:r>
      <w:r>
        <w:rPr>
          <w:rFonts w:hint="eastAsia" w:ascii="仿宋" w:hAnsi="仿宋" w:eastAsia="仿宋" w:cs="仿宋"/>
          <w:color w:val="000000" w:themeColor="text1"/>
          <w:spacing w:val="5"/>
          <w:sz w:val="23"/>
          <w:szCs w:val="23"/>
          <w:highlight w:val="none"/>
          <w:u w:val="single"/>
          <w:lang w:eastAsia="zh-CN"/>
          <w14:textFill>
            <w14:solidFill>
              <w14:schemeClr w14:val="tx1"/>
            </w14:solidFill>
          </w14:textFill>
        </w:rPr>
        <w:t>30</w:t>
      </w:r>
      <w:r>
        <w:rPr>
          <w:rFonts w:ascii="仿宋" w:hAnsi="仿宋" w:eastAsia="仿宋" w:cs="仿宋"/>
          <w:color w:val="000000" w:themeColor="text1"/>
          <w:spacing w:val="5"/>
          <w:sz w:val="23"/>
          <w:szCs w:val="23"/>
          <w:highlight w:val="none"/>
          <w:u w:val="single"/>
          <w:lang w:eastAsia="zh-CN"/>
          <w14:textFill>
            <w14:solidFill>
              <w14:schemeClr w14:val="tx1"/>
            </w14:solidFill>
          </w14:textFill>
        </w:rPr>
        <w:t>天，从中标通知书发出之日起计</w:t>
      </w:r>
      <w:r>
        <w:rPr>
          <w:rFonts w:hint="eastAsia" w:ascii="仿宋" w:hAnsi="仿宋" w:eastAsia="仿宋" w:cs="仿宋"/>
          <w:color w:val="000000" w:themeColor="text1"/>
          <w:spacing w:val="5"/>
          <w:sz w:val="23"/>
          <w:szCs w:val="23"/>
          <w:highlight w:val="none"/>
          <w:u w:val="single"/>
          <w:lang w:eastAsia="zh-CN"/>
          <w14:textFill>
            <w14:solidFill>
              <w14:schemeClr w14:val="tx1"/>
            </w14:solidFill>
          </w14:textFill>
        </w:rPr>
        <w:t>，</w:t>
      </w:r>
      <w:r>
        <w:rPr>
          <w:rFonts w:ascii="仿宋" w:hAnsi="仿宋" w:eastAsia="仿宋" w:cs="仿宋"/>
          <w:color w:val="000000" w:themeColor="text1"/>
          <w:spacing w:val="5"/>
          <w:sz w:val="23"/>
          <w:szCs w:val="23"/>
          <w:highlight w:val="none"/>
          <w:u w:val="single"/>
          <w:lang w:eastAsia="zh-CN"/>
          <w14:textFill>
            <w14:solidFill>
              <w14:schemeClr w14:val="tx1"/>
            </w14:solidFill>
          </w14:textFill>
        </w:rPr>
        <w:t>施工工期</w:t>
      </w:r>
      <w:r>
        <w:rPr>
          <w:rFonts w:hint="eastAsia" w:ascii="仿宋" w:hAnsi="仿宋" w:eastAsia="仿宋" w:cs="仿宋"/>
          <w:color w:val="000000" w:themeColor="text1"/>
          <w:spacing w:val="5"/>
          <w:sz w:val="23"/>
          <w:szCs w:val="23"/>
          <w:highlight w:val="none"/>
          <w:u w:val="single"/>
          <w:lang w:eastAsia="zh-CN"/>
          <w14:textFill>
            <w14:solidFill>
              <w14:schemeClr w14:val="tx1"/>
            </w14:solidFill>
          </w14:textFill>
        </w:rPr>
        <w:t>501</w:t>
      </w:r>
      <w:r>
        <w:rPr>
          <w:rFonts w:ascii="仿宋" w:hAnsi="仿宋" w:eastAsia="仿宋" w:cs="仿宋"/>
          <w:color w:val="000000" w:themeColor="text1"/>
          <w:spacing w:val="5"/>
          <w:sz w:val="23"/>
          <w:szCs w:val="23"/>
          <w:highlight w:val="none"/>
          <w:u w:val="single"/>
          <w:lang w:eastAsia="zh-CN"/>
          <w14:textFill>
            <w14:solidFill>
              <w14:schemeClr w14:val="tx1"/>
            </w14:solidFill>
          </w14:textFill>
        </w:rPr>
        <w:t>天</w:t>
      </w:r>
      <w:r>
        <w:rPr>
          <w:rFonts w:hint="eastAsia" w:ascii="仿宋" w:hAnsi="仿宋" w:eastAsia="仿宋" w:cs="仿宋"/>
          <w:color w:val="000000" w:themeColor="text1"/>
          <w:spacing w:val="5"/>
          <w:sz w:val="23"/>
          <w:szCs w:val="23"/>
          <w:highlight w:val="none"/>
          <w:u w:val="single"/>
          <w:lang w:eastAsia="zh-CN"/>
          <w14:textFill>
            <w14:solidFill>
              <w14:schemeClr w14:val="tx1"/>
            </w14:solidFill>
          </w14:textFill>
        </w:rPr>
        <w:t>（不含降水工期和土方回填工期）。</w:t>
      </w:r>
      <w:r>
        <w:rPr>
          <w:rFonts w:hint="eastAsia" w:ascii="仿宋" w:hAnsi="仿宋" w:eastAsia="仿宋" w:cs="仿宋"/>
          <w:color w:val="000000" w:themeColor="text1"/>
          <w:highlight w:val="none"/>
          <w:lang w:eastAsia="zh-CN"/>
          <w14:textFill>
            <w14:solidFill>
              <w14:schemeClr w14:val="tx1"/>
            </w14:solidFill>
          </w14:textFill>
        </w:rPr>
        <w:t>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完工日期）进行适当调整。</w:t>
      </w:r>
    </w:p>
    <w:p w14:paraId="191EA52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p>
    <w:p w14:paraId="47B1F46D">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33" w:name="_Toc14850"/>
      <w:bookmarkStart w:id="34" w:name="_Toc7860"/>
      <w:bookmarkStart w:id="35" w:name="_Toc149731419"/>
      <w:r>
        <w:rPr>
          <w:rFonts w:hint="eastAsia" w:ascii="仿宋" w:hAnsi="仿宋" w:eastAsia="仿宋" w:cs="仿宋"/>
          <w:b/>
          <w:bCs/>
          <w:color w:val="000000" w:themeColor="text1"/>
          <w:highlight w:val="none"/>
          <w:lang w:eastAsia="zh-CN"/>
          <w14:textFill>
            <w14:solidFill>
              <w14:schemeClr w14:val="tx1"/>
            </w14:solidFill>
          </w14:textFill>
        </w:rPr>
        <w:t>八、签约合同价</w:t>
      </w:r>
      <w:bookmarkEnd w:id="33"/>
      <w:r>
        <w:rPr>
          <w:rFonts w:hint="eastAsia" w:ascii="仿宋" w:hAnsi="仿宋" w:eastAsia="仿宋" w:cs="仿宋"/>
          <w:b/>
          <w:bCs/>
          <w:color w:val="000000" w:themeColor="text1"/>
          <w:highlight w:val="none"/>
          <w:lang w:eastAsia="zh-CN"/>
          <w14:textFill>
            <w14:solidFill>
              <w14:schemeClr w14:val="tx1"/>
            </w14:solidFill>
          </w14:textFill>
        </w:rPr>
        <w:t>与合同价格形式</w:t>
      </w:r>
      <w:bookmarkEnd w:id="34"/>
      <w:bookmarkEnd w:id="35"/>
    </w:p>
    <w:p w14:paraId="10FAC2B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签约合同价（含税）：人民币（大写）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w:t>
      </w:r>
    </w:p>
    <w:p w14:paraId="7F0D3E3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其中：不含税金额： </w:t>
      </w:r>
      <w:r>
        <w:rPr>
          <w:rFonts w:hint="eastAsia" w:ascii="仿宋" w:hAnsi="仿宋" w:eastAsia="仿宋" w:cs="仿宋"/>
          <w:color w:val="000000" w:themeColor="text1"/>
          <w:highlight w:val="none"/>
          <w:lang w:val="zh-CN" w:eastAsia="zh-CN" w:bidi="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元，增值税金额：</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元。</w:t>
      </w:r>
    </w:p>
    <w:p w14:paraId="3A18023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工程勘察费（含税）：</w:t>
      </w:r>
    </w:p>
    <w:p w14:paraId="4618FFB8">
      <w:pPr>
        <w:autoSpaceDE w:val="0"/>
        <w:autoSpaceDN w:val="0"/>
        <w:spacing w:line="360" w:lineRule="auto"/>
        <w:ind w:right="50" w:rightChars="21"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元），税率</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w:t>
      </w:r>
    </w:p>
    <w:p w14:paraId="48172197">
      <w:pPr>
        <w:autoSpaceDE w:val="0"/>
        <w:autoSpaceDN w:val="0"/>
        <w:spacing w:line="360" w:lineRule="auto"/>
        <w:ind w:right="50" w:rightChars="21" w:firstLine="480" w:firstLineChars="200"/>
        <w:rPr>
          <w:rFonts w:ascii="仿宋" w:hAnsi="仿宋" w:eastAsia="仿宋" w:cs="仿宋"/>
          <w:color w:val="000000" w:themeColor="text1"/>
          <w:highlight w:val="none"/>
          <w:lang w:val="zh-CN" w:eastAsia="zh-CN" w:bidi="zh-CN"/>
          <w14:textFill>
            <w14:solidFill>
              <w14:schemeClr w14:val="tx1"/>
            </w14:solidFill>
          </w14:textFill>
        </w:rPr>
      </w:pPr>
      <w:r>
        <w:rPr>
          <w:rFonts w:hint="eastAsia" w:ascii="仿宋" w:hAnsi="仿宋" w:eastAsia="仿宋" w:cs="仿宋"/>
          <w:color w:val="000000" w:themeColor="text1"/>
          <w:highlight w:val="none"/>
          <w:lang w:val="zh-CN" w:eastAsia="zh-CN" w:bidi="zh-CN"/>
          <w14:textFill>
            <w14:solidFill>
              <w14:schemeClr w14:val="tx1"/>
            </w14:solidFill>
          </w14:textFill>
        </w:rPr>
        <w:t>其中：超前钻：￥</w:t>
      </w:r>
      <w:r>
        <w:rPr>
          <w:rFonts w:hint="eastAsia" w:ascii="仿宋" w:hAnsi="仿宋" w:eastAsia="仿宋" w:cs="仿宋"/>
          <w:color w:val="000000" w:themeColor="text1"/>
          <w:highlight w:val="none"/>
          <w:u w:val="single"/>
          <w:lang w:eastAsia="zh-CN" w:bidi="zh-CN"/>
          <w14:textFill>
            <w14:solidFill>
              <w14:schemeClr w14:val="tx1"/>
            </w14:solidFill>
          </w14:textFill>
        </w:rPr>
        <w:t xml:space="preserve">      </w:t>
      </w:r>
      <w:r>
        <w:rPr>
          <w:rFonts w:ascii="仿宋" w:hAnsi="仿宋" w:eastAsia="仿宋" w:cs="仿宋"/>
          <w:color w:val="000000" w:themeColor="text1"/>
          <w:highlight w:val="none"/>
          <w:lang w:val="zh-CN" w:eastAsia="zh-CN" w:bidi="zh-CN"/>
          <w14:textFill>
            <w14:solidFill>
              <w14:schemeClr w14:val="tx1"/>
            </w14:solidFill>
          </w14:textFill>
        </w:rPr>
        <w:t>元；规划放线测量</w:t>
      </w:r>
      <w:r>
        <w:rPr>
          <w:rFonts w:hint="eastAsia" w:ascii="仿宋" w:hAnsi="仿宋" w:eastAsia="仿宋" w:cs="仿宋"/>
          <w:color w:val="000000" w:themeColor="text1"/>
          <w:highlight w:val="none"/>
          <w:lang w:val="zh-CN" w:eastAsia="zh-CN" w:bidi="zh-CN"/>
          <w14:textFill>
            <w14:solidFill>
              <w14:schemeClr w14:val="tx1"/>
            </w14:solidFill>
          </w14:textFill>
        </w:rPr>
        <w:t>：￥</w:t>
      </w:r>
      <w:r>
        <w:rPr>
          <w:rFonts w:hint="eastAsia" w:ascii="仿宋" w:hAnsi="仿宋" w:eastAsia="仿宋" w:cs="仿宋"/>
          <w:color w:val="000000" w:themeColor="text1"/>
          <w:highlight w:val="none"/>
          <w:u w:val="single"/>
          <w:lang w:eastAsia="zh-CN" w:bidi="zh-CN"/>
          <w14:textFill>
            <w14:solidFill>
              <w14:schemeClr w14:val="tx1"/>
            </w14:solidFill>
          </w14:textFill>
        </w:rPr>
        <w:t xml:space="preserve">     </w:t>
      </w:r>
      <w:r>
        <w:rPr>
          <w:rFonts w:hint="eastAsia" w:ascii="仿宋" w:hAnsi="仿宋" w:eastAsia="仿宋" w:cs="仿宋"/>
          <w:color w:val="000000" w:themeColor="text1"/>
          <w:highlight w:val="none"/>
          <w:lang w:val="zh-CN" w:eastAsia="zh-CN" w:bidi="zh-CN"/>
          <w14:textFill>
            <w14:solidFill>
              <w14:schemeClr w14:val="tx1"/>
            </w14:solidFill>
          </w14:textFill>
        </w:rPr>
        <w:t xml:space="preserve"> 元。</w:t>
      </w:r>
    </w:p>
    <w:p w14:paraId="3A707F5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工程设计费（含税）：</w:t>
      </w:r>
    </w:p>
    <w:p w14:paraId="08D1EC2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元），税率</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785D227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BIM技术应用费（含税）：</w:t>
      </w:r>
    </w:p>
    <w:p w14:paraId="280096C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人民币（大写）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元），税率</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39A474CE">
      <w:pPr>
        <w:spacing w:line="360" w:lineRule="auto"/>
        <w:ind w:firstLine="480" w:firstLineChars="200"/>
        <w:rPr>
          <w:rFonts w:ascii="宋体" w:hAnsi="宋体"/>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4、□设备及工器具购置</w:t>
      </w:r>
      <w:r>
        <w:rPr>
          <w:rFonts w:ascii="仿宋" w:hAnsi="仿宋" w:eastAsia="仿宋" w:cs="仿宋"/>
          <w:color w:val="000000" w:themeColor="text1"/>
          <w:highlight w:val="none"/>
          <w:lang w:eastAsia="zh-CN"/>
          <w14:textFill>
            <w14:solidFill>
              <w14:schemeClr w14:val="tx1"/>
            </w14:solidFill>
          </w14:textFill>
        </w:rPr>
        <w:t>费</w:t>
      </w:r>
      <w:r>
        <w:rPr>
          <w:rFonts w:hint="eastAsia" w:ascii="仿宋" w:hAnsi="仿宋" w:eastAsia="仿宋" w:cs="仿宋"/>
          <w:color w:val="000000" w:themeColor="text1"/>
          <w:highlight w:val="none"/>
          <w:lang w:eastAsia="zh-CN"/>
          <w14:textFill>
            <w14:solidFill>
              <w14:schemeClr w14:val="tx1"/>
            </w14:solidFill>
          </w14:textFill>
        </w:rPr>
        <w:t>（含税）：</w:t>
      </w:r>
    </w:p>
    <w:p w14:paraId="7521E4FD">
      <w:pPr>
        <w:spacing w:line="360" w:lineRule="auto"/>
        <w:ind w:firstLine="480" w:firstLineChars="200"/>
        <w:rPr>
          <w:rFonts w:ascii="宋体" w:hAnsi="宋体"/>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宋体" w:hAnsi="宋体" w:cs="宋体"/>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元）；</w:t>
      </w:r>
    </w:p>
    <w:p w14:paraId="305ABC2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建筑安装工程费（含税）：</w:t>
      </w:r>
    </w:p>
    <w:p w14:paraId="23F173A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元），税率</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00EE595C">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建筑安装工程费中含有以下费用：</w:t>
      </w:r>
    </w:p>
    <w:p w14:paraId="52E6DEC9">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绿色施工安全防护措施费（不含税）：</w:t>
      </w:r>
    </w:p>
    <w:p w14:paraId="7DFD9FFB">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w:t>
      </w:r>
    </w:p>
    <w:p w14:paraId="05EF591F">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（2）□专业工程暂估价（不含税）：</w:t>
      </w:r>
    </w:p>
    <w:p w14:paraId="4A3AB455">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宋体" w:hAnsi="宋体" w:cs="宋体"/>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元）</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4924F1F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暂列金额（不含税）：</w:t>
      </w:r>
    </w:p>
    <w:p w14:paraId="2962E5A6">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w:t>
      </w:r>
    </w:p>
    <w:p w14:paraId="5210DA22">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其他（含税，</w:t>
      </w:r>
      <w:r>
        <w:rPr>
          <w:rFonts w:hint="eastAsia" w:ascii="仿宋" w:hAnsi="仿宋" w:eastAsia="仿宋" w:cs="仿宋"/>
          <w:color w:val="000000" w:themeColor="text1"/>
          <w:highlight w:val="none"/>
          <w:u w:val="single"/>
          <w:lang w:eastAsia="zh-CN"/>
          <w14:textFill>
            <w14:solidFill>
              <w14:schemeClr w14:val="tx1"/>
            </w14:solidFill>
          </w14:textFill>
        </w:rPr>
        <w:t>工程优质费（国家级）</w:t>
      </w:r>
      <w:r>
        <w:rPr>
          <w:rFonts w:hint="eastAsia" w:ascii="仿宋" w:hAnsi="仿宋" w:eastAsia="仿宋" w:cs="仿宋"/>
          <w:color w:val="000000" w:themeColor="text1"/>
          <w:highlight w:val="none"/>
          <w:lang w:eastAsia="zh-CN"/>
          <w14:textFill>
            <w14:solidFill>
              <w14:schemeClr w14:val="tx1"/>
            </w14:solidFill>
          </w14:textFill>
        </w:rPr>
        <w:t>）：</w:t>
      </w:r>
    </w:p>
    <w:p w14:paraId="6B8D3978">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w:t>
      </w:r>
    </w:p>
    <w:p w14:paraId="23E298BF">
      <w:pPr>
        <w:spacing w:line="360" w:lineRule="auto"/>
        <w:ind w:left="480"/>
        <w:rPr>
          <w:rFonts w:ascii="宋体" w:hAnsi="宋体"/>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6、□其他费用：（含税）：</w:t>
      </w:r>
    </w:p>
    <w:p w14:paraId="470A9D72">
      <w:pPr>
        <w:spacing w:line="360" w:lineRule="auto"/>
        <w:ind w:firstLine="1200" w:firstLineChars="5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 / （</w:t>
      </w:r>
      <w:r>
        <w:rPr>
          <w:rFonts w:hint="eastAsia" w:ascii="宋体" w:hAnsi="宋体" w:cs="宋体"/>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元）</w:t>
      </w:r>
    </w:p>
    <w:p w14:paraId="7D46F1E1">
      <w:pPr>
        <w:widowControl w:val="0"/>
        <w:spacing w:line="360" w:lineRule="auto"/>
        <w:ind w:left="480" w:left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7、□联合体牵头人项目管理费（单列）：联合体牵头人对联合体各成员的组织、管理和协调产生的费用，在本合同价中不得增加计算本费用，从合同总价中提取后，在本协议书中单列供各方监督使用情况；</w:t>
      </w:r>
    </w:p>
    <w:p w14:paraId="25BA5248">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 设计单位为联合体牵头人时项目管理费（含税）：</w:t>
      </w:r>
    </w:p>
    <w:p w14:paraId="77F34C46">
      <w:pPr>
        <w:spacing w:line="360" w:lineRule="auto"/>
        <w:ind w:firstLine="1200" w:firstLineChars="5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宋体" w:hAnsi="宋体" w:cs="宋体"/>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元）；</w:t>
      </w:r>
    </w:p>
    <w:p w14:paraId="4BC21B81">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 施工单位为联合体牵头人时项目管理费（含税）：</w:t>
      </w:r>
    </w:p>
    <w:p w14:paraId="70A60A4A">
      <w:pPr>
        <w:spacing w:line="360" w:lineRule="auto"/>
        <w:ind w:firstLine="1200" w:firstLineChars="5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人民币（大写）（</w:t>
      </w:r>
      <w:r>
        <w:rPr>
          <w:rFonts w:hint="eastAsia" w:ascii="宋体" w:hAnsi="宋体" w:cs="宋体"/>
          <w:color w:val="000000" w:themeColor="text1"/>
          <w:highlight w:val="none"/>
          <w:lang w:eastAsia="zh-CN"/>
          <w14:textFill>
            <w14:solidFill>
              <w14:schemeClr w14:val="tx1"/>
            </w14:solidFill>
          </w14:textFill>
        </w:rPr>
        <w:t xml:space="preserve">¥ / </w:t>
      </w:r>
      <w:r>
        <w:rPr>
          <w:rFonts w:hint="eastAsia" w:ascii="仿宋" w:hAnsi="仿宋" w:eastAsia="仿宋" w:cs="仿宋"/>
          <w:color w:val="000000" w:themeColor="text1"/>
          <w:highlight w:val="none"/>
          <w:u w:val="single"/>
          <w:lang w:eastAsia="zh-CN"/>
          <w14:textFill>
            <w14:solidFill>
              <w14:schemeClr w14:val="tx1"/>
            </w14:solidFill>
          </w14:textFill>
        </w:rPr>
        <w:t>元</w:t>
      </w:r>
      <w:r>
        <w:rPr>
          <w:rFonts w:hint="eastAsia" w:ascii="仿宋" w:hAnsi="仿宋" w:eastAsia="仿宋" w:cs="仿宋"/>
          <w:color w:val="000000" w:themeColor="text1"/>
          <w:highlight w:val="none"/>
          <w:lang w:eastAsia="zh-CN"/>
          <w14:textFill>
            <w14:solidFill>
              <w14:schemeClr w14:val="tx1"/>
            </w14:solidFill>
          </w14:textFill>
        </w:rPr>
        <w:t>）。</w:t>
      </w:r>
    </w:p>
    <w:p w14:paraId="2CE59E56">
      <w:pPr>
        <w:widowControl w:val="0"/>
        <w:spacing w:line="360" w:lineRule="auto"/>
        <w:ind w:left="480" w:left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8、本合同中不含税价格不因国家税率变化而变化，若在合同履行期间，遇国家税率调整的，则价税合计相应调整，以开具发票的时间为准。</w:t>
      </w:r>
    </w:p>
    <w:p w14:paraId="7FF820FB">
      <w:pPr>
        <w:pStyle w:val="76"/>
        <w:ind w:firstLine="241"/>
        <w:jc w:val="center"/>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联合体各方合同金额和工作分工</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4249"/>
        <w:gridCol w:w="2931"/>
      </w:tblGrid>
      <w:tr w14:paraId="781E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848" w:type="dxa"/>
            <w:vAlign w:val="center"/>
          </w:tcPr>
          <w:p w14:paraId="6D1631EB">
            <w:pPr>
              <w:spacing w:line="360" w:lineRule="auto"/>
              <w:jc w:val="center"/>
              <w:outlineLvl w:val="1"/>
              <w:rPr>
                <w:rFonts w:ascii="仿宋" w:hAnsi="仿宋" w:eastAsia="仿宋" w:cs="仿宋"/>
                <w:b/>
                <w:color w:val="000000" w:themeColor="text1"/>
                <w:highlight w:val="none"/>
                <w:lang w:eastAsia="zh-CN"/>
                <w14:textFill>
                  <w14:solidFill>
                    <w14:schemeClr w14:val="tx1"/>
                  </w14:solidFill>
                </w14:textFill>
              </w:rPr>
            </w:pPr>
            <w:bookmarkStart w:id="36" w:name="_Toc32200"/>
            <w:bookmarkStart w:id="37" w:name="_Toc149731420"/>
            <w:r>
              <w:rPr>
                <w:rFonts w:hint="eastAsia" w:ascii="仿宋" w:hAnsi="仿宋" w:eastAsia="仿宋" w:cs="仿宋"/>
                <w:b/>
                <w:color w:val="000000" w:themeColor="text1"/>
                <w:highlight w:val="none"/>
                <w:lang w:eastAsia="zh-CN"/>
                <w14:textFill>
                  <w14:solidFill>
                    <w14:schemeClr w14:val="tx1"/>
                  </w14:solidFill>
                </w14:textFill>
              </w:rPr>
              <w:t>承包人名称</w:t>
            </w:r>
            <w:bookmarkEnd w:id="36"/>
          </w:p>
        </w:tc>
        <w:tc>
          <w:tcPr>
            <w:tcW w:w="4249" w:type="dxa"/>
            <w:vAlign w:val="center"/>
          </w:tcPr>
          <w:p w14:paraId="07860494">
            <w:pPr>
              <w:spacing w:line="360" w:lineRule="auto"/>
              <w:jc w:val="center"/>
              <w:outlineLvl w:val="1"/>
              <w:rPr>
                <w:rFonts w:ascii="仿宋" w:hAnsi="仿宋" w:eastAsia="仿宋" w:cs="仿宋"/>
                <w:b/>
                <w:color w:val="000000" w:themeColor="text1"/>
                <w:highlight w:val="none"/>
                <w:lang w:eastAsia="zh-CN"/>
                <w14:textFill>
                  <w14:solidFill>
                    <w14:schemeClr w14:val="tx1"/>
                  </w14:solidFill>
                </w14:textFill>
              </w:rPr>
            </w:pPr>
            <w:bookmarkStart w:id="38" w:name="_Toc24220"/>
            <w:r>
              <w:rPr>
                <w:rFonts w:hint="eastAsia" w:ascii="仿宋" w:hAnsi="仿宋" w:eastAsia="仿宋" w:cs="仿宋"/>
                <w:b/>
                <w:color w:val="000000" w:themeColor="text1"/>
                <w:highlight w:val="none"/>
                <w:lang w:eastAsia="zh-CN"/>
                <w14:textFill>
                  <w14:solidFill>
                    <w14:schemeClr w14:val="tx1"/>
                  </w14:solidFill>
                </w14:textFill>
              </w:rPr>
              <w:t>工作范围</w:t>
            </w:r>
            <w:bookmarkEnd w:id="38"/>
          </w:p>
        </w:tc>
        <w:tc>
          <w:tcPr>
            <w:tcW w:w="2931" w:type="dxa"/>
            <w:vAlign w:val="center"/>
          </w:tcPr>
          <w:p w14:paraId="3B6A4D26">
            <w:pPr>
              <w:spacing w:line="360" w:lineRule="auto"/>
              <w:jc w:val="center"/>
              <w:outlineLvl w:val="1"/>
              <w:rPr>
                <w:rFonts w:ascii="仿宋" w:hAnsi="仿宋" w:eastAsia="仿宋" w:cs="仿宋"/>
                <w:b/>
                <w:color w:val="000000" w:themeColor="text1"/>
                <w:highlight w:val="none"/>
                <w:lang w:eastAsia="zh-CN"/>
                <w14:textFill>
                  <w14:solidFill>
                    <w14:schemeClr w14:val="tx1"/>
                  </w14:solidFill>
                </w14:textFill>
              </w:rPr>
            </w:pPr>
            <w:bookmarkStart w:id="39" w:name="_Toc4512"/>
            <w:r>
              <w:rPr>
                <w:rFonts w:hint="eastAsia" w:ascii="仿宋" w:hAnsi="仿宋" w:eastAsia="仿宋" w:cs="仿宋"/>
                <w:b/>
                <w:color w:val="000000" w:themeColor="text1"/>
                <w:highlight w:val="none"/>
                <w:lang w:eastAsia="zh-CN"/>
                <w14:textFill>
                  <w14:solidFill>
                    <w14:schemeClr w14:val="tx1"/>
                  </w14:solidFill>
                </w14:textFill>
              </w:rPr>
              <w:t>各方合同金额（元）</w:t>
            </w:r>
            <w:bookmarkEnd w:id="39"/>
          </w:p>
        </w:tc>
      </w:tr>
      <w:tr w14:paraId="06AC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848" w:type="dxa"/>
            <w:vAlign w:val="center"/>
          </w:tcPr>
          <w:p w14:paraId="46CD945D">
            <w:pPr>
              <w:outlineLvl w:val="1"/>
              <w:rPr>
                <w:rFonts w:ascii="仿宋" w:hAnsi="仿宋" w:eastAsia="仿宋" w:cs="仿宋"/>
                <w:color w:val="000000" w:themeColor="text1"/>
                <w:highlight w:val="none"/>
                <w:lang w:eastAsia="zh-CN"/>
                <w14:textFill>
                  <w14:solidFill>
                    <w14:schemeClr w14:val="tx1"/>
                  </w14:solidFill>
                </w14:textFill>
              </w:rPr>
            </w:pPr>
          </w:p>
        </w:tc>
        <w:tc>
          <w:tcPr>
            <w:tcW w:w="4249" w:type="dxa"/>
            <w:vAlign w:val="center"/>
          </w:tcPr>
          <w:p w14:paraId="57C17FFC">
            <w:pPr>
              <w:outlineLvl w:val="1"/>
              <w:rPr>
                <w:rFonts w:ascii="仿宋" w:hAnsi="仿宋" w:eastAsia="仿宋" w:cs="仿宋"/>
                <w:color w:val="000000" w:themeColor="text1"/>
                <w:highlight w:val="none"/>
                <w:lang w:eastAsia="zh-CN"/>
                <w14:textFill>
                  <w14:solidFill>
                    <w14:schemeClr w14:val="tx1"/>
                  </w14:solidFill>
                </w14:textFill>
              </w:rPr>
            </w:pPr>
          </w:p>
        </w:tc>
        <w:tc>
          <w:tcPr>
            <w:tcW w:w="2931" w:type="dxa"/>
            <w:vAlign w:val="center"/>
          </w:tcPr>
          <w:p w14:paraId="3557DC56">
            <w:pPr>
              <w:jc w:val="center"/>
              <w:outlineLvl w:val="1"/>
              <w:rPr>
                <w:rFonts w:ascii="仿宋" w:hAnsi="仿宋" w:eastAsia="仿宋" w:cs="仿宋"/>
                <w:color w:val="000000" w:themeColor="text1"/>
                <w:highlight w:val="none"/>
                <w:lang w:eastAsia="zh-CN"/>
                <w14:textFill>
                  <w14:solidFill>
                    <w14:schemeClr w14:val="tx1"/>
                  </w14:solidFill>
                </w14:textFill>
              </w:rPr>
            </w:pPr>
          </w:p>
        </w:tc>
      </w:tr>
      <w:tr w14:paraId="142B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848" w:type="dxa"/>
            <w:vAlign w:val="center"/>
          </w:tcPr>
          <w:p w14:paraId="2638FAD3">
            <w:pPr>
              <w:spacing w:line="360" w:lineRule="auto"/>
              <w:outlineLvl w:val="1"/>
              <w:rPr>
                <w:rFonts w:ascii="仿宋" w:hAnsi="仿宋" w:eastAsia="仿宋" w:cs="仿宋"/>
                <w:color w:val="000000" w:themeColor="text1"/>
                <w:highlight w:val="none"/>
                <w:lang w:eastAsia="zh-CN"/>
                <w14:textFill>
                  <w14:solidFill>
                    <w14:schemeClr w14:val="tx1"/>
                  </w14:solidFill>
                </w14:textFill>
              </w:rPr>
            </w:pPr>
          </w:p>
        </w:tc>
        <w:tc>
          <w:tcPr>
            <w:tcW w:w="4249" w:type="dxa"/>
            <w:vAlign w:val="center"/>
          </w:tcPr>
          <w:p w14:paraId="72FB312A">
            <w:pPr>
              <w:spacing w:line="360" w:lineRule="auto"/>
              <w:outlineLvl w:val="1"/>
              <w:rPr>
                <w:rFonts w:ascii="仿宋" w:hAnsi="仿宋" w:eastAsia="仿宋" w:cs="仿宋"/>
                <w:color w:val="000000" w:themeColor="text1"/>
                <w:highlight w:val="none"/>
                <w:lang w:eastAsia="zh-CN"/>
                <w14:textFill>
                  <w14:solidFill>
                    <w14:schemeClr w14:val="tx1"/>
                  </w14:solidFill>
                </w14:textFill>
              </w:rPr>
            </w:pPr>
          </w:p>
        </w:tc>
        <w:tc>
          <w:tcPr>
            <w:tcW w:w="2931" w:type="dxa"/>
            <w:vAlign w:val="center"/>
          </w:tcPr>
          <w:p w14:paraId="299A0129">
            <w:pPr>
              <w:spacing w:line="360" w:lineRule="auto"/>
              <w:jc w:val="center"/>
              <w:outlineLvl w:val="1"/>
              <w:rPr>
                <w:rFonts w:ascii="仿宋" w:hAnsi="仿宋" w:eastAsia="仿宋" w:cs="仿宋"/>
                <w:color w:val="000000" w:themeColor="text1"/>
                <w:highlight w:val="none"/>
                <w:lang w:eastAsia="zh-CN"/>
                <w14:textFill>
                  <w14:solidFill>
                    <w14:schemeClr w14:val="tx1"/>
                  </w14:solidFill>
                </w14:textFill>
              </w:rPr>
            </w:pPr>
          </w:p>
        </w:tc>
      </w:tr>
      <w:tr w14:paraId="2CF3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848" w:type="dxa"/>
            <w:vAlign w:val="center"/>
          </w:tcPr>
          <w:p w14:paraId="5A603B86">
            <w:pPr>
              <w:spacing w:line="360" w:lineRule="auto"/>
              <w:outlineLvl w:val="1"/>
              <w:rPr>
                <w:rFonts w:ascii="仿宋" w:hAnsi="仿宋" w:eastAsia="仿宋" w:cs="仿宋"/>
                <w:color w:val="000000" w:themeColor="text1"/>
                <w:highlight w:val="none"/>
                <w:lang w:eastAsia="zh-CN"/>
                <w14:textFill>
                  <w14:solidFill>
                    <w14:schemeClr w14:val="tx1"/>
                  </w14:solidFill>
                </w14:textFill>
              </w:rPr>
            </w:pPr>
          </w:p>
        </w:tc>
        <w:tc>
          <w:tcPr>
            <w:tcW w:w="4249" w:type="dxa"/>
            <w:vAlign w:val="center"/>
          </w:tcPr>
          <w:p w14:paraId="38D876D8">
            <w:pPr>
              <w:spacing w:line="360" w:lineRule="auto"/>
              <w:outlineLvl w:val="1"/>
              <w:rPr>
                <w:rFonts w:ascii="仿宋" w:hAnsi="仿宋" w:eastAsia="仿宋" w:cs="仿宋"/>
                <w:color w:val="000000" w:themeColor="text1"/>
                <w:highlight w:val="none"/>
                <w:lang w:eastAsia="zh-CN"/>
                <w14:textFill>
                  <w14:solidFill>
                    <w14:schemeClr w14:val="tx1"/>
                  </w14:solidFill>
                </w14:textFill>
              </w:rPr>
            </w:pPr>
          </w:p>
        </w:tc>
        <w:tc>
          <w:tcPr>
            <w:tcW w:w="2931" w:type="dxa"/>
            <w:vAlign w:val="center"/>
          </w:tcPr>
          <w:p w14:paraId="63541D46">
            <w:pPr>
              <w:spacing w:line="360" w:lineRule="auto"/>
              <w:jc w:val="center"/>
              <w:outlineLvl w:val="1"/>
              <w:rPr>
                <w:rFonts w:ascii="仿宋" w:hAnsi="仿宋" w:eastAsia="仿宋" w:cs="仿宋"/>
                <w:color w:val="000000" w:themeColor="text1"/>
                <w:highlight w:val="none"/>
                <w:lang w:eastAsia="zh-CN"/>
                <w14:textFill>
                  <w14:solidFill>
                    <w14:schemeClr w14:val="tx1"/>
                  </w14:solidFill>
                </w14:textFill>
              </w:rPr>
            </w:pPr>
          </w:p>
        </w:tc>
      </w:tr>
      <w:tr w14:paraId="186E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848" w:type="dxa"/>
            <w:vAlign w:val="center"/>
          </w:tcPr>
          <w:p w14:paraId="26D7DBBC">
            <w:pPr>
              <w:spacing w:line="360" w:lineRule="auto"/>
              <w:outlineLvl w:val="1"/>
              <w:rPr>
                <w:rFonts w:ascii="仿宋" w:hAnsi="仿宋" w:eastAsia="仿宋" w:cs="仿宋"/>
                <w:color w:val="000000" w:themeColor="text1"/>
                <w:highlight w:val="none"/>
                <w:lang w:eastAsia="zh-CN"/>
                <w14:textFill>
                  <w14:solidFill>
                    <w14:schemeClr w14:val="tx1"/>
                  </w14:solidFill>
                </w14:textFill>
              </w:rPr>
            </w:pPr>
          </w:p>
        </w:tc>
        <w:tc>
          <w:tcPr>
            <w:tcW w:w="4249" w:type="dxa"/>
            <w:vAlign w:val="center"/>
          </w:tcPr>
          <w:p w14:paraId="42158600">
            <w:pPr>
              <w:spacing w:line="360" w:lineRule="auto"/>
              <w:outlineLvl w:val="1"/>
              <w:rPr>
                <w:rFonts w:ascii="仿宋" w:hAnsi="仿宋" w:eastAsia="仿宋" w:cs="仿宋"/>
                <w:color w:val="000000" w:themeColor="text1"/>
                <w:highlight w:val="none"/>
                <w:lang w:eastAsia="zh-CN"/>
                <w14:textFill>
                  <w14:solidFill>
                    <w14:schemeClr w14:val="tx1"/>
                  </w14:solidFill>
                </w14:textFill>
              </w:rPr>
            </w:pPr>
          </w:p>
        </w:tc>
        <w:tc>
          <w:tcPr>
            <w:tcW w:w="2931" w:type="dxa"/>
            <w:vAlign w:val="center"/>
          </w:tcPr>
          <w:p w14:paraId="4EC28B83">
            <w:pPr>
              <w:spacing w:line="360" w:lineRule="auto"/>
              <w:jc w:val="center"/>
              <w:outlineLvl w:val="1"/>
              <w:rPr>
                <w:rFonts w:ascii="仿宋" w:hAnsi="仿宋" w:eastAsia="仿宋" w:cs="仿宋"/>
                <w:color w:val="000000" w:themeColor="text1"/>
                <w:highlight w:val="none"/>
                <w:lang w:eastAsia="zh-CN"/>
                <w14:textFill>
                  <w14:solidFill>
                    <w14:schemeClr w14:val="tx1"/>
                  </w14:solidFill>
                </w14:textFill>
              </w:rPr>
            </w:pPr>
          </w:p>
        </w:tc>
      </w:tr>
      <w:bookmarkEnd w:id="37"/>
    </w:tbl>
    <w:p w14:paraId="72BE3452">
      <w:pPr>
        <w:pStyle w:val="76"/>
        <w:ind w:firstLine="240"/>
        <w:jc w:val="center"/>
        <w:rPr>
          <w:color w:val="000000" w:themeColor="text1"/>
          <w:highlight w:val="none"/>
          <w:lang w:eastAsia="zh-CN"/>
          <w14:textFill>
            <w14:solidFill>
              <w14:schemeClr w14:val="tx1"/>
            </w14:solidFill>
          </w14:textFill>
        </w:rPr>
      </w:pPr>
    </w:p>
    <w:p w14:paraId="05EA34BD">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40" w:name="_Toc21001"/>
      <w:bookmarkStart w:id="41" w:name="_Toc149731423"/>
      <w:bookmarkStart w:id="42" w:name="_Toc18695"/>
      <w:r>
        <w:rPr>
          <w:rFonts w:hint="eastAsia" w:ascii="仿宋" w:hAnsi="仿宋" w:eastAsia="仿宋" w:cs="仿宋"/>
          <w:b/>
          <w:bCs/>
          <w:color w:val="000000" w:themeColor="text1"/>
          <w:highlight w:val="none"/>
          <w:lang w:eastAsia="zh-CN"/>
          <w14:textFill>
            <w14:solidFill>
              <w14:schemeClr w14:val="tx1"/>
            </w14:solidFill>
          </w14:textFill>
        </w:rPr>
        <w:t>★九、工人工资支付分账</w:t>
      </w:r>
      <w:bookmarkEnd w:id="40"/>
      <w:r>
        <w:rPr>
          <w:rFonts w:hint="eastAsia" w:ascii="仿宋" w:hAnsi="仿宋" w:eastAsia="仿宋" w:cs="仿宋"/>
          <w:b/>
          <w:bCs/>
          <w:color w:val="000000" w:themeColor="text1"/>
          <w:highlight w:val="none"/>
          <w:lang w:eastAsia="zh-CN"/>
          <w14:textFill>
            <w14:solidFill>
              <w14:schemeClr w14:val="tx1"/>
            </w14:solidFill>
          </w14:textFill>
        </w:rPr>
        <w:t>、建筑安装工程费支付专户</w:t>
      </w:r>
      <w:bookmarkEnd w:id="41"/>
      <w:bookmarkEnd w:id="42"/>
    </w:p>
    <w:p w14:paraId="04F5EF63">
      <w:pPr>
        <w:spacing w:line="360" w:lineRule="auto"/>
        <w:ind w:firstLine="480" w:firstLineChars="200"/>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工人工资款支付专用账户开设的约定内容：</w:t>
      </w:r>
      <w:r>
        <w:rPr>
          <w:rFonts w:hint="eastAsia" w:ascii="仿宋" w:hAnsi="仿宋" w:eastAsia="仿宋" w:cs="仿宋"/>
          <w:color w:val="000000" w:themeColor="text1"/>
          <w:highlight w:val="none"/>
          <w:u w:val="single"/>
          <w:lang w:eastAsia="zh-CN"/>
          <w14:textFill>
            <w14:solidFill>
              <w14:schemeClr w14:val="tx1"/>
            </w14:solidFill>
          </w14:textFill>
        </w:rPr>
        <w:t>工人工资支付专用账户的监管和管理按照</w:t>
      </w:r>
      <w:r>
        <w:rPr>
          <w:rFonts w:hint="eastAsia" w:ascii="仿宋" w:hAnsi="仿宋" w:eastAsia="仿宋" w:cs="仿宋"/>
          <w:color w:val="000000" w:themeColor="text1"/>
          <w:highlight w:val="none"/>
          <w:lang w:eastAsia="zh-CN"/>
          <w14:textFill>
            <w14:solidFill>
              <w14:schemeClr w14:val="tx1"/>
            </w14:solidFill>
          </w14:textFill>
        </w:rPr>
        <w:t>《广州市住房和城乡建设局关于进一步规范落实实名制和工人工资分账管理的通知》（穗建筑〔2022〕287号）。</w:t>
      </w:r>
    </w:p>
    <w:p w14:paraId="69ED495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工人工资款支付专用账户开户银行（如果有）：</w:t>
      </w:r>
      <w:r>
        <w:rPr>
          <w:rFonts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4F232DB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工人工资款支付专用账户（如果有）：</w:t>
      </w:r>
      <w:r>
        <w:rPr>
          <w:rFonts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lang w:eastAsia="zh-CN"/>
          <w14:textFill>
            <w14:solidFill>
              <w14:schemeClr w14:val="tx1"/>
            </w14:solidFill>
          </w14:textFill>
        </w:rPr>
        <w:t>/</w:t>
      </w:r>
      <w:r>
        <w:rPr>
          <w:rFonts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139D147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工程款中的工人工资款比例：</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0C276E1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其中：每一期工程进度款中的工人工资款比例：</w:t>
      </w:r>
      <w:r>
        <w:rPr>
          <w:rFonts w:hint="eastAsia" w:ascii="仿宋" w:hAnsi="仿宋" w:eastAsia="仿宋" w:cs="仿宋"/>
          <w:color w:val="000000" w:themeColor="text1"/>
          <w:highlight w:val="none"/>
          <w:u w:val="single"/>
          <w:lang w:eastAsia="zh-CN"/>
          <w14:textFill>
            <w14:solidFill>
              <w14:schemeClr w14:val="tx1"/>
            </w14:solidFill>
          </w14:textFill>
        </w:rPr>
        <w:t xml:space="preserve"> 15%</w:t>
      </w:r>
      <w:r>
        <w:rPr>
          <w:rFonts w:hint="eastAsia" w:ascii="仿宋" w:hAnsi="仿宋" w:eastAsia="仿宋" w:cs="仿宋"/>
          <w:color w:val="000000" w:themeColor="text1"/>
          <w:highlight w:val="none"/>
          <w:lang w:eastAsia="zh-CN"/>
          <w14:textFill>
            <w14:solidFill>
              <w14:schemeClr w14:val="tx1"/>
            </w14:solidFill>
          </w14:textFill>
        </w:rPr>
        <w:t>。</w:t>
      </w:r>
    </w:p>
    <w:p w14:paraId="5FB7B6DB">
      <w:pPr>
        <w:spacing w:line="360" w:lineRule="auto"/>
        <w:ind w:firstLine="1200" w:firstLineChars="5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工人工资支付周期：</w:t>
      </w:r>
      <w:r>
        <w:rPr>
          <w:rFonts w:hint="eastAsia" w:ascii="仿宋" w:hAnsi="仿宋" w:eastAsia="仿宋" w:cs="仿宋"/>
          <w:color w:val="000000" w:themeColor="text1"/>
          <w:highlight w:val="none"/>
          <w:u w:val="single"/>
          <w:lang w:eastAsia="zh-CN"/>
          <w14:textFill>
            <w14:solidFill>
              <w14:schemeClr w14:val="tx1"/>
            </w14:solidFill>
          </w14:textFill>
        </w:rPr>
        <w:t>按月支付</w:t>
      </w:r>
      <w:r>
        <w:rPr>
          <w:rFonts w:hint="eastAsia" w:ascii="仿宋" w:hAnsi="仿宋" w:eastAsia="仿宋" w:cs="仿宋"/>
          <w:color w:val="000000" w:themeColor="text1"/>
          <w:highlight w:val="none"/>
          <w:lang w:eastAsia="zh-CN"/>
          <w14:textFill>
            <w14:solidFill>
              <w14:schemeClr w14:val="tx1"/>
            </w14:solidFill>
          </w14:textFill>
        </w:rPr>
        <w:t>。</w:t>
      </w:r>
    </w:p>
    <w:p w14:paraId="25EEE07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承包人已确认上述约定工程款中的工人工资款比例能满足本工程项目的工人工资支付。</w:t>
      </w:r>
    </w:p>
    <w:p w14:paraId="582677E5">
      <w:pPr>
        <w:spacing w:line="360" w:lineRule="auto"/>
        <w:ind w:firstLine="480" w:firstLineChars="200"/>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建筑安装工程费支付专用账户开设的约定内容：</w:t>
      </w:r>
      <w:r>
        <w:rPr>
          <w:rFonts w:hint="eastAsia" w:ascii="仿宋" w:hAnsi="仿宋" w:eastAsia="仿宋" w:cs="仿宋"/>
          <w:color w:val="000000" w:themeColor="text1"/>
          <w:highlight w:val="none"/>
          <w:u w:val="single"/>
          <w:lang w:eastAsia="zh-CN"/>
          <w14:textFill>
            <w14:solidFill>
              <w14:schemeClr w14:val="tx1"/>
            </w14:solidFill>
          </w14:textFill>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w:t>
      </w:r>
      <w:r>
        <w:rPr>
          <w:rFonts w:hint="eastAsia" w:ascii="仿宋" w:hAnsi="仿宋" w:eastAsia="仿宋" w:cs="仿宋"/>
          <w:color w:val="000000" w:themeColor="text1"/>
          <w:highlight w:val="none"/>
          <w:lang w:eastAsia="zh-CN"/>
          <w14:textFill>
            <w14:solidFill>
              <w14:schemeClr w14:val="tx1"/>
            </w14:solidFill>
          </w14:textFill>
        </w:rPr>
        <w:t>。</w:t>
      </w:r>
    </w:p>
    <w:p w14:paraId="56D2624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建筑安装工程费支付专用账户开户银行（如果有）：</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6011590B">
      <w:pPr>
        <w:spacing w:line="360" w:lineRule="auto"/>
        <w:ind w:firstLine="46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建筑安装工程费支付专用账户（如果有）：</w:t>
      </w:r>
    </w:p>
    <w:p w14:paraId="1491E2A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建筑安装工程费中的工程材料、工程设备款比例：</w:t>
      </w:r>
    </w:p>
    <w:p w14:paraId="3BAFCF9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其中：每一期建筑安装工程费的工程进度款中的工程材料、工程设备款比例。</w:t>
      </w:r>
    </w:p>
    <w:p w14:paraId="62BCC2C7">
      <w:pPr>
        <w:spacing w:line="360" w:lineRule="auto"/>
        <w:ind w:firstLine="1200" w:firstLineChars="5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工程材料、工程设备款支付周期：。</w:t>
      </w:r>
    </w:p>
    <w:p w14:paraId="7E893916">
      <w:pPr>
        <w:spacing w:line="360" w:lineRule="auto"/>
        <w:ind w:firstLine="46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承包人已确认上述约定建筑安装工程费中的工程材料、工程设备款比例能满足本工程项目的工程材料、工程设备款支付。</w:t>
      </w:r>
    </w:p>
    <w:p w14:paraId="715FF74D">
      <w:pPr>
        <w:pStyle w:val="40"/>
        <w:tabs>
          <w:tab w:val="left" w:pos="1260"/>
        </w:tabs>
        <w:spacing w:line="360" w:lineRule="auto"/>
        <w:ind w:firstLine="520" w:firstLineChars="217"/>
        <w:rPr>
          <w:rFonts w:ascii="仿宋" w:hAnsi="仿宋" w:eastAsia="仿宋"/>
          <w:color w:val="000000" w:themeColor="text1"/>
          <w:sz w:val="24"/>
          <w:szCs w:val="24"/>
          <w:highlight w:val="none"/>
          <w:lang w:eastAsia="zh-CN"/>
          <w14:textFill>
            <w14:solidFill>
              <w14:schemeClr w14:val="tx1"/>
            </w14:solidFill>
          </w14:textFill>
        </w:rPr>
      </w:pPr>
      <w:bookmarkStart w:id="43" w:name="_Toc7309"/>
    </w:p>
    <w:p w14:paraId="099F3DFC">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44" w:name="_Toc32429"/>
      <w:bookmarkStart w:id="45" w:name="_Toc149731424"/>
      <w:r>
        <w:rPr>
          <w:rFonts w:hint="eastAsia" w:ascii="仿宋" w:hAnsi="仿宋" w:eastAsia="仿宋" w:cs="仿宋"/>
          <w:b/>
          <w:bCs/>
          <w:color w:val="000000" w:themeColor="text1"/>
          <w:highlight w:val="none"/>
          <w:lang w:eastAsia="zh-CN"/>
          <w14:textFill>
            <w14:solidFill>
              <w14:schemeClr w14:val="tx1"/>
            </w14:solidFill>
          </w14:textFill>
        </w:rPr>
        <w:t>十、组成合同的文件</w:t>
      </w:r>
      <w:bookmarkEnd w:id="43"/>
      <w:bookmarkEnd w:id="44"/>
      <w:bookmarkEnd w:id="45"/>
    </w:p>
    <w:p w14:paraId="3D19AD83">
      <w:pPr>
        <w:pStyle w:val="40"/>
        <w:tabs>
          <w:tab w:val="left" w:pos="1260"/>
        </w:tabs>
        <w:spacing w:line="360" w:lineRule="auto"/>
        <w:ind w:firstLine="480" w:firstLineChars="20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组成本合同的文件及其优先解释顺序与本合同第三部分《专用条款》第</w:t>
      </w:r>
      <w:r>
        <w:rPr>
          <w:rFonts w:ascii="仿宋" w:hAnsi="仿宋" w:eastAsia="仿宋" w:cs="仿宋"/>
          <w:color w:val="000000" w:themeColor="text1"/>
          <w:sz w:val="24"/>
          <w:szCs w:val="24"/>
          <w:highlight w:val="none"/>
          <w:lang w:eastAsia="zh-CN"/>
          <w14:textFill>
            <w14:solidFill>
              <w14:schemeClr w14:val="tx1"/>
            </w14:solidFill>
          </w14:textFill>
        </w:rPr>
        <w:t>2.2</w:t>
      </w:r>
      <w:r>
        <w:rPr>
          <w:rFonts w:hint="eastAsia" w:ascii="仿宋" w:hAnsi="仿宋" w:eastAsia="仿宋" w:cs="仿宋"/>
          <w:color w:val="000000" w:themeColor="text1"/>
          <w:sz w:val="24"/>
          <w:szCs w:val="24"/>
          <w:highlight w:val="none"/>
          <w:lang w:eastAsia="zh-CN"/>
          <w14:textFill>
            <w14:solidFill>
              <w14:schemeClr w14:val="tx1"/>
            </w14:solidFill>
          </w14:textFill>
        </w:rPr>
        <w:t>款赋予的约定一致。</w:t>
      </w:r>
    </w:p>
    <w:p w14:paraId="1D224093">
      <w:pPr>
        <w:pStyle w:val="40"/>
        <w:tabs>
          <w:tab w:val="left" w:pos="1260"/>
        </w:tabs>
        <w:spacing w:line="360" w:lineRule="auto"/>
        <w:ind w:firstLine="520" w:firstLineChars="217"/>
        <w:rPr>
          <w:rFonts w:ascii="仿宋" w:hAnsi="仿宋" w:eastAsia="仿宋"/>
          <w:color w:val="000000" w:themeColor="text1"/>
          <w:sz w:val="24"/>
          <w:szCs w:val="24"/>
          <w:highlight w:val="none"/>
          <w:lang w:eastAsia="zh-CN"/>
          <w14:textFill>
            <w14:solidFill>
              <w14:schemeClr w14:val="tx1"/>
            </w14:solidFill>
          </w14:textFill>
        </w:rPr>
      </w:pPr>
    </w:p>
    <w:p w14:paraId="461413E7">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46" w:name="_Toc149731425"/>
      <w:bookmarkStart w:id="47" w:name="_Toc8857"/>
      <w:bookmarkStart w:id="48" w:name="_Toc24613"/>
      <w:r>
        <w:rPr>
          <w:rFonts w:hint="eastAsia" w:ascii="仿宋" w:hAnsi="仿宋" w:eastAsia="仿宋" w:cs="仿宋"/>
          <w:b/>
          <w:bCs/>
          <w:color w:val="000000" w:themeColor="text1"/>
          <w:highlight w:val="none"/>
          <w:lang w:eastAsia="zh-CN"/>
          <w14:textFill>
            <w14:solidFill>
              <w14:schemeClr w14:val="tx1"/>
            </w14:solidFill>
          </w14:textFill>
        </w:rPr>
        <w:t>十一、词语含义</w:t>
      </w:r>
      <w:bookmarkEnd w:id="46"/>
      <w:bookmarkEnd w:id="47"/>
      <w:bookmarkEnd w:id="48"/>
    </w:p>
    <w:p w14:paraId="0B4C7038">
      <w:pPr>
        <w:pStyle w:val="31"/>
        <w:spacing w:line="360" w:lineRule="auto"/>
        <w:ind w:firstLine="480" w:firstLineChars="20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本协议书中有关词语含义与本合同第二部分《通用条款》第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条赋予它们的定义相同。</w:t>
      </w:r>
    </w:p>
    <w:p w14:paraId="0E79CC05">
      <w:pPr>
        <w:pStyle w:val="31"/>
        <w:spacing w:line="360" w:lineRule="auto"/>
        <w:ind w:firstLine="480" w:firstLineChars="200"/>
        <w:rPr>
          <w:rFonts w:ascii="仿宋" w:hAnsi="仿宋" w:eastAsia="仿宋"/>
          <w:color w:val="000000" w:themeColor="text1"/>
          <w:sz w:val="24"/>
          <w:szCs w:val="24"/>
          <w:highlight w:val="none"/>
          <w:lang w:eastAsia="zh-CN"/>
          <w14:textFill>
            <w14:solidFill>
              <w14:schemeClr w14:val="tx1"/>
            </w14:solidFill>
          </w14:textFill>
        </w:rPr>
      </w:pPr>
    </w:p>
    <w:p w14:paraId="71948DB7">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49" w:name="_Toc23335"/>
      <w:bookmarkStart w:id="50" w:name="_Toc149731426"/>
      <w:bookmarkStart w:id="51" w:name="_Toc3491"/>
      <w:r>
        <w:rPr>
          <w:rFonts w:hint="eastAsia" w:ascii="仿宋" w:hAnsi="仿宋" w:eastAsia="仿宋" w:cs="仿宋"/>
          <w:b/>
          <w:bCs/>
          <w:color w:val="000000" w:themeColor="text1"/>
          <w:highlight w:val="none"/>
          <w:lang w:eastAsia="zh-CN"/>
          <w14:textFill>
            <w14:solidFill>
              <w14:schemeClr w14:val="tx1"/>
            </w14:solidFill>
          </w14:textFill>
        </w:rPr>
        <w:t>十二、承诺</w:t>
      </w:r>
      <w:bookmarkEnd w:id="49"/>
      <w:bookmarkEnd w:id="50"/>
      <w:bookmarkEnd w:id="51"/>
    </w:p>
    <w:p w14:paraId="6B0DA4A2">
      <w:pPr>
        <w:widowControl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0571BE2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承包人承诺已阅读、理解并接受本合同所有条款，按照法律规定及合同约定组织完成勘察、设计、采购、施工或设计、施工等阶段总承包内容，并对工程的质量、安全、工期和造价等全面负责，不进行转包及违法分包，履行本合同所约定的全部义务。</w:t>
      </w:r>
    </w:p>
    <w:p w14:paraId="7797EBC0">
      <w:pPr>
        <w:spacing w:line="360" w:lineRule="auto"/>
        <w:ind w:firstLine="523" w:firstLineChars="218"/>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w:t>
      </w:r>
      <w:r>
        <w:rPr>
          <w:rFonts w:hint="eastAsia" w:ascii="仿宋" w:hAnsi="仿宋" w:eastAsia="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承包人如为联合体，联合体牵头单位须对本合同项目的勘察、设计、施工进度、质量、安全、投资控制、管理等进行全面协调管理工作，具体详见合同通用条款及专用条款第</w:t>
      </w:r>
      <w:r>
        <w:rPr>
          <w:rFonts w:ascii="仿宋" w:hAnsi="仿宋" w:eastAsia="仿宋" w:cs="仿宋"/>
          <w:color w:val="000000" w:themeColor="text1"/>
          <w:highlight w:val="none"/>
          <w:lang w:eastAsia="zh-CN"/>
          <w14:textFill>
            <w14:solidFill>
              <w14:schemeClr w14:val="tx1"/>
            </w14:solidFill>
          </w14:textFill>
        </w:rPr>
        <w:t>19条约定</w:t>
      </w:r>
      <w:r>
        <w:rPr>
          <w:rFonts w:hint="eastAsia" w:ascii="仿宋" w:hAnsi="仿宋" w:eastAsia="仿宋" w:cs="仿宋"/>
          <w:color w:val="000000" w:themeColor="text1"/>
          <w:highlight w:val="none"/>
          <w:lang w:eastAsia="zh-CN"/>
          <w14:textFill>
            <w14:solidFill>
              <w14:schemeClr w14:val="tx1"/>
            </w14:solidFill>
          </w14:textFill>
        </w:rPr>
        <w:t>。</w:t>
      </w:r>
    </w:p>
    <w:p w14:paraId="1A3C16F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p>
    <w:p w14:paraId="0E48EE80">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52" w:name="_Toc149731427"/>
      <w:bookmarkStart w:id="53" w:name="_Toc674"/>
      <w:bookmarkStart w:id="54" w:name="_Toc19250"/>
      <w:r>
        <w:rPr>
          <w:rFonts w:hint="eastAsia" w:ascii="仿宋" w:hAnsi="仿宋" w:eastAsia="仿宋" w:cs="仿宋"/>
          <w:b/>
          <w:bCs/>
          <w:color w:val="000000" w:themeColor="text1"/>
          <w:highlight w:val="none"/>
          <w:lang w:eastAsia="zh-CN"/>
          <w14:textFill>
            <w14:solidFill>
              <w14:schemeClr w14:val="tx1"/>
            </w14:solidFill>
          </w14:textFill>
        </w:rPr>
        <w:t>十三、合同生效</w:t>
      </w:r>
      <w:bookmarkEnd w:id="52"/>
      <w:bookmarkEnd w:id="53"/>
      <w:bookmarkEnd w:id="54"/>
    </w:p>
    <w:p w14:paraId="1EF25AE6">
      <w:pPr>
        <w:spacing w:line="360" w:lineRule="auto"/>
        <w:ind w:left="52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本合同订立时间：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2025 </w:t>
      </w:r>
      <w:r>
        <w:rPr>
          <w:rFonts w:hint="eastAsia" w:ascii="仿宋" w:hAnsi="仿宋" w:eastAsia="仿宋" w:cs="仿宋"/>
          <w:color w:val="000000" w:themeColor="text1"/>
          <w:highlight w:val="none"/>
          <w:lang w:eastAsia="zh-CN"/>
          <w14:textFill>
            <w14:solidFill>
              <w14:schemeClr w14:val="tx1"/>
            </w14:solidFill>
          </w14:textFill>
        </w:rPr>
        <w:t>年</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月</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日</w:t>
      </w:r>
    </w:p>
    <w:p w14:paraId="5295FE73">
      <w:pPr>
        <w:spacing w:line="360" w:lineRule="auto"/>
        <w:ind w:left="52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本合同订立地点：</w:t>
      </w:r>
      <w:r>
        <w:rPr>
          <w:rFonts w:hint="eastAsia" w:ascii="仿宋" w:hAnsi="仿宋" w:eastAsia="仿宋" w:cs="仿宋"/>
          <w:color w:val="000000" w:themeColor="text1"/>
          <w:highlight w:val="none"/>
          <w:u w:val="single"/>
          <w:lang w:eastAsia="zh-CN"/>
          <w14:textFill>
            <w14:solidFill>
              <w14:schemeClr w14:val="tx1"/>
            </w14:solidFill>
          </w14:textFill>
        </w:rPr>
        <w:t>广州市</w:t>
      </w:r>
    </w:p>
    <w:p w14:paraId="5F4F53E6">
      <w:pPr>
        <w:spacing w:line="360" w:lineRule="auto"/>
        <w:ind w:left="52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合同双方当事人约定本合同自双方签字盖章后生效。</w:t>
      </w:r>
    </w:p>
    <w:p w14:paraId="01527B65">
      <w:pPr>
        <w:spacing w:line="360" w:lineRule="auto"/>
        <w:rPr>
          <w:rFonts w:ascii="仿宋" w:hAnsi="仿宋" w:eastAsia="仿宋" w:cs="仿宋"/>
          <w:b/>
          <w:bCs/>
          <w:color w:val="000000" w:themeColor="text1"/>
          <w:highlight w:val="none"/>
          <w:lang w:eastAsia="zh-CN"/>
          <w14:textFill>
            <w14:solidFill>
              <w14:schemeClr w14:val="tx1"/>
            </w14:solidFill>
          </w14:textFill>
        </w:rPr>
      </w:pPr>
    </w:p>
    <w:p w14:paraId="54548730">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55" w:name="_Toc149731428"/>
      <w:bookmarkStart w:id="56" w:name="_Toc137"/>
      <w:bookmarkStart w:id="57" w:name="_Toc23454"/>
      <w:r>
        <w:rPr>
          <w:rFonts w:hint="eastAsia" w:ascii="仿宋" w:hAnsi="仿宋" w:eastAsia="仿宋" w:cs="仿宋"/>
          <w:b/>
          <w:bCs/>
          <w:color w:val="000000" w:themeColor="text1"/>
          <w:highlight w:val="none"/>
          <w:lang w:eastAsia="zh-CN"/>
          <w14:textFill>
            <w14:solidFill>
              <w14:schemeClr w14:val="tx1"/>
            </w14:solidFill>
          </w14:textFill>
        </w:rPr>
        <w:t>十四、合同份数</w:t>
      </w:r>
      <w:bookmarkEnd w:id="55"/>
      <w:bookmarkEnd w:id="56"/>
      <w:bookmarkEnd w:id="57"/>
    </w:p>
    <w:p w14:paraId="49D330C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Cs/>
          <w:snapToGrid w:val="0"/>
          <w:color w:val="000000" w:themeColor="text1"/>
          <w:highlight w:val="none"/>
          <w:lang w:eastAsia="zh-CN"/>
          <w14:textFill>
            <w14:solidFill>
              <w14:schemeClr w14:val="tx1"/>
            </w14:solidFill>
          </w14:textFill>
        </w:rPr>
        <w:t>本合同正本一式</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份，各方执</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份；副本</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份，各方执</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w:t>
      </w:r>
      <w:r>
        <w:rPr>
          <w:rFonts w:hint="eastAsia" w:ascii="仿宋" w:hAnsi="仿宋" w:eastAsia="仿宋" w:cs="仿宋"/>
          <w:color w:val="000000" w:themeColor="text1"/>
          <w:highlight w:val="none"/>
          <w:lang w:eastAsia="zh-CN"/>
          <w14:textFill>
            <w14:solidFill>
              <w14:schemeClr w14:val="tx1"/>
            </w14:solidFill>
          </w14:textFill>
        </w:rPr>
        <w:t>。合同正、副本具有同等法律效力，若合同副本与正本的表述不一致时，以合同正本为准。</w:t>
      </w:r>
    </w:p>
    <w:p w14:paraId="46041126">
      <w:pPr>
        <w:rPr>
          <w:rFonts w:ascii="仿宋" w:hAnsi="仿宋" w:eastAsia="仿宋" w:cs="宋体"/>
          <w:b/>
          <w:bCs/>
          <w:color w:val="000000" w:themeColor="text1"/>
          <w:highlight w:val="none"/>
          <w:lang w:eastAsia="zh-CN"/>
          <w14:textFill>
            <w14:solidFill>
              <w14:schemeClr w14:val="tx1"/>
            </w14:solidFill>
          </w14:textFill>
        </w:rPr>
      </w:pPr>
      <w:r>
        <w:rPr>
          <w:rFonts w:hint="eastAsia" w:ascii="仿宋" w:hAnsi="仿宋" w:eastAsia="仿宋" w:cs="宋体"/>
          <w:b/>
          <w:bCs/>
          <w:color w:val="000000" w:themeColor="text1"/>
          <w:highlight w:val="none"/>
          <w:lang w:eastAsia="zh-CN"/>
          <w14:textFill>
            <w14:solidFill>
              <w14:schemeClr w14:val="tx1"/>
            </w14:solidFill>
          </w14:textFill>
        </w:rPr>
        <w:br w:type="page"/>
      </w:r>
    </w:p>
    <w:p w14:paraId="2512AF21">
      <w:pPr>
        <w:spacing w:after="120" w:line="276" w:lineRule="auto"/>
        <w:rPr>
          <w:rFonts w:ascii="仿宋" w:hAnsi="仿宋" w:eastAsia="仿宋" w:cs="宋体"/>
          <w:b/>
          <w:bCs/>
          <w:color w:val="000000" w:themeColor="text1"/>
          <w:highlight w:val="none"/>
          <w:lang w:eastAsia="zh-CN"/>
          <w14:textFill>
            <w14:solidFill>
              <w14:schemeClr w14:val="tx1"/>
            </w14:solidFill>
          </w14:textFill>
        </w:rPr>
      </w:pPr>
      <w:r>
        <w:rPr>
          <w:rFonts w:hint="eastAsia" w:ascii="仿宋" w:hAnsi="仿宋" w:eastAsia="仿宋" w:cs="宋体"/>
          <w:b/>
          <w:bCs/>
          <w:color w:val="000000" w:themeColor="text1"/>
          <w:highlight w:val="none"/>
          <w:lang w:eastAsia="zh-CN"/>
          <w14:textFill>
            <w14:solidFill>
              <w14:schemeClr w14:val="tx1"/>
            </w14:solidFill>
          </w14:textFill>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1246B84D">
        <w:tblPrEx>
          <w:tblCellMar>
            <w:top w:w="0" w:type="dxa"/>
            <w:left w:w="108" w:type="dxa"/>
            <w:bottom w:w="0" w:type="dxa"/>
            <w:right w:w="108" w:type="dxa"/>
          </w:tblCellMar>
        </w:tblPrEx>
        <w:trPr>
          <w:trHeight w:val="90" w:hRule="atLeast"/>
          <w:jc w:val="center"/>
        </w:trPr>
        <w:tc>
          <w:tcPr>
            <w:tcW w:w="4697" w:type="dxa"/>
            <w:noWrap/>
          </w:tcPr>
          <w:p w14:paraId="58D55409">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snapToGrid w:val="0"/>
                <w:color w:val="000000" w:themeColor="text1"/>
                <w:kern w:val="0"/>
                <w:sz w:val="24"/>
                <w:highlight w:val="none"/>
                <w14:textFill>
                  <w14:solidFill>
                    <w14:schemeClr w14:val="tx1"/>
                  </w14:solidFill>
                </w14:textFill>
              </w:rPr>
              <w:br w:type="page"/>
            </w:r>
            <w:r>
              <w:rPr>
                <w:rFonts w:hint="eastAsia" w:ascii="仿宋" w:hAnsi="仿宋" w:eastAsia="仿宋" w:cs="仿宋"/>
                <w:color w:val="000000" w:themeColor="text1"/>
                <w:sz w:val="24"/>
                <w:highlight w:val="none"/>
                <w14:textFill>
                  <w14:solidFill>
                    <w14:schemeClr w14:val="tx1"/>
                  </w14:solidFill>
                </w14:textFill>
              </w:rPr>
              <w:t>发包人：（盖章）</w:t>
            </w:r>
          </w:p>
          <w:p w14:paraId="0B05CF50">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广州新中轴海珠片区城市更新有限公司</w:t>
            </w:r>
          </w:p>
          <w:p w14:paraId="78EEF511">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统一社会信用代码：</w:t>
            </w:r>
          </w:p>
          <w:p w14:paraId="023C988C">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p>
          <w:p w14:paraId="69B4E0A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w:t>
            </w:r>
          </w:p>
          <w:p w14:paraId="5B1ACCBE">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14:paraId="2E2D8BB6">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p>
          <w:p w14:paraId="2455942B">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电话：</w:t>
            </w:r>
          </w:p>
          <w:p w14:paraId="0222014E">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6D98ABFB">
            <w:pPr>
              <w:pStyle w:val="648"/>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w:t>
            </w:r>
          </w:p>
          <w:p w14:paraId="150AA131">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账号：</w:t>
            </w:r>
          </w:p>
          <w:p w14:paraId="53D699A9">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邮政编码：</w:t>
            </w:r>
          </w:p>
          <w:p w14:paraId="6AD1BF75">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电子邮箱：</w:t>
            </w:r>
          </w:p>
        </w:tc>
        <w:tc>
          <w:tcPr>
            <w:tcW w:w="4698" w:type="dxa"/>
            <w:noWrap/>
          </w:tcPr>
          <w:p w14:paraId="0BAAEE42">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承包人（单一承包人或联合体牵头单位）：（盖章）</w:t>
            </w:r>
          </w:p>
          <w:p w14:paraId="37830C1B">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统一社会信用代码：</w:t>
            </w:r>
          </w:p>
          <w:p w14:paraId="39742F24">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p>
          <w:p w14:paraId="39414EEC">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w:t>
            </w:r>
          </w:p>
          <w:p w14:paraId="197D7B38">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14:paraId="7DECD1C1">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p>
          <w:p w14:paraId="0137E515">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电话：</w:t>
            </w:r>
          </w:p>
          <w:p w14:paraId="585C15CB">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5FBCEB4E">
            <w:pPr>
              <w:pStyle w:val="648"/>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w:t>
            </w:r>
          </w:p>
          <w:p w14:paraId="6D9BFD7A">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账号：</w:t>
            </w:r>
          </w:p>
          <w:p w14:paraId="145831FA">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邮政编码：</w:t>
            </w:r>
          </w:p>
          <w:p w14:paraId="1681F2A7">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电子邮箱：</w:t>
            </w:r>
          </w:p>
        </w:tc>
      </w:tr>
      <w:tr w14:paraId="08F34556">
        <w:tblPrEx>
          <w:tblCellMar>
            <w:top w:w="0" w:type="dxa"/>
            <w:left w:w="108" w:type="dxa"/>
            <w:bottom w:w="0" w:type="dxa"/>
            <w:right w:w="108" w:type="dxa"/>
          </w:tblCellMar>
        </w:tblPrEx>
        <w:trPr>
          <w:trHeight w:val="795" w:hRule="atLeast"/>
          <w:jc w:val="center"/>
        </w:trPr>
        <w:tc>
          <w:tcPr>
            <w:tcW w:w="4697" w:type="dxa"/>
            <w:noWrap/>
          </w:tcPr>
          <w:p w14:paraId="3E192E5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p>
          <w:p w14:paraId="6713038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承包人（联合体成员单位）：（盖章）</w:t>
            </w:r>
          </w:p>
          <w:p w14:paraId="5F7A9EDE">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p>
          <w:p w14:paraId="7E2D8229">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统一社会信用代码：</w:t>
            </w:r>
          </w:p>
          <w:p w14:paraId="32E76518">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p>
          <w:p w14:paraId="721E097B">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w:t>
            </w:r>
          </w:p>
          <w:p w14:paraId="055EA3A1">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14:paraId="1AB8195A">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p>
          <w:p w14:paraId="23B15E9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电话：</w:t>
            </w:r>
          </w:p>
          <w:p w14:paraId="6685EED0">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3B27915B">
            <w:pPr>
              <w:pStyle w:val="648"/>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w:t>
            </w:r>
          </w:p>
          <w:p w14:paraId="78002A32">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账号：</w:t>
            </w:r>
          </w:p>
          <w:p w14:paraId="395FADB6">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邮政编码：</w:t>
            </w:r>
          </w:p>
          <w:p w14:paraId="2697E82D">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电子邮箱：</w:t>
            </w:r>
          </w:p>
        </w:tc>
        <w:tc>
          <w:tcPr>
            <w:tcW w:w="4698" w:type="dxa"/>
            <w:noWrap/>
          </w:tcPr>
          <w:p w14:paraId="2CB2BDA5">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p>
          <w:p w14:paraId="60223EBA">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承包人（联合体成员单位）：（盖章）</w:t>
            </w:r>
          </w:p>
          <w:p w14:paraId="1CCD52F8">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p>
          <w:p w14:paraId="0BF4AF11">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统一社会信用代码：</w:t>
            </w:r>
          </w:p>
          <w:p w14:paraId="44ECD0C7">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p>
          <w:p w14:paraId="4C12459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w:t>
            </w:r>
          </w:p>
          <w:p w14:paraId="7403E5BA">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14:paraId="5490FBCB">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p>
          <w:p w14:paraId="591871E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电话：</w:t>
            </w:r>
          </w:p>
          <w:p w14:paraId="19D5F4D3">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401DF095">
            <w:pPr>
              <w:pStyle w:val="648"/>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w:t>
            </w:r>
          </w:p>
          <w:p w14:paraId="57A36B3B">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账号：</w:t>
            </w:r>
          </w:p>
          <w:p w14:paraId="33558DE0">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邮政编码：</w:t>
            </w:r>
          </w:p>
          <w:p w14:paraId="7430A33D">
            <w:pPr>
              <w:pStyle w:val="647"/>
              <w:tabs>
                <w:tab w:val="left" w:pos="3420"/>
                <w:tab w:val="left" w:pos="3600"/>
              </w:tabs>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电子邮箱：</w:t>
            </w:r>
          </w:p>
        </w:tc>
      </w:tr>
    </w:tbl>
    <w:p w14:paraId="77B7B68D">
      <w:pPr>
        <w:rPr>
          <w:rFonts w:ascii="宋体" w:hAnsi="宋体" w:cs="宋体"/>
          <w:b/>
          <w:bCs/>
          <w:color w:val="000000" w:themeColor="text1"/>
          <w:sz w:val="36"/>
          <w:szCs w:val="36"/>
          <w:highlight w:val="none"/>
          <w:lang w:eastAsia="zh-CN"/>
          <w14:textFill>
            <w14:solidFill>
              <w14:schemeClr w14:val="tx1"/>
            </w14:solidFill>
          </w14:textFill>
        </w:rPr>
      </w:pPr>
      <w:bookmarkStart w:id="58" w:name="_Toc149731429"/>
      <w:bookmarkStart w:id="59" w:name="_Toc469383978"/>
      <w:r>
        <w:rPr>
          <w:rFonts w:hint="eastAsia" w:ascii="宋体" w:hAnsi="宋体" w:cs="宋体"/>
          <w:b/>
          <w:bCs/>
          <w:color w:val="000000" w:themeColor="text1"/>
          <w:sz w:val="36"/>
          <w:szCs w:val="36"/>
          <w:highlight w:val="none"/>
          <w:lang w:eastAsia="zh-CN"/>
          <w14:textFill>
            <w14:solidFill>
              <w14:schemeClr w14:val="tx1"/>
            </w14:solidFill>
          </w14:textFill>
        </w:rPr>
        <w:br w:type="page"/>
      </w:r>
    </w:p>
    <w:p w14:paraId="5DE335E8">
      <w:pPr>
        <w:spacing w:line="360" w:lineRule="auto"/>
        <w:jc w:val="center"/>
        <w:outlineLvl w:val="0"/>
        <w:rPr>
          <w:rFonts w:ascii="宋体" w:hAnsi="宋体" w:cs="宋体"/>
          <w:b/>
          <w:bCs/>
          <w:color w:val="000000" w:themeColor="text1"/>
          <w:sz w:val="36"/>
          <w:szCs w:val="36"/>
          <w:highlight w:val="none"/>
          <w:lang w:eastAsia="zh-CN"/>
          <w14:textFill>
            <w14:solidFill>
              <w14:schemeClr w14:val="tx1"/>
            </w14:solidFill>
          </w14:textFill>
        </w:rPr>
      </w:pPr>
      <w:bookmarkStart w:id="60" w:name="_Toc30322"/>
      <w:r>
        <w:rPr>
          <w:rFonts w:hint="eastAsia" w:ascii="宋体" w:hAnsi="宋体" w:cs="宋体"/>
          <w:b/>
          <w:bCs/>
          <w:color w:val="000000" w:themeColor="text1"/>
          <w:sz w:val="36"/>
          <w:szCs w:val="36"/>
          <w:highlight w:val="none"/>
          <w:lang w:eastAsia="zh-CN"/>
          <w14:textFill>
            <w14:solidFill>
              <w14:schemeClr w14:val="tx1"/>
            </w14:solidFill>
          </w14:textFill>
        </w:rPr>
        <w:t xml:space="preserve">第二部分 </w:t>
      </w:r>
      <w:r>
        <w:rPr>
          <w:rFonts w:ascii="宋体" w:hAnsi="宋体" w:cs="宋体"/>
          <w:b/>
          <w:bCs/>
          <w:color w:val="000000" w:themeColor="text1"/>
          <w:sz w:val="36"/>
          <w:szCs w:val="36"/>
          <w:highlight w:val="none"/>
          <w:lang w:eastAsia="zh-CN"/>
          <w14:textFill>
            <w14:solidFill>
              <w14:schemeClr w14:val="tx1"/>
            </w14:solidFill>
          </w14:textFill>
        </w:rPr>
        <w:t xml:space="preserve"> </w:t>
      </w:r>
      <w:r>
        <w:rPr>
          <w:rFonts w:hint="eastAsia" w:ascii="宋体" w:hAnsi="宋体" w:cs="宋体"/>
          <w:b/>
          <w:bCs/>
          <w:color w:val="000000" w:themeColor="text1"/>
          <w:sz w:val="36"/>
          <w:szCs w:val="36"/>
          <w:highlight w:val="none"/>
          <w:lang w:eastAsia="zh-CN"/>
          <w14:textFill>
            <w14:solidFill>
              <w14:schemeClr w14:val="tx1"/>
            </w14:solidFill>
          </w14:textFill>
        </w:rPr>
        <w:t>通用条款</w:t>
      </w:r>
      <w:bookmarkEnd w:id="58"/>
      <w:bookmarkEnd w:id="59"/>
      <w:bookmarkEnd w:id="60"/>
    </w:p>
    <w:p w14:paraId="7097FAB1">
      <w:pPr>
        <w:pStyle w:val="40"/>
        <w:adjustRightInd w:val="0"/>
        <w:snapToGrid w:val="0"/>
        <w:rPr>
          <w:rFonts w:hAnsi="宋体"/>
          <w:color w:val="000000" w:themeColor="text1"/>
          <w:sz w:val="32"/>
          <w:szCs w:val="32"/>
          <w:highlight w:val="none"/>
          <w:lang w:eastAsia="zh-CN"/>
          <w14:textFill>
            <w14:solidFill>
              <w14:schemeClr w14:val="tx1"/>
            </w14:solidFill>
          </w14:textFill>
        </w:rPr>
      </w:pPr>
    </w:p>
    <w:p w14:paraId="11794A58">
      <w:pPr>
        <w:pStyle w:val="40"/>
        <w:adjustRightInd w:val="0"/>
        <w:snapToGrid w:val="0"/>
        <w:jc w:val="center"/>
        <w:outlineLvl w:val="1"/>
        <w:rPr>
          <w:rFonts w:hAnsi="宋体"/>
          <w:b/>
          <w:bCs/>
          <w:color w:val="000000" w:themeColor="text1"/>
          <w:sz w:val="32"/>
          <w:szCs w:val="32"/>
          <w:highlight w:val="none"/>
          <w:lang w:eastAsia="zh-CN"/>
          <w14:textFill>
            <w14:solidFill>
              <w14:schemeClr w14:val="tx1"/>
            </w14:solidFill>
          </w14:textFill>
        </w:rPr>
      </w:pPr>
      <w:bookmarkStart w:id="61" w:name="_Toc2957"/>
      <w:bookmarkStart w:id="62" w:name="_Toc149731430"/>
      <w:bookmarkStart w:id="63" w:name="_Toc469383979"/>
      <w:r>
        <w:rPr>
          <w:rFonts w:hint="eastAsia" w:hAnsi="宋体"/>
          <w:b/>
          <w:bCs/>
          <w:color w:val="000000" w:themeColor="text1"/>
          <w:sz w:val="32"/>
          <w:szCs w:val="32"/>
          <w:highlight w:val="none"/>
          <w:lang w:eastAsia="zh-CN"/>
          <w14:textFill>
            <w14:solidFill>
              <w14:schemeClr w14:val="tx1"/>
            </w14:solidFill>
          </w14:textFill>
        </w:rPr>
        <w:t>一、总则</w:t>
      </w:r>
      <w:bookmarkEnd w:id="61"/>
      <w:bookmarkEnd w:id="62"/>
      <w:bookmarkEnd w:id="63"/>
    </w:p>
    <w:p w14:paraId="7525D720">
      <w:pPr>
        <w:pStyle w:val="40"/>
        <w:adjustRightInd w:val="0"/>
        <w:snapToGrid w:val="0"/>
        <w:spacing w:line="360" w:lineRule="auto"/>
        <w:jc w:val="center"/>
        <w:rPr>
          <w:rFonts w:hAnsi="宋体"/>
          <w:b/>
          <w:bCs/>
          <w:color w:val="000000" w:themeColor="text1"/>
          <w:sz w:val="32"/>
          <w:szCs w:val="32"/>
          <w:highlight w:val="none"/>
          <w:lang w:eastAsia="zh-CN"/>
          <w14:textFill>
            <w14:solidFill>
              <w14:schemeClr w14:val="tx1"/>
            </w14:solidFill>
          </w14:textFill>
        </w:rPr>
      </w:pPr>
    </w:p>
    <w:p w14:paraId="47BAD991">
      <w:pPr>
        <w:pStyle w:val="40"/>
        <w:widowControl w:val="0"/>
        <w:tabs>
          <w:tab w:val="left" w:pos="900"/>
          <w:tab w:val="left" w:pos="1080"/>
        </w:tabs>
        <w:spacing w:before="120" w:beforeLines="50" w:after="120" w:afterLines="50" w:line="360" w:lineRule="auto"/>
        <w:jc w:val="both"/>
        <w:outlineLvl w:val="2"/>
        <w:rPr>
          <w:rFonts w:ascii="仿宋" w:hAnsi="仿宋" w:eastAsia="仿宋"/>
          <w:b/>
          <w:bCs/>
          <w:color w:val="000000" w:themeColor="text1"/>
          <w:sz w:val="24"/>
          <w:szCs w:val="24"/>
          <w:highlight w:val="none"/>
          <w:lang w:eastAsia="zh-CN"/>
          <w14:textFill>
            <w14:solidFill>
              <w14:schemeClr w14:val="tx1"/>
            </w14:solidFill>
          </w14:textFill>
        </w:rPr>
      </w:pPr>
      <w:bookmarkStart w:id="64" w:name="_Toc149731431"/>
      <w:bookmarkStart w:id="65" w:name="_Toc469383980"/>
      <w:bookmarkStart w:id="66" w:name="_Toc22189"/>
      <w:r>
        <w:rPr>
          <w:rFonts w:ascii="仿宋" w:hAnsi="仿宋" w:eastAsia="仿宋" w:cs="仿宋"/>
          <w:b/>
          <w:bCs/>
          <w:color w:val="000000" w:themeColor="text1"/>
          <w:sz w:val="24"/>
          <w:szCs w:val="24"/>
          <w:highlight w:val="none"/>
          <w:lang w:eastAsia="zh-CN"/>
          <w14:textFill>
            <w14:solidFill>
              <w14:schemeClr w14:val="tx1"/>
            </w14:solidFill>
          </w14:textFill>
        </w:rPr>
        <w:t xml:space="preserve">1 </w:t>
      </w:r>
      <w:r>
        <w:rPr>
          <w:rFonts w:hint="eastAsia" w:ascii="仿宋" w:hAnsi="仿宋" w:eastAsia="仿宋" w:cs="仿宋"/>
          <w:b/>
          <w:bCs/>
          <w:color w:val="000000" w:themeColor="text1"/>
          <w:sz w:val="24"/>
          <w:szCs w:val="24"/>
          <w:highlight w:val="none"/>
          <w:lang w:eastAsia="zh-CN"/>
          <w14:textFill>
            <w14:solidFill>
              <w14:schemeClr w14:val="tx1"/>
            </w14:solidFill>
          </w14:textFill>
        </w:rPr>
        <w:t>定义</w:t>
      </w:r>
      <w:bookmarkEnd w:id="64"/>
      <w:bookmarkEnd w:id="65"/>
      <w:bookmarkEnd w:id="66"/>
    </w:p>
    <w:p w14:paraId="66395BBA">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下列词语或措辞，除非特别说明，在本合同中均具有以下赋予的含义：</w:t>
      </w:r>
    </w:p>
    <w:p w14:paraId="4180D66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67" w:name="_Toc4774"/>
      <w:r>
        <w:rPr>
          <w:rFonts w:hint="eastAsia" w:ascii="仿宋" w:hAnsi="仿宋" w:eastAsia="仿宋" w:cs="仿宋"/>
          <w:b/>
          <w:bCs/>
          <w:color w:val="000000" w:themeColor="text1"/>
          <w:sz w:val="24"/>
          <w:szCs w:val="24"/>
          <w:highlight w:val="none"/>
          <w:lang w:eastAsia="zh-CN"/>
          <w14:textFill>
            <w14:solidFill>
              <w14:schemeClr w14:val="tx1"/>
            </w14:solidFill>
          </w14:textFill>
        </w:rPr>
        <w:t>1.1 合同文件</w:t>
      </w:r>
      <w:bookmarkEnd w:id="67"/>
    </w:p>
    <w:p w14:paraId="06AEBDA3">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1.1</w:t>
      </w:r>
      <w:r>
        <w:rPr>
          <w:rFonts w:hint="eastAsia" w:ascii="仿宋" w:hAnsi="仿宋" w:eastAsia="仿宋" w:cs="仿宋"/>
          <w:b/>
          <w:bCs/>
          <w:color w:val="000000" w:themeColor="text1"/>
          <w:sz w:val="24"/>
          <w:szCs w:val="24"/>
          <w:highlight w:val="none"/>
          <w:lang w:eastAsia="zh-CN"/>
          <w14:textFill>
            <w14:solidFill>
              <w14:schemeClr w14:val="tx1"/>
            </w14:solidFill>
          </w14:textFill>
        </w:rPr>
        <w:t>.1合同：</w:t>
      </w:r>
      <w:r>
        <w:rPr>
          <w:rFonts w:hint="eastAsia" w:ascii="仿宋" w:hAnsi="仿宋" w:eastAsia="仿宋" w:cs="仿宋"/>
          <w:color w:val="000000" w:themeColor="text1"/>
          <w:sz w:val="24"/>
          <w:szCs w:val="24"/>
          <w:highlight w:val="none"/>
          <w:lang w:eastAsia="zh-CN"/>
          <w14:textFill>
            <w14:solidFill>
              <w14:schemeClr w14:val="tx1"/>
            </w14:solidFill>
          </w14:textFill>
        </w:rPr>
        <w:t>指合同双方当事人为实施、完成并保修合同工程所订立的全部合同文件。合同文件由第</w:t>
      </w:r>
      <w:r>
        <w:rPr>
          <w:rFonts w:ascii="仿宋" w:hAnsi="仿宋" w:eastAsia="仿宋" w:cs="仿宋"/>
          <w:color w:val="000000" w:themeColor="text1"/>
          <w:sz w:val="24"/>
          <w:szCs w:val="24"/>
          <w:highlight w:val="none"/>
          <w:lang w:eastAsia="zh-CN"/>
          <w14:textFill>
            <w14:solidFill>
              <w14:schemeClr w14:val="tx1"/>
            </w14:solidFill>
          </w14:textFill>
        </w:rPr>
        <w:t>2.2</w:t>
      </w:r>
      <w:r>
        <w:rPr>
          <w:rFonts w:hint="eastAsia" w:ascii="仿宋" w:hAnsi="仿宋" w:eastAsia="仿宋" w:cs="仿宋"/>
          <w:color w:val="000000" w:themeColor="text1"/>
          <w:sz w:val="24"/>
          <w:szCs w:val="24"/>
          <w:highlight w:val="none"/>
          <w:lang w:eastAsia="zh-CN"/>
          <w14:textFill>
            <w14:solidFill>
              <w14:schemeClr w14:val="tx1"/>
            </w14:solidFill>
          </w14:textFill>
        </w:rPr>
        <w:t>款所列的文件组成。</w:t>
      </w:r>
    </w:p>
    <w:p w14:paraId="78ADC5D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r>
        <w:rPr>
          <w:rFonts w:hint="eastAsia" w:ascii="仿宋" w:hAnsi="仿宋" w:eastAsia="仿宋" w:cs="仿宋"/>
          <w:b/>
          <w:bCs/>
          <w:color w:val="000000" w:themeColor="text1"/>
          <w:sz w:val="24"/>
          <w:szCs w:val="24"/>
          <w:highlight w:val="none"/>
          <w:lang w:eastAsia="zh-CN"/>
          <w14:textFill>
            <w14:solidFill>
              <w14:schemeClr w14:val="tx1"/>
            </w14:solidFill>
          </w14:textFill>
        </w:rPr>
        <w:t>协议书：</w:t>
      </w:r>
      <w:r>
        <w:rPr>
          <w:rFonts w:hint="eastAsia" w:ascii="仿宋" w:hAnsi="仿宋" w:eastAsia="仿宋" w:cs="仿宋"/>
          <w:color w:val="000000" w:themeColor="text1"/>
          <w:sz w:val="24"/>
          <w:szCs w:val="24"/>
          <w:highlight w:val="none"/>
          <w:lang w:eastAsia="zh-CN"/>
          <w14:textFill>
            <w14:solidFill>
              <w14:schemeClr w14:val="tx1"/>
            </w14:solidFill>
          </w14:textFill>
        </w:rPr>
        <w:t>是指构成合同的由发包人和承包人共同签署的称为“协议书”的书面文件。</w:t>
      </w:r>
    </w:p>
    <w:p w14:paraId="3D8CC39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color w:val="000000" w:themeColor="text1"/>
          <w:sz w:val="24"/>
          <w:szCs w:val="24"/>
          <w:highlight w:val="none"/>
          <w:lang w:eastAsia="zh-CN"/>
          <w14:textFill>
            <w14:solidFill>
              <w14:schemeClr w14:val="tx1"/>
            </w14:solidFill>
          </w14:textFill>
        </w:rPr>
        <w:t>1.</w:t>
      </w:r>
      <w:r>
        <w:rPr>
          <w:rFonts w:hint="eastAsia" w:ascii="仿宋" w:hAnsi="仿宋" w:eastAsia="仿宋" w:cs="仿宋"/>
          <w:b/>
          <w:color w:val="000000" w:themeColor="text1"/>
          <w:sz w:val="24"/>
          <w:szCs w:val="24"/>
          <w:highlight w:val="none"/>
          <w:lang w:eastAsia="zh-CN"/>
          <w14:textFill>
            <w14:solidFill>
              <w14:schemeClr w14:val="tx1"/>
            </w14:solidFill>
          </w14:textFill>
        </w:rPr>
        <w:t>1.</w:t>
      </w:r>
      <w:r>
        <w:rPr>
          <w:rFonts w:ascii="仿宋" w:hAnsi="仿宋" w:eastAsia="仿宋" w:cs="仿宋"/>
          <w:b/>
          <w:color w:val="000000" w:themeColor="text1"/>
          <w:sz w:val="24"/>
          <w:szCs w:val="24"/>
          <w:highlight w:val="none"/>
          <w:lang w:eastAsia="zh-CN"/>
          <w14:textFill>
            <w14:solidFill>
              <w14:schemeClr w14:val="tx1"/>
            </w14:solidFill>
          </w14:textFill>
        </w:rPr>
        <w:t xml:space="preserve">3 </w:t>
      </w:r>
      <w:r>
        <w:rPr>
          <w:rFonts w:hint="eastAsia" w:ascii="仿宋" w:hAnsi="仿宋" w:eastAsia="仿宋" w:cs="仿宋"/>
          <w:b/>
          <w:color w:val="000000" w:themeColor="text1"/>
          <w:sz w:val="24"/>
          <w:szCs w:val="24"/>
          <w:highlight w:val="none"/>
          <w:lang w:eastAsia="zh-CN"/>
          <w14:textFill>
            <w14:solidFill>
              <w14:schemeClr w14:val="tx1"/>
            </w14:solidFill>
          </w14:textFill>
        </w:rPr>
        <w:t>通用条款：</w:t>
      </w:r>
      <w:r>
        <w:rPr>
          <w:rFonts w:hint="eastAsia" w:ascii="仿宋" w:hAnsi="仿宋" w:eastAsia="仿宋" w:cs="仿宋"/>
          <w:color w:val="000000" w:themeColor="text1"/>
          <w:sz w:val="24"/>
          <w:szCs w:val="24"/>
          <w:highlight w:val="none"/>
          <w:lang w:eastAsia="zh-CN"/>
          <w14:textFill>
            <w14:solidFill>
              <w14:schemeClr w14:val="tx1"/>
            </w14:solidFill>
          </w14:textFill>
        </w:rPr>
        <w:t>指根据法律、法规以及建设项目工程总承包管理的需要所订立的，是通用于建设工程设计、采购、施工或设计、施工等阶段总承包实施的基础性合同条款。</w:t>
      </w:r>
    </w:p>
    <w:p w14:paraId="5C377D7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1.1.4 专用条款：</w:t>
      </w:r>
      <w:r>
        <w:rPr>
          <w:rFonts w:hint="eastAsia" w:ascii="仿宋" w:hAnsi="仿宋" w:eastAsia="仿宋" w:cs="仿宋"/>
          <w:color w:val="000000" w:themeColor="text1"/>
          <w:sz w:val="24"/>
          <w:szCs w:val="24"/>
          <w:highlight w:val="none"/>
          <w:lang w:eastAsia="zh-CN"/>
          <w14:textFill>
            <w14:solidFill>
              <w14:schemeClr w14:val="tx1"/>
            </w14:solidFill>
          </w14:textFill>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57D6599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1.5中标通知书：</w:t>
      </w:r>
      <w:r>
        <w:rPr>
          <w:rFonts w:hint="eastAsia" w:ascii="仿宋" w:hAnsi="仿宋" w:eastAsia="仿宋" w:cs="仿宋"/>
          <w:color w:val="000000" w:themeColor="text1"/>
          <w:sz w:val="24"/>
          <w:szCs w:val="24"/>
          <w:highlight w:val="none"/>
          <w:lang w:eastAsia="zh-CN"/>
          <w14:textFill>
            <w14:solidFill>
              <w14:schemeClr w14:val="tx1"/>
            </w14:solidFill>
          </w14:textFill>
        </w:rPr>
        <w:t>是指构成合同的由发包人通知承包人中标的书面文件。中标通知书随附的澄清、说明、补正事项纪要等，是中标通知书的组成部分。</w:t>
      </w:r>
    </w:p>
    <w:p w14:paraId="5537B14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68" w:name="_Toc26352"/>
      <w:r>
        <w:rPr>
          <w:rFonts w:hint="eastAsia" w:ascii="仿宋" w:hAnsi="仿宋" w:eastAsia="仿宋" w:cs="仿宋"/>
          <w:b/>
          <w:bCs/>
          <w:color w:val="000000" w:themeColor="text1"/>
          <w:sz w:val="24"/>
          <w:szCs w:val="24"/>
          <w:highlight w:val="none"/>
          <w:lang w:eastAsia="zh-CN"/>
          <w14:textFill>
            <w14:solidFill>
              <w14:schemeClr w14:val="tx1"/>
            </w14:solidFill>
          </w14:textFill>
        </w:rPr>
        <w:t>1.2 技术文件</w:t>
      </w:r>
      <w:bookmarkEnd w:id="68"/>
    </w:p>
    <w:p w14:paraId="5498A5D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2.1标准、规范：</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指承包人实施工程总承包过程中应依法遵守的国家、行业或地方性标准与规范，以及本合同约定的其他技术标准与规范，构成合同的组成部分。由双方在专用条款中明确约定。</w:t>
      </w:r>
    </w:p>
    <w:p w14:paraId="7F1F1A0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1.2.2 《发包人要求》：</w:t>
      </w:r>
      <w:r>
        <w:rPr>
          <w:rFonts w:hint="eastAsia" w:ascii="仿宋" w:hAnsi="仿宋" w:eastAsia="仿宋" w:cs="仿宋"/>
          <w:color w:val="000000" w:themeColor="text1"/>
          <w:sz w:val="24"/>
          <w:szCs w:val="24"/>
          <w:highlight w:val="none"/>
          <w:lang w:eastAsia="zh-CN"/>
          <w14:textFill>
            <w14:solidFill>
              <w14:schemeClr w14:val="tx1"/>
            </w14:solidFill>
          </w14:textFill>
        </w:rPr>
        <w:t>指发包人就工程总承包范围与工程内容提出相应要求的书面文件，包括勘察、设计、BIM技术应用、采购、施工等方面，构成合同的组成部分。由双方在专用条款中明确约定。</w:t>
      </w:r>
    </w:p>
    <w:p w14:paraId="673627C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color w:val="000000" w:themeColor="text1"/>
          <w:sz w:val="24"/>
          <w:szCs w:val="24"/>
          <w:highlight w:val="none"/>
          <w:lang w:eastAsia="zh-CN"/>
          <w14:textFill>
            <w14:solidFill>
              <w14:schemeClr w14:val="tx1"/>
            </w14:solidFill>
          </w14:textFill>
        </w:rPr>
        <w:t>1</w:t>
      </w:r>
      <w:r>
        <w:rPr>
          <w:rFonts w:hint="eastAsia" w:ascii="仿宋" w:hAnsi="仿宋" w:eastAsia="仿宋" w:cs="仿宋"/>
          <w:b/>
          <w:color w:val="000000" w:themeColor="text1"/>
          <w:sz w:val="24"/>
          <w:szCs w:val="24"/>
          <w:highlight w:val="none"/>
          <w:lang w:eastAsia="zh-CN"/>
          <w14:textFill>
            <w14:solidFill>
              <w14:schemeClr w14:val="tx1"/>
            </w14:solidFill>
          </w14:textFill>
        </w:rPr>
        <w:t>.2.3项目基础资料：</w:t>
      </w:r>
      <w:r>
        <w:rPr>
          <w:rFonts w:hint="eastAsia" w:ascii="仿宋" w:hAnsi="仿宋" w:eastAsia="仿宋" w:cs="仿宋"/>
          <w:color w:val="000000" w:themeColor="text1"/>
          <w:sz w:val="24"/>
          <w:szCs w:val="24"/>
          <w:highlight w:val="none"/>
          <w:lang w:eastAsia="zh-CN"/>
          <w14:textFill>
            <w14:solidFill>
              <w14:schemeClr w14:val="tx1"/>
            </w14:solidFill>
          </w14:textFill>
        </w:rPr>
        <w:t>指按合同约定由发包人提供给承包人实施、完成工程总承包范围与工程内容所需的工程资料，构成合同的组成部分。发包人应提供的项目基础资料由双方在专用条款中明确约定。</w:t>
      </w:r>
    </w:p>
    <w:p w14:paraId="239FED5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2.4技术标：</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指承包人根据招标文件要求编制、签署并被发包人所接受的投标文件中技术部分及有效的澄清文件。</w:t>
      </w:r>
    </w:p>
    <w:p w14:paraId="4961988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69" w:name="_Toc28161"/>
      <w:r>
        <w:rPr>
          <w:rFonts w:hint="eastAsia" w:ascii="仿宋" w:hAnsi="仿宋" w:eastAsia="仿宋" w:cs="仿宋"/>
          <w:b/>
          <w:bCs/>
          <w:color w:val="000000" w:themeColor="text1"/>
          <w:sz w:val="24"/>
          <w:szCs w:val="24"/>
          <w:highlight w:val="none"/>
          <w:lang w:eastAsia="zh-CN"/>
          <w14:textFill>
            <w14:solidFill>
              <w14:schemeClr w14:val="tx1"/>
            </w14:solidFill>
          </w14:textFill>
        </w:rPr>
        <w:t>1.3 价格文件</w:t>
      </w:r>
      <w:bookmarkEnd w:id="69"/>
    </w:p>
    <w:p w14:paraId="402505B3">
      <w:pPr>
        <w:pStyle w:val="40"/>
        <w:widowControl w:val="0"/>
        <w:tabs>
          <w:tab w:val="left" w:pos="1260"/>
          <w:tab w:val="left" w:pos="2160"/>
        </w:tabs>
        <w:adjustRightInd w:val="0"/>
        <w:spacing w:before="120" w:beforeLines="50" w:line="360" w:lineRule="auto"/>
        <w:ind w:left="1850" w:leftChars="771"/>
        <w:jc w:val="both"/>
        <w:rPr>
          <w:rFonts w:ascii="仿宋" w:hAnsi="仿宋" w:eastAsia="仿宋"/>
          <w:b/>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b/>
          <w:color w:val="000000" w:themeColor="text1"/>
          <w:sz w:val="24"/>
          <w:szCs w:val="24"/>
          <w:highlight w:val="none"/>
          <w:lang w:eastAsia="zh-CN"/>
          <w14:textFill>
            <w14:solidFill>
              <w14:schemeClr w14:val="tx1"/>
            </w14:solidFill>
          </w14:textFill>
        </w:rPr>
        <w:t>3.1 签约合同价：</w:t>
      </w:r>
      <w:r>
        <w:rPr>
          <w:rFonts w:hint="eastAsia" w:ascii="仿宋" w:hAnsi="仿宋" w:eastAsia="仿宋"/>
          <w:color w:val="000000" w:themeColor="text1"/>
          <w:sz w:val="24"/>
          <w:szCs w:val="24"/>
          <w:highlight w:val="none"/>
          <w:lang w:eastAsia="zh-CN"/>
          <w14:textFill>
            <w14:solidFill>
              <w14:schemeClr w14:val="tx1"/>
            </w14:solidFill>
          </w14:textFill>
        </w:rPr>
        <w:t>是指发包人和承包人在合同协议书中确定的总金额，包括暂估价及暂列金额等。</w:t>
      </w:r>
    </w:p>
    <w:p w14:paraId="675886A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b/>
          <w:color w:val="000000" w:themeColor="text1"/>
          <w:sz w:val="24"/>
          <w:szCs w:val="24"/>
          <w:highlight w:val="none"/>
          <w:lang w:eastAsia="zh-CN"/>
          <w14:textFill>
            <w14:solidFill>
              <w14:schemeClr w14:val="tx1"/>
            </w14:solidFill>
          </w14:textFill>
        </w:rPr>
        <w:t>3.2 合同价格：</w:t>
      </w:r>
      <w:r>
        <w:rPr>
          <w:rFonts w:hint="eastAsia" w:ascii="仿宋" w:hAnsi="仿宋" w:eastAsia="仿宋"/>
          <w:color w:val="000000" w:themeColor="text1"/>
          <w:sz w:val="24"/>
          <w:szCs w:val="24"/>
          <w:highlight w:val="none"/>
          <w:lang w:eastAsia="zh-CN"/>
          <w14:textFill>
            <w14:solidFill>
              <w14:schemeClr w14:val="tx1"/>
            </w14:solidFill>
          </w14:textFill>
        </w:rPr>
        <w:t>是指发包人用于支付承包人按照合同约定完成承包范围内全部工作的金额，包括合同履行过程中按合同约定</w:t>
      </w:r>
      <w:r>
        <w:rPr>
          <w:rFonts w:hint="eastAsia" w:ascii="仿宋" w:hAnsi="仿宋" w:eastAsia="仿宋" w:cs="仿宋"/>
          <w:color w:val="000000" w:themeColor="text1"/>
          <w:sz w:val="24"/>
          <w:szCs w:val="24"/>
          <w:highlight w:val="none"/>
          <w:lang w:eastAsia="zh-CN"/>
          <w14:textFill>
            <w14:solidFill>
              <w14:schemeClr w14:val="tx1"/>
            </w14:solidFill>
          </w14:textFill>
        </w:rPr>
        <w:t>发生</w:t>
      </w:r>
      <w:r>
        <w:rPr>
          <w:rFonts w:hint="eastAsia" w:ascii="仿宋" w:hAnsi="仿宋" w:eastAsia="仿宋"/>
          <w:color w:val="000000" w:themeColor="text1"/>
          <w:sz w:val="24"/>
          <w:szCs w:val="24"/>
          <w:highlight w:val="none"/>
          <w:lang w:eastAsia="zh-CN"/>
          <w14:textFill>
            <w14:solidFill>
              <w14:schemeClr w14:val="tx1"/>
            </w14:solidFill>
          </w14:textFill>
        </w:rPr>
        <w:t>的价格变化。</w:t>
      </w:r>
    </w:p>
    <w:p w14:paraId="4A31D03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1.3.3 合同价格清单：</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740CAB6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3.4中标价格：</w:t>
      </w:r>
      <w:r>
        <w:rPr>
          <w:rFonts w:hint="eastAsia" w:ascii="仿宋" w:hAnsi="仿宋" w:eastAsia="仿宋" w:cs="仿宋"/>
          <w:color w:val="000000" w:themeColor="text1"/>
          <w:sz w:val="24"/>
          <w:szCs w:val="24"/>
          <w:highlight w:val="none"/>
          <w:lang w:eastAsia="zh-CN"/>
          <w14:textFill>
            <w14:solidFill>
              <w14:schemeClr w14:val="tx1"/>
            </w14:solidFill>
          </w14:textFill>
        </w:rPr>
        <w:t>指中标通知书中列明的，发包人接受中标人（承包人）完成工程总承包范围及工程内容并保修合同工程的价格。</w:t>
      </w:r>
    </w:p>
    <w:p w14:paraId="2517C8A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3.5经济标或报价文件：</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指承包人根据招标文件要求编制、签署，并被发包人所接受的投标文件中的经济标及有效的澄清文件。</w:t>
      </w:r>
    </w:p>
    <w:p w14:paraId="1C79D13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3.6费用或成本：</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指承包人履行本工程总承包合同过程中所发生或将发生的所有合理开支，包括管理费用或其他性质的合理开支，除合同专用条款及合同价格清单另有约定外，不包括利润和税金。</w:t>
      </w:r>
    </w:p>
    <w:p w14:paraId="085AF77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1.3.7 工程勘察费：</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指承包人完成合同约定的工程勘察工作向发包人收取的服务费。</w:t>
      </w:r>
    </w:p>
    <w:p w14:paraId="24D3EEE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1.3.8 工程设计费：</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指承包人完成合同约定的设计工作向发包人收取的服务费。</w:t>
      </w:r>
    </w:p>
    <w:p w14:paraId="71805AD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1.3.9 BIM技术应用费：</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指承包人完成合同约定的BIM技术服务内容和（或）利用BIM技术进行正向设计与建模（或建模与出图同步完成）、施工实施、造价管理、运营维护等向发包人收取的费用。</w:t>
      </w:r>
    </w:p>
    <w:p w14:paraId="64291AC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1.3.10 设备及工器具购置费：</w:t>
      </w:r>
      <w:r>
        <w:rPr>
          <w:rFonts w:hint="eastAsia" w:ascii="仿宋" w:hAnsi="仿宋" w:eastAsia="仿宋" w:cs="仿宋"/>
          <w:color w:val="000000" w:themeColor="text1"/>
          <w:sz w:val="24"/>
          <w:szCs w:val="24"/>
          <w:highlight w:val="none"/>
          <w:lang w:eastAsia="zh-CN"/>
          <w14:textFill>
            <w14:solidFill>
              <w14:schemeClr w14:val="tx1"/>
            </w14:solidFill>
          </w14:textFill>
        </w:rPr>
        <w:t>指合同约定由承包人负责为本项目提供发包人组织生产、运营、办公等所需设备及工器具的购置费用。</w:t>
      </w:r>
    </w:p>
    <w:p w14:paraId="17F450A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3.11 建筑安装工程费：</w:t>
      </w:r>
      <w:r>
        <w:rPr>
          <w:rFonts w:hint="eastAsia" w:ascii="仿宋" w:hAnsi="仿宋" w:eastAsia="仿宋" w:cs="仿宋"/>
          <w:bCs/>
          <w:color w:val="000000" w:themeColor="text1"/>
          <w:sz w:val="24"/>
          <w:szCs w:val="24"/>
          <w:highlight w:val="none"/>
          <w:lang w:eastAsia="zh-CN"/>
          <w14:textFill>
            <w14:solidFill>
              <w14:schemeClr w14:val="tx1"/>
            </w14:solidFill>
          </w14:textFill>
        </w:rPr>
        <w:t>指</w:t>
      </w:r>
      <w:r>
        <w:rPr>
          <w:rFonts w:hint="eastAsia" w:ascii="仿宋" w:hAnsi="仿宋" w:eastAsia="仿宋" w:cs="仿宋"/>
          <w:color w:val="000000" w:themeColor="text1"/>
          <w:sz w:val="24"/>
          <w:szCs w:val="24"/>
          <w:highlight w:val="none"/>
          <w:lang w:eastAsia="zh-CN"/>
          <w14:textFill>
            <w14:solidFill>
              <w14:schemeClr w14:val="tx1"/>
            </w14:solidFill>
          </w14:textFill>
        </w:rPr>
        <w:t>承包人按合同约定实施、完成并保修合同工程</w:t>
      </w:r>
      <w:r>
        <w:rPr>
          <w:rFonts w:hint="eastAsia" w:ascii="仿宋" w:hAnsi="仿宋" w:eastAsia="仿宋" w:cs="仿宋"/>
          <w:bCs/>
          <w:color w:val="000000" w:themeColor="text1"/>
          <w:sz w:val="24"/>
          <w:szCs w:val="24"/>
          <w:highlight w:val="none"/>
          <w:lang w:eastAsia="zh-CN"/>
          <w14:textFill>
            <w14:solidFill>
              <w14:schemeClr w14:val="tx1"/>
            </w14:solidFill>
          </w14:textFill>
        </w:rPr>
        <w:t>的施工费用</w:t>
      </w:r>
      <w:r>
        <w:rPr>
          <w:rFonts w:hint="eastAsia" w:ascii="仿宋" w:hAnsi="仿宋" w:eastAsia="仿宋" w:cs="仿宋"/>
          <w:color w:val="000000" w:themeColor="text1"/>
          <w:sz w:val="24"/>
          <w:szCs w:val="24"/>
          <w:highlight w:val="none"/>
          <w:lang w:eastAsia="zh-CN"/>
          <w14:textFill>
            <w14:solidFill>
              <w14:schemeClr w14:val="tx1"/>
            </w14:solidFill>
          </w14:textFill>
        </w:rPr>
        <w:t>。其中包含的</w:t>
      </w:r>
      <w:r>
        <w:rPr>
          <w:rFonts w:hint="eastAsia" w:ascii="仿宋" w:hAnsi="仿宋" w:eastAsia="仿宋" w:cs="仿宋"/>
          <w:bCs/>
          <w:color w:val="000000" w:themeColor="text1"/>
          <w:sz w:val="24"/>
          <w:szCs w:val="24"/>
          <w:highlight w:val="none"/>
          <w:lang w:eastAsia="zh-CN"/>
          <w14:textFill>
            <w14:solidFill>
              <w14:schemeClr w14:val="tx1"/>
            </w14:solidFill>
          </w14:textFill>
        </w:rPr>
        <w:t>分部分项工程费、措施项目费、税金的定义分述如下：</w:t>
      </w:r>
    </w:p>
    <w:p w14:paraId="12C7F2A3">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1.3.11.1分部分项工程费：</w:t>
      </w:r>
      <w:r>
        <w:rPr>
          <w:rFonts w:hint="eastAsia" w:ascii="仿宋" w:hAnsi="仿宋" w:eastAsia="仿宋" w:cs="仿宋"/>
          <w:color w:val="000000" w:themeColor="text1"/>
          <w:sz w:val="24"/>
          <w:szCs w:val="24"/>
          <w:highlight w:val="none"/>
          <w:lang w:eastAsia="zh-CN"/>
          <w14:textFill>
            <w14:solidFill>
              <w14:schemeClr w14:val="tx1"/>
            </w14:solidFill>
          </w14:textFill>
        </w:rPr>
        <w:t>指为实施、完成并保修合同工程，发生于永久工程实体项目所需的人工费、材料费、施工机具使用费、管理费、利润和风险费用。</w:t>
      </w:r>
    </w:p>
    <w:p w14:paraId="1BB41F6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3.11.2措施项目费：</w:t>
      </w:r>
      <w:r>
        <w:rPr>
          <w:rFonts w:hint="eastAsia" w:ascii="仿宋" w:hAnsi="仿宋" w:eastAsia="仿宋" w:cs="仿宋"/>
          <w:color w:val="000000" w:themeColor="text1"/>
          <w:sz w:val="24"/>
          <w:szCs w:val="24"/>
          <w:highlight w:val="none"/>
          <w:lang w:eastAsia="zh-CN"/>
          <w14:textFill>
            <w14:solidFill>
              <w14:schemeClr w14:val="tx1"/>
            </w14:solidFill>
          </w14:textFill>
        </w:rPr>
        <w:t>指为实施、完成并保修合同工程，发生于合同工程施工准备和施工过程中的技术、生活、安全、</w:t>
      </w:r>
      <w:r>
        <w:rPr>
          <w:rFonts w:hint="eastAsia" w:ascii="仿宋" w:hAnsi="仿宋" w:eastAsia="仿宋"/>
          <w:color w:val="000000" w:themeColor="text1"/>
          <w:sz w:val="24"/>
          <w:szCs w:val="24"/>
          <w:highlight w:val="none"/>
          <w:lang w:eastAsia="zh-CN"/>
          <w14:textFill>
            <w14:solidFill>
              <w14:schemeClr w14:val="tx1"/>
            </w14:solidFill>
          </w14:textFill>
        </w:rPr>
        <w:t>环境保护等方面的非永久工程实体项目费用</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68245647">
      <w:pPr>
        <w:pStyle w:val="40"/>
        <w:widowControl w:val="0"/>
        <w:tabs>
          <w:tab w:val="left" w:pos="1260"/>
          <w:tab w:val="left" w:pos="2160"/>
        </w:tabs>
        <w:adjustRightInd w:val="0"/>
        <w:spacing w:before="120" w:beforeLines="50"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3.11.3税金：</w:t>
      </w:r>
      <w:r>
        <w:rPr>
          <w:rFonts w:hint="eastAsia" w:ascii="仿宋" w:hAnsi="仿宋" w:eastAsia="仿宋" w:cs="仿宋"/>
          <w:color w:val="000000" w:themeColor="text1"/>
          <w:sz w:val="24"/>
          <w:szCs w:val="24"/>
          <w:highlight w:val="none"/>
          <w:lang w:eastAsia="zh-CN"/>
          <w14:textFill>
            <w14:solidFill>
              <w14:schemeClr w14:val="tx1"/>
            </w14:solidFill>
          </w14:textFill>
        </w:rPr>
        <w:t>指根据国家税法规定的应计入建筑安装工程造价内的增值税。</w:t>
      </w:r>
    </w:p>
    <w:p w14:paraId="550EC8AB">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.3.12 暂列金额：</w:t>
      </w:r>
      <w:r>
        <w:rPr>
          <w:rFonts w:hint="eastAsia" w:ascii="仿宋" w:hAnsi="仿宋" w:eastAsia="仿宋" w:cs="仿宋"/>
          <w:color w:val="000000" w:themeColor="text1"/>
          <w:sz w:val="24"/>
          <w:szCs w:val="24"/>
          <w:highlight w:val="none"/>
          <w:lang w:eastAsia="zh-CN"/>
          <w14:textFill>
            <w14:solidFill>
              <w14:schemeClr w14:val="tx1"/>
            </w14:solidFill>
          </w14:textFill>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000000" w:themeColor="text1"/>
          <w:sz w:val="24"/>
          <w:szCs w:val="24"/>
          <w:highlight w:val="none"/>
          <w:lang w:eastAsia="zh-CN"/>
          <w14:textFill>
            <w14:solidFill>
              <w14:schemeClr w14:val="tx1"/>
            </w14:solidFill>
          </w14:textFill>
        </w:rPr>
        <w:t>合同约定的调整事项以及经确认的索赔</w:t>
      </w:r>
      <w:r>
        <w:rPr>
          <w:rFonts w:hint="eastAsia" w:ascii="仿宋" w:hAnsi="仿宋" w:eastAsia="仿宋" w:cs="仿宋"/>
          <w:color w:val="000000" w:themeColor="text1"/>
          <w:sz w:val="24"/>
          <w:szCs w:val="24"/>
          <w:highlight w:val="none"/>
          <w:lang w:eastAsia="zh-CN"/>
          <w14:textFill>
            <w14:solidFill>
              <w14:schemeClr w14:val="tx1"/>
            </w14:solidFill>
          </w14:textFill>
        </w:rPr>
        <w:t>、现场签证等的金额（包括以计日工方式支付的金额）。实际发生时按合同约定的计价方法计算调整，实际未发生不予计取。</w:t>
      </w:r>
    </w:p>
    <w:p w14:paraId="33353106">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3.13暂估价：</w:t>
      </w:r>
      <w:r>
        <w:rPr>
          <w:rFonts w:hint="eastAsia" w:ascii="仿宋" w:hAnsi="仿宋" w:eastAsia="仿宋"/>
          <w:color w:val="000000" w:themeColor="text1"/>
          <w:sz w:val="24"/>
          <w:szCs w:val="24"/>
          <w:highlight w:val="none"/>
          <w:lang w:eastAsia="zh-CN"/>
          <w14:textFill>
            <w14:solidFill>
              <w14:schemeClr w14:val="tx1"/>
            </w14:solidFill>
          </w14:textFill>
        </w:rPr>
        <w:t>指发包人在工程量清单中暂定的，用于支付必然发生但签订合同前无法确定的部分工程材料</w:t>
      </w:r>
      <w:r>
        <w:rPr>
          <w:rFonts w:hint="eastAsia" w:ascii="仿宋" w:hAnsi="仿宋" w:eastAsia="仿宋" w:cs="仿宋"/>
          <w:color w:val="000000" w:themeColor="text1"/>
          <w:sz w:val="24"/>
          <w:szCs w:val="24"/>
          <w:highlight w:val="none"/>
          <w:lang w:eastAsia="zh-CN"/>
          <w14:textFill>
            <w14:solidFill>
              <w14:schemeClr w14:val="tx1"/>
            </w14:solidFill>
          </w14:textFill>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AA6720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3.14计日工：</w:t>
      </w:r>
      <w:r>
        <w:rPr>
          <w:rFonts w:hint="eastAsia" w:ascii="仿宋" w:hAnsi="仿宋" w:eastAsia="仿宋" w:cs="仿宋"/>
          <w:color w:val="000000" w:themeColor="text1"/>
          <w:sz w:val="24"/>
          <w:szCs w:val="24"/>
          <w:highlight w:val="none"/>
          <w:lang w:eastAsia="zh-CN"/>
          <w14:textFill>
            <w14:solidFill>
              <w14:schemeClr w14:val="tx1"/>
            </w14:solidFill>
          </w14:textFill>
        </w:rPr>
        <w:t>指在合同履行过程中，承包人完成发包人提出的总承包范围以外的零星项目或工作，按照合同中约定计价付款。</w:t>
      </w:r>
    </w:p>
    <w:p w14:paraId="7E71F90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3.15质量保证金：</w:t>
      </w:r>
      <w:r>
        <w:rPr>
          <w:rFonts w:hint="eastAsia" w:ascii="仿宋" w:hAnsi="仿宋" w:eastAsia="仿宋" w:cs="仿宋"/>
          <w:color w:val="000000" w:themeColor="text1"/>
          <w:sz w:val="24"/>
          <w:szCs w:val="24"/>
          <w:highlight w:val="none"/>
          <w:lang w:eastAsia="zh-CN"/>
          <w14:textFill>
            <w14:solidFill>
              <w14:schemeClr w14:val="tx1"/>
            </w14:solidFill>
          </w14:textFill>
        </w:rPr>
        <w:t>指按照第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9条约定用于保证在缺陷责任期内履行缺陷修复义务的金额。</w:t>
      </w:r>
    </w:p>
    <w:p w14:paraId="756C0E2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1.3.1</w:t>
      </w:r>
      <w:r>
        <w:rPr>
          <w:rFonts w:ascii="仿宋" w:hAnsi="仿宋" w:eastAsia="仿宋" w:cs="仿宋"/>
          <w:b/>
          <w:bCs/>
          <w:color w:val="000000" w:themeColor="text1"/>
          <w:sz w:val="24"/>
          <w:szCs w:val="24"/>
          <w:highlight w:val="none"/>
          <w:lang w:eastAsia="zh-CN"/>
          <w14:textFill>
            <w14:solidFill>
              <w14:schemeClr w14:val="tx1"/>
            </w14:solidFill>
          </w14:textFill>
        </w:rPr>
        <w:t>6</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利润：</w:t>
      </w:r>
      <w:r>
        <w:rPr>
          <w:rFonts w:hint="eastAsia" w:ascii="仿宋" w:hAnsi="仿宋" w:eastAsia="仿宋" w:cs="仿宋"/>
          <w:bCs/>
          <w:color w:val="000000" w:themeColor="text1"/>
          <w:sz w:val="24"/>
          <w:szCs w:val="24"/>
          <w:highlight w:val="none"/>
          <w:lang w:eastAsia="zh-CN"/>
          <w14:textFill>
            <w14:solidFill>
              <w14:schemeClr w14:val="tx1"/>
            </w14:solidFill>
          </w14:textFill>
        </w:rPr>
        <w:t>系指合同专用条款中所列的适用的利润百分比（如未列出，则为百分之五（5%））。如承包人根据本合同的任何条款有权就成本加利润获得支付，则利润应以该部分成本作为基数计算。</w:t>
      </w:r>
    </w:p>
    <w:p w14:paraId="4D681BC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.3.1</w:t>
      </w:r>
      <w:r>
        <w:rPr>
          <w:rFonts w:ascii="仿宋" w:hAnsi="仿宋" w:eastAsia="仿宋" w:cs="仿宋"/>
          <w:b/>
          <w:bCs/>
          <w:color w:val="000000" w:themeColor="text1"/>
          <w:sz w:val="24"/>
          <w:szCs w:val="24"/>
          <w:highlight w:val="none"/>
          <w:lang w:eastAsia="zh-CN"/>
          <w14:textFill>
            <w14:solidFill>
              <w14:schemeClr w14:val="tx1"/>
            </w14:solidFill>
          </w14:textFill>
        </w:rPr>
        <w:t xml:space="preserve">7 </w:t>
      </w:r>
      <w:r>
        <w:rPr>
          <w:rFonts w:hint="eastAsia" w:ascii="仿宋" w:hAnsi="仿宋" w:eastAsia="仿宋" w:cs="仿宋"/>
          <w:b/>
          <w:bCs/>
          <w:color w:val="000000" w:themeColor="text1"/>
          <w:sz w:val="24"/>
          <w:szCs w:val="24"/>
          <w:highlight w:val="none"/>
          <w:lang w:eastAsia="zh-CN"/>
          <w14:textFill>
            <w14:solidFill>
              <w14:schemeClr w14:val="tx1"/>
            </w14:solidFill>
          </w14:textFill>
        </w:rPr>
        <w:t>工程款：</w:t>
      </w:r>
      <w:r>
        <w:rPr>
          <w:rFonts w:hint="eastAsia" w:ascii="仿宋" w:hAnsi="仿宋" w:eastAsia="仿宋" w:cs="仿宋"/>
          <w:color w:val="000000" w:themeColor="text1"/>
          <w:sz w:val="24"/>
          <w:szCs w:val="24"/>
          <w:highlight w:val="none"/>
          <w:lang w:eastAsia="zh-CN"/>
          <w14:textFill>
            <w14:solidFill>
              <w14:schemeClr w14:val="tx1"/>
            </w14:solidFill>
          </w14:textFill>
        </w:rPr>
        <w:t>指为实施、完成并保修合同工程，发包人支付或应当支付给承包人的各种价款，包括进度款、结算款等。</w:t>
      </w:r>
    </w:p>
    <w:p w14:paraId="2DFE75E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1.3.1</w:t>
      </w:r>
      <w:r>
        <w:rPr>
          <w:rFonts w:ascii="仿宋" w:hAnsi="仿宋" w:eastAsia="仿宋" w:cs="仿宋"/>
          <w:b/>
          <w:color w:val="000000" w:themeColor="text1"/>
          <w:sz w:val="24"/>
          <w:szCs w:val="24"/>
          <w:highlight w:val="none"/>
          <w:lang w:eastAsia="zh-CN"/>
          <w14:textFill>
            <w14:solidFill>
              <w14:schemeClr w14:val="tx1"/>
            </w14:solidFill>
          </w14:textFill>
        </w:rPr>
        <w:t>8</w:t>
      </w:r>
      <w:r>
        <w:rPr>
          <w:rFonts w:hint="eastAsia" w:ascii="仿宋" w:hAnsi="仿宋" w:eastAsia="仿宋" w:cs="仿宋"/>
          <w:b/>
          <w:color w:val="000000" w:themeColor="text1"/>
          <w:sz w:val="24"/>
          <w:szCs w:val="24"/>
          <w:highlight w:val="none"/>
          <w:lang w:eastAsia="zh-CN"/>
          <w14:textFill>
            <w14:solidFill>
              <w14:schemeClr w14:val="tx1"/>
            </w14:solidFill>
          </w14:textFill>
        </w:rPr>
        <w:t xml:space="preserve"> 竣工结算书：</w:t>
      </w:r>
      <w:r>
        <w:rPr>
          <w:rFonts w:hint="eastAsia" w:ascii="仿宋" w:hAnsi="仿宋" w:eastAsia="仿宋" w:cs="仿宋"/>
          <w:color w:val="000000" w:themeColor="text1"/>
          <w:sz w:val="24"/>
          <w:szCs w:val="24"/>
          <w:highlight w:val="none"/>
          <w:lang w:eastAsia="zh-CN"/>
          <w14:textFill>
            <w14:solidFill>
              <w14:schemeClr w14:val="tx1"/>
            </w14:solidFill>
          </w14:textFill>
        </w:rPr>
        <w:t>指合同工程通过竣工验收交付使用后，承包人按合同约定编制并经发包人审定的合同价格报表。</w:t>
      </w:r>
    </w:p>
    <w:p w14:paraId="15FD621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0" w:name="_Toc30064"/>
      <w:r>
        <w:rPr>
          <w:rFonts w:hint="eastAsia" w:ascii="仿宋" w:hAnsi="仿宋" w:eastAsia="仿宋" w:cs="仿宋"/>
          <w:b/>
          <w:bCs/>
          <w:color w:val="000000" w:themeColor="text1"/>
          <w:sz w:val="24"/>
          <w:szCs w:val="24"/>
          <w:highlight w:val="none"/>
          <w:lang w:eastAsia="zh-CN"/>
          <w14:textFill>
            <w14:solidFill>
              <w14:schemeClr w14:val="tx1"/>
            </w14:solidFill>
          </w14:textFill>
        </w:rPr>
        <w:t>1.4 承包范围及工程内容</w:t>
      </w:r>
      <w:bookmarkEnd w:id="70"/>
    </w:p>
    <w:p w14:paraId="34A86039">
      <w:pPr>
        <w:pStyle w:val="40"/>
        <w:widowControl w:val="0"/>
        <w:tabs>
          <w:tab w:val="left" w:pos="1260"/>
          <w:tab w:val="left" w:pos="2160"/>
        </w:tabs>
        <w:adjustRightInd w:val="0"/>
        <w:spacing w:before="120" w:beforeLines="50"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4.1勘察：</w:t>
      </w:r>
      <w:r>
        <w:rPr>
          <w:rFonts w:hint="eastAsia" w:ascii="仿宋" w:hAnsi="仿宋" w:eastAsia="仿宋" w:cs="仿宋"/>
          <w:color w:val="000000" w:themeColor="text1"/>
          <w:sz w:val="24"/>
          <w:szCs w:val="24"/>
          <w:highlight w:val="none"/>
          <w:lang w:eastAsia="zh-CN"/>
          <w14:textFill>
            <w14:solidFill>
              <w14:schemeClr w14:val="tx1"/>
            </w14:solidFill>
          </w14:textFill>
        </w:rPr>
        <w:t>指发包人要求承包人提供本项目的工程地质勘察服务。具体承包范围及工程内容由双方在协议书中约定。</w:t>
      </w:r>
    </w:p>
    <w:p w14:paraId="3A80451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4.2 设计：</w:t>
      </w:r>
      <w:r>
        <w:rPr>
          <w:rFonts w:hint="eastAsia" w:ascii="仿宋" w:hAnsi="仿宋" w:eastAsia="仿宋" w:cs="仿宋"/>
          <w:color w:val="000000" w:themeColor="text1"/>
          <w:sz w:val="24"/>
          <w:szCs w:val="24"/>
          <w:highlight w:val="none"/>
          <w:lang w:eastAsia="zh-CN"/>
          <w14:textFill>
            <w14:solidFill>
              <w14:schemeClr w14:val="tx1"/>
            </w14:solidFill>
          </w14:textFill>
        </w:rPr>
        <w:t>指发包人要求承包人提供本项目的初步设计文件和（或）施工图设计文件及相关深化设计、后期配合等服务。具体承包范围及工程内容由双方在协议书中约定。</w:t>
      </w:r>
    </w:p>
    <w:p w14:paraId="65E69FA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4.3  BIM技术应用：</w:t>
      </w:r>
      <w:r>
        <w:rPr>
          <w:rFonts w:hint="eastAsia" w:ascii="仿宋" w:hAnsi="仿宋" w:eastAsia="仿宋" w:cs="仿宋"/>
          <w:color w:val="000000" w:themeColor="text1"/>
          <w:sz w:val="24"/>
          <w:szCs w:val="24"/>
          <w:highlight w:val="none"/>
          <w:lang w:eastAsia="zh-CN"/>
          <w14:textFill>
            <w14:solidFill>
              <w14:schemeClr w14:val="tx1"/>
            </w14:solidFill>
          </w14:textFill>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5B86A00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1.4.4 </w:t>
      </w:r>
      <w:bookmarkStart w:id="71" w:name="OLE_LINK9"/>
      <w:bookmarkStart w:id="72" w:name="OLE_LINK8"/>
      <w:r>
        <w:rPr>
          <w:rFonts w:hint="eastAsia" w:ascii="仿宋" w:hAnsi="仿宋" w:eastAsia="仿宋" w:cs="仿宋"/>
          <w:b/>
          <w:bCs/>
          <w:color w:val="000000" w:themeColor="text1"/>
          <w:sz w:val="24"/>
          <w:szCs w:val="24"/>
          <w:highlight w:val="none"/>
          <w:lang w:eastAsia="zh-CN"/>
          <w14:textFill>
            <w14:solidFill>
              <w14:schemeClr w14:val="tx1"/>
            </w14:solidFill>
          </w14:textFill>
        </w:rPr>
        <w:t>BIM正向设计：</w:t>
      </w:r>
      <w:bookmarkEnd w:id="71"/>
      <w:bookmarkEnd w:id="72"/>
      <w:r>
        <w:rPr>
          <w:rFonts w:hint="eastAsia" w:ascii="仿宋" w:hAnsi="仿宋" w:eastAsia="仿宋" w:cs="仿宋"/>
          <w:color w:val="000000" w:themeColor="text1"/>
          <w:sz w:val="24"/>
          <w:szCs w:val="24"/>
          <w:highlight w:val="none"/>
          <w:lang w:eastAsia="zh-CN"/>
          <w14:textFill>
            <w14:solidFill>
              <w14:schemeClr w14:val="tx1"/>
            </w14:solidFill>
          </w14:textFill>
        </w:rPr>
        <w:t>在三维环境下开展设计，将不同维度的相关信息进行集成统一形成建筑信息模型（BIM）的设计方式。</w:t>
      </w:r>
    </w:p>
    <w:p w14:paraId="56B623C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4.5设备及工器具购置：</w:t>
      </w:r>
      <w:r>
        <w:rPr>
          <w:rFonts w:hint="eastAsia" w:ascii="仿宋" w:hAnsi="仿宋" w:eastAsia="仿宋" w:cs="仿宋"/>
          <w:color w:val="000000" w:themeColor="text1"/>
          <w:sz w:val="24"/>
          <w:szCs w:val="24"/>
          <w:highlight w:val="none"/>
          <w:lang w:eastAsia="zh-CN"/>
          <w14:textFill>
            <w14:solidFill>
              <w14:schemeClr w14:val="tx1"/>
            </w14:solidFill>
          </w14:textFill>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24867C9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4.6施工：</w:t>
      </w:r>
      <w:r>
        <w:rPr>
          <w:rFonts w:hint="eastAsia" w:ascii="仿宋" w:hAnsi="仿宋" w:eastAsia="仿宋" w:cs="仿宋"/>
          <w:color w:val="000000" w:themeColor="text1"/>
          <w:sz w:val="24"/>
          <w:szCs w:val="24"/>
          <w:highlight w:val="none"/>
          <w:lang w:eastAsia="zh-CN"/>
          <w14:textFill>
            <w14:solidFill>
              <w14:schemeClr w14:val="tx1"/>
            </w14:solidFill>
          </w14:textFill>
        </w:rPr>
        <w:t>指发包人要求承包人建造、完成并保修工程。具体承包范围及工程内容由双方在协议书中约定。</w:t>
      </w:r>
    </w:p>
    <w:p w14:paraId="56660EF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3" w:name="_Toc20462"/>
      <w:r>
        <w:rPr>
          <w:rFonts w:hint="eastAsia" w:ascii="仿宋" w:hAnsi="仿宋" w:eastAsia="仿宋" w:cs="仿宋"/>
          <w:b/>
          <w:bCs/>
          <w:color w:val="000000" w:themeColor="text1"/>
          <w:sz w:val="24"/>
          <w:szCs w:val="24"/>
          <w:highlight w:val="none"/>
          <w:lang w:eastAsia="zh-CN"/>
          <w14:textFill>
            <w14:solidFill>
              <w14:schemeClr w14:val="tx1"/>
            </w14:solidFill>
          </w14:textFill>
        </w:rPr>
        <w:t>1.5 施工现场</w:t>
      </w:r>
      <w:bookmarkEnd w:id="73"/>
    </w:p>
    <w:p w14:paraId="2458BB0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5.1施工现场：</w:t>
      </w:r>
      <w:r>
        <w:rPr>
          <w:rFonts w:hint="eastAsia" w:ascii="仿宋" w:hAnsi="仿宋" w:eastAsia="仿宋" w:cs="仿宋"/>
          <w:color w:val="000000" w:themeColor="text1"/>
          <w:sz w:val="24"/>
          <w:szCs w:val="24"/>
          <w:highlight w:val="none"/>
          <w:lang w:eastAsia="zh-CN"/>
          <w14:textFill>
            <w14:solidFill>
              <w14:schemeClr w14:val="tx1"/>
            </w14:solidFill>
          </w14:textFill>
        </w:rPr>
        <w:t>指由发包人提供的用于合同工程施工、工程材料与工程设备存放的场所，以及发包人在合同中具体指定的供施工使用的其他任何场所。</w:t>
      </w:r>
    </w:p>
    <w:p w14:paraId="7B0ABB59">
      <w:pPr>
        <w:pStyle w:val="40"/>
        <w:widowControl w:val="0"/>
        <w:tabs>
          <w:tab w:val="left" w:pos="1260"/>
          <w:tab w:val="left" w:pos="2160"/>
        </w:tabs>
        <w:adjustRightInd w:val="0"/>
        <w:spacing w:before="120" w:beforeLines="50" w:line="360" w:lineRule="auto"/>
        <w:ind w:left="1850" w:leftChars="771"/>
        <w:jc w:val="both"/>
        <w:rPr>
          <w:rFonts w:ascii="仿宋" w:hAnsi="仿宋" w:eastAsia="仿宋"/>
          <w:b/>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1.5.2 现场进入权：</w:t>
      </w:r>
      <w:r>
        <w:rPr>
          <w:rFonts w:hint="eastAsia" w:ascii="仿宋" w:hAnsi="仿宋" w:eastAsia="仿宋"/>
          <w:color w:val="000000" w:themeColor="text1"/>
          <w:sz w:val="24"/>
          <w:szCs w:val="24"/>
          <w:highlight w:val="none"/>
          <w:lang w:eastAsia="zh-CN"/>
          <w14:textFill>
            <w14:solidFill>
              <w14:schemeClr w14:val="tx1"/>
            </w14:solidFill>
          </w14:textFill>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000000" w:themeColor="text1"/>
          <w:sz w:val="24"/>
          <w:szCs w:val="24"/>
          <w:highlight w:val="none"/>
          <w:lang w:eastAsia="zh-CN"/>
          <w14:textFill>
            <w14:solidFill>
              <w14:schemeClr w14:val="tx1"/>
            </w14:solidFill>
          </w14:textFill>
        </w:rPr>
        <w:t>时间、占用各部分内容（建筑物、构筑物、生产设备等）及占用方式</w:t>
      </w:r>
      <w:r>
        <w:rPr>
          <w:rFonts w:hint="eastAsia" w:ascii="仿宋" w:hAnsi="仿宋" w:eastAsia="仿宋"/>
          <w:color w:val="000000" w:themeColor="text1"/>
          <w:sz w:val="24"/>
          <w:szCs w:val="24"/>
          <w:highlight w:val="none"/>
          <w:lang w:eastAsia="zh-CN"/>
          <w14:textFill>
            <w14:solidFill>
              <w14:schemeClr w14:val="tx1"/>
            </w14:solidFill>
          </w14:textFill>
        </w:rPr>
        <w:t>，由合同双方在专用条款中约定。</w:t>
      </w:r>
    </w:p>
    <w:p w14:paraId="65C2490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4" w:name="_Toc23046"/>
      <w:r>
        <w:rPr>
          <w:rFonts w:hint="eastAsia" w:ascii="仿宋" w:hAnsi="仿宋" w:eastAsia="仿宋" w:cs="仿宋"/>
          <w:b/>
          <w:bCs/>
          <w:color w:val="000000" w:themeColor="text1"/>
          <w:sz w:val="24"/>
          <w:szCs w:val="24"/>
          <w:highlight w:val="none"/>
          <w:lang w:eastAsia="zh-CN"/>
          <w14:textFill>
            <w14:solidFill>
              <w14:schemeClr w14:val="tx1"/>
            </w14:solidFill>
          </w14:textFill>
        </w:rPr>
        <w:t>1.6 合同当事人及相关方</w:t>
      </w:r>
      <w:bookmarkEnd w:id="74"/>
    </w:p>
    <w:p w14:paraId="6979848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1.6.1合同当事人：</w:t>
      </w:r>
      <w:r>
        <w:rPr>
          <w:rFonts w:hint="eastAsia" w:ascii="仿宋" w:hAnsi="仿宋" w:eastAsia="仿宋" w:cs="仿宋"/>
          <w:bCs/>
          <w:color w:val="000000" w:themeColor="text1"/>
          <w:sz w:val="24"/>
          <w:szCs w:val="24"/>
          <w:highlight w:val="none"/>
          <w:lang w:eastAsia="zh-CN"/>
          <w14:textFill>
            <w14:solidFill>
              <w14:schemeClr w14:val="tx1"/>
            </w14:solidFill>
          </w14:textFill>
        </w:rPr>
        <w:t>指发包人和（或）承包人。</w:t>
      </w:r>
    </w:p>
    <w:p w14:paraId="75DD7B0A">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6.2发包人：</w:t>
      </w:r>
      <w:r>
        <w:rPr>
          <w:rFonts w:hint="eastAsia" w:ascii="仿宋" w:hAnsi="仿宋" w:eastAsia="仿宋" w:cs="仿宋"/>
          <w:color w:val="000000" w:themeColor="text1"/>
          <w:sz w:val="24"/>
          <w:szCs w:val="24"/>
          <w:highlight w:val="none"/>
          <w:lang w:eastAsia="zh-CN"/>
          <w14:textFill>
            <w14:solidFill>
              <w14:schemeClr w14:val="tx1"/>
            </w14:solidFill>
          </w14:textFill>
        </w:rPr>
        <w:t>指在协议书中约定，具有工程发包主体资格和支付工程款能力的当事人，以及取得该当事人资格的合法继受人。</w:t>
      </w:r>
    </w:p>
    <w:p w14:paraId="4CC62C9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6.3承包人：</w:t>
      </w:r>
      <w:r>
        <w:rPr>
          <w:rFonts w:hint="eastAsia" w:ascii="仿宋" w:hAnsi="仿宋" w:eastAsia="仿宋" w:cs="仿宋"/>
          <w:color w:val="000000" w:themeColor="text1"/>
          <w:sz w:val="24"/>
          <w:szCs w:val="24"/>
          <w:highlight w:val="none"/>
          <w:lang w:eastAsia="zh-CN"/>
          <w14:textFill>
            <w14:solidFill>
              <w14:schemeClr w14:val="tx1"/>
            </w14:solidFill>
          </w14:textFill>
        </w:rPr>
        <w:t>指在协议书中约定，被发包人接受且具有勘察、设计、采购、施工或设计、施工等阶段总承包主体资格的当事人，以及取得该当事人资格的合法继受人。</w:t>
      </w:r>
    </w:p>
    <w:p w14:paraId="69A95D5E">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1.6.4 联合体：</w:t>
      </w:r>
      <w:r>
        <w:rPr>
          <w:rFonts w:hint="eastAsia" w:ascii="仿宋" w:hAnsi="仿宋" w:eastAsia="仿宋" w:cs="仿宋"/>
          <w:bCs/>
          <w:color w:val="000000" w:themeColor="text1"/>
          <w:sz w:val="24"/>
          <w:szCs w:val="24"/>
          <w:highlight w:val="none"/>
          <w:lang w:eastAsia="zh-CN"/>
          <w14:textFill>
            <w14:solidFill>
              <w14:schemeClr w14:val="tx1"/>
            </w14:solidFill>
          </w14:textFill>
        </w:rPr>
        <w:t>指经发包人同意由两个或两个以上法人或者其他组织组成的，</w:t>
      </w:r>
      <w:r>
        <w:rPr>
          <w:rFonts w:hint="eastAsia" w:ascii="仿宋" w:hAnsi="仿宋" w:eastAsia="仿宋" w:cs="仿宋"/>
          <w:color w:val="000000" w:themeColor="text1"/>
          <w:sz w:val="24"/>
          <w:szCs w:val="24"/>
          <w:highlight w:val="none"/>
          <w:lang w:eastAsia="zh-CN"/>
          <w14:textFill>
            <w14:solidFill>
              <w14:schemeClr w14:val="tx1"/>
            </w14:solidFill>
          </w14:textFill>
        </w:rPr>
        <w:t>作为承包人的临时机构，联合体各方向发包人承担连带责任。联合体各方应指定其中一方作为牵头人。</w:t>
      </w:r>
    </w:p>
    <w:p w14:paraId="216FC80D">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6.5分包人：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585A599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6.6相关方：</w:t>
      </w:r>
      <w:r>
        <w:rPr>
          <w:rFonts w:hint="eastAsia" w:ascii="仿宋" w:hAnsi="仿宋" w:eastAsia="仿宋" w:cs="仿宋"/>
          <w:color w:val="000000" w:themeColor="text1"/>
          <w:sz w:val="24"/>
          <w:szCs w:val="24"/>
          <w:highlight w:val="none"/>
          <w:lang w:eastAsia="zh-CN"/>
          <w14:textFill>
            <w14:solidFill>
              <w14:schemeClr w14:val="tx1"/>
            </w14:solidFill>
          </w14:textFill>
        </w:rPr>
        <w:t>除合同当事人</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含双方雇员及代表其工作的人员）以外的任何自然人、法人或其他组织。</w:t>
      </w:r>
    </w:p>
    <w:p w14:paraId="1D2BB88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1.6.7 设计顾问人：</w:t>
      </w:r>
      <w:r>
        <w:rPr>
          <w:rFonts w:hint="eastAsia" w:ascii="仿宋" w:hAnsi="仿宋" w:eastAsia="仿宋" w:cs="仿宋"/>
          <w:color w:val="000000" w:themeColor="text1"/>
          <w:sz w:val="24"/>
          <w:szCs w:val="24"/>
          <w:highlight w:val="none"/>
          <w:lang w:eastAsia="zh-CN"/>
          <w14:textFill>
            <w14:solidFill>
              <w14:schemeClr w14:val="tx1"/>
            </w14:solidFill>
          </w14:textFill>
        </w:rPr>
        <w:t>指受发包人委托，在项目建设各阶段协助发包人监督管理承包人的工程设计活动、审核设计成果、提供设计优化建议、审核设计变更、参与相关设计评审会、参与竣工验收等的自然人、法人或其他组织。</w:t>
      </w:r>
    </w:p>
    <w:p w14:paraId="3153794C">
      <w:pPr>
        <w:pStyle w:val="40"/>
        <w:widowControl w:val="0"/>
        <w:tabs>
          <w:tab w:val="left" w:pos="1260"/>
          <w:tab w:val="left" w:pos="2160"/>
        </w:tabs>
        <w:adjustRightInd w:val="0"/>
        <w:spacing w:before="120" w:beforeLines="50"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6.8</w:t>
      </w:r>
      <w:r>
        <w:rPr>
          <w:rFonts w:hint="eastAsia" w:ascii="仿宋" w:hAnsi="仿宋" w:eastAsia="仿宋" w:cs="仿宋"/>
          <w:b/>
          <w:color w:val="000000" w:themeColor="text1"/>
          <w:sz w:val="24"/>
          <w:szCs w:val="24"/>
          <w:highlight w:val="none"/>
          <w:lang w:eastAsia="zh-CN"/>
          <w14:textFill>
            <w14:solidFill>
              <w14:schemeClr w14:val="tx1"/>
            </w14:solidFill>
          </w14:textFill>
        </w:rPr>
        <w:t>监理人</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指受发包人委托，负责合同工程的施工阶段及保修阶段监理且具有相应工程监理资质的法人或组织。</w:t>
      </w:r>
    </w:p>
    <w:p w14:paraId="6A61396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6.9造价咨询人：</w:t>
      </w:r>
      <w:r>
        <w:rPr>
          <w:rFonts w:hint="eastAsia" w:ascii="仿宋" w:hAnsi="仿宋" w:eastAsia="仿宋" w:cs="仿宋"/>
          <w:color w:val="000000" w:themeColor="text1"/>
          <w:sz w:val="24"/>
          <w:szCs w:val="24"/>
          <w:highlight w:val="none"/>
          <w:lang w:eastAsia="zh-CN"/>
          <w14:textFill>
            <w14:solidFill>
              <w14:schemeClr w14:val="tx1"/>
            </w14:solidFill>
          </w14:textFill>
        </w:rPr>
        <w:t>指受发包人委托，负责合同工程的工程造价管理的法人或组织。</w:t>
      </w:r>
    </w:p>
    <w:p w14:paraId="2EE48B6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6.10工程造价管理机构：</w:t>
      </w:r>
      <w:r>
        <w:rPr>
          <w:rFonts w:hint="eastAsia" w:ascii="仿宋" w:hAnsi="仿宋" w:eastAsia="仿宋" w:cs="仿宋"/>
          <w:color w:val="000000" w:themeColor="text1"/>
          <w:sz w:val="24"/>
          <w:szCs w:val="24"/>
          <w:highlight w:val="none"/>
          <w:lang w:eastAsia="zh-CN"/>
          <w14:textFill>
            <w14:solidFill>
              <w14:schemeClr w14:val="tx1"/>
            </w14:solidFill>
          </w14:textFill>
        </w:rPr>
        <w:t>指国务院有关部门、县级以上人民政府建设行政主管部门或受其委托的工程造价管理机构。</w:t>
      </w:r>
    </w:p>
    <w:p w14:paraId="10C5880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6.11发包人代表：</w:t>
      </w:r>
      <w:r>
        <w:rPr>
          <w:rFonts w:hint="eastAsia" w:ascii="仿宋" w:hAnsi="仿宋" w:eastAsia="仿宋" w:cs="仿宋"/>
          <w:color w:val="000000" w:themeColor="text1"/>
          <w:sz w:val="24"/>
          <w:szCs w:val="24"/>
          <w:highlight w:val="none"/>
          <w:lang w:eastAsia="zh-CN"/>
          <w14:textFill>
            <w14:solidFill>
              <w14:schemeClr w14:val="tx1"/>
            </w14:solidFill>
          </w14:textFill>
        </w:rPr>
        <w:t>指发包人指定，代表发包人对合同工程进行管理的全权代表。发包人代表由发包人依据第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款约定任命并书面通知承包人。</w:t>
      </w:r>
    </w:p>
    <w:p w14:paraId="04FF32B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6.12承包人代表及专业负责人：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9</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款约定任命并书面通知发包人。其中：</w:t>
      </w:r>
    </w:p>
    <w:p w14:paraId="4D4900E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1.6.12.1 勘察负责人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：指承包人指定负责开展勘察工作并具有相应资格的人员。</w:t>
      </w:r>
    </w:p>
    <w:p w14:paraId="04B46BC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1.6.12.2 设计负责人：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指承包人指定负责开展设计工作并具有相应资格的人员。</w:t>
      </w:r>
    </w:p>
    <w:p w14:paraId="189733D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1.6.12.3  BIM负责人：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指承包人指定负责开展BIM技术应用工作并具有相应资格的人员。</w:t>
      </w:r>
    </w:p>
    <w:p w14:paraId="7BAC9FA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1.6.12.4 采购负责人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：指承包人指定负责开展工程材料、工程设备、装配式构件、设备及工器具等采购工作的人员。</w:t>
      </w:r>
    </w:p>
    <w:p w14:paraId="287701F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1.6.12.5 施工负责人：</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指承包人指定负责工程施工管理并具有相应资格的人员。</w:t>
      </w:r>
    </w:p>
    <w:p w14:paraId="7892870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1.6.12.6 其他工作负责人（如果有）：</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指承包人指定负责开展其他工作并具有相应资格（如果有</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的人员。</w:t>
      </w:r>
    </w:p>
    <w:p w14:paraId="28537A9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6.13 设计顾问工程师：</w:t>
      </w:r>
      <w:r>
        <w:rPr>
          <w:rFonts w:hint="eastAsia" w:ascii="仿宋" w:hAnsi="仿宋" w:eastAsia="仿宋" w:cs="仿宋"/>
          <w:color w:val="000000" w:themeColor="text1"/>
          <w:sz w:val="24"/>
          <w:szCs w:val="24"/>
          <w:highlight w:val="none"/>
          <w:lang w:eastAsia="zh-CN"/>
          <w14:textFill>
            <w14:solidFill>
              <w14:schemeClr w14:val="tx1"/>
            </w14:solidFill>
          </w14:textFill>
        </w:rPr>
        <w:t>指设计顾问人委派负责合同工程的设计专业技术咨询的专业人员。设计顾问工程师由设计顾问人提名，经发包人依据第26.1款约定任命并书面通知承包人。</w:t>
      </w:r>
    </w:p>
    <w:p w14:paraId="259241A1">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6.14监理工程师：</w:t>
      </w:r>
      <w:r>
        <w:rPr>
          <w:rFonts w:hint="eastAsia" w:ascii="仿宋" w:hAnsi="仿宋" w:eastAsia="仿宋" w:cs="仿宋"/>
          <w:color w:val="000000" w:themeColor="text1"/>
          <w:sz w:val="24"/>
          <w:szCs w:val="24"/>
          <w:highlight w:val="none"/>
          <w:lang w:eastAsia="zh-CN"/>
          <w14:textFill>
            <w14:solidFill>
              <w14:schemeClr w14:val="tx1"/>
            </w14:solidFill>
          </w14:textFill>
        </w:rPr>
        <w:t>指监理人委派常驻施工现场负责合同工程的工程监理专业技术的专业人员。监理工程师由监理人提名，经发包人依据第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款约定任命并书面通知承包人。</w:t>
      </w:r>
    </w:p>
    <w:p w14:paraId="76EC8A5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6.15造价工程师：</w:t>
      </w:r>
      <w:r>
        <w:rPr>
          <w:rFonts w:hint="eastAsia" w:ascii="仿宋" w:hAnsi="仿宋" w:eastAsia="仿宋" w:cs="仿宋"/>
          <w:color w:val="000000" w:themeColor="text1"/>
          <w:sz w:val="24"/>
          <w:szCs w:val="24"/>
          <w:highlight w:val="none"/>
          <w:lang w:eastAsia="zh-CN"/>
          <w14:textFill>
            <w14:solidFill>
              <w14:schemeClr w14:val="tx1"/>
            </w14:solidFill>
          </w14:textFill>
        </w:rPr>
        <w:t>指造价咨询人委派负责合同工程的工程造价专业技术与管理的专业人员。造价工程师由造价咨询人提名，经发包人依据第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款约定任命并书面通知承包人。</w:t>
      </w:r>
    </w:p>
    <w:p w14:paraId="6B84F98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5" w:name="_Toc27450"/>
      <w:r>
        <w:rPr>
          <w:rFonts w:hint="eastAsia" w:ascii="仿宋" w:hAnsi="仿宋" w:eastAsia="仿宋" w:cs="仿宋"/>
          <w:b/>
          <w:bCs/>
          <w:color w:val="000000" w:themeColor="text1"/>
          <w:sz w:val="24"/>
          <w:szCs w:val="24"/>
          <w:highlight w:val="none"/>
          <w:lang w:eastAsia="zh-CN"/>
          <w14:textFill>
            <w14:solidFill>
              <w14:schemeClr w14:val="tx1"/>
            </w14:solidFill>
          </w14:textFill>
        </w:rPr>
        <w:t>1.7 工期</w:t>
      </w:r>
      <w:bookmarkEnd w:id="75"/>
    </w:p>
    <w:p w14:paraId="6766D2D1">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7.1合同工期：</w:t>
      </w:r>
      <w:r>
        <w:rPr>
          <w:rFonts w:hint="eastAsia" w:ascii="仿宋" w:hAnsi="仿宋" w:eastAsia="仿宋" w:cs="仿宋"/>
          <w:color w:val="000000" w:themeColor="text1"/>
          <w:sz w:val="24"/>
          <w:szCs w:val="24"/>
          <w:highlight w:val="none"/>
          <w:lang w:eastAsia="zh-CN"/>
          <w14:textFill>
            <w14:solidFill>
              <w14:schemeClr w14:val="tx1"/>
            </w14:solidFill>
          </w14:textFill>
        </w:rPr>
        <w:t>指合同双方当事人在协议书中约定，按照总日历天数（包括法定节假日）计算的从开始实施到完成合同工程的天数。包括勘察工期、设计工期、施工工期等。</w:t>
      </w:r>
    </w:p>
    <w:p w14:paraId="6EB27D1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.7.2开始工作日期与开工日期：</w:t>
      </w:r>
      <w:r>
        <w:rPr>
          <w:rFonts w:hint="eastAsia" w:ascii="仿宋" w:hAnsi="仿宋" w:eastAsia="仿宋" w:cs="仿宋"/>
          <w:bCs/>
          <w:color w:val="000000" w:themeColor="text1"/>
          <w:sz w:val="24"/>
          <w:szCs w:val="24"/>
          <w:highlight w:val="none"/>
          <w:lang w:eastAsia="zh-CN"/>
          <w14:textFill>
            <w14:solidFill>
              <w14:schemeClr w14:val="tx1"/>
            </w14:solidFill>
          </w14:textFill>
        </w:rPr>
        <w:t>开始工作日期</w:t>
      </w:r>
      <w:r>
        <w:rPr>
          <w:rFonts w:hint="eastAsia" w:ascii="仿宋" w:hAnsi="仿宋" w:eastAsia="仿宋" w:cs="仿宋"/>
          <w:color w:val="000000" w:themeColor="text1"/>
          <w:sz w:val="24"/>
          <w:szCs w:val="24"/>
          <w:highlight w:val="none"/>
          <w:lang w:eastAsia="zh-CN"/>
          <w14:textFill>
            <w14:solidFill>
              <w14:schemeClr w14:val="tx1"/>
            </w14:solidFill>
          </w14:textFill>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5076653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7.3完成工作日期：</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6915410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7.4竣工日期：</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指承包人完成合同工程或某单项工程的施工后，由发包人按照第65条约定组织竣工验收、接收工程并颁发工程接收证书的日期。包括合同约定的工期与按合同约定允许调整的工期。</w:t>
      </w:r>
    </w:p>
    <w:p w14:paraId="6F6D5C4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7.5绝对日期：</w:t>
      </w:r>
      <w:r>
        <w:rPr>
          <w:rFonts w:hint="eastAsia" w:ascii="仿宋" w:hAnsi="仿宋" w:eastAsia="仿宋" w:cs="仿宋"/>
          <w:color w:val="000000" w:themeColor="text1"/>
          <w:sz w:val="24"/>
          <w:szCs w:val="24"/>
          <w:highlight w:val="none"/>
          <w:lang w:eastAsia="zh-CN"/>
          <w14:textFill>
            <w14:solidFill>
              <w14:schemeClr w14:val="tx1"/>
            </w14:solidFill>
          </w14:textFill>
        </w:rPr>
        <w:t>指以公历年、月、日所表示的起止时间。</w:t>
      </w:r>
    </w:p>
    <w:p w14:paraId="517AC1E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7.6相对日期</w:t>
      </w:r>
      <w:r>
        <w:rPr>
          <w:rFonts w:hint="eastAsia"/>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指以日历天数表示两个绝对日期之间的时长，例如：合同签订日期后28天内开工。</w:t>
      </w:r>
    </w:p>
    <w:p w14:paraId="6D6C885D">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7.7基准日期：</w:t>
      </w:r>
      <w:r>
        <w:rPr>
          <w:rFonts w:hint="eastAsia" w:ascii="仿宋" w:hAnsi="仿宋" w:eastAsia="仿宋" w:cs="仿宋"/>
          <w:color w:val="000000" w:themeColor="text1"/>
          <w:sz w:val="24"/>
          <w:szCs w:val="24"/>
          <w:highlight w:val="none"/>
          <w:lang w:eastAsia="zh-CN"/>
          <w14:textFill>
            <w14:solidFill>
              <w14:schemeClr w14:val="tx1"/>
            </w14:solidFill>
          </w14:textFill>
        </w:rPr>
        <w:t>指招标发包工程递交投标文件截止日期前</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天的日期；直接发包工程订立合同前第</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天的日期。</w:t>
      </w:r>
    </w:p>
    <w:p w14:paraId="77B8376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7.8缺陷责任期：</w:t>
      </w:r>
      <w:r>
        <w:rPr>
          <w:rFonts w:hint="eastAsia" w:ascii="仿宋" w:hAnsi="仿宋" w:eastAsia="仿宋" w:cs="仿宋"/>
          <w:color w:val="000000" w:themeColor="text1"/>
          <w:sz w:val="24"/>
          <w:szCs w:val="24"/>
          <w:highlight w:val="none"/>
          <w:lang w:eastAsia="zh-CN"/>
          <w14:textFill>
            <w14:solidFill>
              <w14:schemeClr w14:val="tx1"/>
            </w14:solidFill>
          </w14:textFill>
        </w:rPr>
        <w:t>指履行第66</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3款约定的缺陷责任的期限。具体期限在专用条款中约定，包括第66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款约定的延长期限。</w:t>
      </w:r>
    </w:p>
    <w:p w14:paraId="7131EED6">
      <w:pPr>
        <w:pStyle w:val="40"/>
        <w:widowControl w:val="0"/>
        <w:tabs>
          <w:tab w:val="left" w:pos="1260"/>
          <w:tab w:val="left" w:pos="2160"/>
        </w:tabs>
        <w:adjustRightInd w:val="0"/>
        <w:spacing w:before="120" w:beforeLines="50"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7.9保修期：</w:t>
      </w:r>
      <w:r>
        <w:rPr>
          <w:rFonts w:hint="eastAsia" w:ascii="仿宋" w:hAnsi="仿宋" w:eastAsia="仿宋" w:cs="仿宋"/>
          <w:color w:val="000000" w:themeColor="text1"/>
          <w:sz w:val="24"/>
          <w:szCs w:val="24"/>
          <w:highlight w:val="none"/>
          <w:lang w:eastAsia="zh-CN"/>
          <w14:textFill>
            <w14:solidFill>
              <w14:schemeClr w14:val="tx1"/>
            </w14:solidFill>
          </w14:textFill>
        </w:rPr>
        <w:t>是指承包人按照合同约定和法律规定对工程质量缺陷责任承担保修责任的期限，该期限自缺陷责任期起算之日起计算。</w:t>
      </w:r>
    </w:p>
    <w:p w14:paraId="23A47D28">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7.10小时或天：</w:t>
      </w:r>
      <w:r>
        <w:rPr>
          <w:rFonts w:hint="eastAsia" w:ascii="仿宋" w:hAnsi="仿宋" w:eastAsia="仿宋" w:cs="仿宋"/>
          <w:color w:val="000000" w:themeColor="text1"/>
          <w:sz w:val="24"/>
          <w:szCs w:val="24"/>
          <w:highlight w:val="none"/>
          <w:lang w:eastAsia="zh-CN"/>
          <w14:textFill>
            <w14:solidFill>
              <w14:schemeClr w14:val="tx1"/>
            </w14:solidFill>
          </w14:textFill>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000000" w:themeColor="text1"/>
          <w:sz w:val="24"/>
          <w:szCs w:val="24"/>
          <w:highlight w:val="none"/>
          <w:lang w:eastAsia="zh-CN"/>
          <w14:textFill>
            <w14:solidFill>
              <w14:schemeClr w14:val="tx1"/>
            </w14:solidFill>
          </w14:textFill>
        </w:rPr>
        <w:t>24：00</w:t>
      </w:r>
      <w:r>
        <w:rPr>
          <w:rFonts w:hint="eastAsia" w:ascii="仿宋" w:hAnsi="仿宋" w:eastAsia="仿宋" w:cs="仿宋"/>
          <w:color w:val="000000" w:themeColor="text1"/>
          <w:sz w:val="24"/>
          <w:szCs w:val="24"/>
          <w:highlight w:val="none"/>
          <w:lang w:eastAsia="zh-CN"/>
          <w14:textFill>
            <w14:solidFill>
              <w14:schemeClr w14:val="tx1"/>
            </w14:solidFill>
          </w14:textFill>
        </w:rPr>
        <w:t>（即次日零点）。</w:t>
      </w:r>
    </w:p>
    <w:p w14:paraId="7862334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6" w:name="_Toc29850"/>
      <w:r>
        <w:rPr>
          <w:rFonts w:hint="eastAsia" w:ascii="仿宋" w:hAnsi="仿宋" w:eastAsia="仿宋" w:cs="仿宋"/>
          <w:b/>
          <w:bCs/>
          <w:color w:val="000000" w:themeColor="text1"/>
          <w:sz w:val="24"/>
          <w:szCs w:val="24"/>
          <w:highlight w:val="none"/>
          <w:lang w:eastAsia="zh-CN"/>
          <w14:textFill>
            <w14:solidFill>
              <w14:schemeClr w14:val="tx1"/>
            </w14:solidFill>
          </w14:textFill>
        </w:rPr>
        <w:t>1.8 工程、工程材料与设备、装配式构件</w:t>
      </w:r>
      <w:bookmarkEnd w:id="76"/>
    </w:p>
    <w:p w14:paraId="6A56437F">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8.1合同工程：</w:t>
      </w:r>
      <w:r>
        <w:rPr>
          <w:rFonts w:hint="eastAsia" w:ascii="仿宋" w:hAnsi="仿宋" w:eastAsia="仿宋" w:cs="仿宋"/>
          <w:color w:val="000000" w:themeColor="text1"/>
          <w:sz w:val="24"/>
          <w:szCs w:val="24"/>
          <w:highlight w:val="none"/>
          <w:lang w:eastAsia="zh-CN"/>
          <w14:textFill>
            <w14:solidFill>
              <w14:schemeClr w14:val="tx1"/>
            </w14:solidFill>
          </w14:textFill>
        </w:rPr>
        <w:t>指合同双方当事人在协议书中约定的承包范围内的工程，包括永久工程和（或）临时工程。</w:t>
      </w:r>
    </w:p>
    <w:p w14:paraId="0A68402C">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8.2永久工程：</w:t>
      </w:r>
      <w:r>
        <w:rPr>
          <w:rFonts w:hint="eastAsia" w:ascii="仿宋" w:hAnsi="仿宋" w:eastAsia="仿宋" w:cs="仿宋"/>
          <w:color w:val="000000" w:themeColor="text1"/>
          <w:sz w:val="24"/>
          <w:szCs w:val="24"/>
          <w:highlight w:val="none"/>
          <w:lang w:eastAsia="zh-CN"/>
          <w14:textFill>
            <w14:solidFill>
              <w14:schemeClr w14:val="tx1"/>
            </w14:solidFill>
          </w14:textFill>
        </w:rPr>
        <w:t>指按照合同约定承包人应当实施、完成并移交给发包人的永久性工程，包括工程设备。</w:t>
      </w:r>
    </w:p>
    <w:p w14:paraId="5C729413">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8.3临时工程：</w:t>
      </w:r>
      <w:r>
        <w:rPr>
          <w:rFonts w:hint="eastAsia" w:ascii="仿宋" w:hAnsi="仿宋" w:eastAsia="仿宋" w:cs="仿宋"/>
          <w:color w:val="000000" w:themeColor="text1"/>
          <w:sz w:val="24"/>
          <w:szCs w:val="24"/>
          <w:highlight w:val="none"/>
          <w:lang w:eastAsia="zh-CN"/>
          <w14:textFill>
            <w14:solidFill>
              <w14:schemeClr w14:val="tx1"/>
            </w14:solidFill>
          </w14:textFill>
        </w:rPr>
        <w:t>指实施、完成并保修永久工程过程中所需要的各类临时性工程，不包括施工设备。</w:t>
      </w:r>
    </w:p>
    <w:p w14:paraId="32A790AB">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8.4分包：</w:t>
      </w:r>
      <w:r>
        <w:rPr>
          <w:rFonts w:hint="eastAsia" w:ascii="仿宋" w:hAnsi="仿宋" w:eastAsia="仿宋" w:cs="仿宋"/>
          <w:color w:val="000000" w:themeColor="text1"/>
          <w:sz w:val="24"/>
          <w:szCs w:val="24"/>
          <w:highlight w:val="none"/>
          <w:lang w:eastAsia="zh-CN"/>
          <w14:textFill>
            <w14:solidFill>
              <w14:schemeClr w14:val="tx1"/>
            </w14:solidFill>
          </w14:textFill>
        </w:rPr>
        <w:t>指合同工程中，由具有相应分包资质的分包人实施、完成的非主体、关键性工作。</w:t>
      </w:r>
    </w:p>
    <w:p w14:paraId="6165BBF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8.5</w:t>
      </w:r>
      <w:r>
        <w:rPr>
          <w:rFonts w:hint="eastAsia" w:ascii="仿宋" w:hAnsi="仿宋" w:eastAsia="仿宋" w:cs="仿宋"/>
          <w:b/>
          <w:bCs/>
          <w:color w:val="000000" w:themeColor="text1"/>
          <w:sz w:val="24"/>
          <w:szCs w:val="24"/>
          <w:highlight w:val="none"/>
          <w:shd w:val="clear" w:color="auto" w:fill="FFFFFF"/>
          <w:lang w:eastAsia="zh-CN"/>
          <w14:textFill>
            <w14:solidFill>
              <w14:schemeClr w14:val="tx1"/>
            </w14:solidFill>
          </w14:textFill>
        </w:rPr>
        <w:t>单项工程：</w:t>
      </w:r>
      <w:r>
        <w:rPr>
          <w:rFonts w:hint="eastAsia" w:ascii="仿宋" w:hAnsi="仿宋" w:eastAsia="仿宋" w:cs="仿宋"/>
          <w:color w:val="000000" w:themeColor="text1"/>
          <w:sz w:val="24"/>
          <w:szCs w:val="24"/>
          <w:highlight w:val="none"/>
          <w:lang w:eastAsia="zh-CN"/>
          <w14:textFill>
            <w14:solidFill>
              <w14:schemeClr w14:val="tx1"/>
            </w14:solidFill>
          </w14:textFill>
        </w:rPr>
        <w:t>指具有独立的设计文件，竣工后可以独立发挥生产能力和效益的永久工程。组成合同工程的单项工程名称、内容和范围等应在专用条款中明确。</w:t>
      </w:r>
    </w:p>
    <w:p w14:paraId="16E82C3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1.8.6 工程材料：</w:t>
      </w:r>
      <w:r>
        <w:rPr>
          <w:rFonts w:hint="eastAsia" w:ascii="仿宋" w:hAnsi="仿宋" w:eastAsia="仿宋" w:cs="仿宋"/>
          <w:bCs/>
          <w:color w:val="000000" w:themeColor="text1"/>
          <w:sz w:val="24"/>
          <w:szCs w:val="24"/>
          <w:highlight w:val="none"/>
          <w:lang w:eastAsia="zh-CN"/>
          <w14:textFill>
            <w14:solidFill>
              <w14:schemeClr w14:val="tx1"/>
            </w14:solidFill>
          </w14:textFill>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000000" w:themeColor="text1"/>
          <w:sz w:val="24"/>
          <w:szCs w:val="24"/>
          <w:highlight w:val="none"/>
          <w:lang w:eastAsia="zh-CN"/>
          <w14:textFill>
            <w14:solidFill>
              <w14:schemeClr w14:val="tx1"/>
            </w14:solidFill>
          </w14:textFill>
        </w:rPr>
        <w:t>供应</w:t>
      </w:r>
      <w:r>
        <w:rPr>
          <w:rFonts w:hint="eastAsia" w:ascii="仿宋" w:hAnsi="仿宋" w:eastAsia="仿宋" w:cs="仿宋"/>
          <w:bCs/>
          <w:color w:val="000000" w:themeColor="text1"/>
          <w:sz w:val="24"/>
          <w:szCs w:val="24"/>
          <w:highlight w:val="none"/>
          <w:lang w:eastAsia="zh-CN"/>
          <w14:textFill>
            <w14:solidFill>
              <w14:schemeClr w14:val="tx1"/>
            </w14:solidFill>
          </w14:textFill>
        </w:rPr>
        <w:t>的物品（如果有）。</w:t>
      </w:r>
    </w:p>
    <w:p w14:paraId="63F5637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1.8.7 装配式构件：</w:t>
      </w:r>
      <w:r>
        <w:rPr>
          <w:rFonts w:hint="eastAsia" w:ascii="仿宋" w:hAnsi="仿宋" w:eastAsia="仿宋" w:cs="仿宋"/>
          <w:bCs/>
          <w:color w:val="000000" w:themeColor="text1"/>
          <w:sz w:val="24"/>
          <w:szCs w:val="24"/>
          <w:highlight w:val="none"/>
          <w:lang w:eastAsia="zh-CN"/>
          <w14:textFill>
            <w14:solidFill>
              <w14:schemeClr w14:val="tx1"/>
            </w14:solidFill>
          </w14:textFill>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57F5C77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8.8工程设备：</w:t>
      </w:r>
      <w:r>
        <w:rPr>
          <w:rFonts w:hint="eastAsia" w:ascii="仿宋" w:hAnsi="仿宋" w:eastAsia="仿宋" w:cs="仿宋"/>
          <w:color w:val="000000" w:themeColor="text1"/>
          <w:sz w:val="24"/>
          <w:szCs w:val="24"/>
          <w:highlight w:val="none"/>
          <w:lang w:eastAsia="zh-CN"/>
          <w14:textFill>
            <w14:solidFill>
              <w14:schemeClr w14:val="tx1"/>
            </w14:solidFill>
          </w14:textFill>
        </w:rPr>
        <w:t>指构成永久工程实体、能够发挥建筑安装工程功能的建筑设备、机电设备及其他配套设备和装置。</w:t>
      </w:r>
    </w:p>
    <w:p w14:paraId="0AF2D889">
      <w:pPr>
        <w:pStyle w:val="40"/>
        <w:widowControl w:val="0"/>
        <w:tabs>
          <w:tab w:val="left" w:pos="1260"/>
          <w:tab w:val="left" w:pos="2160"/>
        </w:tabs>
        <w:adjustRightInd w:val="0"/>
        <w:spacing w:before="120" w:beforeLines="50"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8.9设备及工器具：</w:t>
      </w:r>
      <w:r>
        <w:rPr>
          <w:rFonts w:hint="eastAsia" w:ascii="仿宋" w:hAnsi="仿宋" w:eastAsia="仿宋" w:cs="仿宋"/>
          <w:color w:val="000000" w:themeColor="text1"/>
          <w:sz w:val="24"/>
          <w:szCs w:val="24"/>
          <w:highlight w:val="none"/>
          <w:lang w:eastAsia="zh-CN"/>
          <w14:textFill>
            <w14:solidFill>
              <w14:schemeClr w14:val="tx1"/>
            </w14:solidFill>
          </w14:textFill>
        </w:rPr>
        <w:t>指独立于永久工程的实体之外、用于生产或运营的生产设备、办公设备及相关工具、仪器。</w:t>
      </w:r>
    </w:p>
    <w:p w14:paraId="2169B63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8.10施工设备：</w:t>
      </w:r>
      <w:r>
        <w:rPr>
          <w:rFonts w:hint="eastAsia" w:ascii="仿宋" w:hAnsi="仿宋" w:eastAsia="仿宋" w:cs="仿宋"/>
          <w:color w:val="000000" w:themeColor="text1"/>
          <w:sz w:val="24"/>
          <w:szCs w:val="24"/>
          <w:highlight w:val="none"/>
          <w:lang w:eastAsia="zh-CN"/>
          <w14:textFill>
            <w14:solidFill>
              <w14:schemeClr w14:val="tx1"/>
            </w14:solidFill>
          </w14:textFill>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6F81446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7" w:name="_Toc32566"/>
      <w:r>
        <w:rPr>
          <w:rFonts w:hint="eastAsia" w:ascii="仿宋" w:hAnsi="仿宋" w:eastAsia="仿宋" w:cs="仿宋"/>
          <w:b/>
          <w:bCs/>
          <w:color w:val="000000" w:themeColor="text1"/>
          <w:sz w:val="24"/>
          <w:szCs w:val="24"/>
          <w:highlight w:val="none"/>
          <w:lang w:eastAsia="zh-CN"/>
          <w14:textFill>
            <w14:solidFill>
              <w14:schemeClr w14:val="tx1"/>
            </w14:solidFill>
          </w14:textFill>
        </w:rPr>
        <w:t>1.9 缺陷及修复</w:t>
      </w:r>
      <w:bookmarkEnd w:id="77"/>
    </w:p>
    <w:p w14:paraId="4D2957F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1.9.1</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勘察缺陷：</w:t>
      </w:r>
      <w:r>
        <w:rPr>
          <w:rFonts w:hint="eastAsia" w:ascii="仿宋" w:hAnsi="仿宋" w:eastAsia="仿宋" w:cs="仿宋"/>
          <w:bCs/>
          <w:color w:val="000000" w:themeColor="text1"/>
          <w:sz w:val="24"/>
          <w:szCs w:val="24"/>
          <w:highlight w:val="none"/>
          <w:lang w:eastAsia="zh-CN"/>
          <w14:textFill>
            <w14:solidFill>
              <w14:schemeClr w14:val="tx1"/>
            </w14:solidFill>
          </w14:textFill>
        </w:rPr>
        <w:t>指因承包人未按合同约定的要求进行工程勘察或勘察成果不符合合同约定的标准规范及发包人具体要求，勘察成果存在遗漏、错误，</w:t>
      </w:r>
      <w:r>
        <w:rPr>
          <w:rFonts w:hint="eastAsia" w:ascii="仿宋" w:hAnsi="仿宋" w:eastAsia="仿宋"/>
          <w:color w:val="000000" w:themeColor="text1"/>
          <w:sz w:val="24"/>
          <w:szCs w:val="24"/>
          <w:highlight w:val="none"/>
          <w:lang w:eastAsia="zh-CN"/>
          <w14:textFill>
            <w14:solidFill>
              <w14:schemeClr w14:val="tx1"/>
            </w14:solidFill>
          </w14:textFill>
        </w:rPr>
        <w:t>导致设计成果或已完成</w:t>
      </w:r>
      <w:r>
        <w:rPr>
          <w:rFonts w:hint="eastAsia" w:ascii="仿宋" w:hAnsi="仿宋" w:eastAsia="仿宋" w:cs="仿宋"/>
          <w:bCs/>
          <w:color w:val="000000" w:themeColor="text1"/>
          <w:sz w:val="24"/>
          <w:szCs w:val="24"/>
          <w:highlight w:val="none"/>
          <w:lang w:eastAsia="zh-CN"/>
          <w14:textFill>
            <w14:solidFill>
              <w14:schemeClr w14:val="tx1"/>
            </w14:solidFill>
          </w14:textFill>
        </w:rPr>
        <w:t>工程存在重大缺陷或出现质量事故。</w:t>
      </w:r>
    </w:p>
    <w:p w14:paraId="46207C0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1.9.2</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设计缺陷：</w:t>
      </w:r>
      <w:r>
        <w:rPr>
          <w:rFonts w:hint="eastAsia" w:ascii="仿宋" w:hAnsi="仿宋" w:eastAsia="仿宋" w:cs="仿宋"/>
          <w:bCs/>
          <w:color w:val="000000" w:themeColor="text1"/>
          <w:sz w:val="24"/>
          <w:szCs w:val="24"/>
          <w:highlight w:val="none"/>
          <w:lang w:eastAsia="zh-CN"/>
          <w14:textFill>
            <w14:solidFill>
              <w14:schemeClr w14:val="tx1"/>
            </w14:solidFill>
          </w14:textFill>
        </w:rPr>
        <w:t>指因承包人未按合同约定的要求进行工程设计或设计成果不符合合同约定的标准规范及发包人具体要求，</w:t>
      </w:r>
      <w:r>
        <w:rPr>
          <w:rFonts w:ascii="仿宋" w:hAnsi="仿宋" w:eastAsia="仿宋"/>
          <w:color w:val="000000" w:themeColor="text1"/>
          <w:sz w:val="24"/>
          <w:szCs w:val="24"/>
          <w:highlight w:val="none"/>
          <w:lang w:eastAsia="zh-CN"/>
          <w14:textFill>
            <w14:solidFill>
              <w14:schemeClr w14:val="tx1"/>
            </w14:solidFill>
          </w14:textFill>
        </w:rPr>
        <w:t>设计文件存在遗漏、错误</w:t>
      </w:r>
      <w:r>
        <w:rPr>
          <w:rFonts w:hint="eastAsia" w:ascii="仿宋" w:hAnsi="仿宋" w:eastAsia="仿宋"/>
          <w:color w:val="000000" w:themeColor="text1"/>
          <w:sz w:val="24"/>
          <w:szCs w:val="24"/>
          <w:highlight w:val="none"/>
          <w:lang w:eastAsia="zh-CN"/>
          <w14:textFill>
            <w14:solidFill>
              <w14:schemeClr w14:val="tx1"/>
            </w14:solidFill>
          </w14:textFill>
        </w:rPr>
        <w:t>或超过限额设计指标，导致已完</w:t>
      </w:r>
      <w:r>
        <w:rPr>
          <w:rFonts w:hint="eastAsia" w:ascii="仿宋" w:hAnsi="仿宋" w:eastAsia="仿宋" w:cs="仿宋"/>
          <w:bCs/>
          <w:color w:val="000000" w:themeColor="text1"/>
          <w:sz w:val="24"/>
          <w:szCs w:val="24"/>
          <w:highlight w:val="none"/>
          <w:lang w:eastAsia="zh-CN"/>
          <w14:textFill>
            <w14:solidFill>
              <w14:schemeClr w14:val="tx1"/>
            </w14:solidFill>
          </w14:textFill>
        </w:rPr>
        <w:t>工程存在重大缺陷、出现质量事故或增加工程费用。</w:t>
      </w:r>
    </w:p>
    <w:p w14:paraId="674284C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 xml:space="preserve">1.9.3 </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BIM技术应用缺陷：</w:t>
      </w:r>
      <w:r>
        <w:rPr>
          <w:rFonts w:hint="eastAsia" w:ascii="仿宋" w:hAnsi="仿宋" w:eastAsia="仿宋" w:cs="仿宋"/>
          <w:bCs/>
          <w:color w:val="000000" w:themeColor="text1"/>
          <w:sz w:val="24"/>
          <w:szCs w:val="24"/>
          <w:highlight w:val="none"/>
          <w:lang w:eastAsia="zh-CN"/>
          <w14:textFill>
            <w14:solidFill>
              <w14:schemeClr w14:val="tx1"/>
            </w14:solidFill>
          </w14:textFill>
        </w:rPr>
        <w:t>指因承包人提供的建筑信息模型（BIM）、信息服务平台及协调管理等服务内容不符合合同约定的标准规范及发包人具体要求，</w:t>
      </w:r>
      <w:r>
        <w:rPr>
          <w:rFonts w:hint="eastAsia" w:ascii="仿宋" w:hAnsi="仿宋" w:eastAsia="仿宋"/>
          <w:color w:val="000000" w:themeColor="text1"/>
          <w:sz w:val="24"/>
          <w:szCs w:val="24"/>
          <w:highlight w:val="none"/>
          <w:lang w:eastAsia="zh-CN"/>
          <w14:textFill>
            <w14:solidFill>
              <w14:schemeClr w14:val="tx1"/>
            </w14:solidFill>
          </w14:textFill>
        </w:rPr>
        <w:t>建筑信息模型（BIM）及相关工作</w:t>
      </w:r>
      <w:r>
        <w:rPr>
          <w:rFonts w:ascii="仿宋" w:hAnsi="仿宋" w:eastAsia="仿宋"/>
          <w:color w:val="000000" w:themeColor="text1"/>
          <w:sz w:val="24"/>
          <w:szCs w:val="24"/>
          <w:highlight w:val="none"/>
          <w:lang w:eastAsia="zh-CN"/>
          <w14:textFill>
            <w14:solidFill>
              <w14:schemeClr w14:val="tx1"/>
            </w14:solidFill>
          </w14:textFill>
        </w:rPr>
        <w:t>存在遗漏、错误</w:t>
      </w:r>
      <w:r>
        <w:rPr>
          <w:rFonts w:hint="eastAsia" w:ascii="仿宋" w:hAnsi="仿宋" w:eastAsia="仿宋"/>
          <w:color w:val="000000" w:themeColor="text1"/>
          <w:sz w:val="24"/>
          <w:szCs w:val="24"/>
          <w:highlight w:val="none"/>
          <w:lang w:eastAsia="zh-CN"/>
          <w14:textFill>
            <w14:solidFill>
              <w14:schemeClr w14:val="tx1"/>
            </w14:solidFill>
          </w14:textFill>
        </w:rPr>
        <w:t>，导致已完</w:t>
      </w:r>
      <w:r>
        <w:rPr>
          <w:rFonts w:hint="eastAsia" w:ascii="仿宋" w:hAnsi="仿宋" w:eastAsia="仿宋" w:cs="仿宋"/>
          <w:bCs/>
          <w:color w:val="000000" w:themeColor="text1"/>
          <w:sz w:val="24"/>
          <w:szCs w:val="24"/>
          <w:highlight w:val="none"/>
          <w:lang w:eastAsia="zh-CN"/>
          <w14:textFill>
            <w14:solidFill>
              <w14:schemeClr w14:val="tx1"/>
            </w14:solidFill>
          </w14:textFill>
        </w:rPr>
        <w:t>工程存在重大缺陷、出现质量事故或增加工程费用。</w:t>
      </w:r>
    </w:p>
    <w:p w14:paraId="7DEC087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1.9.4</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设备及工器具购置缺陷：</w:t>
      </w:r>
      <w:r>
        <w:rPr>
          <w:rFonts w:hint="eastAsia" w:ascii="仿宋" w:hAnsi="仿宋" w:eastAsia="仿宋" w:cs="仿宋"/>
          <w:bCs/>
          <w:color w:val="000000" w:themeColor="text1"/>
          <w:sz w:val="24"/>
          <w:szCs w:val="24"/>
          <w:highlight w:val="none"/>
          <w:lang w:eastAsia="zh-CN"/>
          <w14:textFill>
            <w14:solidFill>
              <w14:schemeClr w14:val="tx1"/>
            </w14:solidFill>
          </w14:textFill>
        </w:rPr>
        <w:t>指因承包人未按合同约定的要求购置设备及工器具，或购置的设备及工器具质量与数量不符合合同约定的标准规范或发包人具体要求</w:t>
      </w:r>
      <w:r>
        <w:rPr>
          <w:rFonts w:hint="eastAsia" w:ascii="仿宋" w:hAnsi="仿宋" w:eastAsia="仿宋"/>
          <w:color w:val="000000" w:themeColor="text1"/>
          <w:sz w:val="24"/>
          <w:szCs w:val="24"/>
          <w:highlight w:val="none"/>
          <w:lang w:eastAsia="zh-CN"/>
          <w14:textFill>
            <w14:solidFill>
              <w14:schemeClr w14:val="tx1"/>
            </w14:solidFill>
          </w14:textFill>
        </w:rPr>
        <w:t>，导致建设项目无法</w:t>
      </w:r>
      <w:r>
        <w:rPr>
          <w:rFonts w:hint="eastAsia" w:ascii="仿宋" w:hAnsi="仿宋" w:eastAsia="仿宋" w:cs="仿宋"/>
          <w:bCs/>
          <w:color w:val="000000" w:themeColor="text1"/>
          <w:sz w:val="24"/>
          <w:szCs w:val="24"/>
          <w:highlight w:val="none"/>
          <w:lang w:eastAsia="zh-CN"/>
          <w14:textFill>
            <w14:solidFill>
              <w14:schemeClr w14:val="tx1"/>
            </w14:solidFill>
          </w14:textFill>
        </w:rPr>
        <w:t>达到生产或运营能力。</w:t>
      </w:r>
    </w:p>
    <w:p w14:paraId="630E0FC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1.9.5</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采购缺陷：</w:t>
      </w:r>
      <w:r>
        <w:rPr>
          <w:rFonts w:hint="eastAsia" w:ascii="仿宋" w:hAnsi="仿宋" w:eastAsia="仿宋" w:cs="仿宋"/>
          <w:bCs/>
          <w:color w:val="000000" w:themeColor="text1"/>
          <w:sz w:val="24"/>
          <w:szCs w:val="24"/>
          <w:highlight w:val="none"/>
          <w:lang w:eastAsia="zh-CN"/>
          <w14:textFill>
            <w14:solidFill>
              <w14:schemeClr w14:val="tx1"/>
            </w14:solidFill>
          </w14:textFill>
        </w:rPr>
        <w:t>指因承包人采购的构成工程实体的工程材料、工程设备及装配式构件等不符合产品合格标准或发包人要求，导致工程实体存在质量隐患、不良效果等缺陷。</w:t>
      </w:r>
    </w:p>
    <w:p w14:paraId="2D802F0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1.9.6</w: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 工程质量缺陷：</w:t>
      </w:r>
      <w:r>
        <w:rPr>
          <w:rFonts w:hint="eastAsia" w:ascii="仿宋" w:hAnsi="仿宋" w:eastAsia="仿宋" w:cs="仿宋"/>
          <w:bCs/>
          <w:color w:val="000000" w:themeColor="text1"/>
          <w:sz w:val="24"/>
          <w:szCs w:val="24"/>
          <w:highlight w:val="none"/>
          <w:lang w:eastAsia="zh-CN"/>
          <w14:textFill>
            <w14:solidFill>
              <w14:schemeClr w14:val="tx1"/>
            </w14:solidFill>
          </w14:textFill>
        </w:rPr>
        <w:t>指因承包人未按合同约定的要求进行施工或施工质量不符合合同约定的标准规范或发包人具体要求，</w:t>
      </w:r>
      <w:r>
        <w:rPr>
          <w:rFonts w:hint="eastAsia" w:ascii="仿宋" w:hAnsi="仿宋" w:eastAsia="仿宋"/>
          <w:color w:val="000000" w:themeColor="text1"/>
          <w:sz w:val="24"/>
          <w:szCs w:val="24"/>
          <w:highlight w:val="none"/>
          <w:lang w:eastAsia="zh-CN"/>
          <w14:textFill>
            <w14:solidFill>
              <w14:schemeClr w14:val="tx1"/>
            </w14:solidFill>
          </w14:textFill>
        </w:rPr>
        <w:t>导致</w:t>
      </w:r>
      <w:r>
        <w:rPr>
          <w:rFonts w:hint="eastAsia" w:ascii="仿宋" w:hAnsi="仿宋" w:eastAsia="仿宋" w:cs="仿宋"/>
          <w:bCs/>
          <w:color w:val="000000" w:themeColor="text1"/>
          <w:sz w:val="24"/>
          <w:szCs w:val="24"/>
          <w:highlight w:val="none"/>
          <w:lang w:eastAsia="zh-CN"/>
          <w14:textFill>
            <w14:solidFill>
              <w14:schemeClr w14:val="tx1"/>
            </w14:solidFill>
          </w14:textFill>
        </w:rPr>
        <w:t>工程存在重大缺陷或出现质量事故。</w:t>
      </w:r>
    </w:p>
    <w:p w14:paraId="2998919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b/>
          <w:color w:val="000000" w:themeColor="text1"/>
          <w:sz w:val="24"/>
          <w:szCs w:val="24"/>
          <w:highlight w:val="none"/>
          <w:lang w:eastAsia="zh-CN"/>
          <w14:textFill>
            <w14:solidFill>
              <w14:schemeClr w14:val="tx1"/>
            </w14:solidFill>
          </w14:textFill>
        </w:rPr>
        <w:t>1.9.7 其他服务缺陷：</w:t>
      </w:r>
      <w:r>
        <w:rPr>
          <w:rFonts w:hint="eastAsia" w:ascii="仿宋" w:hAnsi="仿宋" w:eastAsia="仿宋"/>
          <w:color w:val="000000" w:themeColor="text1"/>
          <w:sz w:val="24"/>
          <w:szCs w:val="24"/>
          <w:highlight w:val="none"/>
          <w:lang w:eastAsia="zh-CN"/>
          <w14:textFill>
            <w14:solidFill>
              <w14:schemeClr w14:val="tx1"/>
            </w14:solidFill>
          </w14:textFill>
        </w:rPr>
        <w:t>指承包人未按合同约定的要求开展其他服务或服务质量达不到合同约定的标准规范或发包人具体要求，导致发包人无法</w:t>
      </w:r>
      <w:r>
        <w:rPr>
          <w:rFonts w:hint="eastAsia" w:ascii="仿宋" w:hAnsi="仿宋" w:eastAsia="仿宋" w:cs="仿宋"/>
          <w:color w:val="000000" w:themeColor="text1"/>
          <w:sz w:val="24"/>
          <w:szCs w:val="24"/>
          <w:highlight w:val="none"/>
          <w:lang w:eastAsia="zh-CN"/>
          <w14:textFill>
            <w14:solidFill>
              <w14:schemeClr w14:val="tx1"/>
            </w14:solidFill>
          </w14:textFill>
        </w:rPr>
        <w:t>正常</w:t>
      </w:r>
      <w:r>
        <w:rPr>
          <w:rFonts w:hint="eastAsia" w:ascii="仿宋" w:hAnsi="仿宋" w:eastAsia="仿宋"/>
          <w:color w:val="000000" w:themeColor="text1"/>
          <w:sz w:val="24"/>
          <w:szCs w:val="24"/>
          <w:highlight w:val="none"/>
          <w:lang w:eastAsia="zh-CN"/>
          <w14:textFill>
            <w14:solidFill>
              <w14:schemeClr w14:val="tx1"/>
            </w14:solidFill>
          </w14:textFill>
        </w:rPr>
        <w:t>使用。</w:t>
      </w:r>
    </w:p>
    <w:p w14:paraId="5D16C96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bookmarkStart w:id="78" w:name="_Toc4634"/>
      <w:r>
        <w:rPr>
          <w:rFonts w:hint="eastAsia" w:ascii="仿宋" w:hAnsi="仿宋" w:eastAsia="仿宋" w:cs="仿宋"/>
          <w:b/>
          <w:bCs/>
          <w:color w:val="000000" w:themeColor="text1"/>
          <w:sz w:val="24"/>
          <w:szCs w:val="24"/>
          <w:highlight w:val="none"/>
          <w:lang w:eastAsia="zh-CN"/>
          <w14:textFill>
            <w14:solidFill>
              <w14:schemeClr w14:val="tx1"/>
            </w14:solidFill>
          </w14:textFill>
        </w:rPr>
        <w:t>1.10 变更、索赔、验收及其他</w:t>
      </w:r>
      <w:bookmarkEnd w:id="78"/>
    </w:p>
    <w:p w14:paraId="4E38D24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10.1变更：</w:t>
      </w:r>
      <w:r>
        <w:rPr>
          <w:rFonts w:hint="eastAsia" w:ascii="仿宋" w:hAnsi="仿宋" w:eastAsia="仿宋" w:cs="仿宋"/>
          <w:color w:val="000000" w:themeColor="text1"/>
          <w:sz w:val="24"/>
          <w:szCs w:val="24"/>
          <w:highlight w:val="none"/>
          <w:lang w:eastAsia="zh-CN"/>
          <w14:textFill>
            <w14:solidFill>
              <w14:schemeClr w14:val="tx1"/>
            </w14:solidFill>
          </w14:textFill>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74E6C1AE">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10.2索赔：</w:t>
      </w:r>
      <w:r>
        <w:rPr>
          <w:rFonts w:hint="eastAsia" w:ascii="仿宋" w:hAnsi="仿宋" w:eastAsia="仿宋" w:cs="仿宋"/>
          <w:color w:val="000000" w:themeColor="text1"/>
          <w:sz w:val="24"/>
          <w:szCs w:val="24"/>
          <w:highlight w:val="none"/>
          <w:lang w:eastAsia="zh-CN"/>
          <w14:textFill>
            <w14:solidFill>
              <w14:schemeClr w14:val="tx1"/>
            </w14:solidFill>
          </w14:textFill>
        </w:rPr>
        <w:t>指合同履行期间，对于非自己的过错而应由对方当事人承担责任的情况所造成的损失，并根据第43条和第80条约定向对方当事人提出费用补偿和（或）工期顺延的要求。</w:t>
      </w:r>
    </w:p>
    <w:p w14:paraId="53A127A5">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10.3现场签证：</w:t>
      </w:r>
      <w:r>
        <w:rPr>
          <w:rFonts w:hint="eastAsia" w:ascii="仿宋" w:hAnsi="仿宋" w:eastAsia="仿宋" w:cs="仿宋"/>
          <w:color w:val="000000" w:themeColor="text1"/>
          <w:sz w:val="24"/>
          <w:szCs w:val="24"/>
          <w:highlight w:val="none"/>
          <w:lang w:eastAsia="zh-CN"/>
          <w14:textFill>
            <w14:solidFill>
              <w14:schemeClr w14:val="tx1"/>
            </w14:solidFill>
          </w14:textFill>
        </w:rPr>
        <w:t>指合同双方当事人按照第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款约定的指定人选根据第81条约定就工程总承包实施过程中涉及的责任事项所作的签认证明。</w:t>
      </w:r>
    </w:p>
    <w:p w14:paraId="687AD375">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10.4工作成果验收：</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指承包人完成了勘察、设计、建筑信息模型（BIM）等合同约定的阶段性工作后，发包人按照合同约定对其完成的工作成效和（或）成果文件进行的验收或确认。</w:t>
      </w:r>
    </w:p>
    <w:p w14:paraId="4B0F2CA2">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10.5竣工验收：</w:t>
      </w:r>
      <w:r>
        <w:rPr>
          <w:rFonts w:hint="eastAsia" w:ascii="仿宋" w:hAnsi="仿宋" w:eastAsia="仿宋" w:cs="仿宋"/>
          <w:color w:val="000000" w:themeColor="text1"/>
          <w:sz w:val="24"/>
          <w:szCs w:val="24"/>
          <w:highlight w:val="none"/>
          <w:lang w:eastAsia="zh-CN"/>
          <w14:textFill>
            <w14:solidFill>
              <w14:schemeClr w14:val="tx1"/>
            </w14:solidFill>
          </w14:textFill>
        </w:rPr>
        <w:t>指承包人完成了全部合同工作后，发包人按照合同约定进行的验收。</w:t>
      </w:r>
    </w:p>
    <w:p w14:paraId="203029BB">
      <w:pPr>
        <w:pStyle w:val="40"/>
        <w:widowControl w:val="0"/>
        <w:tabs>
          <w:tab w:val="left" w:pos="1260"/>
          <w:tab w:val="left" w:pos="2160"/>
        </w:tabs>
        <w:adjustRightInd w:val="0"/>
        <w:spacing w:before="120" w:beforeLines="50"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10.6国家验收：</w:t>
      </w:r>
      <w:r>
        <w:rPr>
          <w:rFonts w:hint="eastAsia" w:ascii="仿宋" w:hAnsi="仿宋" w:eastAsia="仿宋" w:cs="仿宋"/>
          <w:color w:val="000000" w:themeColor="text1"/>
          <w:sz w:val="24"/>
          <w:szCs w:val="24"/>
          <w:highlight w:val="none"/>
          <w:lang w:eastAsia="zh-CN"/>
          <w14:textFill>
            <w14:solidFill>
              <w14:schemeClr w14:val="tx1"/>
            </w14:solidFill>
          </w14:textFill>
        </w:rPr>
        <w:t>指政府部门根据法律和政策等有关规定，针对发包人全面组织实施的整个工程在正式交付投运前的验收。</w:t>
      </w:r>
    </w:p>
    <w:p w14:paraId="72BDAD7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10.7书面形式：</w:t>
      </w:r>
      <w:r>
        <w:rPr>
          <w:rFonts w:hint="eastAsia" w:ascii="仿宋" w:hAnsi="仿宋" w:eastAsia="仿宋" w:cs="仿宋"/>
          <w:color w:val="000000" w:themeColor="text1"/>
          <w:sz w:val="24"/>
          <w:szCs w:val="24"/>
          <w:highlight w:val="none"/>
          <w:lang w:eastAsia="zh-CN"/>
          <w14:textFill>
            <w14:solidFill>
              <w14:schemeClr w14:val="tx1"/>
            </w14:solidFill>
          </w14:textFill>
        </w:rPr>
        <w:t>指合同文件、信函、电报、电传、传真、电子数据交换文件、电子邮件、会议纪要等可以有形地表现所载内容的形式。合同双方当事人可在专用条款中注明所采用的书面形式。</w:t>
      </w:r>
    </w:p>
    <w:p w14:paraId="71B4B9D2">
      <w:pPr>
        <w:pStyle w:val="40"/>
        <w:widowControl w:val="0"/>
        <w:tabs>
          <w:tab w:val="left" w:pos="1260"/>
          <w:tab w:val="left" w:pos="2160"/>
        </w:tabs>
        <w:adjustRightInd w:val="0"/>
        <w:spacing w:before="120" w:beforeLines="50"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10.8国家：</w:t>
      </w:r>
      <w:r>
        <w:rPr>
          <w:rFonts w:hint="eastAsia" w:ascii="仿宋" w:hAnsi="仿宋" w:eastAsia="仿宋" w:cs="仿宋"/>
          <w:color w:val="000000" w:themeColor="text1"/>
          <w:sz w:val="24"/>
          <w:szCs w:val="24"/>
          <w:highlight w:val="none"/>
          <w:lang w:eastAsia="zh-CN"/>
          <w14:textFill>
            <w14:solidFill>
              <w14:schemeClr w14:val="tx1"/>
            </w14:solidFill>
          </w14:textFill>
        </w:rPr>
        <w:t>指中华人民共和国。</w:t>
      </w:r>
    </w:p>
    <w:p w14:paraId="3D49966A">
      <w:pPr>
        <w:tabs>
          <w:tab w:val="left" w:pos="1620"/>
        </w:tabs>
        <w:spacing w:line="360" w:lineRule="auto"/>
        <w:rPr>
          <w:rFonts w:ascii="仿宋" w:hAnsi="仿宋" w:eastAsia="仿宋"/>
          <w:b/>
          <w:bCs/>
          <w:color w:val="000000" w:themeColor="text1"/>
          <w:highlight w:val="none"/>
          <w:lang w:eastAsia="zh-CN"/>
          <w14:textFill>
            <w14:solidFill>
              <w14:schemeClr w14:val="tx1"/>
            </w14:solidFill>
          </w14:textFill>
        </w:rPr>
      </w:pPr>
    </w:p>
    <w:p w14:paraId="4B1C345A">
      <w:pPr>
        <w:pStyle w:val="6"/>
        <w:tabs>
          <w:tab w:val="left" w:pos="420"/>
        </w:tabs>
        <w:spacing w:before="120" w:beforeLines="50" w:after="120" w:afterLines="50" w:line="360" w:lineRule="auto"/>
        <w:rPr>
          <w:rFonts w:ascii="仿宋" w:hAnsi="仿宋" w:eastAsia="仿宋"/>
          <w:bCs w:val="0"/>
          <w:color w:val="000000" w:themeColor="text1"/>
          <w:sz w:val="24"/>
          <w:szCs w:val="24"/>
          <w:highlight w:val="none"/>
          <w:lang w:eastAsia="zh-CN"/>
          <w14:textFill>
            <w14:solidFill>
              <w14:schemeClr w14:val="tx1"/>
            </w14:solidFill>
          </w14:textFill>
        </w:rPr>
      </w:pPr>
      <w:bookmarkStart w:id="79" w:name="_Toc25705"/>
      <w:bookmarkStart w:id="80" w:name="_Toc149731432"/>
      <w:bookmarkStart w:id="81" w:name="_Toc469383981"/>
      <w:r>
        <w:rPr>
          <w:rFonts w:ascii="仿宋" w:hAnsi="仿宋" w:eastAsia="仿宋" w:cs="仿宋"/>
          <w:bCs w:val="0"/>
          <w:color w:val="000000" w:themeColor="text1"/>
          <w:sz w:val="24"/>
          <w:szCs w:val="24"/>
          <w:highlight w:val="none"/>
          <w:lang w:eastAsia="zh-CN"/>
          <w14:textFill>
            <w14:solidFill>
              <w14:schemeClr w14:val="tx1"/>
            </w14:solidFill>
          </w14:textFill>
        </w:rPr>
        <w:t xml:space="preserve">2 </w:t>
      </w:r>
      <w:r>
        <w:rPr>
          <w:rFonts w:hint="eastAsia" w:ascii="仿宋" w:hAnsi="仿宋" w:eastAsia="仿宋" w:cs="仿宋"/>
          <w:bCs w:val="0"/>
          <w:color w:val="000000" w:themeColor="text1"/>
          <w:sz w:val="24"/>
          <w:szCs w:val="24"/>
          <w:highlight w:val="none"/>
          <w:lang w:eastAsia="zh-CN"/>
          <w14:textFill>
            <w14:solidFill>
              <w14:schemeClr w14:val="tx1"/>
            </w14:solidFill>
          </w14:textFill>
        </w:rPr>
        <w:t>合同文件及解释</w:t>
      </w:r>
      <w:bookmarkEnd w:id="79"/>
      <w:bookmarkEnd w:id="80"/>
      <w:bookmarkEnd w:id="81"/>
    </w:p>
    <w:p w14:paraId="1411445A">
      <w:pPr>
        <w:pStyle w:val="40"/>
        <w:tabs>
          <w:tab w:val="left" w:pos="1202"/>
        </w:tabs>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6C8478B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6C8478B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2.1</w:t>
      </w:r>
    </w:p>
    <w:p w14:paraId="7577FA7F">
      <w:pPr>
        <w:pStyle w:val="40"/>
        <w:widowControl w:val="0"/>
        <w:tabs>
          <w:tab w:val="left" w:pos="1202"/>
          <w:tab w:val="left" w:pos="1620"/>
          <w:tab w:val="left" w:pos="1800"/>
          <w:tab w:val="left" w:pos="2160"/>
        </w:tabs>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本合同条款的标题和旁注不构成合同的组成部分。</w:t>
      </w:r>
    </w:p>
    <w:p w14:paraId="16D1D71F">
      <w:pPr>
        <w:pStyle w:val="40"/>
        <w:tabs>
          <w:tab w:val="left" w:pos="1202"/>
        </w:tabs>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ascii="仿宋" w:hAnsi="仿宋" w:eastAsia="仿宋" w:cs="仿宋"/>
          <w:b/>
          <w:bCs/>
          <w:color w:val="000000" w:themeColor="text1"/>
          <w:sz w:val="24"/>
          <w:szCs w:val="24"/>
          <w:highlight w:val="none"/>
          <w:lang w:eastAsia="zh-CN"/>
          <w14:textFill>
            <w14:solidFill>
              <w14:schemeClr w14:val="tx1"/>
            </w14:solidFill>
          </w14:textFill>
        </w:rPr>
        <w:t xml:space="preserve">2.2  </w:t>
      </w:r>
    </w:p>
    <w:p w14:paraId="0B3672D8">
      <w:pPr>
        <w:pStyle w:val="40"/>
        <w:widowControl w:val="0"/>
        <w:tabs>
          <w:tab w:val="left" w:pos="1202"/>
          <w:tab w:val="left" w:pos="1620"/>
          <w:tab w:val="left" w:pos="1800"/>
          <w:tab w:val="left" w:pos="2160"/>
        </w:tabs>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1F2B892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1F2B892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82" w:name="_Ref531948776"/>
      <w:r>
        <w:rPr>
          <w:rFonts w:hint="eastAsia" w:ascii="仿宋" w:hAnsi="仿宋" w:eastAsia="仿宋" w:cs="仿宋"/>
          <w:color w:val="000000" w:themeColor="text1"/>
          <w:sz w:val="24"/>
          <w:szCs w:val="24"/>
          <w:highlight w:val="none"/>
          <w:lang w:eastAsia="zh-CN"/>
          <w14:textFill>
            <w14:solidFill>
              <w14:schemeClr w14:val="tx1"/>
            </w14:solidFill>
          </w14:textFill>
        </w:rPr>
        <w:t>组成合同的各项文件应互相解释，互为说明。除专用条款另有约定外，</w:t>
      </w:r>
      <w:bookmarkEnd w:id="82"/>
      <w:r>
        <w:rPr>
          <w:rFonts w:hint="eastAsia" w:ascii="仿宋" w:hAnsi="仿宋" w:eastAsia="仿宋" w:cs="仿宋"/>
          <w:color w:val="000000" w:themeColor="text1"/>
          <w:sz w:val="24"/>
          <w:szCs w:val="24"/>
          <w:highlight w:val="none"/>
          <w:lang w:eastAsia="zh-CN"/>
          <w14:textFill>
            <w14:solidFill>
              <w14:schemeClr w14:val="tx1"/>
            </w14:solidFill>
          </w14:textFill>
        </w:rPr>
        <w:t>解释合同文件的优先顺序如下：</w:t>
      </w:r>
    </w:p>
    <w:p w14:paraId="42E06CE2">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协议书；</w:t>
      </w:r>
    </w:p>
    <w:p w14:paraId="36BDFE95">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中标通知书（如果有）；</w:t>
      </w:r>
    </w:p>
    <w:p w14:paraId="31DC63DC">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承包人投标文件及其附件（含评标期间的澄清文件和补充资料）（如果有）；</w:t>
      </w:r>
    </w:p>
    <w:p w14:paraId="6EEFBE91">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专用条款；</w:t>
      </w:r>
    </w:p>
    <w:p w14:paraId="7E6EC419">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通用条款；</w:t>
      </w:r>
    </w:p>
    <w:p w14:paraId="7A65E3FF">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《发包人要求》；</w:t>
      </w:r>
    </w:p>
    <w:p w14:paraId="31E8A3A6">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标准、规范；</w:t>
      </w:r>
    </w:p>
    <w:p w14:paraId="44DAF471">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项目基础资料；</w:t>
      </w:r>
    </w:p>
    <w:p w14:paraId="1EE0646D">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合同价格清单；</w:t>
      </w:r>
    </w:p>
    <w:p w14:paraId="2179671E">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招标文件（包括补充、修改、澄清的文件、答疑纪要）（如果有）；</w:t>
      </w:r>
    </w:p>
    <w:p w14:paraId="4975A23F">
      <w:pPr>
        <w:widowControl w:val="0"/>
        <w:numPr>
          <w:ilvl w:val="0"/>
          <w:numId w:val="2"/>
        </w:numPr>
        <w:spacing w:line="360" w:lineRule="auto"/>
        <w:ind w:left="1850" w:leftChars="771"/>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双方约定的其他合同文件。</w:t>
      </w:r>
      <w:bookmarkStart w:id="83" w:name="_Hlk18951547"/>
    </w:p>
    <w:p w14:paraId="40DE1524">
      <w:pPr>
        <w:widowControl w:val="0"/>
        <w:spacing w:line="360" w:lineRule="auto"/>
        <w:ind w:left="1680" w:leftChars="700"/>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上述各项合同文件包括合同当事人就该项合同文件所作出的补充和修改，同类文件相应内容不一致的，应以最新签署的为准</w:t>
      </w:r>
      <w:bookmarkEnd w:id="83"/>
      <w:r>
        <w:rPr>
          <w:rFonts w:hint="eastAsia" w:ascii="仿宋" w:hAnsi="仿宋" w:eastAsia="仿宋" w:cs="仿宋"/>
          <w:color w:val="000000" w:themeColor="text1"/>
          <w:highlight w:val="none"/>
          <w:lang w:eastAsia="zh-CN" w:bidi="ar-SA"/>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合同专用条款及其附件须经合同当事人签字并盖章。</w:t>
      </w:r>
    </w:p>
    <w:p w14:paraId="22DDE025">
      <w:pPr>
        <w:widowControl w:val="0"/>
        <w:spacing w:line="360" w:lineRule="auto"/>
        <w:ind w:firstLine="1680" w:firstLineChars="700"/>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在合同订立及履行过程中形成的与合同有关的文件均构成合同文件组成部分，并根</w:t>
      </w:r>
    </w:p>
    <w:p w14:paraId="34ECABA8">
      <w:pPr>
        <w:widowControl w:val="0"/>
        <w:spacing w:line="360" w:lineRule="auto"/>
        <w:ind w:firstLine="1680" w:firstLineChars="700"/>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据其性质确定优先解释顺序。</w:t>
      </w:r>
    </w:p>
    <w:p w14:paraId="7682190E">
      <w:pPr>
        <w:pStyle w:val="40"/>
        <w:tabs>
          <w:tab w:val="left" w:pos="1202"/>
        </w:tabs>
        <w:spacing w:line="360" w:lineRule="auto"/>
        <w:rPr>
          <w:rFonts w:ascii="仿宋" w:hAnsi="仿宋" w:eastAsia="仿宋"/>
          <w:b/>
          <w:bCs/>
          <w:color w:val="000000" w:themeColor="text1"/>
          <w:sz w:val="24"/>
          <w:szCs w:val="24"/>
          <w:highlight w:val="none"/>
          <w:lang w:eastAsia="zh-CN"/>
          <w14:textFill>
            <w14:solidFill>
              <w14:schemeClr w14:val="tx1"/>
            </w14:solidFill>
          </w14:textFill>
        </w:rPr>
      </w:pPr>
      <w:bookmarkStart w:id="84" w:name="_Toc25289"/>
      <w:r>
        <w:rPr>
          <w:rFonts w:ascii="仿宋" w:hAnsi="仿宋" w:eastAsia="仿宋" w:cs="仿宋"/>
          <w:b/>
          <w:bCs/>
          <w:color w:val="000000" w:themeColor="text1"/>
          <w:sz w:val="24"/>
          <w:szCs w:val="24"/>
          <w:highlight w:val="none"/>
          <w:lang w:eastAsia="zh-CN"/>
          <w14:textFill>
            <w14:solidFill>
              <w14:schemeClr w14:val="tx1"/>
            </w14:solidFill>
          </w14:textFill>
        </w:rPr>
        <w:t>2.3</w:t>
      </w:r>
      <w:bookmarkEnd w:id="84"/>
    </w:p>
    <w:p w14:paraId="780823CC">
      <w:pPr>
        <w:widowControl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3303B35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3303B35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6</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7</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8</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款约定职权作出解释。如合同任何一方当事人不同意设计顾问人、监理人或造价咨询人作出的解释，按照第91条约定处理。</w:t>
      </w:r>
    </w:p>
    <w:p w14:paraId="6B5230BC">
      <w:pPr>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4B247E3A">
      <w:pPr>
        <w:pStyle w:val="6"/>
        <w:tabs>
          <w:tab w:val="left" w:pos="420"/>
        </w:tabs>
        <w:spacing w:before="120" w:beforeLines="50" w:after="120" w:afterLines="50" w:line="360" w:lineRule="auto"/>
        <w:rPr>
          <w:rFonts w:ascii="仿宋" w:hAnsi="仿宋" w:eastAsia="仿宋"/>
          <w:bCs w:val="0"/>
          <w:color w:val="000000" w:themeColor="text1"/>
          <w:sz w:val="24"/>
          <w:szCs w:val="24"/>
          <w:highlight w:val="none"/>
          <w:lang w:eastAsia="zh-CN"/>
          <w14:textFill>
            <w14:solidFill>
              <w14:schemeClr w14:val="tx1"/>
            </w14:solidFill>
          </w14:textFill>
        </w:rPr>
      </w:pPr>
      <w:bookmarkStart w:id="85" w:name="_Toc149731433"/>
      <w:bookmarkStart w:id="86" w:name="_Toc652"/>
      <w:bookmarkStart w:id="87" w:name="_Toc469383982"/>
      <w:r>
        <w:rPr>
          <w:rFonts w:ascii="仿宋" w:hAnsi="仿宋" w:eastAsia="仿宋" w:cs="仿宋"/>
          <w:bCs w:val="0"/>
          <w:color w:val="000000" w:themeColor="text1"/>
          <w:sz w:val="24"/>
          <w:szCs w:val="24"/>
          <w:highlight w:val="none"/>
          <w:lang w:eastAsia="zh-CN"/>
          <w14:textFill>
            <w14:solidFill>
              <w14:schemeClr w14:val="tx1"/>
            </w14:solidFill>
          </w14:textFill>
        </w:rPr>
        <w:t xml:space="preserve">3 </w:t>
      </w:r>
      <w:r>
        <w:rPr>
          <w:rFonts w:hint="eastAsia" w:ascii="仿宋" w:hAnsi="仿宋" w:eastAsia="仿宋" w:cs="仿宋"/>
          <w:bCs w:val="0"/>
          <w:color w:val="000000" w:themeColor="text1"/>
          <w:sz w:val="24"/>
          <w:szCs w:val="24"/>
          <w:highlight w:val="none"/>
          <w:lang w:eastAsia="zh-CN"/>
          <w14:textFill>
            <w14:solidFill>
              <w14:schemeClr w14:val="tx1"/>
            </w14:solidFill>
          </w14:textFill>
        </w:rPr>
        <w:t>阅读、理解与接受</w:t>
      </w:r>
      <w:bookmarkEnd w:id="85"/>
      <w:bookmarkEnd w:id="86"/>
      <w:bookmarkEnd w:id="87"/>
    </w:p>
    <w:p w14:paraId="520B607E">
      <w:pPr>
        <w:tabs>
          <w:tab w:val="left" w:pos="1260"/>
        </w:tabs>
        <w:spacing w:before="240" w:beforeLines="100"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3.1</w:t>
      </w:r>
    </w:p>
    <w:p w14:paraId="1981B16B">
      <w:pPr>
        <w:pStyle w:val="40"/>
        <w:widowControl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1A8C168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1A8C168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合同双方当事人应认真阅读和理解本合同的全部内容。除合同双方当事人同意修改外，本合同一旦订立，视为合同双方当事人已全面接受本合同的所有条款。</w:t>
      </w:r>
    </w:p>
    <w:p w14:paraId="1F802213">
      <w:pPr>
        <w:tabs>
          <w:tab w:val="left" w:pos="1260"/>
        </w:tabs>
        <w:spacing w:before="240" w:beforeLines="100"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88" w:name="_Toc5121"/>
      <w:r>
        <w:rPr>
          <w:rFonts w:ascii="仿宋" w:hAnsi="仿宋" w:eastAsia="仿宋" w:cs="仿宋"/>
          <w:b/>
          <w:bCs/>
          <w:color w:val="000000" w:themeColor="text1"/>
          <w:highlight w:val="none"/>
          <w:lang w:eastAsia="zh-CN"/>
          <w14:textFill>
            <w14:solidFill>
              <w14:schemeClr w14:val="tx1"/>
            </w14:solidFill>
          </w14:textFill>
        </w:rPr>
        <w:t>3.2</w:t>
      </w:r>
      <w:bookmarkEnd w:id="88"/>
    </w:p>
    <w:p w14:paraId="11A80254">
      <w:pPr>
        <w:pStyle w:val="40"/>
        <w:widowControl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31D0365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31D0365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756E18AB">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1BB55541">
      <w:pPr>
        <w:pStyle w:val="6"/>
        <w:widowControl w:val="0"/>
        <w:tabs>
          <w:tab w:val="left" w:pos="420"/>
        </w:tabs>
        <w:spacing w:before="120" w:beforeLines="50" w:after="120" w:afterLines="50" w:line="360" w:lineRule="auto"/>
        <w:rPr>
          <w:rFonts w:ascii="仿宋" w:hAnsi="仿宋" w:eastAsia="仿宋"/>
          <w:bCs w:val="0"/>
          <w:color w:val="000000" w:themeColor="text1"/>
          <w:sz w:val="24"/>
          <w:szCs w:val="24"/>
          <w:highlight w:val="none"/>
          <w:lang w:eastAsia="zh-CN"/>
          <w14:textFill>
            <w14:solidFill>
              <w14:schemeClr w14:val="tx1"/>
            </w14:solidFill>
          </w14:textFill>
        </w:rPr>
      </w:pPr>
      <w:bookmarkStart w:id="89" w:name="_Toc149731434"/>
      <w:bookmarkStart w:id="90" w:name="_Toc21515"/>
      <w:bookmarkStart w:id="91" w:name="_Toc469383983"/>
      <w:r>
        <w:rPr>
          <w:rFonts w:ascii="仿宋" w:hAnsi="仿宋" w:eastAsia="仿宋" w:cs="仿宋"/>
          <w:bCs w:val="0"/>
          <w:color w:val="000000" w:themeColor="text1"/>
          <w:sz w:val="24"/>
          <w:szCs w:val="24"/>
          <w:highlight w:val="none"/>
          <w:lang w:eastAsia="zh-CN"/>
          <w14:textFill>
            <w14:solidFill>
              <w14:schemeClr w14:val="tx1"/>
            </w14:solidFill>
          </w14:textFill>
        </w:rPr>
        <w:t xml:space="preserve">4 </w:t>
      </w:r>
      <w:r>
        <w:rPr>
          <w:rFonts w:hint="eastAsia" w:ascii="仿宋" w:hAnsi="仿宋" w:eastAsia="仿宋" w:cs="仿宋"/>
          <w:bCs w:val="0"/>
          <w:color w:val="000000" w:themeColor="text1"/>
          <w:sz w:val="24"/>
          <w:szCs w:val="24"/>
          <w:highlight w:val="none"/>
          <w:lang w:eastAsia="zh-CN"/>
          <w14:textFill>
            <w14:solidFill>
              <w14:schemeClr w14:val="tx1"/>
            </w14:solidFill>
          </w14:textFill>
        </w:rPr>
        <w:t>语言及适用的法律、标准与规范</w:t>
      </w:r>
      <w:bookmarkEnd w:id="89"/>
      <w:bookmarkEnd w:id="90"/>
      <w:bookmarkEnd w:id="91"/>
    </w:p>
    <w:p w14:paraId="16945F47">
      <w:pPr>
        <w:rPr>
          <w:rFonts w:ascii="仿宋" w:hAnsi="仿宋" w:eastAsia="仿宋"/>
          <w:b/>
          <w:bCs/>
          <w:color w:val="000000" w:themeColor="text1"/>
          <w:highlight w:val="none"/>
          <w:lang w:eastAsia="zh-CN"/>
          <w14:textFill>
            <w14:solidFill>
              <w14:schemeClr w14:val="tx1"/>
            </w14:solidFill>
          </w14:textFill>
        </w:rPr>
      </w:pPr>
      <w:bookmarkStart w:id="92" w:name="_Toc12567"/>
      <w:r>
        <w:rPr>
          <w:rFonts w:ascii="仿宋" w:hAnsi="仿宋" w:eastAsia="仿宋" w:cs="仿宋"/>
          <w:b/>
          <w:bCs/>
          <w:color w:val="000000" w:themeColor="text1"/>
          <w:highlight w:val="none"/>
          <w:lang w:eastAsia="zh-CN"/>
          <w14:textFill>
            <w14:solidFill>
              <w14:schemeClr w14:val="tx1"/>
            </w14:solidFill>
          </w14:textFill>
        </w:rPr>
        <w:t>4.1</w:t>
      </w:r>
      <w:bookmarkEnd w:id="92"/>
    </w:p>
    <w:p w14:paraId="5517F744">
      <w:pPr>
        <w:pStyle w:val="40"/>
        <w:widowControl w:val="0"/>
        <w:spacing w:line="360" w:lineRule="auto"/>
        <w:ind w:left="1850" w:leftChars="771"/>
        <w:jc w:val="both"/>
        <w:rPr>
          <w:rFonts w:ascii="仿宋" w:hAnsi="仿宋" w:eastAsia="仿宋" w:cs="仿宋"/>
          <w:color w:val="000000" w:themeColor="text1"/>
          <w:sz w:val="24"/>
          <w:szCs w:val="24"/>
          <w:highlight w:val="none"/>
          <w:lang w:eastAsia="zh-CN" w:bidi="en-US"/>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155D2B9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155D2B9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000000" w:themeColor="text1"/>
          <w:sz w:val="24"/>
          <w:szCs w:val="24"/>
          <w:highlight w:val="none"/>
          <w:lang w:eastAsia="zh-CN" w:bidi="en-US"/>
          <w14:textFill>
            <w14:solidFill>
              <w14:schemeClr w14:val="tx1"/>
            </w14:solidFill>
          </w14:textFill>
        </w:rPr>
        <w:t>合同文件以中国的汉语简体语言文字编写、解释和说明。专用术语使用外文的，应附有中文注释。合同当事人在约定使用两种及以上语言时，汉语为优先解释和说明合同的语言。</w:t>
      </w:r>
    </w:p>
    <w:p w14:paraId="1375C8B1">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与合同有关的联络应使用约定的语言。如没有约定，则应使用中国的汉语简体语言文字。</w:t>
      </w:r>
    </w:p>
    <w:p w14:paraId="28A0F1BD">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93" w:name="_Toc5003"/>
      <w:r>
        <w:rPr>
          <w:rFonts w:ascii="仿宋" w:hAnsi="仿宋" w:eastAsia="仿宋" w:cs="仿宋"/>
          <w:b/>
          <w:bCs/>
          <w:color w:val="000000" w:themeColor="text1"/>
          <w:highlight w:val="none"/>
          <w:lang w:eastAsia="zh-CN"/>
          <w14:textFill>
            <w14:solidFill>
              <w14:schemeClr w14:val="tx1"/>
            </w14:solidFill>
          </w14:textFill>
        </w:rPr>
        <w:t>4.2</w:t>
      </w:r>
      <w:bookmarkEnd w:id="93"/>
    </w:p>
    <w:p w14:paraId="4166A56B">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58EDF9D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58EDF9D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本合同适用的法律为中华人民共和国的现行法律、行政法规、部门规章和合同工程所在地的地方性法规、地方政府规章、行政规范性文件。</w:t>
      </w:r>
    </w:p>
    <w:p w14:paraId="19E4D7D5">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合同当事人可以在合同专用条款中约定合同适用的其他规范性文件。</w:t>
      </w:r>
    </w:p>
    <w:p w14:paraId="7B38D7AC">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94" w:name="_Toc19514"/>
      <w:r>
        <w:rPr>
          <w:rFonts w:ascii="仿宋" w:hAnsi="仿宋" w:eastAsia="仿宋" w:cs="仿宋"/>
          <w:b/>
          <w:bCs/>
          <w:color w:val="000000" w:themeColor="text1"/>
          <w:highlight w:val="none"/>
          <w:lang w:eastAsia="zh-CN"/>
          <w14:textFill>
            <w14:solidFill>
              <w14:schemeClr w14:val="tx1"/>
            </w14:solidFill>
          </w14:textFill>
        </w:rPr>
        <w:t>4.3</w:t>
      </w:r>
      <w:bookmarkEnd w:id="94"/>
    </w:p>
    <w:p w14:paraId="4EB6E4C2">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56560D9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56560D9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4.3.1 本合同适用的标准与规范为国家、行业和广东省的标准与规范或规程，以及发包人在合同中要求使用的标准与规范。</w:t>
      </w:r>
    </w:p>
    <w:p w14:paraId="5972C94E">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4.3.2  合同双方当事人在专用条款中约定适用的国家标准、规范名称；国家没有但行业有的，约定适用的行业标准、规范名称；国家和行业没有但广东省有的，约定适用的广东省地方标准、规范名称。</w:t>
      </w:r>
    </w:p>
    <w:p w14:paraId="23A1A595">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0B59FC5B">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4.3.4  在基准日期之后，因国家颁布新的强制性标准、规范导致承包人的费用增加的，应由发包人与承包人协商合理增加合同价格；导致关键路径工期延误的，应由发包人与承包人协商合理延长工期。</w:t>
      </w:r>
    </w:p>
    <w:p w14:paraId="1632DD84">
      <w:pPr>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3868DC1B">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95" w:name="_Toc149731435"/>
      <w:bookmarkStart w:id="96" w:name="_Toc5637"/>
      <w:bookmarkStart w:id="97" w:name="_Toc469383984"/>
      <w:r>
        <w:rPr>
          <w:rFonts w:hint="eastAsia" w:ascii="仿宋" w:hAnsi="仿宋" w:eastAsia="仿宋" w:cs="仿宋"/>
          <w:bCs w:val="0"/>
          <w:color w:val="000000" w:themeColor="text1"/>
          <w:sz w:val="24"/>
          <w:szCs w:val="24"/>
          <w:highlight w:val="none"/>
          <w:lang w:eastAsia="zh-CN"/>
          <w14:textFill>
            <w14:solidFill>
              <w14:schemeClr w14:val="tx1"/>
            </w14:solidFill>
          </w14:textFill>
        </w:rPr>
        <w:t>5 发包人要求</w:t>
      </w:r>
      <w:bookmarkEnd w:id="95"/>
      <w:bookmarkEnd w:id="96"/>
    </w:p>
    <w:p w14:paraId="29D0D8C4">
      <w:pPr>
        <w:rPr>
          <w:rFonts w:ascii="仿宋" w:hAnsi="仿宋" w:eastAsia="仿宋"/>
          <w:b/>
          <w:color w:val="000000" w:themeColor="text1"/>
          <w:highlight w:val="none"/>
          <w:lang w:eastAsia="zh-CN"/>
          <w14:textFill>
            <w14:solidFill>
              <w14:schemeClr w14:val="tx1"/>
            </w14:solidFill>
          </w14:textFill>
        </w:rPr>
      </w:pPr>
      <w:bookmarkStart w:id="98" w:name="_Toc14222"/>
      <w:r>
        <w:rPr>
          <w:rFonts w:hint="eastAsia" w:ascii="仿宋" w:hAnsi="仿宋" w:eastAsia="仿宋"/>
          <w:b/>
          <w:color w:val="000000" w:themeColor="text1"/>
          <w:highlight w:val="none"/>
          <w:lang w:eastAsia="zh-CN"/>
          <w14:textFill>
            <w14:solidFill>
              <w14:schemeClr w14:val="tx1"/>
            </w14:solidFill>
          </w14:textFill>
        </w:rPr>
        <w:t>5.1</w:t>
      </w:r>
      <w:bookmarkEnd w:id="98"/>
    </w:p>
    <w:p w14:paraId="4C18B2B1">
      <w:pPr>
        <w:widowControl w:val="0"/>
        <w:tabs>
          <w:tab w:val="left" w:pos="4970"/>
        </w:tabs>
        <w:spacing w:line="360" w:lineRule="auto"/>
        <w:ind w:left="1850" w:leftChars="771"/>
        <w:jc w:val="both"/>
        <w:rPr>
          <w:rFonts w:ascii="仿宋" w:hAnsi="仿宋" w:eastAsia="仿宋" w:cs="仿宋"/>
          <w:color w:val="000000" w:themeColor="text1"/>
          <w:highlight w:val="none"/>
          <w:lang w:eastAsia="zh-CN" w:bidi="ar-SA"/>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20A006C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2176;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PrM140dAgAAJA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szXjR0C&#10;AAAkBAAADgAAAAAAAAABACAAAAAlAQAAZHJzL2Uyb0RvYy54bWxQSwUGAAAAAAYABgBZAQAAtAUA&#10;AAAA&#10;">
                <v:fill on="f" focussize="0,0"/>
                <v:stroke on="f"/>
                <v:imagedata o:title=""/>
                <o:lock v:ext="edit" aspectratio="f"/>
                <v:textbox>
                  <w:txbxContent>
                    <w:p w14:paraId="20A006C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w:t>
      </w:r>
      <w:r>
        <w:rPr>
          <w:rFonts w:hint="eastAsia" w:ascii="仿宋" w:hAnsi="仿宋" w:eastAsia="仿宋" w:cs="仿宋"/>
          <w:color w:val="000000" w:themeColor="text1"/>
          <w:highlight w:val="none"/>
          <w:lang w:eastAsia="zh-CN" w:bidi="ar-SA"/>
          <w14:textFill>
            <w14:solidFill>
              <w14:schemeClr w14:val="tx1"/>
            </w14:solidFill>
          </w14:textFill>
        </w:rPr>
        <w:t>（或其委托设计顾问人）应按</w:t>
      </w:r>
      <w:r>
        <w:rPr>
          <w:rFonts w:hint="eastAsia" w:ascii="仿宋" w:hAnsi="仿宋" w:eastAsia="仿宋" w:cs="仿宋"/>
          <w:color w:val="000000" w:themeColor="text1"/>
          <w:highlight w:val="none"/>
          <w:lang w:eastAsia="zh-CN"/>
          <w14:textFill>
            <w14:solidFill>
              <w14:schemeClr w14:val="tx1"/>
            </w14:solidFill>
          </w14:textFill>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000000" w:themeColor="text1"/>
          <w:highlight w:val="none"/>
          <w:lang w:eastAsia="zh-CN" w:bidi="ar-SA"/>
          <w14:textFill>
            <w14:solidFill>
              <w14:schemeClr w14:val="tx1"/>
            </w14:solidFill>
          </w14:textFill>
        </w:rPr>
        <w:t>承担责任，按第43.3款约定处理。</w:t>
      </w:r>
    </w:p>
    <w:p w14:paraId="6A8C01D2">
      <w:pPr>
        <w:spacing w:line="360" w:lineRule="auto"/>
        <w:rPr>
          <w:rFonts w:ascii="仿宋" w:hAnsi="仿宋" w:eastAsia="仿宋"/>
          <w:b/>
          <w:color w:val="000000" w:themeColor="text1"/>
          <w:highlight w:val="none"/>
          <w:lang w:eastAsia="zh-CN"/>
          <w14:textFill>
            <w14:solidFill>
              <w14:schemeClr w14:val="tx1"/>
            </w14:solidFill>
          </w14:textFill>
        </w:rPr>
      </w:pPr>
      <w:bookmarkStart w:id="99" w:name="_Toc26954"/>
      <w:r>
        <w:rPr>
          <w:rFonts w:hint="eastAsia" w:ascii="仿宋" w:hAnsi="仿宋" w:eastAsia="仿宋"/>
          <w:b/>
          <w:color w:val="000000" w:themeColor="text1"/>
          <w:highlight w:val="none"/>
          <w:lang w:eastAsia="zh-CN"/>
          <w14:textFill>
            <w14:solidFill>
              <w14:schemeClr w14:val="tx1"/>
            </w14:solidFill>
          </w14:textFill>
        </w:rPr>
        <w:t>5.2</w:t>
      </w:r>
      <w:bookmarkEnd w:id="99"/>
    </w:p>
    <w:p w14:paraId="182EC71C">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143713E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3200;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143713E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55992D46">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（1）承包人不能或无法核实的部分要求、数据和（或）资料；</w:t>
      </w:r>
    </w:p>
    <w:p w14:paraId="706AC7CB">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（2）专用条款约定不可变更的部分要求、数据和（或）资料。</w:t>
      </w:r>
    </w:p>
    <w:p w14:paraId="4B7FB021">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5.2.2因承包人勘察工作缺陷影响后续设计或施工的，承包人应及时完善勘察工作及成果，因此对勘察及后续设计和（或）施工等阶段工作造成的工期延误及费用增加由承包人承担。</w:t>
      </w:r>
    </w:p>
    <w:p w14:paraId="7C94C5B7">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5.2.3 因承包人自身原因造成的勘察及后续设计和（或）施工等阶段工期延误及费用增加，由承包人承担。</w:t>
      </w:r>
    </w:p>
    <w:p w14:paraId="7271F49D">
      <w:pPr>
        <w:spacing w:line="360" w:lineRule="auto"/>
        <w:rPr>
          <w:color w:val="000000" w:themeColor="text1"/>
          <w:highlight w:val="none"/>
          <w:lang w:eastAsia="zh-CN"/>
          <w14:textFill>
            <w14:solidFill>
              <w14:schemeClr w14:val="tx1"/>
            </w14:solidFill>
          </w14:textFill>
        </w:rPr>
      </w:pPr>
      <w:bookmarkStart w:id="100" w:name="_Toc6094"/>
      <w:r>
        <w:rPr>
          <w:rFonts w:hint="eastAsia" w:ascii="仿宋" w:hAnsi="仿宋" w:eastAsia="仿宋"/>
          <w:b/>
          <w:color w:val="000000" w:themeColor="text1"/>
          <w:highlight w:val="none"/>
          <w:lang w:eastAsia="zh-CN"/>
          <w14:textFill>
            <w14:solidFill>
              <w14:schemeClr w14:val="tx1"/>
            </w14:solidFill>
          </w14:textFill>
        </w:rPr>
        <w:t>5.3</w:t>
      </w:r>
      <w:bookmarkEnd w:id="100"/>
    </w:p>
    <w:p w14:paraId="18C2240C">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508A417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GlIXqR4C&#10;AAAlBAAADgAAAAAAAAABACAAAAAkAQAAZHJzL2Uyb0RvYy54bWxQSwUGAAAAAAYABgBZAQAAtAUA&#10;AAAA&#10;">
                <v:fill on="f" focussize="0,0"/>
                <v:stroke on="f"/>
                <v:imagedata o:title=""/>
                <o:lock v:ext="edit" aspectratio="f"/>
                <v:textbox>
                  <w:txbxContent>
                    <w:p w14:paraId="508A417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6AEDA152">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（1）有关合同工程或其任何部分的功能、用途等预期目的的说明；</w:t>
      </w:r>
    </w:p>
    <w:p w14:paraId="3952B323">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（2）有关合同工程的试车、试验和（或）性能标准；</w:t>
      </w:r>
    </w:p>
    <w:p w14:paraId="34AF125E">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（3）承包人不能或无法核实的部分要求、数据和（或）资料；</w:t>
      </w:r>
    </w:p>
    <w:p w14:paraId="3B607305">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（4）专用条款约定不可变更的部分要求、数据和资料。</w:t>
      </w:r>
    </w:p>
    <w:p w14:paraId="7E295C9B">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5.3.2因承包人原因造成设计文件存在遗漏、错误、缺陷和不足的，承包人应及时修复、弥补、纠正和完善。因此对设计及后续设计和（或）施工等阶段工作造成的工期延误及费用增加由承包人承担。</w:t>
      </w:r>
    </w:p>
    <w:p w14:paraId="13D2A5B1">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5.3.3 因承包人自身原因造成的设计及后续设计和（或）施工等阶段工期延误及费用增加，由承包人承担。</w:t>
      </w:r>
    </w:p>
    <w:p w14:paraId="132B22B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5.3.4 承包人应遵守国家法律、强制性标准规范及《发包人要求》进行设计，提倡采用BIM技术进行正向设计</w:t>
      </w:r>
      <w:r>
        <w:rPr>
          <w:rFonts w:hint="eastAsia" w:ascii="仿宋" w:hAnsi="仿宋" w:eastAsia="仿宋" w:cs="仿宋"/>
          <w:color w:val="000000" w:themeColor="text1"/>
          <w:highlight w:val="none"/>
          <w:lang w:eastAsia="zh-CN"/>
          <w14:textFill>
            <w14:solidFill>
              <w14:schemeClr w14:val="tx1"/>
            </w14:solidFill>
          </w14:textFill>
        </w:rPr>
        <w:t>或建模与出图同步完成的设计方式</w:t>
      </w:r>
      <w:r>
        <w:rPr>
          <w:rFonts w:hint="eastAsia" w:ascii="仿宋" w:hAnsi="仿宋" w:eastAsia="仿宋"/>
          <w:color w:val="000000" w:themeColor="text1"/>
          <w:highlight w:val="none"/>
          <w:lang w:eastAsia="zh-CN"/>
          <w14:textFill>
            <w14:solidFill>
              <w14:schemeClr w14:val="tx1"/>
            </w14:solidFill>
          </w14:textFill>
        </w:rPr>
        <w:t>，且设计文件不得超过发包人要求中的合理限额设计指标。由于承包人违规设计或设计文件超过合理限额设计指标的，承包人应当承担相应的违约责任。</w:t>
      </w:r>
    </w:p>
    <w:p w14:paraId="78DE73EE">
      <w:pPr>
        <w:spacing w:line="360" w:lineRule="auto"/>
        <w:rPr>
          <w:rFonts w:ascii="仿宋" w:hAnsi="仿宋" w:eastAsia="仿宋"/>
          <w:color w:val="000000" w:themeColor="text1"/>
          <w:highlight w:val="none"/>
          <w:lang w:eastAsia="zh-CN"/>
          <w14:textFill>
            <w14:solidFill>
              <w14:schemeClr w14:val="tx1"/>
            </w14:solidFill>
          </w14:textFill>
        </w:rPr>
      </w:pPr>
      <w:bookmarkStart w:id="101" w:name="_Toc6473"/>
      <w:r>
        <w:rPr>
          <w:rFonts w:hint="eastAsia" w:ascii="仿宋" w:hAnsi="仿宋" w:eastAsia="仿宋"/>
          <w:b/>
          <w:color w:val="000000" w:themeColor="text1"/>
          <w:highlight w:val="none"/>
          <w:lang w:eastAsia="zh-CN"/>
          <w14:textFill>
            <w14:solidFill>
              <w14:schemeClr w14:val="tx1"/>
            </w14:solidFill>
          </w14:textFill>
        </w:rPr>
        <w:t>5.4</w:t>
      </w:r>
      <w:bookmarkEnd w:id="101"/>
    </w:p>
    <w:p w14:paraId="091261EF">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7773422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0128;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EHV7WAAAACAEA&#10;AA8AAAAAAAAAAQAgAAAAIgAAAGRycy9kb3ducmV2LnhtbFBLAQIUABQAAAAIAIdO4kA8VhBQHAIA&#10;ACUEAAAOAAAAAAAAAAEAIAAAACUBAABkcnMvZTJvRG9jLnhtbFBLBQYAAAAABgAGAFkBAACzBQAA&#10;AAA=&#10;">
                <v:fill on="f" focussize="0,0"/>
                <v:stroke on="f"/>
                <v:imagedata o:title=""/>
                <o:lock v:ext="edit" aspectratio="f"/>
                <v:textbox>
                  <w:txbxContent>
                    <w:p w14:paraId="7773422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2143B3AA">
      <w:pPr>
        <w:tabs>
          <w:tab w:val="left" w:pos="4970"/>
        </w:tabs>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（1）有关合同工程或其任何部分的功能、用途等预期目的的说明；</w:t>
      </w:r>
    </w:p>
    <w:p w14:paraId="3D50502F">
      <w:pPr>
        <w:tabs>
          <w:tab w:val="left" w:pos="4970"/>
        </w:tabs>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（2）有关合同工程的试车、试验和（或）性能标准；</w:t>
      </w:r>
    </w:p>
    <w:p w14:paraId="4D20E33B">
      <w:pPr>
        <w:tabs>
          <w:tab w:val="left" w:pos="4970"/>
        </w:tabs>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（3）承包人不能或无法核实的部分要求、数据和（或）资料；</w:t>
      </w:r>
    </w:p>
    <w:p w14:paraId="01BA2534">
      <w:pPr>
        <w:tabs>
          <w:tab w:val="left" w:pos="4970"/>
        </w:tabs>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（4）专用条款约定不可变更的部分要求、数据和资料。</w:t>
      </w:r>
    </w:p>
    <w:p w14:paraId="5D31FC67">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61ACE451">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5.4.3 因承包人自身原因造成的设计和（或）施工等阶段工期延误及费用增加，由承包人承担。</w:t>
      </w:r>
    </w:p>
    <w:p w14:paraId="40BFF3A8">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1EF35404">
      <w:pPr>
        <w:spacing w:line="360" w:lineRule="auto"/>
        <w:rPr>
          <w:rFonts w:ascii="仿宋" w:hAnsi="仿宋" w:eastAsia="仿宋"/>
          <w:b/>
          <w:color w:val="000000" w:themeColor="text1"/>
          <w:highlight w:val="none"/>
          <w:lang w:eastAsia="zh-CN"/>
          <w14:textFill>
            <w14:solidFill>
              <w14:schemeClr w14:val="tx1"/>
            </w14:solidFill>
          </w14:textFill>
        </w:rPr>
      </w:pPr>
      <w:bookmarkStart w:id="102" w:name="_Toc9522"/>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5440"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6A8D537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5440;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7MF/YAAAA&#10;CgEAAA8AAAAAAAAAAQAgAAAAIgAAAGRycy9kb3ducmV2LnhtbFBLAQIUABQAAAAIAIdO4kASBs0q&#10;HQIAACQEAAAOAAAAAAAAAAEAIAAAACcBAABkcnMvZTJvRG9jLnhtbFBLBQYAAAAABgAGAFkBAAC2&#10;BQAAAAA=&#10;">
                <v:fill on="f" focussize="0,0"/>
                <v:stroke on="f"/>
                <v:imagedata o:title=""/>
                <o:lock v:ext="edit" aspectratio="f"/>
                <v:textbox>
                  <w:txbxContent>
                    <w:p w14:paraId="6A8D537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000000" w:themeColor="text1"/>
          <w:highlight w:val="none"/>
          <w:lang w:eastAsia="zh-CN"/>
          <w14:textFill>
            <w14:solidFill>
              <w14:schemeClr w14:val="tx1"/>
            </w14:solidFill>
          </w14:textFill>
        </w:rPr>
        <w:t>5.5</w:t>
      </w:r>
      <w:bookmarkEnd w:id="102"/>
    </w:p>
    <w:p w14:paraId="77EAEB13">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5.5.1</w:t>
      </w:r>
      <w:r>
        <w:rPr>
          <w:rFonts w:hint="eastAsia" w:ascii="仿宋" w:hAnsi="仿宋" w:eastAsia="仿宋" w:cs="仿宋"/>
          <w:color w:val="000000" w:themeColor="text1"/>
          <w:highlight w:val="none"/>
          <w:lang w:eastAsia="zh-CN"/>
          <w14:textFill>
            <w14:solidFill>
              <w14:schemeClr w14:val="tx1"/>
            </w14:solidFill>
          </w14:textFill>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0A493F00">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（1）有关设备及工器具的预期目的的说明；</w:t>
      </w:r>
    </w:p>
    <w:p w14:paraId="3702A9A9">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（2）有关设备及工器具的试车、试验、工艺流程、组装图纸、性能标准和（或）产品合格标准；</w:t>
      </w:r>
    </w:p>
    <w:p w14:paraId="7C3376E2">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（3）承包人不能或无法核实的部分要求、数据和（或）资料；</w:t>
      </w:r>
    </w:p>
    <w:p w14:paraId="5D64A8AC">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（4）专用条款约定不可变更的部分要求、数据和资料。</w:t>
      </w:r>
    </w:p>
    <w:p w14:paraId="79A7AFF6">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5.5.2因承包人购置的设备及工器具不合格或不符合发包人要求，承包人应及时更换或修复。因此对设计和（或）施工等阶段工作造成的工期延误及费用增加由承包人承担。</w:t>
      </w:r>
    </w:p>
    <w:p w14:paraId="31167CA2">
      <w:pPr>
        <w:spacing w:line="360" w:lineRule="auto"/>
        <w:rPr>
          <w:rFonts w:ascii="仿宋" w:hAnsi="仿宋" w:eastAsia="仿宋"/>
          <w:b/>
          <w:color w:val="000000" w:themeColor="text1"/>
          <w:highlight w:val="none"/>
          <w:lang w:eastAsia="zh-CN"/>
          <w14:textFill>
            <w14:solidFill>
              <w14:schemeClr w14:val="tx1"/>
            </w14:solidFill>
          </w14:textFill>
        </w:rPr>
      </w:pPr>
      <w:bookmarkStart w:id="103" w:name="_Toc27158"/>
      <w:r>
        <w:rPr>
          <w:rFonts w:hint="eastAsia" w:ascii="仿宋" w:hAnsi="仿宋" w:eastAsia="仿宋"/>
          <w:b/>
          <w:color w:val="000000" w:themeColor="text1"/>
          <w:highlight w:val="none"/>
          <w:lang w:eastAsia="zh-CN"/>
          <w14:textFill>
            <w14:solidFill>
              <w14:schemeClr w14:val="tx1"/>
            </w14:solidFill>
          </w14:textFill>
        </w:rPr>
        <w:t>5.6</w:t>
      </w:r>
      <w:bookmarkEnd w:id="103"/>
    </w:p>
    <w:p w14:paraId="46B82DE4">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4F29D5C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1152;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4hDT/h0CAAAkBAAADgAAAGRycy9lMm9Eb2MueG1srVNLbtsw&#10;EN0X6B0I7mvZjj+1YDlIY6QokH6AtAegKcoiKnHYIW3JPUBzg6666b7n8jk6pBTXTTdZdEOQnOGb&#10;ee8N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DiENP+HQIA&#10;ACQEAAAOAAAAAAAAAAEAIAAAACQBAABkcnMvZTJvRG9jLnhtbFBLBQYAAAAABgAGAFkBAACzBQAA&#10;AAA=&#10;">
                <v:fill on="f" focussize="0,0"/>
                <v:stroke on="f"/>
                <v:imagedata o:title=""/>
                <o:lock v:ext="edit" aspectratio="f"/>
                <v:textbox>
                  <w:txbxContent>
                    <w:p w14:paraId="4F29D5C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5.6.1</w:t>
      </w:r>
      <w:r>
        <w:rPr>
          <w:rFonts w:hint="eastAsia" w:ascii="仿宋" w:hAnsi="仿宋" w:eastAsia="仿宋" w:cs="仿宋"/>
          <w:color w:val="000000" w:themeColor="text1"/>
          <w:highlight w:val="none"/>
          <w:lang w:eastAsia="zh-CN"/>
          <w14:textFill>
            <w14:solidFill>
              <w14:schemeClr w14:val="tx1"/>
            </w14:solidFill>
          </w14:textFill>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000000" w:themeColor="text1"/>
          <w:highlight w:val="none"/>
          <w:lang w:eastAsia="zh-CN"/>
          <w14:textFill>
            <w14:solidFill>
              <w14:schemeClr w14:val="tx1"/>
            </w14:solidFill>
          </w14:textFill>
        </w:rPr>
        <w:t>但下述情况的正确性和（或）完整性，应由发包人负责：</w:t>
      </w:r>
    </w:p>
    <w:p w14:paraId="22C551E8">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（1）有关采购的预期目</w:t>
      </w:r>
      <w:r>
        <w:rPr>
          <w:rFonts w:hint="eastAsia" w:ascii="仿宋" w:hAnsi="仿宋" w:eastAsia="仿宋" w:cs="仿宋"/>
          <w:color w:val="000000" w:themeColor="text1"/>
          <w:highlight w:val="none"/>
          <w:lang w:eastAsia="zh-CN"/>
          <w14:textFill>
            <w14:solidFill>
              <w14:schemeClr w14:val="tx1"/>
            </w14:solidFill>
          </w14:textFill>
        </w:rPr>
        <w:t>的的说明；</w:t>
      </w:r>
    </w:p>
    <w:p w14:paraId="06E3EF1A">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（2）有关工程设备或装配式构件的试车、试验、工艺流程、组装图纸、性能标准和（或）产品合格标准；</w:t>
      </w:r>
    </w:p>
    <w:p w14:paraId="7158664C">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（3）承包人不能或无法核实的部分要求、数据和（或）资料；</w:t>
      </w:r>
    </w:p>
    <w:p w14:paraId="6759781B">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（4）专用条款约定不可变</w:t>
      </w:r>
      <w:r>
        <w:rPr>
          <w:rFonts w:hint="eastAsia" w:ascii="仿宋" w:hAnsi="仿宋" w:eastAsia="仿宋"/>
          <w:color w:val="000000" w:themeColor="text1"/>
          <w:highlight w:val="none"/>
          <w:lang w:eastAsia="zh-CN"/>
          <w14:textFill>
            <w14:solidFill>
              <w14:schemeClr w14:val="tx1"/>
            </w14:solidFill>
          </w14:textFill>
        </w:rPr>
        <w:t>更的部分要求、数据和资料。</w:t>
      </w:r>
    </w:p>
    <w:p w14:paraId="6E617F72">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5.6.2因承包人采购的工程材料、工程设备、装配式构件等不合格或不符合发包人要求，承包人应及时更换或修复。因此对设计和（或）施工等阶段工作造成的工期延误及费用增加由承包人承担。</w:t>
      </w:r>
    </w:p>
    <w:p w14:paraId="2D6317E0">
      <w:pPr>
        <w:tabs>
          <w:tab w:val="left" w:pos="4970"/>
        </w:tabs>
        <w:spacing w:line="360" w:lineRule="auto"/>
        <w:rPr>
          <w:rFonts w:ascii="仿宋" w:hAnsi="仿宋" w:eastAsia="仿宋"/>
          <w:color w:val="000000" w:themeColor="text1"/>
          <w:highlight w:val="none"/>
          <w:lang w:eastAsia="zh-CN"/>
          <w14:textFill>
            <w14:solidFill>
              <w14:schemeClr w14:val="tx1"/>
            </w14:solidFill>
          </w14:textFill>
        </w:rPr>
      </w:pPr>
    </w:p>
    <w:p w14:paraId="4D97AFBC">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04" w:name="_Toc15910"/>
      <w:bookmarkStart w:id="105" w:name="_Toc149731436"/>
      <w:r>
        <w:rPr>
          <w:rFonts w:hint="eastAsia" w:ascii="仿宋" w:hAnsi="仿宋" w:eastAsia="仿宋" w:cs="仿宋"/>
          <w:bCs w:val="0"/>
          <w:color w:val="000000" w:themeColor="text1"/>
          <w:sz w:val="24"/>
          <w:szCs w:val="24"/>
          <w:highlight w:val="none"/>
          <w:lang w:eastAsia="zh-CN"/>
          <w14:textFill>
            <w14:solidFill>
              <w14:schemeClr w14:val="tx1"/>
            </w14:solidFill>
          </w14:textFill>
        </w:rPr>
        <w:t>6 项目基础资料</w:t>
      </w:r>
      <w:bookmarkEnd w:id="104"/>
      <w:bookmarkEnd w:id="105"/>
    </w:p>
    <w:p w14:paraId="4F3DA473">
      <w:pPr>
        <w:spacing w:line="360" w:lineRule="auto"/>
        <w:rPr>
          <w:rFonts w:ascii="仿宋" w:hAnsi="仿宋" w:eastAsia="仿宋"/>
          <w:b/>
          <w:color w:val="000000" w:themeColor="text1"/>
          <w:highlight w:val="none"/>
          <w:lang w:eastAsia="zh-CN"/>
          <w14:textFill>
            <w14:solidFill>
              <w14:schemeClr w14:val="tx1"/>
            </w14:solidFill>
          </w14:textFill>
        </w:rPr>
      </w:pPr>
      <w:r>
        <w:rPr>
          <w:rFonts w:hint="eastAsia" w:ascii="仿宋" w:hAnsi="仿宋" w:eastAsia="仿宋"/>
          <w:b/>
          <w:color w:val="000000" w:themeColor="text1"/>
          <w:highlight w:val="none"/>
          <w:lang w:eastAsia="zh-CN"/>
          <w14:textFill>
            <w14:solidFill>
              <w14:schemeClr w14:val="tx1"/>
            </w14:solidFill>
          </w14:textFill>
        </w:rPr>
        <w:t>6.1</w:t>
      </w:r>
    </w:p>
    <w:p w14:paraId="0ADAB1DD">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6464"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30B8636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6464;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30B8636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6.1.1 发包人</w:t>
      </w:r>
      <w:r>
        <w:rPr>
          <w:rFonts w:hint="eastAsia" w:ascii="仿宋" w:hAnsi="仿宋" w:eastAsia="仿宋" w:cs="仿宋"/>
          <w:color w:val="000000" w:themeColor="text1"/>
          <w:highlight w:val="none"/>
          <w:lang w:eastAsia="zh-CN"/>
          <w14:textFill>
            <w14:solidFill>
              <w14:schemeClr w14:val="tx1"/>
            </w14:solidFill>
          </w14:textFill>
        </w:rPr>
        <w:t>（或其委托设计顾问人）应按专用条款约定的时间和份数提供书面文件，</w:t>
      </w:r>
      <w:r>
        <w:rPr>
          <w:rFonts w:hint="eastAsia" w:ascii="仿宋" w:hAnsi="仿宋" w:eastAsia="仿宋"/>
          <w:color w:val="000000" w:themeColor="text1"/>
          <w:highlight w:val="none"/>
          <w:lang w:eastAsia="zh-CN"/>
          <w14:textFill>
            <w14:solidFill>
              <w14:schemeClr w14:val="tx1"/>
            </w14:solidFill>
          </w14:textFill>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000000" w:themeColor="text1"/>
          <w:highlight w:val="none"/>
          <w:lang w:eastAsia="zh-CN"/>
          <w14:textFill>
            <w14:solidFill>
              <w14:schemeClr w14:val="tx1"/>
            </w14:solidFill>
          </w14:textFill>
        </w:rPr>
        <w:t>如发包人未按时提供项目基础资料，承包人无法按时开展总承包各阶段工作造成合同总工期延误及费用增加，由发包人承担责任，按第43.3款约定处理。</w:t>
      </w:r>
    </w:p>
    <w:p w14:paraId="02E615D9">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 xml:space="preserve">6.1.2 </w:t>
      </w:r>
      <w:r>
        <w:rPr>
          <w:rFonts w:ascii="仿宋" w:hAnsi="仿宋" w:eastAsia="仿宋"/>
          <w:color w:val="000000" w:themeColor="text1"/>
          <w:highlight w:val="none"/>
          <w:lang w:eastAsia="zh-CN"/>
          <w14:textFill>
            <w14:solidFill>
              <w14:schemeClr w14:val="tx1"/>
            </w14:solidFill>
          </w14:textFill>
        </w:rPr>
        <w:t>发包人提供的项目基础资料中有专利</w:t>
      </w:r>
      <w:r>
        <w:rPr>
          <w:rFonts w:hint="eastAsia" w:ascii="仿宋" w:hAnsi="仿宋" w:eastAsia="仿宋"/>
          <w:color w:val="000000" w:themeColor="text1"/>
          <w:highlight w:val="none"/>
          <w:lang w:eastAsia="zh-CN"/>
          <w14:textFill>
            <w14:solidFill>
              <w14:schemeClr w14:val="tx1"/>
            </w14:solidFill>
          </w14:textFill>
        </w:rPr>
        <w:t>人或制造商</w:t>
      </w:r>
      <w:r>
        <w:rPr>
          <w:rFonts w:ascii="仿宋" w:hAnsi="仿宋" w:eastAsia="仿宋"/>
          <w:color w:val="000000" w:themeColor="text1"/>
          <w:highlight w:val="none"/>
          <w:lang w:eastAsia="zh-CN"/>
          <w14:textFill>
            <w14:solidFill>
              <w14:schemeClr w14:val="tx1"/>
            </w14:solidFill>
          </w14:textFill>
        </w:rPr>
        <w:t>提供的技术或工艺包，或是第三方设计单位提供的建筑造型等，发包人应组织专利</w:t>
      </w:r>
      <w:r>
        <w:rPr>
          <w:rFonts w:hint="eastAsia" w:ascii="仿宋" w:hAnsi="仿宋" w:eastAsia="仿宋"/>
          <w:color w:val="000000" w:themeColor="text1"/>
          <w:highlight w:val="none"/>
          <w:lang w:eastAsia="zh-CN"/>
          <w14:textFill>
            <w14:solidFill>
              <w14:schemeClr w14:val="tx1"/>
            </w14:solidFill>
          </w14:textFill>
        </w:rPr>
        <w:t>人、制造商</w:t>
      </w:r>
      <w:r>
        <w:rPr>
          <w:rFonts w:ascii="仿宋" w:hAnsi="仿宋" w:eastAsia="仿宋"/>
          <w:color w:val="000000" w:themeColor="text1"/>
          <w:highlight w:val="none"/>
          <w:lang w:eastAsia="zh-CN"/>
          <w14:textFill>
            <w14:solidFill>
              <w14:schemeClr w14:val="tx1"/>
            </w14:solidFill>
          </w14:textFill>
        </w:rPr>
        <w:t>或第三方设计单位与承包人进行数据、条件和资料的交换、协调和交接。</w:t>
      </w:r>
    </w:p>
    <w:p w14:paraId="4FE0DFE7">
      <w:pPr>
        <w:spacing w:line="360" w:lineRule="auto"/>
        <w:rPr>
          <w:rFonts w:ascii="仿宋" w:hAnsi="仿宋" w:eastAsia="仿宋"/>
          <w:b/>
          <w:color w:val="000000" w:themeColor="text1"/>
          <w:highlight w:val="none"/>
          <w:lang w:eastAsia="zh-CN"/>
          <w14:textFill>
            <w14:solidFill>
              <w14:schemeClr w14:val="tx1"/>
            </w14:solidFill>
          </w14:textFill>
        </w:rPr>
      </w:pPr>
      <w:r>
        <w:rPr>
          <w:rFonts w:hint="eastAsia" w:ascii="仿宋" w:hAnsi="仿宋" w:eastAsia="仿宋"/>
          <w:b/>
          <w:color w:val="000000" w:themeColor="text1"/>
          <w:highlight w:val="none"/>
          <w:lang w:eastAsia="zh-CN"/>
          <w14:textFill>
            <w14:solidFill>
              <w14:schemeClr w14:val="tx1"/>
            </w14:solidFill>
          </w14:textFill>
        </w:rPr>
        <w:t>6.2</w:t>
      </w:r>
    </w:p>
    <w:p w14:paraId="00FA71FF">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4224"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68297D7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4224;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BO9ztW&#10;HgIAACQEAAAOAAAAAAAAAAEAIAAAACYBAABkcnMvZTJvRG9jLnhtbFBLBQYAAAAABgAGAFkBAAC2&#10;BQAAAAA=&#10;">
                <v:fill on="f" focussize="0,0"/>
                <v:stroke on="f"/>
                <v:imagedata o:title=""/>
                <o:lock v:ext="edit" aspectratio="f"/>
                <v:textbox>
                  <w:txbxContent>
                    <w:p w14:paraId="68297D7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承包人被视为其已于基准日期前仔细审阅了发包人提供的项目基础资料，</w:t>
      </w:r>
      <w:r>
        <w:rPr>
          <w:rFonts w:hint="eastAsia" w:ascii="仿宋" w:hAnsi="仿宋" w:eastAsia="仿宋" w:cs="仿宋"/>
          <w:color w:val="000000" w:themeColor="text1"/>
          <w:highlight w:val="none"/>
          <w:lang w:eastAsia="zh-CN"/>
          <w14:textFill>
            <w14:solidFill>
              <w14:schemeClr w14:val="tx1"/>
            </w14:solidFill>
          </w14:textFill>
        </w:rPr>
        <w:t>承包人应对发包人提供的资料进行核实，</w:t>
      </w:r>
      <w:r>
        <w:rPr>
          <w:rFonts w:hint="eastAsia" w:ascii="仿宋" w:hAnsi="仿宋" w:eastAsia="仿宋"/>
          <w:color w:val="000000" w:themeColor="text1"/>
          <w:highlight w:val="none"/>
          <w:lang w:eastAsia="zh-CN"/>
          <w14:textFill>
            <w14:solidFill>
              <w14:schemeClr w14:val="tx1"/>
            </w14:solidFill>
          </w14:textFill>
        </w:rPr>
        <w:t>并对发包人提供资料的正确性和（或）完整性负责。承包人从发包人或其他方面得到的任何数据或资料，不免除承包人应承担的责任。但下述情况的正确性和（或）完整性，应由发包人负责：</w:t>
      </w:r>
    </w:p>
    <w:p w14:paraId="22F3FC49">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（1）有关合同工程或其任何部分的功能、用途等预期目的的说明；</w:t>
      </w:r>
    </w:p>
    <w:p w14:paraId="05223C4A">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（2）有关合同工程的试车、试验、工艺流程和（或）性能标准；</w:t>
      </w:r>
    </w:p>
    <w:p w14:paraId="0D6F919B">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（3）承包人不能或无法核实的数据和（或）资料；</w:t>
      </w:r>
    </w:p>
    <w:p w14:paraId="0C31914F">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（4）工程现场发生的不利物质条件，包括不能预见的自然物质条件、非自然物质障碍和污染物；</w:t>
      </w:r>
    </w:p>
    <w:p w14:paraId="64A0430D">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（5）专用条款约定不可变更的数据和资料。</w:t>
      </w:r>
    </w:p>
    <w:p w14:paraId="73392685">
      <w:pPr>
        <w:widowControl w:val="0"/>
        <w:tabs>
          <w:tab w:val="left" w:pos="4970"/>
        </w:tabs>
        <w:spacing w:line="360" w:lineRule="auto"/>
        <w:rPr>
          <w:rFonts w:ascii="仿宋" w:hAnsi="仿宋" w:eastAsia="仿宋"/>
          <w:color w:val="000000" w:themeColor="text1"/>
          <w:highlight w:val="none"/>
          <w:lang w:eastAsia="zh-CN"/>
          <w14:textFill>
            <w14:solidFill>
              <w14:schemeClr w14:val="tx1"/>
            </w14:solidFill>
          </w14:textFill>
        </w:rPr>
      </w:pPr>
    </w:p>
    <w:p w14:paraId="7287A7E9">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06" w:name="_Toc149731437"/>
      <w:bookmarkStart w:id="107" w:name="_Toc1861"/>
      <w:r>
        <w:rPr>
          <w:rFonts w:hint="eastAsia" w:ascii="仿宋" w:hAnsi="仿宋" w:eastAsia="仿宋" w:cs="仿宋"/>
          <w:bCs w:val="0"/>
          <w:color w:val="000000" w:themeColor="text1"/>
          <w:sz w:val="24"/>
          <w:szCs w:val="24"/>
          <w:highlight w:val="none"/>
          <w:lang w:eastAsia="zh-CN"/>
          <w14:textFill>
            <w14:solidFill>
              <w14:schemeClr w14:val="tx1"/>
            </w14:solidFill>
          </w14:textFill>
        </w:rPr>
        <w:t>7 勘察报告、设计文件、建筑信息模型（BIM）</w:t>
      </w:r>
      <w:bookmarkEnd w:id="106"/>
      <w:bookmarkEnd w:id="107"/>
    </w:p>
    <w:p w14:paraId="59418F8D">
      <w:pPr>
        <w:spacing w:line="360" w:lineRule="auto"/>
        <w:rPr>
          <w:rFonts w:ascii="仿宋" w:hAnsi="仿宋" w:eastAsia="仿宋"/>
          <w:b/>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2F78A2C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5248;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2F78A2C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000000" w:themeColor="text1"/>
          <w:highlight w:val="none"/>
          <w:lang w:eastAsia="zh-CN"/>
          <w14:textFill>
            <w14:solidFill>
              <w14:schemeClr w14:val="tx1"/>
            </w14:solidFill>
          </w14:textFill>
        </w:rPr>
        <w:t>7.1</w:t>
      </w:r>
    </w:p>
    <w:p w14:paraId="432D027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30C38A4F">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7.1.2 工程勘察报告的完备性、正确性由承包人负责，若勘察报告存在缺陷，承包人应及时完善、修正或补充勘察，由此造成的工程质量缺陷、工期延误及费用增加，责任由承包人承担。</w:t>
      </w:r>
    </w:p>
    <w:p w14:paraId="589DC9B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384F991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7.1.4 承包人应按约定向发包人及设计顾问人、监理人、造价咨询人等相关方报送成果文件，配合审查、审批或备案，确认工作完成时间和成果。</w:t>
      </w:r>
    </w:p>
    <w:p w14:paraId="60AFEE20">
      <w:pPr>
        <w:spacing w:line="360" w:lineRule="auto"/>
        <w:rPr>
          <w:rFonts w:ascii="仿宋" w:hAnsi="仿宋" w:eastAsia="仿宋"/>
          <w:b/>
          <w:color w:val="000000" w:themeColor="text1"/>
          <w:highlight w:val="none"/>
          <w:lang w:eastAsia="zh-CN"/>
          <w14:textFill>
            <w14:solidFill>
              <w14:schemeClr w14:val="tx1"/>
            </w14:solidFill>
          </w14:textFill>
        </w:rPr>
      </w:pPr>
      <w:r>
        <w:rPr>
          <w:rFonts w:hint="eastAsia" w:ascii="仿宋" w:hAnsi="仿宋" w:eastAsia="仿宋"/>
          <w:b/>
          <w:color w:val="000000" w:themeColor="text1"/>
          <w:highlight w:val="none"/>
          <w:lang w:eastAsia="zh-CN"/>
          <w14:textFill>
            <w14:solidFill>
              <w14:schemeClr w14:val="tx1"/>
            </w14:solidFill>
          </w14:textFill>
        </w:rPr>
        <w:t>7.2</w:t>
      </w:r>
    </w:p>
    <w:p w14:paraId="584F305E">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2D58C99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67488;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G1sML0e&#10;AgAAJAQAAA4AAAAAAAAAAQAgAAAAJQEAAGRycy9lMm9Eb2MueG1sUEsFBgAAAAAGAAYAWQEAALUF&#10;AAAAAA==&#10;">
                <v:fill on="f" focussize="0,0"/>
                <v:stroke on="f"/>
                <v:imagedata o:title=""/>
                <o:lock v:ext="edit" aspectratio="f"/>
                <v:textbox>
                  <w:txbxContent>
                    <w:p w14:paraId="2D58C99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70FF71D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12BE5FCE">
      <w:pPr>
        <w:widowControl w:val="0"/>
        <w:spacing w:line="360" w:lineRule="auto"/>
        <w:ind w:left="1850" w:leftChars="771"/>
        <w:jc w:val="both"/>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7.2.2 承包人应按合同约定提供包括施工图及施工图预算的完整设计文件，按约定的时间和份数报送发包人及设计顾问人。承包人应按审查意见修改完善施工图。</w:t>
      </w:r>
    </w:p>
    <w:p w14:paraId="2C6E257F">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承包人应配合发包人完成审批或备案程序以及发放工作，并按图施工。如承包人未按合理时间完成施工图设计及施工图预算编制，导致施工工期延误及费用增加，责任由承包人承担，按第43.8款约定处理。</w:t>
      </w:r>
    </w:p>
    <w:p w14:paraId="18A153CD">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0018B11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4E4DD1F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7.2.5 承包人应及时组织勘察、设计、BIM技术应用、采购、施工等专业负责人对设计文件进行技术交底和审核，协调内部专业分工及责任划分，对设计文件的深度和质量进行完善和修正。</w:t>
      </w:r>
    </w:p>
    <w:p w14:paraId="1A7C9CB8">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3994F17F">
      <w:pPr>
        <w:spacing w:line="360" w:lineRule="auto"/>
        <w:rPr>
          <w:rFonts w:ascii="仿宋" w:hAnsi="仿宋" w:eastAsia="仿宋"/>
          <w:b/>
          <w:color w:val="000000" w:themeColor="text1"/>
          <w:highlight w:val="none"/>
          <w:lang w:eastAsia="zh-CN"/>
          <w14:textFill>
            <w14:solidFill>
              <w14:schemeClr w14:val="tx1"/>
            </w14:solidFill>
          </w14:textFill>
        </w:rPr>
      </w:pPr>
      <w:r>
        <w:rPr>
          <w:rFonts w:hint="eastAsia" w:ascii="仿宋" w:hAnsi="仿宋" w:eastAsia="仿宋"/>
          <w:b/>
          <w:color w:val="000000" w:themeColor="text1"/>
          <w:highlight w:val="none"/>
          <w:lang w:eastAsia="zh-CN"/>
          <w14:textFill>
            <w14:solidFill>
              <w14:schemeClr w14:val="tx1"/>
            </w14:solidFill>
          </w14:textFill>
        </w:rPr>
        <w:t>7.3</w:t>
      </w:r>
    </w:p>
    <w:p w14:paraId="220166E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77CF217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0560;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Rv29YAAAAI&#10;AQAADwAAAAAAAAABACAAAAAiAAAAZHJzL2Rvd25yZXYueG1sUEsBAhQAFAAAAAgAh07iQMGFp3Ee&#10;AgAAJAQAAA4AAAAAAAAAAQAgAAAAJQEAAGRycy9lMm9Eb2MueG1sUEsFBgAAAAAGAAYAWQEAALUF&#10;AAAAAA==&#10;">
                <v:fill on="f" focussize="0,0"/>
                <v:stroke on="f"/>
                <v:imagedata o:title=""/>
                <o:lock v:ext="edit" aspectratio="f"/>
                <v:textbox>
                  <w:txbxContent>
                    <w:p w14:paraId="77CF217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2AD4CC76">
      <w:pPr>
        <w:widowControl w:val="0"/>
        <w:numPr>
          <w:ilvl w:val="0"/>
          <w:numId w:val="3"/>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建筑信息模型（BIM）及有关应用成果的完备性、正确性由承包人负责，若存在缺陷，承包人应及时修正，其造成的工程质量缺陷、工期延误及费用增加，责任由承包人承担。</w:t>
      </w:r>
    </w:p>
    <w:p w14:paraId="40B494F9">
      <w:pPr>
        <w:widowControl w:val="0"/>
        <w:numPr>
          <w:ilvl w:val="0"/>
          <w:numId w:val="3"/>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6AC3E095">
      <w:pPr>
        <w:widowControl w:val="0"/>
        <w:numPr>
          <w:ilvl w:val="0"/>
          <w:numId w:val="3"/>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778BA2F2">
      <w:pPr>
        <w:widowControl w:val="0"/>
        <w:numPr>
          <w:ilvl w:val="0"/>
          <w:numId w:val="3"/>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42F7108E">
      <w:pPr>
        <w:spacing w:line="360" w:lineRule="auto"/>
        <w:rPr>
          <w:rFonts w:ascii="仿宋" w:hAnsi="仿宋" w:eastAsia="仿宋" w:cs="仿宋"/>
          <w:color w:val="000000" w:themeColor="text1"/>
          <w:highlight w:val="none"/>
          <w:lang w:eastAsia="zh-CN"/>
          <w14:textFill>
            <w14:solidFill>
              <w14:schemeClr w14:val="tx1"/>
            </w14:solidFill>
          </w14:textFill>
        </w:rPr>
      </w:pPr>
    </w:p>
    <w:p w14:paraId="1B42EE21">
      <w:pPr>
        <w:pStyle w:val="6"/>
        <w:tabs>
          <w:tab w:val="left" w:pos="360"/>
          <w:tab w:val="left" w:pos="420"/>
        </w:tabs>
        <w:spacing w:before="120" w:beforeLines="50" w:after="120" w:afterLines="50" w:line="360" w:lineRule="auto"/>
        <w:rPr>
          <w:rFonts w:ascii="仿宋" w:hAnsi="仿宋" w:eastAsia="仿宋" w:cs="仿宋"/>
          <w:bCs w:val="0"/>
          <w:color w:val="000000" w:themeColor="text1"/>
          <w:sz w:val="24"/>
          <w:szCs w:val="24"/>
          <w:highlight w:val="none"/>
          <w14:textFill>
            <w14:solidFill>
              <w14:schemeClr w14:val="tx1"/>
            </w14:solidFill>
          </w14:textFill>
        </w:rPr>
      </w:pPr>
      <w:bookmarkStart w:id="108" w:name="_Toc149731438"/>
      <w:bookmarkStart w:id="109" w:name="_Toc1105"/>
      <w:r>
        <w:rPr>
          <w:rFonts w:hint="eastAsia" w:ascii="仿宋" w:hAnsi="仿宋" w:eastAsia="仿宋" w:cs="仿宋"/>
          <w:bCs w:val="0"/>
          <w:color w:val="000000" w:themeColor="text1"/>
          <w:sz w:val="24"/>
          <w:szCs w:val="24"/>
          <w:highlight w:val="none"/>
          <w14:textFill>
            <w14:solidFill>
              <w14:schemeClr w14:val="tx1"/>
            </w14:solidFill>
          </w14:textFill>
        </w:rPr>
        <w:t>8 合同价格的控制原则</w:t>
      </w:r>
      <w:bookmarkEnd w:id="108"/>
      <w:bookmarkEnd w:id="109"/>
    </w:p>
    <w:p w14:paraId="71B639F5">
      <w:pPr>
        <w:spacing w:line="360" w:lineRule="auto"/>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8.1</w:t>
      </w:r>
    </w:p>
    <w:p w14:paraId="76DA614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6272"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7AEB41F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6272;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CT6FxU&#10;HgIAACQEAAAOAAAAAAAAAAEAIAAAACYBAABkcnMvZTJvRG9jLnhtbFBLBQYAAAAABgAGAFkBAAC2&#10;BQAAAAA=&#10;">
                <v:fill on="f" focussize="0,0"/>
                <v:stroke on="f"/>
                <v:imagedata o:title=""/>
                <o:lock v:ext="edit" aspectratio="f"/>
                <v:textbox>
                  <w:txbxContent>
                    <w:p w14:paraId="7AEB41F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32D251E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499C1F6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056D4CCC">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4D27DF30">
      <w:pPr>
        <w:spacing w:line="360" w:lineRule="auto"/>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8.2</w:t>
      </w:r>
    </w:p>
    <w:p w14:paraId="0DAA0D4E">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03C0DD2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6032;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mMok3h4C&#10;AAAkBAAADgAAAAAAAAABACAAAAAkAQAAZHJzL2Uyb0RvYy54bWxQSwUGAAAAAAYABgBZAQAAtAUA&#10;AAAA&#10;">
                <v:fill on="f" focussize="0,0"/>
                <v:stroke on="f"/>
                <v:imagedata o:title=""/>
                <o:lock v:ext="edit" aspectratio="f"/>
                <v:textbox>
                  <w:txbxContent>
                    <w:p w14:paraId="03C0DD2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4FCD2D2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0D49CD0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8.2.3按合同约定的计价方法及允许调整事项进行工程勘察费结算，其结算金额不得超过协议书约定的工程勘察费合同价格及允许调整金额。</w:t>
      </w:r>
    </w:p>
    <w:p w14:paraId="634BE859">
      <w:pPr>
        <w:spacing w:line="360" w:lineRule="auto"/>
        <w:rPr>
          <w:rFonts w:ascii="仿宋" w:hAnsi="仿宋" w:eastAsia="仿宋" w:cs="仿宋"/>
          <w:b/>
          <w:color w:val="000000" w:themeColor="text1"/>
          <w:highlight w:val="none"/>
          <w:lang w:eastAsia="zh-CN"/>
          <w14:textFill>
            <w14:solidFill>
              <w14:schemeClr w14:val="tx1"/>
            </w14:solidFill>
          </w14:textFill>
        </w:rPr>
      </w:pPr>
      <w:bookmarkStart w:id="110" w:name="_Toc11973"/>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6C9013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87296;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EH+Tnke&#10;AgAAJAQAAA4AAAAAAAAAAQAgAAAAJQEAAGRycy9lMm9Eb2MueG1sUEsFBgAAAAAGAAYAWQEAALUF&#10;AAAAAA==&#10;">
                <v:fill on="f" focussize="0,0"/>
                <v:stroke on="f"/>
                <v:imagedata o:title=""/>
                <o:lock v:ext="edit" aspectratio="f"/>
                <v:textbox>
                  <w:txbxContent>
                    <w:p w14:paraId="6C9013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000000" w:themeColor="text1"/>
          <w:highlight w:val="none"/>
          <w:lang w:eastAsia="zh-CN"/>
          <w14:textFill>
            <w14:solidFill>
              <w14:schemeClr w14:val="tx1"/>
            </w14:solidFill>
          </w14:textFill>
        </w:rPr>
        <w:t>8.3</w:t>
      </w:r>
      <w:bookmarkEnd w:id="110"/>
    </w:p>
    <w:p w14:paraId="721D97DD">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7457EAF3">
      <w:pPr>
        <w:widowControl w:val="0"/>
        <w:spacing w:line="360" w:lineRule="auto"/>
        <w:ind w:left="1850" w:leftChars="771"/>
        <w:jc w:val="both"/>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6BDD5B3E">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8.3.3  按合同约定的计价方法及允许调整事项进行工程设计费结算，其结算金额不得超过协议书约定的相应合同价格及允许调整金额。</w:t>
      </w:r>
    </w:p>
    <w:p w14:paraId="26025A2D">
      <w:pPr>
        <w:spacing w:line="360" w:lineRule="auto"/>
        <w:rPr>
          <w:rFonts w:ascii="仿宋" w:hAnsi="仿宋" w:eastAsia="仿宋" w:cs="仿宋"/>
          <w:b/>
          <w:color w:val="000000" w:themeColor="text1"/>
          <w:highlight w:val="none"/>
          <w:lang w:eastAsia="zh-CN"/>
          <w14:textFill>
            <w14:solidFill>
              <w14:schemeClr w14:val="tx1"/>
            </w14:solidFill>
          </w14:textFill>
        </w:rPr>
      </w:pPr>
      <w:bookmarkStart w:id="111" w:name="_Toc15376"/>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4B49E73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89344;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wV9jX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CwV9jXGwIA&#10;ACQEAAAOAAAAAAAAAAEAIAAAACYBAABkcnMvZTJvRG9jLnhtbFBLBQYAAAAABgAGAFkBAACzBQAA&#10;AAA=&#10;">
                <v:fill on="f" focussize="0,0"/>
                <v:stroke on="f"/>
                <v:imagedata o:title=""/>
                <o:lock v:ext="edit" aspectratio="f"/>
                <v:textbox>
                  <w:txbxContent>
                    <w:p w14:paraId="4B49E73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000000" w:themeColor="text1"/>
          <w:highlight w:val="none"/>
          <w:lang w:eastAsia="zh-CN"/>
          <w14:textFill>
            <w14:solidFill>
              <w14:schemeClr w14:val="tx1"/>
            </w14:solidFill>
          </w14:textFill>
        </w:rPr>
        <w:t>8.4</w:t>
      </w:r>
      <w:bookmarkEnd w:id="111"/>
    </w:p>
    <w:p w14:paraId="434A458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135AAD2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8B09758">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8.4.3  按合同约定的计价方法及允许调整事项进行BIM技术应用费结算，其结算金额不得超过协议书约定的相应合同价格及允许调整金额。</w:t>
      </w:r>
    </w:p>
    <w:p w14:paraId="49AAC1F7">
      <w:pPr>
        <w:spacing w:line="360" w:lineRule="auto"/>
        <w:rPr>
          <w:rFonts w:ascii="仿宋" w:hAnsi="仿宋" w:eastAsia="仿宋" w:cs="仿宋"/>
          <w:b/>
          <w:color w:val="000000" w:themeColor="text1"/>
          <w:highlight w:val="none"/>
          <w:lang w:eastAsia="zh-CN"/>
          <w14:textFill>
            <w14:solidFill>
              <w14:schemeClr w14:val="tx1"/>
            </w14:solidFill>
          </w14:textFill>
        </w:rPr>
      </w:pPr>
      <w:bookmarkStart w:id="112" w:name="_Toc10468"/>
      <w:r>
        <w:rPr>
          <w:rFonts w:hint="eastAsia" w:ascii="仿宋" w:hAnsi="仿宋" w:eastAsia="仿宋" w:cs="仿宋"/>
          <w:b/>
          <w:color w:val="000000" w:themeColor="text1"/>
          <w:highlight w:val="none"/>
          <w:lang w:eastAsia="zh-CN"/>
          <w14:textFill>
            <w14:solidFill>
              <w14:schemeClr w14:val="tx1"/>
            </w14:solidFill>
          </w14:textFill>
        </w:rPr>
        <w:t>8.5</w:t>
      </w:r>
      <w:bookmarkEnd w:id="112"/>
    </w:p>
    <w:p w14:paraId="36E0070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b/>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2D1E1A2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88320;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FJRF1QAAAAgB&#10;AAAPAAAAAAAAAAEAIAAAACIAAABkcnMvZG93bnJldi54bWxQSwECFAAUAAAACACHTuJAEZ7V9x4C&#10;AAAkBAAADgAAAAAAAAABACAAAAAkAQAAZHJzL2Uyb0RvYy54bWxQSwUGAAAAAAYABgBZAQAAtAUA&#10;AAAA&#10;">
                <v:fill on="f" focussize="0,0"/>
                <v:stroke on="f"/>
                <v:imagedata o:title=""/>
                <o:lock v:ext="edit" aspectratio="f"/>
                <v:textbox>
                  <w:txbxContent>
                    <w:p w14:paraId="2D1E1A2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4B79AF3E">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644BD5C">
      <w:pPr>
        <w:widowControl w:val="0"/>
        <w:spacing w:line="360" w:lineRule="auto"/>
        <w:ind w:left="1850" w:leftChars="771"/>
        <w:jc w:val="both"/>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621321C">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8.5.4 按合同约定的计价方法及允许调整事项进行建筑安装工程费结算，其结算金额不得超过协议书约定的相应合同价格及允许调整金额。</w:t>
      </w:r>
    </w:p>
    <w:p w14:paraId="228C452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7A4588A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5897BA24">
      <w:pPr>
        <w:spacing w:line="360" w:lineRule="auto"/>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8.6</w:t>
      </w:r>
    </w:p>
    <w:p w14:paraId="4FCCEAB1">
      <w:pPr>
        <w:widowControl w:val="0"/>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b/>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308B880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0368;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VKmnAcAgAA&#10;JAQAAA4AAAAAAAAAAQAgAAAAJAEAAGRycy9lMm9Eb2MueG1sUEsFBgAAAAAGAAYAWQEAALIFAAAA&#10;AA==&#10;">
                <v:fill on="f" focussize="0,0"/>
                <v:stroke on="f"/>
                <v:imagedata o:title=""/>
                <o:lock v:ext="edit" aspectratio="f"/>
                <v:textbox>
                  <w:txbxContent>
                    <w:p w14:paraId="308B880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03546C8F">
      <w:pPr>
        <w:widowControl w:val="0"/>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58D55EC6">
      <w:pPr>
        <w:widowControl w:val="0"/>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8.6.3 按合同约定的计价方法及允许调整事项进行设备及工器具购置费结算，其结算金额不得超过协议书约定的相应合同价格及允许调整金额。</w:t>
      </w:r>
    </w:p>
    <w:p w14:paraId="0CA1ADF3">
      <w:pPr>
        <w:spacing w:line="360" w:lineRule="auto"/>
        <w:rPr>
          <w:rFonts w:ascii="仿宋" w:hAnsi="仿宋" w:eastAsia="仿宋"/>
          <w:color w:val="000000" w:themeColor="text1"/>
          <w:highlight w:val="none"/>
          <w:lang w:eastAsia="zh-CN"/>
          <w14:textFill>
            <w14:solidFill>
              <w14:schemeClr w14:val="tx1"/>
            </w14:solidFill>
          </w14:textFill>
        </w:rPr>
      </w:pPr>
    </w:p>
    <w:p w14:paraId="319AE97E">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13" w:name="_Toc149731439"/>
      <w:bookmarkStart w:id="114" w:name="_Toc27941"/>
      <w:r>
        <w:rPr>
          <w:rFonts w:hint="eastAsia" w:ascii="仿宋" w:hAnsi="仿宋" w:eastAsia="仿宋" w:cs="仿宋"/>
          <w:color w:val="000000" w:themeColor="text1"/>
          <w:sz w:val="24"/>
          <w:szCs w:val="24"/>
          <w:highlight w:val="none"/>
          <w:lang w:eastAsia="zh-CN"/>
          <w14:textFill>
            <w14:solidFill>
              <w14:schemeClr w14:val="tx1"/>
            </w14:solidFill>
          </w14:textFill>
        </w:rPr>
        <w:t>9通讯联络</w:t>
      </w:r>
      <w:bookmarkEnd w:id="113"/>
      <w:bookmarkEnd w:id="114"/>
    </w:p>
    <w:p w14:paraId="1EFC52AE">
      <w:pPr>
        <w:pStyle w:val="4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50FC90C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31DBB06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31DBB06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044A617C">
      <w:pPr>
        <w:pStyle w:val="40"/>
        <w:spacing w:line="360" w:lineRule="auto"/>
        <w:ind w:right="-238"/>
        <w:rPr>
          <w:rFonts w:ascii="仿宋" w:hAnsi="仿宋" w:eastAsia="仿宋"/>
          <w:b/>
          <w:bCs/>
          <w:color w:val="000000" w:themeColor="text1"/>
          <w:sz w:val="24"/>
          <w:szCs w:val="24"/>
          <w:highlight w:val="none"/>
          <w:lang w:eastAsia="zh-CN"/>
          <w14:textFill>
            <w14:solidFill>
              <w14:schemeClr w14:val="tx1"/>
            </w14:solidFill>
          </w14:textFill>
        </w:rPr>
      </w:pPr>
      <w:bookmarkStart w:id="115" w:name="_Toc16622"/>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ascii="仿宋" w:hAnsi="仿宋" w:eastAsia="仿宋" w:cs="仿宋"/>
          <w:b/>
          <w:bCs/>
          <w:color w:val="000000" w:themeColor="text1"/>
          <w:sz w:val="24"/>
          <w:szCs w:val="24"/>
          <w:highlight w:val="none"/>
          <w:lang w:eastAsia="zh-CN"/>
          <w14:textFill>
            <w14:solidFill>
              <w14:schemeClr w14:val="tx1"/>
            </w14:solidFill>
          </w14:textFill>
        </w:rPr>
        <w:t>.2</w:t>
      </w:r>
      <w:bookmarkEnd w:id="115"/>
    </w:p>
    <w:p w14:paraId="348A80F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5987619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5987619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4081DF3E">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515E15C1">
      <w:pPr>
        <w:pStyle w:val="40"/>
        <w:spacing w:line="360" w:lineRule="auto"/>
        <w:ind w:right="-238"/>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p>
    <w:p w14:paraId="21756ADA">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392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308300D3">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392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308300D3">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090E997">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425E08C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2C8328E9">
      <w:pPr>
        <w:rPr>
          <w:color w:val="000000" w:themeColor="text1"/>
          <w:highlight w:val="none"/>
          <w:lang w:eastAsia="zh-CN"/>
          <w14:textFill>
            <w14:solidFill>
              <w14:schemeClr w14:val="tx1"/>
            </w14:solidFill>
          </w14:textFill>
        </w:rPr>
      </w:pPr>
    </w:p>
    <w:p w14:paraId="3EC54717">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16" w:name="_Toc5942"/>
      <w:bookmarkStart w:id="117" w:name="_Toc149731440"/>
      <w:r>
        <w:rPr>
          <w:rFonts w:hint="eastAsia" w:ascii="仿宋" w:hAnsi="仿宋" w:eastAsia="仿宋" w:cs="仿宋"/>
          <w:color w:val="000000" w:themeColor="text1"/>
          <w:sz w:val="24"/>
          <w:szCs w:val="24"/>
          <w:highlight w:val="none"/>
          <w:lang w:eastAsia="zh-CN"/>
          <w14:textFill>
            <w14:solidFill>
              <w14:schemeClr w14:val="tx1"/>
            </w14:solidFill>
          </w14:textFill>
        </w:rPr>
        <w:t>10分包</w:t>
      </w:r>
      <w:bookmarkEnd w:id="116"/>
      <w:bookmarkEnd w:id="117"/>
    </w:p>
    <w:p w14:paraId="31450C08">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5E1577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5E1577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0EB5E1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20860B6D">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bookmarkStart w:id="118" w:name="_Toc1657"/>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.2</w:t>
      </w:r>
      <w:bookmarkEnd w:id="118"/>
    </w:p>
    <w:p w14:paraId="5171115D">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356F404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356F404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79B4028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（1）施工及勘察劳务作业分包；</w:t>
      </w:r>
    </w:p>
    <w:p w14:paraId="09D2353D">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（2）按照合同约定的标准购买工程材料和工程设备；</w:t>
      </w:r>
    </w:p>
    <w:p w14:paraId="6051153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（3）合同中已指定的分包事项。</w:t>
      </w:r>
    </w:p>
    <w:p w14:paraId="21A6BCD6">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14A734E3">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750921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ZHuEa&#10;IAIAACYEAAAOAAAAAAAAAAEAIAAAACQBAABkcnMvZTJvRG9jLnhtbFBLBQYAAAAABgAGAFkBAAC2&#10;BQAAAAA=&#10;">
                <v:fill on="f" focussize="0,0"/>
                <v:stroke on="f"/>
                <v:imagedata o:title=""/>
                <o:lock v:ext="edit" aspectratio="f"/>
                <v:textbox>
                  <w:txbxContent>
                    <w:p w14:paraId="750921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承包人分包工作事项的，应与分包人签订分包合同，并在分包合同签订后的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天内向发包人和设计顾问人或监理人、造价咨询人各提交一份分包合同。承包人有权利禁止分包人将分包事项再次分包。</w:t>
      </w:r>
    </w:p>
    <w:p w14:paraId="6DA4A574">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606C4DCC">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6817944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6817944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35F1724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0ABA38EF">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71F3806B">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71F3806B">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2526D735">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分包不能免除承包人应承担的任何责任和应履行的任何义务。承包人应在分包场地派驻相应管理人员保证本合同的履行。</w:t>
      </w:r>
    </w:p>
    <w:p w14:paraId="5E1AD07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分包人应对分包事项负责。分包人的任何违约行为或疏忽导致工程损坏、损害或给发包人造成损失的，承包人应承担连带责任。</w:t>
      </w:r>
    </w:p>
    <w:p w14:paraId="45BB3DC4">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7DF29A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7DF29A1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 xml:space="preserve">.6 </w:t>
      </w:r>
    </w:p>
    <w:p w14:paraId="3B3D635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无论何种原因，当本合同终止时，承包人应与分包人解除分包合同。承包人应在本合同终止前向分包人支付分包人应得款项。</w:t>
      </w:r>
    </w:p>
    <w:p w14:paraId="3D17EF78">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10</w:t>
      </w:r>
      <w:r>
        <w:rPr>
          <w:rFonts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p>
    <w:p w14:paraId="5A4AAEA7">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204968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204968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因承包人违约或发生重大的质量、安全事故以及出现进度严重滞后的情况或工程专业化施工等的需要，发包人有权对承包人部分工作事项进行切割，做分包处理，因此而增加的一切费用由承包人承担。</w:t>
      </w:r>
    </w:p>
    <w:p w14:paraId="7E1B114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6F7213F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（1）若计算结果等于或高于发包人与分包人就该分包事项协商确定的合同总价，则按造价咨询人计算结果扣除。</w:t>
      </w:r>
    </w:p>
    <w:p w14:paraId="06743E9A">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（2）若计算结果低于发包人与分包人就该分包事项协商确定的合同总价，按发包人与分包人协商确定的该分包事项合同总价扣除。</w:t>
      </w:r>
    </w:p>
    <w:p w14:paraId="34924E06">
      <w:pPr>
        <w:spacing w:line="360" w:lineRule="auto"/>
        <w:rPr>
          <w:color w:val="000000" w:themeColor="text1"/>
          <w:highlight w:val="none"/>
          <w:lang w:eastAsia="zh-CN"/>
          <w14:textFill>
            <w14:solidFill>
              <w14:schemeClr w14:val="tx1"/>
            </w14:solidFill>
          </w14:textFill>
        </w:rPr>
      </w:pPr>
    </w:p>
    <w:p w14:paraId="6BC7F8DF">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19" w:name="_Toc7692"/>
      <w:bookmarkStart w:id="120" w:name="_Toc149731441"/>
      <w:bookmarkStart w:id="121" w:name="_Toc469383987"/>
      <w:r>
        <w:rPr>
          <w:rFonts w:hint="eastAsia" w:ascii="仿宋" w:hAnsi="仿宋" w:eastAsia="仿宋" w:cs="仿宋"/>
          <w:color w:val="000000" w:themeColor="text1"/>
          <w:sz w:val="24"/>
          <w:szCs w:val="24"/>
          <w:highlight w:val="none"/>
          <w:lang w:eastAsia="zh-CN"/>
          <w14:textFill>
            <w14:solidFill>
              <w14:schemeClr w14:val="tx1"/>
            </w14:solidFill>
          </w14:textFill>
        </w:rPr>
        <w:t>11现场查勘</w:t>
      </w:r>
      <w:bookmarkEnd w:id="119"/>
      <w:bookmarkEnd w:id="120"/>
      <w:bookmarkEnd w:id="121"/>
    </w:p>
    <w:p w14:paraId="71A361CB">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60C0C16E">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60C0C16E">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11</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23EBA06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发包人应按照第6条和第22</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款第（1）点约定向承包人提供《发包人要求》和项目基础资料。</w:t>
      </w:r>
    </w:p>
    <w:p w14:paraId="217592C5">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11</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368C530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18032915">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18032915">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承包人已依据发包人提供的项目基础资料和自己对现场查勘来编制投标文件或报价文件，应对发包人提供项目基础资料的理解、推断和应用负责。</w:t>
      </w:r>
      <w:r>
        <w:rPr>
          <w:rFonts w:ascii="仿宋" w:hAnsi="仿宋" w:eastAsia="仿宋" w:cs="仿宋"/>
          <w:color w:val="000000" w:themeColor="text1"/>
          <w:sz w:val="24"/>
          <w:szCs w:val="24"/>
          <w:highlight w:val="none"/>
          <w:lang w:eastAsia="zh-CN"/>
          <w14:textFill>
            <w14:solidFill>
              <w14:schemeClr w14:val="tx1"/>
            </w14:solidFill>
          </w14:textFill>
        </w:rPr>
        <w:t>因承包人未能充分查勘、了解</w:t>
      </w:r>
      <w:r>
        <w:rPr>
          <w:rFonts w:hint="eastAsia" w:ascii="仿宋" w:hAnsi="仿宋" w:eastAsia="仿宋" w:cs="仿宋"/>
          <w:color w:val="000000" w:themeColor="text1"/>
          <w:sz w:val="24"/>
          <w:szCs w:val="24"/>
          <w:highlight w:val="none"/>
          <w:lang w:eastAsia="zh-CN"/>
          <w14:textFill>
            <w14:solidFill>
              <w14:schemeClr w14:val="tx1"/>
            </w14:solidFill>
          </w14:textFill>
        </w:rPr>
        <w:t>以下</w:t>
      </w:r>
      <w:r>
        <w:rPr>
          <w:rFonts w:ascii="仿宋" w:hAnsi="仿宋" w:eastAsia="仿宋" w:cs="仿宋"/>
          <w:color w:val="000000" w:themeColor="text1"/>
          <w:sz w:val="24"/>
          <w:szCs w:val="24"/>
          <w:highlight w:val="none"/>
          <w:lang w:eastAsia="zh-CN"/>
          <w14:textFill>
            <w14:solidFill>
              <w14:schemeClr w14:val="tx1"/>
            </w14:solidFill>
          </w14:textFill>
        </w:rPr>
        <w:t>情况或未能充分估计</w:t>
      </w:r>
      <w:r>
        <w:rPr>
          <w:rFonts w:hint="eastAsia" w:ascii="仿宋" w:hAnsi="仿宋" w:eastAsia="仿宋" w:cs="仿宋"/>
          <w:color w:val="000000" w:themeColor="text1"/>
          <w:sz w:val="24"/>
          <w:szCs w:val="24"/>
          <w:highlight w:val="none"/>
          <w:lang w:eastAsia="zh-CN"/>
          <w14:textFill>
            <w14:solidFill>
              <w14:schemeClr w14:val="tx1"/>
            </w14:solidFill>
          </w14:textFill>
        </w:rPr>
        <w:t>以下</w:t>
      </w:r>
      <w:r>
        <w:rPr>
          <w:rFonts w:ascii="仿宋" w:hAnsi="仿宋" w:eastAsia="仿宋" w:cs="仿宋"/>
          <w:color w:val="000000" w:themeColor="text1"/>
          <w:sz w:val="24"/>
          <w:szCs w:val="24"/>
          <w:highlight w:val="none"/>
          <w:lang w:eastAsia="zh-CN"/>
          <w14:textFill>
            <w14:solidFill>
              <w14:schemeClr w14:val="tx1"/>
            </w14:solidFill>
          </w14:textFill>
        </w:rPr>
        <w:t>情况所可能产生后果的，承包人承担由此增加的费用和（或）延误的工期。</w:t>
      </w:r>
      <w:r>
        <w:rPr>
          <w:rFonts w:hint="eastAsia" w:ascii="仿宋" w:hAnsi="仿宋" w:eastAsia="仿宋" w:cs="仿宋"/>
          <w:color w:val="000000" w:themeColor="text1"/>
          <w:sz w:val="24"/>
          <w:szCs w:val="24"/>
          <w:highlight w:val="none"/>
          <w:lang w:eastAsia="zh-CN"/>
          <w14:textFill>
            <w14:solidFill>
              <w14:schemeClr w14:val="tx1"/>
            </w14:solidFill>
          </w14:textFill>
        </w:rPr>
        <w:t>承包人的投标文件或报价文件应被认为已经考虑了工程现场及其周围环境的影响，包括但不限于以下内容：</w:t>
      </w:r>
    </w:p>
    <w:p w14:paraId="4059131F">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）现场地质情况及地形地貌特征；</w:t>
      </w:r>
    </w:p>
    <w:p w14:paraId="343F6A39">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（2）水文和气候条件；</w:t>
      </w:r>
    </w:p>
    <w:p w14:paraId="7FDADE00">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（3）为实施、完成并保修合同工程所需的临时工程和措施项目；</w:t>
      </w:r>
    </w:p>
    <w:p w14:paraId="0A83A947">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（4）为实施、完成并保修合同工程所需的工程材料采购和加工、工程设备的采购，及所需的施工设备、周转性材料、人员和管理等；</w:t>
      </w:r>
    </w:p>
    <w:p w14:paraId="7801C542">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（5）场地内外的交通情况及水、电、食宿供应条件；</w:t>
      </w:r>
    </w:p>
    <w:p w14:paraId="76F96537">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（6）可能对投标或报价有影响或起作用的其他情况。</w:t>
      </w:r>
    </w:p>
    <w:p w14:paraId="58ACF314">
      <w:pPr>
        <w:pStyle w:val="40"/>
        <w:adjustRightInd w:val="0"/>
        <w:snapToGrid w:val="0"/>
        <w:spacing w:line="360" w:lineRule="auto"/>
        <w:rPr>
          <w:rFonts w:ascii="仿宋" w:hAnsi="仿宋" w:eastAsia="仿宋"/>
          <w:color w:val="000000" w:themeColor="text1"/>
          <w:sz w:val="24"/>
          <w:szCs w:val="24"/>
          <w:highlight w:val="none"/>
          <w:u w:val="single"/>
          <w:lang w:eastAsia="zh-CN"/>
          <w14:textFill>
            <w14:solidFill>
              <w14:schemeClr w14:val="tx1"/>
            </w14:solidFill>
          </w14:textFill>
        </w:rPr>
      </w:pPr>
    </w:p>
    <w:p w14:paraId="7DF62918">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22" w:name="_Toc8796"/>
      <w:bookmarkStart w:id="123" w:name="_Toc149731442"/>
      <w:bookmarkStart w:id="124" w:name="_Toc469383988"/>
      <w:r>
        <w:rPr>
          <w:rFonts w:hint="eastAsia" w:ascii="仿宋" w:hAnsi="仿宋" w:eastAsia="仿宋" w:cs="仿宋"/>
          <w:color w:val="000000" w:themeColor="text1"/>
          <w:sz w:val="24"/>
          <w:szCs w:val="24"/>
          <w:highlight w:val="none"/>
          <w:lang w:eastAsia="zh-CN"/>
          <w14:textFill>
            <w14:solidFill>
              <w14:schemeClr w14:val="tx1"/>
            </w14:solidFill>
          </w14:textFill>
        </w:rPr>
        <w:t>12招标错失的修正</w:t>
      </w:r>
      <w:bookmarkEnd w:id="122"/>
      <w:bookmarkEnd w:id="123"/>
      <w:bookmarkEnd w:id="124"/>
    </w:p>
    <w:p w14:paraId="67936DF6">
      <w:pPr>
        <w:pStyle w:val="40"/>
        <w:adjustRightInd w:val="0"/>
        <w:snapToGrid w:val="0"/>
        <w:spacing w:before="240" w:beforeLines="100"/>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1207F521">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1207F521">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12</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1DEE541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发包人招标文件中的合同条款及格式，被认为是正确的和公平的，并已包括了发包人履行本合同的全部义务，包括但不限于以下内容：</w:t>
      </w:r>
    </w:p>
    <w:p w14:paraId="5B1D4C33">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）支付工程款及其他应付款项的义务；</w:t>
      </w:r>
    </w:p>
    <w:p w14:paraId="0E0129CE">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）完成本合同第22</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款约定工作的义务；</w:t>
      </w:r>
    </w:p>
    <w:p w14:paraId="5DAD7F2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）修正不正确合同条款及格式的义务；</w:t>
      </w:r>
    </w:p>
    <w:p w14:paraId="63F4DC27">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）澄清并改正被认定有失公平的合同条款的义务；</w:t>
      </w:r>
    </w:p>
    <w:p w14:paraId="43AEB93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）协助承包人实施、完成并保修合同工程的义务。</w:t>
      </w:r>
    </w:p>
    <w:p w14:paraId="2103F575">
      <w:pPr>
        <w:pStyle w:val="40"/>
        <w:tabs>
          <w:tab w:val="left" w:pos="2160"/>
        </w:tabs>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12</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2FEC3CC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6284D0A2">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6284D0A2">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4E39B3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）发包人提供的可行性研究报告或初步设计发生实质性变化的；</w:t>
      </w:r>
    </w:p>
    <w:p w14:paraId="7AC77F46">
      <w:pPr>
        <w:pStyle w:val="40"/>
        <w:widowControl w:val="0"/>
        <w:adjustRightInd w:val="0"/>
        <w:snapToGrid w:val="0"/>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）出现第69</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3款约定调整合同价格事项的。</w:t>
      </w:r>
    </w:p>
    <w:p w14:paraId="526A93E5">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DB88E95">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25" w:name="_Toc469383989"/>
      <w:bookmarkStart w:id="126" w:name="_Toc149731443"/>
      <w:bookmarkStart w:id="127" w:name="_Toc4895"/>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3投标文件的完备性</w:t>
      </w:r>
      <w:bookmarkEnd w:id="125"/>
      <w:bookmarkEnd w:id="126"/>
      <w:bookmarkEnd w:id="127"/>
    </w:p>
    <w:p w14:paraId="0C42D488">
      <w:pPr>
        <w:rPr>
          <w:rFonts w:ascii="仿宋" w:hAnsi="仿宋" w:eastAsia="仿宋" w:cs="仿宋"/>
          <w:b/>
          <w:bCs/>
          <w:color w:val="000000" w:themeColor="text1"/>
          <w:highlight w:val="none"/>
          <w:lang w:eastAsia="zh-CN"/>
          <w14:textFill>
            <w14:solidFill>
              <w14:schemeClr w14:val="tx1"/>
            </w14:solidFill>
          </w14:textFill>
        </w:rPr>
      </w:pPr>
      <w:bookmarkStart w:id="128" w:name="_Toc1958"/>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14C7CA9E">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14C7CA9E">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1</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.1</w:t>
      </w:r>
      <w:bookmarkEnd w:id="128"/>
    </w:p>
    <w:p w14:paraId="7AE0162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承包人投标文件中的工程量清单及所填单价和合价，被认为是正确的和完备的，</w:t>
      </w:r>
      <w:r>
        <w:rPr>
          <w:rFonts w:hint="eastAsia" w:ascii="仿宋" w:hAnsi="仿宋" w:eastAsia="仿宋"/>
          <w:color w:val="000000" w:themeColor="text1"/>
          <w:sz w:val="24"/>
          <w:szCs w:val="24"/>
          <w:highlight w:val="none"/>
          <w:lang w:eastAsia="zh-CN"/>
          <w14:textFill>
            <w14:solidFill>
              <w14:schemeClr w14:val="tx1"/>
            </w14:solidFill>
          </w14:textFill>
        </w:rPr>
        <w:t>并已包括了承包人履行本合同的全部义务</w:t>
      </w:r>
      <w:r>
        <w:rPr>
          <w:rFonts w:hint="eastAsia" w:ascii="仿宋" w:hAnsi="仿宋" w:eastAsia="仿宋" w:cs="仿宋"/>
          <w:color w:val="000000" w:themeColor="text1"/>
          <w:sz w:val="24"/>
          <w:szCs w:val="24"/>
          <w:highlight w:val="none"/>
          <w:lang w:eastAsia="zh-CN"/>
          <w14:textFill>
            <w14:solidFill>
              <w14:schemeClr w14:val="tx1"/>
            </w14:solidFill>
          </w14:textFill>
        </w:rPr>
        <w:t>，包括但不限于以下内容：</w:t>
      </w:r>
    </w:p>
    <w:p w14:paraId="01BFEC6F">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）完成总承包范围内容及处理意外事项的义务；</w:t>
      </w:r>
    </w:p>
    <w:p w14:paraId="3ADE0C6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（2）修复工作缺陷及完成工程质量保修义务。</w:t>
      </w:r>
    </w:p>
    <w:p w14:paraId="738EC075">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467A2EB5">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681D1515">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681D1515">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585EA64D">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421EBBE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36B0D8A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36B0D8A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301C58C7">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p>
    <w:p w14:paraId="4A86906D">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29" w:name="_Toc149731444"/>
      <w:bookmarkStart w:id="130" w:name="_Toc12078"/>
      <w:r>
        <w:rPr>
          <w:rFonts w:ascii="仿宋" w:hAnsi="仿宋" w:eastAsia="仿宋" w:cs="仿宋"/>
          <w:bCs w:val="0"/>
          <w:color w:val="000000" w:themeColor="text1"/>
          <w:sz w:val="24"/>
          <w:szCs w:val="24"/>
          <w:highlight w:val="none"/>
          <w:lang w:eastAsia="zh-CN"/>
          <w14:textFill>
            <w14:solidFill>
              <w14:schemeClr w14:val="tx1"/>
            </w14:solidFill>
          </w14:textFill>
        </w:rPr>
        <w:t>1</w:t>
      </w:r>
      <w:r>
        <w:rPr>
          <w:rFonts w:hint="eastAsia" w:ascii="仿宋" w:hAnsi="仿宋" w:eastAsia="仿宋" w:cs="仿宋"/>
          <w:bCs w:val="0"/>
          <w:color w:val="000000" w:themeColor="text1"/>
          <w:sz w:val="24"/>
          <w:szCs w:val="24"/>
          <w:highlight w:val="none"/>
          <w:lang w:eastAsia="zh-CN"/>
          <w14:textFill>
            <w14:solidFill>
              <w14:schemeClr w14:val="tx1"/>
            </w14:solidFill>
          </w14:textFill>
        </w:rPr>
        <w:t>4文物和地下障碍物</w:t>
      </w:r>
      <w:bookmarkEnd w:id="129"/>
      <w:bookmarkEnd w:id="130"/>
    </w:p>
    <w:p w14:paraId="275F800A">
      <w:pPr>
        <w:pStyle w:val="40"/>
        <w:adjustRightInd w:val="0"/>
        <w:snapToGrid w:val="0"/>
        <w:spacing w:line="360" w:lineRule="auto"/>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15BFBC5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1E7FA079">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1E7FA079">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小时内以书面形式通知监理人和发包人。监理人应在收到通知后立即指令承包人继续保护好现场，并在收到通知后</w:t>
      </w:r>
      <w:r>
        <w:rPr>
          <w:rFonts w:ascii="仿宋" w:hAnsi="仿宋" w:eastAsia="仿宋" w:cs="仿宋"/>
          <w:color w:val="000000" w:themeColor="text1"/>
          <w:sz w:val="24"/>
          <w:szCs w:val="24"/>
          <w:highlight w:val="none"/>
          <w:lang w:eastAsia="zh-CN"/>
          <w14:textFill>
            <w14:solidFill>
              <w14:schemeClr w14:val="tx1"/>
            </w14:solidFill>
          </w14:textFill>
        </w:rPr>
        <w:t>24</w:t>
      </w:r>
      <w:r>
        <w:rPr>
          <w:rFonts w:hint="eastAsia" w:ascii="仿宋" w:hAnsi="仿宋" w:eastAsia="仿宋" w:cs="仿宋"/>
          <w:color w:val="000000" w:themeColor="text1"/>
          <w:sz w:val="24"/>
          <w:szCs w:val="24"/>
          <w:highlight w:val="none"/>
          <w:lang w:eastAsia="zh-CN"/>
          <w14:textFill>
            <w14:solidFill>
              <w14:schemeClr w14:val="tx1"/>
            </w14:solidFill>
          </w14:textFill>
        </w:rPr>
        <w:t>小时内报告当地文物管理部门，合同双方当事人应按照文物管理部门的要求采取妥善保护措施。发包人承担由此增加的费用和（或）工期延误，并向承包人支付合理利润。</w:t>
      </w:r>
    </w:p>
    <w:p w14:paraId="77A89AE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如发现文物后隐瞒不报或报告不及时，导致上述文物丢失或遭受破坏的，由责任方赔偿损失，并承担相应的法律责任。</w:t>
      </w:r>
    </w:p>
    <w:p w14:paraId="1A4CBA6A">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0C982417">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15D30306">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15D30306">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本合同已明确指出的地下障碍物（发包人招标文件提供的工程量清单有列明或提供的地质资料已明确反映的），应视为承包人在投标报价时已预见其对施工的影响，并已在合同价格中考虑。</w:t>
      </w:r>
    </w:p>
    <w:p w14:paraId="43AD46F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本合同未有明确指出的地下障碍物（发包人招标文件提供的工程量清单没有列明或提供的地质资料不能明确反映的），在施工过程遇到时，承包人应于</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小时内以书面形式通知监理人和发包人，并提出处置方案。监理人在收到处置方案后</w:t>
      </w:r>
      <w:r>
        <w:rPr>
          <w:rFonts w:ascii="仿宋" w:hAnsi="仿宋" w:eastAsia="仿宋" w:cs="仿宋"/>
          <w:color w:val="000000" w:themeColor="text1"/>
          <w:sz w:val="24"/>
          <w:szCs w:val="24"/>
          <w:highlight w:val="none"/>
          <w:lang w:eastAsia="zh-CN"/>
          <w14:textFill>
            <w14:solidFill>
              <w14:schemeClr w14:val="tx1"/>
            </w14:solidFill>
          </w14:textFill>
        </w:rPr>
        <w:t>24</w:t>
      </w:r>
      <w:r>
        <w:rPr>
          <w:rFonts w:hint="eastAsia" w:ascii="仿宋" w:hAnsi="仿宋" w:eastAsia="仿宋" w:cs="仿宋"/>
          <w:color w:val="000000" w:themeColor="text1"/>
          <w:sz w:val="24"/>
          <w:szCs w:val="24"/>
          <w:highlight w:val="none"/>
          <w:lang w:eastAsia="zh-CN"/>
          <w14:textFill>
            <w14:solidFill>
              <w14:schemeClr w14:val="tx1"/>
            </w14:solidFill>
          </w14:textFill>
        </w:rPr>
        <w:t>小时内予以确认或提出修正方案，并发出施工指令。承包人应按照监理人指令进行施工。发包人应承担由此增加的费用和（或）延误的工期，并向承包人支付合理利润。</w:t>
      </w:r>
    </w:p>
    <w:p w14:paraId="69877B6B">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0D9698FB">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31" w:name="_Toc149731445"/>
      <w:bookmarkStart w:id="132" w:name="_Toc6572"/>
      <w:r>
        <w:rPr>
          <w:rFonts w:ascii="仿宋" w:hAnsi="仿宋" w:eastAsia="仿宋" w:cs="仿宋"/>
          <w:bCs w:val="0"/>
          <w:color w:val="000000" w:themeColor="text1"/>
          <w:sz w:val="24"/>
          <w:szCs w:val="24"/>
          <w:highlight w:val="none"/>
          <w:lang w:eastAsia="zh-CN"/>
          <w14:textFill>
            <w14:solidFill>
              <w14:schemeClr w14:val="tx1"/>
            </w14:solidFill>
          </w14:textFill>
        </w:rPr>
        <w:t>1</w:t>
      </w:r>
      <w:r>
        <w:rPr>
          <w:rFonts w:hint="eastAsia" w:ascii="仿宋" w:hAnsi="仿宋" w:eastAsia="仿宋" w:cs="仿宋"/>
          <w:bCs w:val="0"/>
          <w:color w:val="000000" w:themeColor="text1"/>
          <w:sz w:val="24"/>
          <w:szCs w:val="24"/>
          <w:highlight w:val="none"/>
          <w:lang w:eastAsia="zh-CN"/>
          <w14:textFill>
            <w14:solidFill>
              <w14:schemeClr w14:val="tx1"/>
            </w14:solidFill>
          </w14:textFill>
        </w:rPr>
        <w:t>5事故处理</w:t>
      </w:r>
      <w:bookmarkEnd w:id="131"/>
      <w:bookmarkEnd w:id="132"/>
    </w:p>
    <w:p w14:paraId="6577983E">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1D044AF5">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1D044AF5">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3818722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合同履行期间，合同工程发生质量与安全事故，承包人立即通知监理人和发包人。</w:t>
      </w:r>
    </w:p>
    <w:p w14:paraId="1CE0A7D3">
      <w:pPr>
        <w:pStyle w:val="40"/>
        <w:adjustRightInd w:val="0"/>
        <w:snapToGrid w:val="0"/>
        <w:spacing w:line="480" w:lineRule="auto"/>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7A1404C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7A1404C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7193191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接到事故通知后，合同双方当事人应立即组织人员和设备进行紧急抢救和抢修，减少人员伤亡和财产损失，防止事故扩大，并保护事故现场。需移动现场物品时，应做好标记和书面记录，妥善保护有关证据。</w:t>
      </w:r>
    </w:p>
    <w:p w14:paraId="3335DC6C">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合同双方当事人应按照国家规定时限如实上报政府有关部门，配合政府有关部门的调查和处理，由此发生的费用和（或）延误的工期由事故责任方承担。</w:t>
      </w:r>
    </w:p>
    <w:p w14:paraId="3455F214">
      <w:pPr>
        <w:pStyle w:val="40"/>
        <w:adjustRightInd w:val="0"/>
        <w:snapToGrid w:val="0"/>
        <w:spacing w:line="48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549B74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l0lpR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z9I5Z0a0&#10;NPLD92+HH78OP7+y89nzIFFnXU6Zd5Zyff8SejJOpOvsLchPjhm4roXZqCtE6GolSmpxGl4mJ08H&#10;HBdA1t0bKKmS2HqIQH2FbdCPFGGETuPZH8ejes8kXZ6fkX8oIimUpVl2MY8VRH7/2KLzrxS0LGwK&#10;jjT9CC52t86HZkR+nxJqGbjRTRMd0Ji/LihxuFHRQuPrQCV0P/Dw/bofpVlDuSdSCIO96HPRpgb8&#10;wllH1iq4+7wVqDhrXhsS5mKaZcGL8ZDNz2d0wNPI+jQijCSognvOhu21H/y7tag3NVUaRmHgi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l0lpR&#10;HgIAACYEAAAOAAAAAAAAAAEAIAAAACYBAABkcnMvZTJvRG9jLnhtbFBLBQYAAAAABgAGAFkBAAC2&#10;BQAAAAA=&#10;">
                <v:fill on="f" focussize="0,0"/>
                <v:stroke on="f"/>
                <v:imagedata o:title=""/>
                <o:lock v:ext="edit" aspectratio="f"/>
                <v:textbox>
                  <w:txbxContent>
                    <w:p w14:paraId="549B74D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6034B0B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合同双方当事人对事故责任有争议时，应按照政府有关部门的认定处理。</w:t>
      </w:r>
    </w:p>
    <w:p w14:paraId="606D742A">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p>
    <w:p w14:paraId="620E54DC">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33" w:name="_Toc149731446"/>
      <w:bookmarkStart w:id="134" w:name="_Toc16671"/>
      <w:r>
        <w:rPr>
          <w:rFonts w:ascii="仿宋" w:hAnsi="仿宋" w:eastAsia="仿宋" w:cs="仿宋"/>
          <w:bCs w:val="0"/>
          <w:color w:val="000000" w:themeColor="text1"/>
          <w:sz w:val="24"/>
          <w:szCs w:val="24"/>
          <w:highlight w:val="none"/>
          <w:lang w:eastAsia="zh-CN"/>
          <w14:textFill>
            <w14:solidFill>
              <w14:schemeClr w14:val="tx1"/>
            </w14:solidFill>
          </w14:textFill>
        </w:rPr>
        <w:t>1</w:t>
      </w:r>
      <w:r>
        <w:rPr>
          <w:rFonts w:hint="eastAsia" w:ascii="仿宋" w:hAnsi="仿宋" w:eastAsia="仿宋" w:cs="仿宋"/>
          <w:bCs w:val="0"/>
          <w:color w:val="000000" w:themeColor="text1"/>
          <w:sz w:val="24"/>
          <w:szCs w:val="24"/>
          <w:highlight w:val="none"/>
          <w:lang w:eastAsia="zh-CN"/>
          <w14:textFill>
            <w14:solidFill>
              <w14:schemeClr w14:val="tx1"/>
            </w14:solidFill>
          </w14:textFill>
        </w:rPr>
        <w:t>6交通运输</w:t>
      </w:r>
      <w:bookmarkEnd w:id="133"/>
      <w:bookmarkEnd w:id="134"/>
    </w:p>
    <w:p w14:paraId="5ADA6173">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507EF9D4">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507EF9D4">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06D95757">
      <w:pPr>
        <w:pStyle w:val="40"/>
        <w:widowControl w:val="0"/>
        <w:tabs>
          <w:tab w:val="left" w:pos="1202"/>
        </w:tabs>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5AF860EC">
      <w:pPr>
        <w:pStyle w:val="40"/>
        <w:widowControl w:val="0"/>
        <w:tabs>
          <w:tab w:val="left" w:pos="1202"/>
        </w:tabs>
        <w:adjustRightInd w:val="0"/>
        <w:snapToGrid w:val="0"/>
        <w:spacing w:line="360" w:lineRule="auto"/>
        <w:ind w:left="1850" w:leftChars="771"/>
        <w:jc w:val="both"/>
        <w:rPr>
          <w:color w:val="000000" w:themeColor="text1"/>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w:t>承包人应在订立合同前查勘施工现场，并根据工程规模及技术参数合理预见工程施工所需的进出施工现场的方式、手段、路径等。因承包人未合理预见所增加的费用和（或）延误的工期由承包人承担。</w:t>
      </w:r>
    </w:p>
    <w:p w14:paraId="05AB200B">
      <w:pPr>
        <w:pStyle w:val="40"/>
        <w:tabs>
          <w:tab w:val="left" w:pos="1202"/>
        </w:tabs>
        <w:adjustRightInd w:val="0"/>
        <w:snapToGrid w:val="0"/>
        <w:spacing w:line="360" w:lineRule="auto"/>
        <w:ind w:left="1350" w:leftChars="1" w:hanging="1348" w:hangingChars="674"/>
        <w:rPr>
          <w:rFonts w:ascii="仿宋" w:hAnsi="仿宋" w:eastAsia="仿宋" w:cs="仿宋"/>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51D39070">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i148pHg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afqcMyMa&#10;Gvnx+7fjj1/Hn1/ZfDILErXWZZR5ZynXdy+hI+NEus7egvzkmIHrSpitukKEtlKioBbH4WVy9rTH&#10;cQFk076BgiqJnYcI1JXYBP1IEUboNJ7DaTyq80zS5SIliSgiKTSbX8wWcXyJyO4fW3T+lYKGhU3O&#10;kaYfwcX+1vnQjMjuU0ItAze6rqMDavPXBSX2NypaaHgdqITuex6+23SDNBsoDkQKobcXfS7aVIBf&#10;OGvJWjl3n3cCFWf1a0PCvBh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i148p&#10;HgIAACYEAAAOAAAAAAAAAAEAIAAAACYBAABkcnMvZTJvRG9jLnhtbFBLBQYAAAAABgAGAFkBAAC2&#10;BQAAAAA=&#10;">
                <v:fill on="f" focussize="0,0"/>
                <v:stroke on="f"/>
                <v:imagedata o:title=""/>
                <o:lock v:ext="edit" aspectratio="f"/>
                <v:textbox>
                  <w:txbxContent>
                    <w:p w14:paraId="51D39070">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.2</w:t>
      </w:r>
    </w:p>
    <w:p w14:paraId="10F90577">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除专用条款另有约定外，承包人应负责修建、维修、养护和管理施工场地内所需的临时道路和交通设施，包括维修、养护和管理发包人提供的道路和交通设施，并承担相应费用。</w:t>
      </w:r>
    </w:p>
    <w:p w14:paraId="3C5353F0">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承包人修建的临时道路和交通设施应免费提供发包人使用。</w:t>
      </w:r>
    </w:p>
    <w:p w14:paraId="63C7F062">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3C31AD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3C31AD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085DC369">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承包人应遵守有关交通法规，严格按照道路和桥梁的限制荷重安全行驶，并服从交通管理部门的检查和监督。承包人车辆外出行驶所需的场外公共道路的通行费、养路费和税款等，由承包人承担。</w:t>
      </w:r>
    </w:p>
    <w:p w14:paraId="101E4487">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2EB79F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2EB79F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7437970D">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3AACDC7">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1A20F7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1A20F7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1AA50F1B">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因承包人运输造成施工场地内外公共道路和桥梁损坏的，由承包人承担修复损坏的全部费用和可能引起的赔偿。</w:t>
      </w:r>
    </w:p>
    <w:p w14:paraId="4941410C">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551BB7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551BB7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.6 </w:t>
      </w:r>
    </w:p>
    <w:p w14:paraId="676932B6">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本条内容适用于水路运输和航空运输，其中“道路”包括河道、航线、船闸、机场、码头、堤防以及水路或航空运输中其他相似结构物；“车辆”包括船舶和飞机等。</w:t>
      </w:r>
    </w:p>
    <w:p w14:paraId="49CB69A7">
      <w:pPr>
        <w:pStyle w:val="40"/>
        <w:tabs>
          <w:tab w:val="left" w:pos="1202"/>
        </w:tabs>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p>
    <w:p w14:paraId="1BA0F6F9">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35" w:name="_Toc27955"/>
      <w:bookmarkStart w:id="136" w:name="_Toc149731447"/>
      <w:r>
        <w:rPr>
          <w:rFonts w:ascii="仿宋" w:hAnsi="仿宋" w:eastAsia="仿宋" w:cs="仿宋"/>
          <w:bCs w:val="0"/>
          <w:color w:val="000000" w:themeColor="text1"/>
          <w:sz w:val="24"/>
          <w:szCs w:val="24"/>
          <w:highlight w:val="none"/>
          <w:lang w:eastAsia="zh-CN"/>
          <w14:textFill>
            <w14:solidFill>
              <w14:schemeClr w14:val="tx1"/>
            </w14:solidFill>
          </w14:textFill>
        </w:rPr>
        <w:t>1</w:t>
      </w:r>
      <w:r>
        <w:rPr>
          <w:rFonts w:hint="eastAsia" w:ascii="仿宋" w:hAnsi="仿宋" w:eastAsia="仿宋" w:cs="仿宋"/>
          <w:bCs w:val="0"/>
          <w:color w:val="000000" w:themeColor="text1"/>
          <w:sz w:val="24"/>
          <w:szCs w:val="24"/>
          <w:highlight w:val="none"/>
          <w:lang w:eastAsia="zh-CN"/>
          <w14:textFill>
            <w14:solidFill>
              <w14:schemeClr w14:val="tx1"/>
            </w14:solidFill>
          </w14:textFill>
        </w:rPr>
        <w:t>7专项批准事项的签认</w:t>
      </w:r>
      <w:bookmarkEnd w:id="135"/>
      <w:bookmarkEnd w:id="136"/>
    </w:p>
    <w:p w14:paraId="092F76FE">
      <w:pPr>
        <w:pStyle w:val="40"/>
        <w:tabs>
          <w:tab w:val="left" w:pos="1202"/>
        </w:tabs>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7CF49B27">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3328C38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3328C38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合同履行期间，合同工程发生第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4EF11FCD">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合同双方当事人应按照第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款约定对发生的专项批准事项予以签认，并及时将发生事项的相关资料整理、归档，同时按第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款约定职权将其中一份送设计顾问人、监理人和（或）造价咨询人留存。</w:t>
      </w:r>
    </w:p>
    <w:p w14:paraId="135DE666">
      <w:pPr>
        <w:pStyle w:val="40"/>
        <w:tabs>
          <w:tab w:val="left" w:pos="2160"/>
        </w:tabs>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145C9240">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0DB017C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aD0T&#10;1iACAAAmBAAADgAAAAAAAAABACAAAAAlAQAAZHJzL2Uyb0RvYy54bWxQSwUGAAAAAAYABgBZAQAA&#10;twUAAAAA&#10;">
                <v:fill on="f" focussize="0,0"/>
                <v:stroke on="f"/>
                <v:imagedata o:title=""/>
                <o:lock v:ext="edit" aspectratio="f"/>
                <v:textbox>
                  <w:txbxContent>
                    <w:p w14:paraId="0DB017C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合同双方当事人应按照第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款和第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9</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3E6367C2">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06905466">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37" w:name="_Toc15395"/>
      <w:bookmarkStart w:id="138" w:name="_Toc149731448"/>
      <w:r>
        <w:rPr>
          <w:rFonts w:ascii="仿宋" w:hAnsi="仿宋" w:eastAsia="仿宋" w:cs="仿宋"/>
          <w:bCs w:val="0"/>
          <w:color w:val="000000" w:themeColor="text1"/>
          <w:sz w:val="24"/>
          <w:szCs w:val="24"/>
          <w:highlight w:val="none"/>
          <w:lang w:eastAsia="zh-CN"/>
          <w14:textFill>
            <w14:solidFill>
              <w14:schemeClr w14:val="tx1"/>
            </w14:solidFill>
          </w14:textFill>
        </w:rPr>
        <w:t>1</w:t>
      </w:r>
      <w:r>
        <w:rPr>
          <w:rFonts w:hint="eastAsia" w:ascii="仿宋" w:hAnsi="仿宋" w:eastAsia="仿宋" w:cs="仿宋"/>
          <w:bCs w:val="0"/>
          <w:color w:val="000000" w:themeColor="text1"/>
          <w:sz w:val="24"/>
          <w:szCs w:val="24"/>
          <w:highlight w:val="none"/>
          <w:lang w:eastAsia="zh-CN"/>
          <w14:textFill>
            <w14:solidFill>
              <w14:schemeClr w14:val="tx1"/>
            </w14:solidFill>
          </w14:textFill>
        </w:rPr>
        <w:t>8专利技术和知识产权</w:t>
      </w:r>
      <w:bookmarkEnd w:id="137"/>
      <w:bookmarkEnd w:id="138"/>
    </w:p>
    <w:p w14:paraId="6A027524">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7B54C6BB">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09E68BE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09E68BE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7E590045">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bookmarkStart w:id="139" w:name="_Toc8205"/>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w:t>
      </w:r>
      <w:r>
        <w:rPr>
          <w:rFonts w:ascii="仿宋" w:hAnsi="仿宋" w:eastAsia="仿宋" w:cs="仿宋"/>
          <w:b/>
          <w:bCs/>
          <w:color w:val="000000" w:themeColor="text1"/>
          <w:sz w:val="24"/>
          <w:szCs w:val="24"/>
          <w:highlight w:val="none"/>
          <w:lang w:eastAsia="zh-CN"/>
          <w14:textFill>
            <w14:solidFill>
              <w14:schemeClr w14:val="tx1"/>
            </w14:solidFill>
          </w14:textFill>
        </w:rPr>
        <w:t>.2</w:t>
      </w:r>
      <w:bookmarkEnd w:id="139"/>
    </w:p>
    <w:p w14:paraId="376C5F83">
      <w:pPr>
        <w:pStyle w:val="40"/>
        <w:widowControl w:val="0"/>
        <w:tabs>
          <w:tab w:val="left" w:pos="1202"/>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4997289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4997289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5398F596">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40" w:name="_Toc29104"/>
      <w:r>
        <w:rPr>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231B9272">
                            <w:pPr>
                              <w:rPr>
                                <w:rFonts w:ascii="楷体_GB2312" w:hAnsi="宋体" w:eastAsia="楷体_GB2312"/>
                                <w:b/>
                                <w:bCs/>
                                <w:color w:val="000000"/>
                                <w:sz w:val="18"/>
                                <w:szCs w:val="18"/>
                              </w:rPr>
                            </w:pPr>
                            <w:bookmarkStart w:id="816" w:name="OLE_LINK3"/>
                            <w:bookmarkStart w:id="817" w:name="OLE_LINK4"/>
                            <w:r>
                              <w:rPr>
                                <w:rFonts w:hint="eastAsia" w:ascii="楷体_GB2312" w:hAnsi="宋体" w:eastAsia="楷体_GB2312" w:cs="楷体_GB2312"/>
                                <w:b/>
                                <w:bCs/>
                                <w:color w:val="000000"/>
                                <w:sz w:val="18"/>
                                <w:szCs w:val="18"/>
                              </w:rPr>
                              <w:t>版权和知识产权</w:t>
                            </w:r>
                            <w:bookmarkEnd w:id="816"/>
                            <w:bookmarkEnd w:id="817"/>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231B9272">
                      <w:pPr>
                        <w:rPr>
                          <w:rFonts w:ascii="楷体_GB2312" w:hAnsi="宋体" w:eastAsia="楷体_GB2312"/>
                          <w:b/>
                          <w:bCs/>
                          <w:color w:val="000000"/>
                          <w:sz w:val="18"/>
                          <w:szCs w:val="18"/>
                        </w:rPr>
                      </w:pPr>
                      <w:bookmarkStart w:id="816" w:name="OLE_LINK3"/>
                      <w:bookmarkStart w:id="817" w:name="OLE_LINK4"/>
                      <w:r>
                        <w:rPr>
                          <w:rFonts w:hint="eastAsia" w:ascii="楷体_GB2312" w:hAnsi="宋体" w:eastAsia="楷体_GB2312" w:cs="楷体_GB2312"/>
                          <w:b/>
                          <w:bCs/>
                          <w:color w:val="000000"/>
                          <w:sz w:val="18"/>
                          <w:szCs w:val="18"/>
                        </w:rPr>
                        <w:t>版权和知识产权</w:t>
                      </w:r>
                      <w:bookmarkEnd w:id="816"/>
                      <w:bookmarkEnd w:id="817"/>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8</w:t>
      </w:r>
      <w:r>
        <w:rPr>
          <w:rFonts w:ascii="仿宋" w:hAnsi="仿宋" w:eastAsia="仿宋" w:cs="仿宋"/>
          <w:b/>
          <w:bCs/>
          <w:color w:val="000000" w:themeColor="text1"/>
          <w:sz w:val="24"/>
          <w:szCs w:val="24"/>
          <w:highlight w:val="none"/>
          <w:lang w:eastAsia="zh-CN"/>
          <w14:textFill>
            <w14:solidFill>
              <w14:schemeClr w14:val="tx1"/>
            </w14:solidFill>
          </w14:textFill>
        </w:rPr>
        <w:t>.3</w:t>
      </w:r>
      <w:bookmarkEnd w:id="140"/>
    </w:p>
    <w:p w14:paraId="2E1262E5">
      <w:pPr>
        <w:pStyle w:val="40"/>
        <w:widowControl w:val="0"/>
        <w:tabs>
          <w:tab w:val="left" w:pos="1202"/>
        </w:tabs>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bookmarkStart w:id="141" w:name="OLE_LINK7"/>
      <w:r>
        <w:rPr>
          <w:rFonts w:hint="eastAsia" w:ascii="仿宋" w:hAnsi="仿宋" w:eastAsia="仿宋" w:cs="仿宋"/>
          <w:color w:val="000000" w:themeColor="text1"/>
          <w:sz w:val="24"/>
          <w:szCs w:val="24"/>
          <w:highlight w:val="none"/>
          <w:lang w:eastAsia="zh-CN"/>
          <w14:textFill>
            <w14:solidFill>
              <w14:schemeClr w14:val="tx1"/>
            </w14:solidFill>
          </w14:textFill>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268B82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 xml:space="preserve">18.3.2 </w:t>
      </w:r>
      <w:r>
        <w:rPr>
          <w:rFonts w:hint="eastAsia" w:ascii="仿宋" w:hAnsi="仿宋" w:eastAsia="仿宋" w:cs="仿宋"/>
          <w:color w:val="000000" w:themeColor="text1"/>
          <w:sz w:val="24"/>
          <w:szCs w:val="24"/>
          <w:highlight w:val="none"/>
          <w:lang w:eastAsia="zh-CN"/>
          <w14:textFill>
            <w14:solidFill>
              <w14:schemeClr w14:val="tx1"/>
            </w14:solidFill>
          </w14:textFill>
        </w:rPr>
        <w:tab/>
      </w:r>
      <w:r>
        <w:rPr>
          <w:rFonts w:hint="eastAsia" w:ascii="仿宋" w:hAnsi="仿宋" w:eastAsia="仿宋" w:cs="仿宋"/>
          <w:color w:val="000000" w:themeColor="text1"/>
          <w:sz w:val="24"/>
          <w:szCs w:val="24"/>
          <w:highlight w:val="none"/>
          <w:lang w:eastAsia="zh-CN"/>
          <w14:textFill>
            <w14:solidFill>
              <w14:schemeClr w14:val="tx1"/>
            </w14:solidFill>
          </w14:textFill>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66D2BD2">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353702F6">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18.3.4合同双方当事人均有权在不损害对方利益和保密约定的前提下，在自己宣传用的印刷品或其他出版物上，或申报奖项时等情形下公布有关项目的文字和图片材料。</w:t>
      </w:r>
    </w:p>
    <w:bookmarkEnd w:id="141"/>
    <w:p w14:paraId="1A7971E2">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r>
        <w:rPr>
          <w:rFonts w:ascii="仿宋" w:hAnsi="仿宋" w:eastAsia="仿宋"/>
          <w:color w:val="000000" w:themeColor="text1"/>
          <w:sz w:val="24"/>
          <w:szCs w:val="24"/>
          <w:highlight w:val="none"/>
          <w:u w:val="single"/>
          <w:lang w:eastAsia="zh-CN"/>
          <w14:textFill>
            <w14:solidFill>
              <w14:schemeClr w14:val="tx1"/>
            </w14:solidFill>
          </w14:textFill>
        </w:rPr>
        <w:t></w:t>
      </w:r>
    </w:p>
    <w:p w14:paraId="4012AEC3">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42" w:name="_Toc26238"/>
      <w:bookmarkStart w:id="143" w:name="_Toc149731449"/>
      <w:r>
        <w:rPr>
          <w:rFonts w:ascii="仿宋" w:hAnsi="仿宋" w:eastAsia="仿宋" w:cs="仿宋"/>
          <w:bCs w:val="0"/>
          <w:color w:val="000000" w:themeColor="text1"/>
          <w:sz w:val="24"/>
          <w:szCs w:val="24"/>
          <w:highlight w:val="none"/>
          <w:lang w:eastAsia="zh-CN"/>
          <w14:textFill>
            <w14:solidFill>
              <w14:schemeClr w14:val="tx1"/>
            </w14:solidFill>
          </w14:textFill>
        </w:rPr>
        <w:t>1</w:t>
      </w:r>
      <w:r>
        <w:rPr>
          <w:rFonts w:hint="eastAsia" w:ascii="仿宋" w:hAnsi="仿宋" w:eastAsia="仿宋" w:cs="仿宋"/>
          <w:bCs w:val="0"/>
          <w:color w:val="000000" w:themeColor="text1"/>
          <w:sz w:val="24"/>
          <w:szCs w:val="24"/>
          <w:highlight w:val="none"/>
          <w:lang w:eastAsia="zh-CN"/>
          <w14:textFill>
            <w14:solidFill>
              <w14:schemeClr w14:val="tx1"/>
            </w14:solidFill>
          </w14:textFill>
        </w:rPr>
        <w:t>9 联合体</w:t>
      </w:r>
      <w:bookmarkEnd w:id="142"/>
      <w:bookmarkEnd w:id="143"/>
    </w:p>
    <w:p w14:paraId="27C74981">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3B73773D">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3632;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3B73773D">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235BAB76">
      <w:pPr>
        <w:pStyle w:val="40"/>
        <w:widowControl w:val="0"/>
        <w:adjustRightInd w:val="0"/>
        <w:snapToGrid w:val="0"/>
        <w:spacing w:line="360" w:lineRule="auto"/>
        <w:ind w:left="1850" w:leftChars="771"/>
        <w:jc w:val="both"/>
        <w:rPr>
          <w:rFonts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 xml:space="preserve">19.1.1 </w:t>
      </w:r>
      <w:r>
        <w:rPr>
          <w:rFonts w:hint="eastAsia" w:ascii="仿宋" w:hAnsi="仿宋" w:eastAsia="仿宋" w:cs="仿宋"/>
          <w:color w:val="000000" w:themeColor="text1"/>
          <w:sz w:val="24"/>
          <w:szCs w:val="24"/>
          <w:highlight w:val="none"/>
          <w:lang w:eastAsia="zh-CN"/>
          <w14:textFill>
            <w14:solidFill>
              <w14:schemeClr w14:val="tx1"/>
            </w14:solidFill>
          </w14:textFill>
        </w:rPr>
        <w:t>如果承包人是联合体，联合体成员视为具有符合本合同工程建设规模要求的工程建设类设计、施工等资质、资信和履约能力的法人组成。</w:t>
      </w:r>
    </w:p>
    <w:p w14:paraId="0ECDA04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19.1.2 联合体牵头人须由联合体成员中具有符合项目规模要求的工程设计资质或施工资质一方担任。专用条款中应明确以设计单位或施工单位为牵头人时各方的管理责任。</w:t>
      </w:r>
    </w:p>
    <w:p w14:paraId="018B093C">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 xml:space="preserve">19.1.3 </w:t>
      </w:r>
      <w:r>
        <w:rPr>
          <w:rFonts w:hint="eastAsia" w:ascii="仿宋" w:hAnsi="仿宋" w:eastAsia="仿宋" w:cs="仿宋"/>
          <w:color w:val="000000" w:themeColor="text1"/>
          <w:sz w:val="24"/>
          <w:szCs w:val="24"/>
          <w:highlight w:val="none"/>
          <w:lang w:eastAsia="zh-CN"/>
          <w14:textFill>
            <w14:solidFill>
              <w14:schemeClr w14:val="tx1"/>
            </w14:solidFill>
          </w14:textFill>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4DEDE7D0">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Cs/>
          <w:color w:val="000000" w:themeColor="text1"/>
          <w:sz w:val="24"/>
          <w:szCs w:val="24"/>
          <w:highlight w:val="none"/>
          <w:lang w:eastAsia="zh-CN"/>
          <w14:textFill>
            <w14:solidFill>
              <w14:schemeClr w14:val="tx1"/>
            </w14:solidFill>
          </w14:textFill>
        </w:rPr>
        <w:t xml:space="preserve">19.1.4 </w:t>
      </w:r>
      <w:r>
        <w:rPr>
          <w:rFonts w:hint="eastAsia" w:ascii="仿宋" w:hAnsi="仿宋" w:eastAsia="仿宋" w:cs="仿宋"/>
          <w:color w:val="000000" w:themeColor="text1"/>
          <w:sz w:val="24"/>
          <w:szCs w:val="24"/>
          <w:highlight w:val="none"/>
          <w:lang w:eastAsia="zh-CN"/>
          <w14:textFill>
            <w14:solidFill>
              <w14:schemeClr w14:val="tx1"/>
            </w14:solidFill>
          </w14:textFill>
        </w:rPr>
        <w:t>联合体成员应共同与发包人签订合同协议书。联合体成员都应认真履行其共同的和各自的责任，在合同约定的时间内完成本合同工程总承包范围内的全部工作。</w:t>
      </w:r>
    </w:p>
    <w:p w14:paraId="3AE2E610">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19.1.5 联合体作为本合同的当事人，联合体牵头人及其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2DA0CE67">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0D1B100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624372E6">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509BD9E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19.1.9 承包人代表及专业负责人的任命与授权，应符合第29.1款的约定，具体人选应在专用条款中约定。</w:t>
      </w:r>
    </w:p>
    <w:p w14:paraId="0602CEB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19.1.10 未经发包人事先书面同意，联合体的组成、结构和联合体协议书不得随意变动。</w:t>
      </w:r>
    </w:p>
    <w:p w14:paraId="34C199A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19.1.11 联合体牵头人及成员组成联合体，应团结合作，全面履行本合同赋予的权利和义务，实现共同利益，但不得推诿扯皮或合伙欺骗、损害发包人及社会公众利益。</w:t>
      </w:r>
    </w:p>
    <w:p w14:paraId="02314F1A">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19.1.12 联合体牵头人及各成员之间的任何法律和经济纠纷属于承包人一方的内部纠纷，不属于本合同双方当事人之间的纠纷，发包人均不承担任何责任和义务。</w:t>
      </w:r>
    </w:p>
    <w:p w14:paraId="38B45656">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7960FC6E">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6D0D71F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3984;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N5nfLcg&#10;AgAAJwQAAA4AAAAAAAAAAQAgAAAAIwEAAGRycy9lMm9Eb2MueG1sUEsFBgAAAAAGAAYAWQEAALUF&#10;AAAAAA==&#10;">
                <v:fill on="f" focussize="0,0"/>
                <v:stroke on="f"/>
                <v:imagedata o:title=""/>
                <o:lock v:ext="edit" aspectratio="f"/>
                <v:textbox>
                  <w:txbxContent>
                    <w:p w14:paraId="6D0D71F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8C0FAFB">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bookmarkStart w:id="144" w:name="_Toc29075"/>
      <w:r>
        <w:rPr>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53E279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5008;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2pNK1wAA&#10;AAoBAAAPAAAAAAAAAAEAIAAAACIAAABkcnMvZG93bnJldi54bWxQSwECFAAUAAAACACHTuJAOfBh&#10;vx8CAAAnBAAADgAAAAAAAAABACAAAAAmAQAAZHJzL2Uyb0RvYy54bWxQSwUGAAAAAAYABgBZAQAA&#10;twUAAAAA&#10;">
                <v:fill on="f" focussize="0,0"/>
                <v:stroke on="f"/>
                <v:imagedata o:title=""/>
                <o:lock v:ext="edit" aspectratio="f"/>
                <v:textbox>
                  <w:txbxContent>
                    <w:p w14:paraId="53E279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3</w:t>
      </w:r>
      <w:bookmarkEnd w:id="144"/>
    </w:p>
    <w:p w14:paraId="3E691BC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615B0AF6">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7CC07A9F">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19.3.3 联合体牵头人及授权的承包人代表应及时组织各成员单位认真履行合同，遵守联合体内部管理制度，按时签署、报送各类工作计划、工作成果、进度报表、支付申请等各类资料及合理化建议。</w:t>
      </w:r>
    </w:p>
    <w:p w14:paraId="7F2D1E3E">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19.3.4牵头人收到发包人及监理人、设计顾问人、造价咨询人等相关方的各类书面文件，应在收到后24小时内抄送联合体所有成员；收到的各类口头指令，应按合同相关约定及时组织进行书面确认。</w:t>
      </w:r>
    </w:p>
    <w:p w14:paraId="00EE33BA">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4D431C2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229B8C6A">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44667CB3">
      <w:pPr>
        <w:tabs>
          <w:tab w:val="left" w:pos="1620"/>
        </w:tabs>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2ACAAFBA">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45" w:name="_Toc149731450"/>
      <w:bookmarkStart w:id="146" w:name="_Toc12253"/>
      <w:r>
        <w:rPr>
          <w:rFonts w:hint="eastAsia" w:ascii="仿宋" w:hAnsi="仿宋" w:eastAsia="仿宋" w:cs="仿宋"/>
          <w:bCs w:val="0"/>
          <w:color w:val="000000" w:themeColor="text1"/>
          <w:sz w:val="24"/>
          <w:szCs w:val="24"/>
          <w:highlight w:val="none"/>
          <w:lang w:eastAsia="zh-CN"/>
          <w14:textFill>
            <w14:solidFill>
              <w14:schemeClr w14:val="tx1"/>
            </w14:solidFill>
          </w14:textFill>
        </w:rPr>
        <w:t>20保障</w:t>
      </w:r>
      <w:bookmarkEnd w:id="145"/>
      <w:bookmarkEnd w:id="146"/>
    </w:p>
    <w:p w14:paraId="3CC43E19">
      <w:pPr>
        <w:pStyle w:val="40"/>
        <w:tabs>
          <w:tab w:val="left" w:pos="1202"/>
        </w:tabs>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20</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F8F228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5B66F4E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CrMkLUf&#10;AgAAJgQAAA4AAAAAAAAAAQAgAAAAJAEAAGRycy9lMm9Eb2MueG1sUEsFBgAAAAAGAAYAWQEAALUF&#10;AAAAAA==&#10;">
                <v:fill on="f" focussize="0,0"/>
                <v:stroke on="f"/>
                <v:imagedata o:title=""/>
                <o:lock v:ext="edit" aspectratio="f"/>
                <v:textbox>
                  <w:txbxContent>
                    <w:p w14:paraId="5B66F4E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一方当事人应负责和保障不因其自身的行为或疏忽而引起另一方当事人的一切损害、损失和赔偿。但受保障的一方当事人应积极采取合理措施减少可能发生的损失或损害。受保障的一方当事人因未采取合理措施而导致损失扩大，则损失扩大部分由其自身承担。</w:t>
      </w:r>
    </w:p>
    <w:p w14:paraId="412C0F33">
      <w:pPr>
        <w:pStyle w:val="40"/>
        <w:tabs>
          <w:tab w:val="left" w:pos="1202"/>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7B92C5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7B92C5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20</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524FEAEC">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承包人应保障发包人不承担因承包人移动或使用施工场地外的施工设备和临时设施所造成的损害而引起的赔偿。</w:t>
      </w:r>
    </w:p>
    <w:p w14:paraId="5EF43FF1">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B45E315">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47" w:name="_Toc4256"/>
      <w:bookmarkStart w:id="148" w:name="_Toc149731451"/>
      <w:r>
        <w:rPr>
          <w:rFonts w:hint="eastAsia" w:ascii="仿宋" w:hAnsi="仿宋" w:eastAsia="仿宋" w:cs="仿宋"/>
          <w:bCs w:val="0"/>
          <w:color w:val="000000" w:themeColor="text1"/>
          <w:sz w:val="24"/>
          <w:szCs w:val="24"/>
          <w:highlight w:val="none"/>
          <w:lang w:eastAsia="zh-CN"/>
          <w14:textFill>
            <w14:solidFill>
              <w14:schemeClr w14:val="tx1"/>
            </w14:solidFill>
          </w14:textFill>
        </w:rPr>
        <w:t>21财产</w:t>
      </w:r>
      <w:bookmarkEnd w:id="147"/>
      <w:bookmarkEnd w:id="148"/>
    </w:p>
    <w:p w14:paraId="23257100">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21</w:t>
      </w:r>
      <w:r>
        <w:rPr>
          <w:rFonts w:ascii="仿宋" w:hAnsi="仿宋" w:eastAsia="仿宋" w:cs="仿宋"/>
          <w:b/>
          <w:bCs/>
          <w:color w:val="000000" w:themeColor="text1"/>
          <w:highlight w:val="none"/>
          <w:lang w:eastAsia="zh-CN"/>
          <w14:textFill>
            <w14:solidFill>
              <w14:schemeClr w14:val="tx1"/>
            </w14:solidFill>
          </w14:textFill>
        </w:rPr>
        <w:t>.1</w:t>
      </w:r>
    </w:p>
    <w:p w14:paraId="6E6CD4B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6970B5E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6970B5E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6028F713">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07BFC8E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07BFC8E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21</w:t>
      </w:r>
      <w:r>
        <w:rPr>
          <w:rFonts w:ascii="仿宋" w:hAnsi="仿宋" w:eastAsia="仿宋" w:cs="仿宋"/>
          <w:b/>
          <w:bCs/>
          <w:color w:val="000000" w:themeColor="text1"/>
          <w:highlight w:val="none"/>
          <w:lang w:eastAsia="zh-CN"/>
          <w14:textFill>
            <w14:solidFill>
              <w14:schemeClr w14:val="tx1"/>
            </w14:solidFill>
          </w14:textFill>
        </w:rPr>
        <w:t xml:space="preserve">.2  </w:t>
      </w:r>
    </w:p>
    <w:p w14:paraId="1E9B6D25">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如果发包人依据第92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款约定的情形解除合同，则合同工程和临时工程，应认为是发包人的财产。</w:t>
      </w:r>
    </w:p>
    <w:p w14:paraId="4BB6E4BB">
      <w:pPr>
        <w:spacing w:line="480" w:lineRule="auto"/>
        <w:rPr>
          <w:rFonts w:ascii="仿宋" w:hAnsi="仿宋" w:eastAsia="仿宋"/>
          <w:b/>
          <w:bCs/>
          <w:color w:val="000000" w:themeColor="text1"/>
          <w:highlight w:val="none"/>
          <w:lang w:eastAsia="zh-CN"/>
          <w14:textFill>
            <w14:solidFill>
              <w14:schemeClr w14:val="tx1"/>
            </w14:solidFill>
          </w14:textFill>
        </w:rPr>
      </w:pPr>
      <w:bookmarkStart w:id="149" w:name="_Toc6120"/>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78B36CD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78B36CD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21</w:t>
      </w:r>
      <w:r>
        <w:rPr>
          <w:rFonts w:ascii="仿宋" w:hAnsi="仿宋" w:eastAsia="仿宋" w:cs="仿宋"/>
          <w:b/>
          <w:bCs/>
          <w:color w:val="000000" w:themeColor="text1"/>
          <w:highlight w:val="none"/>
          <w:lang w:eastAsia="zh-CN"/>
          <w14:textFill>
            <w14:solidFill>
              <w14:schemeClr w14:val="tx1"/>
            </w14:solidFill>
          </w14:textFill>
        </w:rPr>
        <w:t>.3</w:t>
      </w:r>
      <w:bookmarkEnd w:id="149"/>
    </w:p>
    <w:p w14:paraId="4271ADE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如果承包人依据第92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E2A4EB1">
      <w:pPr>
        <w:pStyle w:val="40"/>
        <w:adjustRightInd w:val="0"/>
        <w:snapToGrid w:val="0"/>
        <w:spacing w:line="360" w:lineRule="auto"/>
        <w:rPr>
          <w:rFonts w:ascii="仿宋" w:hAnsi="仿宋" w:eastAsia="仿宋"/>
          <w:b/>
          <w:bCs/>
          <w:color w:val="000000" w:themeColor="text1"/>
          <w:kern w:val="2"/>
          <w:sz w:val="24"/>
          <w:szCs w:val="24"/>
          <w:highlight w:val="none"/>
          <w:lang w:eastAsia="zh-CN"/>
          <w14:textFill>
            <w14:solidFill>
              <w14:schemeClr w14:val="tx1"/>
            </w14:solidFill>
          </w14:textFill>
        </w:rPr>
      </w:pPr>
    </w:p>
    <w:p w14:paraId="58199DDD">
      <w:pPr>
        <w:spacing w:line="360" w:lineRule="auto"/>
        <w:jc w:val="center"/>
        <w:outlineLvl w:val="1"/>
        <w:rPr>
          <w:rFonts w:ascii="仿宋" w:hAnsi="仿宋" w:eastAsia="仿宋"/>
          <w:b/>
          <w:bCs/>
          <w:color w:val="000000" w:themeColor="text1"/>
          <w:highlight w:val="none"/>
          <w:lang w:eastAsia="zh-CN"/>
          <w14:textFill>
            <w14:solidFill>
              <w14:schemeClr w14:val="tx1"/>
            </w14:solidFill>
          </w14:textFill>
        </w:rPr>
      </w:pPr>
      <w:bookmarkStart w:id="150" w:name="_Toc149731452"/>
      <w:bookmarkStart w:id="151" w:name="_Toc13605"/>
      <w:r>
        <w:rPr>
          <w:rFonts w:hint="eastAsia" w:ascii="仿宋" w:hAnsi="仿宋" w:eastAsia="仿宋" w:cs="仿宋"/>
          <w:b/>
          <w:bCs/>
          <w:color w:val="000000" w:themeColor="text1"/>
          <w:highlight w:val="none"/>
          <w:lang w:eastAsia="zh-CN"/>
          <w14:textFill>
            <w14:solidFill>
              <w14:schemeClr w14:val="tx1"/>
            </w14:solidFill>
          </w14:textFill>
        </w:rPr>
        <w:t>二、合同主体</w:t>
      </w:r>
      <w:bookmarkEnd w:id="150"/>
      <w:bookmarkEnd w:id="151"/>
    </w:p>
    <w:p w14:paraId="69C9FEA6">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52" w:name="_Toc15068"/>
      <w:bookmarkStart w:id="153" w:name="_Toc149731453"/>
      <w:r>
        <w:rPr>
          <w:rFonts w:hint="eastAsia" w:ascii="仿宋" w:hAnsi="仿宋" w:eastAsia="仿宋" w:cs="仿宋"/>
          <w:color w:val="000000" w:themeColor="text1"/>
          <w:sz w:val="24"/>
          <w:szCs w:val="24"/>
          <w:highlight w:val="none"/>
          <w:lang w:eastAsia="zh-CN"/>
          <w14:textFill>
            <w14:solidFill>
              <w14:schemeClr w14:val="tx1"/>
            </w14:solidFill>
          </w14:textFill>
        </w:rPr>
        <w:t>22发包人</w:t>
      </w:r>
      <w:bookmarkEnd w:id="152"/>
      <w:bookmarkEnd w:id="153"/>
    </w:p>
    <w:p w14:paraId="053B1E92">
      <w:pPr>
        <w:tabs>
          <w:tab w:val="left" w:pos="1620"/>
        </w:tabs>
        <w:ind w:left="-2" w:leftChars="-1" w:firstLine="1"/>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.1</w:t>
      </w:r>
    </w:p>
    <w:p w14:paraId="4810689B">
      <w:pPr>
        <w:widowControl w:val="0"/>
        <w:tabs>
          <w:tab w:val="left" w:pos="162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1C3C2C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1C3C2C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3889EA89">
      <w:pPr>
        <w:spacing w:line="360" w:lineRule="auto"/>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 xml:space="preserve">.2 </w:t>
      </w:r>
    </w:p>
    <w:p w14:paraId="1DF756A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497172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497172C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发包人应按照合同约定完成下列工作：</w:t>
      </w:r>
    </w:p>
    <w:p w14:paraId="34C3DFB8">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发包人应按第6条约定向承包人提供《发包人要求》和项目基础资料，并为承包人收集其他有关资料提供必要的协助；</w:t>
      </w:r>
    </w:p>
    <w:p w14:paraId="596A5F46">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60D5DA91">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按照专用条款约定的时间向承包人提供一式两份约定的标准与规范（国家、省及地方颁布的标准规范除外）；</w:t>
      </w:r>
    </w:p>
    <w:p w14:paraId="072EDA3A">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办理土地征用、拆迁等工作，使施工场地（含勘察施工场地）具备施工条件，并在开工后继续负责解决上述工作遗留的问题；</w:t>
      </w:r>
    </w:p>
    <w:p w14:paraId="2B76859D">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将施工所需水、电、通讯线路从施工场地（含勘察施工场地）外部接驳至专用条款约定的地点，保证施工期间的需要；</w:t>
      </w:r>
    </w:p>
    <w:p w14:paraId="7CF0A7C1">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开通施工场地与城乡公共道路间的通道，满足第</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6条交通运输的需要；</w:t>
      </w:r>
    </w:p>
    <w:p w14:paraId="3760A182">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办理施工许可及其他所需证件、批准文件和办理临时用地、停水、停电、中断道路交通、爆破作业等的申请批准手续（承包人自身施工资质的证件除外）；</w:t>
      </w:r>
    </w:p>
    <w:p w14:paraId="1120BE96">
      <w:pPr>
        <w:widowControl w:val="0"/>
        <w:numPr>
          <w:ilvl w:val="0"/>
          <w:numId w:val="4"/>
        </w:numPr>
        <w:tabs>
          <w:tab w:val="clear" w:pos="111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确定水准点与坐标控制点，组织现场交验并以书面形式移交给承包人；</w:t>
      </w:r>
    </w:p>
    <w:p w14:paraId="303C4979">
      <w:pPr>
        <w:widowControl w:val="0"/>
        <w:numPr>
          <w:ilvl w:val="0"/>
          <w:numId w:val="4"/>
        </w:numPr>
        <w:tabs>
          <w:tab w:val="left" w:pos="1470"/>
          <w:tab w:val="left" w:pos="1980"/>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协调处理施工场地周围地形关系问题和做好邻近建筑物、构筑物（包括文物保护建筑）、古树名木等的保护工作；</w:t>
      </w:r>
    </w:p>
    <w:p w14:paraId="13DB7DA7">
      <w:pPr>
        <w:widowControl w:val="0"/>
        <w:numPr>
          <w:ilvl w:val="0"/>
          <w:numId w:val="4"/>
        </w:numPr>
        <w:tabs>
          <w:tab w:val="left" w:pos="1470"/>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及时接收已完成工程，并按照合同约定及时支付工程款及其他各种款项。</w:t>
      </w:r>
    </w:p>
    <w:p w14:paraId="66702936">
      <w:pPr>
        <w:widowControl w:val="0"/>
        <w:numPr>
          <w:ilvl w:val="0"/>
          <w:numId w:val="4"/>
        </w:numPr>
        <w:tabs>
          <w:tab w:val="left" w:pos="1470"/>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其他。</w:t>
      </w:r>
    </w:p>
    <w:p w14:paraId="77E9E9A2">
      <w:pPr>
        <w:pStyle w:val="45"/>
        <w:widowControl w:val="0"/>
        <w:tabs>
          <w:tab w:val="left" w:pos="1980"/>
        </w:tabs>
        <w:ind w:left="1850" w:leftChars="771" w:firstLine="0" w:firstLineChars="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发包人可将其中部分工作委托给承包人办理，具体由合同双方当事人在专用条款中约定。除合同价格已包括外，由发包人承担所需费用，并向承包人支付合理利润。</w:t>
      </w:r>
    </w:p>
    <w:p w14:paraId="63B4F711">
      <w:pPr>
        <w:spacing w:line="360" w:lineRule="auto"/>
        <w:rPr>
          <w:rFonts w:ascii="仿宋" w:hAnsi="仿宋" w:eastAsia="仿宋"/>
          <w:color w:val="000000" w:themeColor="text1"/>
          <w:highlight w:val="none"/>
          <w:lang w:eastAsia="zh-CN"/>
          <w14:textFill>
            <w14:solidFill>
              <w14:schemeClr w14:val="tx1"/>
            </w14:solidFill>
          </w14:textFill>
        </w:rPr>
      </w:pPr>
      <w:bookmarkStart w:id="154" w:name="_Toc2811"/>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.3</w:t>
      </w:r>
      <w:bookmarkEnd w:id="154"/>
    </w:p>
    <w:p w14:paraId="307733E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3F752E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3F752E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发包人应按照专用条款约定的时间提供施工场地（含勘察施工场地），并在确保承包人按照计划进度顺利开工的时间内给予承包人进入和使用施工场地的权利。</w:t>
      </w:r>
    </w:p>
    <w:p w14:paraId="680EC788">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发包人保留其工作人员和相关政府执法人员进入和使用施工场地的权利。</w:t>
      </w:r>
    </w:p>
    <w:p w14:paraId="1A09A977">
      <w:pPr>
        <w:spacing w:line="360" w:lineRule="auto"/>
        <w:rPr>
          <w:rFonts w:ascii="仿宋" w:hAnsi="仿宋" w:eastAsia="仿宋"/>
          <w:b/>
          <w:bCs/>
          <w:color w:val="000000" w:themeColor="text1"/>
          <w:highlight w:val="none"/>
          <w:lang w:eastAsia="zh-CN"/>
          <w14:textFill>
            <w14:solidFill>
              <w14:schemeClr w14:val="tx1"/>
            </w14:solidFill>
          </w14:textFill>
        </w:rPr>
      </w:pPr>
      <w:bookmarkStart w:id="155" w:name="_Toc23044"/>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563369E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563369E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.4</w:t>
      </w:r>
      <w:bookmarkEnd w:id="155"/>
    </w:p>
    <w:p w14:paraId="7FB6F3C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发包人应按照合同约定的期限和方式向承包人支付工程款及其他应支付的款项。</w:t>
      </w:r>
    </w:p>
    <w:p w14:paraId="28B2DFF4">
      <w:pPr>
        <w:spacing w:line="360" w:lineRule="auto"/>
        <w:rPr>
          <w:rFonts w:ascii="仿宋" w:hAnsi="仿宋" w:eastAsia="仿宋"/>
          <w:b/>
          <w:bCs/>
          <w:color w:val="000000" w:themeColor="text1"/>
          <w:highlight w:val="none"/>
          <w:lang w:eastAsia="zh-CN"/>
          <w14:textFill>
            <w14:solidFill>
              <w14:schemeClr w14:val="tx1"/>
            </w14:solidFill>
          </w14:textFill>
        </w:rPr>
      </w:pPr>
      <w:bookmarkStart w:id="156" w:name="_Toc13889"/>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.5</w:t>
      </w:r>
      <w:bookmarkEnd w:id="156"/>
    </w:p>
    <w:p w14:paraId="71465234">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5A1DAF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5A1DAF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发包人应按照第65条约定组织承包人、设计顾问人、监理人和造价咨询人等进行竣工验收。</w:t>
      </w:r>
    </w:p>
    <w:p w14:paraId="31CC886E">
      <w:pPr>
        <w:spacing w:line="360" w:lineRule="auto"/>
        <w:rPr>
          <w:rFonts w:ascii="仿宋" w:hAnsi="仿宋" w:eastAsia="仿宋"/>
          <w:b/>
          <w:bCs/>
          <w:color w:val="000000" w:themeColor="text1"/>
          <w:highlight w:val="none"/>
          <w:lang w:eastAsia="zh-CN"/>
          <w14:textFill>
            <w14:solidFill>
              <w14:schemeClr w14:val="tx1"/>
            </w14:solidFill>
          </w14:textFill>
        </w:rPr>
      </w:pPr>
      <w:bookmarkStart w:id="157" w:name="_Toc22320"/>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5FA82E0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5FA82E0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.6</w:t>
      </w:r>
      <w:bookmarkEnd w:id="157"/>
    </w:p>
    <w:p w14:paraId="0E9AC16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发包人供应工程材料和工程设备的，发包人应按照第55条约定向承包人提供工程材料和工程设备。</w:t>
      </w:r>
    </w:p>
    <w:p w14:paraId="61FA2CEF">
      <w:pPr>
        <w:spacing w:line="360" w:lineRule="auto"/>
        <w:rPr>
          <w:rFonts w:ascii="仿宋" w:hAnsi="仿宋" w:eastAsia="仿宋"/>
          <w:b/>
          <w:bCs/>
          <w:color w:val="000000" w:themeColor="text1"/>
          <w:highlight w:val="none"/>
          <w:lang w:eastAsia="zh-CN"/>
          <w14:textFill>
            <w14:solidFill>
              <w14:schemeClr w14:val="tx1"/>
            </w14:solidFill>
          </w14:textFill>
        </w:rPr>
      </w:pPr>
      <w:bookmarkStart w:id="158" w:name="_Toc24160"/>
      <w:r>
        <w:rPr>
          <w:rFonts w:hint="eastAsia" w:ascii="仿宋" w:hAnsi="仿宋" w:eastAsia="仿宋" w:cs="仿宋"/>
          <w:b/>
          <w:bCs/>
          <w:color w:val="000000" w:themeColor="text1"/>
          <w:highlight w:val="none"/>
          <w:lang w:eastAsia="zh-CN"/>
          <w14:textFill>
            <w14:solidFill>
              <w14:schemeClr w14:val="tx1"/>
            </w14:solidFill>
          </w14:textFill>
        </w:rPr>
        <w:t>22</w:t>
      </w:r>
      <w:r>
        <w:rPr>
          <w:rFonts w:ascii="仿宋" w:hAnsi="仿宋" w:eastAsia="仿宋" w:cs="仿宋"/>
          <w:b/>
          <w:bCs/>
          <w:color w:val="000000" w:themeColor="text1"/>
          <w:highlight w:val="none"/>
          <w:lang w:eastAsia="zh-CN"/>
          <w14:textFill>
            <w14:solidFill>
              <w14:schemeClr w14:val="tx1"/>
            </w14:solidFill>
          </w14:textFill>
        </w:rPr>
        <w:t>.7</w:t>
      </w:r>
      <w:bookmarkEnd w:id="158"/>
    </w:p>
    <w:p w14:paraId="559AC695">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0BB7873B">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e9nVAAAA&#10;BwEAAA8AAAAAAAAAAQAgAAAAIgAAAGRycy9kb3ducmV2LnhtbFBLAQIUABQAAAAIAIdO4kDvvZ/g&#10;IAIAACYEAAAOAAAAAAAAAAEAIAAAACQBAABkcnMvZTJvRG9jLnhtbFBLBQYAAAAABgAGAFkBAAC2&#10;BQAAAAA=&#10;">
                <v:fill on="f" focussize="0,0"/>
                <v:stroke on="f"/>
                <v:imagedata o:title=""/>
                <o:lock v:ext="edit" aspectratio="f"/>
                <v:textbox>
                  <w:txbxContent>
                    <w:p w14:paraId="0BB7873B">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发包人未能正确完成本合同约定的全部义务，导致费用的增加和（或）延误的工期，由发包人承担；给承包人造成损失的，发包人应予赔偿。</w:t>
      </w:r>
    </w:p>
    <w:p w14:paraId="2DC12257">
      <w:pPr>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654F1FC5">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59" w:name="_Toc149731454"/>
      <w:bookmarkStart w:id="160" w:name="_Toc14550"/>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3承包人</w:t>
      </w:r>
      <w:bookmarkEnd w:id="159"/>
      <w:bookmarkEnd w:id="160"/>
    </w:p>
    <w:p w14:paraId="2782C34D">
      <w:pPr>
        <w:tabs>
          <w:tab w:val="left" w:pos="1620"/>
        </w:tabs>
        <w:spacing w:line="360" w:lineRule="auto"/>
        <w:rPr>
          <w:rFonts w:ascii="仿宋" w:hAnsi="仿宋" w:eastAsia="仿宋"/>
          <w:b/>
          <w:bCs/>
          <w:color w:val="000000" w:themeColor="text1"/>
          <w:highlight w:val="none"/>
          <w:lang w:eastAsia="zh-CN"/>
          <w14:textFill>
            <w14:solidFill>
              <w14:schemeClr w14:val="tx1"/>
            </w14:solidFill>
          </w14:textFill>
        </w:rPr>
      </w:pPr>
      <w:bookmarkStart w:id="161" w:name="_Toc1505"/>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.1</w:t>
      </w:r>
      <w:bookmarkEnd w:id="161"/>
    </w:p>
    <w:p w14:paraId="5E8B28AD">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10E96A4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10E96A4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BA46E89">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承包人在本项目中存在下列行为的，将被拒绝参与发包人后续工程投标。拒绝投标时限由发包人（招标人）视严重程度确定，并在专用条款中约定。</w:t>
      </w:r>
    </w:p>
    <w:p w14:paraId="0E3130A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（1）将中标工程转包或者违法分包的；</w:t>
      </w:r>
    </w:p>
    <w:p w14:paraId="10241099">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（2）在中标工程中不执行质量、安全生产相关规定的，造成质量或安全事故的；</w:t>
      </w:r>
    </w:p>
    <w:p w14:paraId="529D6B3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（3）存在围标或串标情形的；</w:t>
      </w:r>
    </w:p>
    <w:p w14:paraId="7C26E83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（4）存在弄虚作假骗取中标情形的；</w:t>
      </w:r>
    </w:p>
    <w:p w14:paraId="7BA7212D">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（5）存在因过错行为被生效法律文书认定承担违约或侵权责任的。</w:t>
      </w:r>
    </w:p>
    <w:p w14:paraId="55B0B927">
      <w:pPr>
        <w:spacing w:line="360" w:lineRule="auto"/>
        <w:rPr>
          <w:rFonts w:ascii="仿宋" w:hAnsi="仿宋" w:eastAsia="仿宋"/>
          <w:color w:val="000000" w:themeColor="text1"/>
          <w:highlight w:val="none"/>
          <w:lang w:eastAsia="zh-CN"/>
          <w14:textFill>
            <w14:solidFill>
              <w14:schemeClr w14:val="tx1"/>
            </w14:solidFill>
          </w14:textFill>
        </w:rPr>
      </w:pPr>
      <w:bookmarkStart w:id="162" w:name="_Toc20118"/>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.2</w:t>
      </w:r>
      <w:bookmarkEnd w:id="162"/>
    </w:p>
    <w:p w14:paraId="77BBE61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49223E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49223E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承包人应按照合同约定完成下列工作，包括但不限于：</w:t>
      </w:r>
    </w:p>
    <w:p w14:paraId="7E778AF2">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办理法律规定由承包人办理的许可和批准，将办理结果书面报送发包人留存，并承担因承包人违反法律或合同约定给发包人造成的任何费用和损失；</w:t>
      </w:r>
    </w:p>
    <w:p w14:paraId="4B1A70E8">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对</w:t>
      </w:r>
      <w:r>
        <w:rPr>
          <w:rFonts w:ascii="仿宋" w:hAnsi="仿宋" w:eastAsia="仿宋"/>
          <w:color w:val="000000" w:themeColor="text1"/>
          <w:highlight w:val="none"/>
          <w:lang w:eastAsia="zh-CN"/>
          <w14:textFill>
            <w14:solidFill>
              <w14:schemeClr w14:val="tx1"/>
            </w14:solidFill>
          </w14:textFill>
        </w:rPr>
        <w:t>发包人提供的</w:t>
      </w:r>
      <w:r>
        <w:rPr>
          <w:rFonts w:hint="eastAsia" w:ascii="仿宋" w:hAnsi="仿宋" w:eastAsia="仿宋"/>
          <w:color w:val="000000" w:themeColor="text1"/>
          <w:highlight w:val="none"/>
          <w:lang w:eastAsia="zh-CN"/>
          <w14:textFill>
            <w14:solidFill>
              <w14:schemeClr w14:val="tx1"/>
            </w14:solidFill>
          </w14:textFill>
        </w:rPr>
        <w:t>《发包人要求》和项目基础</w:t>
      </w:r>
      <w:r>
        <w:rPr>
          <w:rFonts w:ascii="仿宋" w:hAnsi="仿宋" w:eastAsia="仿宋"/>
          <w:color w:val="000000" w:themeColor="text1"/>
          <w:highlight w:val="none"/>
          <w:lang w:eastAsia="zh-CN"/>
          <w14:textFill>
            <w14:solidFill>
              <w14:schemeClr w14:val="tx1"/>
            </w14:solidFill>
          </w14:textFill>
        </w:rPr>
        <w:t>资料进行核实确认，并按照相关法律法规开展后续工作</w:t>
      </w:r>
      <w:r>
        <w:rPr>
          <w:rFonts w:hint="eastAsia" w:ascii="仿宋" w:hAnsi="仿宋" w:eastAsia="仿宋"/>
          <w:color w:val="000000" w:themeColor="text1"/>
          <w:highlight w:val="none"/>
          <w:lang w:eastAsia="zh-CN"/>
          <w14:textFill>
            <w14:solidFill>
              <w14:schemeClr w14:val="tx1"/>
            </w14:solidFill>
          </w14:textFill>
        </w:rPr>
        <w:t>；</w:t>
      </w:r>
    </w:p>
    <w:p w14:paraId="506A4C06">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按合同约定的时间完成勘察、设计等阶段的工作，及时提交发包人审查，完善设计成果；</w:t>
      </w:r>
    </w:p>
    <w:p w14:paraId="18F3508F">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提供建筑信息模型（BIM）及相关技术应用，并协助发包人及相关方正确使用；</w:t>
      </w:r>
    </w:p>
    <w:p w14:paraId="49663146">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按照审查批准的设计文件、合同约定和监理人的指令实施、完成并保修合同工程；</w:t>
      </w:r>
    </w:p>
    <w:p w14:paraId="707D3487">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按照合同约定和设计顾问人、监理人的要求提交勘察、设计、施工等进度报告和进度计划；</w:t>
      </w:r>
    </w:p>
    <w:p w14:paraId="0E5500AE">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按照合同约定和造价</w:t>
      </w:r>
      <w:r>
        <w:rPr>
          <w:rFonts w:hint="eastAsia" w:ascii="仿宋" w:hAnsi="仿宋" w:eastAsia="仿宋"/>
          <w:color w:val="000000" w:themeColor="text1"/>
          <w:highlight w:val="none"/>
          <w:lang w:eastAsia="zh-CN"/>
          <w14:textFill>
            <w14:solidFill>
              <w14:schemeClr w14:val="tx1"/>
            </w14:solidFill>
          </w14:textFill>
        </w:rPr>
        <w:t>咨询</w:t>
      </w:r>
      <w:r>
        <w:rPr>
          <w:rFonts w:hint="eastAsia" w:ascii="仿宋" w:hAnsi="仿宋" w:eastAsia="仿宋" w:cs="仿宋"/>
          <w:color w:val="000000" w:themeColor="text1"/>
          <w:highlight w:val="none"/>
          <w:lang w:eastAsia="zh-CN"/>
          <w14:textFill>
            <w14:solidFill>
              <w14:schemeClr w14:val="tx1"/>
            </w14:solidFill>
          </w14:textFill>
        </w:rPr>
        <w:t>人的要求提交支付申请和服务费、工程款报告，包括绿色施工安全防护费、进度款、结算款和调整合同价格等；</w:t>
      </w:r>
    </w:p>
    <w:p w14:paraId="6E07BA65">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负责施工场地安全</w:t>
      </w:r>
      <w:r>
        <w:rPr>
          <w:rFonts w:hint="eastAsia" w:ascii="仿宋" w:hAnsi="仿宋" w:eastAsia="仿宋"/>
          <w:color w:val="000000" w:themeColor="text1"/>
          <w:highlight w:val="none"/>
          <w:lang w:eastAsia="zh-CN"/>
          <w14:textFill>
            <w14:solidFill>
              <w14:schemeClr w14:val="tx1"/>
            </w14:solidFill>
          </w14:textFill>
        </w:rPr>
        <w:t>保卫</w:t>
      </w:r>
      <w:r>
        <w:rPr>
          <w:rFonts w:hint="eastAsia" w:ascii="仿宋" w:hAnsi="仿宋" w:eastAsia="仿宋" w:cs="仿宋"/>
          <w:color w:val="000000" w:themeColor="text1"/>
          <w:highlight w:val="none"/>
          <w:lang w:eastAsia="zh-CN"/>
          <w14:textFill>
            <w14:solidFill>
              <w14:schemeClr w14:val="tx1"/>
            </w14:solidFill>
          </w14:textFill>
        </w:rPr>
        <w:t>工作，防止因工程施工造成的人身伤害和财产损失，提供和维修施工使用的照明、围栏设施等安全标志；</w:t>
      </w:r>
    </w:p>
    <w:p w14:paraId="3986B4D2">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按照专用条款约定的数量和要求，向发包人提供施工场地办公和生活的房屋及设施，并在施工现场保留本合同、约定的标准与规范、变更资料等各一份，供监理人、造价咨询人需要时使用；</w:t>
      </w:r>
    </w:p>
    <w:p w14:paraId="7FD3A724">
      <w:pPr>
        <w:widowControl w:val="0"/>
        <w:numPr>
          <w:ilvl w:val="0"/>
          <w:numId w:val="5"/>
        </w:numPr>
        <w:tabs>
          <w:tab w:val="left" w:pos="1980"/>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遵守政府部门有关</w:t>
      </w:r>
      <w:r>
        <w:rPr>
          <w:rFonts w:hint="eastAsia" w:ascii="仿宋" w:hAnsi="仿宋" w:eastAsia="仿宋"/>
          <w:color w:val="000000" w:themeColor="text1"/>
          <w:highlight w:val="none"/>
          <w:lang w:eastAsia="zh-CN"/>
          <w14:textFill>
            <w14:solidFill>
              <w14:schemeClr w14:val="tx1"/>
            </w14:solidFill>
          </w14:textFill>
        </w:rPr>
        <w:t>施工</w:t>
      </w:r>
      <w:r>
        <w:rPr>
          <w:rFonts w:hint="eastAsia" w:ascii="仿宋" w:hAnsi="仿宋" w:eastAsia="仿宋" w:cs="仿宋"/>
          <w:color w:val="000000" w:themeColor="text1"/>
          <w:highlight w:val="none"/>
          <w:lang w:eastAsia="zh-CN"/>
          <w14:textFill>
            <w14:solidFill>
              <w14:schemeClr w14:val="tx1"/>
            </w14:solidFill>
          </w14:textFill>
        </w:rPr>
        <w:t>场地交通、环境保护、施工噪声、绿色施工安全防护等的管理规定，办理有关手续，并以书面形式通知发包人，费用按政府有关部门相关文件规定由发（承）包人各自承担；</w:t>
      </w:r>
    </w:p>
    <w:p w14:paraId="75BFFB86">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在合同工程或其某</w:t>
      </w:r>
      <w:r>
        <w:rPr>
          <w:rFonts w:hint="eastAsia" w:ascii="仿宋" w:hAnsi="仿宋" w:eastAsia="仿宋"/>
          <w:color w:val="000000" w:themeColor="text1"/>
          <w:highlight w:val="none"/>
          <w:lang w:eastAsia="zh-CN"/>
          <w14:textFill>
            <w14:solidFill>
              <w14:schemeClr w14:val="tx1"/>
            </w14:solidFill>
          </w14:textFill>
        </w:rPr>
        <w:t>单项工程</w:t>
      </w:r>
      <w:r>
        <w:rPr>
          <w:rFonts w:hint="eastAsia" w:ascii="仿宋" w:hAnsi="仿宋" w:eastAsia="仿宋" w:cs="仿宋"/>
          <w:color w:val="000000" w:themeColor="text1"/>
          <w:highlight w:val="none"/>
          <w:lang w:eastAsia="zh-CN"/>
          <w14:textFill>
            <w14:solidFill>
              <w14:schemeClr w14:val="tx1"/>
            </w14:solidFill>
          </w14:textFill>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61212FCD">
      <w:pPr>
        <w:widowControl w:val="0"/>
        <w:numPr>
          <w:ilvl w:val="0"/>
          <w:numId w:val="5"/>
        </w:numPr>
        <w:tabs>
          <w:tab w:val="left" w:pos="1980"/>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遵守政府部门有关</w:t>
      </w:r>
      <w:r>
        <w:rPr>
          <w:rFonts w:hint="eastAsia" w:ascii="仿宋" w:hAnsi="仿宋" w:eastAsia="仿宋"/>
          <w:color w:val="000000" w:themeColor="text1"/>
          <w:highlight w:val="none"/>
          <w:lang w:eastAsia="zh-CN"/>
          <w14:textFill>
            <w14:solidFill>
              <w14:schemeClr w14:val="tx1"/>
            </w14:solidFill>
          </w14:textFill>
        </w:rPr>
        <w:t>环境卫生</w:t>
      </w:r>
      <w:r>
        <w:rPr>
          <w:rFonts w:hint="eastAsia" w:ascii="仿宋" w:hAnsi="仿宋" w:eastAsia="仿宋" w:cs="仿宋"/>
          <w:color w:val="000000" w:themeColor="text1"/>
          <w:highlight w:val="none"/>
          <w:lang w:eastAsia="zh-CN"/>
          <w14:textFill>
            <w14:solidFill>
              <w14:schemeClr w14:val="tx1"/>
            </w14:solidFill>
          </w14:textFill>
        </w:rPr>
        <w:t>的管理规定，保证施工场地的清洁和做好工程移交前施工现场的清理工作，并承担因自身责任造成的损失和罚款；</w:t>
      </w:r>
    </w:p>
    <w:p w14:paraId="5133A982">
      <w:pPr>
        <w:widowControl w:val="0"/>
        <w:numPr>
          <w:ilvl w:val="0"/>
          <w:numId w:val="5"/>
        </w:numPr>
        <w:tabs>
          <w:tab w:val="left" w:pos="1980"/>
        </w:tabs>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工程完工后，应按照合同约定提交竣工验收申请报告和竣工结算文件；</w:t>
      </w:r>
    </w:p>
    <w:p w14:paraId="45FAB87E">
      <w:pPr>
        <w:widowControl w:val="0"/>
        <w:numPr>
          <w:ilvl w:val="0"/>
          <w:numId w:val="5"/>
        </w:numPr>
        <w:tabs>
          <w:tab w:val="left" w:pos="198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将发包人按合同支付的各项价款专用于合同工程且应及时支付其雇佣人员（包括建筑工人）工资，并及时向分包人支付合同价款。</w:t>
      </w:r>
    </w:p>
    <w:p w14:paraId="3E849290">
      <w:pPr>
        <w:widowControl w:val="0"/>
        <w:tabs>
          <w:tab w:val="left" w:pos="198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p>
    <w:p w14:paraId="7EF78184">
      <w:pPr>
        <w:widowControl w:val="0"/>
        <w:tabs>
          <w:tab w:val="left" w:pos="1440"/>
          <w:tab w:val="left" w:pos="198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p>
    <w:p w14:paraId="783091AC">
      <w:pPr>
        <w:spacing w:line="360" w:lineRule="auto"/>
        <w:rPr>
          <w:rFonts w:ascii="仿宋" w:hAnsi="仿宋" w:eastAsia="仿宋"/>
          <w:b/>
          <w:bCs/>
          <w:color w:val="000000" w:themeColor="text1"/>
          <w:highlight w:val="none"/>
          <w:lang w:eastAsia="zh-CN"/>
          <w14:textFill>
            <w14:solidFill>
              <w14:schemeClr w14:val="tx1"/>
            </w14:solidFill>
          </w14:textFill>
        </w:rPr>
      </w:pPr>
      <w:bookmarkStart w:id="163" w:name="_Toc21912"/>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.3</w:t>
      </w:r>
      <w:bookmarkEnd w:id="163"/>
    </w:p>
    <w:p w14:paraId="7A5162E6">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4E0344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4E0344F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F4C15A8">
      <w:pPr>
        <w:spacing w:line="360" w:lineRule="auto"/>
        <w:rPr>
          <w:rFonts w:ascii="仿宋" w:hAnsi="仿宋" w:eastAsia="仿宋"/>
          <w:b/>
          <w:bCs/>
          <w:color w:val="000000" w:themeColor="text1"/>
          <w:highlight w:val="none"/>
          <w:lang w:eastAsia="zh-CN"/>
          <w14:textFill>
            <w14:solidFill>
              <w14:schemeClr w14:val="tx1"/>
            </w14:solidFill>
          </w14:textFill>
        </w:rPr>
      </w:pPr>
      <w:bookmarkStart w:id="164" w:name="_Toc31582"/>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.4</w:t>
      </w:r>
      <w:bookmarkEnd w:id="164"/>
    </w:p>
    <w:p w14:paraId="44E78A8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3F66AC3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3F66AC3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01B91A62">
      <w:pPr>
        <w:spacing w:line="360" w:lineRule="auto"/>
        <w:rPr>
          <w:rFonts w:ascii="仿宋" w:hAnsi="仿宋" w:eastAsia="仿宋"/>
          <w:color w:val="000000" w:themeColor="text1"/>
          <w:highlight w:val="none"/>
          <w:lang w:eastAsia="zh-CN"/>
          <w14:textFill>
            <w14:solidFill>
              <w14:schemeClr w14:val="tx1"/>
            </w14:solidFill>
          </w14:textFill>
        </w:rPr>
      </w:pPr>
      <w:bookmarkStart w:id="165" w:name="_Toc32541"/>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.5</w:t>
      </w:r>
      <w:bookmarkEnd w:id="165"/>
    </w:p>
    <w:p w14:paraId="3535D8D3">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7C852933">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7C852933">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承包人应按照合同约定、发包人代表或监理人代表的指令，配合和协助下述人员在施工场地及其附近实施与合同工程有关的各项工作：</w:t>
      </w:r>
    </w:p>
    <w:p w14:paraId="6DCBEB79">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）发包人的工作人员；</w:t>
      </w:r>
    </w:p>
    <w:p w14:paraId="4315631D">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）发包人的雇员；</w:t>
      </w:r>
    </w:p>
    <w:p w14:paraId="2688279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）任何监督管理机构的执法人员。</w:t>
      </w:r>
    </w:p>
    <w:p w14:paraId="50631CA6">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此类指令造成承包人的工作或支出，包括使用了承包人的施工设备、临时工程或通行道路等，视为已包含在合同价格内，除非合同专用条款另有约定。</w:t>
      </w:r>
    </w:p>
    <w:p w14:paraId="054EFBE0">
      <w:pPr>
        <w:spacing w:line="360" w:lineRule="auto"/>
        <w:rPr>
          <w:rFonts w:ascii="仿宋" w:hAnsi="仿宋" w:eastAsia="仿宋"/>
          <w:b/>
          <w:bCs/>
          <w:color w:val="000000" w:themeColor="text1"/>
          <w:highlight w:val="none"/>
          <w:lang w:eastAsia="zh-CN"/>
          <w14:textFill>
            <w14:solidFill>
              <w14:schemeClr w14:val="tx1"/>
            </w14:solidFill>
          </w14:textFill>
        </w:rPr>
      </w:pPr>
      <w:bookmarkStart w:id="166" w:name="_Toc25696"/>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.6</w:t>
      </w:r>
      <w:bookmarkEnd w:id="166"/>
    </w:p>
    <w:p w14:paraId="4221859C">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2A31FAF2">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Aq1QUw&#10;IAIAACYEAAAOAAAAAAAAAAEAIAAAACQBAABkcnMvZTJvRG9jLnhtbFBLBQYAAAAABgAGAFkBAAC2&#10;BQAAAAA=&#10;">
                <v:fill on="f" focussize="0,0"/>
                <v:stroke on="f"/>
                <v:imagedata o:title=""/>
                <o:lock v:ext="edit" aspectratio="f"/>
                <v:textbox>
                  <w:txbxContent>
                    <w:p w14:paraId="2A31FAF2">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B0F8538">
      <w:pPr>
        <w:spacing w:line="360" w:lineRule="auto"/>
        <w:rPr>
          <w:rFonts w:ascii="仿宋" w:hAnsi="仿宋" w:eastAsia="仿宋"/>
          <w:b/>
          <w:bCs/>
          <w:color w:val="000000" w:themeColor="text1"/>
          <w:highlight w:val="none"/>
          <w:lang w:eastAsia="zh-CN"/>
          <w14:textFill>
            <w14:solidFill>
              <w14:schemeClr w14:val="tx1"/>
            </w14:solidFill>
          </w14:textFill>
        </w:rPr>
      </w:pPr>
      <w:bookmarkStart w:id="167" w:name="_Toc13320"/>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3</w:t>
      </w:r>
      <w:r>
        <w:rPr>
          <w:rFonts w:ascii="仿宋" w:hAnsi="仿宋" w:eastAsia="仿宋" w:cs="仿宋"/>
          <w:b/>
          <w:bCs/>
          <w:color w:val="000000" w:themeColor="text1"/>
          <w:highlight w:val="none"/>
          <w:lang w:eastAsia="zh-CN"/>
          <w14:textFill>
            <w14:solidFill>
              <w14:schemeClr w14:val="tx1"/>
            </w14:solidFill>
          </w14:textFill>
        </w:rPr>
        <w:t>.7</w:t>
      </w:r>
      <w:bookmarkEnd w:id="167"/>
    </w:p>
    <w:p w14:paraId="3D767D2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4F221EB2">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4F221EB2">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承包人未能正确履行本合同约定的全部义务，导致费用的增加和（或）延误的工期，由承包人承担；给发包人造成损失的，承包人应予赔偿。</w:t>
      </w:r>
    </w:p>
    <w:p w14:paraId="05AB0EEB">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0E67FC21">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168" w:name="_Toc5818"/>
      <w:bookmarkStart w:id="169" w:name="_Toc149731455"/>
      <w:r>
        <w:rPr>
          <w:rFonts w:ascii="仿宋" w:hAnsi="仿宋" w:eastAsia="仿宋" w:cs="仿宋"/>
          <w:bCs w:val="0"/>
          <w:color w:val="000000" w:themeColor="text1"/>
          <w:sz w:val="24"/>
          <w:szCs w:val="24"/>
          <w:highlight w:val="none"/>
          <w:lang w:eastAsia="zh-CN"/>
          <w14:textFill>
            <w14:solidFill>
              <w14:schemeClr w14:val="tx1"/>
            </w14:solidFill>
          </w14:textFill>
        </w:rPr>
        <w:t>2</w:t>
      </w:r>
      <w:r>
        <w:rPr>
          <w:rFonts w:hint="eastAsia" w:ascii="仿宋" w:hAnsi="仿宋" w:eastAsia="仿宋" w:cs="仿宋"/>
          <w:bCs w:val="0"/>
          <w:color w:val="000000" w:themeColor="text1"/>
          <w:sz w:val="24"/>
          <w:szCs w:val="24"/>
          <w:highlight w:val="none"/>
          <w:lang w:eastAsia="zh-CN"/>
          <w14:textFill>
            <w14:solidFill>
              <w14:schemeClr w14:val="tx1"/>
            </w14:solidFill>
          </w14:textFill>
        </w:rPr>
        <w:t>4现场管理人员任命和更换</w:t>
      </w:r>
      <w:bookmarkEnd w:id="168"/>
      <w:bookmarkEnd w:id="169"/>
    </w:p>
    <w:p w14:paraId="46403EA7">
      <w:pPr>
        <w:pStyle w:val="40"/>
        <w:tabs>
          <w:tab w:val="left" w:pos="1320"/>
        </w:tabs>
        <w:adjustRightInd w:val="0"/>
        <w:snapToGrid w:val="0"/>
        <w:spacing w:line="360" w:lineRule="auto"/>
        <w:ind w:right="-240"/>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29B05D25">
      <w:pPr>
        <w:widowControl w:val="0"/>
        <w:tabs>
          <w:tab w:val="left" w:pos="4970"/>
        </w:tabs>
        <w:spacing w:line="360" w:lineRule="auto"/>
        <w:ind w:left="1850" w:leftChars="771"/>
        <w:jc w:val="both"/>
        <w:rPr>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0B047A6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0B047A6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发包人应任命代表发包人工作的现场管理人员，并在开工前以书面形式通知承包人。该类管理人员可包括发包人代表、</w:t>
      </w:r>
      <w:r>
        <w:rPr>
          <w:rFonts w:hint="eastAsia"/>
          <w:color w:val="000000" w:themeColor="text1"/>
          <w:highlight w:val="none"/>
          <w:lang w:eastAsia="zh-CN"/>
          <w14:textFill>
            <w14:solidFill>
              <w14:schemeClr w14:val="tx1"/>
            </w14:solidFill>
          </w14:textFill>
        </w:rPr>
        <w:t>设计</w:t>
      </w:r>
      <w:r>
        <w:rPr>
          <w:rFonts w:hint="eastAsia" w:ascii="仿宋" w:hAnsi="仿宋" w:eastAsia="仿宋" w:cs="仿宋"/>
          <w:color w:val="000000" w:themeColor="text1"/>
          <w:highlight w:val="none"/>
          <w:lang w:eastAsia="zh-CN"/>
          <w14:textFill>
            <w14:solidFill>
              <w14:schemeClr w14:val="tx1"/>
            </w14:solidFill>
          </w14:textFill>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6DF20B1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发包人如需更换现场管理人员，应至少提前</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天以书面形式通知承包人，否则该项更换无效。承包人应在收到通知后</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天内予以回复，否则视为已收到通知。后任现场管理人员应继续行使合同约定的前任现场管理人员的职权和履行相应的义务。</w:t>
      </w:r>
    </w:p>
    <w:p w14:paraId="799F4E9C">
      <w:pPr>
        <w:pStyle w:val="40"/>
        <w:tabs>
          <w:tab w:val="left" w:pos="1320"/>
          <w:tab w:val="left" w:pos="16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bookmarkStart w:id="170" w:name="_Toc24606"/>
      <w:r>
        <w:rPr>
          <w:rFonts w:ascii="仿宋" w:hAnsi="仿宋" w:eastAsia="仿宋" w:cs="仿宋"/>
          <w:b/>
          <w:bCs/>
          <w:color w:val="000000" w:themeColor="text1"/>
          <w:sz w:val="24"/>
          <w:szCs w:val="24"/>
          <w:highlight w:val="none"/>
          <w:lang w:eastAsia="zh-CN"/>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.2</w:t>
      </w:r>
      <w:bookmarkEnd w:id="170"/>
    </w:p>
    <w:p w14:paraId="6F97A2CA">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0C11BEC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0C11BEC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274D23C8">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承包人如需更换承包人代表或专业负责人，应遵守国家法律或建设行政主管部门的规定并取得发包人的同意，至少提前</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天以书面形式通知发包人，否则该项更换无效。发包人应在收到通知后的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天内予以答复，否则视为同意。后任承包人代表或专业负责人应继续行使合同约定的前任承包人代表或专业负责人的职权和履行相应的义务。</w:t>
      </w:r>
    </w:p>
    <w:p w14:paraId="556287FF">
      <w:pPr>
        <w:widowControl w:val="0"/>
        <w:tabs>
          <w:tab w:val="left" w:pos="4970"/>
        </w:tabs>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40082165">
      <w:pPr>
        <w:pStyle w:val="40"/>
        <w:tabs>
          <w:tab w:val="left" w:pos="1320"/>
        </w:tabs>
        <w:adjustRightInd w:val="0"/>
        <w:snapToGrid w:val="0"/>
        <w:spacing w:line="360" w:lineRule="auto"/>
        <w:ind w:right="-238"/>
        <w:rPr>
          <w:rFonts w:ascii="仿宋" w:hAnsi="仿宋" w:eastAsia="仿宋"/>
          <w:b/>
          <w:bCs/>
          <w:color w:val="000000" w:themeColor="text1"/>
          <w:sz w:val="24"/>
          <w:szCs w:val="24"/>
          <w:highlight w:val="none"/>
          <w:lang w:eastAsia="zh-CN"/>
          <w14:textFill>
            <w14:solidFill>
              <w14:schemeClr w14:val="tx1"/>
            </w14:solidFill>
          </w14:textFill>
        </w:rPr>
      </w:pPr>
      <w:bookmarkStart w:id="171" w:name="_Toc28316"/>
      <w:r>
        <w:rPr>
          <w:rFonts w:ascii="仿宋" w:hAnsi="仿宋" w:eastAsia="仿宋" w:cs="仿宋"/>
          <w:b/>
          <w:bCs/>
          <w:color w:val="000000" w:themeColor="text1"/>
          <w:sz w:val="24"/>
          <w:szCs w:val="24"/>
          <w:highlight w:val="none"/>
          <w:lang w:eastAsia="zh-CN"/>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.3</w:t>
      </w:r>
      <w:bookmarkEnd w:id="171"/>
    </w:p>
    <w:p w14:paraId="12F5FEC7">
      <w:pPr>
        <w:widowControl w:val="0"/>
        <w:tabs>
          <w:tab w:val="left" w:pos="4970"/>
        </w:tabs>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1193EBB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vfEmz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OVswZkR&#10;NY38+P3++OPX8ec3djGdB4ka61LKvLOU69tX0JJxIl1nb0F+dszAdSnMVl0hQlMqkVOLo/AyOXva&#10;4bgAsmneQk6VxM5DBGoLrIN+pAgjdBrP4TQe1Xom6XI+nsxnU84khRbj8Ww6jRVE+vDYovOvFdQs&#10;bDKONP0ILva3zodmRPqQEmoZuNFVFR1Qmb8uKLG7UdFC/etAJXTf8fDtpu2l2UB+IFIInb3oc9Gm&#10;BPzKWUPWyrj7shOoOKveGBJmMZpMghfjYTK9GN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98&#10;SbMgAgAAJgQAAA4AAAAAAAAAAQAgAAAAJgEAAGRycy9lMm9Eb2MueG1sUEsFBgAAAAAGAAYAWQEA&#10;ALgFAAAAAA==&#10;">
                <v:fill on="f" focussize="0,0"/>
                <v:stroke on="f"/>
                <v:imagedata o:title=""/>
                <o:lock v:ext="edit" aspectratio="f"/>
                <v:textbox>
                  <w:txbxContent>
                    <w:p w14:paraId="1193EBB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天以书面形式通知发包人和承包人。未将有关文件送交发包人和承包人之前，任何此类任命或撤回均为无效。</w:t>
      </w:r>
    </w:p>
    <w:p w14:paraId="023BDF08">
      <w:pPr>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4DE7D500">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72" w:name="_Toc149731456"/>
      <w:bookmarkStart w:id="173" w:name="_Toc11224"/>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5发包人代表</w:t>
      </w:r>
      <w:bookmarkEnd w:id="172"/>
      <w:bookmarkEnd w:id="173"/>
    </w:p>
    <w:p w14:paraId="51E34974">
      <w:pPr>
        <w:rPr>
          <w:rFonts w:ascii="仿宋" w:hAnsi="仿宋" w:eastAsia="仿宋"/>
          <w:b/>
          <w:bCs/>
          <w:color w:val="000000" w:themeColor="text1"/>
          <w:highlight w:val="none"/>
          <w:lang w:eastAsia="zh-CN"/>
          <w14:textFill>
            <w14:solidFill>
              <w14:schemeClr w14:val="tx1"/>
            </w14:solidFill>
          </w14:textFill>
        </w:rPr>
      </w:pPr>
      <w:bookmarkStart w:id="174" w:name="_Toc25689"/>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5</w:t>
      </w:r>
      <w:r>
        <w:rPr>
          <w:rFonts w:ascii="仿宋" w:hAnsi="仿宋" w:eastAsia="仿宋" w:cs="仿宋"/>
          <w:b/>
          <w:bCs/>
          <w:color w:val="000000" w:themeColor="text1"/>
          <w:highlight w:val="none"/>
          <w:lang w:eastAsia="zh-CN"/>
          <w14:textFill>
            <w14:solidFill>
              <w14:schemeClr w14:val="tx1"/>
            </w14:solidFill>
          </w14:textFill>
        </w:rPr>
        <w:t>.1</w:t>
      </w:r>
      <w:bookmarkEnd w:id="174"/>
    </w:p>
    <w:p w14:paraId="1785B991">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6D36B40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6D36B40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002C9BAA">
      <w:pPr>
        <w:pStyle w:val="40"/>
        <w:tabs>
          <w:tab w:val="left" w:pos="1320"/>
          <w:tab w:val="left" w:pos="16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bookmarkStart w:id="175" w:name="_Toc22456"/>
      <w:r>
        <w:rPr>
          <w:rFonts w:ascii="仿宋" w:hAnsi="仿宋" w:eastAsia="仿宋" w:cs="仿宋"/>
          <w:b/>
          <w:bCs/>
          <w:color w:val="000000" w:themeColor="text1"/>
          <w:sz w:val="24"/>
          <w:szCs w:val="24"/>
          <w:highlight w:val="none"/>
          <w:lang w:eastAsia="zh-CN"/>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.2</w:t>
      </w:r>
      <w:bookmarkEnd w:id="175"/>
    </w:p>
    <w:p w14:paraId="4A5C6DC6">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0F31E69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0F31E69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发包人代表应代表发包人履行合同约定的职责、行使合同明文约定和必然隐含的权力，对发包人负责。发包人代表在发包人授予职权范围内工作，发包人应予认可。</w:t>
      </w:r>
    </w:p>
    <w:p w14:paraId="56EC146E">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发包人代表应在发包人的授权范围内，负责处理合同履行过程中与发包人有关的具体事宜。发包人代表在授权范围内的行为由发包人承担法律责任。</w:t>
      </w:r>
    </w:p>
    <w:p w14:paraId="39D89D79">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p>
    <w:p w14:paraId="461DF8CF">
      <w:pPr>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06DEEC7A">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76" w:name="_Toc32414576"/>
      <w:bookmarkStart w:id="177" w:name="_Toc149731457"/>
      <w:bookmarkStart w:id="178" w:name="_Toc13093"/>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6</w:t>
      </w:r>
      <w:bookmarkEnd w:id="176"/>
      <w:r>
        <w:rPr>
          <w:rFonts w:hint="eastAsia" w:ascii="仿宋" w:hAnsi="仿宋" w:eastAsia="仿宋" w:cs="仿宋"/>
          <w:color w:val="000000" w:themeColor="text1"/>
          <w:sz w:val="24"/>
          <w:szCs w:val="24"/>
          <w:highlight w:val="none"/>
          <w:lang w:eastAsia="zh-CN"/>
          <w14:textFill>
            <w14:solidFill>
              <w14:schemeClr w14:val="tx1"/>
            </w14:solidFill>
          </w14:textFill>
        </w:rPr>
        <w:t>设计顾问人</w:t>
      </w:r>
      <w:bookmarkEnd w:id="177"/>
      <w:bookmarkEnd w:id="178"/>
    </w:p>
    <w:p w14:paraId="3122BE8A">
      <w:pPr>
        <w:tabs>
          <w:tab w:val="left" w:pos="1260"/>
        </w:tabs>
        <w:spacing w:line="400" w:lineRule="exact"/>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.1</w:t>
      </w:r>
    </w:p>
    <w:p w14:paraId="1CF49325">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3C2AFE5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3C2AFE5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DBDB234">
      <w:pPr>
        <w:spacing w:line="360" w:lineRule="auto"/>
        <w:rPr>
          <w:rFonts w:ascii="仿宋" w:hAnsi="仿宋" w:eastAsia="仿宋"/>
          <w:b/>
          <w:bCs/>
          <w:color w:val="000000" w:themeColor="text1"/>
          <w:highlight w:val="none"/>
          <w:lang w:eastAsia="zh-CN"/>
          <w14:textFill>
            <w14:solidFill>
              <w14:schemeClr w14:val="tx1"/>
            </w14:solidFill>
          </w14:textFill>
        </w:rPr>
      </w:pPr>
      <w:bookmarkStart w:id="179" w:name="_Toc16119"/>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.2</w:t>
      </w:r>
      <w:bookmarkEnd w:id="179"/>
    </w:p>
    <w:p w14:paraId="216A64D6">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56400D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56400D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000000" w:themeColor="text1"/>
          <w:highlight w:val="none"/>
          <w:lang w:eastAsia="zh-CN"/>
          <w14:textFill>
            <w14:solidFill>
              <w14:schemeClr w14:val="tx1"/>
            </w14:solidFill>
          </w14:textFill>
        </w:rPr>
        <w:t>优化建议、设计变更审核、参与设计评审、参与竣工验收，</w:t>
      </w:r>
      <w:r>
        <w:rPr>
          <w:rFonts w:hint="eastAsia" w:ascii="仿宋" w:hAnsi="仿宋" w:eastAsia="仿宋" w:cs="仿宋"/>
          <w:color w:val="000000" w:themeColor="text1"/>
          <w:highlight w:val="none"/>
          <w:lang w:eastAsia="zh-CN"/>
          <w14:textFill>
            <w14:solidFill>
              <w14:schemeClr w14:val="tx1"/>
            </w14:solidFill>
          </w14:textFill>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09AB279C">
      <w:pPr>
        <w:spacing w:line="360" w:lineRule="auto"/>
        <w:rPr>
          <w:rFonts w:ascii="仿宋" w:hAnsi="仿宋" w:eastAsia="仿宋"/>
          <w:b/>
          <w:bCs/>
          <w:color w:val="000000" w:themeColor="text1"/>
          <w:highlight w:val="none"/>
          <w:lang w:eastAsia="zh-CN"/>
          <w14:textFill>
            <w14:solidFill>
              <w14:schemeClr w14:val="tx1"/>
            </w14:solidFill>
          </w14:textFill>
        </w:rPr>
      </w:pPr>
      <w:bookmarkStart w:id="180" w:name="_Toc15021"/>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.3</w:t>
      </w:r>
      <w:bookmarkEnd w:id="180"/>
    </w:p>
    <w:p w14:paraId="061B3230">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59CCE3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59CCE3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除属于第91条约定的争议外，设计顾问人在职权范围内的工作，发包人应予认可，但下列事项应事先取得发包人的专项批准：</w:t>
      </w:r>
    </w:p>
    <w:p w14:paraId="5C611CD9">
      <w:pPr>
        <w:widowControl w:val="0"/>
        <w:tabs>
          <w:tab w:val="left" w:pos="126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（1）批准承包人提供的配合施工的大样图、加工图等施工设计图纸；</w:t>
      </w:r>
    </w:p>
    <w:p w14:paraId="149CA0A1">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（2）根据第5.1款约定发出的发包人要求（包括限额设计指标）；</w:t>
      </w:r>
    </w:p>
    <w:p w14:paraId="57CAF443">
      <w:pPr>
        <w:widowControl w:val="0"/>
        <w:tabs>
          <w:tab w:val="left" w:pos="126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（3）根据第6.1款约定发出的项目基础资料；</w:t>
      </w:r>
    </w:p>
    <w:p w14:paraId="20099BE3">
      <w:pPr>
        <w:widowControl w:val="0"/>
        <w:tabs>
          <w:tab w:val="left" w:pos="126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（4）根据第37条、38条约定批准或发出关于勘察、设计文件的指令；</w:t>
      </w:r>
    </w:p>
    <w:p w14:paraId="2BAE1C5F">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（5）根据第41</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款约定批准或发出关于勘察、设计方面开始工作的指令；</w:t>
      </w:r>
    </w:p>
    <w:p w14:paraId="5183383C">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（6）根据第44</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款约定批准或发出关于勘察、设计方面工作进度的变更指令；</w:t>
      </w:r>
    </w:p>
    <w:p w14:paraId="321139D4">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（7）根据第63条约定批准或发出关于工程变更技术审核方面的指令；</w:t>
      </w:r>
    </w:p>
    <w:p w14:paraId="59E4404C">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（8）专用条款约定关于勘察设计方面需要发包人确认或批准的其他事项。</w:t>
      </w:r>
    </w:p>
    <w:p w14:paraId="24838BFD">
      <w:pPr>
        <w:spacing w:line="360" w:lineRule="auto"/>
        <w:rPr>
          <w:rFonts w:ascii="仿宋" w:hAnsi="仿宋" w:eastAsia="仿宋"/>
          <w:b/>
          <w:bCs/>
          <w:color w:val="000000" w:themeColor="text1"/>
          <w:highlight w:val="none"/>
          <w:lang w:eastAsia="zh-CN"/>
          <w14:textFill>
            <w14:solidFill>
              <w14:schemeClr w14:val="tx1"/>
            </w14:solidFill>
          </w14:textFill>
        </w:rPr>
      </w:pPr>
      <w:bookmarkStart w:id="181" w:name="_Toc15784"/>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.4</w:t>
      </w:r>
      <w:bookmarkEnd w:id="181"/>
    </w:p>
    <w:p w14:paraId="659E1D5C">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36C313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36C313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设计顾问人应按照合同约定时间向承包人提供实施合同工程的勘察、设计、BIM技术应用、竣工验收等工作所需的核实、调整和通知等指令。</w:t>
      </w:r>
    </w:p>
    <w:p w14:paraId="7DD931F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设计顾问人提供的指令，首先应通过发包人批准，并采用书面形式。在紧急情况下，设计顾问工程师可发出口头指令，但应在</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小时内给予书面确认。对设计顾问工程师的口头指令，承包人应予执行。如果承包人在设计顾问工程师发出的口头指令</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小时后未收到书面确认，则应在接到口头指令后的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天内向设计顾问人发出书面确认函。设计顾问咨询人应在承包人发出书面确认函后</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小时内给予答复；逾期未予答复的，视为承包人的书面确认函已被认可。</w:t>
      </w:r>
    </w:p>
    <w:p w14:paraId="105E4E30">
      <w:pPr>
        <w:spacing w:line="360" w:lineRule="auto"/>
        <w:rPr>
          <w:rFonts w:ascii="仿宋" w:hAnsi="仿宋" w:eastAsia="仿宋"/>
          <w:b/>
          <w:bCs/>
          <w:color w:val="000000" w:themeColor="text1"/>
          <w:highlight w:val="none"/>
          <w:lang w:eastAsia="zh-CN"/>
          <w14:textFill>
            <w14:solidFill>
              <w14:schemeClr w14:val="tx1"/>
            </w14:solidFill>
          </w14:textFill>
        </w:rPr>
      </w:pPr>
      <w:bookmarkStart w:id="182" w:name="_Toc26383"/>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.5</w:t>
      </w:r>
      <w:bookmarkEnd w:id="182"/>
    </w:p>
    <w:p w14:paraId="0CEA3453">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27E888C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27E888C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如果承包人认为设计顾问人的指令不合理，应在收到指令后</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小时内向设计顾问人提出书面报告，设计顾问人应在收到承包人报告后</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小时内做出修改指令或继续执行原指令的决定，报经发包人批准后书面通知承包人。逾期不作出决定的，承包人可不执行设计顾问人的指令。</w:t>
      </w:r>
    </w:p>
    <w:p w14:paraId="0FE60010">
      <w:pPr>
        <w:spacing w:line="360" w:lineRule="auto"/>
        <w:rPr>
          <w:rFonts w:ascii="仿宋" w:hAnsi="仿宋" w:eastAsia="仿宋"/>
          <w:b/>
          <w:bCs/>
          <w:color w:val="000000" w:themeColor="text1"/>
          <w:highlight w:val="none"/>
          <w:lang w:eastAsia="zh-CN"/>
          <w14:textFill>
            <w14:solidFill>
              <w14:schemeClr w14:val="tx1"/>
            </w14:solidFill>
          </w14:textFill>
        </w:rPr>
      </w:pPr>
      <w:bookmarkStart w:id="183" w:name="_Toc21955"/>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.6</w:t>
      </w:r>
      <w:bookmarkEnd w:id="183"/>
    </w:p>
    <w:p w14:paraId="059D2A3A">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3221B65E">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3221B65E">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设计顾问人可按照第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4</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7969A053">
      <w:pPr>
        <w:spacing w:line="360" w:lineRule="auto"/>
        <w:rPr>
          <w:rFonts w:ascii="仿宋" w:hAnsi="仿宋" w:eastAsia="仿宋"/>
          <w:color w:val="000000" w:themeColor="text1"/>
          <w:highlight w:val="none"/>
          <w:lang w:eastAsia="zh-CN"/>
          <w14:textFill>
            <w14:solidFill>
              <w14:schemeClr w14:val="tx1"/>
            </w14:solidFill>
          </w14:textFill>
        </w:rPr>
      </w:pPr>
      <w:bookmarkStart w:id="184" w:name="_Toc798"/>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.7</w:t>
      </w:r>
      <w:bookmarkEnd w:id="184"/>
    </w:p>
    <w:p w14:paraId="64388543">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7AC1D1C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7AC1D1C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设计顾问人（含其代表）未能正确完成本合同约定的全部义务，或工作出现失误，导致费用的增加和（或）延误的工期，由发包人承担；给承包人造成损失的，发包人应予赔偿。</w:t>
      </w:r>
    </w:p>
    <w:p w14:paraId="675D57F2">
      <w:pPr>
        <w:spacing w:line="360" w:lineRule="auto"/>
        <w:rPr>
          <w:color w:val="000000" w:themeColor="text1"/>
          <w:highlight w:val="none"/>
          <w:lang w:eastAsia="zh-CN"/>
          <w14:textFill>
            <w14:solidFill>
              <w14:schemeClr w14:val="tx1"/>
            </w14:solidFill>
          </w14:textFill>
        </w:rPr>
      </w:pPr>
    </w:p>
    <w:p w14:paraId="0303BB61">
      <w:pPr>
        <w:pStyle w:val="6"/>
        <w:tabs>
          <w:tab w:val="left" w:pos="420"/>
        </w:tabs>
        <w:spacing w:before="120" w:beforeLines="50" w:after="120" w:afterLines="50" w:line="360" w:lineRule="auto"/>
        <w:rPr>
          <w:rFonts w:ascii="仿宋" w:hAnsi="仿宋" w:eastAsia="仿宋"/>
          <w:bCs w:val="0"/>
          <w:color w:val="000000" w:themeColor="text1"/>
          <w:sz w:val="24"/>
          <w:szCs w:val="24"/>
          <w:highlight w:val="none"/>
          <w:lang w:eastAsia="zh-CN"/>
          <w14:textFill>
            <w14:solidFill>
              <w14:schemeClr w14:val="tx1"/>
            </w14:solidFill>
          </w14:textFill>
        </w:rPr>
      </w:pPr>
      <w:bookmarkStart w:id="185" w:name="_Toc30525"/>
      <w:bookmarkStart w:id="186" w:name="_Toc149731458"/>
      <w:r>
        <w:rPr>
          <w:rFonts w:ascii="仿宋" w:hAnsi="仿宋" w:eastAsia="仿宋" w:cs="仿宋"/>
          <w:bCs w:val="0"/>
          <w:color w:val="000000" w:themeColor="text1"/>
          <w:sz w:val="24"/>
          <w:szCs w:val="24"/>
          <w:highlight w:val="none"/>
          <w:lang w:eastAsia="zh-CN"/>
          <w14:textFill>
            <w14:solidFill>
              <w14:schemeClr w14:val="tx1"/>
            </w14:solidFill>
          </w14:textFill>
        </w:rPr>
        <w:t>2</w:t>
      </w:r>
      <w:r>
        <w:rPr>
          <w:rFonts w:hint="eastAsia" w:ascii="仿宋" w:hAnsi="仿宋" w:eastAsia="仿宋" w:cs="仿宋"/>
          <w:bCs w:val="0"/>
          <w:color w:val="000000" w:themeColor="text1"/>
          <w:sz w:val="24"/>
          <w:szCs w:val="24"/>
          <w:highlight w:val="none"/>
          <w:lang w:eastAsia="zh-CN"/>
          <w14:textFill>
            <w14:solidFill>
              <w14:schemeClr w14:val="tx1"/>
            </w14:solidFill>
          </w14:textFill>
        </w:rPr>
        <w:t>7监理人</w:t>
      </w:r>
      <w:bookmarkEnd w:id="185"/>
      <w:bookmarkEnd w:id="186"/>
    </w:p>
    <w:p w14:paraId="41383142">
      <w:pPr>
        <w:rPr>
          <w:rFonts w:ascii="仿宋" w:hAnsi="仿宋" w:eastAsia="仿宋"/>
          <w:b/>
          <w:bCs/>
          <w:color w:val="000000" w:themeColor="text1"/>
          <w:highlight w:val="none"/>
          <w:lang w:eastAsia="zh-CN"/>
          <w14:textFill>
            <w14:solidFill>
              <w14:schemeClr w14:val="tx1"/>
            </w14:solidFill>
          </w14:textFill>
        </w:rPr>
      </w:pPr>
      <w:bookmarkStart w:id="187" w:name="_Toc26025"/>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.1</w:t>
      </w:r>
      <w:bookmarkEnd w:id="187"/>
    </w:p>
    <w:p w14:paraId="23C69396">
      <w:pPr>
        <w:pStyle w:val="62"/>
        <w:widowControl w:val="0"/>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67195BC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67195BC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发包人应在专用条款中写明负责合同工程监理的监理人名称和监理人代表，并在开工前将监理人及监理人代表以书面形式通知承包人，授予其代表发包人履行合同约定职责所需的权力。</w:t>
      </w:r>
    </w:p>
    <w:p w14:paraId="1418AD79">
      <w:pPr>
        <w:spacing w:line="360" w:lineRule="auto"/>
        <w:rPr>
          <w:rFonts w:ascii="仿宋" w:hAnsi="仿宋" w:eastAsia="仿宋"/>
          <w:b/>
          <w:bCs/>
          <w:color w:val="000000" w:themeColor="text1"/>
          <w:highlight w:val="none"/>
          <w:lang w:eastAsia="zh-CN"/>
          <w14:textFill>
            <w14:solidFill>
              <w14:schemeClr w14:val="tx1"/>
            </w14:solidFill>
          </w14:textFill>
        </w:rPr>
      </w:pPr>
      <w:bookmarkStart w:id="188" w:name="_Toc23653"/>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.2</w:t>
      </w:r>
      <w:bookmarkEnd w:id="188"/>
    </w:p>
    <w:p w14:paraId="11C3B57B">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73ACED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73ACED2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C15DDD8">
      <w:pPr>
        <w:spacing w:line="360" w:lineRule="auto"/>
        <w:rPr>
          <w:rFonts w:ascii="仿宋" w:hAnsi="仿宋" w:eastAsia="仿宋"/>
          <w:b/>
          <w:bCs/>
          <w:color w:val="000000" w:themeColor="text1"/>
          <w:highlight w:val="none"/>
          <w:lang w:eastAsia="zh-CN"/>
          <w14:textFill>
            <w14:solidFill>
              <w14:schemeClr w14:val="tx1"/>
            </w14:solidFill>
          </w14:textFill>
        </w:rPr>
      </w:pPr>
      <w:bookmarkStart w:id="189" w:name="_Toc2855"/>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.3</w:t>
      </w:r>
      <w:bookmarkEnd w:id="189"/>
    </w:p>
    <w:p w14:paraId="0DEC56C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6B8EE5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6B8EE5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除属于第91条约定的争议外，监理人在职权范围内的工作，发包人应予认可，但下列事项应事先取得发包人的专项批准：</w:t>
      </w:r>
    </w:p>
    <w:p w14:paraId="3EC8CED4">
      <w:pPr>
        <w:widowControl w:val="0"/>
        <w:numPr>
          <w:ilvl w:val="0"/>
          <w:numId w:val="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根据第10</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款约定同意承包人分包工程；</w:t>
      </w:r>
    </w:p>
    <w:p w14:paraId="38B37501">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根据第21</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款约定批准承包人将工程材料和工程设备、施工设备移出施工场地；</w:t>
      </w:r>
    </w:p>
    <w:p w14:paraId="579C86F8">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根据第40条约定批准承包人的设备及工器具购置方案、施工组织设计和工程进度计划；</w:t>
      </w:r>
    </w:p>
    <w:p w14:paraId="2AF2CF9B">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根据第41</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款约定发出的工程开工令；</w:t>
      </w:r>
    </w:p>
    <w:p w14:paraId="40133C49">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根据第44</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款约定发出加快进度的变更指令；</w:t>
      </w:r>
    </w:p>
    <w:p w14:paraId="3CFC813B">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根据第56.7款约定使用替换工程材料；</w:t>
      </w:r>
    </w:p>
    <w:p w14:paraId="3DF67D90">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根据第73条约定发出使用暂列金额的工作指令；</w:t>
      </w:r>
    </w:p>
    <w:p w14:paraId="343BE1F1">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根据第74条约定发出使用计日工的工作指令；</w:t>
      </w:r>
    </w:p>
    <w:p w14:paraId="7857B237">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根据第63条约定指令或批准的工程变更；</w:t>
      </w:r>
    </w:p>
    <w:p w14:paraId="575CD5C0">
      <w:pPr>
        <w:widowControl w:val="0"/>
        <w:numPr>
          <w:ilvl w:val="0"/>
          <w:numId w:val="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根据第81条约定指令或确认的现场签证；</w:t>
      </w:r>
    </w:p>
    <w:p w14:paraId="1F8104A3">
      <w:pPr>
        <w:widowControl w:val="0"/>
        <w:numPr>
          <w:ilvl w:val="0"/>
          <w:numId w:val="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专用条款约定需要发包人批准的其他事项。</w:t>
      </w:r>
    </w:p>
    <w:p w14:paraId="339BAB8B">
      <w:pPr>
        <w:spacing w:line="360" w:lineRule="auto"/>
        <w:rPr>
          <w:rFonts w:ascii="仿宋" w:hAnsi="仿宋" w:eastAsia="仿宋"/>
          <w:b/>
          <w:bCs/>
          <w:color w:val="000000" w:themeColor="text1"/>
          <w:highlight w:val="none"/>
          <w:lang w:eastAsia="zh-CN"/>
          <w14:textFill>
            <w14:solidFill>
              <w14:schemeClr w14:val="tx1"/>
            </w14:solidFill>
          </w14:textFill>
        </w:rPr>
      </w:pPr>
      <w:bookmarkStart w:id="190" w:name="_Toc1905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34AF4AB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34AF4AB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.4</w:t>
      </w:r>
      <w:bookmarkEnd w:id="190"/>
    </w:p>
    <w:p w14:paraId="7610D48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监理人应按照合同约定时间向承包人提供实施合同工程的进度、质量和安全工作所需的批准、确认和通知等指令。</w:t>
      </w:r>
    </w:p>
    <w:p w14:paraId="7EB6217F">
      <w:pPr>
        <w:widowControl w:val="0"/>
        <w:tabs>
          <w:tab w:val="left" w:pos="1260"/>
        </w:tabs>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监理人提供的指令，均应采用书面形式。在紧急情况下，监理工程师可发出口头指令，但应在</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小时内给予书面确认。对监理工程师的口头指令，承包人应予执行。如果承包人在监理工程师发出口头指令</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小时后未收到书面确认，则应在接到口头指令后的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天内向监理人发出书面确认函。监理人应在承包人收到书面确认函后</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小时内给予答复；逾期未予答复的，视为承包人的书面确认函已被认可。</w:t>
      </w:r>
    </w:p>
    <w:p w14:paraId="2C2FF90D">
      <w:pPr>
        <w:spacing w:line="360" w:lineRule="auto"/>
        <w:rPr>
          <w:rFonts w:ascii="仿宋" w:hAnsi="仿宋" w:eastAsia="仿宋"/>
          <w:b/>
          <w:bCs/>
          <w:color w:val="000000" w:themeColor="text1"/>
          <w:highlight w:val="none"/>
          <w:lang w:eastAsia="zh-CN"/>
          <w14:textFill>
            <w14:solidFill>
              <w14:schemeClr w14:val="tx1"/>
            </w14:solidFill>
          </w14:textFill>
        </w:rPr>
      </w:pPr>
      <w:bookmarkStart w:id="191" w:name="_Toc23713"/>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.5</w:t>
      </w:r>
      <w:bookmarkEnd w:id="191"/>
    </w:p>
    <w:p w14:paraId="4772419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7799F0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7799F0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如果承包人认为监理人的指令不合理，应在收到指令后</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小时内向监理人提出书面报告，监理人应在收到承包人报告后</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小时内做出修改指令或继续执行原指令的决定，并书面通知承包人。逾期不作出决定的，承包人可不执行监理人的指令。</w:t>
      </w:r>
    </w:p>
    <w:p w14:paraId="054A02FD">
      <w:pPr>
        <w:spacing w:line="360" w:lineRule="auto"/>
        <w:rPr>
          <w:rFonts w:ascii="仿宋" w:hAnsi="仿宋" w:eastAsia="仿宋"/>
          <w:color w:val="000000" w:themeColor="text1"/>
          <w:highlight w:val="none"/>
          <w:lang w:eastAsia="zh-CN"/>
          <w14:textFill>
            <w14:solidFill>
              <w14:schemeClr w14:val="tx1"/>
            </w14:solidFill>
          </w14:textFill>
        </w:rPr>
      </w:pPr>
      <w:bookmarkStart w:id="192" w:name="_Toc24030"/>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.6</w:t>
      </w:r>
      <w:bookmarkEnd w:id="192"/>
    </w:p>
    <w:p w14:paraId="036156F1">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350B87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350B87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监理人可按照第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4</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利。</w:t>
      </w:r>
    </w:p>
    <w:p w14:paraId="4851036A">
      <w:pPr>
        <w:spacing w:line="360" w:lineRule="auto"/>
        <w:rPr>
          <w:rFonts w:ascii="仿宋" w:hAnsi="仿宋" w:eastAsia="仿宋"/>
          <w:b/>
          <w:bCs/>
          <w:color w:val="000000" w:themeColor="text1"/>
          <w:highlight w:val="none"/>
          <w:lang w:eastAsia="zh-CN"/>
          <w14:textFill>
            <w14:solidFill>
              <w14:schemeClr w14:val="tx1"/>
            </w14:solidFill>
          </w14:textFill>
        </w:rPr>
      </w:pPr>
      <w:bookmarkStart w:id="193" w:name="_Toc31450"/>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.7</w:t>
      </w:r>
      <w:bookmarkEnd w:id="193"/>
    </w:p>
    <w:p w14:paraId="66FCC542">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0F1D8DC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0F1D8DC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监理人未能正确履行本合同约定的全部义务，或工作出现失误，导致费用的增加和（或）延误的工期，由发包人承担；给承包人造成损失的，发包人应予赔偿。</w:t>
      </w:r>
    </w:p>
    <w:p w14:paraId="0A286752">
      <w:pPr>
        <w:tabs>
          <w:tab w:val="left" w:pos="1260"/>
        </w:tabs>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4B106F4F">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194" w:name="_Toc28780"/>
      <w:bookmarkStart w:id="195" w:name="_Toc149731459"/>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8造价咨询人</w:t>
      </w:r>
      <w:bookmarkEnd w:id="194"/>
      <w:bookmarkEnd w:id="195"/>
    </w:p>
    <w:p w14:paraId="508AFE38">
      <w:pPr>
        <w:tabs>
          <w:tab w:val="left" w:pos="1260"/>
        </w:tabs>
        <w:spacing w:line="400" w:lineRule="exact"/>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.1</w:t>
      </w:r>
    </w:p>
    <w:p w14:paraId="7F477FFC">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17FE1FB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17FE1FB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7505D7FC">
      <w:pPr>
        <w:spacing w:line="360" w:lineRule="auto"/>
        <w:rPr>
          <w:rFonts w:ascii="仿宋" w:hAnsi="仿宋" w:eastAsia="仿宋"/>
          <w:b/>
          <w:bCs/>
          <w:color w:val="000000" w:themeColor="text1"/>
          <w:highlight w:val="none"/>
          <w:lang w:eastAsia="zh-CN"/>
          <w14:textFill>
            <w14:solidFill>
              <w14:schemeClr w14:val="tx1"/>
            </w14:solidFill>
          </w14:textFill>
        </w:rPr>
      </w:pPr>
      <w:bookmarkStart w:id="196" w:name="_Toc6082"/>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.2</w:t>
      </w:r>
      <w:bookmarkEnd w:id="196"/>
    </w:p>
    <w:p w14:paraId="7C3BDF0C">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5FC82A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5FC82A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1FE8BCFB">
      <w:pPr>
        <w:spacing w:line="360" w:lineRule="auto"/>
        <w:rPr>
          <w:rFonts w:ascii="仿宋" w:hAnsi="仿宋" w:eastAsia="仿宋"/>
          <w:b/>
          <w:bCs/>
          <w:color w:val="000000" w:themeColor="text1"/>
          <w:highlight w:val="none"/>
          <w:lang w:eastAsia="zh-CN"/>
          <w14:textFill>
            <w14:solidFill>
              <w14:schemeClr w14:val="tx1"/>
            </w14:solidFill>
          </w14:textFill>
        </w:rPr>
      </w:pPr>
      <w:bookmarkStart w:id="197" w:name="_Toc541"/>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.3</w:t>
      </w:r>
      <w:bookmarkEnd w:id="197"/>
    </w:p>
    <w:p w14:paraId="3EA6B922">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3C27EC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3C27EC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除属于第91条约定的争议外，造价咨询人在职权范围内的工作，发包人应予认可，但下列事项应事先取得发包人的专项批准：</w:t>
      </w:r>
    </w:p>
    <w:p w14:paraId="1D191FED">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根据第73条约定使用暂列金额；</w:t>
      </w:r>
    </w:p>
    <w:p w14:paraId="67EA8104">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根据第74条约定使用计日工；</w:t>
      </w:r>
    </w:p>
    <w:p w14:paraId="2A645FF4">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根据第75条约定使用暂估价；</w:t>
      </w:r>
    </w:p>
    <w:p w14:paraId="67C1E3E3">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根据第76条确定的提前竣工奖与误期赔偿费；</w:t>
      </w:r>
    </w:p>
    <w:p w14:paraId="145069EA">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根据第77条确定的优质优价费用；</w:t>
      </w:r>
    </w:p>
    <w:p w14:paraId="6BFBDF71">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根据第69.3款约定事项调整的合同价格；</w:t>
      </w:r>
    </w:p>
    <w:p w14:paraId="38B7DD0D">
      <w:pPr>
        <w:widowControl w:val="0"/>
        <w:numPr>
          <w:ilvl w:val="0"/>
          <w:numId w:val="7"/>
        </w:numPr>
        <w:tabs>
          <w:tab w:val="clear" w:pos="9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专用条款约定需要发包人批准的其他事项。</w:t>
      </w:r>
    </w:p>
    <w:p w14:paraId="00A7FDE3">
      <w:pPr>
        <w:spacing w:line="360" w:lineRule="auto"/>
        <w:rPr>
          <w:rFonts w:ascii="仿宋" w:hAnsi="仿宋" w:eastAsia="仿宋"/>
          <w:b/>
          <w:bCs/>
          <w:color w:val="000000" w:themeColor="text1"/>
          <w:highlight w:val="none"/>
          <w:lang w:eastAsia="zh-CN"/>
          <w14:textFill>
            <w14:solidFill>
              <w14:schemeClr w14:val="tx1"/>
            </w14:solidFill>
          </w14:textFill>
        </w:rPr>
      </w:pPr>
      <w:bookmarkStart w:id="198" w:name="_Toc30839"/>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.4</w:t>
      </w:r>
      <w:bookmarkEnd w:id="198"/>
    </w:p>
    <w:p w14:paraId="47C3AFDA">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78F11D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78F11D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造价咨询人应按照合同约定时间向承包人提供实施合同工程的工程造价工作所需的核实、调整和通知等指令。</w:t>
      </w:r>
    </w:p>
    <w:p w14:paraId="393E157D">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造价咨询人提供的指令，均应采用书面形式。在紧急情况下，造价工程师可发出口头指令，但应在</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小时内给予书面确认。对造价工程师的口头指令，承包人应予执行。如果承包人在造价工程师发出的口头指令</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小时后未收到书面确认，则应在接到口头指令后的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天内向造价咨询人发出书面确认函。造价咨询人应在承包人收到书面确认函后</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小时内给予答复；逾期未予答复的，视为承包人的书面确认函已被认可。</w:t>
      </w:r>
    </w:p>
    <w:p w14:paraId="1DCB32CE">
      <w:pPr>
        <w:spacing w:line="360" w:lineRule="auto"/>
        <w:rPr>
          <w:rFonts w:ascii="仿宋" w:hAnsi="仿宋" w:eastAsia="仿宋"/>
          <w:b/>
          <w:bCs/>
          <w:color w:val="000000" w:themeColor="text1"/>
          <w:highlight w:val="none"/>
          <w:lang w:eastAsia="zh-CN"/>
          <w14:textFill>
            <w14:solidFill>
              <w14:schemeClr w14:val="tx1"/>
            </w14:solidFill>
          </w14:textFill>
        </w:rPr>
      </w:pPr>
      <w:bookmarkStart w:id="199" w:name="_Toc12182"/>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.5</w:t>
      </w:r>
      <w:bookmarkEnd w:id="199"/>
    </w:p>
    <w:p w14:paraId="1768CCE0">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20278B6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20278B6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如果承包人认为造价咨询人的指令不合理，应在收到指令后</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小时内向造价咨询人提出书面报告，造价咨询人应在收到承包人报告后</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小时内做出修改指令或继续执行原指令的决定，并书面通知承包人。逾期不作出决定的，承包人可不执行造价咨询人的指令。</w:t>
      </w:r>
    </w:p>
    <w:p w14:paraId="2A885E28">
      <w:pPr>
        <w:spacing w:line="360" w:lineRule="auto"/>
        <w:rPr>
          <w:rFonts w:ascii="仿宋" w:hAnsi="仿宋" w:eastAsia="仿宋"/>
          <w:b/>
          <w:bCs/>
          <w:color w:val="000000" w:themeColor="text1"/>
          <w:highlight w:val="none"/>
          <w:lang w:eastAsia="zh-CN"/>
          <w14:textFill>
            <w14:solidFill>
              <w14:schemeClr w14:val="tx1"/>
            </w14:solidFill>
          </w14:textFill>
        </w:rPr>
      </w:pPr>
      <w:bookmarkStart w:id="200" w:name="_Toc19556"/>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.6</w:t>
      </w:r>
      <w:bookmarkEnd w:id="200"/>
    </w:p>
    <w:p w14:paraId="4C90E186">
      <w:pPr>
        <w:widowControl w:val="0"/>
        <w:tabs>
          <w:tab w:val="left" w:pos="1260"/>
        </w:tabs>
        <w:spacing w:line="360" w:lineRule="auto"/>
        <w:ind w:left="1850" w:leftChars="771"/>
        <w:jc w:val="both"/>
        <w:rPr>
          <w:rFonts w:ascii="仿宋" w:hAnsi="仿宋" w:eastAsia="仿宋"/>
          <w:strike/>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6915F8A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6915F8A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造价咨询人可按照第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4</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6D28A5F9">
      <w:pPr>
        <w:spacing w:line="360" w:lineRule="auto"/>
        <w:rPr>
          <w:rFonts w:ascii="仿宋" w:hAnsi="仿宋" w:eastAsia="仿宋"/>
          <w:color w:val="000000" w:themeColor="text1"/>
          <w:highlight w:val="none"/>
          <w:lang w:eastAsia="zh-CN"/>
          <w14:textFill>
            <w14:solidFill>
              <w14:schemeClr w14:val="tx1"/>
            </w14:solidFill>
          </w14:textFill>
        </w:rPr>
      </w:pPr>
      <w:bookmarkStart w:id="201" w:name="_Toc15720"/>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.7</w:t>
      </w:r>
      <w:bookmarkEnd w:id="201"/>
    </w:p>
    <w:p w14:paraId="4B74288F">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59B1027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59B1027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造价咨询人（含其代表）未能正确履行本合同约定的全部义务，或工作出现失误，导致费用的增加和（或）延误的工期，由发包人承担；给承包人造成损失的，发包人应予赔偿。</w:t>
      </w:r>
    </w:p>
    <w:p w14:paraId="4244CD64">
      <w:pPr>
        <w:tabs>
          <w:tab w:val="left" w:pos="540"/>
          <w:tab w:val="left" w:pos="720"/>
        </w:tabs>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64884E31">
      <w:pPr>
        <w:pStyle w:val="6"/>
        <w:tabs>
          <w:tab w:val="left" w:pos="420"/>
        </w:tabs>
        <w:spacing w:before="120" w:beforeLines="50" w:after="120" w:afterLines="50" w:line="360" w:lineRule="auto"/>
        <w:rPr>
          <w:rFonts w:ascii="仿宋" w:hAnsi="仿宋" w:eastAsia="仿宋"/>
          <w:color w:val="000000" w:themeColor="text1"/>
          <w:sz w:val="24"/>
          <w:szCs w:val="24"/>
          <w:highlight w:val="none"/>
          <w:lang w:eastAsia="zh-CN"/>
          <w14:textFill>
            <w14:solidFill>
              <w14:schemeClr w14:val="tx1"/>
            </w14:solidFill>
          </w14:textFill>
        </w:rPr>
      </w:pPr>
      <w:bookmarkStart w:id="202" w:name="_Toc31278"/>
      <w:bookmarkStart w:id="203" w:name="_Toc149731460"/>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9承包人代表及其专业负责人</w:t>
      </w:r>
      <w:bookmarkEnd w:id="202"/>
      <w:bookmarkEnd w:id="203"/>
    </w:p>
    <w:p w14:paraId="5C2C97F9">
      <w:pPr>
        <w:rPr>
          <w:rFonts w:ascii="仿宋" w:hAnsi="仿宋" w:eastAsia="仿宋"/>
          <w:b/>
          <w:bCs/>
          <w:color w:val="000000" w:themeColor="text1"/>
          <w:highlight w:val="none"/>
          <w:lang w:eastAsia="zh-CN"/>
          <w14:textFill>
            <w14:solidFill>
              <w14:schemeClr w14:val="tx1"/>
            </w14:solidFill>
          </w14:textFill>
        </w:rPr>
      </w:pPr>
      <w:bookmarkStart w:id="204" w:name="_Toc8589"/>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9</w:t>
      </w:r>
      <w:r>
        <w:rPr>
          <w:rFonts w:ascii="仿宋" w:hAnsi="仿宋" w:eastAsia="仿宋" w:cs="仿宋"/>
          <w:b/>
          <w:bCs/>
          <w:color w:val="000000" w:themeColor="text1"/>
          <w:highlight w:val="none"/>
          <w:lang w:eastAsia="zh-CN"/>
          <w14:textFill>
            <w14:solidFill>
              <w14:schemeClr w14:val="tx1"/>
            </w14:solidFill>
          </w14:textFill>
        </w:rPr>
        <w:t>.1</w:t>
      </w:r>
      <w:bookmarkEnd w:id="204"/>
      <w:r>
        <w:rPr>
          <w:rFonts w:hint="eastAsia" w:ascii="仿宋" w:hAnsi="仿宋" w:eastAsia="仿宋" w:cs="仿宋"/>
          <w:b/>
          <w:bCs/>
          <w:color w:val="000000" w:themeColor="text1"/>
          <w:highlight w:val="none"/>
          <w:lang w:eastAsia="zh-CN"/>
          <w14:textFill>
            <w14:solidFill>
              <w14:schemeClr w14:val="tx1"/>
            </w14:solidFill>
          </w14:textFill>
        </w:rPr>
        <w:tab/>
      </w:r>
    </w:p>
    <w:p w14:paraId="35CF140F">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78D799F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78D799F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承包人应依据第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4</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在专用条款中写明承包人代表及其专业负责人的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64414CCD">
      <w:pPr>
        <w:spacing w:line="360" w:lineRule="auto"/>
        <w:rPr>
          <w:rFonts w:ascii="仿宋" w:hAnsi="仿宋" w:eastAsia="仿宋"/>
          <w:b/>
          <w:bCs/>
          <w:color w:val="000000" w:themeColor="text1"/>
          <w:highlight w:val="none"/>
          <w:lang w:eastAsia="zh-CN"/>
          <w14:textFill>
            <w14:solidFill>
              <w14:schemeClr w14:val="tx1"/>
            </w14:solidFill>
          </w14:textFill>
        </w:rPr>
      </w:pPr>
      <w:bookmarkStart w:id="205" w:name="_Toc18916"/>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9</w:t>
      </w:r>
      <w:r>
        <w:rPr>
          <w:rFonts w:ascii="仿宋" w:hAnsi="仿宋" w:eastAsia="仿宋" w:cs="仿宋"/>
          <w:b/>
          <w:bCs/>
          <w:color w:val="000000" w:themeColor="text1"/>
          <w:highlight w:val="none"/>
          <w:lang w:eastAsia="zh-CN"/>
          <w14:textFill>
            <w14:solidFill>
              <w14:schemeClr w14:val="tx1"/>
            </w14:solidFill>
          </w14:textFill>
        </w:rPr>
        <w:t>.2</w:t>
      </w:r>
      <w:bookmarkEnd w:id="205"/>
    </w:p>
    <w:p w14:paraId="382C4E02">
      <w:pPr>
        <w:widowControl w:val="0"/>
        <w:tabs>
          <w:tab w:val="left" w:pos="126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3EE7548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3EE7548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16B96E08">
      <w:pPr>
        <w:spacing w:line="360" w:lineRule="auto"/>
        <w:rPr>
          <w:rFonts w:ascii="仿宋" w:hAnsi="仿宋" w:eastAsia="仿宋"/>
          <w:b/>
          <w:bCs/>
          <w:color w:val="000000" w:themeColor="text1"/>
          <w:highlight w:val="none"/>
          <w:lang w:eastAsia="zh-CN"/>
          <w14:textFill>
            <w14:solidFill>
              <w14:schemeClr w14:val="tx1"/>
            </w14:solidFill>
          </w14:textFill>
        </w:rPr>
      </w:pPr>
      <w:bookmarkStart w:id="206" w:name="_Toc3838"/>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9</w:t>
      </w:r>
      <w:r>
        <w:rPr>
          <w:rFonts w:ascii="仿宋" w:hAnsi="仿宋" w:eastAsia="仿宋" w:cs="仿宋"/>
          <w:b/>
          <w:bCs/>
          <w:color w:val="000000" w:themeColor="text1"/>
          <w:highlight w:val="none"/>
          <w:lang w:eastAsia="zh-CN"/>
          <w14:textFill>
            <w14:solidFill>
              <w14:schemeClr w14:val="tx1"/>
            </w14:solidFill>
          </w14:textFill>
        </w:rPr>
        <w:t>.3</w:t>
      </w:r>
      <w:bookmarkEnd w:id="206"/>
    </w:p>
    <w:p w14:paraId="62BEF16F">
      <w:pPr>
        <w:widowControl w:val="0"/>
        <w:tabs>
          <w:tab w:val="left" w:pos="126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332154B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332154B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000000" w:themeColor="text1"/>
          <w:highlight w:val="none"/>
          <w:lang w:eastAsia="zh-CN"/>
          <w14:textFill>
            <w14:solidFill>
              <w14:schemeClr w14:val="tx1"/>
            </w14:solidFill>
          </w14:textFill>
        </w:rPr>
        <w:t>承包人</w:t>
      </w:r>
      <w:r>
        <w:rPr>
          <w:rFonts w:hint="eastAsia" w:ascii="仿宋" w:hAnsi="仿宋" w:eastAsia="仿宋" w:cs="仿宋"/>
          <w:color w:val="000000" w:themeColor="text1"/>
          <w:highlight w:val="none"/>
          <w:lang w:eastAsia="zh-CN"/>
          <w14:textFill>
            <w14:solidFill>
              <w14:schemeClr w14:val="tx1"/>
            </w14:solidFill>
          </w14:textFill>
        </w:rPr>
        <w:t>代表授予职权范围内的工作，承包人代表应予认可，但承包人代表保留发出通知以纠正被授权人工作失误的权力。</w:t>
      </w:r>
    </w:p>
    <w:p w14:paraId="524128EF">
      <w:pPr>
        <w:spacing w:line="360" w:lineRule="auto"/>
        <w:rPr>
          <w:rFonts w:ascii="仿宋" w:hAnsi="仿宋" w:eastAsia="仿宋"/>
          <w:b/>
          <w:bCs/>
          <w:color w:val="000000" w:themeColor="text1"/>
          <w:highlight w:val="none"/>
          <w:lang w:eastAsia="zh-CN"/>
          <w14:textFill>
            <w14:solidFill>
              <w14:schemeClr w14:val="tx1"/>
            </w14:solidFill>
          </w14:textFill>
        </w:rPr>
      </w:pPr>
      <w:bookmarkStart w:id="207" w:name="_Toc2688"/>
      <w:r>
        <w:rPr>
          <w:rFonts w:ascii="仿宋" w:hAnsi="仿宋" w:eastAsia="仿宋" w:cs="仿宋"/>
          <w:b/>
          <w:bCs/>
          <w:color w:val="000000" w:themeColor="text1"/>
          <w:highlight w:val="none"/>
          <w:lang w:eastAsia="zh-CN"/>
          <w14:textFill>
            <w14:solidFill>
              <w14:schemeClr w14:val="tx1"/>
            </w14:solidFill>
          </w14:textFill>
        </w:rPr>
        <w:t>2</w:t>
      </w:r>
      <w:r>
        <w:rPr>
          <w:rFonts w:hint="eastAsia" w:ascii="仿宋" w:hAnsi="仿宋" w:eastAsia="仿宋" w:cs="仿宋"/>
          <w:b/>
          <w:bCs/>
          <w:color w:val="000000" w:themeColor="text1"/>
          <w:highlight w:val="none"/>
          <w:lang w:eastAsia="zh-CN"/>
          <w14:textFill>
            <w14:solidFill>
              <w14:schemeClr w14:val="tx1"/>
            </w14:solidFill>
          </w14:textFill>
        </w:rPr>
        <w:t>9</w:t>
      </w:r>
      <w:r>
        <w:rPr>
          <w:rFonts w:ascii="仿宋" w:hAnsi="仿宋" w:eastAsia="仿宋" w:cs="仿宋"/>
          <w:b/>
          <w:bCs/>
          <w:color w:val="000000" w:themeColor="text1"/>
          <w:highlight w:val="none"/>
          <w:lang w:eastAsia="zh-CN"/>
          <w14:textFill>
            <w14:solidFill>
              <w14:schemeClr w14:val="tx1"/>
            </w14:solidFill>
          </w14:textFill>
        </w:rPr>
        <w:t>.4</w:t>
      </w:r>
      <w:bookmarkEnd w:id="207"/>
    </w:p>
    <w:p w14:paraId="28CC2B1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51331F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51331FE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3B9E227E">
      <w:pPr>
        <w:pStyle w:val="40"/>
        <w:tabs>
          <w:tab w:val="left" w:pos="54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3C9E0F65">
      <w:pPr>
        <w:pStyle w:val="6"/>
        <w:tabs>
          <w:tab w:val="left" w:pos="420"/>
        </w:tabs>
        <w:spacing w:before="120" w:beforeLines="50" w:after="120" w:afterLines="50" w:line="360" w:lineRule="auto"/>
        <w:rPr>
          <w:rFonts w:ascii="仿宋" w:hAnsi="仿宋" w:eastAsia="仿宋"/>
          <w:bCs w:val="0"/>
          <w:color w:val="000000" w:themeColor="text1"/>
          <w:sz w:val="24"/>
          <w:szCs w:val="24"/>
          <w:highlight w:val="none"/>
          <w:lang w:eastAsia="zh-CN"/>
          <w14:textFill>
            <w14:solidFill>
              <w14:schemeClr w14:val="tx1"/>
            </w14:solidFill>
          </w14:textFill>
        </w:rPr>
      </w:pPr>
      <w:bookmarkStart w:id="208" w:name="_Toc149731461"/>
      <w:bookmarkStart w:id="209" w:name="_Toc27625"/>
      <w:r>
        <w:rPr>
          <w:rFonts w:hint="eastAsia" w:ascii="仿宋" w:hAnsi="仿宋" w:eastAsia="仿宋" w:cs="仿宋"/>
          <w:bCs w:val="0"/>
          <w:color w:val="000000" w:themeColor="text1"/>
          <w:sz w:val="24"/>
          <w:szCs w:val="24"/>
          <w:highlight w:val="none"/>
          <w:lang w:eastAsia="zh-CN"/>
          <w14:textFill>
            <w14:solidFill>
              <w14:schemeClr w14:val="tx1"/>
            </w14:solidFill>
          </w14:textFill>
        </w:rPr>
        <w:t>30指定分包人</w:t>
      </w:r>
      <w:bookmarkEnd w:id="208"/>
      <w:bookmarkEnd w:id="209"/>
    </w:p>
    <w:p w14:paraId="16C16472">
      <w:pPr>
        <w:rPr>
          <w:rFonts w:ascii="仿宋" w:hAnsi="仿宋" w:eastAsia="仿宋"/>
          <w:b/>
          <w:bCs/>
          <w:color w:val="000000" w:themeColor="text1"/>
          <w:highlight w:val="none"/>
          <w:lang w:eastAsia="zh-CN"/>
          <w14:textFill>
            <w14:solidFill>
              <w14:schemeClr w14:val="tx1"/>
            </w14:solidFill>
          </w14:textFill>
        </w:rPr>
      </w:pPr>
      <w:bookmarkStart w:id="210" w:name="_Toc3665"/>
      <w:r>
        <w:rPr>
          <w:rFonts w:hint="eastAsia" w:ascii="仿宋" w:hAnsi="仿宋" w:eastAsia="仿宋" w:cs="仿宋"/>
          <w:b/>
          <w:bCs/>
          <w:color w:val="000000" w:themeColor="text1"/>
          <w:highlight w:val="none"/>
          <w:lang w:eastAsia="zh-CN"/>
          <w14:textFill>
            <w14:solidFill>
              <w14:schemeClr w14:val="tx1"/>
            </w14:solidFill>
          </w14:textFill>
        </w:rPr>
        <w:t>30</w:t>
      </w:r>
      <w:r>
        <w:rPr>
          <w:rFonts w:ascii="仿宋" w:hAnsi="仿宋" w:eastAsia="仿宋" w:cs="仿宋"/>
          <w:b/>
          <w:bCs/>
          <w:color w:val="000000" w:themeColor="text1"/>
          <w:highlight w:val="none"/>
          <w:lang w:eastAsia="zh-CN"/>
          <w14:textFill>
            <w14:solidFill>
              <w14:schemeClr w14:val="tx1"/>
            </w14:solidFill>
          </w14:textFill>
        </w:rPr>
        <w:t>.1</w:t>
      </w:r>
      <w:bookmarkEnd w:id="210"/>
    </w:p>
    <w:p w14:paraId="1437193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1B14C0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1B14C0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指定分包人是指发包人事先指定的从事下列工作之一的分包人：</w:t>
      </w:r>
    </w:p>
    <w:p w14:paraId="20CF4ED7">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）根据专用条款的约定，发包人依法事先指定的实施、完成部分永久工程的分包人；</w:t>
      </w:r>
    </w:p>
    <w:p w14:paraId="4C104B3F">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）根据专用条款的约定，发包人选定的提供合同工程材料、工程设备和服务的分包人；</w:t>
      </w:r>
    </w:p>
    <w:p w14:paraId="2823921F">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（3）根据专用条款的约定，发包人选定的提供部分专业服务的分包人。</w:t>
      </w:r>
    </w:p>
    <w:p w14:paraId="77A967C1">
      <w:pPr>
        <w:spacing w:line="360" w:lineRule="auto"/>
        <w:rPr>
          <w:rFonts w:ascii="仿宋" w:hAnsi="仿宋" w:eastAsia="仿宋"/>
          <w:b/>
          <w:bCs/>
          <w:color w:val="000000" w:themeColor="text1"/>
          <w:highlight w:val="none"/>
          <w:lang w:eastAsia="zh-CN"/>
          <w14:textFill>
            <w14:solidFill>
              <w14:schemeClr w14:val="tx1"/>
            </w14:solidFill>
          </w14:textFill>
        </w:rPr>
      </w:pPr>
      <w:bookmarkStart w:id="211" w:name="_Toc4859"/>
      <w:r>
        <w:rPr>
          <w:rFonts w:hint="eastAsia" w:ascii="仿宋" w:hAnsi="仿宋" w:eastAsia="仿宋" w:cs="仿宋"/>
          <w:b/>
          <w:bCs/>
          <w:color w:val="000000" w:themeColor="text1"/>
          <w:highlight w:val="none"/>
          <w:lang w:eastAsia="zh-CN"/>
          <w14:textFill>
            <w14:solidFill>
              <w14:schemeClr w14:val="tx1"/>
            </w14:solidFill>
          </w14:textFill>
        </w:rPr>
        <w:t>30</w:t>
      </w:r>
      <w:r>
        <w:rPr>
          <w:rFonts w:ascii="仿宋" w:hAnsi="仿宋" w:eastAsia="仿宋" w:cs="仿宋"/>
          <w:b/>
          <w:bCs/>
          <w:color w:val="000000" w:themeColor="text1"/>
          <w:highlight w:val="none"/>
          <w:lang w:eastAsia="zh-CN"/>
          <w14:textFill>
            <w14:solidFill>
              <w14:schemeClr w14:val="tx1"/>
            </w14:solidFill>
          </w14:textFill>
        </w:rPr>
        <w:t>.2</w:t>
      </w:r>
      <w:bookmarkEnd w:id="211"/>
    </w:p>
    <w:p w14:paraId="38FE55AB">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33CE38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33CE38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指定分包人属于承包人的分包人，发包人不应要求承包人有义务接受承包人有理由反对的任何指定分包人。</w:t>
      </w:r>
    </w:p>
    <w:p w14:paraId="10295305">
      <w:pPr>
        <w:spacing w:line="360" w:lineRule="auto"/>
        <w:rPr>
          <w:rFonts w:ascii="仿宋" w:hAnsi="仿宋" w:eastAsia="仿宋"/>
          <w:b/>
          <w:bCs/>
          <w:color w:val="000000" w:themeColor="text1"/>
          <w:highlight w:val="none"/>
          <w:u w:val="dotted"/>
          <w:lang w:eastAsia="zh-CN"/>
          <w14:textFill>
            <w14:solidFill>
              <w14:schemeClr w14:val="tx1"/>
            </w14:solidFill>
          </w14:textFill>
        </w:rPr>
      </w:pPr>
      <w:bookmarkStart w:id="212" w:name="_Toc16892"/>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02DEACB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02DEACB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30</w:t>
      </w:r>
      <w:r>
        <w:rPr>
          <w:rFonts w:ascii="仿宋" w:hAnsi="仿宋" w:eastAsia="仿宋" w:cs="仿宋"/>
          <w:b/>
          <w:bCs/>
          <w:color w:val="000000" w:themeColor="text1"/>
          <w:highlight w:val="none"/>
          <w:lang w:eastAsia="zh-CN"/>
          <w14:textFill>
            <w14:solidFill>
              <w14:schemeClr w14:val="tx1"/>
            </w14:solidFill>
          </w14:textFill>
        </w:rPr>
        <w:t>.3</w:t>
      </w:r>
      <w:bookmarkEnd w:id="212"/>
    </w:p>
    <w:p w14:paraId="1C62AEC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发包人应按照合同的约定向承包人支付指定分包人的分包工程配合费。指定分包工程款的结算与支付，按照第10</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款办理。</w:t>
      </w:r>
    </w:p>
    <w:p w14:paraId="10D6BD9D">
      <w:pPr>
        <w:spacing w:line="360" w:lineRule="auto"/>
        <w:rPr>
          <w:rFonts w:ascii="仿宋" w:hAnsi="仿宋" w:eastAsia="仿宋"/>
          <w:b/>
          <w:bCs/>
          <w:color w:val="000000" w:themeColor="text1"/>
          <w:highlight w:val="none"/>
          <w:u w:val="dotted"/>
          <w:lang w:eastAsia="zh-CN"/>
          <w14:textFill>
            <w14:solidFill>
              <w14:schemeClr w14:val="tx1"/>
            </w14:solidFill>
          </w14:textFill>
        </w:rPr>
      </w:pPr>
      <w:bookmarkStart w:id="213" w:name="_Toc20846"/>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6C939999">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sUfWAAAA&#10;CgEAAA8AAAAAAAAAAQAgAAAAIgAAAGRycy9kb3ducmV2LnhtbFBLAQIUABQAAAAIAIdO4kC0GVJT&#10;HwIAACYEAAAOAAAAAAAAAAEAIAAAACUBAABkcnMvZTJvRG9jLnhtbFBLBQYAAAAABgAGAFkBAAC2&#10;BQAAAAA=&#10;">
                <v:fill on="f" focussize="0,0"/>
                <v:stroke on="f"/>
                <v:imagedata o:title=""/>
                <o:lock v:ext="edit" aspectratio="f"/>
                <v:textbox>
                  <w:txbxContent>
                    <w:p w14:paraId="6C939999">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30</w:t>
      </w:r>
      <w:r>
        <w:rPr>
          <w:rFonts w:ascii="仿宋" w:hAnsi="仿宋" w:eastAsia="仿宋" w:cs="仿宋"/>
          <w:b/>
          <w:bCs/>
          <w:color w:val="000000" w:themeColor="text1"/>
          <w:highlight w:val="none"/>
          <w:lang w:eastAsia="zh-CN"/>
          <w14:textFill>
            <w14:solidFill>
              <w14:schemeClr w14:val="tx1"/>
            </w14:solidFill>
          </w14:textFill>
        </w:rPr>
        <w:t>.4</w:t>
      </w:r>
      <w:bookmarkEnd w:id="213"/>
    </w:p>
    <w:p w14:paraId="1934FCEA">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指定分包人应按照分包合同的约定对承包人负责。承包人有义务协助、配合指定分包人实施分包工程。</w:t>
      </w:r>
    </w:p>
    <w:p w14:paraId="20D75E6C">
      <w:pPr>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014E1EAB">
      <w:pPr>
        <w:pStyle w:val="6"/>
        <w:tabs>
          <w:tab w:val="left" w:pos="420"/>
        </w:tabs>
        <w:spacing w:before="120" w:beforeLines="50" w:after="120" w:afterLines="50" w:line="360" w:lineRule="auto"/>
        <w:rPr>
          <w:rFonts w:ascii="仿宋" w:hAnsi="仿宋" w:eastAsia="仿宋"/>
          <w:bCs w:val="0"/>
          <w:color w:val="000000" w:themeColor="text1"/>
          <w:sz w:val="24"/>
          <w:szCs w:val="24"/>
          <w:highlight w:val="none"/>
          <w:lang w:eastAsia="zh-CN"/>
          <w14:textFill>
            <w14:solidFill>
              <w14:schemeClr w14:val="tx1"/>
            </w14:solidFill>
          </w14:textFill>
        </w:rPr>
      </w:pPr>
      <w:bookmarkStart w:id="214" w:name="_Toc149731462"/>
      <w:bookmarkStart w:id="215" w:name="_Toc23777"/>
      <w:r>
        <w:rPr>
          <w:rFonts w:hint="eastAsia" w:ascii="仿宋" w:hAnsi="仿宋" w:eastAsia="仿宋" w:cs="仿宋"/>
          <w:bCs w:val="0"/>
          <w:color w:val="000000" w:themeColor="text1"/>
          <w:sz w:val="24"/>
          <w:szCs w:val="24"/>
          <w:highlight w:val="none"/>
          <w:lang w:eastAsia="zh-CN"/>
          <w14:textFill>
            <w14:solidFill>
              <w14:schemeClr w14:val="tx1"/>
            </w14:solidFill>
          </w14:textFill>
        </w:rPr>
        <w:t>31 承包人劳务</w:t>
      </w:r>
      <w:bookmarkEnd w:id="214"/>
      <w:bookmarkEnd w:id="215"/>
    </w:p>
    <w:p w14:paraId="2CFB39E6">
      <w:pPr>
        <w:spacing w:line="360" w:lineRule="auto"/>
        <w:rPr>
          <w:rFonts w:ascii="仿宋" w:hAnsi="仿宋" w:eastAsia="仿宋"/>
          <w:b/>
          <w:bCs/>
          <w:color w:val="000000" w:themeColor="text1"/>
          <w:highlight w:val="none"/>
          <w:lang w:eastAsia="zh-CN"/>
          <w14:textFill>
            <w14:solidFill>
              <w14:schemeClr w14:val="tx1"/>
            </w14:solidFill>
          </w14:textFill>
        </w:rPr>
      </w:pPr>
      <w:bookmarkStart w:id="216" w:name="_Toc27515"/>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.1</w:t>
      </w:r>
      <w:bookmarkEnd w:id="216"/>
    </w:p>
    <w:p w14:paraId="3CE8F3BD">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2B63890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2B63890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承包人应在接到开工令后</w:t>
      </w:r>
      <w:r>
        <w:rPr>
          <w:rFonts w:ascii="仿宋" w:hAnsi="仿宋" w:eastAsia="仿宋" w:cs="仿宋"/>
          <w:color w:val="000000" w:themeColor="text1"/>
          <w:highlight w:val="none"/>
          <w:lang w:eastAsia="zh-CN"/>
          <w14:textFill>
            <w14:solidFill>
              <w14:schemeClr w14:val="tx1"/>
            </w14:solidFill>
          </w14:textFill>
        </w:rPr>
        <w:t>28</w:t>
      </w:r>
      <w:r>
        <w:rPr>
          <w:rFonts w:hint="eastAsia" w:ascii="仿宋" w:hAnsi="仿宋" w:eastAsia="仿宋" w:cs="仿宋"/>
          <w:color w:val="000000" w:themeColor="text1"/>
          <w:highlight w:val="none"/>
          <w:lang w:eastAsia="zh-CN"/>
          <w14:textFill>
            <w14:solidFill>
              <w14:schemeClr w14:val="tx1"/>
            </w14:solidFill>
          </w14:textFill>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4FDB6E11">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217" w:name="_Toc31849"/>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.2</w:t>
      </w:r>
      <w:bookmarkEnd w:id="217"/>
    </w:p>
    <w:p w14:paraId="301A609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2A42C4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2A42C4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承包人除应雇佣投标文件中“主要人员一览表”中指明的人员外，也可以雇佣经监理人批准的其他人员，但不得从发包人或服务于发包人的人员中雇佣人员。</w:t>
      </w:r>
    </w:p>
    <w:p w14:paraId="7EF82F3C">
      <w:pPr>
        <w:spacing w:line="360" w:lineRule="auto"/>
        <w:rPr>
          <w:rFonts w:ascii="仿宋" w:hAnsi="仿宋" w:eastAsia="仿宋"/>
          <w:b/>
          <w:bCs/>
          <w:color w:val="000000" w:themeColor="text1"/>
          <w:highlight w:val="none"/>
          <w:lang w:eastAsia="zh-CN"/>
          <w14:textFill>
            <w14:solidFill>
              <w14:schemeClr w14:val="tx1"/>
            </w14:solidFill>
          </w14:textFill>
        </w:rPr>
      </w:pPr>
      <w:bookmarkStart w:id="218" w:name="_Toc25755"/>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.3</w:t>
      </w:r>
      <w:bookmarkEnd w:id="218"/>
    </w:p>
    <w:p w14:paraId="1238FB5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3C145B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3C145B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承包人应完善雇员的劳务注册手续，并与雇员订立劳动合同，明确双方的权利和义务。雇佣期间，承包人应做好下列工作：</w:t>
      </w:r>
    </w:p>
    <w:p w14:paraId="2F0F443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负责为雇员提供必要的食宿及各种生活设施，采取合理的卫生、劳动保护和安全防护措施，保证雇员的健康和安全；</w:t>
      </w:r>
    </w:p>
    <w:p w14:paraId="77B81B3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保障雇员的合法权利和人身安全，及时采取有效措施抢救和治疗施工中受伤害的雇员；</w:t>
      </w:r>
    </w:p>
    <w:p w14:paraId="6CF8D9C8">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充分考虑和保障雇员的休息时间和法定节假日休假时间，尊重雇员的宗教信仰和风俗习惯；</w:t>
      </w:r>
    </w:p>
    <w:p w14:paraId="21C7AE8A">
      <w:pPr>
        <w:widowControl w:val="0"/>
        <w:spacing w:line="360" w:lineRule="auto"/>
        <w:ind w:left="1850" w:leftChars="771"/>
        <w:jc w:val="both"/>
        <w:rPr>
          <w:rFonts w:ascii="仿宋" w:hAnsi="仿宋" w:eastAsia="仿宋" w:cs="仿宋"/>
          <w:strike/>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在施工现场主要出入口处设榜公布雇员工资发放时间和投诉电话。</w:t>
      </w:r>
    </w:p>
    <w:p w14:paraId="047FB8BB">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5</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办理雇员的意外伤害等一切保险，处理雇员因工伤亡事故的善后事宜。</w:t>
      </w:r>
    </w:p>
    <w:p w14:paraId="32DE942F">
      <w:pPr>
        <w:spacing w:line="360" w:lineRule="auto"/>
        <w:rPr>
          <w:rFonts w:ascii="仿宋" w:hAnsi="仿宋" w:eastAsia="仿宋"/>
          <w:b/>
          <w:bCs/>
          <w:color w:val="000000" w:themeColor="text1"/>
          <w:highlight w:val="none"/>
          <w:lang w:eastAsia="zh-CN"/>
          <w14:textFill>
            <w14:solidFill>
              <w14:schemeClr w14:val="tx1"/>
            </w14:solidFill>
          </w14:textFill>
        </w:rPr>
      </w:pPr>
      <w:bookmarkStart w:id="219" w:name="_Toc26563"/>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.4</w:t>
      </w:r>
      <w:bookmarkEnd w:id="219"/>
    </w:p>
    <w:p w14:paraId="1FE7960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5AE0F9C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5AE0F9C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2738B46">
      <w:pPr>
        <w:spacing w:line="360" w:lineRule="auto"/>
        <w:rPr>
          <w:rFonts w:ascii="仿宋" w:hAnsi="仿宋" w:eastAsia="仿宋"/>
          <w:b/>
          <w:bCs/>
          <w:color w:val="000000" w:themeColor="text1"/>
          <w:highlight w:val="none"/>
          <w:lang w:eastAsia="zh-CN"/>
          <w14:textFill>
            <w14:solidFill>
              <w14:schemeClr w14:val="tx1"/>
            </w14:solidFill>
          </w14:textFill>
        </w:rPr>
      </w:pPr>
      <w:bookmarkStart w:id="220" w:name="_Toc17666"/>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.5</w:t>
      </w:r>
      <w:bookmarkEnd w:id="220"/>
    </w:p>
    <w:p w14:paraId="75B2B22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2B3F57A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2B3F57AB">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63696512">
      <w:pPr>
        <w:spacing w:line="360" w:lineRule="auto"/>
        <w:rPr>
          <w:rFonts w:ascii="仿宋" w:hAnsi="仿宋" w:eastAsia="仿宋"/>
          <w:b/>
          <w:bCs/>
          <w:color w:val="000000" w:themeColor="text1"/>
          <w:highlight w:val="none"/>
          <w:lang w:eastAsia="zh-CN"/>
          <w14:textFill>
            <w14:solidFill>
              <w14:schemeClr w14:val="tx1"/>
            </w14:solidFill>
          </w14:textFill>
        </w:rPr>
      </w:pPr>
      <w:bookmarkStart w:id="221" w:name="_Toc27472"/>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.6</w:t>
      </w:r>
      <w:bookmarkEnd w:id="221"/>
    </w:p>
    <w:p w14:paraId="5D575AC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4AE4E3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4AE4E3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承包人的雇员应是在行业或职业内具有相应资格、技能和经验的人员。承包人应向施工场地派遣足够数量的下列雇员：</w:t>
      </w:r>
    </w:p>
    <w:p w14:paraId="7B415136">
      <w:pPr>
        <w:widowControl w:val="0"/>
        <w:numPr>
          <w:ilvl w:val="1"/>
          <w:numId w:val="7"/>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具有相应资格的专业技工和合格的普工；</w:t>
      </w:r>
    </w:p>
    <w:p w14:paraId="13D5802D">
      <w:pPr>
        <w:widowControl w:val="0"/>
        <w:numPr>
          <w:ilvl w:val="1"/>
          <w:numId w:val="7"/>
        </w:numPr>
        <w:tabs>
          <w:tab w:val="clear" w:pos="3285"/>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具有相应施工经验的技术人员；</w:t>
      </w:r>
    </w:p>
    <w:p w14:paraId="00A3060F">
      <w:pPr>
        <w:widowControl w:val="0"/>
        <w:numPr>
          <w:ilvl w:val="1"/>
          <w:numId w:val="7"/>
        </w:numPr>
        <w:tabs>
          <w:tab w:val="clear" w:pos="3285"/>
        </w:tabs>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具有相应岗位资格的各级管理人员。</w:t>
      </w:r>
    </w:p>
    <w:p w14:paraId="092C1A69">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 xml:space="preserve">.7  </w:t>
      </w:r>
    </w:p>
    <w:p w14:paraId="7BFDE10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5431A8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5431A8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承包人安排在施工场地的雇员应保持相对稳定，但有下列行为的任何承包人雇员，监理人可要求承包人将其撤换：</w:t>
      </w:r>
    </w:p>
    <w:p w14:paraId="55AE6EF8">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（1）日常行为不当，或工作漫不经心；</w:t>
      </w:r>
    </w:p>
    <w:p w14:paraId="1FE402C7">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无能力履行义务或玩忽职守；</w:t>
      </w:r>
    </w:p>
    <w:p w14:paraId="094B483D">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不遵守合同的约定；</w:t>
      </w:r>
    </w:p>
    <w:p w14:paraId="281F0BA0">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有损安全、健康和不利于环境保护的行为。</w:t>
      </w:r>
    </w:p>
    <w:p w14:paraId="4A0DCD32">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31</w:t>
      </w:r>
      <w:r>
        <w:rPr>
          <w:rFonts w:ascii="仿宋" w:hAnsi="仿宋" w:eastAsia="仿宋" w:cs="仿宋"/>
          <w:b/>
          <w:bCs/>
          <w:color w:val="000000" w:themeColor="text1"/>
          <w:highlight w:val="none"/>
          <w:lang w:eastAsia="zh-CN"/>
          <w14:textFill>
            <w14:solidFill>
              <w14:schemeClr w14:val="tx1"/>
            </w14:solidFill>
          </w14:textFill>
        </w:rPr>
        <w:t xml:space="preserve">.8  </w:t>
      </w:r>
    </w:p>
    <w:p w14:paraId="0E85C95D">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3A3945B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3A3945B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承包人应自始至终采取各种合理的预防措施，防止雇员内部发生打斗和任何无序、非法的不良行为，以确保现场安定和保护现场及邻近人员的生命、财产安全。</w:t>
      </w:r>
    </w:p>
    <w:p w14:paraId="3D8AB23A">
      <w:pPr>
        <w:spacing w:line="360" w:lineRule="auto"/>
        <w:rPr>
          <w:color w:val="000000" w:themeColor="text1"/>
          <w:highlight w:val="none"/>
          <w:lang w:eastAsia="zh-CN"/>
          <w14:textFill>
            <w14:solidFill>
              <w14:schemeClr w14:val="tx1"/>
            </w14:solidFill>
          </w14:textFill>
        </w:rPr>
      </w:pPr>
    </w:p>
    <w:p w14:paraId="0CE432D1">
      <w:pPr>
        <w:pStyle w:val="40"/>
        <w:adjustRightInd w:val="0"/>
        <w:snapToGrid w:val="0"/>
        <w:spacing w:line="360" w:lineRule="auto"/>
        <w:jc w:val="center"/>
        <w:outlineLvl w:val="1"/>
        <w:rPr>
          <w:rFonts w:ascii="仿宋" w:hAnsi="仿宋" w:eastAsia="仿宋"/>
          <w:b/>
          <w:bCs/>
          <w:color w:val="000000" w:themeColor="text1"/>
          <w:sz w:val="24"/>
          <w:szCs w:val="24"/>
          <w:highlight w:val="none"/>
          <w:lang w:eastAsia="zh-CN"/>
          <w14:textFill>
            <w14:solidFill>
              <w14:schemeClr w14:val="tx1"/>
            </w14:solidFill>
          </w14:textFill>
        </w:rPr>
      </w:pPr>
      <w:bookmarkStart w:id="222" w:name="_Toc149731463"/>
      <w:bookmarkStart w:id="223" w:name="_Toc7668"/>
      <w:r>
        <w:rPr>
          <w:rFonts w:hint="eastAsia" w:ascii="仿宋" w:hAnsi="仿宋" w:eastAsia="仿宋" w:cs="仿宋"/>
          <w:b/>
          <w:bCs/>
          <w:color w:val="000000" w:themeColor="text1"/>
          <w:sz w:val="24"/>
          <w:szCs w:val="24"/>
          <w:highlight w:val="none"/>
          <w:lang w:eastAsia="zh-CN"/>
          <w14:textFill>
            <w14:solidFill>
              <w14:schemeClr w14:val="tx1"/>
            </w14:solidFill>
          </w14:textFill>
        </w:rPr>
        <w:t>三、担保、保险与风险</w:t>
      </w:r>
      <w:bookmarkEnd w:id="222"/>
      <w:bookmarkEnd w:id="223"/>
    </w:p>
    <w:p w14:paraId="297E23F0">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24" w:name="_Toc149731464"/>
      <w:bookmarkStart w:id="225" w:name="_Toc11128"/>
      <w:r>
        <w:rPr>
          <w:rFonts w:hint="eastAsia" w:ascii="仿宋" w:hAnsi="仿宋" w:eastAsia="仿宋" w:cs="仿宋"/>
          <w:bCs w:val="0"/>
          <w:color w:val="000000" w:themeColor="text1"/>
          <w:sz w:val="24"/>
          <w:szCs w:val="24"/>
          <w:highlight w:val="none"/>
          <w:lang w:eastAsia="zh-CN"/>
          <w14:textFill>
            <w14:solidFill>
              <w14:schemeClr w14:val="tx1"/>
            </w14:solidFill>
          </w14:textFill>
        </w:rPr>
        <w:t>32工程担保</w:t>
      </w:r>
      <w:bookmarkEnd w:id="224"/>
      <w:bookmarkEnd w:id="225"/>
    </w:p>
    <w:p w14:paraId="673587E0">
      <w:pPr>
        <w:pStyle w:val="40"/>
        <w:tabs>
          <w:tab w:val="left" w:pos="1320"/>
        </w:tabs>
        <w:adjustRightInd w:val="0"/>
        <w:snapToGrid w:val="0"/>
        <w:spacing w:line="360" w:lineRule="auto"/>
        <w:ind w:right="-240"/>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32</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0BAA867A">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0F122E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0F122E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000000" w:themeColor="text1"/>
          <w:highlight w:val="none"/>
          <w:shd w:val="clear" w:color="auto" w:fill="FFFFFF"/>
          <w:lang w:eastAsia="zh-CN"/>
          <w14:textFill>
            <w14:solidFill>
              <w14:schemeClr w14:val="tx1"/>
            </w14:solidFill>
          </w14:textFill>
        </w:rPr>
        <w:t>履约保证保险</w:t>
      </w:r>
      <w:r>
        <w:rPr>
          <w:rFonts w:hint="eastAsia" w:ascii="仿宋" w:hAnsi="仿宋" w:eastAsia="仿宋" w:cs="仿宋"/>
          <w:color w:val="000000" w:themeColor="text1"/>
          <w:highlight w:val="none"/>
          <w:lang w:eastAsia="zh-CN"/>
          <w14:textFill>
            <w14:solidFill>
              <w14:schemeClr w14:val="tx1"/>
            </w14:solidFill>
          </w14:textFill>
        </w:rPr>
        <w:t>的形式，提供履约保函、担保公司担保、</w:t>
      </w:r>
      <w:r>
        <w:rPr>
          <w:rFonts w:hint="eastAsia" w:ascii="仿宋" w:hAnsi="仿宋" w:eastAsia="仿宋" w:cs="仿宋"/>
          <w:color w:val="000000" w:themeColor="text1"/>
          <w:highlight w:val="none"/>
          <w:shd w:val="clear" w:color="auto" w:fill="FFFFFF"/>
          <w:lang w:eastAsia="zh-CN"/>
          <w14:textFill>
            <w14:solidFill>
              <w14:schemeClr w14:val="tx1"/>
            </w14:solidFill>
          </w14:textFill>
        </w:rPr>
        <w:t>履约保证保险</w:t>
      </w:r>
      <w:r>
        <w:rPr>
          <w:rFonts w:hint="eastAsia" w:ascii="仿宋" w:hAnsi="仿宋" w:eastAsia="仿宋" w:cs="仿宋"/>
          <w:color w:val="000000" w:themeColor="text1"/>
          <w:highlight w:val="none"/>
          <w:lang w:eastAsia="zh-CN"/>
          <w14:textFill>
            <w14:solidFill>
              <w14:schemeClr w14:val="tx1"/>
            </w14:solidFill>
          </w14:textFill>
        </w:rPr>
        <w:t>所发生的费用由承包人承担。</w:t>
      </w:r>
    </w:p>
    <w:p w14:paraId="27F5B197">
      <w:pPr>
        <w:spacing w:line="360" w:lineRule="auto"/>
        <w:rPr>
          <w:rFonts w:ascii="仿宋" w:hAnsi="仿宋" w:eastAsia="仿宋"/>
          <w:b/>
          <w:bCs/>
          <w:color w:val="000000" w:themeColor="text1"/>
          <w:highlight w:val="none"/>
          <w:lang w:eastAsia="zh-CN"/>
          <w14:textFill>
            <w14:solidFill>
              <w14:schemeClr w14:val="tx1"/>
            </w14:solidFill>
          </w14:textFill>
        </w:rPr>
      </w:pPr>
      <w:bookmarkStart w:id="226" w:name="_Toc31260"/>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65D6E6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65D6E6F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.2</w:t>
      </w:r>
      <w:bookmarkEnd w:id="226"/>
    </w:p>
    <w:p w14:paraId="17AABB5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履约担保的有效期，是从提供履约担保之日起至合同工程竣工验收合格之日止。担保有效期满后，发包人应在收到承包人退保申请后的</w:t>
      </w:r>
      <w:r>
        <w:rPr>
          <w:rFonts w:ascii="仿宋" w:hAnsi="仿宋" w:eastAsia="仿宋" w:cs="仿宋"/>
          <w:color w:val="000000" w:themeColor="text1"/>
          <w:highlight w:val="none"/>
          <w:lang w:eastAsia="zh-CN"/>
          <w14:textFill>
            <w14:solidFill>
              <w14:schemeClr w14:val="tx1"/>
            </w14:solidFill>
          </w14:textFill>
        </w:rPr>
        <w:t xml:space="preserve">14 </w:t>
      </w:r>
      <w:r>
        <w:rPr>
          <w:rFonts w:hint="eastAsia" w:ascii="仿宋" w:hAnsi="仿宋" w:eastAsia="仿宋" w:cs="仿宋"/>
          <w:color w:val="000000" w:themeColor="text1"/>
          <w:highlight w:val="none"/>
          <w:lang w:eastAsia="zh-CN"/>
          <w14:textFill>
            <w14:solidFill>
              <w14:schemeClr w14:val="tx1"/>
            </w14:solidFill>
          </w14:textFill>
        </w:rPr>
        <w:t>天内将此担保退还给承包人。</w:t>
      </w:r>
    </w:p>
    <w:p w14:paraId="0BE17EAE">
      <w:pPr>
        <w:spacing w:line="360" w:lineRule="auto"/>
        <w:rPr>
          <w:rFonts w:ascii="仿宋" w:hAnsi="仿宋" w:eastAsia="仿宋"/>
          <w:b/>
          <w:bCs/>
          <w:color w:val="000000" w:themeColor="text1"/>
          <w:highlight w:val="none"/>
          <w:lang w:eastAsia="zh-CN"/>
          <w14:textFill>
            <w14:solidFill>
              <w14:schemeClr w14:val="tx1"/>
            </w14:solidFill>
          </w14:textFill>
        </w:rPr>
      </w:pPr>
      <w:bookmarkStart w:id="227" w:name="_Toc27420"/>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3ED570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3ED5703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.3</w:t>
      </w:r>
      <w:bookmarkEnd w:id="227"/>
    </w:p>
    <w:p w14:paraId="64C581AC">
      <w:pPr>
        <w:widowControl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080C80A0">
      <w:pPr>
        <w:spacing w:line="360" w:lineRule="auto"/>
        <w:rPr>
          <w:rFonts w:ascii="仿宋" w:hAnsi="仿宋" w:eastAsia="仿宋"/>
          <w:b/>
          <w:bCs/>
          <w:color w:val="000000" w:themeColor="text1"/>
          <w:highlight w:val="none"/>
          <w:lang w:eastAsia="zh-CN"/>
          <w14:textFill>
            <w14:solidFill>
              <w14:schemeClr w14:val="tx1"/>
            </w14:solidFill>
          </w14:textFill>
        </w:rPr>
      </w:pPr>
      <w:bookmarkStart w:id="228" w:name="_Toc32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3BD5C2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3BD5C2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.4</w:t>
      </w:r>
      <w:bookmarkEnd w:id="228"/>
    </w:p>
    <w:p w14:paraId="62AF2522">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承包人按照第32</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000000" w:themeColor="text1"/>
          <w:highlight w:val="none"/>
          <w:shd w:val="clear" w:color="auto" w:fill="FFFFFF"/>
          <w:lang w:eastAsia="zh-CN"/>
          <w14:textFill>
            <w14:solidFill>
              <w14:schemeClr w14:val="tx1"/>
            </w14:solidFill>
          </w14:textFill>
        </w:rPr>
        <w:t>支付保证保险</w:t>
      </w:r>
      <w:r>
        <w:rPr>
          <w:rFonts w:hint="eastAsia" w:ascii="仿宋" w:hAnsi="仿宋" w:eastAsia="仿宋" w:cs="仿宋"/>
          <w:color w:val="000000" w:themeColor="text1"/>
          <w:highlight w:val="none"/>
          <w:lang w:eastAsia="zh-CN"/>
          <w14:textFill>
            <w14:solidFill>
              <w14:schemeClr w14:val="tx1"/>
            </w14:solidFill>
          </w14:textFill>
        </w:rPr>
        <w:t>的形式，提供支付保函、担保公司担保、</w:t>
      </w:r>
      <w:r>
        <w:rPr>
          <w:rFonts w:hint="eastAsia" w:ascii="仿宋" w:hAnsi="仿宋" w:eastAsia="仿宋" w:cs="仿宋"/>
          <w:color w:val="000000" w:themeColor="text1"/>
          <w:highlight w:val="none"/>
          <w:shd w:val="clear" w:color="auto" w:fill="FFFFFF"/>
          <w:lang w:eastAsia="zh-CN"/>
          <w14:textFill>
            <w14:solidFill>
              <w14:schemeClr w14:val="tx1"/>
            </w14:solidFill>
          </w14:textFill>
        </w:rPr>
        <w:t>支付保证保险</w:t>
      </w:r>
      <w:r>
        <w:rPr>
          <w:rFonts w:hint="eastAsia" w:ascii="仿宋" w:hAnsi="仿宋" w:eastAsia="仿宋" w:cs="仿宋"/>
          <w:color w:val="000000" w:themeColor="text1"/>
          <w:highlight w:val="none"/>
          <w:lang w:eastAsia="zh-CN"/>
          <w14:textFill>
            <w14:solidFill>
              <w14:schemeClr w14:val="tx1"/>
            </w14:solidFill>
          </w14:textFill>
        </w:rPr>
        <w:t>所发生的费用由发包人承担。</w:t>
      </w:r>
    </w:p>
    <w:p w14:paraId="74306D3A">
      <w:pPr>
        <w:spacing w:line="360" w:lineRule="auto"/>
        <w:rPr>
          <w:rFonts w:ascii="仿宋" w:hAnsi="仿宋" w:eastAsia="仿宋"/>
          <w:b/>
          <w:bCs/>
          <w:color w:val="000000" w:themeColor="text1"/>
          <w:highlight w:val="none"/>
          <w:lang w:eastAsia="zh-CN"/>
          <w14:textFill>
            <w14:solidFill>
              <w14:schemeClr w14:val="tx1"/>
            </w14:solidFill>
          </w14:textFill>
        </w:rPr>
      </w:pPr>
      <w:bookmarkStart w:id="229" w:name="_Toc11769"/>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7D98D4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7D98D4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.5</w:t>
      </w:r>
      <w:bookmarkEnd w:id="229"/>
    </w:p>
    <w:p w14:paraId="00DB4F2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支付担保的有效期，是从提供支付担保之日起至发包人根据本合同约定支付完除质量保证金以外的全部款项之日止。承包人应在担保有效期满后的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天内将此担保退还给发包人。</w:t>
      </w:r>
    </w:p>
    <w:p w14:paraId="787808B1">
      <w:pPr>
        <w:spacing w:line="360" w:lineRule="auto"/>
        <w:rPr>
          <w:rFonts w:ascii="仿宋" w:hAnsi="仿宋" w:eastAsia="仿宋"/>
          <w:b/>
          <w:bCs/>
          <w:color w:val="000000" w:themeColor="text1"/>
          <w:highlight w:val="none"/>
          <w:lang w:eastAsia="zh-CN"/>
          <w14:textFill>
            <w14:solidFill>
              <w14:schemeClr w14:val="tx1"/>
            </w14:solidFill>
          </w14:textFill>
        </w:rPr>
      </w:pPr>
      <w:bookmarkStart w:id="230" w:name="_Toc6720"/>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69E809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69E809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.6</w:t>
      </w:r>
      <w:bookmarkEnd w:id="230"/>
    </w:p>
    <w:p w14:paraId="2FF26EBB">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028EC7B1">
      <w:pPr>
        <w:spacing w:line="360" w:lineRule="auto"/>
        <w:rPr>
          <w:rFonts w:ascii="仿宋" w:hAnsi="仿宋" w:eastAsia="仿宋"/>
          <w:b/>
          <w:bCs/>
          <w:color w:val="000000" w:themeColor="text1"/>
          <w:highlight w:val="none"/>
          <w:lang w:eastAsia="zh-CN"/>
          <w14:textFill>
            <w14:solidFill>
              <w14:schemeClr w14:val="tx1"/>
            </w14:solidFill>
          </w14:textFill>
        </w:rPr>
      </w:pPr>
      <w:bookmarkStart w:id="231" w:name="_Toc32372"/>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7CA241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7CA2410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.7</w:t>
      </w:r>
      <w:bookmarkEnd w:id="231"/>
    </w:p>
    <w:p w14:paraId="3A8F76EA">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合同双方当事人均应确保合同工程担保有效期符合工期合理顺延的要求。若合同一方当事人未能保证延长担保有效期，另一方当事人可向其索赔担保的全部金额。</w:t>
      </w:r>
    </w:p>
    <w:p w14:paraId="2CD1CFE5">
      <w:pPr>
        <w:spacing w:line="360" w:lineRule="auto"/>
        <w:rPr>
          <w:rFonts w:ascii="仿宋" w:hAnsi="仿宋" w:eastAsia="仿宋"/>
          <w:b/>
          <w:bCs/>
          <w:color w:val="000000" w:themeColor="text1"/>
          <w:highlight w:val="none"/>
          <w:lang w:eastAsia="zh-CN"/>
          <w14:textFill>
            <w14:solidFill>
              <w14:schemeClr w14:val="tx1"/>
            </w14:solidFill>
          </w14:textFill>
        </w:rPr>
      </w:pPr>
      <w:bookmarkStart w:id="232" w:name="_Toc5677"/>
      <w:r>
        <w:rPr>
          <w:rFonts w:hint="eastAsia" w:ascii="仿宋" w:hAnsi="仿宋" w:eastAsia="仿宋" w:cs="仿宋"/>
          <w:b/>
          <w:bCs/>
          <w:color w:val="000000" w:themeColor="text1"/>
          <w:highlight w:val="none"/>
          <w:lang w:eastAsia="zh-CN"/>
          <w14:textFill>
            <w14:solidFill>
              <w14:schemeClr w14:val="tx1"/>
            </w14:solidFill>
          </w14:textFill>
        </w:rPr>
        <w:t>32</w:t>
      </w:r>
      <w:r>
        <w:rPr>
          <w:rFonts w:ascii="仿宋" w:hAnsi="仿宋" w:eastAsia="仿宋" w:cs="仿宋"/>
          <w:b/>
          <w:bCs/>
          <w:color w:val="000000" w:themeColor="text1"/>
          <w:highlight w:val="none"/>
          <w:lang w:eastAsia="zh-CN"/>
          <w14:textFill>
            <w14:solidFill>
              <w14:schemeClr w14:val="tx1"/>
            </w14:solidFill>
          </w14:textFill>
        </w:rPr>
        <w:t>.8</w:t>
      </w:r>
      <w:bookmarkEnd w:id="232"/>
    </w:p>
    <w:p w14:paraId="0821495B">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05A1F2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05A1F2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合同双方当事人在专用条款中约定担保内容、方式和责任等事项，并签订担保合同，作为本合同附件。</w:t>
      </w:r>
    </w:p>
    <w:p w14:paraId="0007CE47">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46811F55">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33" w:name="_Toc10915"/>
      <w:bookmarkStart w:id="234" w:name="_Toc149731465"/>
      <w:r>
        <w:rPr>
          <w:rFonts w:hint="eastAsia" w:ascii="仿宋" w:hAnsi="仿宋" w:eastAsia="仿宋" w:cs="仿宋"/>
          <w:bCs w:val="0"/>
          <w:color w:val="000000" w:themeColor="text1"/>
          <w:sz w:val="24"/>
          <w:szCs w:val="24"/>
          <w:highlight w:val="none"/>
          <w:lang w:eastAsia="zh-CN"/>
          <w14:textFill>
            <w14:solidFill>
              <w14:schemeClr w14:val="tx1"/>
            </w14:solidFill>
          </w14:textFill>
        </w:rPr>
        <w:t>33发包人风险</w:t>
      </w:r>
      <w:bookmarkEnd w:id="233"/>
      <w:bookmarkEnd w:id="234"/>
    </w:p>
    <w:p w14:paraId="629BD9CB">
      <w:pPr>
        <w:pStyle w:val="40"/>
        <w:adjustRightInd w:val="0"/>
        <w:snapToGrid w:val="0"/>
        <w:spacing w:line="360" w:lineRule="auto"/>
        <w:ind w:right="-240"/>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516647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516647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33</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0FFF2707">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发包人应承担本合同中约定应由发包人承担的风险。</w:t>
      </w:r>
    </w:p>
    <w:p w14:paraId="4A88E8B2">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33</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0153D480">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19A854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19A854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自本项目工程总承包范围首要工作（如勘察）开始工作之日起至颁发工程接收证书之日止，发包人风险包括：</w:t>
      </w:r>
    </w:p>
    <w:p w14:paraId="080BF231">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由非承</w:t>
      </w:r>
      <w:r>
        <w:rPr>
          <w:rFonts w:hint="eastAsia" w:ascii="仿宋" w:hAnsi="仿宋" w:eastAsia="仿宋"/>
          <w:color w:val="000000" w:themeColor="text1"/>
          <w:sz w:val="24"/>
          <w:szCs w:val="24"/>
          <w:highlight w:val="none"/>
          <w:lang w:eastAsia="zh-CN"/>
          <w14:textFill>
            <w14:solidFill>
              <w14:schemeClr w14:val="tx1"/>
            </w14:solidFill>
          </w14:textFill>
        </w:rPr>
        <w:t>包人原因导致的勘察、设计等工作延误、暂停或终止；</w:t>
      </w:r>
    </w:p>
    <w:p w14:paraId="4D57046A">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olor w:val="000000" w:themeColor="text1"/>
          <w:sz w:val="24"/>
          <w:szCs w:val="24"/>
          <w:highlight w:val="none"/>
          <w:lang w:eastAsia="zh-CN"/>
          <w14:textFill>
            <w14:solidFill>
              <w14:schemeClr w14:val="tx1"/>
            </w14:solidFill>
          </w14:textFill>
        </w:rPr>
        <w:t>由非承包人原因导致的勘察、设计等工作缺陷；</w:t>
      </w:r>
    </w:p>
    <w:p w14:paraId="1E5127D8">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由于永久工程本身或施工而不可避免造成的财产（除工程本身、工程材料、工程设备和施工设备外）损失或损坏；</w:t>
      </w:r>
    </w:p>
    <w:p w14:paraId="2A7256A6">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由于发包人工作人员及其相关人员（除承包人外）的疏忽或违规造成的人员伤亡、财产损失或损坏；</w:t>
      </w:r>
    </w:p>
    <w:p w14:paraId="7F72D539">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由于发包人提前使用或占用永久工程或其部分造成的损失或损坏；</w:t>
      </w:r>
    </w:p>
    <w:p w14:paraId="736AF160">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由于发包人提供或发包人负责的设计造成的对永久工程、工程材料、工程设备和施工设备的损失或损害；</w:t>
      </w:r>
    </w:p>
    <w:p w14:paraId="68BAF1E0">
      <w:pPr>
        <w:pStyle w:val="40"/>
        <w:widowControl w:val="0"/>
        <w:numPr>
          <w:ilvl w:val="0"/>
          <w:numId w:val="8"/>
        </w:numPr>
        <w:tabs>
          <w:tab w:val="clear" w:pos="2609"/>
        </w:tabs>
        <w:adjustRightInd w:val="0"/>
        <w:snapToGrid w:val="0"/>
        <w:spacing w:line="360" w:lineRule="auto"/>
        <w:ind w:left="1850" w:leftChars="771" w:firstLine="0"/>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由于地质、邻近建筑物、古树名木等发包人和第三方责任人原因造成施工过程中费用的增加；</w:t>
      </w:r>
    </w:p>
    <w:p w14:paraId="66DDFDE8">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专用条款约定由发包人承担的物价上涨等非承包人原因造成施工过程中费用的增加；</w:t>
      </w:r>
    </w:p>
    <w:p w14:paraId="6D629DD2">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其他风险。</w:t>
      </w:r>
    </w:p>
    <w:p w14:paraId="7B4D7ABF">
      <w:pPr>
        <w:pStyle w:val="40"/>
        <w:adjustRightInd w:val="0"/>
        <w:snapToGrid w:val="0"/>
        <w:spacing w:line="360" w:lineRule="auto"/>
        <w:rPr>
          <w:rFonts w:ascii="仿宋" w:hAnsi="仿宋" w:eastAsia="仿宋" w:cs="仿宋"/>
          <w:color w:val="000000" w:themeColor="text1"/>
          <w:sz w:val="24"/>
          <w:szCs w:val="24"/>
          <w:highlight w:val="none"/>
          <w:u w:val="single"/>
          <w:lang w:eastAsia="zh-CN"/>
          <w14:textFill>
            <w14:solidFill>
              <w14:schemeClr w14:val="tx1"/>
            </w14:solidFill>
          </w14:textFill>
        </w:rPr>
      </w:pPr>
    </w:p>
    <w:p w14:paraId="666ADC28">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14:textFill>
            <w14:solidFill>
              <w14:schemeClr w14:val="tx1"/>
            </w14:solidFill>
          </w14:textFill>
        </w:rPr>
      </w:pPr>
      <w:bookmarkStart w:id="235" w:name="_Toc10286"/>
      <w:bookmarkStart w:id="236" w:name="_Toc149731466"/>
      <w:r>
        <w:rPr>
          <w:rFonts w:ascii="仿宋" w:hAnsi="仿宋" w:eastAsia="仿宋" w:cs="仿宋"/>
          <w:bCs w:val="0"/>
          <w:color w:val="000000" w:themeColor="text1"/>
          <w:sz w:val="24"/>
          <w:szCs w:val="24"/>
          <w:highlight w:val="none"/>
          <w14:textFill>
            <w14:solidFill>
              <w14:schemeClr w14:val="tx1"/>
            </w14:solidFill>
          </w14:textFill>
        </w:rPr>
        <w:t>3</w:t>
      </w:r>
      <w:r>
        <w:rPr>
          <w:rFonts w:hint="eastAsia" w:ascii="仿宋" w:hAnsi="仿宋" w:eastAsia="仿宋" w:cs="仿宋"/>
          <w:bCs w:val="0"/>
          <w:color w:val="000000" w:themeColor="text1"/>
          <w:sz w:val="24"/>
          <w:szCs w:val="24"/>
          <w:highlight w:val="none"/>
          <w14:textFill>
            <w14:solidFill>
              <w14:schemeClr w14:val="tx1"/>
            </w14:solidFill>
          </w14:textFill>
        </w:rPr>
        <w:t>4承包人风险</w:t>
      </w:r>
      <w:bookmarkEnd w:id="235"/>
      <w:bookmarkEnd w:id="236"/>
    </w:p>
    <w:p w14:paraId="2C8CE497">
      <w:pPr>
        <w:pStyle w:val="40"/>
        <w:tabs>
          <w:tab w:val="left" w:pos="1320"/>
          <w:tab w:val="left" w:pos="144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44AE9F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44AE9F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342A4A93">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承包人应承担本合同中约定应由承包人承担的风险。</w:t>
      </w:r>
    </w:p>
    <w:p w14:paraId="557BBB73">
      <w:pPr>
        <w:pStyle w:val="40"/>
        <w:tabs>
          <w:tab w:val="left" w:pos="1320"/>
          <w:tab w:val="left" w:pos="1440"/>
        </w:tabs>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6E7ED6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6E7ED6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06D300A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自本项目工程总承包范围首要工作（如勘察）开始工作之日起直到颁发工程接收证书之日止，承包人风险为：除第33条和第</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5条以外的人员伤亡以及财产（包括但不限于合同工程、工程材料、工程设备和施工设备）的损失或损坏。</w:t>
      </w:r>
    </w:p>
    <w:p w14:paraId="67CC99EC">
      <w:pPr>
        <w:pStyle w:val="40"/>
        <w:adjustRightInd w:val="0"/>
        <w:snapToGrid w:val="0"/>
        <w:spacing w:line="360" w:lineRule="auto"/>
        <w:ind w:right="-240"/>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2F39E6BA">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37" w:name="_Toc10201"/>
      <w:bookmarkStart w:id="238" w:name="_Toc149731467"/>
      <w:r>
        <w:rPr>
          <w:rFonts w:ascii="仿宋" w:hAnsi="仿宋" w:eastAsia="仿宋" w:cs="仿宋"/>
          <w:bCs w:val="0"/>
          <w:color w:val="000000" w:themeColor="text1"/>
          <w:sz w:val="24"/>
          <w:szCs w:val="24"/>
          <w:highlight w:val="none"/>
          <w:lang w:eastAsia="zh-CN"/>
          <w14:textFill>
            <w14:solidFill>
              <w14:schemeClr w14:val="tx1"/>
            </w14:solidFill>
          </w14:textFill>
        </w:rPr>
        <w:t>3</w:t>
      </w:r>
      <w:r>
        <w:rPr>
          <w:rFonts w:hint="eastAsia" w:ascii="仿宋" w:hAnsi="仿宋" w:eastAsia="仿宋" w:cs="仿宋"/>
          <w:bCs w:val="0"/>
          <w:color w:val="000000" w:themeColor="text1"/>
          <w:sz w:val="24"/>
          <w:szCs w:val="24"/>
          <w:highlight w:val="none"/>
          <w:lang w:eastAsia="zh-CN"/>
          <w14:textFill>
            <w14:solidFill>
              <w14:schemeClr w14:val="tx1"/>
            </w14:solidFill>
          </w14:textFill>
        </w:rPr>
        <w:t>5不可抗力</w:t>
      </w:r>
      <w:bookmarkEnd w:id="237"/>
      <w:bookmarkEnd w:id="238"/>
    </w:p>
    <w:p w14:paraId="5B5527F0">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6CEA0F2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494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3011171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494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3011171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6A53693C">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1CF91391">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355082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355082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天内，承包人向监理人通报受害情况和损失情况，并预计清理和修复的费用，抄送造价咨询人。不可抗力事项持续发生，承包人应每隔</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天向监理人和造价咨询人报告一次受害情况。不可抗力事项结束后的</w:t>
      </w:r>
      <w:r>
        <w:rPr>
          <w:rFonts w:ascii="仿宋" w:hAnsi="仿宋" w:eastAsia="仿宋" w:cs="仿宋"/>
          <w:color w:val="000000" w:themeColor="text1"/>
          <w:highlight w:val="none"/>
          <w:lang w:eastAsia="zh-CN"/>
          <w14:textFill>
            <w14:solidFill>
              <w14:schemeClr w14:val="tx1"/>
            </w14:solidFill>
          </w14:textFill>
        </w:rPr>
        <w:t>28</w:t>
      </w:r>
      <w:r>
        <w:rPr>
          <w:rFonts w:hint="eastAsia" w:ascii="仿宋" w:hAnsi="仿宋" w:eastAsia="仿宋" w:cs="仿宋"/>
          <w:color w:val="000000" w:themeColor="text1"/>
          <w:highlight w:val="none"/>
          <w:lang w:eastAsia="zh-CN"/>
          <w14:textFill>
            <w14:solidFill>
              <w14:schemeClr w14:val="tx1"/>
            </w14:solidFill>
          </w14:textFill>
        </w:rPr>
        <w:t>天内，承包人应分别按照第43条、第80条约定索赔工期、费用。</w:t>
      </w:r>
    </w:p>
    <w:p w14:paraId="1A706351">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649ED265">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20B682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20B682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因不可抗力事项导致的费用，由合同双方当事人按照下列约定承担，并相应调整合同价格：</w:t>
      </w:r>
    </w:p>
    <w:p w14:paraId="3BFA60D5">
      <w:pPr>
        <w:pStyle w:val="40"/>
        <w:widowControl w:val="0"/>
        <w:numPr>
          <w:ilvl w:val="0"/>
          <w:numId w:val="9"/>
        </w:numPr>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永久工程本身的损害、已运至施工场地的工程材料和工程设备的损害，以及因工程损害导致第三者人员伤亡和财产损失，由发包人承担；</w:t>
      </w:r>
    </w:p>
    <w:p w14:paraId="0F6193B0">
      <w:pPr>
        <w:pStyle w:val="40"/>
        <w:widowControl w:val="0"/>
        <w:numPr>
          <w:ilvl w:val="0"/>
          <w:numId w:val="9"/>
        </w:numPr>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承包人施工设备和用于合同工程的周转材料损坏以及停工损失，由承包人承担；发包人提供的施工设备损坏，由发包人承担；</w:t>
      </w:r>
    </w:p>
    <w:p w14:paraId="2D6B8548">
      <w:pPr>
        <w:pStyle w:val="40"/>
        <w:widowControl w:val="0"/>
        <w:numPr>
          <w:ilvl w:val="0"/>
          <w:numId w:val="9"/>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施工场地内的人员伤亡和本款第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）点、第</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）点以外财产损失及其相关费用，由合同双方当事人各自承担；</w:t>
      </w:r>
    </w:p>
    <w:p w14:paraId="10E4D36E">
      <w:pPr>
        <w:pStyle w:val="40"/>
        <w:widowControl w:val="0"/>
        <w:numPr>
          <w:ilvl w:val="0"/>
          <w:numId w:val="9"/>
        </w:numPr>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停工期间，承包人应监理工程师要求照管工程的费用，由发包人承担；</w:t>
      </w:r>
    </w:p>
    <w:p w14:paraId="358FE63F">
      <w:pPr>
        <w:pStyle w:val="40"/>
        <w:widowControl w:val="0"/>
        <w:numPr>
          <w:ilvl w:val="0"/>
          <w:numId w:val="9"/>
        </w:numPr>
        <w:adjustRightInd w:val="0"/>
        <w:snapToGrid w:val="0"/>
        <w:spacing w:line="360" w:lineRule="auto"/>
        <w:ind w:left="2328" w:leftChars="772" w:hanging="475" w:hangingChars="198"/>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工程所需的清理、修复费用，由发包人承担。</w:t>
      </w:r>
    </w:p>
    <w:p w14:paraId="6C80DD12">
      <w:pPr>
        <w:spacing w:line="360" w:lineRule="auto"/>
        <w:rPr>
          <w:rFonts w:ascii="仿宋" w:hAnsi="仿宋" w:eastAsia="仿宋"/>
          <w:b/>
          <w:bCs/>
          <w:color w:val="000000" w:themeColor="text1"/>
          <w:highlight w:val="none"/>
          <w:lang w:eastAsia="zh-CN"/>
          <w14:textFill>
            <w14:solidFill>
              <w14:schemeClr w14:val="tx1"/>
            </w14:solidFill>
          </w14:textFill>
        </w:rPr>
      </w:pPr>
      <w:bookmarkStart w:id="239" w:name="_Toc1866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5B99402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5B99402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3</w:t>
      </w:r>
      <w:r>
        <w:rPr>
          <w:rFonts w:hint="eastAsia" w:ascii="仿宋" w:hAnsi="仿宋" w:eastAsia="仿宋" w:cs="仿宋"/>
          <w:b/>
          <w:bCs/>
          <w:color w:val="000000" w:themeColor="text1"/>
          <w:highlight w:val="none"/>
          <w:lang w:eastAsia="zh-CN"/>
          <w14:textFill>
            <w14:solidFill>
              <w14:schemeClr w14:val="tx1"/>
            </w14:solidFill>
          </w14:textFill>
        </w:rPr>
        <w:t>5</w:t>
      </w:r>
      <w:r>
        <w:rPr>
          <w:rFonts w:ascii="仿宋" w:hAnsi="仿宋" w:eastAsia="仿宋" w:cs="仿宋"/>
          <w:b/>
          <w:bCs/>
          <w:color w:val="000000" w:themeColor="text1"/>
          <w:highlight w:val="none"/>
          <w:lang w:eastAsia="zh-CN"/>
          <w14:textFill>
            <w14:solidFill>
              <w14:schemeClr w14:val="tx1"/>
            </w14:solidFill>
          </w14:textFill>
        </w:rPr>
        <w:t>.4</w:t>
      </w:r>
      <w:bookmarkEnd w:id="239"/>
    </w:p>
    <w:p w14:paraId="26ADE1BE">
      <w:pPr>
        <w:widowControl w:val="0"/>
        <w:spacing w:line="360" w:lineRule="auto"/>
        <w:ind w:left="1850" w:leftChars="771"/>
        <w:jc w:val="both"/>
        <w:rPr>
          <w:rFonts w:ascii="仿宋" w:hAnsi="仿宋" w:eastAsia="仿宋"/>
          <w:d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因发生不可抗力事项导致工期延误的，工期相应顺延；不能按期竣工的，承包人无需为此支付任何误期赔偿费。发包人要求赶工的，承包人应采取赶工措施，赶工费用由发包人支付。</w:t>
      </w:r>
    </w:p>
    <w:p w14:paraId="77BA0691">
      <w:pPr>
        <w:spacing w:line="360" w:lineRule="auto"/>
        <w:rPr>
          <w:rFonts w:ascii="仿宋" w:hAnsi="仿宋" w:eastAsia="仿宋"/>
          <w:b/>
          <w:bCs/>
          <w:color w:val="000000" w:themeColor="text1"/>
          <w:highlight w:val="none"/>
          <w:lang w:eastAsia="zh-CN"/>
          <w14:textFill>
            <w14:solidFill>
              <w14:schemeClr w14:val="tx1"/>
            </w14:solidFill>
          </w14:textFill>
        </w:rPr>
      </w:pPr>
      <w:bookmarkStart w:id="240" w:name="_Toc30872"/>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17360B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17360B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3</w:t>
      </w:r>
      <w:r>
        <w:rPr>
          <w:rFonts w:hint="eastAsia" w:ascii="仿宋" w:hAnsi="仿宋" w:eastAsia="仿宋" w:cs="仿宋"/>
          <w:b/>
          <w:bCs/>
          <w:color w:val="000000" w:themeColor="text1"/>
          <w:highlight w:val="none"/>
          <w:lang w:eastAsia="zh-CN"/>
          <w14:textFill>
            <w14:solidFill>
              <w14:schemeClr w14:val="tx1"/>
            </w14:solidFill>
          </w14:textFill>
        </w:rPr>
        <w:t>5</w:t>
      </w:r>
      <w:r>
        <w:rPr>
          <w:rFonts w:ascii="仿宋" w:hAnsi="仿宋" w:eastAsia="仿宋" w:cs="仿宋"/>
          <w:b/>
          <w:bCs/>
          <w:color w:val="000000" w:themeColor="text1"/>
          <w:highlight w:val="none"/>
          <w:lang w:eastAsia="zh-CN"/>
          <w14:textFill>
            <w14:solidFill>
              <w14:schemeClr w14:val="tx1"/>
            </w14:solidFill>
          </w14:textFill>
        </w:rPr>
        <w:t>.5</w:t>
      </w:r>
      <w:bookmarkEnd w:id="240"/>
    </w:p>
    <w:p w14:paraId="369AF2FF">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合同任何一方当事人延迟履行合同后发生不可抗力事项的，不能免除其因不可抗力给另一方当事人造成损失的责任。</w:t>
      </w:r>
    </w:p>
    <w:p w14:paraId="7168E019">
      <w:pPr>
        <w:spacing w:line="360" w:lineRule="auto"/>
        <w:rPr>
          <w:rFonts w:ascii="仿宋" w:hAnsi="仿宋" w:eastAsia="仿宋"/>
          <w:b/>
          <w:bCs/>
          <w:color w:val="000000" w:themeColor="text1"/>
          <w:highlight w:val="none"/>
          <w:lang w:eastAsia="zh-CN"/>
          <w14:textFill>
            <w14:solidFill>
              <w14:schemeClr w14:val="tx1"/>
            </w14:solidFill>
          </w14:textFill>
        </w:rPr>
      </w:pPr>
      <w:bookmarkStart w:id="241" w:name="_Toc8778"/>
      <w:r>
        <w:rPr>
          <w:rFonts w:ascii="仿宋" w:hAnsi="仿宋" w:eastAsia="仿宋" w:cs="仿宋"/>
          <w:b/>
          <w:bCs/>
          <w:color w:val="000000" w:themeColor="text1"/>
          <w:highlight w:val="none"/>
          <w:lang w:eastAsia="zh-CN"/>
          <w14:textFill>
            <w14:solidFill>
              <w14:schemeClr w14:val="tx1"/>
            </w14:solidFill>
          </w14:textFill>
        </w:rPr>
        <w:t>3</w:t>
      </w:r>
      <w:r>
        <w:rPr>
          <w:rFonts w:hint="eastAsia" w:ascii="仿宋" w:hAnsi="仿宋" w:eastAsia="仿宋" w:cs="仿宋"/>
          <w:b/>
          <w:bCs/>
          <w:color w:val="000000" w:themeColor="text1"/>
          <w:highlight w:val="none"/>
          <w:lang w:eastAsia="zh-CN"/>
          <w14:textFill>
            <w14:solidFill>
              <w14:schemeClr w14:val="tx1"/>
            </w14:solidFill>
          </w14:textFill>
        </w:rPr>
        <w:t>5</w:t>
      </w:r>
      <w:r>
        <w:rPr>
          <w:rFonts w:ascii="仿宋" w:hAnsi="仿宋" w:eastAsia="仿宋" w:cs="仿宋"/>
          <w:b/>
          <w:bCs/>
          <w:color w:val="000000" w:themeColor="text1"/>
          <w:highlight w:val="none"/>
          <w:lang w:eastAsia="zh-CN"/>
          <w14:textFill>
            <w14:solidFill>
              <w14:schemeClr w14:val="tx1"/>
            </w14:solidFill>
          </w14:textFill>
        </w:rPr>
        <w:t>.6</w:t>
      </w:r>
      <w:bookmarkEnd w:id="241"/>
    </w:p>
    <w:p w14:paraId="5F6A1983">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01C04D4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01C04D4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不可抗力事项发生后，合同双方当事人应采取措施尽量避免和减少由此发生的损失。因合同任何一方当事人没有采取有效措施而导致损失扩大的，则损失扩大部分由其自身承担。</w:t>
      </w:r>
    </w:p>
    <w:p w14:paraId="0461AF4E">
      <w:pPr>
        <w:spacing w:line="360" w:lineRule="auto"/>
        <w:ind w:left="1920" w:hanging="1920" w:hangingChars="800"/>
        <w:rPr>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3420867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596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3420867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3</w:t>
      </w:r>
      <w:r>
        <w:rPr>
          <w:rFonts w:hint="eastAsia" w:ascii="仿宋" w:hAnsi="仿宋" w:eastAsia="仿宋" w:cs="仿宋"/>
          <w:b/>
          <w:bCs/>
          <w:color w:val="000000" w:themeColor="text1"/>
          <w:highlight w:val="none"/>
          <w:lang w:eastAsia="zh-CN"/>
          <w14:textFill>
            <w14:solidFill>
              <w14:schemeClr w14:val="tx1"/>
            </w14:solidFill>
          </w14:textFill>
        </w:rPr>
        <w:t>5</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bidi="ar-SA"/>
          <w14:textFill>
            <w14:solidFill>
              <w14:schemeClr w14:val="tx1"/>
            </w14:solidFill>
          </w14:textFill>
        </w:rPr>
        <w:t>分包人根据分包合同的约定，以更大范围的不可抗力而免除某些义务的，承包人不得以分包合同中不可抗力约定向发包人抗辩免除其义务。</w:t>
      </w:r>
    </w:p>
    <w:p w14:paraId="328EE85A">
      <w:pPr>
        <w:pStyle w:val="40"/>
        <w:adjustRightInd w:val="0"/>
        <w:snapToGrid w:val="0"/>
        <w:spacing w:line="360" w:lineRule="auto"/>
        <w:rPr>
          <w:rFonts w:ascii="仿宋" w:hAnsi="仿宋" w:eastAsia="仿宋" w:cs="仿宋"/>
          <w:color w:val="000000" w:themeColor="text1"/>
          <w:sz w:val="24"/>
          <w:szCs w:val="24"/>
          <w:highlight w:val="none"/>
          <w:u w:val="single"/>
          <w:lang w:eastAsia="zh-CN"/>
          <w14:textFill>
            <w14:solidFill>
              <w14:schemeClr w14:val="tx1"/>
            </w14:solidFill>
          </w14:textFill>
        </w:rPr>
      </w:pPr>
    </w:p>
    <w:p w14:paraId="2F74943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42" w:name="_Toc149731468"/>
      <w:bookmarkStart w:id="243" w:name="_Toc17313"/>
      <w:r>
        <w:rPr>
          <w:rFonts w:ascii="仿宋" w:hAnsi="仿宋" w:eastAsia="仿宋" w:cs="仿宋"/>
          <w:bCs w:val="0"/>
          <w:color w:val="000000" w:themeColor="text1"/>
          <w:sz w:val="24"/>
          <w:szCs w:val="24"/>
          <w:highlight w:val="none"/>
          <w:lang w:eastAsia="zh-CN"/>
          <w14:textFill>
            <w14:solidFill>
              <w14:schemeClr w14:val="tx1"/>
            </w14:solidFill>
          </w14:textFill>
        </w:rPr>
        <w:t>3</w:t>
      </w:r>
      <w:r>
        <w:rPr>
          <w:rFonts w:hint="eastAsia" w:ascii="仿宋" w:hAnsi="仿宋" w:eastAsia="仿宋" w:cs="仿宋"/>
          <w:bCs w:val="0"/>
          <w:color w:val="000000" w:themeColor="text1"/>
          <w:sz w:val="24"/>
          <w:szCs w:val="24"/>
          <w:highlight w:val="none"/>
          <w:lang w:eastAsia="zh-CN"/>
          <w14:textFill>
            <w14:solidFill>
              <w14:schemeClr w14:val="tx1"/>
            </w14:solidFill>
          </w14:textFill>
        </w:rPr>
        <w:t>6保险</w:t>
      </w:r>
      <w:bookmarkEnd w:id="242"/>
      <w:bookmarkEnd w:id="243"/>
    </w:p>
    <w:p w14:paraId="2666114A">
      <w:pPr>
        <w:pStyle w:val="40"/>
        <w:tabs>
          <w:tab w:val="left" w:pos="13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34B2168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5681F7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5681F7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发包人应按照下列约定办理保险，并支付保险费：</w:t>
      </w:r>
    </w:p>
    <w:p w14:paraId="2F17204C">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工程开工前，为合同工程办理建筑工程一切险、安装工程一切险；</w:t>
      </w:r>
    </w:p>
    <w:p w14:paraId="253EC2A0">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工程开工前，为施工场地内的自有人员（包括设计顾问工程师、监理工程师、造价工程师在内）办理意外伤害保险；</w:t>
      </w:r>
    </w:p>
    <w:p w14:paraId="73BD44BF">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为第三者办理第三者责任险；</w:t>
      </w:r>
    </w:p>
    <w:p w14:paraId="3F033E4F">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为运至施工场地内用于永久工程的工程材料和待安装工程设备办理保险。</w:t>
      </w:r>
    </w:p>
    <w:p w14:paraId="7A7A3E54">
      <w:pPr>
        <w:pStyle w:val="40"/>
        <w:tabs>
          <w:tab w:val="left" w:pos="1080"/>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上述保险的保险期从办理保险之日起至工程竣工验收合格之日止。</w:t>
      </w:r>
    </w:p>
    <w:p w14:paraId="3EB6105B">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699E4601">
      <w:pPr>
        <w:pStyle w:val="40"/>
        <w:tabs>
          <w:tab w:val="left" w:pos="1080"/>
        </w:tabs>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发包人可将其中部分事项委托给承包人办理，具体由合同双方当事人在专用条款中约定。除合同价格已包括外，由发包人承担所需保险费用，并向承包人支付合理利润。</w:t>
      </w:r>
    </w:p>
    <w:p w14:paraId="77F0711F">
      <w:pPr>
        <w:pStyle w:val="40"/>
        <w:tabs>
          <w:tab w:val="left" w:pos="1320"/>
        </w:tabs>
        <w:adjustRightInd w:val="0"/>
        <w:snapToGrid w:val="0"/>
        <w:spacing w:line="48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5E30AD8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51786B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51786B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承包人应按照下列约定办理保险，并支付保险费：</w:t>
      </w:r>
    </w:p>
    <w:p w14:paraId="0C7D9984">
      <w:pPr>
        <w:pStyle w:val="40"/>
        <w:widowControl w:val="0"/>
        <w:numPr>
          <w:ilvl w:val="0"/>
          <w:numId w:val="11"/>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工程开工前，为施工场地内自有人员（包括分包人在内）办理意外伤害保险；</w:t>
      </w:r>
    </w:p>
    <w:p w14:paraId="49771A65">
      <w:pPr>
        <w:pStyle w:val="40"/>
        <w:widowControl w:val="0"/>
        <w:numPr>
          <w:ilvl w:val="0"/>
          <w:numId w:val="11"/>
        </w:numPr>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为施工场地内的自有施工设备、第</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）项以外采购进场的工程材料和工程设备等办理保险。</w:t>
      </w:r>
    </w:p>
    <w:p w14:paraId="793C6C6E">
      <w:pPr>
        <w:pStyle w:val="40"/>
        <w:tabs>
          <w:tab w:val="left" w:pos="1080"/>
        </w:tabs>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上述保险的保险期从开工之日起至工程竣工验收合格之日止。</w:t>
      </w:r>
    </w:p>
    <w:p w14:paraId="1E18ACB4">
      <w:pPr>
        <w:pStyle w:val="40"/>
        <w:widowControl w:val="0"/>
        <w:numPr>
          <w:ilvl w:val="0"/>
          <w:numId w:val="11"/>
        </w:numPr>
        <w:adjustRightInd w:val="0"/>
        <w:snapToGrid w:val="0"/>
        <w:spacing w:line="360" w:lineRule="auto"/>
        <w:ind w:left="1850" w:leftChars="771" w:firstLine="0"/>
        <w:jc w:val="both"/>
        <w:rPr>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工程开工前，为合同工程办理建设工程勘察设计责任保险，保险期限由承包人与保险公司具体约定。</w:t>
      </w:r>
    </w:p>
    <w:p w14:paraId="33A628DE">
      <w:pPr>
        <w:pStyle w:val="40"/>
        <w:tabs>
          <w:tab w:val="left" w:pos="108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5455B0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5455B0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087A9E5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合同一方当事人应按照本合同约定向另一方当事人提供有效的投保保险单和保险凭证。</w:t>
      </w:r>
    </w:p>
    <w:p w14:paraId="6318892D">
      <w:pPr>
        <w:pStyle w:val="40"/>
        <w:tabs>
          <w:tab w:val="left" w:pos="132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78CC335D">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78CC335D">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3F5377F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合同双方当事人应遵守本条约定办理有关保险事项。如果未按约定投保的，应按下列约定补偿：</w:t>
      </w:r>
    </w:p>
    <w:p w14:paraId="002CFDF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（1）由于负有投保义务的合同一方当事人未按合同约定办理保险，或未能使保险持续有效的，则另一方当事人可代为办理，所需费用由对方当事人承担；</w:t>
      </w:r>
    </w:p>
    <w:p w14:paraId="5916D287">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（2）由于负有投保义务的合同一方当事人未按合同约定办理某项保险，导致受益人未能得到保险人的赔偿，则该项保险金应由负有投保义务的一方当事人支付。</w:t>
      </w:r>
    </w:p>
    <w:p w14:paraId="5B9765ED">
      <w:pPr>
        <w:pStyle w:val="40"/>
        <w:adjustRightInd w:val="0"/>
        <w:snapToGrid w:val="0"/>
        <w:spacing w:line="360" w:lineRule="auto"/>
        <w:rPr>
          <w:rFonts w:ascii="仿宋" w:hAnsi="仿宋" w:eastAsia="仿宋" w:cs="仿宋"/>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195126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195126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5A2E180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当合同工程发生保险事故时，投保人应及时通知保险人，并提供有关资料。合同双方当事人有责任采取合理有效措施防止或减少损失，并应相互协助做好向保险人的报告和理赔工作。</w:t>
      </w:r>
    </w:p>
    <w:p w14:paraId="355BAF36">
      <w:pPr>
        <w:pStyle w:val="40"/>
        <w:tabs>
          <w:tab w:val="left" w:pos="1320"/>
          <w:tab w:val="left" w:pos="162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6</w:t>
      </w:r>
      <w:r>
        <w:rPr>
          <w:rFonts w:ascii="仿宋" w:hAnsi="仿宋" w:eastAsia="仿宋" w:cs="仿宋"/>
          <w:b/>
          <w:bCs/>
          <w:color w:val="000000" w:themeColor="text1"/>
          <w:sz w:val="24"/>
          <w:szCs w:val="24"/>
          <w:highlight w:val="none"/>
          <w:lang w:eastAsia="zh-CN"/>
          <w14:textFill>
            <w14:solidFill>
              <w14:schemeClr w14:val="tx1"/>
            </w14:solidFill>
          </w14:textFill>
        </w:rPr>
        <w:t xml:space="preserve">.6  </w:t>
      </w:r>
    </w:p>
    <w:p w14:paraId="195D841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5E6A4C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5E6A4C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当合同工程的性质、规模或计划发生变更时，被保险人应及时通知保险人，并在合同履行期间按照本条约定保证足够的保险额，由此造成的费用由责任方承担。</w:t>
      </w:r>
    </w:p>
    <w:p w14:paraId="33A0EED3">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3</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 xml:space="preserve">.7  </w:t>
      </w:r>
    </w:p>
    <w:p w14:paraId="3FF6DC49">
      <w:pPr>
        <w:pStyle w:val="40"/>
        <w:widowControl w:val="0"/>
        <w:adjustRightInd w:val="0"/>
        <w:snapToGrid w:val="0"/>
        <w:spacing w:line="360" w:lineRule="auto"/>
        <w:ind w:left="1850" w:leftChars="771"/>
        <w:jc w:val="both"/>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0B8F9D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0B8F9D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从保险人处收到的因合同工程本身损失或损坏的保险金，应专项用于修复合同工程的损失或损坏，或作为对未能修复合同工程这些损失或损坏的补偿。</w:t>
      </w:r>
    </w:p>
    <w:p w14:paraId="7C6DA8DE">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3</w:t>
      </w:r>
      <w:r>
        <w:rPr>
          <w:rFonts w:hint="eastAsia" w:ascii="仿宋" w:hAnsi="仿宋" w:eastAsia="仿宋" w:cs="仿宋"/>
          <w:b/>
          <w:bCs/>
          <w:color w:val="000000" w:themeColor="text1"/>
          <w:highlight w:val="none"/>
          <w:lang w:eastAsia="zh-CN"/>
          <w14:textFill>
            <w14:solidFill>
              <w14:schemeClr w14:val="tx1"/>
            </w14:solidFill>
          </w14:textFill>
        </w:rPr>
        <w:t>6</w:t>
      </w:r>
      <w:r>
        <w:rPr>
          <w:rFonts w:ascii="仿宋" w:hAnsi="仿宋" w:eastAsia="仿宋" w:cs="仿宋"/>
          <w:b/>
          <w:bCs/>
          <w:color w:val="000000" w:themeColor="text1"/>
          <w:highlight w:val="none"/>
          <w:lang w:eastAsia="zh-CN"/>
          <w14:textFill>
            <w14:solidFill>
              <w14:schemeClr w14:val="tx1"/>
            </w14:solidFill>
          </w14:textFill>
        </w:rPr>
        <w:t xml:space="preserve">.8  </w:t>
      </w:r>
    </w:p>
    <w:p w14:paraId="15F4506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0E1E370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fpmU0QAAAAQBAAAP&#10;AAAAAAAAAAEAIAAAACIAAABkcnMvZG93bnJldi54bWxQSwECFAAUAAAACACHTuJAjekyDx8CAAAm&#10;BAAADgAAAAAAAAABACAAAAAgAQAAZHJzL2Uyb0RvYy54bWxQSwUGAAAAAAYABgBZAQAAsQUAAAAA&#10;">
                <v:fill on="f" focussize="0,0"/>
                <v:stroke on="f"/>
                <v:imagedata o:title=""/>
                <o:lock v:ext="edit" aspectratio="f"/>
                <v:textbox>
                  <w:txbxContent>
                    <w:p w14:paraId="0E1E370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具体投保内容、保险金、保险期限及相关责任等事项，合同双方当事人应在专用条款中约定。</w:t>
      </w:r>
    </w:p>
    <w:p w14:paraId="58BC32F0">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p>
    <w:p w14:paraId="46FB06A4">
      <w:pPr>
        <w:spacing w:line="360" w:lineRule="auto"/>
        <w:jc w:val="center"/>
        <w:outlineLvl w:val="1"/>
        <w:rPr>
          <w:rFonts w:ascii="仿宋" w:hAnsi="仿宋" w:eastAsia="仿宋" w:cs="仿宋"/>
          <w:b/>
          <w:bCs/>
          <w:color w:val="000000" w:themeColor="text1"/>
          <w:highlight w:val="none"/>
          <w:lang w:eastAsia="zh-CN"/>
          <w14:textFill>
            <w14:solidFill>
              <w14:schemeClr w14:val="tx1"/>
            </w14:solidFill>
          </w14:textFill>
        </w:rPr>
      </w:pPr>
      <w:bookmarkStart w:id="244" w:name="_Toc149731469"/>
      <w:bookmarkStart w:id="245" w:name="_Toc21727"/>
      <w:r>
        <w:rPr>
          <w:rFonts w:hint="eastAsia" w:ascii="仿宋" w:hAnsi="仿宋" w:eastAsia="仿宋" w:cs="仿宋"/>
          <w:b/>
          <w:bCs/>
          <w:color w:val="000000" w:themeColor="text1"/>
          <w:highlight w:val="none"/>
          <w:lang w:eastAsia="zh-CN"/>
          <w14:textFill>
            <w14:solidFill>
              <w14:schemeClr w14:val="tx1"/>
            </w14:solidFill>
          </w14:textFill>
        </w:rPr>
        <w:t>四、勘察、设计与BIM技术应用</w:t>
      </w:r>
      <w:bookmarkEnd w:id="244"/>
      <w:bookmarkEnd w:id="245"/>
    </w:p>
    <w:p w14:paraId="273A992C">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46" w:name="_Toc149731470"/>
      <w:bookmarkStart w:id="247" w:name="_Toc5266"/>
      <w:r>
        <w:rPr>
          <w:rFonts w:hint="eastAsia" w:ascii="仿宋" w:hAnsi="仿宋" w:eastAsia="仿宋" w:cs="仿宋"/>
          <w:bCs w:val="0"/>
          <w:color w:val="000000" w:themeColor="text1"/>
          <w:sz w:val="24"/>
          <w:szCs w:val="24"/>
          <w:highlight w:val="none"/>
          <w:lang w:eastAsia="zh-CN"/>
          <w14:textFill>
            <w14:solidFill>
              <w14:schemeClr w14:val="tx1"/>
            </w14:solidFill>
          </w14:textFill>
        </w:rPr>
        <w:t>37  工程勘察</w:t>
      </w:r>
      <w:bookmarkEnd w:id="246"/>
      <w:bookmarkEnd w:id="247"/>
    </w:p>
    <w:p w14:paraId="0E12ED6D">
      <w:pPr>
        <w:tabs>
          <w:tab w:val="left" w:pos="1320"/>
        </w:tabs>
        <w:spacing w:line="360" w:lineRule="auto"/>
        <w:ind w:right="-7"/>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37.1</w:t>
      </w:r>
    </w:p>
    <w:p w14:paraId="072B2A2B">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4A0DAC7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1584;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4A0DAC7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DFD769C">
      <w:pPr>
        <w:tabs>
          <w:tab w:val="left" w:pos="1320"/>
        </w:tabs>
        <w:spacing w:line="360" w:lineRule="auto"/>
        <w:ind w:right="-7"/>
        <w:rPr>
          <w:rFonts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lang w:eastAsia="zh-CN"/>
          <w14:textFill>
            <w14:solidFill>
              <w14:schemeClr w14:val="tx1"/>
            </w14:solidFill>
          </w14:textFill>
        </w:rPr>
        <w:t>37.2</w:t>
      </w:r>
    </w:p>
    <w:p w14:paraId="1FBC00FC">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9536"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1828923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69536;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1828923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天内予以确定或提出修改意见，逾期不确认也不提出书面意见的，视为同意。</w:t>
      </w:r>
    </w:p>
    <w:p w14:paraId="0A7E93E0">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37.2.2勘察实施方案应包括项目基本情况、人员安排、工作进度、技术方法、工作量、质量保证体系以及需要发包人配合事项等，并制定环境保护的具体措施，在勘察期间合理保护作业现场环境。</w:t>
      </w:r>
    </w:p>
    <w:p w14:paraId="34FBA110">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天内予以确定或提出修改意见，逾期不确认也不提出书面意见的，视为无异议。</w:t>
      </w:r>
    </w:p>
    <w:p w14:paraId="345EAE7E">
      <w:pPr>
        <w:tabs>
          <w:tab w:val="left" w:pos="1320"/>
        </w:tabs>
        <w:spacing w:line="360" w:lineRule="auto"/>
        <w:rPr>
          <w:rFonts w:ascii="仿宋" w:hAnsi="仿宋" w:eastAsia="仿宋" w:cs="仿宋"/>
          <w:b/>
          <w:color w:val="000000" w:themeColor="text1"/>
          <w:highlight w:val="none"/>
          <w:lang w:eastAsia="zh-CN"/>
          <w14:textFill>
            <w14:solidFill>
              <w14:schemeClr w14:val="tx1"/>
            </w14:solidFill>
          </w14:textFill>
        </w:rPr>
      </w:pPr>
      <w:r>
        <w:rPr>
          <w:rFonts w:ascii="仿宋" w:hAnsi="仿宋" w:eastAsia="仿宋" w:cs="仿宋"/>
          <w:b/>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51BADFCD">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02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51BADFCD">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000000" w:themeColor="text1"/>
          <w:highlight w:val="none"/>
          <w:lang w:eastAsia="zh-CN"/>
          <w14:textFill>
            <w14:solidFill>
              <w14:schemeClr w14:val="tx1"/>
            </w14:solidFill>
          </w14:textFill>
        </w:rPr>
        <w:t>37.3</w:t>
      </w:r>
    </w:p>
    <w:p w14:paraId="2F58DCC9">
      <w:pPr>
        <w:widowControl w:val="0"/>
        <w:tabs>
          <w:tab w:val="left" w:pos="4970"/>
        </w:tabs>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37.3.1承包人应根据发包人审查批准或备案的勘察实施方案及应急预案、发包人要求、设计顾问人指示并依据有关技术标准进行工程勘察工作。</w:t>
      </w:r>
    </w:p>
    <w:p w14:paraId="7F1AC9A8">
      <w:pPr>
        <w:tabs>
          <w:tab w:val="left" w:pos="4970"/>
        </w:tabs>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37.3.2 承包人应核查并在勘察报告及后续设计文件中明示工程项目工程场地范围内城市轨道交通隧道、给水管道、燃气管道等分布情况。</w:t>
      </w:r>
    </w:p>
    <w:p w14:paraId="41B72C8A">
      <w:pPr>
        <w:tabs>
          <w:tab w:val="left" w:pos="4970"/>
        </w:tabs>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37.3.3勘查现场遇到地下文物时，承包人应及时向发包人和文物主管部门报告并妥善保护。</w:t>
      </w:r>
    </w:p>
    <w:p w14:paraId="2B348360">
      <w:pPr>
        <w:tabs>
          <w:tab w:val="left" w:pos="4970"/>
        </w:tabs>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37.3.4发包人应为承包人进入勘察工作现场提供必要的条件和协助，因发包人不能按时提供勘察工作现场，导致的工期延误及费用增加，责任由发包人承担。</w:t>
      </w:r>
    </w:p>
    <w:p w14:paraId="18A0BA2B">
      <w:pPr>
        <w:spacing w:line="360" w:lineRule="auto"/>
        <w:ind w:left="1687" w:hanging="1687" w:hangingChars="700"/>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740C1A3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1392;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740C1A3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37.4</w:t>
      </w:r>
    </w:p>
    <w:p w14:paraId="6912B140">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37.4.1承包人向发包人提交合格的勘察报告的方式、数量和时间，由双方在专用条款中约定。发包人要求增加的勘察报告，费用由发包人承担；承包人内部使用的勘察报告，其费用由承包人自己承担。</w:t>
      </w:r>
    </w:p>
    <w:p w14:paraId="0D26D5D8">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37.4.2承包人完成勘察工作并提交勘察报告后，发包人应及时组织设计顾问人、监理人和承包人进行验收。发包人应及时签收勘察报告、确认勘察工作完成时间，并按专用条款约定计付工程勘察费。</w:t>
      </w:r>
    </w:p>
    <w:p w14:paraId="25E68108">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37.4.3政府部门审查或</w:t>
      </w:r>
    </w:p>
    <w:p w14:paraId="16F0E747">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000000" w:themeColor="text1"/>
          <w:highlight w:val="none"/>
          <w:lang w:eastAsia="zh-CN"/>
          <w14:textFill>
            <w14:solidFill>
              <w14:schemeClr w14:val="tx1"/>
            </w14:solidFill>
          </w14:textFill>
        </w:rPr>
        <w:t>予以</w:t>
      </w:r>
      <w:r>
        <w:rPr>
          <w:rFonts w:hint="eastAsia" w:ascii="仿宋" w:hAnsi="仿宋" w:eastAsia="仿宋"/>
          <w:color w:val="000000" w:themeColor="text1"/>
          <w:highlight w:val="none"/>
          <w:lang w:eastAsia="zh-CN"/>
          <w14:textFill>
            <w14:solidFill>
              <w14:schemeClr w14:val="tx1"/>
            </w14:solidFill>
          </w14:textFill>
        </w:rPr>
        <w:t>协助。</w:t>
      </w:r>
    </w:p>
    <w:p w14:paraId="32E53A5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37.4.3.2</w:t>
      </w:r>
      <w:r>
        <w:rPr>
          <w:rFonts w:ascii="仿宋" w:hAnsi="仿宋" w:eastAsia="仿宋"/>
          <w:color w:val="000000" w:themeColor="text1"/>
          <w:highlight w:val="none"/>
          <w:lang w:eastAsia="zh-CN"/>
          <w14:textFill>
            <w14:solidFill>
              <w14:schemeClr w14:val="tx1"/>
            </w14:solidFill>
          </w14:textFill>
        </w:rPr>
        <w:t>发包人</w:t>
      </w:r>
      <w:r>
        <w:rPr>
          <w:rFonts w:hint="eastAsia" w:ascii="仿宋" w:hAnsi="仿宋" w:eastAsia="仿宋"/>
          <w:color w:val="000000" w:themeColor="text1"/>
          <w:highlight w:val="none"/>
          <w:lang w:eastAsia="zh-CN"/>
          <w14:textFill>
            <w14:solidFill>
              <w14:schemeClr w14:val="tx1"/>
            </w14:solidFill>
          </w14:textFill>
        </w:rPr>
        <w:t>应</w:t>
      </w:r>
      <w:r>
        <w:rPr>
          <w:rFonts w:ascii="仿宋" w:hAnsi="仿宋" w:eastAsia="仿宋"/>
          <w:color w:val="000000" w:themeColor="text1"/>
          <w:highlight w:val="none"/>
          <w:lang w:eastAsia="zh-CN"/>
          <w14:textFill>
            <w14:solidFill>
              <w14:schemeClr w14:val="tx1"/>
            </w14:solidFill>
          </w14:textFill>
        </w:rPr>
        <w:t>向承包人提供</w:t>
      </w:r>
      <w:r>
        <w:rPr>
          <w:rFonts w:hint="eastAsia" w:ascii="仿宋" w:hAnsi="仿宋" w:eastAsia="仿宋"/>
          <w:color w:val="000000" w:themeColor="text1"/>
          <w:highlight w:val="none"/>
          <w:lang w:eastAsia="zh-CN"/>
          <w14:textFill>
            <w14:solidFill>
              <w14:schemeClr w14:val="tx1"/>
            </w14:solidFill>
          </w14:textFill>
        </w:rPr>
        <w:t>政府有关部门或施工图审查机构</w:t>
      </w:r>
      <w:r>
        <w:rPr>
          <w:rFonts w:ascii="仿宋" w:hAnsi="仿宋" w:eastAsia="仿宋"/>
          <w:color w:val="000000" w:themeColor="text1"/>
          <w:highlight w:val="none"/>
          <w:lang w:eastAsia="zh-CN"/>
          <w14:textFill>
            <w14:solidFill>
              <w14:schemeClr w14:val="tx1"/>
            </w14:solidFill>
          </w14:textFill>
        </w:rPr>
        <w:t>的批准文件和</w:t>
      </w:r>
      <w:r>
        <w:rPr>
          <w:rFonts w:hint="eastAsia" w:ascii="仿宋" w:hAnsi="仿宋" w:eastAsia="仿宋"/>
          <w:color w:val="000000" w:themeColor="text1"/>
          <w:highlight w:val="none"/>
          <w:lang w:eastAsia="zh-CN"/>
          <w14:textFill>
            <w14:solidFill>
              <w14:schemeClr w14:val="tx1"/>
            </w14:solidFill>
          </w14:textFill>
        </w:rPr>
        <w:t>审查会议</w:t>
      </w:r>
      <w:r>
        <w:rPr>
          <w:rFonts w:ascii="仿宋" w:hAnsi="仿宋" w:eastAsia="仿宋"/>
          <w:color w:val="000000" w:themeColor="text1"/>
          <w:highlight w:val="none"/>
          <w:lang w:eastAsia="zh-CN"/>
          <w14:textFill>
            <w14:solidFill>
              <w14:schemeClr w14:val="tx1"/>
            </w14:solidFill>
          </w14:textFill>
        </w:rPr>
        <w:t>纪要</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承包人</w:t>
      </w:r>
      <w:r>
        <w:rPr>
          <w:rFonts w:hint="eastAsia" w:ascii="仿宋" w:hAnsi="仿宋" w:eastAsia="仿宋"/>
          <w:color w:val="000000" w:themeColor="text1"/>
          <w:highlight w:val="none"/>
          <w:lang w:eastAsia="zh-CN"/>
          <w14:textFill>
            <w14:solidFill>
              <w14:schemeClr w14:val="tx1"/>
            </w14:solidFill>
          </w14:textFill>
        </w:rPr>
        <w:t>应按照相关审查批准文件和纪要对勘察报告进行补充、修改和完善。</w:t>
      </w:r>
    </w:p>
    <w:p w14:paraId="1EFB7073">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37.4.3.3经政府有关部门或</w:t>
      </w:r>
      <w:r>
        <w:rPr>
          <w:rFonts w:ascii="仿宋" w:hAnsi="仿宋" w:eastAsia="仿宋"/>
          <w:color w:val="000000" w:themeColor="text1"/>
          <w:highlight w:val="none"/>
          <w:lang w:eastAsia="zh-CN"/>
          <w14:textFill>
            <w14:solidFill>
              <w14:schemeClr w14:val="tx1"/>
            </w14:solidFill>
          </w14:textFill>
        </w:rPr>
        <w:t>施工图</w:t>
      </w:r>
      <w:r>
        <w:rPr>
          <w:rFonts w:hint="eastAsia" w:ascii="仿宋" w:hAnsi="仿宋" w:eastAsia="仿宋"/>
          <w:color w:val="000000" w:themeColor="text1"/>
          <w:highlight w:val="none"/>
          <w:lang w:eastAsia="zh-CN"/>
          <w14:textFill>
            <w14:solidFill>
              <w14:schemeClr w14:val="tx1"/>
            </w14:solidFill>
          </w14:textFill>
        </w:rPr>
        <w:t>审查机构审查，需要修改发包人要求的，发包人应重新提出发包人要求，通知承包人相应修改设计文件，并重新送审，承包人可根据第63条约定提出变更申请，由发包人承担增加的工程费或工程勘察费。</w:t>
      </w:r>
    </w:p>
    <w:p w14:paraId="2F15ADA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 xml:space="preserve">37.4.4 </w:t>
      </w:r>
      <w:r>
        <w:rPr>
          <w:rFonts w:ascii="仿宋" w:hAnsi="仿宋" w:eastAsia="仿宋"/>
          <w:color w:val="000000" w:themeColor="text1"/>
          <w:highlight w:val="none"/>
          <w:lang w:eastAsia="zh-CN"/>
          <w14:textFill>
            <w14:solidFill>
              <w14:schemeClr w14:val="tx1"/>
            </w14:solidFill>
          </w14:textFill>
        </w:rPr>
        <w:t>因承包人原因造成</w:t>
      </w:r>
      <w:r>
        <w:rPr>
          <w:rFonts w:hint="eastAsia" w:ascii="仿宋" w:hAnsi="仿宋" w:eastAsia="仿宋"/>
          <w:color w:val="000000" w:themeColor="text1"/>
          <w:highlight w:val="none"/>
          <w:lang w:eastAsia="zh-CN"/>
          <w14:textFill>
            <w14:solidFill>
              <w14:schemeClr w14:val="tx1"/>
            </w14:solidFill>
          </w14:textFill>
        </w:rPr>
        <w:t>勘察报告</w:t>
      </w:r>
      <w:r>
        <w:rPr>
          <w:rFonts w:ascii="仿宋" w:hAnsi="仿宋" w:eastAsia="仿宋"/>
          <w:color w:val="000000" w:themeColor="text1"/>
          <w:highlight w:val="none"/>
          <w:lang w:eastAsia="zh-CN"/>
          <w14:textFill>
            <w14:solidFill>
              <w14:schemeClr w14:val="tx1"/>
            </w14:solidFill>
          </w14:textFill>
        </w:rPr>
        <w:t>存在遗漏、错误和不足的，承包人应</w:t>
      </w:r>
      <w:r>
        <w:rPr>
          <w:rFonts w:hint="eastAsia" w:ascii="仿宋" w:hAnsi="仿宋" w:eastAsia="仿宋"/>
          <w:color w:val="000000" w:themeColor="text1"/>
          <w:highlight w:val="none"/>
          <w:lang w:eastAsia="zh-CN"/>
          <w14:textFill>
            <w14:solidFill>
              <w14:schemeClr w14:val="tx1"/>
            </w14:solidFill>
          </w14:textFill>
        </w:rPr>
        <w:t>补充、</w:t>
      </w:r>
      <w:r>
        <w:rPr>
          <w:rFonts w:ascii="仿宋" w:hAnsi="仿宋" w:eastAsia="仿宋"/>
          <w:color w:val="000000" w:themeColor="text1"/>
          <w:highlight w:val="none"/>
          <w:lang w:eastAsia="zh-CN"/>
          <w14:textFill>
            <w14:solidFill>
              <w14:schemeClr w14:val="tx1"/>
            </w14:solidFill>
          </w14:textFill>
        </w:rPr>
        <w:t>修</w:t>
      </w:r>
      <w:r>
        <w:rPr>
          <w:rFonts w:hint="eastAsia" w:ascii="仿宋" w:hAnsi="仿宋" w:eastAsia="仿宋"/>
          <w:color w:val="000000" w:themeColor="text1"/>
          <w:highlight w:val="none"/>
          <w:lang w:eastAsia="zh-CN"/>
          <w14:textFill>
            <w14:solidFill>
              <w14:schemeClr w14:val="tx1"/>
            </w14:solidFill>
          </w14:textFill>
        </w:rPr>
        <w:t>正</w:t>
      </w:r>
      <w:r>
        <w:rPr>
          <w:rFonts w:ascii="仿宋" w:hAnsi="仿宋" w:eastAsia="仿宋"/>
          <w:color w:val="000000" w:themeColor="text1"/>
          <w:highlight w:val="none"/>
          <w:lang w:eastAsia="zh-CN"/>
          <w14:textFill>
            <w14:solidFill>
              <w14:schemeClr w14:val="tx1"/>
            </w14:solidFill>
          </w14:textFill>
        </w:rPr>
        <w:t>和完善</w:t>
      </w:r>
      <w:r>
        <w:rPr>
          <w:rFonts w:hint="eastAsia" w:ascii="仿宋" w:hAnsi="仿宋" w:eastAsia="仿宋"/>
          <w:color w:val="000000" w:themeColor="text1"/>
          <w:highlight w:val="none"/>
          <w:lang w:eastAsia="zh-CN"/>
          <w14:textFill>
            <w14:solidFill>
              <w14:schemeClr w14:val="tx1"/>
            </w14:solidFill>
          </w14:textFill>
        </w:rPr>
        <w:t>，由此产生的费用由承包人承担</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因此对后续设计、采购、施工等造成的工期延误及费用增加由承包人承担。</w:t>
      </w:r>
    </w:p>
    <w:p w14:paraId="6DB33974">
      <w:pPr>
        <w:spacing w:line="360" w:lineRule="auto"/>
        <w:ind w:left="1687" w:hanging="1687" w:hangingChars="7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37.5</w:t>
      </w:r>
    </w:p>
    <w:p w14:paraId="0FAFFEEB">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7E6945B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12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7E6945B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承包人完成勘察阶段的工作并提交勘察报告后，应组织设计人员及施工人员开展相关工作，解释相关数据，并根据后续设计及施工需要补充勘察或修正勘察成果，因此增加的费用由承包人自行承担。</w:t>
      </w:r>
    </w:p>
    <w:p w14:paraId="6DD346E0">
      <w:pPr>
        <w:spacing w:line="360" w:lineRule="auto"/>
        <w:rPr>
          <w:rFonts w:ascii="仿宋" w:hAnsi="仿宋" w:eastAsia="仿宋" w:cs="仿宋"/>
          <w:color w:val="000000" w:themeColor="text1"/>
          <w:highlight w:val="none"/>
          <w:lang w:eastAsia="zh-CN"/>
          <w14:textFill>
            <w14:solidFill>
              <w14:schemeClr w14:val="tx1"/>
            </w14:solidFill>
          </w14:textFill>
        </w:rPr>
      </w:pPr>
    </w:p>
    <w:p w14:paraId="5D52E07B">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48" w:name="_Toc22436"/>
      <w:bookmarkStart w:id="249" w:name="_Toc149731471"/>
      <w:r>
        <w:rPr>
          <w:rFonts w:hint="eastAsia" w:ascii="仿宋" w:hAnsi="仿宋" w:eastAsia="仿宋" w:cs="仿宋"/>
          <w:bCs w:val="0"/>
          <w:color w:val="000000" w:themeColor="text1"/>
          <w:sz w:val="24"/>
          <w:szCs w:val="24"/>
          <w:highlight w:val="none"/>
          <w:lang w:eastAsia="zh-CN"/>
          <w14:textFill>
            <w14:solidFill>
              <w14:schemeClr w14:val="tx1"/>
            </w14:solidFill>
          </w14:textFill>
        </w:rPr>
        <w:t>38  工程设计</w:t>
      </w:r>
      <w:bookmarkEnd w:id="248"/>
      <w:bookmarkEnd w:id="249"/>
    </w:p>
    <w:p w14:paraId="4F7AB81B">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0999C4C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23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0999C4C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000000" w:themeColor="text1"/>
          <w:highlight w:val="none"/>
          <w:lang w:eastAsia="zh-CN"/>
          <w14:textFill>
            <w14:solidFill>
              <w14:schemeClr w14:val="tx1"/>
            </w14:solidFill>
          </w14:textFill>
        </w:rPr>
        <w:t>38.1</w:t>
      </w:r>
    </w:p>
    <w:p w14:paraId="31F5D37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3EBDD558">
      <w:pPr>
        <w:tabs>
          <w:tab w:val="left" w:pos="4970"/>
        </w:tabs>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b/>
          <w:bCs/>
          <w:color w:val="000000" w:themeColor="text1"/>
          <w:highlight w:val="none"/>
          <w:lang w:eastAsia="zh-CN"/>
          <w14:textFill>
            <w14:solidFill>
              <w14:schemeClr w14:val="tx1"/>
            </w14:solidFill>
          </w14:textFill>
        </w:rPr>
        <w:t>38.2</w:t>
      </w:r>
    </w:p>
    <w:p w14:paraId="13AE6065">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8512"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34EF39FB">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8512;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34EF39FB">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天内予以确定或提出修改意见，逾期不确认也不提出书面意见的，视为同意。</w:t>
      </w:r>
    </w:p>
    <w:p w14:paraId="23B4CAD9">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38.2.2设计实施方案应包括项目基本情况、人员安排、工作进度、技术标准、工作量、质量保证体系以及需要发包人配合事项等。</w:t>
      </w:r>
    </w:p>
    <w:p w14:paraId="69D6BD99">
      <w:pPr>
        <w:tabs>
          <w:tab w:val="left" w:pos="4970"/>
        </w:tabs>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b/>
          <w:bCs/>
          <w:color w:val="000000" w:themeColor="text1"/>
          <w:highlight w:val="none"/>
          <w:lang w:eastAsia="zh-CN"/>
          <w14:textFill>
            <w14:solidFill>
              <w14:schemeClr w14:val="tx1"/>
            </w14:solidFill>
          </w14:textFill>
        </w:rPr>
        <w:t>38.3</w:t>
      </w:r>
    </w:p>
    <w:p w14:paraId="6E347D75">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0332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2ABF98D7">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332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2ABF98D7">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38.3.1承包人应根据发包人审查批准或备案的设计实施方案、发包人要求、设计顾问人指示并遵守有关法律、技术标准进行初步设计和（或）施工图设计。</w:t>
      </w:r>
      <w:r>
        <w:rPr>
          <w:rFonts w:ascii="仿宋" w:hAnsi="仿宋" w:eastAsia="仿宋"/>
          <w:color w:val="000000" w:themeColor="text1"/>
          <w:highlight w:val="none"/>
          <w:lang w:eastAsia="zh-CN"/>
          <w14:textFill>
            <w14:solidFill>
              <w14:schemeClr w14:val="tx1"/>
            </w14:solidFill>
          </w14:textFill>
        </w:rPr>
        <w:t>适用于发包人按单</w:t>
      </w:r>
      <w:r>
        <w:rPr>
          <w:rFonts w:hint="eastAsia" w:ascii="仿宋" w:hAnsi="仿宋" w:eastAsia="仿宋"/>
          <w:color w:val="000000" w:themeColor="text1"/>
          <w:highlight w:val="none"/>
          <w:lang w:eastAsia="zh-CN"/>
          <w14:textFill>
            <w14:solidFill>
              <w14:schemeClr w14:val="tx1"/>
            </w14:solidFill>
          </w14:textFill>
        </w:rPr>
        <w:t>项</w:t>
      </w:r>
      <w:r>
        <w:rPr>
          <w:rFonts w:ascii="仿宋" w:hAnsi="仿宋" w:eastAsia="仿宋"/>
          <w:color w:val="000000" w:themeColor="text1"/>
          <w:highlight w:val="none"/>
          <w:lang w:eastAsia="zh-CN"/>
          <w14:textFill>
            <w14:solidFill>
              <w14:schemeClr w14:val="tx1"/>
            </w14:solidFill>
          </w14:textFill>
        </w:rPr>
        <w:t>工程接收和（或）整个工程接收</w:t>
      </w:r>
      <w:r>
        <w:rPr>
          <w:rFonts w:hint="eastAsia" w:ascii="仿宋" w:hAnsi="仿宋" w:eastAsia="仿宋"/>
          <w:color w:val="000000" w:themeColor="text1"/>
          <w:highlight w:val="none"/>
          <w:lang w:eastAsia="zh-CN"/>
          <w14:textFill>
            <w14:solidFill>
              <w14:schemeClr w14:val="tx1"/>
            </w14:solidFill>
          </w14:textFill>
        </w:rPr>
        <w:t>的标准和规范，由合同当事人在专用条款中约定</w:t>
      </w:r>
      <w:r>
        <w:rPr>
          <w:rFonts w:ascii="仿宋" w:hAnsi="仿宋" w:eastAsia="仿宋"/>
          <w:color w:val="000000" w:themeColor="text1"/>
          <w:highlight w:val="none"/>
          <w:lang w:eastAsia="zh-CN"/>
          <w14:textFill>
            <w14:solidFill>
              <w14:schemeClr w14:val="tx1"/>
            </w14:solidFill>
          </w14:textFill>
        </w:rPr>
        <w:t>。</w:t>
      </w:r>
    </w:p>
    <w:p w14:paraId="6EBDDA67">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38.3.2</w:t>
      </w:r>
      <w:r>
        <w:rPr>
          <w:rFonts w:hint="eastAsia" w:ascii="仿宋" w:hAnsi="仿宋" w:eastAsia="仿宋"/>
          <w:color w:val="000000" w:themeColor="text1"/>
          <w:highlight w:val="none"/>
          <w:lang w:eastAsia="zh-CN"/>
          <w14:textFill>
            <w14:solidFill>
              <w14:schemeClr w14:val="tx1"/>
            </w14:solidFill>
          </w14:textFill>
        </w:rPr>
        <w:t>承包人应按照现行有关工程建设标准规范中设计深度的规定，遵循限额设计原则开展工程设计。承包人的设计应做到功能合理、技术先进、质量可靠、施工安全、绿色环保、经济合理。</w:t>
      </w:r>
    </w:p>
    <w:p w14:paraId="047086A6">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38.3.3在</w:t>
      </w:r>
      <w:r>
        <w:rPr>
          <w:rFonts w:ascii="仿宋" w:hAnsi="仿宋" w:eastAsia="仿宋"/>
          <w:color w:val="000000" w:themeColor="text1"/>
          <w:highlight w:val="none"/>
          <w:lang w:eastAsia="zh-CN"/>
          <w14:textFill>
            <w14:solidFill>
              <w14:schemeClr w14:val="tx1"/>
            </w14:solidFill>
          </w14:textFill>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000000" w:themeColor="text1"/>
          <w:highlight w:val="none"/>
          <w:lang w:eastAsia="zh-CN"/>
          <w14:textFill>
            <w14:solidFill>
              <w14:schemeClr w14:val="tx1"/>
            </w14:solidFill>
          </w14:textFill>
        </w:rPr>
        <w:t>在结构超限审查、初步设计审查、施工图审查、工程验收等无风险的情况下，</w:t>
      </w:r>
      <w:r>
        <w:rPr>
          <w:rFonts w:ascii="仿宋" w:hAnsi="仿宋" w:eastAsia="仿宋"/>
          <w:color w:val="000000" w:themeColor="text1"/>
          <w:highlight w:val="none"/>
          <w:lang w:eastAsia="zh-CN"/>
          <w14:textFill>
            <w14:solidFill>
              <w14:schemeClr w14:val="tx1"/>
            </w14:solidFill>
          </w14:textFill>
        </w:rPr>
        <w:t>发包人可决定采用或不采用，决定采用时，作为变更处理。</w:t>
      </w:r>
    </w:p>
    <w:p w14:paraId="6BEA511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38.3.4 工程完工后需要购置设备及工器具以达到生产和运营能力的建筑物或构筑物，承包人的设计应满足其工艺流程、设备配置要求。需要</w:t>
      </w:r>
      <w:r>
        <w:rPr>
          <w:rFonts w:ascii="仿宋" w:hAnsi="仿宋" w:eastAsia="仿宋"/>
          <w:color w:val="000000" w:themeColor="text1"/>
          <w:highlight w:val="none"/>
          <w:lang w:eastAsia="zh-CN"/>
          <w14:textFill>
            <w14:solidFill>
              <w14:schemeClr w14:val="tx1"/>
            </w14:solidFill>
          </w14:textFill>
        </w:rPr>
        <w:t>专利</w:t>
      </w:r>
      <w:r>
        <w:rPr>
          <w:rFonts w:hint="eastAsia" w:ascii="仿宋" w:hAnsi="仿宋" w:eastAsia="仿宋"/>
          <w:color w:val="000000" w:themeColor="text1"/>
          <w:highlight w:val="none"/>
          <w:lang w:eastAsia="zh-CN"/>
          <w14:textFill>
            <w14:solidFill>
              <w14:schemeClr w14:val="tx1"/>
            </w14:solidFill>
          </w14:textFill>
        </w:rPr>
        <w:t>人、设备商</w:t>
      </w:r>
      <w:r>
        <w:rPr>
          <w:rFonts w:ascii="仿宋" w:hAnsi="仿宋" w:eastAsia="仿宋"/>
          <w:color w:val="000000" w:themeColor="text1"/>
          <w:highlight w:val="none"/>
          <w:lang w:eastAsia="zh-CN"/>
          <w14:textFill>
            <w14:solidFill>
              <w14:schemeClr w14:val="tx1"/>
            </w14:solidFill>
          </w14:textFill>
        </w:rPr>
        <w:t>或发包人</w:t>
      </w:r>
      <w:r>
        <w:rPr>
          <w:rFonts w:hint="eastAsia" w:ascii="仿宋" w:hAnsi="仿宋" w:eastAsia="仿宋"/>
          <w:color w:val="000000" w:themeColor="text1"/>
          <w:highlight w:val="none"/>
          <w:lang w:eastAsia="zh-CN"/>
          <w14:textFill>
            <w14:solidFill>
              <w14:schemeClr w14:val="tx1"/>
            </w14:solidFill>
          </w14:textFill>
        </w:rPr>
        <w:t>提供的相关资料，由双方在专用条款中约定。</w:t>
      </w:r>
    </w:p>
    <w:p w14:paraId="1734CCF3">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38.3.5 承包人应充分利用BIM技术进行正向设计</w:t>
      </w:r>
      <w:r>
        <w:rPr>
          <w:rFonts w:hint="eastAsia" w:ascii="仿宋" w:hAnsi="仿宋" w:eastAsia="仿宋" w:cs="仿宋"/>
          <w:color w:val="000000" w:themeColor="text1"/>
          <w:highlight w:val="none"/>
          <w:lang w:eastAsia="zh-CN"/>
          <w14:textFill>
            <w14:solidFill>
              <w14:schemeClr w14:val="tx1"/>
            </w14:solidFill>
          </w14:textFill>
        </w:rPr>
        <w:t>或建模与出图同步完成的设计方式</w:t>
      </w:r>
      <w:r>
        <w:rPr>
          <w:rFonts w:hint="eastAsia" w:ascii="仿宋" w:hAnsi="仿宋" w:eastAsia="仿宋"/>
          <w:color w:val="000000" w:themeColor="text1"/>
          <w:highlight w:val="none"/>
          <w:lang w:eastAsia="zh-CN"/>
          <w14:textFill>
            <w14:solidFill>
              <w14:schemeClr w14:val="tx1"/>
            </w14:solidFill>
          </w14:textFill>
        </w:rPr>
        <w:t>，通过使用建筑信息模型（BIM），优化设计成果。</w:t>
      </w:r>
    </w:p>
    <w:p w14:paraId="5FA73CC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2DD26D9D">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15132DB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2416;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15132DB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38.4</w:t>
      </w:r>
    </w:p>
    <w:p w14:paraId="7CC3EE08">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38.4.1承包人向发包人提交设计文件的方式、数量和时间，由双方在专用条款中约定。发包人要求增加的设计文件，费用由发包人承担；承包人内部使用的设计文件，其费用由承包人自己承担。</w:t>
      </w:r>
    </w:p>
    <w:p w14:paraId="038FAC7C">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39D8C306">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 xml:space="preserve">38.4.3 </w:t>
      </w:r>
      <w:r>
        <w:rPr>
          <w:rFonts w:ascii="仿宋" w:hAnsi="仿宋" w:eastAsia="仿宋"/>
          <w:color w:val="000000" w:themeColor="text1"/>
          <w:highlight w:val="none"/>
          <w:lang w:eastAsia="zh-CN"/>
          <w14:textFill>
            <w14:solidFill>
              <w14:schemeClr w14:val="tx1"/>
            </w14:solidFill>
          </w14:textFill>
        </w:rPr>
        <w:t>因承包人原因，造成</w:t>
      </w:r>
      <w:r>
        <w:rPr>
          <w:rFonts w:hint="eastAsia" w:ascii="仿宋" w:hAnsi="仿宋" w:eastAsia="仿宋"/>
          <w:color w:val="000000" w:themeColor="text1"/>
          <w:highlight w:val="none"/>
          <w:lang w:eastAsia="zh-CN"/>
          <w14:textFill>
            <w14:solidFill>
              <w14:schemeClr w14:val="tx1"/>
            </w14:solidFill>
          </w14:textFill>
        </w:rPr>
        <w:t>初步</w:t>
      </w:r>
      <w:r>
        <w:rPr>
          <w:rFonts w:ascii="仿宋" w:hAnsi="仿宋" w:eastAsia="仿宋"/>
          <w:color w:val="000000" w:themeColor="text1"/>
          <w:highlight w:val="none"/>
          <w:lang w:eastAsia="zh-CN"/>
          <w14:textFill>
            <w14:solidFill>
              <w14:schemeClr w14:val="tx1"/>
            </w14:solidFill>
          </w14:textFill>
        </w:rPr>
        <w:t>设计文件</w:t>
      </w:r>
      <w:r>
        <w:rPr>
          <w:rFonts w:hint="eastAsia" w:ascii="仿宋" w:hAnsi="仿宋" w:eastAsia="仿宋"/>
          <w:color w:val="000000" w:themeColor="text1"/>
          <w:highlight w:val="none"/>
          <w:lang w:eastAsia="zh-CN"/>
          <w14:textFill>
            <w14:solidFill>
              <w14:schemeClr w14:val="tx1"/>
            </w14:solidFill>
          </w14:textFill>
        </w:rPr>
        <w:t>和（或）施工图</w:t>
      </w:r>
      <w:r>
        <w:rPr>
          <w:rFonts w:ascii="仿宋" w:hAnsi="仿宋" w:eastAsia="仿宋"/>
          <w:color w:val="000000" w:themeColor="text1"/>
          <w:highlight w:val="none"/>
          <w:lang w:eastAsia="zh-CN"/>
          <w14:textFill>
            <w14:solidFill>
              <w14:schemeClr w14:val="tx1"/>
            </w14:solidFill>
          </w14:textFill>
        </w:rPr>
        <w:t>存在遗漏、错误和不足的，承包人应</w:t>
      </w:r>
      <w:r>
        <w:rPr>
          <w:rFonts w:hint="eastAsia" w:ascii="仿宋" w:hAnsi="仿宋" w:eastAsia="仿宋"/>
          <w:color w:val="000000" w:themeColor="text1"/>
          <w:highlight w:val="none"/>
          <w:lang w:eastAsia="zh-CN"/>
          <w14:textFill>
            <w14:solidFill>
              <w14:schemeClr w14:val="tx1"/>
            </w14:solidFill>
          </w14:textFill>
        </w:rPr>
        <w:t>补充、</w:t>
      </w:r>
      <w:r>
        <w:rPr>
          <w:rFonts w:ascii="仿宋" w:hAnsi="仿宋" w:eastAsia="仿宋"/>
          <w:color w:val="000000" w:themeColor="text1"/>
          <w:highlight w:val="none"/>
          <w:lang w:eastAsia="zh-CN"/>
          <w14:textFill>
            <w14:solidFill>
              <w14:schemeClr w14:val="tx1"/>
            </w14:solidFill>
          </w14:textFill>
        </w:rPr>
        <w:t>修</w:t>
      </w:r>
      <w:r>
        <w:rPr>
          <w:rFonts w:hint="eastAsia" w:ascii="仿宋" w:hAnsi="仿宋" w:eastAsia="仿宋"/>
          <w:color w:val="000000" w:themeColor="text1"/>
          <w:highlight w:val="none"/>
          <w:lang w:eastAsia="zh-CN"/>
          <w14:textFill>
            <w14:solidFill>
              <w14:schemeClr w14:val="tx1"/>
            </w14:solidFill>
          </w14:textFill>
        </w:rPr>
        <w:t>正</w:t>
      </w:r>
      <w:r>
        <w:rPr>
          <w:rFonts w:ascii="仿宋" w:hAnsi="仿宋" w:eastAsia="仿宋"/>
          <w:color w:val="000000" w:themeColor="text1"/>
          <w:highlight w:val="none"/>
          <w:lang w:eastAsia="zh-CN"/>
          <w14:textFill>
            <w14:solidFill>
              <w14:schemeClr w14:val="tx1"/>
            </w14:solidFill>
          </w14:textFill>
        </w:rPr>
        <w:t>和完善</w:t>
      </w:r>
      <w:r>
        <w:rPr>
          <w:rFonts w:hint="eastAsia" w:ascii="仿宋" w:hAnsi="仿宋" w:eastAsia="仿宋"/>
          <w:color w:val="000000" w:themeColor="text1"/>
          <w:highlight w:val="none"/>
          <w:lang w:eastAsia="zh-CN"/>
          <w14:textFill>
            <w14:solidFill>
              <w14:schemeClr w14:val="tx1"/>
            </w14:solidFill>
          </w14:textFill>
        </w:rPr>
        <w:t>，由此产生的费用由承包人承担</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因此对后续设计、采购、施工等造成的工期延误及费用增加由承包人承担。</w:t>
      </w:r>
    </w:p>
    <w:p w14:paraId="4BBE9CF0">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4AFE5F5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4352;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4AFE5F5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38.5</w:t>
      </w:r>
    </w:p>
    <w:p w14:paraId="6A978245">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516D7E29">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708DD6B7">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38D673E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5376;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38D673E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38.6</w:t>
      </w:r>
    </w:p>
    <w:p w14:paraId="0C7312EF">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38.6.1发包人审查</w:t>
      </w:r>
    </w:p>
    <w:p w14:paraId="35AA1665">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5929E3AD">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38.6.1.2除专用条款另有约定外，自发包人收到承包人的设计文件以及承包人的书面通知之日起，</w:t>
      </w:r>
      <w:r>
        <w:rPr>
          <w:rFonts w:hint="eastAsia" w:ascii="仿宋" w:hAnsi="仿宋" w:eastAsia="仿宋" w:cs="仿宋"/>
          <w:color w:val="000000" w:themeColor="text1"/>
          <w:highlight w:val="none"/>
          <w:lang w:eastAsia="zh-CN"/>
          <w14:textFill>
            <w14:solidFill>
              <w14:schemeClr w14:val="tx1"/>
            </w14:solidFill>
          </w14:textFill>
        </w:rPr>
        <w:t>应及时通知设计顾问人对设计文件予以核实或审核并完成发包人审查，</w:t>
      </w:r>
      <w:r>
        <w:rPr>
          <w:rFonts w:hint="eastAsia" w:ascii="仿宋" w:hAnsi="仿宋" w:eastAsia="仿宋"/>
          <w:color w:val="000000" w:themeColor="text1"/>
          <w:highlight w:val="none"/>
          <w:lang w:eastAsia="zh-CN"/>
          <w14:textFill>
            <w14:solidFill>
              <w14:schemeClr w14:val="tx1"/>
            </w14:solidFill>
          </w14:textFill>
        </w:rPr>
        <w:t>发包人对承包人的设计文件审查期不超过21天。</w:t>
      </w:r>
    </w:p>
    <w:p w14:paraId="37104C86">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07548102">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38.6.1.4发包人经审查同意承包人的设计文件的，应以书面形式通知承包人。合同约定的审查期满，发包人没有做出审查结论也没有提出异议的，视为承包人送审的设计文件已获发包人同意。</w:t>
      </w:r>
    </w:p>
    <w:p w14:paraId="4FE5D269">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38.6.1.5 承包人的设计文件不需要政府有关部门审查或批准的，承包人应依据发包人审查同意的初步设计进行施工图设计，或依据发包人审查同意的施工图组织施工。</w:t>
      </w:r>
    </w:p>
    <w:p w14:paraId="3EC5F830">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38.6.2政府部门审查或批准</w:t>
      </w:r>
    </w:p>
    <w:p w14:paraId="4BCF0E72">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000000" w:themeColor="text1"/>
          <w:highlight w:val="none"/>
          <w:lang w:eastAsia="zh-CN"/>
          <w14:textFill>
            <w14:solidFill>
              <w14:schemeClr w14:val="tx1"/>
            </w14:solidFill>
          </w14:textFill>
        </w:rPr>
        <w:t>予以</w:t>
      </w:r>
      <w:r>
        <w:rPr>
          <w:rFonts w:hint="eastAsia" w:ascii="仿宋" w:hAnsi="仿宋" w:eastAsia="仿宋"/>
          <w:color w:val="000000" w:themeColor="text1"/>
          <w:highlight w:val="none"/>
          <w:lang w:eastAsia="zh-CN"/>
          <w14:textFill>
            <w14:solidFill>
              <w14:schemeClr w14:val="tx1"/>
            </w14:solidFill>
          </w14:textFill>
        </w:rPr>
        <w:t>协助。</w:t>
      </w:r>
    </w:p>
    <w:p w14:paraId="616A106A">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38.6.2.2</w:t>
      </w:r>
      <w:r>
        <w:rPr>
          <w:rFonts w:ascii="仿宋" w:hAnsi="仿宋" w:eastAsia="仿宋"/>
          <w:color w:val="000000" w:themeColor="text1"/>
          <w:highlight w:val="none"/>
          <w:lang w:eastAsia="zh-CN"/>
          <w14:textFill>
            <w14:solidFill>
              <w14:schemeClr w14:val="tx1"/>
            </w14:solidFill>
          </w14:textFill>
        </w:rPr>
        <w:t>发包人</w:t>
      </w:r>
      <w:r>
        <w:rPr>
          <w:rFonts w:hint="eastAsia" w:ascii="仿宋" w:hAnsi="仿宋" w:eastAsia="仿宋"/>
          <w:color w:val="000000" w:themeColor="text1"/>
          <w:highlight w:val="none"/>
          <w:lang w:eastAsia="zh-CN"/>
          <w14:textFill>
            <w14:solidFill>
              <w14:schemeClr w14:val="tx1"/>
            </w14:solidFill>
          </w14:textFill>
        </w:rPr>
        <w:t>应</w:t>
      </w:r>
      <w:r>
        <w:rPr>
          <w:rFonts w:ascii="仿宋" w:hAnsi="仿宋" w:eastAsia="仿宋"/>
          <w:color w:val="000000" w:themeColor="text1"/>
          <w:highlight w:val="none"/>
          <w:lang w:eastAsia="zh-CN"/>
          <w14:textFill>
            <w14:solidFill>
              <w14:schemeClr w14:val="tx1"/>
            </w14:solidFill>
          </w14:textFill>
        </w:rPr>
        <w:t>向承包人提供</w:t>
      </w:r>
      <w:r>
        <w:rPr>
          <w:rFonts w:hint="eastAsia" w:ascii="仿宋" w:hAnsi="仿宋" w:eastAsia="仿宋"/>
          <w:color w:val="000000" w:themeColor="text1"/>
          <w:highlight w:val="none"/>
          <w:lang w:eastAsia="zh-CN"/>
          <w14:textFill>
            <w14:solidFill>
              <w14:schemeClr w14:val="tx1"/>
            </w14:solidFill>
          </w14:textFill>
        </w:rPr>
        <w:t>政府有关部门或施工图审查机构</w:t>
      </w:r>
      <w:r>
        <w:rPr>
          <w:rFonts w:ascii="仿宋" w:hAnsi="仿宋" w:eastAsia="仿宋"/>
          <w:color w:val="000000" w:themeColor="text1"/>
          <w:highlight w:val="none"/>
          <w:lang w:eastAsia="zh-CN"/>
          <w14:textFill>
            <w14:solidFill>
              <w14:schemeClr w14:val="tx1"/>
            </w14:solidFill>
          </w14:textFill>
        </w:rPr>
        <w:t>的批准文件和</w:t>
      </w:r>
      <w:r>
        <w:rPr>
          <w:rFonts w:hint="eastAsia" w:ascii="仿宋" w:hAnsi="仿宋" w:eastAsia="仿宋"/>
          <w:color w:val="000000" w:themeColor="text1"/>
          <w:highlight w:val="none"/>
          <w:lang w:eastAsia="zh-CN"/>
          <w14:textFill>
            <w14:solidFill>
              <w14:schemeClr w14:val="tx1"/>
            </w14:solidFill>
          </w14:textFill>
        </w:rPr>
        <w:t>审查意见。</w:t>
      </w:r>
      <w:r>
        <w:rPr>
          <w:rFonts w:ascii="仿宋" w:hAnsi="仿宋" w:eastAsia="仿宋"/>
          <w:color w:val="000000" w:themeColor="text1"/>
          <w:highlight w:val="none"/>
          <w:lang w:eastAsia="zh-CN"/>
          <w14:textFill>
            <w14:solidFill>
              <w14:schemeClr w14:val="tx1"/>
            </w14:solidFill>
          </w14:textFill>
        </w:rPr>
        <w:t>承包人</w:t>
      </w:r>
      <w:r>
        <w:rPr>
          <w:rFonts w:hint="eastAsia" w:ascii="仿宋" w:hAnsi="仿宋" w:eastAsia="仿宋"/>
          <w:color w:val="000000" w:themeColor="text1"/>
          <w:highlight w:val="none"/>
          <w:lang w:eastAsia="zh-CN"/>
          <w14:textFill>
            <w14:solidFill>
              <w14:schemeClr w14:val="tx1"/>
            </w14:solidFill>
          </w14:textFill>
        </w:rPr>
        <w:t>应按照相关审查批准文件对设计文件进行补充、修改和完善。</w:t>
      </w:r>
    </w:p>
    <w:p w14:paraId="3D04AD0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38.6.2.3经政府有关部门或</w:t>
      </w:r>
      <w:r>
        <w:rPr>
          <w:rFonts w:ascii="仿宋" w:hAnsi="仿宋" w:eastAsia="仿宋"/>
          <w:color w:val="000000" w:themeColor="text1"/>
          <w:highlight w:val="none"/>
          <w:lang w:eastAsia="zh-CN"/>
          <w14:textFill>
            <w14:solidFill>
              <w14:schemeClr w14:val="tx1"/>
            </w14:solidFill>
          </w14:textFill>
        </w:rPr>
        <w:t>施工图</w:t>
      </w:r>
      <w:r>
        <w:rPr>
          <w:rFonts w:hint="eastAsia" w:ascii="仿宋" w:hAnsi="仿宋" w:eastAsia="仿宋"/>
          <w:color w:val="000000" w:themeColor="text1"/>
          <w:highlight w:val="none"/>
          <w:lang w:eastAsia="zh-CN"/>
          <w14:textFill>
            <w14:solidFill>
              <w14:schemeClr w14:val="tx1"/>
            </w14:solidFill>
          </w14:textFill>
        </w:rPr>
        <w:t>审查机构审查，需要修改发包人要求的，发包人应重新提出发包人要求，通知承包人相应修改设计文件，并重新送审，承包人可根据第63条约定提出变更申请，由发包人承担增加的工程费或工程设计费。</w:t>
      </w:r>
    </w:p>
    <w:p w14:paraId="776E4B9D">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38.6.3 审查会议</w:t>
      </w:r>
    </w:p>
    <w:p w14:paraId="5D57CC15">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38.6.3.1 承包人向发包人送审初步设计文件和（或）施工图前，应组织相关专家对设计文件进行评审，通知</w:t>
      </w:r>
      <w:r>
        <w:rPr>
          <w:rFonts w:ascii="仿宋" w:hAnsi="仿宋" w:eastAsia="仿宋"/>
          <w:color w:val="000000" w:themeColor="text1"/>
          <w:highlight w:val="none"/>
          <w:lang w:eastAsia="zh-CN"/>
          <w14:textFill>
            <w14:solidFill>
              <w14:schemeClr w14:val="tx1"/>
            </w14:solidFill>
          </w14:textFill>
        </w:rPr>
        <w:t>发包</w:t>
      </w:r>
      <w:r>
        <w:rPr>
          <w:rFonts w:hint="eastAsia" w:ascii="仿宋" w:hAnsi="仿宋" w:eastAsia="仿宋"/>
          <w:color w:val="000000" w:themeColor="text1"/>
          <w:highlight w:val="none"/>
          <w:lang w:eastAsia="zh-CN"/>
          <w14:textFill>
            <w14:solidFill>
              <w14:schemeClr w14:val="tx1"/>
            </w14:solidFill>
          </w14:textFill>
        </w:rPr>
        <w:t>人及设计顾问人、监理人、造价咨询人等相关方参加，根据专家评审意见修正设计文件，相关会议及评审费用由承包人自行承担。</w:t>
      </w:r>
    </w:p>
    <w:p w14:paraId="0C3D19D3">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38.6.3.2发包人需要组织审查会议的，审查会议的审查形式和时间安排应在专用条款中约定，相关会议费用及评审费用由发包人承担。</w:t>
      </w:r>
      <w:r>
        <w:rPr>
          <w:rFonts w:ascii="仿宋" w:hAnsi="仿宋" w:eastAsia="仿宋"/>
          <w:color w:val="000000" w:themeColor="text1"/>
          <w:highlight w:val="none"/>
          <w:lang w:eastAsia="zh-CN"/>
          <w14:textFill>
            <w14:solidFill>
              <w14:schemeClr w14:val="tx1"/>
            </w14:solidFill>
          </w14:textFill>
        </w:rPr>
        <w:t>承包人</w:t>
      </w:r>
      <w:r>
        <w:rPr>
          <w:rFonts w:hint="eastAsia" w:ascii="仿宋" w:hAnsi="仿宋" w:eastAsia="仿宋"/>
          <w:color w:val="000000" w:themeColor="text1"/>
          <w:highlight w:val="none"/>
          <w:lang w:eastAsia="zh-CN"/>
          <w14:textFill>
            <w14:solidFill>
              <w14:schemeClr w14:val="tx1"/>
            </w14:solidFill>
          </w14:textFill>
        </w:rPr>
        <w:t>应</w:t>
      </w:r>
      <w:r>
        <w:rPr>
          <w:rFonts w:ascii="仿宋" w:hAnsi="仿宋" w:eastAsia="仿宋"/>
          <w:color w:val="000000" w:themeColor="text1"/>
          <w:highlight w:val="none"/>
          <w:lang w:eastAsia="zh-CN"/>
          <w14:textFill>
            <w14:solidFill>
              <w14:schemeClr w14:val="tx1"/>
            </w14:solidFill>
          </w14:textFill>
        </w:rPr>
        <w:t>协助发包人组织设计审查会议</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向审查</w:t>
      </w:r>
      <w:r>
        <w:rPr>
          <w:rFonts w:hint="eastAsia" w:ascii="仿宋" w:hAnsi="仿宋" w:eastAsia="仿宋"/>
          <w:color w:val="000000" w:themeColor="text1"/>
          <w:highlight w:val="none"/>
          <w:lang w:eastAsia="zh-CN"/>
          <w14:textFill>
            <w14:solidFill>
              <w14:schemeClr w14:val="tx1"/>
            </w14:solidFill>
          </w14:textFill>
        </w:rPr>
        <w:t>人员</w:t>
      </w:r>
      <w:r>
        <w:rPr>
          <w:rFonts w:ascii="仿宋" w:hAnsi="仿宋" w:eastAsia="仿宋"/>
          <w:color w:val="000000" w:themeColor="text1"/>
          <w:highlight w:val="none"/>
          <w:lang w:eastAsia="zh-CN"/>
          <w14:textFill>
            <w14:solidFill>
              <w14:schemeClr w14:val="tx1"/>
            </w14:solidFill>
          </w14:textFill>
        </w:rPr>
        <w:t>介绍、解答、解释其设计文件，并提供</w:t>
      </w:r>
      <w:r>
        <w:rPr>
          <w:rFonts w:hint="eastAsia" w:ascii="仿宋" w:hAnsi="仿宋" w:eastAsia="仿宋"/>
          <w:color w:val="000000" w:themeColor="text1"/>
          <w:highlight w:val="none"/>
          <w:lang w:eastAsia="zh-CN"/>
          <w14:textFill>
            <w14:solidFill>
              <w14:schemeClr w14:val="tx1"/>
            </w14:solidFill>
          </w14:textFill>
        </w:rPr>
        <w:t>有关补充</w:t>
      </w:r>
      <w:r>
        <w:rPr>
          <w:rFonts w:ascii="仿宋" w:hAnsi="仿宋" w:eastAsia="仿宋"/>
          <w:color w:val="000000" w:themeColor="text1"/>
          <w:highlight w:val="none"/>
          <w:lang w:eastAsia="zh-CN"/>
          <w14:textFill>
            <w14:solidFill>
              <w14:schemeClr w14:val="tx1"/>
            </w14:solidFill>
          </w14:textFill>
        </w:rPr>
        <w:t>资料。</w:t>
      </w:r>
    </w:p>
    <w:p w14:paraId="1F145F1D">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38.6.4审查延误</w:t>
      </w:r>
    </w:p>
    <w:p w14:paraId="6B919C7F">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38.6.4.1</w:t>
      </w:r>
      <w:r>
        <w:rPr>
          <w:rFonts w:ascii="仿宋" w:hAnsi="仿宋" w:eastAsia="仿宋"/>
          <w:color w:val="000000" w:themeColor="text1"/>
          <w:highlight w:val="none"/>
          <w:lang w:eastAsia="zh-CN"/>
          <w14:textFill>
            <w14:solidFill>
              <w14:schemeClr w14:val="tx1"/>
            </w14:solidFill>
          </w14:textFill>
        </w:rPr>
        <w:t>因承包人原因，未能按</w:t>
      </w:r>
      <w:r>
        <w:rPr>
          <w:rFonts w:hint="eastAsia" w:ascii="仿宋" w:hAnsi="仿宋" w:eastAsia="仿宋"/>
          <w:color w:val="000000" w:themeColor="text1"/>
          <w:highlight w:val="none"/>
          <w:lang w:eastAsia="zh-CN"/>
          <w14:textFill>
            <w14:solidFill>
              <w14:schemeClr w14:val="tx1"/>
            </w14:solidFill>
          </w14:textFill>
        </w:rPr>
        <w:t>专用条款</w:t>
      </w:r>
      <w:r>
        <w:rPr>
          <w:rFonts w:ascii="仿宋" w:hAnsi="仿宋" w:eastAsia="仿宋"/>
          <w:color w:val="000000" w:themeColor="text1"/>
          <w:highlight w:val="none"/>
          <w:lang w:eastAsia="zh-CN"/>
          <w14:textFill>
            <w14:solidFill>
              <w14:schemeClr w14:val="tx1"/>
            </w14:solidFill>
          </w14:textFill>
        </w:rPr>
        <w:t>约定的时间，向发包人提交</w:t>
      </w:r>
      <w:r>
        <w:rPr>
          <w:rFonts w:hint="eastAsia" w:ascii="仿宋" w:hAnsi="仿宋" w:eastAsia="仿宋"/>
          <w:color w:val="000000" w:themeColor="text1"/>
          <w:highlight w:val="none"/>
          <w:lang w:eastAsia="zh-CN"/>
          <w14:textFill>
            <w14:solidFill>
              <w14:schemeClr w14:val="tx1"/>
            </w14:solidFill>
          </w14:textFill>
        </w:rPr>
        <w:t>初步设计文件和（或）施工图</w:t>
      </w:r>
      <w:r>
        <w:rPr>
          <w:rFonts w:ascii="仿宋" w:hAnsi="仿宋" w:eastAsia="仿宋"/>
          <w:color w:val="000000" w:themeColor="text1"/>
          <w:highlight w:val="none"/>
          <w:lang w:eastAsia="zh-CN"/>
          <w14:textFill>
            <w14:solidFill>
              <w14:schemeClr w14:val="tx1"/>
            </w14:solidFill>
          </w14:textFill>
        </w:rPr>
        <w:t>设计阶段的完整设计文件，致使相</w:t>
      </w:r>
      <w:r>
        <w:rPr>
          <w:rFonts w:hint="eastAsia" w:ascii="仿宋" w:hAnsi="仿宋" w:eastAsia="仿宋"/>
          <w:color w:val="000000" w:themeColor="text1"/>
          <w:highlight w:val="none"/>
          <w:lang w:eastAsia="zh-CN"/>
          <w14:textFill>
            <w14:solidFill>
              <w14:schemeClr w14:val="tx1"/>
            </w14:solidFill>
          </w14:textFill>
        </w:rPr>
        <w:t>应</w:t>
      </w:r>
      <w:r>
        <w:rPr>
          <w:rFonts w:ascii="仿宋" w:hAnsi="仿宋" w:eastAsia="仿宋"/>
          <w:color w:val="000000" w:themeColor="text1"/>
          <w:highlight w:val="none"/>
          <w:lang w:eastAsia="zh-CN"/>
          <w14:textFill>
            <w14:solidFill>
              <w14:schemeClr w14:val="tx1"/>
            </w14:solidFill>
          </w14:textFill>
        </w:rPr>
        <w:t>设计阶段的</w:t>
      </w:r>
      <w:r>
        <w:rPr>
          <w:rFonts w:hint="eastAsia" w:ascii="仿宋" w:hAnsi="仿宋" w:eastAsia="仿宋"/>
          <w:color w:val="000000" w:themeColor="text1"/>
          <w:highlight w:val="none"/>
          <w:lang w:eastAsia="zh-CN"/>
          <w14:textFill>
            <w14:solidFill>
              <w14:schemeClr w14:val="tx1"/>
            </w14:solidFill>
          </w14:textFill>
        </w:rPr>
        <w:t>设计审查</w:t>
      </w:r>
      <w:r>
        <w:rPr>
          <w:rFonts w:ascii="仿宋" w:hAnsi="仿宋" w:eastAsia="仿宋"/>
          <w:color w:val="000000" w:themeColor="text1"/>
          <w:highlight w:val="none"/>
          <w:lang w:eastAsia="zh-CN"/>
          <w14:textFill>
            <w14:solidFill>
              <w14:schemeClr w14:val="tx1"/>
            </w14:solidFill>
          </w14:textFill>
        </w:rPr>
        <w:t>无法进行或无法按期进行，造成的</w:t>
      </w:r>
      <w:r>
        <w:rPr>
          <w:rFonts w:hint="eastAsia" w:ascii="仿宋" w:hAnsi="仿宋" w:eastAsia="仿宋"/>
          <w:color w:val="000000" w:themeColor="text1"/>
          <w:highlight w:val="none"/>
          <w:lang w:eastAsia="zh-CN"/>
          <w14:textFill>
            <w14:solidFill>
              <w14:schemeClr w14:val="tx1"/>
            </w14:solidFill>
          </w14:textFill>
        </w:rPr>
        <w:t>设计工期延长</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后续设计施工延误</w:t>
      </w:r>
      <w:r>
        <w:rPr>
          <w:rFonts w:ascii="仿宋" w:hAnsi="仿宋" w:eastAsia="仿宋"/>
          <w:color w:val="000000" w:themeColor="text1"/>
          <w:highlight w:val="none"/>
          <w:lang w:eastAsia="zh-CN"/>
          <w14:textFill>
            <w14:solidFill>
              <w14:schemeClr w14:val="tx1"/>
            </w14:solidFill>
          </w14:textFill>
        </w:rPr>
        <w:t>及</w:t>
      </w:r>
      <w:r>
        <w:rPr>
          <w:rFonts w:hint="eastAsia" w:ascii="仿宋" w:hAnsi="仿宋" w:eastAsia="仿宋"/>
          <w:color w:val="000000" w:themeColor="text1"/>
          <w:highlight w:val="none"/>
          <w:lang w:eastAsia="zh-CN"/>
          <w14:textFill>
            <w14:solidFill>
              <w14:schemeClr w14:val="tx1"/>
            </w14:solidFill>
          </w14:textFill>
        </w:rPr>
        <w:t>费用增加</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责任</w:t>
      </w:r>
      <w:r>
        <w:rPr>
          <w:rFonts w:ascii="仿宋" w:hAnsi="仿宋" w:eastAsia="仿宋"/>
          <w:color w:val="000000" w:themeColor="text1"/>
          <w:highlight w:val="none"/>
          <w:lang w:eastAsia="zh-CN"/>
          <w14:textFill>
            <w14:solidFill>
              <w14:schemeClr w14:val="tx1"/>
            </w14:solidFill>
          </w14:textFill>
        </w:rPr>
        <w:t>由承包人承担。</w:t>
      </w:r>
    </w:p>
    <w:p w14:paraId="4C2DA07C">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38.6.4.2因发包人原因导致设计文件审查</w:t>
      </w:r>
      <w:r>
        <w:rPr>
          <w:rFonts w:ascii="仿宋" w:hAnsi="仿宋" w:eastAsia="仿宋"/>
          <w:color w:val="000000" w:themeColor="text1"/>
          <w:highlight w:val="none"/>
          <w:lang w:eastAsia="zh-CN"/>
          <w14:textFill>
            <w14:solidFill>
              <w14:schemeClr w14:val="tx1"/>
            </w14:solidFill>
          </w14:textFill>
        </w:rPr>
        <w:t>无法进行或无法按期进行，造成的</w:t>
      </w:r>
      <w:r>
        <w:rPr>
          <w:rFonts w:hint="eastAsia" w:ascii="仿宋" w:hAnsi="仿宋" w:eastAsia="仿宋"/>
          <w:color w:val="000000" w:themeColor="text1"/>
          <w:highlight w:val="none"/>
          <w:lang w:eastAsia="zh-CN"/>
          <w14:textFill>
            <w14:solidFill>
              <w14:schemeClr w14:val="tx1"/>
            </w14:solidFill>
          </w14:textFill>
        </w:rPr>
        <w:t>设计工期延长及费用增加</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责任</w:t>
      </w:r>
      <w:r>
        <w:rPr>
          <w:rFonts w:ascii="仿宋" w:hAnsi="仿宋" w:eastAsia="仿宋"/>
          <w:color w:val="000000" w:themeColor="text1"/>
          <w:highlight w:val="none"/>
          <w:lang w:eastAsia="zh-CN"/>
          <w14:textFill>
            <w14:solidFill>
              <w14:schemeClr w14:val="tx1"/>
            </w14:solidFill>
          </w14:textFill>
        </w:rPr>
        <w:t>由</w:t>
      </w:r>
      <w:r>
        <w:rPr>
          <w:rFonts w:hint="eastAsia" w:ascii="仿宋" w:hAnsi="仿宋" w:eastAsia="仿宋"/>
          <w:color w:val="000000" w:themeColor="text1"/>
          <w:highlight w:val="none"/>
          <w:lang w:eastAsia="zh-CN"/>
          <w14:textFill>
            <w14:solidFill>
              <w14:schemeClr w14:val="tx1"/>
            </w14:solidFill>
          </w14:textFill>
        </w:rPr>
        <w:t>发</w:t>
      </w:r>
      <w:r>
        <w:rPr>
          <w:rFonts w:ascii="仿宋" w:hAnsi="仿宋" w:eastAsia="仿宋"/>
          <w:color w:val="000000" w:themeColor="text1"/>
          <w:highlight w:val="none"/>
          <w:lang w:eastAsia="zh-CN"/>
          <w14:textFill>
            <w14:solidFill>
              <w14:schemeClr w14:val="tx1"/>
            </w14:solidFill>
          </w14:textFill>
        </w:rPr>
        <w:t>包人承担。</w:t>
      </w:r>
    </w:p>
    <w:p w14:paraId="0D7281B4">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38.6.5审查责任的免除</w:t>
      </w:r>
    </w:p>
    <w:p w14:paraId="7CE682E5">
      <w:pPr>
        <w:widowControl w:val="0"/>
        <w:tabs>
          <w:tab w:val="left" w:pos="497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设计文件的审查，</w:t>
      </w:r>
      <w:r>
        <w:rPr>
          <w:rFonts w:ascii="仿宋" w:hAnsi="仿宋" w:eastAsia="仿宋"/>
          <w:color w:val="000000" w:themeColor="text1"/>
          <w:highlight w:val="none"/>
          <w:lang w:eastAsia="zh-CN"/>
          <w14:textFill>
            <w14:solidFill>
              <w14:schemeClr w14:val="tx1"/>
            </w14:solidFill>
          </w14:textFill>
        </w:rPr>
        <w:t>不减轻或免除承包人</w:t>
      </w:r>
      <w:r>
        <w:rPr>
          <w:rFonts w:hint="eastAsia" w:ascii="仿宋" w:hAnsi="仿宋" w:eastAsia="仿宋"/>
          <w:color w:val="000000" w:themeColor="text1"/>
          <w:highlight w:val="none"/>
          <w:lang w:eastAsia="zh-CN"/>
          <w14:textFill>
            <w14:solidFill>
              <w14:schemeClr w14:val="tx1"/>
            </w14:solidFill>
          </w14:textFill>
        </w:rPr>
        <w:t>依据法律规定与</w:t>
      </w:r>
      <w:r>
        <w:rPr>
          <w:rFonts w:ascii="仿宋" w:hAnsi="仿宋" w:eastAsia="仿宋"/>
          <w:color w:val="000000" w:themeColor="text1"/>
          <w:highlight w:val="none"/>
          <w:lang w:eastAsia="zh-CN"/>
          <w14:textFill>
            <w14:solidFill>
              <w14:schemeClr w14:val="tx1"/>
            </w14:solidFill>
          </w14:textFill>
        </w:rPr>
        <w:t>合同</w:t>
      </w:r>
      <w:r>
        <w:rPr>
          <w:rFonts w:hint="eastAsia" w:ascii="仿宋" w:hAnsi="仿宋" w:eastAsia="仿宋"/>
          <w:color w:val="000000" w:themeColor="text1"/>
          <w:highlight w:val="none"/>
          <w:lang w:eastAsia="zh-CN"/>
          <w14:textFill>
            <w14:solidFill>
              <w14:schemeClr w14:val="tx1"/>
            </w14:solidFill>
          </w14:textFill>
        </w:rPr>
        <w:t>约定应当承担的责任。</w:t>
      </w:r>
    </w:p>
    <w:p w14:paraId="32388759">
      <w:pPr>
        <w:spacing w:line="360" w:lineRule="auto"/>
        <w:ind w:left="1687" w:hanging="1687" w:hangingChars="7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38.7</w:t>
      </w:r>
    </w:p>
    <w:p w14:paraId="3DAD3A6C">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35DAF3A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5488;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35DAF3A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39A719F3">
      <w:pPr>
        <w:spacing w:line="360" w:lineRule="auto"/>
        <w:rPr>
          <w:rFonts w:ascii="仿宋" w:hAnsi="仿宋" w:eastAsia="仿宋" w:cs="仿宋"/>
          <w:color w:val="000000" w:themeColor="text1"/>
          <w:highlight w:val="none"/>
          <w:lang w:eastAsia="zh-CN"/>
          <w14:textFill>
            <w14:solidFill>
              <w14:schemeClr w14:val="tx1"/>
            </w14:solidFill>
          </w14:textFill>
        </w:rPr>
      </w:pPr>
    </w:p>
    <w:p w14:paraId="5A9B5B83">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50" w:name="_Toc149731472"/>
      <w:bookmarkStart w:id="251" w:name="_Toc12956"/>
      <w:r>
        <w:rPr>
          <w:rFonts w:hint="eastAsia" w:ascii="仿宋" w:hAnsi="仿宋" w:eastAsia="仿宋" w:cs="仿宋"/>
          <w:bCs w:val="0"/>
          <w:color w:val="000000" w:themeColor="text1"/>
          <w:sz w:val="24"/>
          <w:szCs w:val="24"/>
          <w:highlight w:val="none"/>
          <w:lang w:eastAsia="zh-CN"/>
          <w14:textFill>
            <w14:solidFill>
              <w14:schemeClr w14:val="tx1"/>
            </w14:solidFill>
          </w14:textFill>
        </w:rPr>
        <w:t>39  BIM技术应用</w:t>
      </w:r>
      <w:bookmarkEnd w:id="250"/>
      <w:bookmarkEnd w:id="251"/>
    </w:p>
    <w:p w14:paraId="1512A16F">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3D78E97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8080;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3D78E97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000000" w:themeColor="text1"/>
          <w:highlight w:val="none"/>
          <w:lang w:eastAsia="zh-CN"/>
          <w14:textFill>
            <w14:solidFill>
              <w14:schemeClr w14:val="tx1"/>
            </w14:solidFill>
          </w14:textFill>
        </w:rPr>
        <w:t>39.1</w:t>
      </w:r>
    </w:p>
    <w:p w14:paraId="06C7E7EF">
      <w:pPr>
        <w:widowControl w:val="0"/>
        <w:tabs>
          <w:tab w:val="left" w:pos="1320"/>
        </w:tabs>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3E196FAD">
      <w:pPr>
        <w:widowControl w:val="0"/>
        <w:tabs>
          <w:tab w:val="left" w:pos="4970"/>
        </w:tabs>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承包人因自身完成的勘察报告、设计文件或其他途径得到的资料存在错漏，导致BIM技术工作延误、成果错误及费用增加，责任由承包人承担。</w:t>
      </w:r>
    </w:p>
    <w:p w14:paraId="70DE0DFF">
      <w:pPr>
        <w:tabs>
          <w:tab w:val="left" w:pos="4970"/>
        </w:tabs>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b/>
          <w:bCs/>
          <w:color w:val="000000" w:themeColor="text1"/>
          <w:highlight w:val="none"/>
          <w:lang w:eastAsia="zh-CN"/>
          <w14:textFill>
            <w14:solidFill>
              <w14:schemeClr w14:val="tx1"/>
            </w14:solidFill>
          </w14:textFill>
        </w:rPr>
        <w:t>39.2</w:t>
      </w:r>
    </w:p>
    <w:p w14:paraId="11CBDACA">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7722565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705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7722565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39.2.1承包人应在BIM技术应用工作开始日期前，编制BIM技术应用工作方案，并按专用条款约定的方式和时间报发包人审查或备案。</w:t>
      </w:r>
    </w:p>
    <w:p w14:paraId="5495214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39.2.2 BIM技术应用工作方案应包括项目基本情况、人员安排、工作进度、技术标准、工作量、质量保证体系以及需要发包人配合事项等。</w:t>
      </w:r>
    </w:p>
    <w:p w14:paraId="782A1C25">
      <w:pPr>
        <w:tabs>
          <w:tab w:val="left" w:pos="4970"/>
        </w:tabs>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b/>
          <w:bCs/>
          <w:color w:val="000000" w:themeColor="text1"/>
          <w:highlight w:val="none"/>
          <w:lang w:eastAsia="zh-CN"/>
          <w14:textFill>
            <w14:solidFill>
              <w14:schemeClr w14:val="tx1"/>
            </w14:solidFill>
          </w14:textFill>
        </w:rPr>
        <w:t>39.3</w:t>
      </w:r>
    </w:p>
    <w:p w14:paraId="0286AD9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0749CB3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7910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0749CB3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39.3.1承包人应根据发包人审查批准或备案的BIM技术应用工作方案、发包人要求并依据有关技术标准开展BIM技术应用。具体应用内容和要求，由合同双方在专用条款和发包人要求中约定。</w:t>
      </w:r>
    </w:p>
    <w:p w14:paraId="03BED80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39.3.2勘察阶段，承包人应采用BIM技术建立与相关勘察图纸配套的建筑信息模型（BIM）。</w:t>
      </w:r>
    </w:p>
    <w:p w14:paraId="4B7200F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39.3.3在初步设计阶段，承包人应采用BIM技术进行正向设计或建模与出图同步完成的设计方式，建立本工程的建筑信息模型（BIM）并出具初步设计文件。</w:t>
      </w:r>
    </w:p>
    <w:p w14:paraId="6F9B3F89">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31E1507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39.3.5施工阶段，承包人应采用BIM技术编制施工方案和绿色安全防护措施，优化施工工艺流程，建立BIM信息管理平台，统筹协调施工进度。</w:t>
      </w:r>
    </w:p>
    <w:p w14:paraId="2BD811FD">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1B36D1F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39.3.7运维阶段（如果有），承包人应按发包人要求和专用条款的约定，建立运营维护所需要的建筑信息模型（BIM）。</w:t>
      </w:r>
    </w:p>
    <w:p w14:paraId="21215C9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39.3.8承包人宜应用BIM技术方法，进行工程计量、计价，编制本项目工程的概算、施工图预算、竣工结算等造价文件，并配合发包人及造价咨询人的审核。</w:t>
      </w:r>
    </w:p>
    <w:p w14:paraId="17E95290">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6D112C0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39.3.10发包人、政府有关部门、施工图审查机构对设计文件审查有BIM技术应用要求的，承包人应予以配合执行。</w:t>
      </w:r>
    </w:p>
    <w:p w14:paraId="46D256CA">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25F6067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3440;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25F6067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39.4</w:t>
      </w:r>
    </w:p>
    <w:p w14:paraId="0E586C3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713C0B83">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27928DC3">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 xml:space="preserve">39.4.3 </w:t>
      </w:r>
      <w:r>
        <w:rPr>
          <w:rFonts w:ascii="仿宋" w:hAnsi="仿宋" w:eastAsia="仿宋"/>
          <w:color w:val="000000" w:themeColor="text1"/>
          <w:highlight w:val="none"/>
          <w:lang w:eastAsia="zh-CN"/>
          <w14:textFill>
            <w14:solidFill>
              <w14:schemeClr w14:val="tx1"/>
            </w14:solidFill>
          </w14:textFill>
        </w:rPr>
        <w:t>因承包人原因，造成</w:t>
      </w:r>
      <w:r>
        <w:rPr>
          <w:rFonts w:hint="eastAsia" w:ascii="仿宋" w:hAnsi="仿宋" w:eastAsia="仿宋"/>
          <w:color w:val="000000" w:themeColor="text1"/>
          <w:highlight w:val="none"/>
          <w:lang w:eastAsia="zh-CN"/>
          <w14:textFill>
            <w14:solidFill>
              <w14:schemeClr w14:val="tx1"/>
            </w14:solidFill>
          </w14:textFill>
        </w:rPr>
        <w:t>各阶段BIM模型及有关应用成果</w:t>
      </w:r>
      <w:r>
        <w:rPr>
          <w:rFonts w:ascii="仿宋" w:hAnsi="仿宋" w:eastAsia="仿宋"/>
          <w:color w:val="000000" w:themeColor="text1"/>
          <w:highlight w:val="none"/>
          <w:lang w:eastAsia="zh-CN"/>
          <w14:textFill>
            <w14:solidFill>
              <w14:schemeClr w14:val="tx1"/>
            </w14:solidFill>
          </w14:textFill>
        </w:rPr>
        <w:t>存在遗漏、错误的，承包人应</w:t>
      </w:r>
      <w:r>
        <w:rPr>
          <w:rFonts w:hint="eastAsia" w:ascii="仿宋" w:hAnsi="仿宋" w:eastAsia="仿宋"/>
          <w:color w:val="000000" w:themeColor="text1"/>
          <w:highlight w:val="none"/>
          <w:lang w:eastAsia="zh-CN"/>
          <w14:textFill>
            <w14:solidFill>
              <w14:schemeClr w14:val="tx1"/>
            </w14:solidFill>
          </w14:textFill>
        </w:rPr>
        <w:t>补充、</w:t>
      </w:r>
      <w:r>
        <w:rPr>
          <w:rFonts w:ascii="仿宋" w:hAnsi="仿宋" w:eastAsia="仿宋"/>
          <w:color w:val="000000" w:themeColor="text1"/>
          <w:highlight w:val="none"/>
          <w:lang w:eastAsia="zh-CN"/>
          <w14:textFill>
            <w14:solidFill>
              <w14:schemeClr w14:val="tx1"/>
            </w14:solidFill>
          </w14:textFill>
        </w:rPr>
        <w:t>修</w:t>
      </w:r>
      <w:r>
        <w:rPr>
          <w:rFonts w:hint="eastAsia" w:ascii="仿宋" w:hAnsi="仿宋" w:eastAsia="仿宋"/>
          <w:color w:val="000000" w:themeColor="text1"/>
          <w:highlight w:val="none"/>
          <w:lang w:eastAsia="zh-CN"/>
          <w14:textFill>
            <w14:solidFill>
              <w14:schemeClr w14:val="tx1"/>
            </w14:solidFill>
          </w14:textFill>
        </w:rPr>
        <w:t>正</w:t>
      </w:r>
      <w:r>
        <w:rPr>
          <w:rFonts w:ascii="仿宋" w:hAnsi="仿宋" w:eastAsia="仿宋"/>
          <w:color w:val="000000" w:themeColor="text1"/>
          <w:highlight w:val="none"/>
          <w:lang w:eastAsia="zh-CN"/>
          <w14:textFill>
            <w14:solidFill>
              <w14:schemeClr w14:val="tx1"/>
            </w14:solidFill>
          </w14:textFill>
        </w:rPr>
        <w:t>和完善</w:t>
      </w:r>
      <w:r>
        <w:rPr>
          <w:rFonts w:hint="eastAsia" w:ascii="仿宋" w:hAnsi="仿宋" w:eastAsia="仿宋"/>
          <w:color w:val="000000" w:themeColor="text1"/>
          <w:highlight w:val="none"/>
          <w:lang w:eastAsia="zh-CN"/>
          <w14:textFill>
            <w14:solidFill>
              <w14:schemeClr w14:val="tx1"/>
            </w14:solidFill>
          </w14:textFill>
        </w:rPr>
        <w:t>，由此产生的费用由承包人承担</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因此对相关设计、采购、施工等造成的工期延误及费用增加由承包人承担。</w:t>
      </w:r>
    </w:p>
    <w:p w14:paraId="3C553E58">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7B8BEEA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4464;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IiX0&#10;XR4CAAAlBAAADgAAAAAAAAABACAAAAAnAQAAZHJzL2Uyb0RvYy54bWxQSwUGAAAAAAYABgBZAQAA&#10;twUAAAAA&#10;">
                <v:fill on="f" focussize="0,0"/>
                <v:stroke on="f"/>
                <v:imagedata o:title=""/>
                <o:lock v:ext="edit" aspectratio="f"/>
                <v:textbox>
                  <w:txbxContent>
                    <w:p w14:paraId="7B8BEEA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39.5</w:t>
      </w:r>
    </w:p>
    <w:p w14:paraId="2D457AE7">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发包人及政府有关部门基于设计文件审查需要承包人提供建筑信息模型（BIM）的，相关审查按第38.6款约定执行。</w:t>
      </w:r>
    </w:p>
    <w:p w14:paraId="5D88CDF4">
      <w:pPr>
        <w:tabs>
          <w:tab w:val="left" w:pos="4970"/>
        </w:tabs>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08800"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001FB59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8800;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001FB59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39.6</w:t>
      </w:r>
    </w:p>
    <w:p w14:paraId="6451E1E7">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BIM技术应用各阶段的建筑信息模（BIM）交付，应符合国家、行业及省市现行有关标准。具体交付标准要求在专用条款中约定。</w:t>
      </w:r>
    </w:p>
    <w:p w14:paraId="34545A13">
      <w:pPr>
        <w:tabs>
          <w:tab w:val="left" w:pos="1620"/>
        </w:tabs>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231047BF">
      <w:pPr>
        <w:pStyle w:val="40"/>
        <w:adjustRightInd w:val="0"/>
        <w:snapToGrid w:val="0"/>
        <w:spacing w:line="360" w:lineRule="auto"/>
        <w:ind w:right="-238"/>
        <w:jc w:val="center"/>
        <w:outlineLvl w:val="1"/>
        <w:rPr>
          <w:rFonts w:ascii="仿宋" w:hAnsi="仿宋" w:eastAsia="仿宋"/>
          <w:b/>
          <w:bCs/>
          <w:color w:val="000000" w:themeColor="text1"/>
          <w:sz w:val="24"/>
          <w:szCs w:val="24"/>
          <w:highlight w:val="none"/>
          <w:lang w:eastAsia="zh-CN"/>
          <w14:textFill>
            <w14:solidFill>
              <w14:schemeClr w14:val="tx1"/>
            </w14:solidFill>
          </w14:textFill>
        </w:rPr>
      </w:pPr>
      <w:bookmarkStart w:id="252" w:name="_Toc29975"/>
      <w:bookmarkStart w:id="253" w:name="_Toc149731473"/>
      <w:r>
        <w:rPr>
          <w:rFonts w:hint="eastAsia" w:ascii="仿宋" w:hAnsi="仿宋" w:eastAsia="仿宋" w:cs="仿宋"/>
          <w:b/>
          <w:bCs/>
          <w:color w:val="000000" w:themeColor="text1"/>
          <w:sz w:val="24"/>
          <w:szCs w:val="24"/>
          <w:highlight w:val="none"/>
          <w:lang w:eastAsia="zh-CN"/>
          <w14:textFill>
            <w14:solidFill>
              <w14:schemeClr w14:val="tx1"/>
            </w14:solidFill>
          </w14:textFill>
        </w:rPr>
        <w:t>五、工期</w:t>
      </w:r>
      <w:bookmarkEnd w:id="252"/>
      <w:bookmarkEnd w:id="253"/>
    </w:p>
    <w:p w14:paraId="429D30BF">
      <w:pPr>
        <w:pStyle w:val="6"/>
        <w:tabs>
          <w:tab w:val="left" w:pos="420"/>
        </w:tabs>
        <w:spacing w:before="120" w:beforeLines="50" w:after="120" w:afterLines="50" w:line="360" w:lineRule="auto"/>
        <w:rPr>
          <w:rFonts w:ascii="仿宋" w:hAnsi="仿宋" w:eastAsia="仿宋" w:cs="仿宋"/>
          <w:color w:val="000000" w:themeColor="text1"/>
          <w:sz w:val="24"/>
          <w:szCs w:val="24"/>
          <w:highlight w:val="none"/>
          <w:lang w:eastAsia="zh-CN"/>
          <w14:textFill>
            <w14:solidFill>
              <w14:schemeClr w14:val="tx1"/>
            </w14:solidFill>
          </w14:textFill>
        </w:rPr>
      </w:pPr>
      <w:bookmarkStart w:id="254" w:name="_Toc149731474"/>
      <w:bookmarkStart w:id="255" w:name="_Toc13233"/>
      <w:r>
        <w:rPr>
          <w:rFonts w:hint="eastAsia" w:ascii="仿宋" w:hAnsi="仿宋" w:eastAsia="仿宋" w:cs="仿宋"/>
          <w:bCs w:val="0"/>
          <w:color w:val="000000" w:themeColor="text1"/>
          <w:sz w:val="24"/>
          <w:szCs w:val="24"/>
          <w:highlight w:val="none"/>
          <w:lang w:eastAsia="zh-CN"/>
          <w14:textFill>
            <w14:solidFill>
              <w14:schemeClr w14:val="tx1"/>
            </w14:solidFill>
          </w14:textFill>
        </w:rPr>
        <w:t>40</w:t>
      </w:r>
      <w:r>
        <w:rPr>
          <w:rFonts w:hint="eastAsia" w:ascii="仿宋" w:hAnsi="仿宋" w:eastAsia="仿宋" w:cs="仿宋"/>
          <w:color w:val="000000" w:themeColor="text1"/>
          <w:sz w:val="24"/>
          <w:szCs w:val="24"/>
          <w:highlight w:val="none"/>
          <w:lang w:eastAsia="zh-CN"/>
          <w14:textFill>
            <w14:solidFill>
              <w14:schemeClr w14:val="tx1"/>
            </w14:solidFill>
          </w14:textFill>
        </w:rPr>
        <w:t>进度计划和报告</w:t>
      </w:r>
      <w:bookmarkEnd w:id="254"/>
      <w:bookmarkEnd w:id="255"/>
    </w:p>
    <w:p w14:paraId="2363D85E">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717AABD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640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717AABD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40</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87064D7">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1AD96C04">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031FC0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742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031FC0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40</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22119C1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承包人应按照经设计顾问人或监理人确认并由其报发包人批准的进度计划组织勘察（如果有）、</w:t>
      </w:r>
      <w:r>
        <w:rPr>
          <w:rFonts w:hint="eastAsia" w:ascii="仿宋" w:hAnsi="仿宋" w:eastAsia="仿宋"/>
          <w:color w:val="000000" w:themeColor="text1"/>
          <w:sz w:val="24"/>
          <w:szCs w:val="24"/>
          <w:highlight w:val="none"/>
          <w:lang w:eastAsia="zh-CN"/>
          <w14:textFill>
            <w14:solidFill>
              <w14:schemeClr w14:val="tx1"/>
            </w14:solidFill>
          </w14:textFill>
        </w:rPr>
        <w:t>初步设计和（或）施工图</w:t>
      </w:r>
      <w:r>
        <w:rPr>
          <w:rFonts w:hint="eastAsia" w:ascii="仿宋" w:hAnsi="仿宋" w:eastAsia="仿宋" w:cs="仿宋"/>
          <w:color w:val="000000" w:themeColor="text1"/>
          <w:sz w:val="24"/>
          <w:szCs w:val="24"/>
          <w:highlight w:val="none"/>
          <w:lang w:eastAsia="zh-CN"/>
          <w14:textFill>
            <w14:solidFill>
              <w14:schemeClr w14:val="tx1"/>
            </w14:solidFill>
          </w14:textFill>
        </w:rPr>
        <w:t>设计、BIM技术应用、设备及工器具购置（如果有）、施工，接受监理人、设计顾问人对工程进度的监督和检查。</w:t>
      </w:r>
    </w:p>
    <w:p w14:paraId="189EC307">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51DF1C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844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51DF1C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40</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1DACA9C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除专用条款另有约定外，承包人应编制每月工程进度报告，同时每季度对进度计划修订一次，并在每月或季结束后的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天内向发包人、设计顾问人或监理人提交上述报告和修订计划一式两份。月进度报告的内容至少应包括：</w:t>
      </w:r>
    </w:p>
    <w:p w14:paraId="03F90C29">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）勘察作业进展情况的图表和说明；</w:t>
      </w:r>
    </w:p>
    <w:p w14:paraId="0454397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（2）设计工作进展情况的图表和说明；</w:t>
      </w:r>
    </w:p>
    <w:p w14:paraId="2E2D696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（3）BIM技术应用工作进展情况的图表和说明；</w:t>
      </w:r>
    </w:p>
    <w:p w14:paraId="1F30EF0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（4）施工、安装、试验以及其分包人工作等进展情况的图表和说明；</w:t>
      </w:r>
    </w:p>
    <w:p w14:paraId="334EC73F">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（5）工程材料、工程设备的采购和制造商名称、地点以及进入现场情况；</w:t>
      </w:r>
    </w:p>
    <w:p w14:paraId="703E7E5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（6）装配式构件的生产商名称、地点及采购、运输及进入现场情况；</w:t>
      </w:r>
    </w:p>
    <w:p w14:paraId="2881FA9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（7）设备及工器具购置工作进展情况的图表和说明；</w:t>
      </w:r>
    </w:p>
    <w:p w14:paraId="1D77602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（8）索赔情况和安全统计；</w:t>
      </w:r>
    </w:p>
    <w:p w14:paraId="07B178B7">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（9）实际进度与计划进度的对比，以及为消除延误正在或准备采取的措施。</w:t>
      </w:r>
    </w:p>
    <w:p w14:paraId="3E70BA34">
      <w:pPr>
        <w:pStyle w:val="40"/>
        <w:tabs>
          <w:tab w:val="left" w:pos="1620"/>
        </w:tabs>
        <w:adjustRightInd w:val="0"/>
        <w:snapToGrid w:val="0"/>
        <w:spacing w:line="480" w:lineRule="auto"/>
        <w:rPr>
          <w:rFonts w:ascii="仿宋" w:hAnsi="仿宋" w:eastAsia="仿宋" w:cs="仿宋"/>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40</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05A43FC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107B78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0947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107B78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款约定向发包人支付由此产生的误期赔偿费。工程进度计划即使经发包人或设计顾问人或监理人确认，也不能免除承包人按照合同约定应承担的任何责任和应履行的任何义务。</w:t>
      </w:r>
    </w:p>
    <w:p w14:paraId="093045F6">
      <w:pPr>
        <w:pStyle w:val="40"/>
        <w:adjustRightInd w:val="0"/>
        <w:snapToGrid w:val="0"/>
        <w:spacing w:line="360" w:lineRule="auto"/>
        <w:ind w:right="-238"/>
        <w:rPr>
          <w:rFonts w:ascii="仿宋" w:hAnsi="仿宋" w:eastAsia="仿宋"/>
          <w:b/>
          <w:bCs/>
          <w:color w:val="000000" w:themeColor="text1"/>
          <w:sz w:val="24"/>
          <w:szCs w:val="24"/>
          <w:highlight w:val="none"/>
          <w:lang w:eastAsia="zh-CN"/>
          <w14:textFill>
            <w14:solidFill>
              <w14:schemeClr w14:val="tx1"/>
            </w14:solidFill>
          </w14:textFill>
        </w:rPr>
      </w:pPr>
    </w:p>
    <w:p w14:paraId="1BF8A179">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56" w:name="_Toc149731475"/>
      <w:bookmarkStart w:id="257" w:name="_Toc9527"/>
      <w:r>
        <w:rPr>
          <w:rFonts w:hint="eastAsia" w:ascii="仿宋" w:hAnsi="仿宋" w:eastAsia="仿宋" w:cs="仿宋"/>
          <w:bCs w:val="0"/>
          <w:color w:val="000000" w:themeColor="text1"/>
          <w:sz w:val="24"/>
          <w:szCs w:val="24"/>
          <w:highlight w:val="none"/>
          <w:lang w:eastAsia="zh-CN"/>
          <w14:textFill>
            <w14:solidFill>
              <w14:schemeClr w14:val="tx1"/>
            </w14:solidFill>
          </w14:textFill>
        </w:rPr>
        <w:t>41开始工作或开工</w:t>
      </w:r>
      <w:bookmarkEnd w:id="256"/>
      <w:bookmarkEnd w:id="257"/>
    </w:p>
    <w:p w14:paraId="2C574DCA">
      <w:pPr>
        <w:pStyle w:val="40"/>
        <w:tabs>
          <w:tab w:val="left" w:pos="1320"/>
        </w:tabs>
        <w:adjustRightInd w:val="0"/>
        <w:snapToGrid w:val="0"/>
        <w:spacing w:line="360" w:lineRule="auto"/>
        <w:ind w:right="3"/>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481377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049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481377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41</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2C50060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41.1.1承包人开始勘察、设计、BIM技术应用、设备及工器具购置等工作前，应当具备法律规定的工程现场作业条件，并按照法律规定获得了开展工作所需的政府部门许可、批准或备案。</w:t>
      </w:r>
    </w:p>
    <w:p w14:paraId="150393C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41.1.2工程开工必须具备法律规定的开工条件，并已经领取了施工许可证。发包人代表、设计顾问或监理人代表违反本条约定发出的开始工作指令或开工令无效，由发包人承担相应责任。</w:t>
      </w:r>
    </w:p>
    <w:p w14:paraId="454A2332">
      <w:pPr>
        <w:pStyle w:val="40"/>
        <w:tabs>
          <w:tab w:val="left" w:pos="1320"/>
        </w:tabs>
        <w:adjustRightInd w:val="0"/>
        <w:snapToGrid w:val="0"/>
        <w:spacing w:line="360" w:lineRule="auto"/>
        <w:ind w:right="3"/>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02B2D9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152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02B2D9F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41</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48351B71">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天内开始工作，并一直保持该项工作连续进行，直至其被改变为止。</w:t>
      </w:r>
    </w:p>
    <w:p w14:paraId="386A9591">
      <w:pPr>
        <w:pStyle w:val="40"/>
        <w:adjustRightInd w:val="0"/>
        <w:snapToGrid w:val="0"/>
        <w:spacing w:line="360" w:lineRule="auto"/>
        <w:ind w:left="1850" w:leftChars="771" w:right="3"/>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000000" w:themeColor="text1"/>
          <w:sz w:val="24"/>
          <w:szCs w:val="24"/>
          <w:highlight w:val="none"/>
          <w:lang w:eastAsia="zh-CN"/>
          <w14:textFill>
            <w14:solidFill>
              <w14:schemeClr w14:val="tx1"/>
            </w14:solidFill>
          </w14:textFill>
        </w:rPr>
        <w:t>42</w:t>
      </w:r>
      <w:r>
        <w:rPr>
          <w:rFonts w:hint="eastAsia" w:ascii="仿宋" w:hAnsi="仿宋" w:eastAsia="仿宋" w:cs="仿宋"/>
          <w:color w:val="000000" w:themeColor="text1"/>
          <w:sz w:val="24"/>
          <w:szCs w:val="24"/>
          <w:highlight w:val="none"/>
          <w:lang w:eastAsia="zh-CN"/>
          <w14:textFill>
            <w14:solidFill>
              <w14:schemeClr w14:val="tx1"/>
            </w14:solidFill>
          </w14:textFill>
        </w:rPr>
        <w:t>天内报发包人批准后向承包人发出开工令；承包人应在接到开工令后的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天内开工，并一直保持合同工程连续均衡施工，直至其被改变为止。</w:t>
      </w:r>
    </w:p>
    <w:p w14:paraId="6BF8BB82">
      <w:pPr>
        <w:pStyle w:val="40"/>
        <w:tabs>
          <w:tab w:val="left" w:pos="1320"/>
        </w:tabs>
        <w:adjustRightInd w:val="0"/>
        <w:snapToGrid w:val="0"/>
        <w:spacing w:line="360" w:lineRule="auto"/>
        <w:ind w:right="3"/>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7AD63E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254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7AD63E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41</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403E5047">
      <w:pPr>
        <w:pStyle w:val="40"/>
        <w:adjustRightInd w:val="0"/>
        <w:snapToGrid w:val="0"/>
        <w:spacing w:line="360" w:lineRule="auto"/>
        <w:ind w:left="1850" w:leftChars="771" w:right="3"/>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小时内书面予以答复，否则视为同意。承包人没有合理理由而延期开始工作或开工的，由此造成的损失和延误的工期由承包人承担。</w:t>
      </w:r>
    </w:p>
    <w:p w14:paraId="319A9CEB">
      <w:pPr>
        <w:pStyle w:val="40"/>
        <w:tabs>
          <w:tab w:val="left" w:pos="1320"/>
        </w:tabs>
        <w:adjustRightInd w:val="0"/>
        <w:snapToGrid w:val="0"/>
        <w:spacing w:line="360" w:lineRule="auto"/>
        <w:ind w:right="3"/>
        <w:rPr>
          <w:rFonts w:ascii="仿宋" w:hAnsi="仿宋" w:eastAsia="仿宋" w:cs="仿宋"/>
          <w:color w:val="000000" w:themeColor="text1"/>
          <w:sz w:val="24"/>
          <w:szCs w:val="24"/>
          <w:highlight w:val="none"/>
          <w:u w:val="dotted"/>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71C6B41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356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71C6B41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 xml:space="preserve">41.4 </w:t>
      </w:r>
    </w:p>
    <w:p w14:paraId="1382B725">
      <w:pPr>
        <w:pStyle w:val="40"/>
        <w:adjustRightInd w:val="0"/>
        <w:snapToGrid w:val="0"/>
        <w:spacing w:line="360" w:lineRule="auto"/>
        <w:ind w:left="1850" w:leftChars="771" w:right="3"/>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因发包人的原因不能在第41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款约定的时间内发出开始工作指令或开工令的，发包人或监理人应至少提前</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天以书面形式通知承包人推迟开始工作或开工。由此造成的损失由发包人承担，开始工作或开工日期相应顺延。发包人、设计顾问人或监理人未能提前</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天通知承包人推迟开工的，由此造成损失的扩大由发包人承担。</w:t>
      </w:r>
    </w:p>
    <w:p w14:paraId="18B8BCC4">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p>
    <w:p w14:paraId="022E792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58" w:name="_Toc149731476"/>
      <w:bookmarkStart w:id="259" w:name="_Toc19030"/>
      <w:r>
        <w:rPr>
          <w:rFonts w:hint="eastAsia" w:ascii="仿宋" w:hAnsi="仿宋" w:eastAsia="仿宋" w:cs="仿宋"/>
          <w:bCs w:val="0"/>
          <w:color w:val="000000" w:themeColor="text1"/>
          <w:sz w:val="24"/>
          <w:szCs w:val="24"/>
          <w:highlight w:val="none"/>
          <w:lang w:eastAsia="zh-CN"/>
          <w14:textFill>
            <w14:solidFill>
              <w14:schemeClr w14:val="tx1"/>
            </w14:solidFill>
          </w14:textFill>
        </w:rPr>
        <w:t>42暂停工作、暂停施工和复工</w:t>
      </w:r>
      <w:bookmarkEnd w:id="258"/>
      <w:bookmarkEnd w:id="259"/>
    </w:p>
    <w:p w14:paraId="4BE9BD3B">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48533E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459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48533E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42</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610D5CE5">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发包人、设计顾问人或监理人认为有必要时，可向承包人发出暂停勘察、暂停设计等暂停工作指令或暂停施工令，并在</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58B1B394">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000000" w:themeColor="text1"/>
          <w:sz w:val="24"/>
          <w:szCs w:val="24"/>
          <w:highlight w:val="none"/>
          <w:lang w:eastAsia="zh-CN"/>
          <w14:textFill>
            <w14:solidFill>
              <w14:schemeClr w14:val="tx1"/>
            </w14:solidFill>
          </w14:textFill>
        </w:rPr>
        <w:t>24</w:t>
      </w:r>
      <w:r>
        <w:rPr>
          <w:rFonts w:hint="eastAsia" w:ascii="仿宋" w:hAnsi="仿宋" w:eastAsia="仿宋" w:cs="仿宋"/>
          <w:color w:val="000000" w:themeColor="text1"/>
          <w:sz w:val="24"/>
          <w:szCs w:val="24"/>
          <w:highlight w:val="none"/>
          <w:lang w:eastAsia="zh-CN"/>
          <w14:textFill>
            <w14:solidFill>
              <w14:schemeClr w14:val="tx1"/>
            </w14:solidFill>
          </w14:textFill>
        </w:rPr>
        <w:t>小时内予以答复；逾期未答复的，视为承包人的暂停施工报告被认可。</w:t>
      </w:r>
    </w:p>
    <w:p w14:paraId="34430E4E">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42</w:t>
      </w:r>
      <w:r>
        <w:rPr>
          <w:rFonts w:ascii="仿宋" w:hAnsi="仿宋" w:eastAsia="仿宋" w:cs="仿宋"/>
          <w:b/>
          <w:bCs/>
          <w:color w:val="000000" w:themeColor="text1"/>
          <w:highlight w:val="none"/>
          <w:lang w:eastAsia="zh-CN"/>
          <w14:textFill>
            <w14:solidFill>
              <w14:schemeClr w14:val="tx1"/>
            </w14:solidFill>
          </w14:textFill>
        </w:rPr>
        <w:t>.2</w:t>
      </w:r>
    </w:p>
    <w:p w14:paraId="0B88A28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48E1E6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48E1E6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小时内未答复也未提出处理意见的，承包人可自行复工，发包人、设计顾问人或监理人应予认可。</w:t>
      </w:r>
    </w:p>
    <w:p w14:paraId="13CECC03">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承包人无故拖延或拒绝复工的，由此增加的费用和（或）延误的工期由承包人承担；因发包人的原因无法按时复工的，承包人有权要求发包人增加发生的费用和（或）顺延工期，并支付合理利润。</w:t>
      </w:r>
    </w:p>
    <w:p w14:paraId="7F755BD0">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42</w:t>
      </w:r>
      <w:r>
        <w:rPr>
          <w:rFonts w:ascii="仿宋" w:hAnsi="仿宋" w:eastAsia="仿宋" w:cs="仿宋"/>
          <w:b/>
          <w:bCs/>
          <w:color w:val="000000" w:themeColor="text1"/>
          <w:highlight w:val="none"/>
          <w:lang w:eastAsia="zh-CN"/>
          <w14:textFill>
            <w14:solidFill>
              <w14:schemeClr w14:val="tx1"/>
            </w14:solidFill>
          </w14:textFill>
        </w:rPr>
        <w:t xml:space="preserve">.3   </w:t>
      </w:r>
    </w:p>
    <w:p w14:paraId="54503AC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38FBF5C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561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38FBF5C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24EB42F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（1）如果此项工作暂停仅影响合同工程的一部分时，则根据第63</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2款约定及时提出工程变更或工作变更，取消该部分工程或后续工作，并书面通知发包人，抄送设计顾问人、监理人和造价咨询人；</w:t>
      </w:r>
    </w:p>
    <w:p w14:paraId="707444A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（2）如果此项工作暂停影响整个合同工程时，则根据第92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w:t>
      </w:r>
    </w:p>
    <w:p w14:paraId="3779EB52">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w:t>
      </w:r>
    </w:p>
    <w:p w14:paraId="5B4574F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42.3.2非承包人的原因造成暂停施工持续</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天以上时，承包人可向设计顾问人或监理人提交复工报审表要求复工；设计顾问人或监理人应在收到复工报审表后的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天内准许复工。如果在上述期限内设计顾问人、监理人未予准许，则承包人可以作如下选择：</w:t>
      </w:r>
    </w:p>
    <w:p w14:paraId="12A603B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（1）如果此项停工仅影响合同工程的一部分时，则根据第64</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2款约定及时提出工程变更，取消该部分工程，并书面通知发包人，抄送设计顾问人、监理人和造价咨询人；</w:t>
      </w:r>
    </w:p>
    <w:p w14:paraId="05E8B23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（2）如果此项停工影响整个合同工程时，则根据第92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w:t>
      </w:r>
    </w:p>
    <w:p w14:paraId="4B088BD7">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因承包人的原因引起暂停施工持续</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天以上，承包人不采取有效的复工措施，造成工期延误的，发包人可根据第92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w:t>
      </w:r>
    </w:p>
    <w:p w14:paraId="21E99DFC">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42</w:t>
      </w:r>
      <w:r>
        <w:rPr>
          <w:rFonts w:ascii="仿宋" w:hAnsi="仿宋" w:eastAsia="仿宋" w:cs="仿宋"/>
          <w:b/>
          <w:bCs/>
          <w:color w:val="000000" w:themeColor="text1"/>
          <w:highlight w:val="none"/>
          <w:lang w:eastAsia="zh-CN"/>
          <w14:textFill>
            <w14:solidFill>
              <w14:schemeClr w14:val="tx1"/>
            </w14:solidFill>
          </w14:textFill>
        </w:rPr>
        <w:t xml:space="preserve">.4  </w:t>
      </w:r>
    </w:p>
    <w:p w14:paraId="1A5E8F16">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3B4A398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3B4A398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因发包人的原因造成暂停工作、暂停施工且引起工期延误的，承包人有权要求发包人增加由此发生的费用和（或）顺延工期，并支付合理利润。</w:t>
      </w:r>
    </w:p>
    <w:p w14:paraId="38A3FDDC">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因承包人下列原因造成的暂停工作或暂停施工，增加的费用和（或）延误的工期由承包人承担：</w:t>
      </w:r>
    </w:p>
    <w:p w14:paraId="064EA39D">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（1）工作失误或违约造成的；</w:t>
      </w:r>
    </w:p>
    <w:p w14:paraId="11E7647A">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（2）为合同工程合理施工和安全保障所必需的；</w:t>
      </w:r>
    </w:p>
    <w:p w14:paraId="750656C3">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（3）施工现场气候条件（除不可抗力停工外）导致的；</w:t>
      </w:r>
    </w:p>
    <w:p w14:paraId="0F3B6AC2">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（4）擅自停工的；</w:t>
      </w:r>
    </w:p>
    <w:p w14:paraId="757B47F3">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（5）专用条款约定的其他原因。</w:t>
      </w:r>
    </w:p>
    <w:p w14:paraId="15842D51">
      <w:pPr>
        <w:pStyle w:val="40"/>
        <w:adjustRightInd w:val="0"/>
        <w:snapToGrid w:val="0"/>
        <w:spacing w:line="360" w:lineRule="auto"/>
        <w:ind w:left="1850" w:leftChars="771" w:firstLine="2"/>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因不可抗力因素造成暂停施工的，按照第</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5条约定处理。</w:t>
      </w:r>
    </w:p>
    <w:p w14:paraId="0ACB2F9B">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42</w:t>
      </w:r>
      <w:r>
        <w:rPr>
          <w:rFonts w:ascii="仿宋" w:hAnsi="仿宋" w:eastAsia="仿宋" w:cs="仿宋"/>
          <w:b/>
          <w:bCs/>
          <w:color w:val="000000" w:themeColor="text1"/>
          <w:highlight w:val="none"/>
          <w:lang w:eastAsia="zh-CN"/>
          <w14:textFill>
            <w14:solidFill>
              <w14:schemeClr w14:val="tx1"/>
            </w14:solidFill>
          </w14:textFill>
        </w:rPr>
        <w:t xml:space="preserve">.5  </w:t>
      </w:r>
    </w:p>
    <w:p w14:paraId="2FEE031C">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627DE20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627DE20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款约定的应付利息在内的所欠全部款项。由此造成的暂停工作或施工，视为是因发包人的原因引起的，并按照第42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款约定处理。</w:t>
      </w:r>
    </w:p>
    <w:p w14:paraId="58FA0CAE">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42</w:t>
      </w:r>
      <w:r>
        <w:rPr>
          <w:rFonts w:ascii="仿宋" w:hAnsi="仿宋" w:eastAsia="仿宋" w:cs="仿宋"/>
          <w:b/>
          <w:bCs/>
          <w:color w:val="000000" w:themeColor="text1"/>
          <w:highlight w:val="none"/>
          <w:lang w:eastAsia="zh-CN"/>
          <w14:textFill>
            <w14:solidFill>
              <w14:schemeClr w14:val="tx1"/>
            </w14:solidFill>
          </w14:textFill>
        </w:rPr>
        <w:t xml:space="preserve">.6  </w:t>
      </w:r>
    </w:p>
    <w:p w14:paraId="0BC5624E">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0738546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0738546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款约定处理。</w:t>
      </w:r>
    </w:p>
    <w:p w14:paraId="2E58FDD0">
      <w:pPr>
        <w:spacing w:line="360" w:lineRule="auto"/>
        <w:rPr>
          <w:rFonts w:ascii="仿宋" w:hAnsi="仿宋" w:eastAsia="仿宋"/>
          <w:color w:val="000000" w:themeColor="text1"/>
          <w:highlight w:val="none"/>
          <w:u w:val="single"/>
          <w:lang w:eastAsia="zh-CN"/>
          <w14:textFill>
            <w14:solidFill>
              <w14:schemeClr w14:val="tx1"/>
            </w14:solidFill>
          </w14:textFill>
        </w:rPr>
      </w:pPr>
      <w:r>
        <w:rPr>
          <w:rFonts w:ascii="仿宋" w:hAnsi="仿宋" w:eastAsia="仿宋"/>
          <w:color w:val="000000" w:themeColor="text1"/>
          <w:highlight w:val="none"/>
          <w:u w:val="single"/>
          <w:lang w:eastAsia="zh-CN"/>
          <w14:textFill>
            <w14:solidFill>
              <w14:schemeClr w14:val="tx1"/>
            </w14:solidFill>
          </w14:textFill>
        </w:rPr>
        <w:t></w:t>
      </w:r>
    </w:p>
    <w:p w14:paraId="270DE63C">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60" w:name="_Toc10452"/>
      <w:bookmarkStart w:id="261" w:name="_Toc149731477"/>
      <w:r>
        <w:rPr>
          <w:rFonts w:hint="eastAsia" w:ascii="仿宋" w:hAnsi="仿宋" w:eastAsia="仿宋" w:cs="仿宋"/>
          <w:bCs w:val="0"/>
          <w:color w:val="000000" w:themeColor="text1"/>
          <w:sz w:val="24"/>
          <w:szCs w:val="24"/>
          <w:highlight w:val="none"/>
          <w:lang w:eastAsia="zh-CN"/>
          <w14:textFill>
            <w14:solidFill>
              <w14:schemeClr w14:val="tx1"/>
            </w14:solidFill>
          </w14:textFill>
        </w:rPr>
        <w:t>43工期和工期延误</w:t>
      </w:r>
      <w:bookmarkEnd w:id="260"/>
      <w:bookmarkEnd w:id="261"/>
    </w:p>
    <w:p w14:paraId="5B46652F">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43</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36A4B0AA">
      <w:pPr>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3B67A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3B67ADE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43.1.1 勘察工期（如果有），由双方在协议书及专用条款中约定，并制定保障措施，确保勘察工作进度和质量。</w:t>
      </w:r>
    </w:p>
    <w:p w14:paraId="671A3582">
      <w:pPr>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43.1.2 设计工期，由双方在协议书及专用条款中约定，并制定保障措施，确保设计工作进度和质量。</w:t>
      </w:r>
    </w:p>
    <w:p w14:paraId="7383AE90">
      <w:pPr>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43.1.3 BIM技术应用工期，由双方在协议书及专用条款中约定，并制定保障措施，确保BIM技术应用工作进度和质量。</w:t>
      </w:r>
    </w:p>
    <w:p w14:paraId="1DCCD18F">
      <w:pPr>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43.1.4 设备及工器具购置工期（如果有），由双方在协议书及专用条款中约定，并制定保障措施，确保购置工作进度和质量。</w:t>
      </w:r>
    </w:p>
    <w:p w14:paraId="55902F8B">
      <w:pPr>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77CC41C">
      <w:pPr>
        <w:spacing w:line="360" w:lineRule="auto"/>
        <w:ind w:left="1850" w:leftChars="77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上述约定的各项工期计算总天数可能存在叠加，以协议书约定的合同工期总日历天数为准。</w:t>
      </w:r>
    </w:p>
    <w:p w14:paraId="287C2D21">
      <w:pPr>
        <w:spacing w:line="360" w:lineRule="auto"/>
        <w:rPr>
          <w:rFonts w:ascii="仿宋" w:hAnsi="仿宋" w:eastAsia="仿宋"/>
          <w:color w:val="000000" w:themeColor="text1"/>
          <w:highlight w:val="none"/>
          <w:lang w:eastAsia="zh-CN"/>
          <w14:textFill>
            <w14:solidFill>
              <w14:schemeClr w14:val="tx1"/>
            </w14:solidFill>
          </w14:textFill>
        </w:rPr>
      </w:pPr>
      <w:bookmarkStart w:id="262" w:name="_Toc19777"/>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.2</w:t>
      </w:r>
      <w:bookmarkEnd w:id="262"/>
    </w:p>
    <w:p w14:paraId="3EDC255A">
      <w:pPr>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338BED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338BED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1E91C9C9">
      <w:pPr>
        <w:spacing w:line="360" w:lineRule="auto"/>
        <w:rPr>
          <w:rFonts w:ascii="仿宋" w:hAnsi="仿宋" w:eastAsia="仿宋"/>
          <w:b/>
          <w:bCs/>
          <w:color w:val="000000" w:themeColor="text1"/>
          <w:highlight w:val="none"/>
          <w:lang w:eastAsia="zh-CN"/>
          <w14:textFill>
            <w14:solidFill>
              <w14:schemeClr w14:val="tx1"/>
            </w14:solidFill>
          </w14:textFill>
        </w:rPr>
      </w:pPr>
      <w:bookmarkStart w:id="263" w:name="_Toc19907"/>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.3</w:t>
      </w:r>
      <w:bookmarkEnd w:id="263"/>
    </w:p>
    <w:p w14:paraId="59F6E08F">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401358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401358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F11C52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）发包人未能按照专用条款的约定提供项目基础资料及其他开始工作或开工条件；</w:t>
      </w:r>
    </w:p>
    <w:p w14:paraId="17C58F5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）发包人未能按照专用条款约定的时间支付预付款、绿色施工安全防护费和进度款；</w:t>
      </w:r>
    </w:p>
    <w:p w14:paraId="111991C5">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）发包人代表或发包人雇用的其他人员造成的人为因素；</w:t>
      </w:r>
    </w:p>
    <w:p w14:paraId="1CF9E1C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）发包人、设计顾问人或监理人未按照合同约定及时提供所需指令、回复等；</w:t>
      </w:r>
    </w:p>
    <w:p w14:paraId="39572D0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）由发包人原因引起的工作变更或工程变更（含增加合同工作内容、改变合同的任何一项工作内容等）；</w:t>
      </w:r>
    </w:p>
    <w:p w14:paraId="6067B6B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lang w:eastAsia="zh-CN"/>
          <w14:textFill>
            <w14:solidFill>
              <w14:schemeClr w14:val="tx1"/>
            </w14:solidFill>
          </w14:textFill>
        </w:rPr>
        <w:t>）发包人原因引起的工作量或工程量增加；</w:t>
      </w:r>
    </w:p>
    <w:p w14:paraId="05DA7643">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）勘查现场遇到的不利物质条件；</w:t>
      </w:r>
    </w:p>
    <w:p w14:paraId="28F796A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（8）一周内非承包人原因停水、停电、停气造成停工累计超过</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小时；</w:t>
      </w:r>
    </w:p>
    <w:p w14:paraId="3D5B1B8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（9）不可抗力；</w:t>
      </w:r>
    </w:p>
    <w:p w14:paraId="6B3BA68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（10）发包人风险事项；</w:t>
      </w:r>
    </w:p>
    <w:p w14:paraId="6A6FF0B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1）因发包人的原因导致的暂停工作或暂停施工；</w:t>
      </w:r>
    </w:p>
    <w:p w14:paraId="63718EF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2）非承包人失误、违约，以及设计顾问人或监理人同意的工期顺延。</w:t>
      </w:r>
    </w:p>
    <w:p w14:paraId="168588D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3）发包人造成工期延误的其他情形。</w:t>
      </w:r>
    </w:p>
    <w:p w14:paraId="1BDEAEE4">
      <w:pPr>
        <w:spacing w:line="360" w:lineRule="auto"/>
        <w:rPr>
          <w:rFonts w:ascii="仿宋" w:hAnsi="仿宋" w:eastAsia="仿宋"/>
          <w:color w:val="000000" w:themeColor="text1"/>
          <w:highlight w:val="none"/>
          <w:lang w:eastAsia="zh-CN"/>
          <w14:textFill>
            <w14:solidFill>
              <w14:schemeClr w14:val="tx1"/>
            </w14:solidFill>
          </w14:textFill>
        </w:rPr>
      </w:pPr>
      <w:bookmarkStart w:id="264" w:name="_Toc4122"/>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.4</w:t>
      </w:r>
      <w:bookmarkEnd w:id="264"/>
    </w:p>
    <w:p w14:paraId="48E8290F">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34A44CFD">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34A44CFD">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当第43</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款所述事项发生后，承包人应在</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天内向发包人、设计顾问人或监理人发出工期顺延意向书，并抄送发包人。承包人应在发出工期顺延意向书后的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天内，向设计顾问人或监理人提交工期顺延报告和有关详细资料。</w:t>
      </w:r>
    </w:p>
    <w:p w14:paraId="0D7C0230">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65" w:name="_Toc15344"/>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.5</w:t>
      </w:r>
      <w:bookmarkEnd w:id="265"/>
    </w:p>
    <w:p w14:paraId="696CA7D4">
      <w:pPr>
        <w:pStyle w:val="40"/>
        <w:widowControl w:val="0"/>
        <w:adjustRightInd w:val="0"/>
        <w:snapToGrid w:val="0"/>
        <w:spacing w:line="360" w:lineRule="auto"/>
        <w:ind w:left="1850" w:leftChars="771"/>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5AE7579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5AE7579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如果工期顺延事项持续发生时，承包人应每隔</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天向发包人、设计顾问人或监理人发出工期顺延意向书，并在工期顺延事项终结后的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天内，向发包人、设计顾问人或监理人提交最终工期顺延报告和详细资料。</w:t>
      </w:r>
    </w:p>
    <w:p w14:paraId="086F594B">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66" w:name="_Toc25744"/>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.6</w:t>
      </w:r>
      <w:bookmarkEnd w:id="266"/>
    </w:p>
    <w:p w14:paraId="32C14D97">
      <w:pPr>
        <w:pStyle w:val="4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3B9DFE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3B9DFE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如果承包人未能在第43</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款和第43</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款（发生时）约定的时间内提交（最终）工期顺延报告和详细资料，则视为该事项不影响工作进度、施工进度或承包人放弃顺延工期的权利。</w:t>
      </w:r>
    </w:p>
    <w:p w14:paraId="3CCA6E4D">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67" w:name="_Toc6199"/>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.7</w:t>
      </w:r>
      <w:bookmarkEnd w:id="267"/>
    </w:p>
    <w:p w14:paraId="3CF64EA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7637196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7637196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发包人、设计顾问人或监理人应在收到承包人按照第43</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款和第43</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款（发生时）约定提交（最终）工期顺延报告和详细资料后的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天内，按照第43</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款约定予以核实，或要求承包人进一步补充顺延工期的理由。合同双方当事人一旦协商确定顺延的工期，发包人应承担由此增加的费用，并向承包人支付合理利润。</w:t>
      </w:r>
    </w:p>
    <w:p w14:paraId="5034058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如果发包人、设计顾问人或监理人在收到上述报告和资料后的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天内未予核实也未对承包人作出进一步要求，则视为发包人、设计顾问人或监理人已认可承包人上述报告中提出的顺延工期天数。</w:t>
      </w:r>
    </w:p>
    <w:p w14:paraId="76C3FF79">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68" w:name="_Toc7906"/>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00E7C4F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00E7C4F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.8</w:t>
      </w:r>
      <w:bookmarkEnd w:id="268"/>
    </w:p>
    <w:p w14:paraId="582CCE73">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承包人未能按照合同进度计划完成工程，或因承包人的原因造成工期延误，发包人可按照本条约定的时限和第76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款约定要求承包人支付误期赔偿费。</w:t>
      </w:r>
    </w:p>
    <w:p w14:paraId="49F8F79B">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69" w:name="_Toc26475"/>
      <w:r>
        <w:rPr>
          <w:rFonts w:hint="eastAsia" w:ascii="仿宋" w:hAnsi="仿宋" w:eastAsia="仿宋" w:cs="仿宋"/>
          <w:b/>
          <w:bCs/>
          <w:color w:val="000000" w:themeColor="text1"/>
          <w:highlight w:val="none"/>
          <w:lang w:eastAsia="zh-CN"/>
          <w14:textFill>
            <w14:solidFill>
              <w14:schemeClr w14:val="tx1"/>
            </w14:solidFill>
          </w14:textFill>
        </w:rPr>
        <w:t>43</w:t>
      </w:r>
      <w:r>
        <w:rPr>
          <w:rFonts w:ascii="仿宋" w:hAnsi="仿宋" w:eastAsia="仿宋" w:cs="仿宋"/>
          <w:b/>
          <w:bCs/>
          <w:color w:val="000000" w:themeColor="text1"/>
          <w:highlight w:val="none"/>
          <w:lang w:eastAsia="zh-CN"/>
          <w14:textFill>
            <w14:solidFill>
              <w14:schemeClr w14:val="tx1"/>
            </w14:solidFill>
          </w14:textFill>
        </w:rPr>
        <w:t>.9</w:t>
      </w:r>
      <w:bookmarkEnd w:id="269"/>
    </w:p>
    <w:p w14:paraId="6F3FC960">
      <w:pPr>
        <w:pStyle w:val="4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52DF979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52DF979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7D1D606E">
      <w:pPr>
        <w:pStyle w:val="4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由于承包人责任导致关键路径的工程实际进度比发包人批准的项目进度计划延误，发包人有权要求承包人采取赶工措施赶上项目进度计划，由此产生的赶工措施费由承包人自行承担。</w:t>
      </w:r>
    </w:p>
    <w:p w14:paraId="6B096634">
      <w:pPr>
        <w:pStyle w:val="4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p>
    <w:p w14:paraId="62A2B7AC">
      <w:pPr>
        <w:pStyle w:val="40"/>
        <w:tabs>
          <w:tab w:val="left" w:pos="54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176D3926">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70" w:name="_Toc149731478"/>
      <w:bookmarkStart w:id="271" w:name="_Toc13052"/>
      <w:r>
        <w:rPr>
          <w:rFonts w:hint="eastAsia" w:ascii="仿宋" w:hAnsi="仿宋" w:eastAsia="仿宋" w:cs="仿宋"/>
          <w:bCs w:val="0"/>
          <w:color w:val="000000" w:themeColor="text1"/>
          <w:sz w:val="24"/>
          <w:szCs w:val="24"/>
          <w:highlight w:val="none"/>
          <w:lang w:eastAsia="zh-CN"/>
          <w14:textFill>
            <w14:solidFill>
              <w14:schemeClr w14:val="tx1"/>
            </w14:solidFill>
          </w14:textFill>
        </w:rPr>
        <w:t>44加快进度</w:t>
      </w:r>
      <w:bookmarkEnd w:id="270"/>
      <w:bookmarkEnd w:id="271"/>
    </w:p>
    <w:p w14:paraId="54361D5A">
      <w:pPr>
        <w:pStyle w:val="40"/>
        <w:tabs>
          <w:tab w:val="left" w:pos="1320"/>
        </w:tabs>
        <w:adjustRightInd w:val="0"/>
        <w:snapToGrid w:val="0"/>
        <w:spacing w:line="360" w:lineRule="auto"/>
        <w:ind w:left="1800" w:hanging="1800" w:hangingChars="900"/>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07BC6483">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6640;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07BC6483">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44</w:t>
      </w: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款约定采取改进措施，加快工程进度。</w:t>
      </w:r>
    </w:p>
    <w:p w14:paraId="3B10E887">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如果承包人在收到设计顾问人或监理人书面要求后的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款约定解除合同，也可将合同工程中的部分关键工作交由第三方完成，由此增加的费用由承包人承担。即使承包人承担了增加的费用，也不能免除合同约定应由其承担的责任和义务。</w:t>
      </w:r>
    </w:p>
    <w:p w14:paraId="12B54CED">
      <w:pPr>
        <w:pStyle w:val="40"/>
        <w:tabs>
          <w:tab w:val="left" w:pos="132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08CE6FF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17664;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2B1wAA&#10;AAoBAAAPAAAAAAAAAAEAIAAAACIAAABkcnMvZG93bnJldi54bWxQSwECFAAUAAAACACHTuJAa0qQ&#10;Fh8CAAAmBAAADgAAAAAAAAABACAAAAAmAQAAZHJzL2Uyb0RvYy54bWxQSwUGAAAAAAYABgBZAQAA&#10;twUAAAAA&#10;">
                <v:fill on="f" focussize="0,0"/>
                <v:stroke on="f"/>
                <v:imagedata o:title=""/>
                <o:lock v:ext="edit" aspectratio="f"/>
                <v:textbox>
                  <w:txbxContent>
                    <w:p w14:paraId="08CE6FF8">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44</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5054D75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如果发包人希望承包人提前竣工，那么发包人可要求承包人提交为加快进度而编制的提前竣工建议书。承包人应在接到发包人要求后的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天内完成编制并向发包人提交提前竣工建议书，该建议书的内容至少应包括：</w:t>
      </w:r>
    </w:p>
    <w:p w14:paraId="61D5399B">
      <w:pPr>
        <w:pStyle w:val="40"/>
        <w:widowControl w:val="0"/>
        <w:numPr>
          <w:ilvl w:val="0"/>
          <w:numId w:val="12"/>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加快进度拟采取的措施；</w:t>
      </w:r>
    </w:p>
    <w:p w14:paraId="4C0FE0D3">
      <w:pPr>
        <w:pStyle w:val="40"/>
        <w:widowControl w:val="0"/>
        <w:numPr>
          <w:ilvl w:val="0"/>
          <w:numId w:val="12"/>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加快进度后的进度计划，以及与原计划的对比；</w:t>
      </w:r>
    </w:p>
    <w:p w14:paraId="1830DF9D">
      <w:pPr>
        <w:pStyle w:val="40"/>
        <w:widowControl w:val="0"/>
        <w:numPr>
          <w:ilvl w:val="0"/>
          <w:numId w:val="12"/>
        </w:numPr>
        <w:tabs>
          <w:tab w:val="left" w:pos="198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加快进度所需的合同价格增加额（含第76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款约定的提前竣工奖）。该增加额按照第79</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款、第79</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款、第79</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4款、第79</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5款约定计算。</w:t>
      </w:r>
    </w:p>
    <w:p w14:paraId="25FF3F2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发包人应在接到建议书后的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天内予以答复。如果发包人接受了该建议书，则监理人应以书面形式发出变更指令，相应调整工期；造价咨询人应核实并相应调整合同价格。</w:t>
      </w:r>
    </w:p>
    <w:p w14:paraId="4C26D96B">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096FA954">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72" w:name="_Toc13838"/>
      <w:bookmarkStart w:id="273" w:name="_Toc149731479"/>
      <w:r>
        <w:rPr>
          <w:rFonts w:hint="eastAsia" w:ascii="仿宋" w:hAnsi="仿宋" w:eastAsia="仿宋" w:cs="仿宋"/>
          <w:bCs w:val="0"/>
          <w:color w:val="000000" w:themeColor="text1"/>
          <w:sz w:val="24"/>
          <w:szCs w:val="24"/>
          <w:highlight w:val="none"/>
          <w:lang w:eastAsia="zh-CN"/>
          <w14:textFill>
            <w14:solidFill>
              <w14:schemeClr w14:val="tx1"/>
            </w14:solidFill>
          </w14:textFill>
        </w:rPr>
        <w:t>45竣工日期</w:t>
      </w:r>
      <w:bookmarkEnd w:id="272"/>
      <w:bookmarkEnd w:id="273"/>
    </w:p>
    <w:p w14:paraId="1BBFAB9F">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07D68E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18688;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FGeLZAe&#10;AgAAJgQAAA4AAAAAAAAAAQAgAAAAJQEAAGRycy9lMm9Eb2MueG1sUEsFBgAAAAAGAAYAWQEAALUF&#10;AAAAAA==&#10;">
                <v:fill on="f" focussize="0,0"/>
                <v:stroke on="f"/>
                <v:imagedata o:title=""/>
                <o:lock v:ext="edit" aspectratio="f"/>
                <v:textbox>
                  <w:txbxContent>
                    <w:p w14:paraId="07D68E8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45</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2327BDC4">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合同双方当事人应在协议书和专用条款中约定合同工程的计划竣工日期。</w:t>
      </w:r>
    </w:p>
    <w:p w14:paraId="46A7DB39">
      <w:pPr>
        <w:pStyle w:val="40"/>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45</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3091FD70">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6C4EDD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6C4EDD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除发生不可抗力事项致使发包人不能按时竣工验收外，实际竣工日期按照下列情况分别确定：</w:t>
      </w:r>
    </w:p>
    <w:p w14:paraId="6BB48275">
      <w:pPr>
        <w:pStyle w:val="40"/>
        <w:tabs>
          <w:tab w:val="left" w:pos="1980"/>
          <w:tab w:val="left" w:pos="2160"/>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（1）工程经竣工验收合格的，以承包人提交竣工验收申请报告之日为实际竣工日期；</w:t>
      </w:r>
    </w:p>
    <w:p w14:paraId="06FDBB5E">
      <w:pPr>
        <w:pStyle w:val="40"/>
        <w:tabs>
          <w:tab w:val="left" w:pos="1980"/>
          <w:tab w:val="left" w:pos="2160"/>
        </w:tabs>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（2）承包人已按照第64</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款约定提交竣工验收申请报告，但发包人未按照第65</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款约定完成合同工程验收的，以承包人提交竣工验收申请报告之日为实际竣工日期；</w:t>
      </w:r>
    </w:p>
    <w:p w14:paraId="4F09B82D">
      <w:pPr>
        <w:pStyle w:val="40"/>
        <w:tabs>
          <w:tab w:val="left" w:pos="1980"/>
          <w:tab w:val="left" w:pos="2160"/>
        </w:tabs>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w:t>
      </w:r>
      <w:r>
        <w:rPr>
          <w:rFonts w:ascii="仿宋" w:hAnsi="仿宋" w:eastAsia="仿宋" w:cs="仿宋"/>
          <w:color w:val="000000" w:themeColor="text1"/>
          <w:sz w:val="24"/>
          <w:szCs w:val="24"/>
          <w:highlight w:val="none"/>
          <w:lang w:eastAsia="zh-CN"/>
          <w14:textFill>
            <w14:solidFill>
              <w14:schemeClr w14:val="tx1"/>
            </w14:solidFill>
          </w14:textFill>
        </w:rPr>
        <w:t>建设工程未经竣工验收，发包人擅自使用的，以转移占有建设工程之</w:t>
      </w:r>
      <w:r>
        <w:rPr>
          <w:rFonts w:hint="eastAsia" w:ascii="仿宋" w:hAnsi="仿宋" w:eastAsia="仿宋" w:cs="仿宋"/>
          <w:color w:val="000000" w:themeColor="text1"/>
          <w:sz w:val="24"/>
          <w:szCs w:val="24"/>
          <w:highlight w:val="none"/>
          <w:lang w:eastAsia="zh-CN"/>
          <w14:textFill>
            <w14:solidFill>
              <w14:schemeClr w14:val="tx1"/>
            </w14:solidFill>
          </w14:textFill>
        </w:rPr>
        <w:t>日为竣工日期。</w:t>
      </w:r>
    </w:p>
    <w:p w14:paraId="42EB6493">
      <w:pPr>
        <w:pStyle w:val="40"/>
        <w:tabs>
          <w:tab w:val="left" w:pos="1980"/>
          <w:tab w:val="left" w:pos="2160"/>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p>
    <w:p w14:paraId="5B7E2727">
      <w:pPr>
        <w:pStyle w:val="40"/>
        <w:adjustRightInd w:val="0"/>
        <w:snapToGrid w:val="0"/>
        <w:spacing w:line="360" w:lineRule="auto"/>
        <w:ind w:left="1626" w:leftChars="1" w:hanging="1624" w:hangingChars="674"/>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45</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11B0F583">
      <w:pPr>
        <w:pStyle w:val="20"/>
        <w:widowControl w:val="0"/>
        <w:adjustRightInd w:val="0"/>
        <w:snapToGrid w:val="0"/>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3ABB8A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3ABB8A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因发包人的原因导致实际竣工日期迟于计划竣工日期的，发包人应承担由此增加的费用和（或）延误的工期，并向承包人支付合理利润。</w:t>
      </w:r>
    </w:p>
    <w:p w14:paraId="4CC75D1C">
      <w:pPr>
        <w:spacing w:line="360" w:lineRule="auto"/>
        <w:ind w:left="1850" w:leftChars="771" w:firstLine="60" w:firstLineChars="25"/>
        <w:jc w:val="both"/>
        <w:rPr>
          <w:rFonts w:ascii="仿宋" w:hAnsi="仿宋" w:eastAsia="仿宋"/>
          <w:cap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因承包人的原因导致实际竣工日期迟于计划竣工日期的，承包人应按照第</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7条约定</w:t>
      </w:r>
      <w:r>
        <w:rPr>
          <w:rFonts w:hint="eastAsia" w:ascii="仿宋" w:hAnsi="仿宋" w:eastAsia="仿宋" w:cs="仿宋"/>
          <w:caps/>
          <w:color w:val="000000" w:themeColor="text1"/>
          <w:highlight w:val="none"/>
          <w:lang w:eastAsia="zh-CN"/>
          <w14:textFill>
            <w14:solidFill>
              <w14:schemeClr w14:val="tx1"/>
            </w14:solidFill>
          </w14:textFill>
        </w:rPr>
        <w:t>赔偿发包人由此造成的损失，并向发包人支付误期赔偿费。</w:t>
      </w:r>
    </w:p>
    <w:p w14:paraId="174BCFB2">
      <w:pPr>
        <w:spacing w:line="360" w:lineRule="auto"/>
        <w:rPr>
          <w:rFonts w:ascii="仿宋" w:hAnsi="仿宋" w:eastAsia="仿宋" w:cs="仿宋"/>
          <w:caps/>
          <w:color w:val="000000" w:themeColor="text1"/>
          <w:highlight w:val="none"/>
          <w:u w:val="single"/>
          <w:lang w:eastAsia="zh-CN"/>
          <w14:textFill>
            <w14:solidFill>
              <w14:schemeClr w14:val="tx1"/>
            </w14:solidFill>
          </w14:textFill>
        </w:rPr>
      </w:pPr>
    </w:p>
    <w:p w14:paraId="526B8EF1">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74" w:name="_Toc20713"/>
      <w:bookmarkStart w:id="275" w:name="_Toc149731480"/>
      <w:r>
        <w:rPr>
          <w:rFonts w:hint="eastAsia" w:ascii="仿宋" w:hAnsi="仿宋" w:eastAsia="仿宋" w:cs="仿宋"/>
          <w:bCs w:val="0"/>
          <w:color w:val="000000" w:themeColor="text1"/>
          <w:sz w:val="24"/>
          <w:szCs w:val="24"/>
          <w:highlight w:val="none"/>
          <w:lang w:eastAsia="zh-CN"/>
          <w14:textFill>
            <w14:solidFill>
              <w14:schemeClr w14:val="tx1"/>
            </w14:solidFill>
          </w14:textFill>
        </w:rPr>
        <w:t>46提前竣工</w:t>
      </w:r>
      <w:bookmarkEnd w:id="274"/>
      <w:bookmarkEnd w:id="275"/>
    </w:p>
    <w:p w14:paraId="0357A4FF">
      <w:pPr>
        <w:pStyle w:val="40"/>
        <w:adjustRightInd w:val="0"/>
        <w:snapToGrid w:val="0"/>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46</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54617E43">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2E8387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2E8387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发包人要求承包人提前竣工，或承包人按照第44</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款约定提交提前竣工建议书为发包人接受的，监理人应与承包人商定采取加快工程进度的措施，并修订合同工程进度计划。</w:t>
      </w:r>
    </w:p>
    <w:p w14:paraId="3B35AFF3">
      <w:pPr>
        <w:pStyle w:val="40"/>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46</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15ABCE6D">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348587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348587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提前竣工天数按照第45</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款约定确定的计划竣工天数减去实际竣工天数计算，其公式为：</w:t>
      </w:r>
    </w:p>
    <w:p w14:paraId="7B1AFA92">
      <w:pPr>
        <w:pStyle w:val="40"/>
        <w:adjustRightInd w:val="0"/>
        <w:snapToGrid w:val="0"/>
        <w:spacing w:line="360" w:lineRule="auto"/>
        <w:ind w:firstLine="2160" w:firstLineChars="90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提前竣工天数</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计划竣工天数</w:t>
      </w:r>
      <w:r>
        <w:rPr>
          <w:rFonts w:ascii="仿宋" w:hAnsi="仿宋" w:eastAsia="仿宋" w:cs="仿宋"/>
          <w:color w:val="000000" w:themeColor="text1"/>
          <w:sz w:val="24"/>
          <w:szCs w:val="24"/>
          <w:highlight w:val="none"/>
          <w:lang w:eastAsia="zh-CN"/>
          <w14:textFill>
            <w14:solidFill>
              <w14:schemeClr w14:val="tx1"/>
            </w14:solidFill>
          </w14:textFill>
        </w:rPr>
        <w:t xml:space="preserve"> — </w:t>
      </w:r>
      <w:r>
        <w:rPr>
          <w:rFonts w:hint="eastAsia" w:ascii="仿宋" w:hAnsi="仿宋" w:eastAsia="仿宋" w:cs="仿宋"/>
          <w:color w:val="000000" w:themeColor="text1"/>
          <w:sz w:val="24"/>
          <w:szCs w:val="24"/>
          <w:highlight w:val="none"/>
          <w:lang w:eastAsia="zh-CN"/>
          <w14:textFill>
            <w14:solidFill>
              <w14:schemeClr w14:val="tx1"/>
            </w14:solidFill>
          </w14:textFill>
        </w:rPr>
        <w:t>实际竣工天数</w:t>
      </w:r>
    </w:p>
    <w:p w14:paraId="550B9E1C">
      <w:pPr>
        <w:pStyle w:val="40"/>
        <w:tabs>
          <w:tab w:val="left" w:pos="1980"/>
          <w:tab w:val="left" w:pos="2160"/>
        </w:tabs>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发包人要求提前竣工或承包人提交的提前竣工建议书得到批准，发包人应承担承包人由此增加的费用，并按照第76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款约定向承包人支付提前竣工奖。</w:t>
      </w:r>
    </w:p>
    <w:p w14:paraId="39BD87BE">
      <w:pPr>
        <w:pStyle w:val="40"/>
        <w:tabs>
          <w:tab w:val="left" w:pos="540"/>
        </w:tabs>
        <w:adjustRightInd w:val="0"/>
        <w:snapToGrid w:val="0"/>
        <w:spacing w:before="240" w:beforeLines="100" w:line="360" w:lineRule="auto"/>
        <w:rPr>
          <w:rFonts w:ascii="仿宋" w:hAnsi="仿宋" w:eastAsia="仿宋" w:cs="仿宋"/>
          <w:b/>
          <w:bCs/>
          <w:caps/>
          <w:color w:val="000000" w:themeColor="text1"/>
          <w:sz w:val="24"/>
          <w:szCs w:val="24"/>
          <w:highlight w:val="none"/>
          <w:u w:val="single"/>
          <w:lang w:eastAsia="zh-CN"/>
          <w14:textFill>
            <w14:solidFill>
              <w14:schemeClr w14:val="tx1"/>
            </w14:solidFill>
          </w14:textFill>
        </w:rPr>
      </w:pPr>
    </w:p>
    <w:p w14:paraId="370D494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76" w:name="_Toc149731481"/>
      <w:bookmarkStart w:id="277" w:name="_Toc14870"/>
      <w:r>
        <w:rPr>
          <w:rFonts w:ascii="仿宋" w:hAnsi="仿宋" w:eastAsia="仿宋" w:cs="仿宋"/>
          <w:bCs w:val="0"/>
          <w:color w:val="000000" w:themeColor="text1"/>
          <w:sz w:val="24"/>
          <w:szCs w:val="24"/>
          <w:highlight w:val="none"/>
          <w:lang w:eastAsia="zh-CN"/>
          <w14:textFill>
            <w14:solidFill>
              <w14:schemeClr w14:val="tx1"/>
            </w14:solidFill>
          </w14:textFill>
        </w:rPr>
        <w:t>4</w:t>
      </w:r>
      <w:r>
        <w:rPr>
          <w:rFonts w:hint="eastAsia" w:ascii="仿宋" w:hAnsi="仿宋" w:eastAsia="仿宋" w:cs="仿宋"/>
          <w:bCs w:val="0"/>
          <w:color w:val="000000" w:themeColor="text1"/>
          <w:sz w:val="24"/>
          <w:szCs w:val="24"/>
          <w:highlight w:val="none"/>
          <w:lang w:eastAsia="zh-CN"/>
          <w14:textFill>
            <w14:solidFill>
              <w14:schemeClr w14:val="tx1"/>
            </w14:solidFill>
          </w14:textFill>
        </w:rPr>
        <w:t>7误期赔偿</w:t>
      </w:r>
      <w:bookmarkEnd w:id="276"/>
      <w:bookmarkEnd w:id="277"/>
    </w:p>
    <w:p w14:paraId="13C03C86">
      <w:pPr>
        <w:rPr>
          <w:rFonts w:ascii="仿宋" w:hAnsi="仿宋" w:eastAsia="仿宋"/>
          <w:b/>
          <w:bCs/>
          <w:cap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.1</w:t>
      </w:r>
    </w:p>
    <w:p w14:paraId="50DEA876">
      <w:pPr>
        <w:spacing w:line="360" w:lineRule="auto"/>
        <w:ind w:left="1850" w:leftChars="771"/>
        <w:rPr>
          <w:rFonts w:ascii="仿宋" w:hAnsi="仿宋" w:eastAsia="仿宋"/>
          <w:cap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BFA75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5BFA75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000000" w:themeColor="text1"/>
          <w:highlight w:val="none"/>
          <w:lang w:eastAsia="zh-CN"/>
          <w14:textFill>
            <w14:solidFill>
              <w14:schemeClr w14:val="tx1"/>
            </w14:solidFill>
          </w14:textFill>
        </w:rPr>
        <w:t>如果承包人未按照第40</w:t>
      </w:r>
      <w:r>
        <w:rPr>
          <w:rFonts w:ascii="仿宋" w:hAnsi="仿宋" w:eastAsia="仿宋" w:cs="仿宋"/>
          <w:caps/>
          <w:color w:val="000000" w:themeColor="text1"/>
          <w:highlight w:val="none"/>
          <w:lang w:eastAsia="zh-CN"/>
          <w14:textFill>
            <w14:solidFill>
              <w14:schemeClr w14:val="tx1"/>
            </w14:solidFill>
          </w14:textFill>
        </w:rPr>
        <w:t>.4</w:t>
      </w:r>
      <w:r>
        <w:rPr>
          <w:rFonts w:hint="eastAsia" w:ascii="仿宋" w:hAnsi="仿宋" w:eastAsia="仿宋" w:cs="仿宋"/>
          <w:caps/>
          <w:color w:val="000000" w:themeColor="text1"/>
          <w:highlight w:val="none"/>
          <w:lang w:eastAsia="zh-CN"/>
          <w14:textFill>
            <w14:solidFill>
              <w14:schemeClr w14:val="tx1"/>
            </w14:solidFill>
          </w14:textFill>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8F19129">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 xml:space="preserve">.2  </w:t>
      </w:r>
    </w:p>
    <w:p w14:paraId="365A80A7">
      <w:pPr>
        <w:spacing w:line="360" w:lineRule="auto"/>
        <w:ind w:left="1850" w:leftChars="771"/>
        <w:jc w:val="both"/>
        <w:rPr>
          <w:rFonts w:ascii="仿宋" w:hAnsi="仿宋" w:eastAsia="仿宋"/>
          <w:cap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0DB480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0DB4803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000000" w:themeColor="text1"/>
          <w:highlight w:val="none"/>
          <w:lang w:eastAsia="zh-CN"/>
          <w14:textFill>
            <w14:solidFill>
              <w14:schemeClr w14:val="tx1"/>
            </w14:solidFill>
          </w14:textFill>
        </w:rPr>
        <w:t>误期（实际延误天数）按照实际总工期天数减去计划总工期天数计算，其公式为：</w:t>
      </w:r>
    </w:p>
    <w:p w14:paraId="49064755">
      <w:pPr>
        <w:spacing w:line="360" w:lineRule="auto"/>
        <w:ind w:firstLine="2160" w:firstLineChars="900"/>
        <w:rPr>
          <w:rFonts w:ascii="仿宋" w:hAnsi="仿宋" w:eastAsia="仿宋"/>
          <w:caps/>
          <w:color w:val="000000" w:themeColor="text1"/>
          <w:highlight w:val="none"/>
          <w:lang w:eastAsia="zh-CN"/>
          <w14:textFill>
            <w14:solidFill>
              <w14:schemeClr w14:val="tx1"/>
            </w14:solidFill>
          </w14:textFill>
        </w:rPr>
      </w:pPr>
      <w:r>
        <w:rPr>
          <w:rFonts w:hint="eastAsia" w:ascii="仿宋" w:hAnsi="仿宋" w:eastAsia="仿宋" w:cs="仿宋"/>
          <w:caps/>
          <w:color w:val="000000" w:themeColor="text1"/>
          <w:highlight w:val="none"/>
          <w:lang w:eastAsia="zh-CN"/>
          <w14:textFill>
            <w14:solidFill>
              <w14:schemeClr w14:val="tx1"/>
            </w14:solidFill>
          </w14:textFill>
        </w:rPr>
        <w:t>实际延误天数＝实际总工期天数－计划总工期天数</w:t>
      </w:r>
    </w:p>
    <w:p w14:paraId="10EB585B">
      <w:pPr>
        <w:spacing w:line="360" w:lineRule="auto"/>
        <w:ind w:left="1850" w:leftChars="771"/>
        <w:jc w:val="both"/>
        <w:rPr>
          <w:rFonts w:ascii="仿宋" w:hAnsi="仿宋" w:eastAsia="仿宋"/>
          <w:caps/>
          <w:color w:val="000000" w:themeColor="text1"/>
          <w:highlight w:val="none"/>
          <w:lang w:eastAsia="zh-CN"/>
          <w14:textFill>
            <w14:solidFill>
              <w14:schemeClr w14:val="tx1"/>
            </w14:solidFill>
          </w14:textFill>
        </w:rPr>
      </w:pPr>
      <w:r>
        <w:rPr>
          <w:rFonts w:hint="eastAsia" w:ascii="仿宋" w:hAnsi="仿宋" w:eastAsia="仿宋" w:cs="仿宋"/>
          <w:caps/>
          <w:color w:val="000000" w:themeColor="text1"/>
          <w:highlight w:val="none"/>
          <w:lang w:eastAsia="zh-CN"/>
          <w14:textFill>
            <w14:solidFill>
              <w14:schemeClr w14:val="tx1"/>
            </w14:solidFill>
          </w14:textFill>
        </w:rPr>
        <w:t>合同工程发生误期，承包人应赔偿发包人由此造成的损失，并按照第76</w:t>
      </w:r>
      <w:r>
        <w:rPr>
          <w:rFonts w:ascii="仿宋" w:hAnsi="仿宋" w:eastAsia="仿宋" w:cs="仿宋"/>
          <w:caps/>
          <w:color w:val="000000" w:themeColor="text1"/>
          <w:highlight w:val="none"/>
          <w:lang w:eastAsia="zh-CN"/>
          <w14:textFill>
            <w14:solidFill>
              <w14:schemeClr w14:val="tx1"/>
            </w14:solidFill>
          </w14:textFill>
        </w:rPr>
        <w:t>.2</w:t>
      </w:r>
      <w:r>
        <w:rPr>
          <w:rFonts w:hint="eastAsia" w:ascii="仿宋" w:hAnsi="仿宋" w:eastAsia="仿宋" w:cs="仿宋"/>
          <w:caps/>
          <w:color w:val="000000" w:themeColor="text1"/>
          <w:highlight w:val="none"/>
          <w:lang w:eastAsia="zh-CN"/>
          <w14:textFill>
            <w14:solidFill>
              <w14:schemeClr w14:val="tx1"/>
            </w14:solidFill>
          </w14:textFill>
        </w:rPr>
        <w:t>款约定向发包人支付误期赔偿费。</w:t>
      </w:r>
    </w:p>
    <w:p w14:paraId="2FA951AF">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p>
    <w:p w14:paraId="0DAF6A03">
      <w:pPr>
        <w:pStyle w:val="40"/>
        <w:adjustRightInd w:val="0"/>
        <w:snapToGrid w:val="0"/>
        <w:spacing w:line="360" w:lineRule="auto"/>
        <w:jc w:val="center"/>
        <w:outlineLvl w:val="1"/>
        <w:rPr>
          <w:rFonts w:ascii="仿宋" w:hAnsi="仿宋" w:eastAsia="仿宋"/>
          <w:b/>
          <w:bCs/>
          <w:color w:val="000000" w:themeColor="text1"/>
          <w:sz w:val="24"/>
          <w:szCs w:val="24"/>
          <w:highlight w:val="none"/>
          <w:lang w:eastAsia="zh-CN"/>
          <w14:textFill>
            <w14:solidFill>
              <w14:schemeClr w14:val="tx1"/>
            </w14:solidFill>
          </w14:textFill>
        </w:rPr>
      </w:pPr>
      <w:bookmarkStart w:id="278" w:name="_Toc149731482"/>
      <w:bookmarkStart w:id="279" w:name="_Toc25028"/>
      <w:r>
        <w:rPr>
          <w:rFonts w:hint="eastAsia" w:ascii="仿宋" w:hAnsi="仿宋" w:eastAsia="仿宋" w:cs="仿宋"/>
          <w:b/>
          <w:bCs/>
          <w:color w:val="000000" w:themeColor="text1"/>
          <w:sz w:val="24"/>
          <w:szCs w:val="24"/>
          <w:highlight w:val="none"/>
          <w:lang w:eastAsia="zh-CN"/>
          <w14:textFill>
            <w14:solidFill>
              <w14:schemeClr w14:val="tx1"/>
            </w14:solidFill>
          </w14:textFill>
        </w:rPr>
        <w:t>六、质量与安全</w:t>
      </w:r>
      <w:bookmarkEnd w:id="278"/>
      <w:bookmarkEnd w:id="279"/>
    </w:p>
    <w:p w14:paraId="1D82BADA">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80" w:name="_Toc149731483"/>
      <w:bookmarkStart w:id="281" w:name="_Toc786"/>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ascii="仿宋" w:hAnsi="仿宋" w:eastAsia="仿宋" w:cs="仿宋"/>
          <w:bCs w:val="0"/>
          <w:color w:val="000000" w:themeColor="text1"/>
          <w:sz w:val="24"/>
          <w:szCs w:val="24"/>
          <w:highlight w:val="none"/>
          <w:lang w:eastAsia="zh-CN"/>
          <w14:textFill>
            <w14:solidFill>
              <w14:schemeClr w14:val="tx1"/>
            </w14:solidFill>
          </w14:textFill>
        </w:rPr>
        <w:t>4</w:t>
      </w:r>
      <w:r>
        <w:rPr>
          <w:rFonts w:hint="eastAsia" w:ascii="仿宋" w:hAnsi="仿宋" w:eastAsia="仿宋" w:cs="仿宋"/>
          <w:bCs w:val="0"/>
          <w:color w:val="000000" w:themeColor="text1"/>
          <w:sz w:val="24"/>
          <w:szCs w:val="24"/>
          <w:highlight w:val="none"/>
          <w:lang w:eastAsia="zh-CN"/>
          <w14:textFill>
            <w14:solidFill>
              <w14:schemeClr w14:val="tx1"/>
            </w14:solidFill>
          </w14:textFill>
        </w:rPr>
        <w:t>8质量与安全管理</w:t>
      </w:r>
      <w:bookmarkEnd w:id="280"/>
      <w:bookmarkEnd w:id="281"/>
    </w:p>
    <w:p w14:paraId="3B46F4CB">
      <w:pPr>
        <w:tabs>
          <w:tab w:val="left" w:pos="780"/>
        </w:tabs>
        <w:adjustRightInd w:val="0"/>
        <w:snapToGrid w:val="0"/>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.1</w:t>
      </w:r>
    </w:p>
    <w:p w14:paraId="2C29E10B">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312648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312648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5DAB3FE8">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.2  </w:t>
      </w:r>
    </w:p>
    <w:p w14:paraId="0DBF8A1D">
      <w:pPr>
        <w:pStyle w:val="20"/>
        <w:adjustRightInd w:val="0"/>
        <w:snapToGrid w:val="0"/>
        <w:spacing w:line="360" w:lineRule="auto"/>
        <w:ind w:left="1850" w:leftChars="771" w:firstLine="0"/>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735DE0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735DE06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发包人在领取施工许可证或者提交开工报告之前，应及时按照国家有关规定对勘察、设计成果进行审查；报送政府、行业主管部门或施工图审查机构审查；办理合同工程质量和施工安全监督手续。</w:t>
      </w:r>
    </w:p>
    <w:p w14:paraId="0822446B">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25A77418">
      <w:pPr>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0CC02E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1971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0CC02E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.3  </w:t>
      </w:r>
    </w:p>
    <w:p w14:paraId="241D918A">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1D65264A">
      <w:pPr>
        <w:spacing w:line="360" w:lineRule="auto"/>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71696E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073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71696E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.4  </w:t>
      </w:r>
    </w:p>
    <w:p w14:paraId="4C7A9F7A">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1744E6D0">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因承包人原因造成工程质量未达到合同约定标准的，发包人有权要求承包人返工直至工程质量达到合同约定的标准为止，并由承包人承担由此增加的费用和延误工期的责任。</w:t>
      </w:r>
    </w:p>
    <w:p w14:paraId="495764B9">
      <w:pPr>
        <w:spacing w:line="360" w:lineRule="auto"/>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72B8EAD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72B8EAD0">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.5  </w:t>
      </w:r>
    </w:p>
    <w:p w14:paraId="38BFD8A9">
      <w:pPr>
        <w:autoSpaceDE w:val="0"/>
        <w:autoSpaceDN w:val="0"/>
        <w:adjustRightIn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因发包人原因造成工程质量未达到合同约定标准的，由发包人承担由此增加的费用和延误工期的责任，增加的费用按本合同相关条款约定计算。</w:t>
      </w:r>
    </w:p>
    <w:p w14:paraId="32E7A1DD">
      <w:pPr>
        <w:spacing w:line="360" w:lineRule="auto"/>
        <w:rPr>
          <w:rFonts w:ascii="仿宋" w:hAnsi="仿宋" w:eastAsia="仿宋" w:cs="仿宋"/>
          <w:color w:val="000000" w:themeColor="text1"/>
          <w:highlight w:val="none"/>
          <w:u w:val="dotted"/>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4</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.6 </w:t>
      </w:r>
    </w:p>
    <w:p w14:paraId="7B396649">
      <w:pPr>
        <w:widowControl w:val="0"/>
        <w:autoSpaceDE w:val="0"/>
        <w:autoSpaceDN w:val="0"/>
        <w:adjustRightIn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32A136F5">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32A136F5">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查看和查阅施工原始记录。监理人为此进行的检查和检验，不免除或减轻承包人按照合同约定应当承担的责任。</w:t>
      </w:r>
    </w:p>
    <w:p w14:paraId="6415F7E7">
      <w:pPr>
        <w:pStyle w:val="20"/>
        <w:adjustRightInd w:val="0"/>
        <w:snapToGrid w:val="0"/>
        <w:spacing w:line="360" w:lineRule="auto"/>
        <w:ind w:firstLine="0"/>
        <w:rPr>
          <w:rFonts w:ascii="仿宋" w:hAnsi="仿宋" w:eastAsia="仿宋" w:cs="仿宋"/>
          <w:b/>
          <w:bCs/>
          <w:color w:val="000000" w:themeColor="text1"/>
          <w:highlight w:val="none"/>
          <w:u w:val="single"/>
          <w:lang w:eastAsia="zh-CN"/>
          <w14:textFill>
            <w14:solidFill>
              <w14:schemeClr w14:val="tx1"/>
            </w14:solidFill>
          </w14:textFill>
        </w:rPr>
      </w:pPr>
    </w:p>
    <w:p w14:paraId="39D43CA6">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82" w:name="_Toc26614"/>
      <w:bookmarkStart w:id="283" w:name="_Toc149731484"/>
      <w:r>
        <w:rPr>
          <w:rFonts w:hint="eastAsia" w:ascii="仿宋" w:hAnsi="仿宋" w:eastAsia="仿宋" w:cs="仿宋"/>
          <w:bCs w:val="0"/>
          <w:color w:val="000000" w:themeColor="text1"/>
          <w:sz w:val="24"/>
          <w:szCs w:val="24"/>
          <w:highlight w:val="none"/>
          <w:lang w:eastAsia="zh-CN"/>
          <w14:textFill>
            <w14:solidFill>
              <w14:schemeClr w14:val="tx1"/>
            </w14:solidFill>
          </w14:textFill>
        </w:rPr>
        <w:t>★49质量标准</w:t>
      </w:r>
      <w:bookmarkEnd w:id="282"/>
      <w:bookmarkEnd w:id="283"/>
    </w:p>
    <w:p w14:paraId="1E277D14">
      <w:pPr>
        <w:adjustRightInd w:val="0"/>
        <w:snapToGrid w:val="0"/>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49</w:t>
      </w:r>
      <w:r>
        <w:rPr>
          <w:rFonts w:ascii="仿宋" w:hAnsi="仿宋" w:eastAsia="仿宋" w:cs="仿宋"/>
          <w:b/>
          <w:bCs/>
          <w:color w:val="000000" w:themeColor="text1"/>
          <w:highlight w:val="none"/>
          <w:lang w:eastAsia="zh-CN"/>
          <w14:textFill>
            <w14:solidFill>
              <w14:schemeClr w14:val="tx1"/>
            </w14:solidFill>
          </w14:textFill>
        </w:rPr>
        <w:t>.1</w:t>
      </w:r>
    </w:p>
    <w:p w14:paraId="6BF63AC2">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646DA3C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646DA3C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60392427">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工程质量验收，按照合同约定的标准执行；合同没有约定的，按照国家或行业的质量验收标准执行。</w:t>
      </w:r>
    </w:p>
    <w:p w14:paraId="0B2CD9CB">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49</w:t>
      </w:r>
      <w:r>
        <w:rPr>
          <w:rFonts w:ascii="仿宋" w:hAnsi="仿宋" w:eastAsia="仿宋" w:cs="仿宋"/>
          <w:b/>
          <w:bCs/>
          <w:color w:val="000000" w:themeColor="text1"/>
          <w:highlight w:val="none"/>
          <w:lang w:eastAsia="zh-CN"/>
          <w14:textFill>
            <w14:solidFill>
              <w14:schemeClr w14:val="tx1"/>
            </w14:solidFill>
          </w14:textFill>
        </w:rPr>
        <w:t>.2</w:t>
      </w:r>
    </w:p>
    <w:p w14:paraId="52ABEA41">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186C074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1760;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V+nZ3VAAAABwEA&#10;AA8AAAAAAAAAAQAgAAAAIgAAAGRycy9kb3ducmV2LnhtbFBLAQIUABQAAAAIAIdO4kCun68rHQIA&#10;ACYEAAAOAAAAAAAAAAEAIAAAACQBAABkcnMvZTJvRG9jLnhtbFBLBQYAAAAABgAGAFkBAACzBQAA&#10;AAA=&#10;">
                <v:fill on="f" focussize="0,0"/>
                <v:stroke on="f"/>
                <v:imagedata o:title=""/>
                <o:lock v:ext="edit" aspectratio="f"/>
                <v:textbox>
                  <w:txbxContent>
                    <w:p w14:paraId="186C074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承包人对合同工程的工作质量和工程质量向发包人负责，其职责包括但不限于下列内容：</w:t>
      </w:r>
    </w:p>
    <w:p w14:paraId="2846B195">
      <w:pPr>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（1）编制勘察、设计、BIM技术应用、设备及工器具购置等工作方案，确定工作方法，制定质量保证措施；</w:t>
      </w:r>
    </w:p>
    <w:p w14:paraId="3B175F2C">
      <w:pPr>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（2）安排足够的勘察、设计、BIM技术应用等专业技术人员，检查和控制成果质量；</w:t>
      </w:r>
    </w:p>
    <w:p w14:paraId="0AAADDC0">
      <w:pPr>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（3）编制施工技术方案，确定施工技术措施；</w:t>
      </w:r>
    </w:p>
    <w:p w14:paraId="5809BC28">
      <w:pPr>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（4）提供和组织足够的工程技术人员，检查和控制工程施工质量；</w:t>
      </w:r>
    </w:p>
    <w:p w14:paraId="08842739">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（5）控制施工所用的工程材料和工程设备，使其符合标准与规范、设计要求及合同约定的标准；</w:t>
      </w:r>
    </w:p>
    <w:p w14:paraId="50E15D45">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（6）负责合同工程施工中出现质量问题或竣工验收不合格的返修工作；</w:t>
      </w:r>
    </w:p>
    <w:p w14:paraId="70C3F64E">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（7）参加合同工程的所有验收工作，包括隐蔽验收、中间验收；参加竣工验收，组织分包人参加工程验收工作；</w:t>
      </w:r>
    </w:p>
    <w:p w14:paraId="28CD112A">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（8）承担质量保修期的工程保修责任；</w:t>
      </w:r>
    </w:p>
    <w:p w14:paraId="5E18316D">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（9）承担其他工程质量责任。</w:t>
      </w:r>
    </w:p>
    <w:p w14:paraId="612D1323">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49</w:t>
      </w:r>
      <w:r>
        <w:rPr>
          <w:rFonts w:ascii="仿宋" w:hAnsi="仿宋" w:eastAsia="仿宋" w:cs="仿宋"/>
          <w:b/>
          <w:bCs/>
          <w:color w:val="000000" w:themeColor="text1"/>
          <w:highlight w:val="none"/>
          <w:lang w:eastAsia="zh-CN"/>
          <w14:textFill>
            <w14:solidFill>
              <w14:schemeClr w14:val="tx1"/>
            </w14:solidFill>
          </w14:textFill>
        </w:rPr>
        <w:t xml:space="preserve">.3  </w:t>
      </w:r>
    </w:p>
    <w:p w14:paraId="19441F2D">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76DE69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2784;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76DE69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承包人应建立健全完善的质量保证体系。</w:t>
      </w:r>
    </w:p>
    <w:p w14:paraId="656CC5AE">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8E8973B">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2DFE5EF1">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2B0740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3808;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2B0740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49</w:t>
      </w:r>
      <w:r>
        <w:rPr>
          <w:rFonts w:ascii="仿宋" w:hAnsi="仿宋" w:eastAsia="仿宋" w:cs="仿宋"/>
          <w:b/>
          <w:bCs/>
          <w:color w:val="000000" w:themeColor="text1"/>
          <w:highlight w:val="none"/>
          <w:lang w:eastAsia="zh-CN"/>
          <w14:textFill>
            <w14:solidFill>
              <w14:schemeClr w14:val="tx1"/>
            </w14:solidFill>
          </w14:textFill>
        </w:rPr>
        <w:t xml:space="preserve">.4 </w:t>
      </w:r>
    </w:p>
    <w:p w14:paraId="128D1959">
      <w:pPr>
        <w:widowControl w:val="0"/>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合同双方当事人对工程质量有争议的，按照第91</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款约定调解或认定，所需的费用及由此造成的损失，由责任方承担。双方均有责任的，由双方根据其责任划分分别承担。</w:t>
      </w:r>
    </w:p>
    <w:p w14:paraId="4A121DFC">
      <w:pPr>
        <w:tabs>
          <w:tab w:val="left" w:pos="1620"/>
        </w:tabs>
        <w:adjustRightInd w:val="0"/>
        <w:snapToGrid w:val="0"/>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34151E4B">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84" w:name="_Toc149731485"/>
      <w:bookmarkStart w:id="285" w:name="_Toc7185"/>
      <w:r>
        <w:rPr>
          <w:rFonts w:hint="eastAsia" w:ascii="仿宋" w:hAnsi="仿宋" w:eastAsia="仿宋" w:cs="仿宋"/>
          <w:bCs w:val="0"/>
          <w:color w:val="000000" w:themeColor="text1"/>
          <w:sz w:val="24"/>
          <w:szCs w:val="24"/>
          <w:highlight w:val="none"/>
          <w:lang w:eastAsia="zh-CN"/>
          <w14:textFill>
            <w14:solidFill>
              <w14:schemeClr w14:val="tx1"/>
            </w14:solidFill>
          </w14:textFill>
        </w:rPr>
        <w:t>★50工程质量创优</w:t>
      </w:r>
      <w:bookmarkEnd w:id="284"/>
      <w:bookmarkEnd w:id="285"/>
    </w:p>
    <w:p w14:paraId="2938039B">
      <w:pPr>
        <w:spacing w:line="360" w:lineRule="auto"/>
        <w:rPr>
          <w:rFonts w:ascii="仿宋" w:hAnsi="仿宋" w:eastAsia="仿宋"/>
          <w:b/>
          <w:bCs/>
          <w:caps/>
          <w:color w:val="000000" w:themeColor="text1"/>
          <w:highlight w:val="none"/>
          <w:lang w:eastAsia="zh-CN"/>
          <w14:textFill>
            <w14:solidFill>
              <w14:schemeClr w14:val="tx1"/>
            </w14:solidFill>
          </w14:textFill>
        </w:rPr>
      </w:pPr>
      <w:bookmarkStart w:id="286" w:name="_Toc5870"/>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56B3A2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56B3A2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000000" w:themeColor="text1"/>
          <w:highlight w:val="none"/>
          <w:lang w:eastAsia="zh-CN"/>
          <w14:textFill>
            <w14:solidFill>
              <w14:schemeClr w14:val="tx1"/>
            </w14:solidFill>
          </w14:textFill>
        </w:rPr>
        <w:t>50</w:t>
      </w:r>
      <w:r>
        <w:rPr>
          <w:rFonts w:ascii="仿宋" w:hAnsi="仿宋" w:eastAsia="仿宋" w:cs="仿宋"/>
          <w:b/>
          <w:bCs/>
          <w:caps/>
          <w:color w:val="000000" w:themeColor="text1"/>
          <w:highlight w:val="none"/>
          <w:lang w:eastAsia="zh-CN"/>
          <w14:textFill>
            <w14:solidFill>
              <w14:schemeClr w14:val="tx1"/>
            </w14:solidFill>
          </w14:textFill>
        </w:rPr>
        <w:t>.1</w:t>
      </w:r>
      <w:bookmarkEnd w:id="286"/>
    </w:p>
    <w:p w14:paraId="64EF1B69">
      <w:pPr>
        <w:widowControl w:val="0"/>
        <w:spacing w:line="360" w:lineRule="auto"/>
        <w:ind w:left="1850" w:leftChars="771"/>
        <w:rPr>
          <w:rFonts w:ascii="仿宋" w:hAnsi="仿宋" w:eastAsia="仿宋" w:cs="仿宋"/>
          <w:caps/>
          <w:color w:val="000000" w:themeColor="text1"/>
          <w:highlight w:val="none"/>
          <w:lang w:eastAsia="zh-CN"/>
          <w14:textFill>
            <w14:solidFill>
              <w14:schemeClr w14:val="tx1"/>
            </w14:solidFill>
          </w14:textFill>
        </w:rPr>
      </w:pPr>
      <w:r>
        <w:rPr>
          <w:rFonts w:hint="eastAsia" w:ascii="仿宋" w:hAnsi="仿宋" w:eastAsia="仿宋" w:cs="仿宋"/>
          <w:caps/>
          <w:color w:val="000000" w:themeColor="text1"/>
          <w:highlight w:val="none"/>
          <w:lang w:eastAsia="zh-CN"/>
          <w14:textFill>
            <w14:solidFill>
              <w14:schemeClr w14:val="tx1"/>
            </w14:solidFill>
          </w14:textFill>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43FB7DA3">
      <w:pPr>
        <w:widowControl w:val="0"/>
        <w:spacing w:line="360" w:lineRule="auto"/>
        <w:ind w:left="1850" w:leftChars="771"/>
        <w:rPr>
          <w:rFonts w:ascii="仿宋" w:hAnsi="仿宋" w:eastAsia="仿宋"/>
          <w:caps/>
          <w:color w:val="000000" w:themeColor="text1"/>
          <w:highlight w:val="none"/>
          <w:lang w:eastAsia="zh-CN"/>
          <w14:textFill>
            <w14:solidFill>
              <w14:schemeClr w14:val="tx1"/>
            </w14:solidFill>
          </w14:textFill>
        </w:rPr>
      </w:pPr>
      <w:r>
        <w:rPr>
          <w:rFonts w:hint="eastAsia" w:ascii="仿宋" w:hAnsi="仿宋" w:eastAsia="仿宋" w:cs="仿宋"/>
          <w:caps/>
          <w:color w:val="000000" w:themeColor="text1"/>
          <w:highlight w:val="none"/>
          <w:lang w:eastAsia="zh-CN"/>
          <w14:textFill>
            <w14:solidFill>
              <w14:schemeClr w14:val="tx1"/>
            </w14:solidFill>
          </w14:textFill>
        </w:rPr>
        <w:t>对于合同工程质量高于国家规定或合同约定的质量验收合格标准的，应按照第77条约定向承包人支付优质优价费用。</w:t>
      </w:r>
    </w:p>
    <w:p w14:paraId="220F9EAC">
      <w:pPr>
        <w:spacing w:line="360" w:lineRule="auto"/>
        <w:rPr>
          <w:rFonts w:ascii="仿宋" w:hAnsi="仿宋" w:eastAsia="仿宋"/>
          <w:b/>
          <w:bCs/>
          <w:cap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50</w:t>
      </w:r>
      <w:r>
        <w:rPr>
          <w:rFonts w:ascii="仿宋" w:hAnsi="仿宋" w:eastAsia="仿宋" w:cs="仿宋"/>
          <w:b/>
          <w:bCs/>
          <w:color w:val="000000" w:themeColor="text1"/>
          <w:highlight w:val="none"/>
          <w:lang w:eastAsia="zh-CN"/>
          <w14:textFill>
            <w14:solidFill>
              <w14:schemeClr w14:val="tx1"/>
            </w14:solidFill>
          </w14:textFill>
        </w:rPr>
        <w:t xml:space="preserve">.2 </w:t>
      </w:r>
    </w:p>
    <w:p w14:paraId="4C46F8C3">
      <w:pPr>
        <w:widowControl w:val="0"/>
        <w:spacing w:line="360" w:lineRule="auto"/>
        <w:ind w:left="1850" w:leftChars="771"/>
        <w:rPr>
          <w:rFonts w:ascii="仿宋" w:hAnsi="仿宋" w:eastAsia="仿宋"/>
          <w:cap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6A25C6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6A25C6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000000" w:themeColor="text1"/>
          <w:highlight w:val="none"/>
          <w:lang w:eastAsia="zh-CN"/>
          <w14:textFill>
            <w14:solidFill>
              <w14:schemeClr w14:val="tx1"/>
            </w14:solidFill>
          </w14:textFill>
        </w:rPr>
        <w:t>承包人应采取有效措施确保合同工程质量与施工安全，在保证工程质量、施工安全达到国家或行业的强制性标准的前提下，提高工程质量与施工安全管理水平，争取合同工程质量创优。</w:t>
      </w:r>
    </w:p>
    <w:p w14:paraId="59C2273B">
      <w:pPr>
        <w:tabs>
          <w:tab w:val="left" w:pos="1620"/>
        </w:tabs>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0867ECD6">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87" w:name="_Toc24537"/>
      <w:bookmarkStart w:id="288" w:name="_Toc149731486"/>
      <w:r>
        <w:rPr>
          <w:rFonts w:hint="eastAsia" w:ascii="仿宋" w:hAnsi="仿宋" w:eastAsia="仿宋" w:cs="仿宋"/>
          <w:bCs w:val="0"/>
          <w:color w:val="000000" w:themeColor="text1"/>
          <w:sz w:val="24"/>
          <w:szCs w:val="24"/>
          <w:highlight w:val="none"/>
          <w:lang w:eastAsia="zh-CN"/>
          <w14:textFill>
            <w14:solidFill>
              <w14:schemeClr w14:val="tx1"/>
            </w14:solidFill>
          </w14:textFill>
        </w:rPr>
        <w:t>51工程的照管</w:t>
      </w:r>
      <w:bookmarkEnd w:id="287"/>
      <w:bookmarkEnd w:id="288"/>
    </w:p>
    <w:p w14:paraId="15F57E86">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289" w:name="_Toc5922"/>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297F6C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483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297F6C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51</w:t>
      </w:r>
      <w:r>
        <w:rPr>
          <w:rFonts w:ascii="仿宋" w:hAnsi="仿宋" w:eastAsia="仿宋" w:cs="仿宋"/>
          <w:b/>
          <w:bCs/>
          <w:color w:val="000000" w:themeColor="text1"/>
          <w:highlight w:val="none"/>
          <w:lang w:eastAsia="zh-CN"/>
          <w14:textFill>
            <w14:solidFill>
              <w14:schemeClr w14:val="tx1"/>
            </w14:solidFill>
          </w14:textFill>
        </w:rPr>
        <w:t>.1</w:t>
      </w:r>
      <w:bookmarkEnd w:id="289"/>
    </w:p>
    <w:p w14:paraId="060397AD">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从开工之日起，承包人应全面负责照管合同工程及运至现场将使用到合同工程中的工程材料和工程设备，直到合同双方当事人确认工程移交之日止。此后，工程的照管即转由发包人负责。</w:t>
      </w:r>
    </w:p>
    <w:p w14:paraId="52DE75C7">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3B593A65">
      <w:pPr>
        <w:spacing w:line="360" w:lineRule="auto"/>
        <w:rPr>
          <w:rFonts w:ascii="仿宋" w:hAnsi="仿宋" w:eastAsia="仿宋"/>
          <w:color w:val="000000" w:themeColor="text1"/>
          <w:highlight w:val="none"/>
          <w:lang w:eastAsia="zh-CN"/>
          <w14:textFill>
            <w14:solidFill>
              <w14:schemeClr w14:val="tx1"/>
            </w14:solidFill>
          </w14:textFill>
        </w:rPr>
      </w:pPr>
      <w:bookmarkStart w:id="290" w:name="_Toc8290"/>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70FE00B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585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70FE00B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51</w:t>
      </w:r>
      <w:r>
        <w:rPr>
          <w:rFonts w:ascii="仿宋" w:hAnsi="仿宋" w:eastAsia="仿宋" w:cs="仿宋"/>
          <w:b/>
          <w:bCs/>
          <w:color w:val="000000" w:themeColor="text1"/>
          <w:highlight w:val="none"/>
          <w:lang w:eastAsia="zh-CN"/>
          <w14:textFill>
            <w14:solidFill>
              <w14:schemeClr w14:val="tx1"/>
            </w14:solidFill>
          </w14:textFill>
        </w:rPr>
        <w:t>.2</w:t>
      </w:r>
      <w:bookmarkEnd w:id="290"/>
    </w:p>
    <w:p w14:paraId="69220C21">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承包人在负责工程照管期间，如因自身原因造成合同工程或其任何部分，以及工程材料和工程设备或临时工程的损坏，承包人应自费修复上述损坏，保证合同工程质量达到合同约定的标准。</w:t>
      </w:r>
    </w:p>
    <w:p w14:paraId="5A384D37">
      <w:pPr>
        <w:adjustRightInd w:val="0"/>
        <w:snapToGrid w:val="0"/>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3CF72128">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291" w:name="_Toc6885"/>
      <w:bookmarkStart w:id="292" w:name="_Toc149731487"/>
      <w:r>
        <w:rPr>
          <w:rFonts w:hint="eastAsia" w:ascii="仿宋" w:hAnsi="仿宋" w:eastAsia="仿宋" w:cs="仿宋"/>
          <w:bCs w:val="0"/>
          <w:color w:val="000000" w:themeColor="text1"/>
          <w:sz w:val="24"/>
          <w:szCs w:val="24"/>
          <w:highlight w:val="none"/>
          <w:lang w:eastAsia="zh-CN"/>
          <w14:textFill>
            <w14:solidFill>
              <w14:schemeClr w14:val="tx1"/>
            </w14:solidFill>
          </w14:textFill>
        </w:rPr>
        <w:t>★52绿色施工安全防护</w:t>
      </w:r>
      <w:bookmarkEnd w:id="291"/>
      <w:bookmarkEnd w:id="292"/>
    </w:p>
    <w:p w14:paraId="6FBFBDC4">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293" w:name="_Toc1795"/>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633921D0">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688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633921D0">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.1</w:t>
      </w:r>
      <w:bookmarkEnd w:id="293"/>
    </w:p>
    <w:p w14:paraId="29DFF7EC">
      <w:pPr>
        <w:widowControl w:val="0"/>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036EBFC">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在施工过程中，如遇到地质突变、事先未知的地下施工障碍等影响施工安全的紧急情况，承包人应及时报告监理人和发包人，发包人应当及时下令停工并报政府有关行政管理部门采取应急措施。</w:t>
      </w:r>
    </w:p>
    <w:p w14:paraId="2607CE75">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发包人应组织承包人和有关单位进行安全检查，授权监理人按合同约定的绿色施工安全防护内容监督、检查承包人实施绿色施工安全防护，并按照第</w:t>
      </w:r>
      <w:r>
        <w:rPr>
          <w:rFonts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lang w:eastAsia="zh-CN"/>
          <w14:textFill>
            <w14:solidFill>
              <w14:schemeClr w14:val="tx1"/>
            </w14:solidFill>
          </w14:textFill>
        </w:rPr>
        <w:t>5条约定及时向承包人支付绿色施工安全防护费。</w:t>
      </w:r>
    </w:p>
    <w:p w14:paraId="148822EB">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及时执行监理人发出的绿色施工安全防护的工作指令，并按照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45B03EA1">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94" w:name="_Toc28621"/>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.2</w:t>
      </w:r>
      <w:bookmarkEnd w:id="294"/>
    </w:p>
    <w:p w14:paraId="155F753E">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382C8E4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6992;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382C8E4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0A217B55">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295" w:name="_Toc11707"/>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.3</w:t>
      </w:r>
      <w:bookmarkEnd w:id="295"/>
    </w:p>
    <w:p w14:paraId="41851B02">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6E94C3A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6E94C3A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在合同工程实施、完成及保修期间，发包人承担下列责任：</w:t>
      </w:r>
    </w:p>
    <w:p w14:paraId="2A69FF3C">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）发包人应配合承包人做好绿色施工安全防护工作，定期对其现场机构全部人员进行绿色施工安全防护教育和培训。</w:t>
      </w:r>
    </w:p>
    <w:p w14:paraId="3F715CAA">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）发包人应对其现场机构全部人员的安全事故承担责任，但由于承包人原因造成发包人人员安全事故的，应由承包人承担责任。</w:t>
      </w:r>
    </w:p>
    <w:p w14:paraId="7AFCC49D">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）发包人有下列行为之一或由于发包人原因造成安全事故的，由发包人承担责任，由此增加的费用和延误的工期由发包人承担。</w:t>
      </w:r>
    </w:p>
    <w:p w14:paraId="4E0FB997">
      <w:pPr>
        <w:tabs>
          <w:tab w:val="left" w:pos="1980"/>
        </w:tabs>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 要求承包人违反绿色施工安全防护操作规程施工的；</w:t>
      </w:r>
    </w:p>
    <w:p w14:paraId="4C4FA7C0">
      <w:pPr>
        <w:tabs>
          <w:tab w:val="left" w:pos="1980"/>
        </w:tabs>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 对承包人提出不符合国家、省有关绿色施工安全防护法律和强制性标准规定要求的；</w:t>
      </w:r>
    </w:p>
    <w:p w14:paraId="26E35F0C">
      <w:pPr>
        <w:tabs>
          <w:tab w:val="left" w:pos="1980"/>
        </w:tabs>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 明示或暗示承包人购买、租赁、使用不符合安全施工要求的安全防护用具、施工机具的。</w:t>
      </w:r>
    </w:p>
    <w:p w14:paraId="7BC21138">
      <w:pPr>
        <w:tabs>
          <w:tab w:val="left" w:pos="1980"/>
        </w:tabs>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）发包人应负责赔偿下列情形造成的第三者人身伤亡和财产损失。</w:t>
      </w:r>
    </w:p>
    <w:p w14:paraId="5F1B8495">
      <w:pPr>
        <w:tabs>
          <w:tab w:val="left" w:pos="1980"/>
        </w:tabs>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 工程或工程的任何部分对土地的占用所造成的第三者财产损失；</w:t>
      </w:r>
    </w:p>
    <w:p w14:paraId="3DBA300E">
      <w:pPr>
        <w:tabs>
          <w:tab w:val="left" w:pos="1980"/>
        </w:tabs>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 由于发包人原因在施工场地及其毗邻区域造成的第三者人身伤亡和财产损失。</w:t>
      </w:r>
    </w:p>
    <w:p w14:paraId="2AD26074">
      <w:pPr>
        <w:spacing w:line="360" w:lineRule="auto"/>
        <w:rPr>
          <w:rFonts w:ascii="仿宋" w:hAnsi="仿宋" w:eastAsia="仿宋" w:cs="仿宋"/>
          <w:color w:val="000000" w:themeColor="text1"/>
          <w:highlight w:val="none"/>
          <w:u w:val="dotted"/>
          <w:lang w:eastAsia="zh-CN"/>
          <w14:textFill>
            <w14:solidFill>
              <w14:schemeClr w14:val="tx1"/>
            </w14:solidFill>
          </w14:textFill>
        </w:rPr>
      </w:pPr>
      <w:bookmarkStart w:id="296" w:name="_Toc17090"/>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.4</w:t>
      </w:r>
      <w:bookmarkEnd w:id="296"/>
    </w:p>
    <w:p w14:paraId="63CB140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6C06B2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6C06B2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在合同工程实施、完成及保修期间，承包人承担下列责任：</w:t>
      </w:r>
    </w:p>
    <w:p w14:paraId="00CC8B91">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）承包人应严格按照国家、省、市有关绿色施工安全防护的标准规范制定绿色施工安全防护操作规程，配备必要的安全生产和劳动保护设施，加强对承包人人员的施工安全教育和培训。</w:t>
      </w:r>
    </w:p>
    <w:p w14:paraId="4212FB8A">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）承包人应对合同工程的绿色施工安全防护负责，采取有效的安全措施消除安全事故隐患，并接受和配合政府有关部门实施的监督检查。</w:t>
      </w:r>
    </w:p>
    <w:p w14:paraId="6D48AA02">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）承包人应加强施工作业安全管理，特别应加强使用易燃、易爆、有毒与腐蚀性材料，以及爆破和地下施工等危险作业的安全管理，尽量避免人员伤亡和财产损失。</w:t>
      </w:r>
    </w:p>
    <w:p w14:paraId="17AF01F8">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）承包人应按监理人的指令制定应对灾害的应急预案，并按预案做好安全检查，配置必要的救助物资和器材，切实保护好有关人员的人身和财产安全。</w:t>
      </w:r>
    </w:p>
    <w:p w14:paraId="2FEB48A8">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）承包人违反本条约定或由于承包人原因造成安全事故的，由承包人承担责任，由此增加的费用和延误的工期由承包人承担。</w:t>
      </w:r>
    </w:p>
    <w:p w14:paraId="704F2C6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6</w:t>
      </w:r>
      <w:r>
        <w:rPr>
          <w:rFonts w:hint="eastAsia" w:ascii="仿宋" w:hAnsi="仿宋" w:eastAsia="仿宋" w:cs="仿宋"/>
          <w:color w:val="000000" w:themeColor="text1"/>
          <w:highlight w:val="none"/>
          <w:lang w:eastAsia="zh-CN"/>
          <w14:textFill>
            <w14:solidFill>
              <w14:schemeClr w14:val="tx1"/>
            </w14:solidFill>
          </w14:textFill>
        </w:rPr>
        <w:t>）承包人应对其履行合同所雇佣的全部人员，包括分包人人员的安全事故承担责任，但由于发包人原因造成承包人人员安全事故的，应由发包人承担责任。</w:t>
      </w:r>
    </w:p>
    <w:p w14:paraId="286716F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）由于承包人原因在施工场地内及其毗邻区域造成的第三者人身伤亡和财产损失，由承包人负责赔偿。</w:t>
      </w:r>
    </w:p>
    <w:p w14:paraId="15E856A6">
      <w:pPr>
        <w:spacing w:line="360" w:lineRule="auto"/>
        <w:rPr>
          <w:rFonts w:ascii="仿宋" w:hAnsi="仿宋" w:eastAsia="仿宋" w:cs="仿宋"/>
          <w:color w:val="000000" w:themeColor="text1"/>
          <w:highlight w:val="none"/>
          <w:u w:val="dotted"/>
          <w:lang w:eastAsia="zh-CN"/>
          <w14:textFill>
            <w14:solidFill>
              <w14:schemeClr w14:val="tx1"/>
            </w14:solidFill>
          </w14:textFill>
        </w:rPr>
      </w:pPr>
      <w:bookmarkStart w:id="297" w:name="_Toc12329"/>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.5</w:t>
      </w:r>
      <w:bookmarkEnd w:id="297"/>
    </w:p>
    <w:p w14:paraId="0D50E723">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5419DC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5419DC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小时内仍未整改的，监理人可在报经发包人批准后委托第三方采取措施。由此发生的费用经造价咨询人核实后，由发包人从应付或将付给承包人的款项中扣除。</w:t>
      </w:r>
    </w:p>
    <w:p w14:paraId="73BFF278">
      <w:pPr>
        <w:spacing w:line="360" w:lineRule="auto"/>
        <w:rPr>
          <w:rFonts w:ascii="仿宋" w:hAnsi="仿宋" w:eastAsia="仿宋" w:cs="仿宋"/>
          <w:color w:val="000000" w:themeColor="text1"/>
          <w:highlight w:val="none"/>
          <w:lang w:eastAsia="zh-CN"/>
          <w14:textFill>
            <w14:solidFill>
              <w14:schemeClr w14:val="tx1"/>
            </w14:solidFill>
          </w14:textFill>
        </w:rPr>
      </w:pPr>
      <w:bookmarkStart w:id="298" w:name="_Toc22450"/>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.6</w:t>
      </w:r>
      <w:bookmarkEnd w:id="298"/>
    </w:p>
    <w:p w14:paraId="25C5CDBF">
      <w:pPr>
        <w:widowControl w:val="0"/>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1A0F3E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1A0F3E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合同双方当事人不仅应协助当地治安管理机构或联防组织维护施工场地的社会治安，而且应做好施工现场内人员生产生活的治安保卫工作。</w:t>
      </w:r>
    </w:p>
    <w:p w14:paraId="3072DE72">
      <w:pPr>
        <w:widowControl w:val="0"/>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41CC8EE2">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299" w:name="_Toc29262"/>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.7</w:t>
      </w:r>
      <w:bookmarkEnd w:id="299"/>
    </w:p>
    <w:p w14:paraId="5F925B47">
      <w:pPr>
        <w:widowControl w:val="0"/>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7EBCA29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wM/tUAAAAI&#10;AQAADwAAAAAAAAABACAAAAAiAAAAZHJzL2Rvd25yZXYueG1sUEsBAhQAFAAAAAgAh07iQHIdv2gf&#10;AgAAJgQAAA4AAAAAAAAAAQAgAAAAJAEAAGRycy9lMm9Eb2MueG1sUEsFBgAAAAAGAAYAWQEAALUF&#10;AAAAAA==&#10;">
                <v:fill on="f" focussize="0,0"/>
                <v:stroke on="f"/>
                <v:imagedata o:title=""/>
                <o:lock v:ext="edit" aspectratio="f"/>
                <v:textbox>
                  <w:txbxContent>
                    <w:p w14:paraId="7EBCA29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000000" w:themeColor="text1"/>
          <w:highlight w:val="none"/>
          <w:lang w:eastAsia="zh-CN"/>
          <w14:textFill>
            <w14:solidFill>
              <w14:schemeClr w14:val="tx1"/>
            </w14:solidFill>
          </w14:textFill>
        </w:rPr>
        <w:t>28</w:t>
      </w:r>
      <w:r>
        <w:rPr>
          <w:rFonts w:hint="eastAsia" w:ascii="仿宋" w:hAnsi="仿宋" w:eastAsia="仿宋" w:cs="仿宋"/>
          <w:color w:val="000000" w:themeColor="text1"/>
          <w:highlight w:val="none"/>
          <w:lang w:eastAsia="zh-CN"/>
          <w14:textFill>
            <w14:solidFill>
              <w14:schemeClr w14:val="tx1"/>
            </w14:solidFill>
          </w14:textFill>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0CC49135">
      <w:pPr>
        <w:spacing w:line="360" w:lineRule="auto"/>
        <w:rPr>
          <w:rFonts w:ascii="仿宋" w:hAnsi="仿宋" w:eastAsia="仿宋"/>
          <w:color w:val="000000" w:themeColor="text1"/>
          <w:highlight w:val="none"/>
          <w:lang w:eastAsia="zh-CN"/>
          <w14:textFill>
            <w14:solidFill>
              <w14:schemeClr w14:val="tx1"/>
            </w14:solidFill>
          </w14:textFill>
        </w:rPr>
      </w:pPr>
      <w:bookmarkStart w:id="300" w:name="_Toc3457"/>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.8</w:t>
      </w:r>
      <w:bookmarkEnd w:id="300"/>
    </w:p>
    <w:p w14:paraId="6C034CA2">
      <w:pPr>
        <w:widowControl w:val="0"/>
        <w:adjustRightInd w:val="0"/>
        <w:snapToGrid w:val="0"/>
        <w:spacing w:line="360" w:lineRule="auto"/>
        <w:ind w:left="1850" w:leftChars="771"/>
        <w:rPr>
          <w:rFonts w:ascii="仿宋" w:hAnsi="仿宋" w:eastAsia="仿宋"/>
          <w:cap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39A02F4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RY+39QAAAAI&#10;AQAADwAAAAAAAAABACAAAAAiAAAAZHJzL2Rvd25yZXYueG1sUEsBAhQAFAAAAAgAh07iQCkmZHkg&#10;AgAAJgQAAA4AAAAAAAAAAQAgAAAAIwEAAGRycy9lMm9Eb2MueG1sUEsFBgAAAAAGAAYAWQEAALUF&#10;AAAAAA==&#10;">
                <v:fill on="f" focussize="0,0"/>
                <v:stroke on="f"/>
                <v:imagedata o:title=""/>
                <o:lock v:ext="edit" aspectratio="f"/>
                <v:textbox>
                  <w:txbxContent>
                    <w:p w14:paraId="39A02F4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000000" w:themeColor="text1"/>
          <w:highlight w:val="none"/>
          <w:lang w:eastAsia="zh-CN"/>
          <w14:textFill>
            <w14:solidFill>
              <w14:schemeClr w14:val="tx1"/>
            </w14:solidFill>
          </w14:textFill>
        </w:rPr>
        <w:t>发包人应配合承包人加强</w:t>
      </w:r>
      <w:r>
        <w:rPr>
          <w:rFonts w:hint="eastAsia" w:ascii="仿宋" w:hAnsi="仿宋" w:eastAsia="仿宋" w:cs="仿宋"/>
          <w:color w:val="000000" w:themeColor="text1"/>
          <w:highlight w:val="none"/>
          <w:lang w:eastAsia="zh-CN"/>
          <w14:textFill>
            <w14:solidFill>
              <w14:schemeClr w14:val="tx1"/>
            </w14:solidFill>
          </w14:textFill>
        </w:rPr>
        <w:t>绿色施工安全防护</w:t>
      </w:r>
      <w:r>
        <w:rPr>
          <w:rFonts w:hint="eastAsia" w:ascii="仿宋" w:hAnsi="仿宋" w:eastAsia="仿宋" w:cs="仿宋"/>
          <w:caps/>
          <w:color w:val="000000" w:themeColor="text1"/>
          <w:highlight w:val="none"/>
          <w:lang w:eastAsia="zh-CN"/>
          <w14:textFill>
            <w14:solidFill>
              <w14:schemeClr w14:val="tx1"/>
            </w14:solidFill>
          </w14:textFill>
        </w:rPr>
        <w:t>管理，鼓励承包人创建省、市级或其他级别文明工地。对于工程获得省、市级或其他级别文明工地的，应按照第</w:t>
      </w:r>
      <w:r>
        <w:rPr>
          <w:rFonts w:ascii="仿宋" w:hAnsi="仿宋" w:eastAsia="仿宋" w:cs="仿宋"/>
          <w:caps/>
          <w:color w:val="000000" w:themeColor="text1"/>
          <w:highlight w:val="none"/>
          <w:lang w:eastAsia="zh-CN"/>
          <w14:textFill>
            <w14:solidFill>
              <w14:schemeClr w14:val="tx1"/>
            </w14:solidFill>
          </w14:textFill>
        </w:rPr>
        <w:t>8</w:t>
      </w:r>
      <w:r>
        <w:rPr>
          <w:rFonts w:hint="eastAsia" w:ascii="仿宋" w:hAnsi="仿宋" w:eastAsia="仿宋" w:cs="仿宋"/>
          <w:caps/>
          <w:color w:val="000000" w:themeColor="text1"/>
          <w:highlight w:val="none"/>
          <w:lang w:eastAsia="zh-CN"/>
          <w14:textFill>
            <w14:solidFill>
              <w14:schemeClr w14:val="tx1"/>
            </w14:solidFill>
          </w14:textFill>
        </w:rPr>
        <w:t>5条约定向承包人支付文明工地增加费。</w:t>
      </w:r>
    </w:p>
    <w:p w14:paraId="559FCD66">
      <w:pPr>
        <w:spacing w:line="360" w:lineRule="auto"/>
        <w:rPr>
          <w:rFonts w:ascii="仿宋" w:hAnsi="仿宋" w:eastAsia="仿宋"/>
          <w:color w:val="000000" w:themeColor="text1"/>
          <w:highlight w:val="none"/>
          <w:lang w:eastAsia="zh-CN"/>
          <w14:textFill>
            <w14:solidFill>
              <w14:schemeClr w14:val="tx1"/>
            </w14:solidFill>
          </w14:textFill>
        </w:rPr>
      </w:pPr>
      <w:bookmarkStart w:id="301" w:name="_Toc2425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61657C98">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M33&#10;bt8fAgAAJgQAAA4AAAAAAAAAAQAgAAAAJwEAAGRycy9lMm9Eb2MueG1sUEsFBgAAAAAGAAYAWQEA&#10;ALgFAAAAAA==&#10;">
                <v:fill on="f" focussize="0,0"/>
                <v:stroke on="f"/>
                <v:imagedata o:title=""/>
                <o:lock v:ext="edit" aspectratio="f"/>
                <v:textbox>
                  <w:txbxContent>
                    <w:p w14:paraId="61657C98">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52</w:t>
      </w:r>
      <w:r>
        <w:rPr>
          <w:rFonts w:ascii="仿宋" w:hAnsi="仿宋" w:eastAsia="仿宋" w:cs="仿宋"/>
          <w:b/>
          <w:bCs/>
          <w:color w:val="000000" w:themeColor="text1"/>
          <w:highlight w:val="none"/>
          <w:lang w:eastAsia="zh-CN"/>
          <w14:textFill>
            <w14:solidFill>
              <w14:schemeClr w14:val="tx1"/>
            </w14:solidFill>
          </w14:textFill>
        </w:rPr>
        <w:t>.9</w:t>
      </w:r>
      <w:bookmarkEnd w:id="301"/>
    </w:p>
    <w:p w14:paraId="6E97A748">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承包人应按照法律规定进行施工，做好</w:t>
      </w:r>
      <w:r>
        <w:rPr>
          <w:rFonts w:hint="eastAsia" w:ascii="仿宋" w:hAnsi="仿宋" w:eastAsia="仿宋"/>
          <w:color w:val="000000" w:themeColor="text1"/>
          <w:highlight w:val="none"/>
          <w:lang w:eastAsia="zh-CN"/>
          <w14:textFill>
            <w14:solidFill>
              <w14:schemeClr w14:val="tx1"/>
            </w14:solidFill>
          </w14:textFill>
        </w:rPr>
        <w:t>安全</w:t>
      </w:r>
      <w:r>
        <w:rPr>
          <w:rFonts w:hint="eastAsia" w:ascii="仿宋" w:hAnsi="仿宋" w:eastAsia="仿宋" w:cs="仿宋"/>
          <w:color w:val="000000" w:themeColor="text1"/>
          <w:highlight w:val="none"/>
          <w:lang w:eastAsia="zh-CN"/>
          <w14:textFill>
            <w14:solidFill>
              <w14:schemeClr w14:val="tx1"/>
            </w14:solidFill>
          </w14:textFill>
        </w:rPr>
        <w:t>技术交底工作，施工过程中做好各项安全防护措施。承包人为实施合同而雇用的特殊工种的人员应受过专门的培训并已取得上岗证书。</w:t>
      </w:r>
    </w:p>
    <w:p w14:paraId="4AF95E35">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承包人在动力设备、输电线路、地下管道、密封防震车间、易燃易爆地段以及临街交通要道附近施工时，施工开始前应向发包人和监理人提出安全防护措施，经发包人认可后实施。</w:t>
      </w:r>
    </w:p>
    <w:p w14:paraId="5B9FE43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实施爆破作业，在放射、毒害性环境中施工（含储存、运输、使用）及使用毒害性、腐蚀性物品施工时，承包人应在施工前</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天以书面通知发包人和监理人，并报送相应的安全防护措施，经发包人认可后实施。</w:t>
      </w:r>
    </w:p>
    <w:p w14:paraId="20028DA3">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需单独编制危险性较大分部分项专项工程施工方案的，及要求进行专家论证的超过一定规模的危险性较大的分部分项工程，承包人应及时编制和组织论证。</w:t>
      </w:r>
    </w:p>
    <w:p w14:paraId="1D006B87">
      <w:pPr>
        <w:adjustRightInd w:val="0"/>
        <w:snapToGrid w:val="0"/>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3429CE3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02" w:name="_Toc149731488"/>
      <w:bookmarkStart w:id="303" w:name="_Toc8842"/>
      <w:r>
        <w:rPr>
          <w:rFonts w:hint="eastAsia" w:ascii="仿宋" w:hAnsi="仿宋" w:eastAsia="仿宋" w:cs="仿宋"/>
          <w:bCs w:val="0"/>
          <w:color w:val="000000" w:themeColor="text1"/>
          <w:sz w:val="24"/>
          <w:szCs w:val="24"/>
          <w:highlight w:val="none"/>
          <w:lang w:eastAsia="zh-CN"/>
          <w14:textFill>
            <w14:solidFill>
              <w14:schemeClr w14:val="tx1"/>
            </w14:solidFill>
          </w14:textFill>
        </w:rPr>
        <w:t>53测量放线</w:t>
      </w:r>
      <w:bookmarkEnd w:id="302"/>
      <w:bookmarkEnd w:id="303"/>
    </w:p>
    <w:p w14:paraId="42D817D3">
      <w:pPr>
        <w:pStyle w:val="20"/>
        <w:tabs>
          <w:tab w:val="left" w:pos="1202"/>
        </w:tabs>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2A5D4768">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7904;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2A5D4768">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53</w:t>
      </w:r>
      <w:r>
        <w:rPr>
          <w:rFonts w:ascii="仿宋" w:hAnsi="仿宋" w:eastAsia="仿宋" w:cs="仿宋"/>
          <w:b/>
          <w:bCs/>
          <w:color w:val="000000" w:themeColor="text1"/>
          <w:highlight w:val="none"/>
          <w:lang w:eastAsia="zh-CN"/>
          <w14:textFill>
            <w14:solidFill>
              <w14:schemeClr w14:val="tx1"/>
            </w14:solidFill>
          </w14:textFill>
        </w:rPr>
        <w:t>.1</w:t>
      </w:r>
    </w:p>
    <w:p w14:paraId="7716D450">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监理人应在发出开工令后的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41DBF906">
      <w:pPr>
        <w:adjustRightInd w:val="0"/>
        <w:snapToGrid w:val="0"/>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53</w:t>
      </w:r>
      <w:r>
        <w:rPr>
          <w:rFonts w:ascii="仿宋" w:hAnsi="仿宋" w:eastAsia="仿宋" w:cs="仿宋"/>
          <w:b/>
          <w:bCs/>
          <w:color w:val="000000" w:themeColor="text1"/>
          <w:highlight w:val="none"/>
          <w:lang w:eastAsia="zh-CN"/>
          <w14:textFill>
            <w14:solidFill>
              <w14:schemeClr w14:val="tx1"/>
            </w14:solidFill>
          </w14:textFill>
        </w:rPr>
        <w:t xml:space="preserve">.2  </w:t>
      </w:r>
    </w:p>
    <w:p w14:paraId="2EED2DAD">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4510E92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rYYbWAAAA&#10;CQEAAA8AAAAAAAAAAQAgAAAAIgAAAGRycy9kb3ducmV2LnhtbFBLAQIUABQAAAAIAIdO4kCaSKlN&#10;HwIAACYEAAAOAAAAAAAAAAEAIAAAACUBAABkcnMvZTJvRG9jLnhtbFBLBQYAAAAABgAGAFkBAAC2&#10;BQAAAAA=&#10;">
                <v:fill on="f" focussize="0,0"/>
                <v:stroke on="f"/>
                <v:imagedata o:title=""/>
                <o:lock v:ext="edit" aspectratio="f"/>
                <v:textbox>
                  <w:txbxContent>
                    <w:p w14:paraId="4510E92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承包人应负责施工控制网点的管理。施工控制网点丢失或损坏的，承包人应及时修复。承包人应承担施工控制网点的管理与修复费用，并在工程竣工后将施工控制网点移交发包人。</w:t>
      </w:r>
    </w:p>
    <w:p w14:paraId="5BFE1F2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监理工程师需要使用施工控制网的，承包人应提供必要的协助，发包人无需为此支付任何费用。</w:t>
      </w:r>
    </w:p>
    <w:p w14:paraId="3EFE5584">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04" w:name="_Toc28492"/>
      <w:r>
        <w:rPr>
          <w:rFonts w:hint="eastAsia" w:ascii="仿宋" w:hAnsi="仿宋" w:eastAsia="仿宋" w:cs="仿宋"/>
          <w:b/>
          <w:bCs/>
          <w:color w:val="000000" w:themeColor="text1"/>
          <w:highlight w:val="none"/>
          <w:lang w:eastAsia="zh-CN"/>
          <w14:textFill>
            <w14:solidFill>
              <w14:schemeClr w14:val="tx1"/>
            </w14:solidFill>
          </w14:textFill>
        </w:rPr>
        <w:t>53</w:t>
      </w:r>
      <w:r>
        <w:rPr>
          <w:rFonts w:ascii="仿宋" w:hAnsi="仿宋" w:eastAsia="仿宋" w:cs="仿宋"/>
          <w:b/>
          <w:bCs/>
          <w:color w:val="000000" w:themeColor="text1"/>
          <w:highlight w:val="none"/>
          <w:lang w:eastAsia="zh-CN"/>
          <w14:textFill>
            <w14:solidFill>
              <w14:schemeClr w14:val="tx1"/>
            </w14:solidFill>
          </w14:textFill>
        </w:rPr>
        <w:t>.3</w:t>
      </w:r>
      <w:bookmarkEnd w:id="304"/>
    </w:p>
    <w:p w14:paraId="3E2378D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42DDACED">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42DDACED">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71DF289E">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05" w:name="_Toc6614"/>
      <w:r>
        <w:rPr>
          <w:rFonts w:hint="eastAsia" w:ascii="仿宋" w:hAnsi="仿宋" w:eastAsia="仿宋" w:cs="仿宋"/>
          <w:b/>
          <w:bCs/>
          <w:color w:val="000000" w:themeColor="text1"/>
          <w:highlight w:val="none"/>
          <w:lang w:eastAsia="zh-CN"/>
          <w14:textFill>
            <w14:solidFill>
              <w14:schemeClr w14:val="tx1"/>
            </w14:solidFill>
          </w14:textFill>
        </w:rPr>
        <w:t>53</w:t>
      </w:r>
      <w:r>
        <w:rPr>
          <w:rFonts w:ascii="仿宋" w:hAnsi="仿宋" w:eastAsia="仿宋" w:cs="仿宋"/>
          <w:b/>
          <w:bCs/>
          <w:color w:val="000000" w:themeColor="text1"/>
          <w:highlight w:val="none"/>
          <w:lang w:eastAsia="zh-CN"/>
          <w14:textFill>
            <w14:solidFill>
              <w14:schemeClr w14:val="tx1"/>
            </w14:solidFill>
          </w14:textFill>
        </w:rPr>
        <w:t>.4</w:t>
      </w:r>
      <w:bookmarkEnd w:id="305"/>
    </w:p>
    <w:p w14:paraId="192619CE">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26CC3006">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26CC3006">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65B8B698">
      <w:pPr>
        <w:spacing w:line="360" w:lineRule="auto"/>
        <w:rPr>
          <w:rFonts w:ascii="仿宋" w:hAnsi="仿宋" w:eastAsia="仿宋"/>
          <w:b/>
          <w:bCs/>
          <w:color w:val="000000" w:themeColor="text1"/>
          <w:highlight w:val="none"/>
          <w:lang w:eastAsia="zh-CN"/>
          <w14:textFill>
            <w14:solidFill>
              <w14:schemeClr w14:val="tx1"/>
            </w14:solidFill>
          </w14:textFill>
        </w:rPr>
      </w:pPr>
      <w:bookmarkStart w:id="306" w:name="_Toc7191"/>
      <w:r>
        <w:rPr>
          <w:rFonts w:hint="eastAsia" w:ascii="仿宋" w:hAnsi="仿宋" w:eastAsia="仿宋" w:cs="仿宋"/>
          <w:b/>
          <w:bCs/>
          <w:color w:val="000000" w:themeColor="text1"/>
          <w:highlight w:val="none"/>
          <w:lang w:eastAsia="zh-CN"/>
          <w14:textFill>
            <w14:solidFill>
              <w14:schemeClr w14:val="tx1"/>
            </w14:solidFill>
          </w14:textFill>
        </w:rPr>
        <w:t>53</w:t>
      </w:r>
      <w:r>
        <w:rPr>
          <w:rFonts w:ascii="仿宋" w:hAnsi="仿宋" w:eastAsia="仿宋" w:cs="仿宋"/>
          <w:b/>
          <w:bCs/>
          <w:color w:val="000000" w:themeColor="text1"/>
          <w:highlight w:val="none"/>
          <w:lang w:eastAsia="zh-CN"/>
          <w14:textFill>
            <w14:solidFill>
              <w14:schemeClr w14:val="tx1"/>
            </w14:solidFill>
          </w14:textFill>
        </w:rPr>
        <w:t xml:space="preserve">.5 </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7C6582F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7C6582F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306"/>
    </w:p>
    <w:p w14:paraId="7A41DF5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4C225C62">
      <w:pPr>
        <w:pStyle w:val="20"/>
        <w:tabs>
          <w:tab w:val="left" w:pos="2070"/>
        </w:tabs>
        <w:adjustRightInd w:val="0"/>
        <w:snapToGrid w:val="0"/>
        <w:spacing w:line="360" w:lineRule="auto"/>
        <w:ind w:firstLine="0"/>
        <w:rPr>
          <w:rFonts w:ascii="仿宋" w:hAnsi="仿宋" w:eastAsia="仿宋" w:cs="仿宋"/>
          <w:b/>
          <w:bCs/>
          <w:color w:val="000000" w:themeColor="text1"/>
          <w:highlight w:val="none"/>
          <w:u w:val="single"/>
          <w:lang w:eastAsia="zh-CN"/>
          <w14:textFill>
            <w14:solidFill>
              <w14:schemeClr w14:val="tx1"/>
            </w14:solidFill>
          </w14:textFill>
        </w:rPr>
      </w:pPr>
    </w:p>
    <w:p w14:paraId="5D3EE99A">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07" w:name="_Toc149731489"/>
      <w:bookmarkStart w:id="308" w:name="_Toc15727"/>
      <w:r>
        <w:rPr>
          <w:rFonts w:hint="eastAsia" w:ascii="仿宋" w:hAnsi="仿宋" w:eastAsia="仿宋" w:cs="仿宋"/>
          <w:bCs w:val="0"/>
          <w:color w:val="000000" w:themeColor="text1"/>
          <w:sz w:val="24"/>
          <w:szCs w:val="24"/>
          <w:highlight w:val="none"/>
          <w:lang w:eastAsia="zh-CN"/>
          <w14:textFill>
            <w14:solidFill>
              <w14:schemeClr w14:val="tx1"/>
            </w14:solidFill>
          </w14:textFill>
        </w:rPr>
        <w:t>54钻孔与勘探性开挖</w:t>
      </w:r>
      <w:bookmarkEnd w:id="307"/>
      <w:bookmarkEnd w:id="308"/>
    </w:p>
    <w:p w14:paraId="51949628">
      <w:pPr>
        <w:pStyle w:val="20"/>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54</w:t>
      </w:r>
      <w:r>
        <w:rPr>
          <w:rFonts w:ascii="仿宋" w:hAnsi="仿宋" w:eastAsia="仿宋" w:cs="仿宋"/>
          <w:b/>
          <w:bCs/>
          <w:color w:val="000000" w:themeColor="text1"/>
          <w:highlight w:val="none"/>
          <w:lang w:eastAsia="zh-CN"/>
          <w14:textFill>
            <w14:solidFill>
              <w14:schemeClr w14:val="tx1"/>
            </w14:solidFill>
          </w14:textFill>
        </w:rPr>
        <w:t>.1</w:t>
      </w:r>
    </w:p>
    <w:p w14:paraId="4C5154DF">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1963064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8928;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1963064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在施工过程中，如果需要承包人进行钻孔或勘探性开挖（含疏浚工作在内）工作的，监理人应就此项工作按照第63条约定书面发出专项指令。承包人在接到监理工程师指令后，应及时实施相关工作。</w:t>
      </w:r>
    </w:p>
    <w:p w14:paraId="6731CEC5">
      <w:pPr>
        <w:pStyle w:val="20"/>
        <w:tabs>
          <w:tab w:val="left" w:pos="720"/>
          <w:tab w:val="left" w:pos="1080"/>
        </w:tabs>
        <w:adjustRightInd w:val="0"/>
        <w:snapToGrid w:val="0"/>
        <w:spacing w:line="360" w:lineRule="auto"/>
        <w:ind w:firstLine="0"/>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58B2CB30">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29952;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58B2CB30">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54</w:t>
      </w:r>
      <w:r>
        <w:rPr>
          <w:rFonts w:ascii="仿宋" w:hAnsi="仿宋" w:eastAsia="仿宋" w:cs="仿宋"/>
          <w:b/>
          <w:bCs/>
          <w:color w:val="000000" w:themeColor="text1"/>
          <w:highlight w:val="none"/>
          <w:lang w:eastAsia="zh-CN"/>
          <w14:textFill>
            <w14:solidFill>
              <w14:schemeClr w14:val="tx1"/>
            </w14:solidFill>
          </w14:textFill>
        </w:rPr>
        <w:t xml:space="preserve">.2 </w:t>
      </w:r>
    </w:p>
    <w:p w14:paraId="7CD63AA6">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除工程量清单中已列有此类工作的支付项目和额度外，此项工作所发生的一切费用，经造价咨询人核实后，由合同双方当事人按照第79条约定办理。</w:t>
      </w:r>
    </w:p>
    <w:p w14:paraId="4194DF67">
      <w:pPr>
        <w:pStyle w:val="40"/>
        <w:tabs>
          <w:tab w:val="left" w:pos="54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p>
    <w:p w14:paraId="074B37E1">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09" w:name="_Toc690"/>
      <w:bookmarkStart w:id="310" w:name="_Toc149731490"/>
      <w:r>
        <w:rPr>
          <w:rFonts w:hint="eastAsia" w:ascii="仿宋" w:hAnsi="仿宋" w:eastAsia="仿宋" w:cs="仿宋"/>
          <w:bCs w:val="0"/>
          <w:color w:val="000000" w:themeColor="text1"/>
          <w:sz w:val="24"/>
          <w:szCs w:val="24"/>
          <w:highlight w:val="none"/>
          <w:lang w:eastAsia="zh-CN"/>
          <w14:textFill>
            <w14:solidFill>
              <w14:schemeClr w14:val="tx1"/>
            </w14:solidFill>
          </w14:textFill>
        </w:rPr>
        <w:t>55发包人供应工程材料和工程设备</w:t>
      </w:r>
      <w:bookmarkEnd w:id="309"/>
      <w:bookmarkEnd w:id="310"/>
    </w:p>
    <w:p w14:paraId="6BAB74D3">
      <w:pPr>
        <w:pStyle w:val="20"/>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0763D36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0976;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0763D36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.1</w:t>
      </w:r>
    </w:p>
    <w:p w14:paraId="2BADA46F">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3F8A11D0">
      <w:pPr>
        <w:pStyle w:val="20"/>
        <w:tabs>
          <w:tab w:val="left" w:pos="720"/>
          <w:tab w:val="left" w:pos="1080"/>
        </w:tabs>
        <w:adjustRightInd w:val="0"/>
        <w:snapToGrid w:val="0"/>
        <w:spacing w:line="360" w:lineRule="auto"/>
        <w:ind w:firstLine="0"/>
        <w:rPr>
          <w:rFonts w:ascii="仿宋" w:hAnsi="仿宋" w:eastAsia="仿宋"/>
          <w:color w:val="000000" w:themeColor="text1"/>
          <w:highlight w:val="none"/>
          <w:lang w:eastAsia="zh-CN"/>
          <w14:textFill>
            <w14:solidFill>
              <w14:schemeClr w14:val="tx1"/>
            </w14:solidFill>
          </w14:textFill>
        </w:rPr>
      </w:pPr>
      <w:bookmarkStart w:id="311" w:name="_Toc989"/>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.2</w:t>
      </w:r>
      <w:bookmarkEnd w:id="311"/>
    </w:p>
    <w:p w14:paraId="2EDA2A16">
      <w:pPr>
        <w:widowControl w:val="0"/>
        <w:adjustRightInd w:val="0"/>
        <w:snapToGrid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77B60F8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77B60F8E">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028D5973">
      <w:pPr>
        <w:pStyle w:val="20"/>
        <w:tabs>
          <w:tab w:val="left" w:pos="720"/>
          <w:tab w:val="left" w:pos="1080"/>
        </w:tabs>
        <w:adjustRightInd w:val="0"/>
        <w:snapToGrid w:val="0"/>
        <w:spacing w:line="360" w:lineRule="auto"/>
        <w:ind w:firstLine="0"/>
        <w:rPr>
          <w:rFonts w:ascii="仿宋" w:hAnsi="仿宋" w:eastAsia="仿宋"/>
          <w:b/>
          <w:bCs/>
          <w:color w:val="000000" w:themeColor="text1"/>
          <w:highlight w:val="none"/>
          <w:lang w:eastAsia="zh-CN"/>
          <w14:textFill>
            <w14:solidFill>
              <w14:schemeClr w14:val="tx1"/>
            </w14:solidFill>
          </w14:textFill>
        </w:rPr>
      </w:pPr>
      <w:bookmarkStart w:id="312" w:name="_Toc31784"/>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.3</w:t>
      </w:r>
      <w:bookmarkEnd w:id="312"/>
    </w:p>
    <w:p w14:paraId="03AD40E3">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254D47C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254D47C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发包人应按照一览表内容和第55</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小时，以书面形式通知承包人和监理人，并在监理人的见证下与承包人共同清点，同时在施工现场内合理堆放。</w:t>
      </w:r>
    </w:p>
    <w:p w14:paraId="289EE91C">
      <w:pPr>
        <w:pStyle w:val="20"/>
        <w:tabs>
          <w:tab w:val="left" w:pos="720"/>
          <w:tab w:val="left" w:pos="1080"/>
        </w:tabs>
        <w:adjustRightInd w:val="0"/>
        <w:snapToGrid w:val="0"/>
        <w:spacing w:line="360" w:lineRule="auto"/>
        <w:ind w:firstLine="0"/>
        <w:rPr>
          <w:rFonts w:ascii="仿宋" w:hAnsi="仿宋" w:eastAsia="仿宋"/>
          <w:b/>
          <w:bCs/>
          <w:color w:val="000000" w:themeColor="text1"/>
          <w:highlight w:val="none"/>
          <w:lang w:eastAsia="zh-CN"/>
          <w14:textFill>
            <w14:solidFill>
              <w14:schemeClr w14:val="tx1"/>
            </w14:solidFill>
          </w14:textFill>
        </w:rPr>
      </w:pPr>
      <w:bookmarkStart w:id="313" w:name="_Toc14207"/>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.4</w:t>
      </w:r>
      <w:bookmarkEnd w:id="313"/>
    </w:p>
    <w:p w14:paraId="73619AD2">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25EBF78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25EBF78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027D5C12">
      <w:pPr>
        <w:pStyle w:val="20"/>
        <w:tabs>
          <w:tab w:val="left" w:pos="720"/>
          <w:tab w:val="left" w:pos="1080"/>
        </w:tabs>
        <w:adjustRightInd w:val="0"/>
        <w:snapToGrid w:val="0"/>
        <w:spacing w:line="360" w:lineRule="auto"/>
        <w:ind w:firstLine="0"/>
        <w:rPr>
          <w:rFonts w:ascii="仿宋" w:hAnsi="仿宋" w:eastAsia="仿宋"/>
          <w:color w:val="000000" w:themeColor="text1"/>
          <w:highlight w:val="none"/>
          <w:lang w:eastAsia="zh-CN"/>
          <w14:textFill>
            <w14:solidFill>
              <w14:schemeClr w14:val="tx1"/>
            </w14:solidFill>
          </w14:textFill>
        </w:rPr>
      </w:pPr>
      <w:bookmarkStart w:id="314" w:name="_Toc12869"/>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.5</w:t>
      </w:r>
      <w:bookmarkEnd w:id="314"/>
    </w:p>
    <w:p w14:paraId="1E41DE7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4FBAC8B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4FBAC8B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供应工程材料和工程设备的，经合同双方当事人共同清点后由承包人妥善保管，保管费由发包人承担；因承包人保管不善或承包人其他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5FFFDFA8">
      <w:pPr>
        <w:pStyle w:val="20"/>
        <w:tabs>
          <w:tab w:val="left" w:pos="720"/>
          <w:tab w:val="left" w:pos="1080"/>
        </w:tabs>
        <w:adjustRightInd w:val="0"/>
        <w:snapToGrid w:val="0"/>
        <w:spacing w:line="360" w:lineRule="auto"/>
        <w:ind w:firstLine="0"/>
        <w:rPr>
          <w:rFonts w:ascii="仿宋" w:hAnsi="仿宋" w:eastAsia="仿宋" w:cs="仿宋"/>
          <w:b/>
          <w:bCs/>
          <w:color w:val="000000" w:themeColor="text1"/>
          <w:highlight w:val="none"/>
          <w:u w:val="dotted"/>
          <w:lang w:eastAsia="zh-CN"/>
          <w14:textFill>
            <w14:solidFill>
              <w14:schemeClr w14:val="tx1"/>
            </w14:solidFill>
          </w14:textFill>
        </w:rPr>
      </w:pPr>
      <w:bookmarkStart w:id="315" w:name="_Toc12103"/>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.6</w:t>
      </w:r>
      <w:bookmarkEnd w:id="315"/>
    </w:p>
    <w:p w14:paraId="763426DD">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33E4C47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33E4C47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发包人供应的工程材料和工程设备与一览表不符时，发包人应按照下列约定承担相应责任：</w:t>
      </w:r>
    </w:p>
    <w:p w14:paraId="49C3EFA2">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（1）工程材料和工程设备的单价与一览表不符，由发包人承担所有价差；</w:t>
      </w:r>
    </w:p>
    <w:p w14:paraId="7CCD03B9">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（2）工程材料和工程设备的品种、规格、型号、质量标准与一览表不符，承包人可以拒绝接受保管，由发包人运出施工场地并重新采购；</w:t>
      </w:r>
    </w:p>
    <w:p w14:paraId="6014C34C">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（3）工程材料和工程设备的品种、规格、型号、质量标准与一览表不符，经发包人同意，承包人可代为调剂替换，由发包人承担相应费用；</w:t>
      </w:r>
    </w:p>
    <w:p w14:paraId="17951474">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（4）交货地点与一览表不符，除合同双方当事人协商确定外，由发包人重新运至一览表指定地点，并承担由此增加的费用和（或）延误的工期；</w:t>
      </w:r>
    </w:p>
    <w:p w14:paraId="4D3E5173">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（5）供应数量少于一览表约定的数量时，由发包人补齐；多于一览表约定的数量时，发包人应将多出的部分运出施工场地；</w:t>
      </w:r>
    </w:p>
    <w:p w14:paraId="6AC7822A">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（6）交货时间早于一览表约定计划和第55</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款交货日期，由发包人承担由此发生的保管费；交货时间迟于一览表约定计划和第55</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款交货日期，由发包人承担由此增加的费用和（或）延误的工期。</w:t>
      </w:r>
    </w:p>
    <w:p w14:paraId="02D979DA">
      <w:pPr>
        <w:pStyle w:val="20"/>
        <w:tabs>
          <w:tab w:val="left" w:pos="720"/>
          <w:tab w:val="left" w:pos="1080"/>
        </w:tabs>
        <w:adjustRightInd w:val="0"/>
        <w:snapToGrid w:val="0"/>
        <w:spacing w:line="360" w:lineRule="auto"/>
        <w:ind w:firstLine="0"/>
        <w:rPr>
          <w:rFonts w:ascii="仿宋" w:hAnsi="仿宋" w:eastAsia="仿宋"/>
          <w:b/>
          <w:bCs/>
          <w:color w:val="000000" w:themeColor="text1"/>
          <w:highlight w:val="none"/>
          <w:lang w:eastAsia="zh-CN"/>
          <w14:textFill>
            <w14:solidFill>
              <w14:schemeClr w14:val="tx1"/>
            </w14:solidFill>
          </w14:textFill>
        </w:rPr>
      </w:pPr>
      <w:bookmarkStart w:id="316" w:name="_Toc21810"/>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.7</w:t>
      </w:r>
      <w:bookmarkEnd w:id="316"/>
    </w:p>
    <w:p w14:paraId="6C24459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3CBE0E2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3CBE0E2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468E5779">
      <w:pPr>
        <w:pStyle w:val="20"/>
        <w:tabs>
          <w:tab w:val="left" w:pos="720"/>
          <w:tab w:val="left" w:pos="1080"/>
        </w:tabs>
        <w:adjustRightInd w:val="0"/>
        <w:snapToGrid w:val="0"/>
        <w:spacing w:line="360" w:lineRule="auto"/>
        <w:ind w:firstLine="0"/>
        <w:rPr>
          <w:rFonts w:ascii="仿宋" w:hAnsi="仿宋" w:eastAsia="仿宋"/>
          <w:b/>
          <w:bCs/>
          <w:color w:val="000000" w:themeColor="text1"/>
          <w:highlight w:val="none"/>
          <w:lang w:eastAsia="zh-CN"/>
          <w14:textFill>
            <w14:solidFill>
              <w14:schemeClr w14:val="tx1"/>
            </w14:solidFill>
          </w14:textFill>
        </w:rPr>
      </w:pPr>
      <w:bookmarkStart w:id="317" w:name="_Toc7626"/>
      <w:r>
        <w:rPr>
          <w:rFonts w:hint="eastAsia" w:ascii="仿宋" w:hAnsi="仿宋" w:eastAsia="仿宋" w:cs="仿宋"/>
          <w:b/>
          <w:bCs/>
          <w:color w:val="000000" w:themeColor="text1"/>
          <w:highlight w:val="none"/>
          <w:lang w:eastAsia="zh-CN"/>
          <w14:textFill>
            <w14:solidFill>
              <w14:schemeClr w14:val="tx1"/>
            </w14:solidFill>
          </w14:textFill>
        </w:rPr>
        <w:t>55</w:t>
      </w:r>
      <w:r>
        <w:rPr>
          <w:rFonts w:ascii="仿宋" w:hAnsi="仿宋" w:eastAsia="仿宋" w:cs="仿宋"/>
          <w:b/>
          <w:bCs/>
          <w:color w:val="000000" w:themeColor="text1"/>
          <w:highlight w:val="none"/>
          <w:lang w:eastAsia="zh-CN"/>
          <w14:textFill>
            <w14:solidFill>
              <w14:schemeClr w14:val="tx1"/>
            </w14:solidFill>
          </w14:textFill>
        </w:rPr>
        <w:t>.8</w:t>
      </w:r>
      <w:bookmarkEnd w:id="317"/>
    </w:p>
    <w:p w14:paraId="5DBE8E8D">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0F81210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0F81210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726FB001">
      <w:pPr>
        <w:pStyle w:val="20"/>
        <w:adjustRightInd w:val="0"/>
        <w:snapToGrid w:val="0"/>
        <w:spacing w:line="360" w:lineRule="auto"/>
        <w:ind w:firstLine="0"/>
        <w:rPr>
          <w:rFonts w:ascii="仿宋" w:hAnsi="仿宋" w:eastAsia="仿宋" w:cs="仿宋"/>
          <w:b/>
          <w:bCs/>
          <w:color w:val="000000" w:themeColor="text1"/>
          <w:highlight w:val="none"/>
          <w:u w:val="single"/>
          <w:lang w:eastAsia="zh-CN"/>
          <w14:textFill>
            <w14:solidFill>
              <w14:schemeClr w14:val="tx1"/>
            </w14:solidFill>
          </w14:textFill>
        </w:rPr>
      </w:pPr>
    </w:p>
    <w:p w14:paraId="41C00F13">
      <w:pPr>
        <w:pStyle w:val="6"/>
        <w:tabs>
          <w:tab w:val="left" w:pos="360"/>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18" w:name="_Toc149731491"/>
      <w:bookmarkStart w:id="319" w:name="_Toc11967"/>
      <w:r>
        <w:rPr>
          <w:rFonts w:hint="eastAsia" w:ascii="仿宋" w:hAnsi="仿宋" w:eastAsia="仿宋" w:cs="仿宋"/>
          <w:bCs w:val="0"/>
          <w:color w:val="000000" w:themeColor="text1"/>
          <w:sz w:val="24"/>
          <w:szCs w:val="24"/>
          <w:highlight w:val="none"/>
          <w:lang w:eastAsia="zh-CN"/>
          <w14:textFill>
            <w14:solidFill>
              <w14:schemeClr w14:val="tx1"/>
            </w14:solidFill>
          </w14:textFill>
        </w:rPr>
        <w:t>56承包人购置设备及工器具、采购工程材料和工程设备</w:t>
      </w:r>
      <w:bookmarkEnd w:id="318"/>
      <w:bookmarkEnd w:id="319"/>
    </w:p>
    <w:p w14:paraId="000F175C">
      <w:pPr>
        <w:spacing w:line="360" w:lineRule="auto"/>
        <w:rPr>
          <w:rFonts w:ascii="仿宋" w:hAnsi="仿宋" w:eastAsia="仿宋"/>
          <w:b/>
          <w:bCs/>
          <w:color w:val="000000" w:themeColor="text1"/>
          <w:highlight w:val="none"/>
          <w:lang w:eastAsia="zh-CN"/>
          <w14:textFill>
            <w14:solidFill>
              <w14:schemeClr w14:val="tx1"/>
            </w14:solidFill>
          </w14:textFill>
        </w:rPr>
      </w:pPr>
      <w:bookmarkStart w:id="320" w:name="_Toc6410"/>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3EC7764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200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3EC7764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56.1</w:t>
      </w:r>
      <w:bookmarkEnd w:id="320"/>
    </w:p>
    <w:p w14:paraId="5DFFD486">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发包人委托承包人购置发包人组织生产或运营所需的设备及工器具，其购置工程量清单、具体内容和购置要求由合同双方在协议书及专用条款中约定。</w:t>
      </w:r>
    </w:p>
    <w:p w14:paraId="3A890A0C">
      <w:pPr>
        <w:spacing w:line="360" w:lineRule="auto"/>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2</w:t>
      </w:r>
    </w:p>
    <w:p w14:paraId="36534F0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33CDB77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33CDB77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350B326E">
      <w:pPr>
        <w:spacing w:line="360" w:lineRule="auto"/>
        <w:rPr>
          <w:rFonts w:ascii="仿宋" w:hAnsi="仿宋" w:eastAsia="仿宋"/>
          <w:b/>
          <w:bCs/>
          <w:color w:val="000000" w:themeColor="text1"/>
          <w:highlight w:val="none"/>
          <w:lang w:eastAsia="zh-CN"/>
          <w14:textFill>
            <w14:solidFill>
              <w14:schemeClr w14:val="tx1"/>
            </w14:solidFill>
          </w14:textFill>
        </w:rPr>
      </w:pPr>
      <w:bookmarkStart w:id="321" w:name="_Toc6817"/>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3</w:t>
      </w:r>
      <w:bookmarkEnd w:id="321"/>
    </w:p>
    <w:p w14:paraId="099A87F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37C3C1A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37C3C1A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小时，以书面形式通知发包人和监理人，并在监理人的见证下与发包人共同清点。</w:t>
      </w:r>
    </w:p>
    <w:p w14:paraId="085EFF0D">
      <w:pPr>
        <w:spacing w:line="360" w:lineRule="auto"/>
        <w:rPr>
          <w:rFonts w:ascii="仿宋" w:hAnsi="仿宋" w:eastAsia="仿宋"/>
          <w:b/>
          <w:bCs/>
          <w:color w:val="000000" w:themeColor="text1"/>
          <w:highlight w:val="none"/>
          <w:lang w:eastAsia="zh-CN"/>
          <w14:textFill>
            <w14:solidFill>
              <w14:schemeClr w14:val="tx1"/>
            </w14:solidFill>
          </w14:textFill>
        </w:rPr>
      </w:pPr>
      <w:bookmarkStart w:id="322" w:name="_Toc19602"/>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4</w:t>
      </w:r>
      <w:bookmarkEnd w:id="322"/>
    </w:p>
    <w:p w14:paraId="3F6B53EA">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6ED4BC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6ED4BCD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137F08B5">
      <w:pPr>
        <w:spacing w:line="360" w:lineRule="auto"/>
        <w:rPr>
          <w:rFonts w:ascii="仿宋" w:hAnsi="仿宋" w:eastAsia="仿宋"/>
          <w:b/>
          <w:bCs/>
          <w:color w:val="000000" w:themeColor="text1"/>
          <w:highlight w:val="none"/>
          <w:lang w:eastAsia="zh-CN"/>
          <w14:textFill>
            <w14:solidFill>
              <w14:schemeClr w14:val="tx1"/>
            </w14:solidFill>
          </w14:textFill>
        </w:rPr>
      </w:pPr>
      <w:bookmarkStart w:id="323" w:name="_Toc527"/>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5</w:t>
      </w:r>
      <w:bookmarkEnd w:id="323"/>
    </w:p>
    <w:p w14:paraId="0B7DD34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10F8BCC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10F8BCC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751F4E97">
      <w:pPr>
        <w:spacing w:line="360" w:lineRule="auto"/>
        <w:rPr>
          <w:rFonts w:ascii="仿宋" w:hAnsi="仿宋" w:eastAsia="仿宋"/>
          <w:color w:val="000000" w:themeColor="text1"/>
          <w:highlight w:val="none"/>
          <w:lang w:eastAsia="zh-CN"/>
          <w14:textFill>
            <w14:solidFill>
              <w14:schemeClr w14:val="tx1"/>
            </w14:solidFill>
          </w14:textFill>
        </w:rPr>
      </w:pPr>
      <w:bookmarkStart w:id="324" w:name="_Toc2901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595CA8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3024;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595CA8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6</w:t>
      </w:r>
      <w:bookmarkEnd w:id="324"/>
    </w:p>
    <w:p w14:paraId="4D16E41A">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02398CFF">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325" w:name="_Toc24372"/>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7</w:t>
      </w:r>
      <w:bookmarkEnd w:id="325"/>
    </w:p>
    <w:p w14:paraId="74E2B40D">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3952047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3952047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承包人申请使用替换工程材料的，替换工程材料的材质、档次不得低于原设计明确的材质、档次，并作为变更事项报经监理人同意、发包人批准后方可实施，但合同价格不予调整。</w:t>
      </w:r>
    </w:p>
    <w:p w14:paraId="38225761">
      <w:pPr>
        <w:spacing w:line="360" w:lineRule="auto"/>
        <w:rPr>
          <w:rFonts w:ascii="仿宋" w:hAnsi="仿宋" w:eastAsia="仿宋"/>
          <w:b/>
          <w:bCs/>
          <w:color w:val="000000" w:themeColor="text1"/>
          <w:highlight w:val="none"/>
          <w:lang w:eastAsia="zh-CN"/>
          <w14:textFill>
            <w14:solidFill>
              <w14:schemeClr w14:val="tx1"/>
            </w14:solidFill>
          </w14:textFill>
        </w:rPr>
      </w:pPr>
      <w:bookmarkStart w:id="326" w:name="_Toc25004"/>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8</w:t>
      </w:r>
      <w:bookmarkEnd w:id="326"/>
    </w:p>
    <w:p w14:paraId="187EEA00">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22BB470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22BB470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57E3B998">
      <w:pPr>
        <w:spacing w:line="360" w:lineRule="auto"/>
        <w:rPr>
          <w:rFonts w:ascii="仿宋" w:hAnsi="仿宋" w:eastAsia="仿宋"/>
          <w:b/>
          <w:bCs/>
          <w:color w:val="000000" w:themeColor="text1"/>
          <w:highlight w:val="none"/>
          <w:lang w:eastAsia="zh-CN"/>
          <w14:textFill>
            <w14:solidFill>
              <w14:schemeClr w14:val="tx1"/>
            </w14:solidFill>
          </w14:textFill>
        </w:rPr>
      </w:pPr>
      <w:bookmarkStart w:id="327" w:name="_Toc14474"/>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18C379C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404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18C379C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56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9</w:t>
      </w:r>
      <w:bookmarkEnd w:id="327"/>
    </w:p>
    <w:p w14:paraId="5653F3E1">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承包人采购工程材料和工程设备的，除专用条款另有约定外，发包人不得指定生产厂家或供应商。</w:t>
      </w:r>
    </w:p>
    <w:p w14:paraId="6DBFDBA6">
      <w:pPr>
        <w:pStyle w:val="20"/>
        <w:adjustRightInd w:val="0"/>
        <w:snapToGrid w:val="0"/>
        <w:spacing w:line="360" w:lineRule="auto"/>
        <w:ind w:firstLine="0"/>
        <w:rPr>
          <w:rFonts w:ascii="仿宋" w:hAnsi="仿宋" w:eastAsia="仿宋" w:cs="仿宋"/>
          <w:b/>
          <w:bCs/>
          <w:color w:val="000000" w:themeColor="text1"/>
          <w:highlight w:val="none"/>
          <w:u w:val="single"/>
          <w:lang w:eastAsia="zh-CN"/>
          <w14:textFill>
            <w14:solidFill>
              <w14:schemeClr w14:val="tx1"/>
            </w14:solidFill>
          </w14:textFill>
        </w:rPr>
      </w:pPr>
    </w:p>
    <w:p w14:paraId="745A522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28" w:name="_Toc149731492"/>
      <w:bookmarkStart w:id="329" w:name="_Toc15881"/>
      <w:r>
        <w:rPr>
          <w:rFonts w:ascii="仿宋" w:hAnsi="仿宋" w:eastAsia="仿宋" w:cs="仿宋"/>
          <w:bCs w:val="0"/>
          <w:color w:val="000000" w:themeColor="text1"/>
          <w:sz w:val="24"/>
          <w:szCs w:val="24"/>
          <w:highlight w:val="none"/>
          <w:lang w:eastAsia="zh-CN"/>
          <w14:textFill>
            <w14:solidFill>
              <w14:schemeClr w14:val="tx1"/>
            </w14:solidFill>
          </w14:textFill>
        </w:rPr>
        <w:t>5</w:t>
      </w:r>
      <w:r>
        <w:rPr>
          <w:rFonts w:hint="eastAsia" w:ascii="仿宋" w:hAnsi="仿宋" w:eastAsia="仿宋" w:cs="仿宋"/>
          <w:bCs w:val="0"/>
          <w:color w:val="000000" w:themeColor="text1"/>
          <w:sz w:val="24"/>
          <w:szCs w:val="24"/>
          <w:highlight w:val="none"/>
          <w:lang w:eastAsia="zh-CN"/>
          <w14:textFill>
            <w14:solidFill>
              <w14:schemeClr w14:val="tx1"/>
            </w14:solidFill>
          </w14:textFill>
        </w:rPr>
        <w:t>7设备及工器具的验收、工程材料和工程设备的检验试验</w:t>
      </w:r>
      <w:bookmarkEnd w:id="328"/>
      <w:bookmarkEnd w:id="329"/>
    </w:p>
    <w:p w14:paraId="480DD2AB">
      <w:pPr>
        <w:pStyle w:val="20"/>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.1</w:t>
      </w:r>
    </w:p>
    <w:p w14:paraId="5557CEC0">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54011407">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260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54011407">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24A3736B">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330" w:name="_Toc16990"/>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2</w:t>
      </w:r>
      <w:bookmarkEnd w:id="330"/>
    </w:p>
    <w:p w14:paraId="2D8F9747">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2E0AEAB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2E0AEAB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78AB5C9A">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31" w:name="_Toc14797"/>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3</w:t>
      </w:r>
      <w:bookmarkEnd w:id="331"/>
    </w:p>
    <w:p w14:paraId="610C69AB">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2AC6260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2AC6260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工程材料和工程设备等产品的检验试验见证取样和不见证取样的要求：</w:t>
      </w:r>
    </w:p>
    <w:p w14:paraId="343EAA5A">
      <w:pPr>
        <w:widowControl w:val="0"/>
        <w:adjustRightInd w:val="0"/>
        <w:snapToGrid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631A0161">
      <w:pPr>
        <w:widowControl w:val="0"/>
        <w:adjustRightInd w:val="0"/>
        <w:snapToGrid w:val="0"/>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77B3D966">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（3）标准规范规定、结构安全要求或合同约定需要进行见证取样检验试验的工程材料和工程设备等产品，承包人应在取样前至少提前</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小时通知监理人参加，并在监理人的见证下现场取样，同时送至具有相应资质等级的质量检测机构进行检验试验。</w:t>
      </w:r>
    </w:p>
    <w:p w14:paraId="49A8253A">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小时发出延期检验试验指令并书面说明理由，延期不得超过</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52A8EF9F">
      <w:pPr>
        <w:spacing w:line="360" w:lineRule="auto"/>
        <w:rPr>
          <w:rFonts w:ascii="仿宋" w:hAnsi="仿宋" w:eastAsia="仿宋"/>
          <w:color w:val="000000" w:themeColor="text1"/>
          <w:highlight w:val="none"/>
          <w:lang w:eastAsia="zh-CN"/>
          <w14:textFill>
            <w14:solidFill>
              <w14:schemeClr w14:val="tx1"/>
            </w14:solidFill>
          </w14:textFill>
        </w:rPr>
      </w:pPr>
      <w:bookmarkStart w:id="332" w:name="_Toc15753"/>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4</w:t>
      </w:r>
      <w:bookmarkEnd w:id="332"/>
    </w:p>
    <w:p w14:paraId="35FD8087">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4B4C91B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4B4C91B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工程材料和工程设备等产品检验试验合格的，可在合同工程中使用。工程材料和工程设备等产品检验试验不合格的，禁止在合同工程中使用，并及时清出施工场地。</w:t>
      </w:r>
    </w:p>
    <w:p w14:paraId="593885BF">
      <w:pPr>
        <w:spacing w:line="360" w:lineRule="auto"/>
        <w:rPr>
          <w:rFonts w:ascii="仿宋" w:hAnsi="仿宋" w:eastAsia="仿宋"/>
          <w:color w:val="000000" w:themeColor="text1"/>
          <w:highlight w:val="none"/>
          <w:u w:val="dotted"/>
          <w:lang w:eastAsia="zh-CN"/>
          <w14:textFill>
            <w14:solidFill>
              <w14:schemeClr w14:val="tx1"/>
            </w14:solidFill>
          </w14:textFill>
        </w:rPr>
      </w:pPr>
      <w:bookmarkStart w:id="333" w:name="_Toc9196"/>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5</w:t>
      </w:r>
      <w:bookmarkEnd w:id="333"/>
    </w:p>
    <w:p w14:paraId="686FCDE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2CF4DD3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2CF4DD3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除合同价格已包括外，工程材料和工程设备等产品的检验试验费，按照实际发生的费用计算。</w:t>
      </w:r>
    </w:p>
    <w:p w14:paraId="243ABE68">
      <w:pPr>
        <w:widowControl w:val="0"/>
        <w:adjustRightInd w:val="0"/>
        <w:snapToGrid w:val="0"/>
        <w:spacing w:line="360" w:lineRule="auto"/>
        <w:ind w:left="1850" w:leftChars="771"/>
        <w:jc w:val="both"/>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）现场使用前工程材料和工程设备等产品的检验试验，发包人供应的，检验试验费由发包人承担；承包人采购的，检验试验费由承包人承担。</w:t>
      </w:r>
    </w:p>
    <w:p w14:paraId="7CA76B0D">
      <w:pPr>
        <w:widowControl w:val="0"/>
        <w:adjustRightInd w:val="0"/>
        <w:snapToGrid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3DC2D8AB">
      <w:pPr>
        <w:spacing w:line="360" w:lineRule="auto"/>
        <w:rPr>
          <w:rFonts w:ascii="仿宋" w:hAnsi="仿宋" w:eastAsia="仿宋"/>
          <w:b/>
          <w:bCs/>
          <w:color w:val="000000" w:themeColor="text1"/>
          <w:highlight w:val="none"/>
          <w:lang w:eastAsia="zh-CN"/>
          <w14:textFill>
            <w14:solidFill>
              <w14:schemeClr w14:val="tx1"/>
            </w14:solidFill>
          </w14:textFill>
        </w:rPr>
      </w:pPr>
      <w:bookmarkStart w:id="334" w:name="_Toc19693"/>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6</w:t>
      </w:r>
      <w:bookmarkEnd w:id="334"/>
    </w:p>
    <w:p w14:paraId="76FEF73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2EC37EA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2EC37EA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监理人对承包人自行检验试验结果有疑问的，可要求承包人共同对工程材料和工程设备等再次检验试验。</w:t>
      </w:r>
    </w:p>
    <w:p w14:paraId="2E5E72FD">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）合格的，再次检验试验费和（或）延误的工期由发包人承担，并向承包人支付合理利润。</w:t>
      </w:r>
    </w:p>
    <w:p w14:paraId="786E195E">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）不合格的，发包人供应的，再次检验试验费和（或）延误的工期由发包人承担，并向承包人支付合理利润；承包人采购的，再次检验试验费和（或）延误的工期由承包人承担。</w:t>
      </w:r>
    </w:p>
    <w:p w14:paraId="32D0139A">
      <w:pPr>
        <w:spacing w:line="360" w:lineRule="auto"/>
        <w:rPr>
          <w:rFonts w:ascii="仿宋" w:hAnsi="仿宋" w:eastAsia="仿宋"/>
          <w:color w:val="000000" w:themeColor="text1"/>
          <w:highlight w:val="none"/>
          <w:lang w:eastAsia="zh-CN"/>
          <w14:textFill>
            <w14:solidFill>
              <w14:schemeClr w14:val="tx1"/>
            </w14:solidFill>
          </w14:textFill>
        </w:rPr>
      </w:pPr>
      <w:bookmarkStart w:id="335" w:name="_Toc27295"/>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7</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3C074DA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3W702AAA&#10;AAoBAAAPAAAAAAAAAAEAIAAAACIAAABkcnMvZG93bnJldi54bWxQSwECFAAUAAAACACHTuJAiOTM&#10;/h4CAAAmBAAADgAAAAAAAAABACAAAAAnAQAAZHJzL2Uyb0RvYy54bWxQSwUGAAAAAAYABgBZAQAA&#10;twUAAAAA&#10;">
                <v:fill on="f" focussize="0,0"/>
                <v:stroke on="f"/>
                <v:imagedata o:title=""/>
                <o:lock v:ext="edit" aspectratio="f"/>
                <v:textbox>
                  <w:txbxContent>
                    <w:p w14:paraId="3C074DA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335"/>
    </w:p>
    <w:p w14:paraId="738CB683">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合同双方当事人对工程材料和工程设备等产品质量有争议的，所需的检验试验费由责任方承担。双方均有责任的，由双方根据其责任划分分别承担。</w:t>
      </w:r>
    </w:p>
    <w:p w14:paraId="7842A8F0">
      <w:pPr>
        <w:pStyle w:val="20"/>
        <w:adjustRightInd w:val="0"/>
        <w:snapToGrid w:val="0"/>
        <w:spacing w:line="360" w:lineRule="auto"/>
        <w:ind w:firstLine="0"/>
        <w:rPr>
          <w:rFonts w:ascii="仿宋" w:hAnsi="仿宋" w:eastAsia="仿宋" w:cs="仿宋"/>
          <w:color w:val="000000" w:themeColor="text1"/>
          <w:highlight w:val="none"/>
          <w:u w:val="single"/>
          <w:lang w:eastAsia="zh-CN"/>
          <w14:textFill>
            <w14:solidFill>
              <w14:schemeClr w14:val="tx1"/>
            </w14:solidFill>
          </w14:textFill>
        </w:rPr>
      </w:pPr>
    </w:p>
    <w:p w14:paraId="3057E803">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36" w:name="_Toc149731493"/>
      <w:bookmarkStart w:id="337" w:name="_Toc265"/>
      <w:r>
        <w:rPr>
          <w:rFonts w:ascii="仿宋" w:hAnsi="仿宋" w:eastAsia="仿宋" w:cs="仿宋"/>
          <w:bCs w:val="0"/>
          <w:color w:val="000000" w:themeColor="text1"/>
          <w:sz w:val="24"/>
          <w:szCs w:val="24"/>
          <w:highlight w:val="none"/>
          <w:lang w:eastAsia="zh-CN"/>
          <w14:textFill>
            <w14:solidFill>
              <w14:schemeClr w14:val="tx1"/>
            </w14:solidFill>
          </w14:textFill>
        </w:rPr>
        <w:t>5</w:t>
      </w:r>
      <w:r>
        <w:rPr>
          <w:rFonts w:hint="eastAsia" w:ascii="仿宋" w:hAnsi="仿宋" w:eastAsia="仿宋" w:cs="仿宋"/>
          <w:bCs w:val="0"/>
          <w:color w:val="000000" w:themeColor="text1"/>
          <w:sz w:val="24"/>
          <w:szCs w:val="24"/>
          <w:highlight w:val="none"/>
          <w:lang w:eastAsia="zh-CN"/>
          <w14:textFill>
            <w14:solidFill>
              <w14:schemeClr w14:val="tx1"/>
            </w14:solidFill>
          </w14:textFill>
        </w:rPr>
        <w:t>8施工设备和临时设施</w:t>
      </w:r>
      <w:bookmarkEnd w:id="336"/>
      <w:bookmarkEnd w:id="337"/>
    </w:p>
    <w:p w14:paraId="376C996D">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338" w:name="_Toc3020"/>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.1</w:t>
      </w:r>
      <w:bookmarkEnd w:id="338"/>
    </w:p>
    <w:p w14:paraId="5C46B85F">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006652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006652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承包人应按合同工程进度计划的要求，及时配置施工设备和修建临时设施。除专用条款另有约定外，承包人应自行承担修建临时设施的费用。需要临时占地的，发包人应办理其申请手续并承担相应费用。</w:t>
      </w:r>
    </w:p>
    <w:p w14:paraId="201C032F">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进入施工场地的承包人施工设备，需经监理人核查后才能投入使用。承包人更换合同约定范围施工设备的，应经监理人同意并由其报发包人批准后方可实施。</w:t>
      </w:r>
    </w:p>
    <w:p w14:paraId="6DB2E069">
      <w:pPr>
        <w:spacing w:line="360" w:lineRule="auto"/>
        <w:rPr>
          <w:rFonts w:ascii="仿宋" w:hAnsi="仿宋" w:eastAsia="仿宋"/>
          <w:color w:val="000000" w:themeColor="text1"/>
          <w:highlight w:val="none"/>
          <w:lang w:eastAsia="zh-CN"/>
          <w14:textFill>
            <w14:solidFill>
              <w14:schemeClr w14:val="tx1"/>
            </w14:solidFill>
          </w14:textFill>
        </w:rPr>
      </w:pPr>
      <w:bookmarkStart w:id="339" w:name="_Toc233"/>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.2</w:t>
      </w:r>
      <w:bookmarkEnd w:id="339"/>
    </w:p>
    <w:p w14:paraId="0258212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17D17650">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5072;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17D17650">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如果发包人提供施工设备或临时设施的，合同双方当事人应在专用条款中约定施工设备或临时设施的品种、规格、型号和提供的时间、地点等内容。</w:t>
      </w:r>
    </w:p>
    <w:p w14:paraId="09FC4BCE">
      <w:pPr>
        <w:spacing w:line="360" w:lineRule="auto"/>
        <w:rPr>
          <w:rFonts w:ascii="仿宋" w:hAnsi="仿宋" w:eastAsia="仿宋"/>
          <w:b/>
          <w:bCs/>
          <w:color w:val="000000" w:themeColor="text1"/>
          <w:highlight w:val="none"/>
          <w:lang w:eastAsia="zh-CN"/>
          <w14:textFill>
            <w14:solidFill>
              <w14:schemeClr w14:val="tx1"/>
            </w14:solidFill>
          </w14:textFill>
        </w:rPr>
      </w:pPr>
      <w:bookmarkStart w:id="340" w:name="_Toc8979"/>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.3</w:t>
      </w:r>
      <w:bookmarkEnd w:id="340"/>
    </w:p>
    <w:p w14:paraId="2EF4DCA1">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7ED2D5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7ED2D5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如果承包人使用的施工设备不能满足合同工程进度计划和（或）质量要求的，监理人有权要求承包人增加或更换施工设备，承包人应及时增加或更换，由此增加的费用和（或）延误的工期由承包人承担。</w:t>
      </w:r>
    </w:p>
    <w:p w14:paraId="02C0DF34">
      <w:pPr>
        <w:spacing w:line="360" w:lineRule="auto"/>
        <w:rPr>
          <w:rFonts w:ascii="仿宋" w:hAnsi="仿宋" w:eastAsia="仿宋"/>
          <w:b/>
          <w:bCs/>
          <w:color w:val="000000" w:themeColor="text1"/>
          <w:highlight w:val="none"/>
          <w:lang w:eastAsia="zh-CN"/>
          <w14:textFill>
            <w14:solidFill>
              <w14:schemeClr w14:val="tx1"/>
            </w14:solidFill>
          </w14:textFill>
        </w:rPr>
      </w:pPr>
      <w:bookmarkStart w:id="341" w:name="_Toc4997"/>
      <w:r>
        <w:rPr>
          <w:rFonts w:ascii="仿宋" w:hAnsi="仿宋" w:eastAsia="仿宋" w:cs="仿宋"/>
          <w:b/>
          <w:bCs/>
          <w:color w:val="000000" w:themeColor="text1"/>
          <w:highlight w:val="none"/>
          <w:lang w:eastAsia="zh-CN"/>
          <w14:textFill>
            <w14:solidFill>
              <w14:schemeClr w14:val="tx1"/>
            </w14:solidFill>
          </w14:textFill>
        </w:rPr>
        <w:t>5</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.4</w:t>
      </w:r>
      <w:bookmarkEnd w:id="341"/>
    </w:p>
    <w:p w14:paraId="3C3F8680">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运至施工现场的施工设备和在施工现场修建的临时设施，均应视为专门用于实施合同工程。除经监理人同意并由其报发包人批准，承包人可根据合同工程进度计划撤走闲置的施工设备</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206674C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206674C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外，承包人不得将上述施工设备和临时设施中的任何部分运出施工场地或挪作他用。</w:t>
      </w:r>
    </w:p>
    <w:p w14:paraId="6C17ABF6">
      <w:pPr>
        <w:pStyle w:val="40"/>
        <w:tabs>
          <w:tab w:val="left" w:pos="54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632CF227">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42" w:name="_Toc149731494"/>
      <w:bookmarkStart w:id="343" w:name="_Toc9185"/>
      <w:r>
        <w:rPr>
          <w:rFonts w:hint="eastAsia" w:ascii="仿宋" w:hAnsi="仿宋" w:eastAsia="仿宋" w:cs="仿宋"/>
          <w:bCs w:val="0"/>
          <w:color w:val="000000" w:themeColor="text1"/>
          <w:sz w:val="24"/>
          <w:szCs w:val="24"/>
          <w:highlight w:val="none"/>
          <w:lang w:eastAsia="zh-CN"/>
          <w14:textFill>
            <w14:solidFill>
              <w14:schemeClr w14:val="tx1"/>
            </w14:solidFill>
          </w14:textFill>
        </w:rPr>
        <w:t>★59工程质量检查</w:t>
      </w:r>
      <w:bookmarkEnd w:id="342"/>
      <w:bookmarkEnd w:id="343"/>
    </w:p>
    <w:p w14:paraId="4E52B0B0">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344" w:name="_Toc8383"/>
      <w:r>
        <w:rPr>
          <w:rFonts w:hint="eastAsia" w:ascii="仿宋" w:hAnsi="仿宋" w:eastAsia="仿宋" w:cs="仿宋"/>
          <w:b/>
          <w:bCs/>
          <w:color w:val="000000" w:themeColor="text1"/>
          <w:highlight w:val="none"/>
          <w:lang w:eastAsia="zh-CN"/>
          <w14:textFill>
            <w14:solidFill>
              <w14:schemeClr w14:val="tx1"/>
            </w14:solidFill>
          </w14:textFill>
        </w:rPr>
        <w:t>59</w:t>
      </w:r>
      <w:r>
        <w:rPr>
          <w:rFonts w:ascii="仿宋" w:hAnsi="仿宋" w:eastAsia="仿宋" w:cs="仿宋"/>
          <w:b/>
          <w:bCs/>
          <w:color w:val="000000" w:themeColor="text1"/>
          <w:highlight w:val="none"/>
          <w:lang w:eastAsia="zh-CN"/>
          <w14:textFill>
            <w14:solidFill>
              <w14:schemeClr w14:val="tx1"/>
            </w14:solidFill>
          </w14:textFill>
        </w:rPr>
        <w:t>.1</w:t>
      </w:r>
      <w:bookmarkEnd w:id="344"/>
    </w:p>
    <w:p w14:paraId="555126B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6D13125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6D13125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2546AE45">
      <w:pPr>
        <w:spacing w:line="360" w:lineRule="auto"/>
        <w:rPr>
          <w:rFonts w:ascii="仿宋" w:hAnsi="仿宋" w:eastAsia="仿宋"/>
          <w:b/>
          <w:bCs/>
          <w:color w:val="000000" w:themeColor="text1"/>
          <w:highlight w:val="none"/>
          <w:lang w:eastAsia="zh-CN"/>
          <w14:textFill>
            <w14:solidFill>
              <w14:schemeClr w14:val="tx1"/>
            </w14:solidFill>
          </w14:textFill>
        </w:rPr>
      </w:pPr>
      <w:bookmarkStart w:id="345" w:name="_Toc26104"/>
      <w:r>
        <w:rPr>
          <w:rFonts w:hint="eastAsia" w:ascii="仿宋" w:hAnsi="仿宋" w:eastAsia="仿宋" w:cs="仿宋"/>
          <w:b/>
          <w:bCs/>
          <w:color w:val="000000" w:themeColor="text1"/>
          <w:highlight w:val="none"/>
          <w:lang w:eastAsia="zh-CN"/>
          <w14:textFill>
            <w14:solidFill>
              <w14:schemeClr w14:val="tx1"/>
            </w14:solidFill>
          </w14:textFill>
        </w:rPr>
        <w:t>59</w:t>
      </w:r>
      <w:r>
        <w:rPr>
          <w:rFonts w:ascii="仿宋" w:hAnsi="仿宋" w:eastAsia="仿宋" w:cs="仿宋"/>
          <w:b/>
          <w:bCs/>
          <w:color w:val="000000" w:themeColor="text1"/>
          <w:highlight w:val="none"/>
          <w:lang w:eastAsia="zh-CN"/>
          <w14:textFill>
            <w14:solidFill>
              <w14:schemeClr w14:val="tx1"/>
            </w14:solidFill>
          </w14:textFill>
        </w:rPr>
        <w:t>.2</w:t>
      </w:r>
      <w:bookmarkEnd w:id="345"/>
    </w:p>
    <w:p w14:paraId="23984F9B">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6CC8F637">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6CC8F637">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2532AC2D">
      <w:pPr>
        <w:spacing w:line="360" w:lineRule="auto"/>
        <w:rPr>
          <w:rFonts w:ascii="仿宋" w:hAnsi="仿宋" w:eastAsia="仿宋"/>
          <w:b/>
          <w:bCs/>
          <w:color w:val="000000" w:themeColor="text1"/>
          <w:highlight w:val="none"/>
          <w:lang w:eastAsia="zh-CN"/>
          <w14:textFill>
            <w14:solidFill>
              <w14:schemeClr w14:val="tx1"/>
            </w14:solidFill>
          </w14:textFill>
        </w:rPr>
      </w:pPr>
      <w:bookmarkStart w:id="346" w:name="_Toc20962"/>
      <w:r>
        <w:rPr>
          <w:rFonts w:hint="eastAsia" w:ascii="仿宋" w:hAnsi="仿宋" w:eastAsia="仿宋" w:cs="仿宋"/>
          <w:b/>
          <w:bCs/>
          <w:color w:val="000000" w:themeColor="text1"/>
          <w:highlight w:val="none"/>
          <w:lang w:eastAsia="zh-CN"/>
          <w14:textFill>
            <w14:solidFill>
              <w14:schemeClr w14:val="tx1"/>
            </w14:solidFill>
          </w14:textFill>
        </w:rPr>
        <w:t>59</w:t>
      </w:r>
      <w:r>
        <w:rPr>
          <w:rFonts w:ascii="仿宋" w:hAnsi="仿宋" w:eastAsia="仿宋" w:cs="仿宋"/>
          <w:b/>
          <w:bCs/>
          <w:color w:val="000000" w:themeColor="text1"/>
          <w:highlight w:val="none"/>
          <w:lang w:eastAsia="zh-CN"/>
          <w14:textFill>
            <w14:solidFill>
              <w14:schemeClr w14:val="tx1"/>
            </w14:solidFill>
          </w14:textFill>
        </w:rPr>
        <w:t>.3</w:t>
      </w:r>
      <w:bookmarkEnd w:id="346"/>
    </w:p>
    <w:p w14:paraId="2403FD0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6AD0E3F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6AD0E3F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480F0F12">
      <w:pPr>
        <w:spacing w:line="360" w:lineRule="auto"/>
        <w:rPr>
          <w:rFonts w:ascii="仿宋" w:hAnsi="仿宋" w:eastAsia="仿宋"/>
          <w:b/>
          <w:bCs/>
          <w:color w:val="000000" w:themeColor="text1"/>
          <w:highlight w:val="none"/>
          <w:lang w:eastAsia="zh-CN"/>
          <w14:textFill>
            <w14:solidFill>
              <w14:schemeClr w14:val="tx1"/>
            </w14:solidFill>
          </w14:textFill>
        </w:rPr>
      </w:pPr>
      <w:bookmarkStart w:id="347" w:name="_Toc20500"/>
      <w:r>
        <w:rPr>
          <w:rFonts w:hint="eastAsia" w:ascii="仿宋" w:hAnsi="仿宋" w:eastAsia="仿宋" w:cs="仿宋"/>
          <w:b/>
          <w:bCs/>
          <w:color w:val="000000" w:themeColor="text1"/>
          <w:highlight w:val="none"/>
          <w:lang w:eastAsia="zh-CN"/>
          <w14:textFill>
            <w14:solidFill>
              <w14:schemeClr w14:val="tx1"/>
            </w14:solidFill>
          </w14:textFill>
        </w:rPr>
        <w:t>59</w:t>
      </w:r>
      <w:r>
        <w:rPr>
          <w:rFonts w:ascii="仿宋" w:hAnsi="仿宋" w:eastAsia="仿宋" w:cs="仿宋"/>
          <w:b/>
          <w:bCs/>
          <w:color w:val="000000" w:themeColor="text1"/>
          <w:highlight w:val="none"/>
          <w:lang w:eastAsia="zh-CN"/>
          <w14:textFill>
            <w14:solidFill>
              <w14:schemeClr w14:val="tx1"/>
            </w14:solidFill>
          </w14:textFill>
        </w:rPr>
        <w:t>.4</w:t>
      </w:r>
      <w:bookmarkEnd w:id="347"/>
    </w:p>
    <w:p w14:paraId="04C2065A">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4FFE77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4FFE77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监理人对合同工程质量的检查，不得影响承包人的正常施工。如影响施工正常进行，承包人应向发包人、监理人发出书面改正通知；监理人应及时予以改正，否则承包人有权提出并得到补偿。</w:t>
      </w:r>
    </w:p>
    <w:p w14:paraId="227A51E3">
      <w:pPr>
        <w:spacing w:line="360" w:lineRule="auto"/>
        <w:rPr>
          <w:rFonts w:ascii="仿宋" w:hAnsi="仿宋" w:eastAsia="仿宋"/>
          <w:b/>
          <w:bCs/>
          <w:color w:val="000000" w:themeColor="text1"/>
          <w:highlight w:val="none"/>
          <w:lang w:eastAsia="zh-CN"/>
          <w14:textFill>
            <w14:solidFill>
              <w14:schemeClr w14:val="tx1"/>
            </w14:solidFill>
          </w14:textFill>
        </w:rPr>
      </w:pPr>
      <w:bookmarkStart w:id="348" w:name="_Toc29086"/>
      <w:r>
        <w:rPr>
          <w:rFonts w:hint="eastAsia" w:ascii="仿宋" w:hAnsi="仿宋" w:eastAsia="仿宋" w:cs="仿宋"/>
          <w:b/>
          <w:bCs/>
          <w:color w:val="000000" w:themeColor="text1"/>
          <w:highlight w:val="none"/>
          <w:lang w:eastAsia="zh-CN"/>
          <w14:textFill>
            <w14:solidFill>
              <w14:schemeClr w14:val="tx1"/>
            </w14:solidFill>
          </w14:textFill>
        </w:rPr>
        <w:t>59</w:t>
      </w:r>
      <w:r>
        <w:rPr>
          <w:rFonts w:ascii="仿宋" w:hAnsi="仿宋" w:eastAsia="仿宋" w:cs="仿宋"/>
          <w:b/>
          <w:bCs/>
          <w:color w:val="000000" w:themeColor="text1"/>
          <w:highlight w:val="none"/>
          <w:lang w:eastAsia="zh-CN"/>
          <w14:textFill>
            <w14:solidFill>
              <w14:schemeClr w14:val="tx1"/>
            </w14:solidFill>
          </w14:textFill>
        </w:rPr>
        <w:t>.5</w:t>
      </w:r>
      <w:bookmarkEnd w:id="348"/>
    </w:p>
    <w:p w14:paraId="49A424DE">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5A8056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5A8056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3927235A">
      <w:pPr>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2D841135">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49" w:name="_Toc31869"/>
      <w:bookmarkStart w:id="350" w:name="_Toc149731495"/>
      <w:r>
        <w:rPr>
          <w:rFonts w:hint="eastAsia" w:ascii="仿宋" w:hAnsi="仿宋" w:eastAsia="仿宋" w:cs="仿宋"/>
          <w:bCs w:val="0"/>
          <w:color w:val="000000" w:themeColor="text1"/>
          <w:sz w:val="24"/>
          <w:szCs w:val="24"/>
          <w:highlight w:val="none"/>
          <w:lang w:eastAsia="zh-CN"/>
          <w14:textFill>
            <w14:solidFill>
              <w14:schemeClr w14:val="tx1"/>
            </w14:solidFill>
          </w14:textFill>
        </w:rPr>
        <w:t>★60隐蔽工程和中间验收</w:t>
      </w:r>
      <w:bookmarkEnd w:id="349"/>
      <w:bookmarkEnd w:id="350"/>
    </w:p>
    <w:p w14:paraId="3E94EC1B">
      <w:pPr>
        <w:pStyle w:val="20"/>
        <w:tabs>
          <w:tab w:val="left" w:pos="1320"/>
        </w:tabs>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60</w:t>
      </w:r>
      <w:r>
        <w:rPr>
          <w:rFonts w:ascii="仿宋" w:hAnsi="仿宋" w:eastAsia="仿宋" w:cs="仿宋"/>
          <w:b/>
          <w:bCs/>
          <w:color w:val="000000" w:themeColor="text1"/>
          <w:highlight w:val="none"/>
          <w:lang w:eastAsia="zh-CN"/>
          <w14:textFill>
            <w14:solidFill>
              <w14:schemeClr w14:val="tx1"/>
            </w14:solidFill>
          </w14:textFill>
        </w:rPr>
        <w:t>.1</w:t>
      </w:r>
    </w:p>
    <w:p w14:paraId="7232971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6AEEA6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6AEEA6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9DAE137">
      <w:pPr>
        <w:spacing w:line="360" w:lineRule="auto"/>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7E855D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609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7E855D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60</w:t>
      </w:r>
      <w:r>
        <w:rPr>
          <w:rFonts w:ascii="仿宋" w:hAnsi="仿宋" w:eastAsia="仿宋" w:cs="仿宋"/>
          <w:b/>
          <w:bCs/>
          <w:color w:val="000000" w:themeColor="text1"/>
          <w:highlight w:val="none"/>
          <w:lang w:eastAsia="zh-CN"/>
          <w14:textFill>
            <w14:solidFill>
              <w14:schemeClr w14:val="tx1"/>
            </w14:solidFill>
          </w14:textFill>
        </w:rPr>
        <w:t xml:space="preserve">.2  </w:t>
      </w:r>
    </w:p>
    <w:p w14:paraId="7CFEB3B3">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如果监理人不能按时参加验收，应至少提前</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小时发出延期验收指令并书面说明理由，延期不得超过</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小时。如果监理人或其委派的代表未发出延期验收指令也未到场验收，承包人必须停止验收并通知发包人代表；由此增加的费用和（或）延误的工期由发包人承担，并向承包人支付合理利润。</w:t>
      </w:r>
    </w:p>
    <w:p w14:paraId="5240C71F">
      <w:pPr>
        <w:spacing w:line="360" w:lineRule="auto"/>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6EB742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6EB742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60</w:t>
      </w:r>
      <w:r>
        <w:rPr>
          <w:rFonts w:ascii="仿宋" w:hAnsi="仿宋" w:eastAsia="仿宋" w:cs="仿宋"/>
          <w:b/>
          <w:bCs/>
          <w:color w:val="000000" w:themeColor="text1"/>
          <w:highlight w:val="none"/>
          <w:lang w:eastAsia="zh-CN"/>
          <w14:textFill>
            <w14:solidFill>
              <w14:schemeClr w14:val="tx1"/>
            </w14:solidFill>
          </w14:textFill>
        </w:rPr>
        <w:t xml:space="preserve">.3 </w:t>
      </w:r>
    </w:p>
    <w:p w14:paraId="1A23DC16">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验收合格的，监理工程师应在验收记录上签字，并形成验收文件，承包人可进行隐蔽或继续施工。验收合格</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小时后，监理工程师仍不在验收记录上签字，视为监理工程师已认可验收记录。</w:t>
      </w:r>
    </w:p>
    <w:p w14:paraId="6CBEFA1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验收不合格的，承包人应按照监理人的指令修改后重新验收，由此增加的费用和（或）延误的工期由承包人承担。</w:t>
      </w:r>
    </w:p>
    <w:p w14:paraId="758CB30B">
      <w:pPr>
        <w:spacing w:line="360" w:lineRule="auto"/>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4E4001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7120;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4E4001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60</w:t>
      </w:r>
      <w:r>
        <w:rPr>
          <w:rFonts w:ascii="仿宋" w:hAnsi="仿宋" w:eastAsia="仿宋" w:cs="仿宋"/>
          <w:b/>
          <w:bCs/>
          <w:color w:val="000000" w:themeColor="text1"/>
          <w:highlight w:val="none"/>
          <w:lang w:eastAsia="zh-CN"/>
          <w14:textFill>
            <w14:solidFill>
              <w14:schemeClr w14:val="tx1"/>
            </w14:solidFill>
          </w14:textFill>
        </w:rPr>
        <w:t xml:space="preserve">.4    </w:t>
      </w:r>
    </w:p>
    <w:p w14:paraId="31BDAED9">
      <w:pPr>
        <w:widowControl w:val="0"/>
        <w:adjustRightInd w:val="0"/>
        <w:snapToGrid w:val="0"/>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如监理工程师有指令，承包人应对隐蔽工程进行拍摄或照相，保证监理工程师能充分检查和测量隐蔽的工程。</w:t>
      </w:r>
    </w:p>
    <w:p w14:paraId="54E98C6E">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0D41161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8144;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0D41161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60</w:t>
      </w:r>
      <w:r>
        <w:rPr>
          <w:rFonts w:ascii="仿宋" w:hAnsi="仿宋" w:eastAsia="仿宋" w:cs="仿宋"/>
          <w:b/>
          <w:bCs/>
          <w:color w:val="000000" w:themeColor="text1"/>
          <w:highlight w:val="none"/>
          <w:lang w:eastAsia="zh-CN"/>
          <w14:textFill>
            <w14:solidFill>
              <w14:schemeClr w14:val="tx1"/>
            </w14:solidFill>
          </w14:textFill>
        </w:rPr>
        <w:t xml:space="preserve">.5  </w:t>
      </w:r>
    </w:p>
    <w:p w14:paraId="1EBD2A62">
      <w:pPr>
        <w:widowControl w:val="0"/>
        <w:adjustRightInd w:val="0"/>
        <w:snapToGrid w:val="0"/>
        <w:spacing w:line="360" w:lineRule="auto"/>
        <w:ind w:left="1850" w:leftChars="771"/>
        <w:jc w:val="both"/>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承包人未通知监理工程师到场验收，私自将隐蔽工程覆盖的，监理工程师有权指令承包人进行钻孔探测或剥露验收，由此增加的费用和（或）延误的工期由承包人承担。</w:t>
      </w:r>
    </w:p>
    <w:p w14:paraId="5A0FC3F2">
      <w:pPr>
        <w:pStyle w:val="20"/>
        <w:adjustRightInd w:val="0"/>
        <w:snapToGrid w:val="0"/>
        <w:spacing w:line="360" w:lineRule="auto"/>
        <w:ind w:firstLine="0"/>
        <w:rPr>
          <w:rFonts w:ascii="仿宋" w:hAnsi="仿宋" w:eastAsia="仿宋" w:cs="仿宋"/>
          <w:b/>
          <w:bCs/>
          <w:color w:val="000000" w:themeColor="text1"/>
          <w:highlight w:val="none"/>
          <w:u w:val="single"/>
          <w:lang w:eastAsia="zh-CN"/>
          <w14:textFill>
            <w14:solidFill>
              <w14:schemeClr w14:val="tx1"/>
            </w14:solidFill>
          </w14:textFill>
        </w:rPr>
      </w:pPr>
    </w:p>
    <w:p w14:paraId="29DD0CA8">
      <w:pPr>
        <w:pStyle w:val="5"/>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51" w:name="_Toc149731496"/>
      <w:bookmarkStart w:id="352" w:name="_Toc24879"/>
      <w:r>
        <w:rPr>
          <w:rFonts w:hint="eastAsia" w:ascii="仿宋" w:hAnsi="仿宋" w:eastAsia="仿宋" w:cs="仿宋"/>
          <w:bCs w:val="0"/>
          <w:color w:val="000000" w:themeColor="text1"/>
          <w:sz w:val="24"/>
          <w:szCs w:val="24"/>
          <w:highlight w:val="none"/>
          <w:lang w:eastAsia="zh-CN"/>
          <w14:textFill>
            <w14:solidFill>
              <w14:schemeClr w14:val="tx1"/>
            </w14:solidFill>
          </w14:textFill>
        </w:rPr>
        <w:t>★61重新验收和额外检查检验</w:t>
      </w:r>
      <w:bookmarkEnd w:id="351"/>
      <w:bookmarkEnd w:id="352"/>
    </w:p>
    <w:p w14:paraId="203B5888">
      <w:pPr>
        <w:pStyle w:val="20"/>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61</w:t>
      </w:r>
      <w:r>
        <w:rPr>
          <w:rFonts w:ascii="仿宋" w:hAnsi="仿宋" w:eastAsia="仿宋" w:cs="仿宋"/>
          <w:b/>
          <w:bCs/>
          <w:color w:val="000000" w:themeColor="text1"/>
          <w:highlight w:val="none"/>
          <w:lang w:eastAsia="zh-CN"/>
          <w14:textFill>
            <w14:solidFill>
              <w14:schemeClr w14:val="tx1"/>
            </w14:solidFill>
          </w14:textFill>
        </w:rPr>
        <w:t>.1</w:t>
      </w:r>
    </w:p>
    <w:p w14:paraId="1FC02888">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4C32C7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39168;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4C32C7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29DFBC0E">
      <w:pPr>
        <w:pStyle w:val="20"/>
        <w:tabs>
          <w:tab w:val="left" w:pos="540"/>
          <w:tab w:val="left" w:pos="720"/>
        </w:tabs>
        <w:adjustRightInd w:val="0"/>
        <w:snapToGrid w:val="0"/>
        <w:spacing w:line="360" w:lineRule="auto"/>
        <w:ind w:firstLine="0"/>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61</w:t>
      </w:r>
      <w:r>
        <w:rPr>
          <w:rFonts w:ascii="仿宋" w:hAnsi="仿宋" w:eastAsia="仿宋" w:cs="仿宋"/>
          <w:b/>
          <w:bCs/>
          <w:color w:val="000000" w:themeColor="text1"/>
          <w:highlight w:val="none"/>
          <w:lang w:eastAsia="zh-CN"/>
          <w14:textFill>
            <w14:solidFill>
              <w14:schemeClr w14:val="tx1"/>
            </w14:solidFill>
          </w14:textFill>
        </w:rPr>
        <w:t xml:space="preserve">.2 </w:t>
      </w:r>
    </w:p>
    <w:p w14:paraId="073E25FA">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29BF0BE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29BF0BE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7.7款、第59</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款约定处理；没有缺陷的，检查检验的费用和（或）延误的工期由发包人承担，并向承包人支付合理利润。</w:t>
      </w:r>
    </w:p>
    <w:p w14:paraId="7643A6D5">
      <w:pPr>
        <w:adjustRightInd w:val="0"/>
        <w:snapToGrid w:val="0"/>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1C64305E">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53" w:name="_Toc4537"/>
      <w:bookmarkStart w:id="354" w:name="_Toc149731497"/>
      <w:r>
        <w:rPr>
          <w:rFonts w:hint="eastAsia" w:ascii="仿宋" w:hAnsi="仿宋" w:eastAsia="仿宋" w:cs="仿宋"/>
          <w:bCs w:val="0"/>
          <w:color w:val="000000" w:themeColor="text1"/>
          <w:sz w:val="24"/>
          <w:szCs w:val="24"/>
          <w:highlight w:val="none"/>
          <w:lang w:eastAsia="zh-CN"/>
          <w14:textFill>
            <w14:solidFill>
              <w14:schemeClr w14:val="tx1"/>
            </w14:solidFill>
          </w14:textFill>
        </w:rPr>
        <w:t>62工程试车</w:t>
      </w:r>
      <w:bookmarkEnd w:id="353"/>
      <w:bookmarkEnd w:id="354"/>
    </w:p>
    <w:p w14:paraId="4AA04AB5">
      <w:pPr>
        <w:rPr>
          <w:rFonts w:ascii="仿宋" w:hAnsi="仿宋" w:eastAsia="仿宋"/>
          <w:b/>
          <w:bCs/>
          <w:color w:val="000000" w:themeColor="text1"/>
          <w:highlight w:val="none"/>
          <w:lang w:eastAsia="zh-CN"/>
          <w14:textFill>
            <w14:solidFill>
              <w14:schemeClr w14:val="tx1"/>
            </w14:solidFill>
          </w14:textFill>
        </w:rPr>
      </w:pPr>
      <w:bookmarkStart w:id="355" w:name="_Toc32034"/>
      <w:r>
        <w:rPr>
          <w:rFonts w:hint="eastAsia" w:ascii="仿宋" w:hAnsi="仿宋" w:eastAsia="仿宋" w:cs="仿宋"/>
          <w:b/>
          <w:bCs/>
          <w:color w:val="000000" w:themeColor="text1"/>
          <w:highlight w:val="none"/>
          <w:lang w:eastAsia="zh-CN"/>
          <w14:textFill>
            <w14:solidFill>
              <w14:schemeClr w14:val="tx1"/>
            </w14:solidFill>
          </w14:textFill>
        </w:rPr>
        <w:t>62</w:t>
      </w:r>
      <w:r>
        <w:rPr>
          <w:rFonts w:ascii="仿宋" w:hAnsi="仿宋" w:eastAsia="仿宋" w:cs="仿宋"/>
          <w:b/>
          <w:bCs/>
          <w:color w:val="000000" w:themeColor="text1"/>
          <w:highlight w:val="none"/>
          <w:lang w:eastAsia="zh-CN"/>
          <w14:textFill>
            <w14:solidFill>
              <w14:schemeClr w14:val="tx1"/>
            </w14:solidFill>
          </w14:textFill>
        </w:rPr>
        <w:t>.1</w:t>
      </w:r>
      <w:bookmarkEnd w:id="355"/>
    </w:p>
    <w:p w14:paraId="025EE351">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13C561E0">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13C561E0">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按照合同约定需要试车的，试车的内容应与承包人承包的安装范围相一致。</w:t>
      </w:r>
    </w:p>
    <w:p w14:paraId="0D433A93">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56" w:name="_Toc28883"/>
      <w:r>
        <w:rPr>
          <w:rFonts w:hint="eastAsia" w:ascii="仿宋" w:hAnsi="仿宋" w:eastAsia="仿宋" w:cs="仿宋"/>
          <w:b/>
          <w:bCs/>
          <w:color w:val="000000" w:themeColor="text1"/>
          <w:highlight w:val="none"/>
          <w:lang w:eastAsia="zh-CN"/>
          <w14:textFill>
            <w14:solidFill>
              <w14:schemeClr w14:val="tx1"/>
            </w14:solidFill>
          </w14:textFill>
        </w:rPr>
        <w:t>62</w:t>
      </w:r>
      <w:r>
        <w:rPr>
          <w:rFonts w:ascii="仿宋" w:hAnsi="仿宋" w:eastAsia="仿宋" w:cs="仿宋"/>
          <w:b/>
          <w:bCs/>
          <w:color w:val="000000" w:themeColor="text1"/>
          <w:highlight w:val="none"/>
          <w:lang w:eastAsia="zh-CN"/>
          <w14:textFill>
            <w14:solidFill>
              <w14:schemeClr w14:val="tx1"/>
            </w14:solidFill>
          </w14:textFill>
        </w:rPr>
        <w:t>.2</w:t>
      </w:r>
      <w:bookmarkEnd w:id="356"/>
    </w:p>
    <w:p w14:paraId="672AC9F5">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发包人应为承包人试车提供便利和协助</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7A1CD2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7A1CD2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，设备安装工程具备单机无负荷试车条件时，承包人应组织试车，并在试车前</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小时以书面形式通知监理人。通知包括试车内容、时间和地点。承包人应自行准备试车记录。</w:t>
      </w:r>
    </w:p>
    <w:p w14:paraId="6F92A172">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监理人不能按时参加试车的，应在开始试车前至少提前</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小时发出延期试车指令并书面说明理由，延期不能超过</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小时。监理人未发出延期试车指令也未能按时参加试车的，承包人可自行试车，并认为试车是经监理人同意下完成的。试车完成后，承包人应立即向监理人提交试车记录，监理人应予认可。</w:t>
      </w:r>
    </w:p>
    <w:p w14:paraId="67488115">
      <w:pPr>
        <w:spacing w:line="360" w:lineRule="auto"/>
        <w:rPr>
          <w:rFonts w:ascii="仿宋" w:hAnsi="仿宋" w:eastAsia="仿宋" w:cs="仿宋"/>
          <w:color w:val="000000" w:themeColor="text1"/>
          <w:highlight w:val="none"/>
          <w:u w:val="dotted"/>
          <w:lang w:eastAsia="zh-CN"/>
          <w14:textFill>
            <w14:solidFill>
              <w14:schemeClr w14:val="tx1"/>
            </w14:solidFill>
          </w14:textFill>
        </w:rPr>
      </w:pPr>
      <w:bookmarkStart w:id="357" w:name="_Toc18884"/>
      <w:r>
        <w:rPr>
          <w:rFonts w:hint="eastAsia" w:ascii="仿宋" w:hAnsi="仿宋" w:eastAsia="仿宋" w:cs="仿宋"/>
          <w:b/>
          <w:bCs/>
          <w:color w:val="000000" w:themeColor="text1"/>
          <w:highlight w:val="none"/>
          <w:lang w:eastAsia="zh-CN"/>
          <w14:textFill>
            <w14:solidFill>
              <w14:schemeClr w14:val="tx1"/>
            </w14:solidFill>
          </w14:textFill>
        </w:rPr>
        <w:t>62</w:t>
      </w:r>
      <w:r>
        <w:rPr>
          <w:rFonts w:ascii="仿宋" w:hAnsi="仿宋" w:eastAsia="仿宋" w:cs="仿宋"/>
          <w:b/>
          <w:bCs/>
          <w:color w:val="000000" w:themeColor="text1"/>
          <w:highlight w:val="none"/>
          <w:lang w:eastAsia="zh-CN"/>
          <w14:textFill>
            <w14:solidFill>
              <w14:schemeClr w14:val="tx1"/>
            </w14:solidFill>
          </w14:textFill>
        </w:rPr>
        <w:t>.3</w:t>
      </w:r>
      <w:bookmarkEnd w:id="357"/>
    </w:p>
    <w:p w14:paraId="638CE768">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1E3C43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1E3C43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单机试车合格，监理工程师应在试车记录上签字，承包人可继续施工或申请办理竣工验收手续。单机试车合格</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小时后，监理工程师仍不在试车记录上签字的，视为监理工程师已认可试车记录。</w:t>
      </w:r>
    </w:p>
    <w:p w14:paraId="2F966663">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58" w:name="_Toc13716"/>
      <w:r>
        <w:rPr>
          <w:rFonts w:hint="eastAsia" w:ascii="仿宋" w:hAnsi="仿宋" w:eastAsia="仿宋" w:cs="仿宋"/>
          <w:b/>
          <w:bCs/>
          <w:color w:val="000000" w:themeColor="text1"/>
          <w:highlight w:val="none"/>
          <w:lang w:eastAsia="zh-CN"/>
          <w14:textFill>
            <w14:solidFill>
              <w14:schemeClr w14:val="tx1"/>
            </w14:solidFill>
          </w14:textFill>
        </w:rPr>
        <w:t>62</w:t>
      </w:r>
      <w:r>
        <w:rPr>
          <w:rFonts w:ascii="仿宋" w:hAnsi="仿宋" w:eastAsia="仿宋" w:cs="仿宋"/>
          <w:b/>
          <w:bCs/>
          <w:color w:val="000000" w:themeColor="text1"/>
          <w:highlight w:val="none"/>
          <w:lang w:eastAsia="zh-CN"/>
          <w14:textFill>
            <w14:solidFill>
              <w14:schemeClr w14:val="tx1"/>
            </w14:solidFill>
          </w14:textFill>
        </w:rPr>
        <w:t>.4</w:t>
      </w:r>
      <w:bookmarkEnd w:id="358"/>
    </w:p>
    <w:p w14:paraId="37E2A321">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2CA6801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2CA6801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设备安装工程具备联动无负荷试车条件时，发包人应组织试车，并在试车前</w:t>
      </w:r>
      <w:r>
        <w:rPr>
          <w:rFonts w:ascii="仿宋" w:hAnsi="仿宋" w:eastAsia="仿宋" w:cs="仿宋"/>
          <w:color w:val="000000" w:themeColor="text1"/>
          <w:highlight w:val="none"/>
          <w:lang w:eastAsia="zh-CN"/>
          <w14:textFill>
            <w14:solidFill>
              <w14:schemeClr w14:val="tx1"/>
            </w14:solidFill>
          </w14:textFill>
        </w:rPr>
        <w:t>48</w:t>
      </w:r>
      <w:r>
        <w:rPr>
          <w:rFonts w:hint="eastAsia" w:ascii="仿宋" w:hAnsi="仿宋" w:eastAsia="仿宋" w:cs="仿宋"/>
          <w:color w:val="000000" w:themeColor="text1"/>
          <w:highlight w:val="none"/>
          <w:lang w:eastAsia="zh-CN"/>
          <w14:textFill>
            <w14:solidFill>
              <w14:schemeClr w14:val="tx1"/>
            </w14:solidFill>
          </w14:textFill>
        </w:rPr>
        <w:t>小时以书面形式通知承包人。通知包括试车内容、时间、地点和对承包人的要求，承包人应按照要求做好准备工作。试车合格，合同双方当事人均应在试车记录上签字。</w:t>
      </w:r>
    </w:p>
    <w:p w14:paraId="0C99078D">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59" w:name="_Toc5680"/>
      <w:r>
        <w:rPr>
          <w:rFonts w:hint="eastAsia" w:ascii="仿宋" w:hAnsi="仿宋" w:eastAsia="仿宋" w:cs="仿宋"/>
          <w:b/>
          <w:bCs/>
          <w:color w:val="000000" w:themeColor="text1"/>
          <w:highlight w:val="none"/>
          <w:lang w:eastAsia="zh-CN"/>
          <w14:textFill>
            <w14:solidFill>
              <w14:schemeClr w14:val="tx1"/>
            </w14:solidFill>
          </w14:textFill>
        </w:rPr>
        <w:t>62</w:t>
      </w:r>
      <w:r>
        <w:rPr>
          <w:rFonts w:ascii="仿宋" w:hAnsi="仿宋" w:eastAsia="仿宋" w:cs="仿宋"/>
          <w:b/>
          <w:bCs/>
          <w:color w:val="000000" w:themeColor="text1"/>
          <w:highlight w:val="none"/>
          <w:lang w:eastAsia="zh-CN"/>
          <w14:textFill>
            <w14:solidFill>
              <w14:schemeClr w14:val="tx1"/>
            </w14:solidFill>
          </w14:textFill>
        </w:rPr>
        <w:t>.5</w:t>
      </w:r>
      <w:bookmarkEnd w:id="359"/>
    </w:p>
    <w:p w14:paraId="65C3688A">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68C179A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68C179A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试车费用，除已含在合同价格外，由发包人承担。试车达不到验收要求的，按照下列约定处理：</w:t>
      </w:r>
    </w:p>
    <w:p w14:paraId="148E5871">
      <w:pPr>
        <w:widowControl w:val="0"/>
        <w:numPr>
          <w:ilvl w:val="0"/>
          <w:numId w:val="13"/>
        </w:numPr>
        <w:tabs>
          <w:tab w:val="left" w:pos="1080"/>
          <w:tab w:val="left" w:pos="1620"/>
        </w:tabs>
        <w:adjustRightInd w:val="0"/>
        <w:snapToGrid w:val="0"/>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由于设计原因试车达不到验收要求，发包人应要求设计人修改设计，承包人按照修改后的设计重新安装。发包人承担修改设计、拆除及重新安装的全部费用和延误的工期。</w:t>
      </w:r>
    </w:p>
    <w:p w14:paraId="33E3A684">
      <w:pPr>
        <w:widowControl w:val="0"/>
        <w:numPr>
          <w:ilvl w:val="0"/>
          <w:numId w:val="13"/>
        </w:numPr>
        <w:tabs>
          <w:tab w:val="left" w:pos="1080"/>
          <w:tab w:val="left" w:pos="1620"/>
        </w:tabs>
        <w:adjustRightInd w:val="0"/>
        <w:snapToGrid w:val="0"/>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3F77EA06">
      <w:pPr>
        <w:widowControl w:val="0"/>
        <w:numPr>
          <w:ilvl w:val="0"/>
          <w:numId w:val="13"/>
        </w:numPr>
        <w:tabs>
          <w:tab w:val="left" w:pos="1080"/>
          <w:tab w:val="left" w:pos="1620"/>
        </w:tabs>
        <w:adjustRightInd w:val="0"/>
        <w:snapToGrid w:val="0"/>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由于承包人施工原因试车达不到验收要求，承包人应按照监理人要求重新安装和试车，并承担拆除、重新安装和重新试车的费用和延误的工期。</w:t>
      </w:r>
    </w:p>
    <w:p w14:paraId="7659BA5F">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60" w:name="_Toc12391"/>
      <w:r>
        <w:rPr>
          <w:rFonts w:hint="eastAsia" w:ascii="仿宋" w:hAnsi="仿宋" w:eastAsia="仿宋" w:cs="仿宋"/>
          <w:b/>
          <w:bCs/>
          <w:color w:val="000000" w:themeColor="text1"/>
          <w:highlight w:val="none"/>
          <w:lang w:eastAsia="zh-CN"/>
          <w14:textFill>
            <w14:solidFill>
              <w14:schemeClr w14:val="tx1"/>
            </w14:solidFill>
          </w14:textFill>
        </w:rPr>
        <w:t>62</w:t>
      </w:r>
      <w:r>
        <w:rPr>
          <w:rFonts w:ascii="仿宋" w:hAnsi="仿宋" w:eastAsia="仿宋" w:cs="仿宋"/>
          <w:b/>
          <w:bCs/>
          <w:color w:val="000000" w:themeColor="text1"/>
          <w:highlight w:val="none"/>
          <w:lang w:eastAsia="zh-CN"/>
          <w14:textFill>
            <w14:solidFill>
              <w14:schemeClr w14:val="tx1"/>
            </w14:solidFill>
          </w14:textFill>
        </w:rPr>
        <w:t>.6</w:t>
      </w:r>
      <w:bookmarkEnd w:id="360"/>
    </w:p>
    <w:p w14:paraId="6B4FD8AD">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1F13621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1F136213">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投料试车应在永久工程竣工验收后，由发包人负责。如果发包人要求在永久工程竣工验收前进行试车或需要承包人配合时，应事先取得承包人同意，并另行签订补充协议。</w:t>
      </w:r>
    </w:p>
    <w:p w14:paraId="713862F3">
      <w:pPr>
        <w:pStyle w:val="20"/>
        <w:adjustRightInd w:val="0"/>
        <w:snapToGrid w:val="0"/>
        <w:spacing w:line="360" w:lineRule="auto"/>
        <w:ind w:firstLine="0"/>
        <w:rPr>
          <w:rFonts w:ascii="仿宋" w:hAnsi="仿宋" w:eastAsia="仿宋" w:cs="仿宋"/>
          <w:b/>
          <w:bCs/>
          <w:color w:val="000000" w:themeColor="text1"/>
          <w:highlight w:val="none"/>
          <w:u w:val="single"/>
          <w:lang w:eastAsia="zh-CN"/>
          <w14:textFill>
            <w14:solidFill>
              <w14:schemeClr w14:val="tx1"/>
            </w14:solidFill>
          </w14:textFill>
        </w:rPr>
      </w:pPr>
    </w:p>
    <w:p w14:paraId="1B38F918">
      <w:pPr>
        <w:pStyle w:val="5"/>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61" w:name="_Toc9639"/>
      <w:bookmarkStart w:id="362" w:name="_Toc149731498"/>
      <w:r>
        <w:rPr>
          <w:rFonts w:hint="eastAsia" w:ascii="仿宋" w:hAnsi="仿宋" w:eastAsia="仿宋" w:cs="仿宋"/>
          <w:bCs w:val="0"/>
          <w:color w:val="000000" w:themeColor="text1"/>
          <w:sz w:val="24"/>
          <w:szCs w:val="24"/>
          <w:highlight w:val="none"/>
          <w:lang w:eastAsia="zh-CN"/>
          <w14:textFill>
            <w14:solidFill>
              <w14:schemeClr w14:val="tx1"/>
            </w14:solidFill>
          </w14:textFill>
        </w:rPr>
        <w:t>★63工程变更</w:t>
      </w:r>
      <w:bookmarkEnd w:id="361"/>
      <w:bookmarkEnd w:id="362"/>
    </w:p>
    <w:p w14:paraId="73B8C816">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63</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12E0E0F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14C46A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14C46A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合同履行期间，经发包人批准，监理人可按照第63</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款约定的变更程序向承包人发出变更指令，承包人应按照合同约定实施变更工作。</w:t>
      </w:r>
    </w:p>
    <w:p w14:paraId="5822353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没有经发包人批准也没有监理人的工程变更指令，承包人应按照合同约定施工，无权对合同工程作出任何变更。</w:t>
      </w:r>
    </w:p>
    <w:p w14:paraId="3360A3F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工程量偏差不属于工程变更，该项工程量增减不需要任何指令。</w:t>
      </w:r>
    </w:p>
    <w:p w14:paraId="1D7F6040">
      <w:pPr>
        <w:pStyle w:val="40"/>
        <w:adjustRightInd w:val="0"/>
        <w:snapToGrid w:val="0"/>
        <w:spacing w:line="360" w:lineRule="auto"/>
        <w:rPr>
          <w:rFonts w:ascii="仿宋" w:hAnsi="仿宋" w:eastAsia="仿宋" w:cs="仿宋"/>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3C0103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3C0103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63</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3A9C341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合同履行期间，对比经发包</w:t>
      </w:r>
      <w:r>
        <w:rPr>
          <w:rFonts w:ascii="仿宋" w:hAnsi="仿宋" w:eastAsia="仿宋" w:cs="仿宋"/>
          <w:color w:val="000000" w:themeColor="text1"/>
          <w:sz w:val="24"/>
          <w:szCs w:val="24"/>
          <w:highlight w:val="none"/>
          <w:lang w:eastAsia="zh-CN"/>
          <w14:textFill>
            <w14:solidFill>
              <w14:schemeClr w14:val="tx1"/>
            </w14:solidFill>
          </w14:textFill>
        </w:rPr>
        <w:t>人</w:t>
      </w:r>
      <w:r>
        <w:rPr>
          <w:rFonts w:hint="eastAsia" w:ascii="仿宋" w:hAnsi="仿宋" w:eastAsia="仿宋" w:cs="仿宋"/>
          <w:color w:val="000000" w:themeColor="text1"/>
          <w:sz w:val="24"/>
          <w:szCs w:val="24"/>
          <w:highlight w:val="none"/>
          <w:lang w:eastAsia="zh-CN"/>
          <w14:textFill>
            <w14:solidFill>
              <w14:schemeClr w14:val="tx1"/>
            </w14:solidFill>
          </w14:textFill>
        </w:rPr>
        <w:t>批准的施工图设计文件，发包人可对合同工程或其任何部分的形式、质量或数量作出变更。发生下列情形之一，应按照本条约定进行变更。</w:t>
      </w:r>
    </w:p>
    <w:p w14:paraId="15874314">
      <w:pPr>
        <w:pStyle w:val="40"/>
        <w:widowControl w:val="0"/>
        <w:numPr>
          <w:ilvl w:val="0"/>
          <w:numId w:val="14"/>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改变合同工程中任何工程数量（不含工程量的偏差）；</w:t>
      </w:r>
    </w:p>
    <w:p w14:paraId="01251F40">
      <w:pPr>
        <w:pStyle w:val="40"/>
        <w:widowControl w:val="0"/>
        <w:numPr>
          <w:ilvl w:val="0"/>
          <w:numId w:val="14"/>
        </w:numPr>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删减任何工作，但删减的工作不能转由发包人或其他人实施；</w:t>
      </w:r>
    </w:p>
    <w:p w14:paraId="082C8A95">
      <w:pPr>
        <w:pStyle w:val="40"/>
        <w:widowControl w:val="0"/>
        <w:numPr>
          <w:ilvl w:val="0"/>
          <w:numId w:val="14"/>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改变任何工作内容的性质、质量或其他特征；</w:t>
      </w:r>
    </w:p>
    <w:p w14:paraId="2FCD2FAD">
      <w:pPr>
        <w:pStyle w:val="40"/>
        <w:widowControl w:val="0"/>
        <w:numPr>
          <w:ilvl w:val="0"/>
          <w:numId w:val="14"/>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改变工程任何部分的标高、基线、位置和</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或）尺寸；</w:t>
      </w:r>
    </w:p>
    <w:p w14:paraId="6DAAD201">
      <w:pPr>
        <w:pStyle w:val="40"/>
        <w:widowControl w:val="0"/>
        <w:numPr>
          <w:ilvl w:val="0"/>
          <w:numId w:val="14"/>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为完成永久工程所必需的任何额外工作；</w:t>
      </w:r>
    </w:p>
    <w:p w14:paraId="4D4763DD">
      <w:pPr>
        <w:pStyle w:val="40"/>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但对合同工程工期、质量标准等进行实质性变更的，应在作出变更前，与承包人签订补充协议书，作为本合同的补充文件。</w:t>
      </w:r>
    </w:p>
    <w:p w14:paraId="46CF024E">
      <w:pPr>
        <w:pStyle w:val="40"/>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63</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0E984F31">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19F6A9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19F6A9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合同工程发生变更，合同双方当事人以及设计顾问人、监理人、造价咨询人应遵循下列程序实施工程变更的相关工作。</w:t>
      </w:r>
    </w:p>
    <w:p w14:paraId="0422D103">
      <w:pPr>
        <w:pStyle w:val="40"/>
        <w:widowControl w:val="0"/>
        <w:numPr>
          <w:ilvl w:val="0"/>
          <w:numId w:val="15"/>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合同工程可能发生或发生工程变更时，监理人或承包人可依据下列情况及时提出。</w:t>
      </w:r>
    </w:p>
    <w:p w14:paraId="46B91B2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 合同工程可能发生第63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款所列情形的，监理人可向承包人发出变更意向书，明确发包人要求和采用的标准规范等资料。承包人应在收到变更意向书后的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天内，向监理人书面提交包括拟实施变更工作的计划、措施、竣工时间、修改内容、变更图纸和所需金额等在内的实施方案。发包人应在收到实施方案后的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天内予以答复 。</w:t>
      </w:r>
    </w:p>
    <w:p w14:paraId="4652C64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②同意承包人提交的实施方案的，监理人应至少提前</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天以书面形式向承包人发出变更指令，明确发包人要求和采用的标准规范等资料，及批准的实施方案。</w:t>
      </w:r>
    </w:p>
    <w:p w14:paraId="708DBDAD">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③ 若承包人收到监理人的变更意向书后认为难以实施此项变更的，应立即通知监理人，说明原因并附详细依据。监理人与合同双方当事人协商后确定撤销、改变或不改变原变更意向书。</w:t>
      </w:r>
    </w:p>
    <w:p w14:paraId="08B289EA">
      <w:pPr>
        <w:pStyle w:val="40"/>
        <w:widowControl w:val="0"/>
        <w:numPr>
          <w:ilvl w:val="0"/>
          <w:numId w:val="15"/>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承包人应在收到监理人发出变更指令或变更意向书后的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天内，向发包人提交工程变更报告，并抄送监理人、造价咨询人。报告内容应包括变更原因、根据第79条约定详细开列变更工作的价格组成和依据，并附变更的施工设计图纸及其相关说明。</w:t>
      </w:r>
    </w:p>
    <w:p w14:paraId="4461976C">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变更工作影响工期的，承包人应提出调整工期的要求。发包人认为有必要时，可要求承包人提交提前或者延长工期的施工进度计划或相应施工措施等资料。</w:t>
      </w:r>
    </w:p>
    <w:p w14:paraId="6EFAD3A9">
      <w:pPr>
        <w:pStyle w:val="40"/>
        <w:widowControl w:val="0"/>
        <w:numPr>
          <w:ilvl w:val="0"/>
          <w:numId w:val="15"/>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发包人在收到承包人工程变更报告后，应通知监理人、造价咨询人及时对报告内容予以核实，并在收到报告后的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天内予以确定或提出修改意见。发包人在收到承包人工程变更报告后的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天内未确定也未提出修改意见的，视为承包人提交的工程变更报告已被认可。</w:t>
      </w:r>
    </w:p>
    <w:p w14:paraId="2796FAE6">
      <w:pPr>
        <w:pStyle w:val="40"/>
        <w:widowControl w:val="0"/>
        <w:numPr>
          <w:ilvl w:val="0"/>
          <w:numId w:val="15"/>
        </w:numPr>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承包人应在发包人确定工程变更报告后的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天内，按照监理人发出的变更指令及时组织实施变更工作。否则，由此引起的损失和（或）延误的工期由承包人承担。</w:t>
      </w:r>
    </w:p>
    <w:p w14:paraId="662410CF">
      <w:pPr>
        <w:pStyle w:val="40"/>
        <w:widowControl w:val="0"/>
        <w:numPr>
          <w:ilvl w:val="0"/>
          <w:numId w:val="15"/>
        </w:numPr>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工程变更技术审核：合同工程发生第63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款所列情形，监理人在批准或指示工程变更前，其变更图纸（若有）应先通过设计顾问人的技术审核。</w:t>
      </w:r>
    </w:p>
    <w:p w14:paraId="10A5CB70">
      <w:pPr>
        <w:pStyle w:val="40"/>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63</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437A534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0D6C59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0D6C59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款约定向承包人发出变更指令。</w:t>
      </w:r>
    </w:p>
    <w:p w14:paraId="46DA224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发包人采纳承包人的建议，给发包人带来降低合同价格、缩短工期或产生显著工程经济效益等利益的，发包人应按照国家有关规定并在专用条款中约定的计算方法予以奖励。</w:t>
      </w:r>
    </w:p>
    <w:p w14:paraId="396233A5">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63</w:t>
      </w:r>
      <w:r>
        <w:rPr>
          <w:rFonts w:ascii="仿宋" w:hAnsi="仿宋" w:eastAsia="仿宋" w:cs="仿宋"/>
          <w:b/>
          <w:bCs/>
          <w:color w:val="000000" w:themeColor="text1"/>
          <w:highlight w:val="none"/>
          <w:lang w:eastAsia="zh-CN"/>
          <w14:textFill>
            <w14:solidFill>
              <w14:schemeClr w14:val="tx1"/>
            </w14:solidFill>
          </w14:textFill>
        </w:rPr>
        <w:t xml:space="preserve">.5  </w:t>
      </w:r>
    </w:p>
    <w:p w14:paraId="076414B7">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116FF6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116FF6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工程变更不应使合同作废或无效。</w:t>
      </w:r>
    </w:p>
    <w:p w14:paraId="257B66CE">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0A23BAC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（1）为了便于组织施工而采取的技术措施变更或临时工程变更；</w:t>
      </w:r>
    </w:p>
    <w:p w14:paraId="17C0A116">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）为了施工安全、避免干扰等原因而采取的技术措施变更或临时工程变更；</w:t>
      </w:r>
    </w:p>
    <w:p w14:paraId="53F07F17">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（3）因承包人违约、过错或承包人引起的其他变更。</w:t>
      </w:r>
    </w:p>
    <w:p w14:paraId="4C4874BD">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12B35945">
      <w:pPr>
        <w:pStyle w:val="5"/>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63" w:name="_Toc29931"/>
      <w:bookmarkStart w:id="364" w:name="_Toc149731499"/>
      <w:r>
        <w:rPr>
          <w:rFonts w:hint="eastAsia" w:ascii="仿宋" w:hAnsi="仿宋" w:eastAsia="仿宋" w:cs="仿宋"/>
          <w:bCs w:val="0"/>
          <w:color w:val="000000" w:themeColor="text1"/>
          <w:sz w:val="24"/>
          <w:szCs w:val="24"/>
          <w:highlight w:val="none"/>
          <w:lang w:eastAsia="zh-CN"/>
          <w14:textFill>
            <w14:solidFill>
              <w14:schemeClr w14:val="tx1"/>
            </w14:solidFill>
          </w14:textFill>
        </w:rPr>
        <w:t>64竣工验收条件</w:t>
      </w:r>
      <w:bookmarkEnd w:id="363"/>
      <w:bookmarkEnd w:id="364"/>
    </w:p>
    <w:p w14:paraId="0574610B">
      <w:pPr>
        <w:pStyle w:val="20"/>
        <w:adjustRightInd w:val="0"/>
        <w:snapToGrid w:val="0"/>
        <w:spacing w:line="360" w:lineRule="auto"/>
        <w:ind w:firstLine="0"/>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64</w:t>
      </w:r>
      <w:r>
        <w:rPr>
          <w:rFonts w:ascii="仿宋" w:hAnsi="仿宋" w:eastAsia="仿宋" w:cs="仿宋"/>
          <w:b/>
          <w:bCs/>
          <w:color w:val="000000" w:themeColor="text1"/>
          <w:highlight w:val="none"/>
          <w:lang w:eastAsia="zh-CN"/>
          <w14:textFill>
            <w14:solidFill>
              <w14:schemeClr w14:val="tx1"/>
            </w14:solidFill>
          </w14:textFill>
        </w:rPr>
        <w:t>.1</w:t>
      </w:r>
    </w:p>
    <w:p w14:paraId="5CBBA694">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51830A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51830A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承包人实施、完成合同工程的全部工作内容，经自检评定并符合下列条件的，则认为合同工程已具备竣工验收条件。</w:t>
      </w:r>
    </w:p>
    <w:p w14:paraId="25F275D3">
      <w:pPr>
        <w:widowControl w:val="0"/>
        <w:numPr>
          <w:ilvl w:val="0"/>
          <w:numId w:val="1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除监理人同意列入缺陷责任期内完成的尾工（甩项）工程和缺陷修补工作外，包括合同约定的试验、检验和验收等工作在内的合同范围内全部工作均已完成，并符合施工设计图纸和合同约定的要求；</w:t>
      </w:r>
    </w:p>
    <w:p w14:paraId="619EF55E">
      <w:pPr>
        <w:widowControl w:val="0"/>
        <w:numPr>
          <w:ilvl w:val="0"/>
          <w:numId w:val="1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已按照合同约定的内容和份数备齐了符合国家或行业、省要求的竣工资料（质量控制资料等）；</w:t>
      </w:r>
    </w:p>
    <w:p w14:paraId="2A380F8F">
      <w:pPr>
        <w:widowControl w:val="0"/>
        <w:numPr>
          <w:ilvl w:val="0"/>
          <w:numId w:val="1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已按照监理人的指令编制了在缺陷责任期内完成的尾工（甩项）工程和缺陷修补工作清单，以及相应的实施计划；</w:t>
      </w:r>
    </w:p>
    <w:p w14:paraId="43B9B6D1">
      <w:pPr>
        <w:widowControl w:val="0"/>
        <w:numPr>
          <w:ilvl w:val="0"/>
          <w:numId w:val="1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监理人要求在竣工验收前应完成的其他工作：</w:t>
      </w:r>
    </w:p>
    <w:p w14:paraId="46A74FE9">
      <w:pPr>
        <w:widowControl w:val="0"/>
        <w:numPr>
          <w:ilvl w:val="0"/>
          <w:numId w:val="16"/>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监理人要求提交的竣工验收资料清单；</w:t>
      </w:r>
    </w:p>
    <w:p w14:paraId="1BB16B46">
      <w:pPr>
        <w:widowControl w:val="0"/>
        <w:numPr>
          <w:ilvl w:val="0"/>
          <w:numId w:val="16"/>
        </w:numPr>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竣工资料应当符合国家或行业、省关于基本建设项目档案资料管理的有关规定；发包人对基本建设项目档案资料管理有具体要求的，由合同双方在专用条款中约定。</w:t>
      </w:r>
    </w:p>
    <w:p w14:paraId="006D16CE">
      <w:pPr>
        <w:spacing w:line="360" w:lineRule="auto"/>
        <w:rPr>
          <w:rFonts w:ascii="仿宋" w:hAnsi="仿宋" w:eastAsia="仿宋"/>
          <w:color w:val="000000" w:themeColor="text1"/>
          <w:highlight w:val="none"/>
          <w:lang w:eastAsia="zh-CN"/>
          <w14:textFill>
            <w14:solidFill>
              <w14:schemeClr w14:val="tx1"/>
            </w14:solidFill>
          </w14:textFill>
        </w:rPr>
      </w:pPr>
      <w:bookmarkStart w:id="365" w:name="_Toc9505"/>
      <w:r>
        <w:rPr>
          <w:rFonts w:hint="eastAsia" w:ascii="仿宋" w:hAnsi="仿宋" w:eastAsia="仿宋" w:cs="仿宋"/>
          <w:b/>
          <w:bCs/>
          <w:color w:val="000000" w:themeColor="text1"/>
          <w:highlight w:val="none"/>
          <w:lang w:eastAsia="zh-CN"/>
          <w14:textFill>
            <w14:solidFill>
              <w14:schemeClr w14:val="tx1"/>
            </w14:solidFill>
          </w14:textFill>
        </w:rPr>
        <w:t>64</w:t>
      </w:r>
      <w:r>
        <w:rPr>
          <w:rFonts w:ascii="仿宋" w:hAnsi="仿宋" w:eastAsia="仿宋" w:cs="仿宋"/>
          <w:b/>
          <w:bCs/>
          <w:color w:val="000000" w:themeColor="text1"/>
          <w:highlight w:val="none"/>
          <w:lang w:eastAsia="zh-CN"/>
          <w14:textFill>
            <w14:solidFill>
              <w14:schemeClr w14:val="tx1"/>
            </w14:solidFill>
          </w14:textFill>
        </w:rPr>
        <w:t>.2</w:t>
      </w:r>
      <w:bookmarkEnd w:id="365"/>
    </w:p>
    <w:p w14:paraId="74107D0D">
      <w:pPr>
        <w:pStyle w:val="20"/>
        <w:widowControl w:val="0"/>
        <w:adjustRightInd w:val="0"/>
        <w:snapToGrid w:val="0"/>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47A3548A">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47A3548A">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379A5FF9">
      <w:pPr>
        <w:spacing w:line="360" w:lineRule="auto"/>
        <w:rPr>
          <w:rFonts w:ascii="仿宋" w:hAnsi="仿宋" w:eastAsia="仿宋"/>
          <w:b/>
          <w:bCs/>
          <w:color w:val="000000" w:themeColor="text1"/>
          <w:highlight w:val="none"/>
          <w:lang w:eastAsia="zh-CN"/>
          <w14:textFill>
            <w14:solidFill>
              <w14:schemeClr w14:val="tx1"/>
            </w14:solidFill>
          </w14:textFill>
        </w:rPr>
      </w:pPr>
      <w:bookmarkStart w:id="366" w:name="_Toc5775"/>
      <w:r>
        <w:rPr>
          <w:rFonts w:hint="eastAsia" w:ascii="仿宋" w:hAnsi="仿宋" w:eastAsia="仿宋" w:cs="仿宋"/>
          <w:b/>
          <w:bCs/>
          <w:color w:val="000000" w:themeColor="text1"/>
          <w:highlight w:val="none"/>
          <w:lang w:eastAsia="zh-CN"/>
          <w14:textFill>
            <w14:solidFill>
              <w14:schemeClr w14:val="tx1"/>
            </w14:solidFill>
          </w14:textFill>
        </w:rPr>
        <w:t>64</w:t>
      </w:r>
      <w:r>
        <w:rPr>
          <w:rFonts w:ascii="仿宋" w:hAnsi="仿宋" w:eastAsia="仿宋" w:cs="仿宋"/>
          <w:b/>
          <w:bCs/>
          <w:color w:val="000000" w:themeColor="text1"/>
          <w:highlight w:val="none"/>
          <w:lang w:eastAsia="zh-CN"/>
          <w14:textFill>
            <w14:solidFill>
              <w14:schemeClr w14:val="tx1"/>
            </w14:solidFill>
          </w14:textFill>
        </w:rPr>
        <w:t>.3</w:t>
      </w:r>
      <w:bookmarkEnd w:id="366"/>
    </w:p>
    <w:p w14:paraId="3860A967">
      <w:pPr>
        <w:pStyle w:val="20"/>
        <w:adjustRightInd w:val="0"/>
        <w:snapToGrid w:val="0"/>
        <w:spacing w:line="360" w:lineRule="auto"/>
        <w:ind w:left="1850" w:leftChars="771" w:firstLine="0"/>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6E46DC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6E46DC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如果承包人不按照规定提交竣工资料或提交的资料不符合要求，则认为合同工程尚未具备竣工验收条件。</w:t>
      </w:r>
    </w:p>
    <w:p w14:paraId="6F4F9501">
      <w:pPr>
        <w:adjustRightInd w:val="0"/>
        <w:snapToGrid w:val="0"/>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5B14373B">
      <w:pPr>
        <w:pStyle w:val="5"/>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67" w:name="_Toc149731500"/>
      <w:bookmarkStart w:id="368" w:name="_Toc13027"/>
      <w:r>
        <w:rPr>
          <w:rFonts w:hint="eastAsia" w:ascii="仿宋" w:hAnsi="仿宋" w:eastAsia="仿宋" w:cs="仿宋"/>
          <w:bCs w:val="0"/>
          <w:color w:val="000000" w:themeColor="text1"/>
          <w:sz w:val="24"/>
          <w:szCs w:val="24"/>
          <w:highlight w:val="none"/>
          <w:lang w:eastAsia="zh-CN"/>
          <w14:textFill>
            <w14:solidFill>
              <w14:schemeClr w14:val="tx1"/>
            </w14:solidFill>
          </w14:textFill>
        </w:rPr>
        <w:t>65竣工验收</w:t>
      </w:r>
      <w:bookmarkEnd w:id="367"/>
      <w:bookmarkEnd w:id="368"/>
    </w:p>
    <w:p w14:paraId="3197B39E">
      <w:pPr>
        <w:tabs>
          <w:tab w:val="left" w:pos="1620"/>
        </w:tabs>
        <w:adjustRightInd w:val="0"/>
        <w:snapToGrid w:val="0"/>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42EF44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0192;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42EF44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.1</w:t>
      </w:r>
    </w:p>
    <w:p w14:paraId="23D27E6E">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合同双方当事人应在专用条款中约定合同工程竣工验收标准，但约定的竣工验收标准应符合国家或行业、省的有关规定。</w:t>
      </w:r>
    </w:p>
    <w:p w14:paraId="5D49071E">
      <w:pPr>
        <w:widowControl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合同工程需要进行国家验收的，国家验收是竣工验收的一部分。</w:t>
      </w:r>
    </w:p>
    <w:p w14:paraId="55A2FCD6">
      <w:pPr>
        <w:tabs>
          <w:tab w:val="left" w:pos="1620"/>
        </w:tabs>
        <w:adjustRightInd w:val="0"/>
        <w:snapToGrid w:val="0"/>
        <w:spacing w:line="360" w:lineRule="auto"/>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599D3B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1216;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599D3B7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.2</w:t>
      </w:r>
    </w:p>
    <w:p w14:paraId="68CA9001">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发包人收到承包人按照第64</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款约定提交的竣工验收申请报告后，应及时通知监理人核查合同工程是否具备竣工验收条件。</w:t>
      </w:r>
    </w:p>
    <w:p w14:paraId="3E0376A4">
      <w:pPr>
        <w:widowControl w:val="0"/>
        <w:numPr>
          <w:ilvl w:val="0"/>
          <w:numId w:val="17"/>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经核查未具备竣工验收条件的，监理人应在收到竣工验收申请报告后的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25EB4A38">
      <w:pPr>
        <w:widowControl w:val="0"/>
        <w:numPr>
          <w:ilvl w:val="0"/>
          <w:numId w:val="17"/>
        </w:numPr>
        <w:spacing w:line="360" w:lineRule="auto"/>
        <w:ind w:left="1850" w:leftChars="771" w:firstLine="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经核查已具备竣工验收条件的，监理人应在收到竣工验收申请报告后的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天内书面提请发包人组织合同工程验收。</w:t>
      </w:r>
    </w:p>
    <w:p w14:paraId="4E8B1B9D">
      <w:pPr>
        <w:spacing w:line="360" w:lineRule="auto"/>
        <w:rPr>
          <w:rFonts w:ascii="仿宋" w:hAnsi="仿宋" w:eastAsia="仿宋"/>
          <w:b/>
          <w:bCs/>
          <w:color w:val="000000" w:themeColor="text1"/>
          <w:highlight w:val="none"/>
          <w:lang w:eastAsia="zh-CN"/>
          <w14:textFill>
            <w14:solidFill>
              <w14:schemeClr w14:val="tx1"/>
            </w14:solidFill>
          </w14:textFill>
        </w:rPr>
      </w:pPr>
      <w:bookmarkStart w:id="369" w:name="_Toc5023"/>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66B5FF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2240;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66B5FF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.3</w:t>
      </w:r>
      <w:bookmarkEnd w:id="369"/>
    </w:p>
    <w:p w14:paraId="49AF24A2">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经监理人按照第65</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款约定核查合同工程已具备竣工验收条件的，发包人应在收到监理人书面提请后的</w:t>
      </w:r>
      <w:r>
        <w:rPr>
          <w:rFonts w:ascii="仿宋" w:hAnsi="仿宋" w:eastAsia="仿宋" w:cs="仿宋"/>
          <w:color w:val="000000" w:themeColor="text1"/>
          <w:highlight w:val="none"/>
          <w:lang w:eastAsia="zh-CN"/>
          <w14:textFill>
            <w14:solidFill>
              <w14:schemeClr w14:val="tx1"/>
            </w14:solidFill>
          </w14:textFill>
        </w:rPr>
        <w:t>28</w:t>
      </w:r>
      <w:r>
        <w:rPr>
          <w:rFonts w:hint="eastAsia" w:ascii="仿宋" w:hAnsi="仿宋" w:eastAsia="仿宋" w:cs="仿宋"/>
          <w:color w:val="000000" w:themeColor="text1"/>
          <w:highlight w:val="none"/>
          <w:lang w:eastAsia="zh-CN"/>
          <w14:textFill>
            <w14:solidFill>
              <w14:schemeClr w14:val="tx1"/>
            </w14:solidFill>
          </w14:textFill>
        </w:rPr>
        <w:t>天内，根据合同约定的竣工验收标准和施工设计图纸等文件，按照第22</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款约定组织验收各方完成合同工程验收，并在竣工验收后</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天内予以确认或提出修改意见。</w:t>
      </w:r>
    </w:p>
    <w:p w14:paraId="5F1D4972">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竣工验收完成后，承包人应及时向发包人提交竣工验收记录。竣工验收合格的，发包人及参加验收各方应及时在竣工验收记录上签字，并由监理人会同参加验收各方形成合同工程竣工验收报告。</w:t>
      </w:r>
    </w:p>
    <w:p w14:paraId="01977827">
      <w:pPr>
        <w:spacing w:line="360" w:lineRule="auto"/>
        <w:rPr>
          <w:rFonts w:ascii="仿宋" w:hAnsi="仿宋" w:eastAsia="仿宋"/>
          <w:color w:val="000000" w:themeColor="text1"/>
          <w:highlight w:val="none"/>
          <w:lang w:eastAsia="zh-CN"/>
          <w14:textFill>
            <w14:solidFill>
              <w14:schemeClr w14:val="tx1"/>
            </w14:solidFill>
          </w14:textFill>
        </w:rPr>
      </w:pPr>
      <w:bookmarkStart w:id="370" w:name="_Toc32546"/>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.4</w:t>
      </w:r>
      <w:bookmarkEnd w:id="370"/>
    </w:p>
    <w:p w14:paraId="2AE92C90">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11D134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11D1343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发包人未按照第65</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款约定完成合同工程验收，或验收后</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天内未予确认也未提出修改意见，视为承包人提交的竣工验收申请报告已被认可。</w:t>
      </w:r>
    </w:p>
    <w:p w14:paraId="4E5F5339">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竣工验收申请报告被认可，则表明已完成合同工程，视为竣工验收合格，但由于不可抗力事项致使发包人不能完成验收的除外。</w:t>
      </w:r>
    </w:p>
    <w:p w14:paraId="3A089EEA">
      <w:pPr>
        <w:spacing w:line="360" w:lineRule="auto"/>
        <w:rPr>
          <w:rFonts w:ascii="仿宋" w:hAnsi="仿宋" w:eastAsia="仿宋"/>
          <w:b/>
          <w:bCs/>
          <w:color w:val="000000" w:themeColor="text1"/>
          <w:highlight w:val="none"/>
          <w:lang w:eastAsia="zh-CN"/>
          <w14:textFill>
            <w14:solidFill>
              <w14:schemeClr w14:val="tx1"/>
            </w14:solidFill>
          </w14:textFill>
        </w:rPr>
      </w:pPr>
      <w:bookmarkStart w:id="371" w:name="_Toc18131"/>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.5</w:t>
      </w:r>
      <w:bookmarkEnd w:id="371"/>
    </w:p>
    <w:p w14:paraId="77C55A0F">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375F93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375F93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发包人未按照第65</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款约定完成合同工程验收，从收到监理人书面提请组织</w:t>
      </w:r>
      <w:r>
        <w:rPr>
          <w:rFonts w:ascii="仿宋" w:hAnsi="仿宋" w:eastAsia="仿宋" w:cs="仿宋"/>
          <w:color w:val="000000" w:themeColor="text1"/>
          <w:highlight w:val="none"/>
          <w:lang w:eastAsia="zh-CN"/>
          <w14:textFill>
            <w14:solidFill>
              <w14:schemeClr w14:val="tx1"/>
            </w14:solidFill>
          </w14:textFill>
        </w:rPr>
        <w:t>合同工程验收</w:t>
      </w:r>
      <w:r>
        <w:rPr>
          <w:rFonts w:hint="eastAsia" w:ascii="仿宋" w:hAnsi="仿宋" w:eastAsia="仿宋" w:cs="仿宋"/>
          <w:color w:val="000000" w:themeColor="text1"/>
          <w:highlight w:val="none"/>
          <w:lang w:eastAsia="zh-CN"/>
          <w14:textFill>
            <w14:solidFill>
              <w14:schemeClr w14:val="tx1"/>
            </w14:solidFill>
          </w14:textFill>
        </w:rPr>
        <w:t>后的第</w:t>
      </w:r>
      <w:r>
        <w:rPr>
          <w:rFonts w:ascii="仿宋" w:hAnsi="仿宋" w:eastAsia="仿宋" w:cs="仿宋"/>
          <w:color w:val="000000" w:themeColor="text1"/>
          <w:highlight w:val="none"/>
          <w:lang w:eastAsia="zh-CN"/>
          <w14:textFill>
            <w14:solidFill>
              <w14:schemeClr w14:val="tx1"/>
            </w14:solidFill>
          </w14:textFill>
        </w:rPr>
        <w:t>29</w:t>
      </w:r>
      <w:r>
        <w:rPr>
          <w:rFonts w:hint="eastAsia" w:ascii="仿宋" w:hAnsi="仿宋" w:eastAsia="仿宋" w:cs="仿宋"/>
          <w:color w:val="000000" w:themeColor="text1"/>
          <w:highlight w:val="none"/>
          <w:lang w:eastAsia="zh-CN"/>
          <w14:textFill>
            <w14:solidFill>
              <w14:schemeClr w14:val="tx1"/>
            </w14:solidFill>
          </w14:textFill>
        </w:rPr>
        <w:t>天起承担合同工程照管责任和其他一切意外责任。</w:t>
      </w:r>
    </w:p>
    <w:p w14:paraId="691CF698">
      <w:pPr>
        <w:spacing w:line="360" w:lineRule="auto"/>
        <w:rPr>
          <w:rFonts w:ascii="仿宋" w:hAnsi="仿宋" w:eastAsia="仿宋"/>
          <w:color w:val="000000" w:themeColor="text1"/>
          <w:highlight w:val="none"/>
          <w:lang w:eastAsia="zh-CN"/>
          <w14:textFill>
            <w14:solidFill>
              <w14:schemeClr w14:val="tx1"/>
            </w14:solidFill>
          </w14:textFill>
        </w:rPr>
      </w:pPr>
      <w:bookmarkStart w:id="372" w:name="_Toc11911"/>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.6</w:t>
      </w:r>
      <w:bookmarkEnd w:id="372"/>
    </w:p>
    <w:p w14:paraId="172D1CE2">
      <w:pPr>
        <w:widowControl w:val="0"/>
        <w:spacing w:line="360" w:lineRule="auto"/>
        <w:ind w:left="1851" w:leftChars="771" w:hanging="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竣工</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6F3FB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66F3FB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验收合格的，发包人应接收工程，并在收到承包人提交的竣工验收申请报告后的</w:t>
      </w:r>
      <w:r>
        <w:rPr>
          <w:rFonts w:ascii="仿宋" w:hAnsi="仿宋" w:eastAsia="仿宋" w:cs="仿宋"/>
          <w:color w:val="000000" w:themeColor="text1"/>
          <w:highlight w:val="none"/>
          <w:lang w:eastAsia="zh-CN"/>
          <w14:textFill>
            <w14:solidFill>
              <w14:schemeClr w14:val="tx1"/>
            </w14:solidFill>
          </w14:textFill>
        </w:rPr>
        <w:t>56</w:t>
      </w:r>
      <w:r>
        <w:rPr>
          <w:rFonts w:hint="eastAsia" w:ascii="仿宋" w:hAnsi="仿宋" w:eastAsia="仿宋" w:cs="仿宋"/>
          <w:color w:val="000000" w:themeColor="text1"/>
          <w:highlight w:val="none"/>
          <w:lang w:eastAsia="zh-CN"/>
          <w14:textFill>
            <w14:solidFill>
              <w14:schemeClr w14:val="tx1"/>
            </w14:solidFill>
          </w14:textFill>
        </w:rPr>
        <w:t>天内向承包人颁发工程接收证书。</w:t>
      </w:r>
    </w:p>
    <w:p w14:paraId="38B9C0A6">
      <w:pPr>
        <w:widowControl w:val="0"/>
        <w:spacing w:line="360" w:lineRule="auto"/>
        <w:ind w:left="1851" w:leftChars="771" w:hanging="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竣工验收后，发包人同意接收工程但提出限期整修和完善要求的，发包人应缓发工程接收证书。承包人整修和完善工作完成后，监理人核查达到要求的，发包人应向承包人颁发工程接收证书。</w:t>
      </w:r>
    </w:p>
    <w:p w14:paraId="49208323">
      <w:pPr>
        <w:widowControl w:val="0"/>
        <w:spacing w:line="360" w:lineRule="auto"/>
        <w:ind w:left="1850" w:leftChars="771" w:firstLine="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7F539F97">
      <w:pPr>
        <w:spacing w:line="360" w:lineRule="auto"/>
        <w:rPr>
          <w:rFonts w:ascii="仿宋" w:hAnsi="仿宋" w:eastAsia="仿宋"/>
          <w:b/>
          <w:bCs/>
          <w:color w:val="000000" w:themeColor="text1"/>
          <w:highlight w:val="none"/>
          <w:lang w:eastAsia="zh-CN"/>
          <w14:textFill>
            <w14:solidFill>
              <w14:schemeClr w14:val="tx1"/>
            </w14:solidFill>
          </w14:textFill>
        </w:rPr>
      </w:pPr>
      <w:bookmarkStart w:id="373" w:name="_Toc25288"/>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.7</w:t>
      </w:r>
      <w:bookmarkEnd w:id="373"/>
    </w:p>
    <w:p w14:paraId="461E67CE">
      <w:pPr>
        <w:widowControl w:val="0"/>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036082C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036082C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竣工验收合格的合同工程，发包人应按照第45</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款约定在工程接收证书上写明合同工程的实际竣工日期。</w:t>
      </w:r>
    </w:p>
    <w:p w14:paraId="17811EBC">
      <w:pPr>
        <w:spacing w:line="360" w:lineRule="auto"/>
        <w:rPr>
          <w:rFonts w:ascii="仿宋" w:hAnsi="仿宋" w:eastAsia="仿宋"/>
          <w:b/>
          <w:bCs/>
          <w:color w:val="000000" w:themeColor="text1"/>
          <w:highlight w:val="none"/>
          <w:lang w:eastAsia="zh-CN"/>
          <w14:textFill>
            <w14:solidFill>
              <w14:schemeClr w14:val="tx1"/>
            </w14:solidFill>
          </w14:textFill>
        </w:rPr>
      </w:pPr>
      <w:bookmarkStart w:id="374" w:name="_Toc19674"/>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.8</w:t>
      </w:r>
      <w:bookmarkEnd w:id="374"/>
    </w:p>
    <w:p w14:paraId="4F84BE0E">
      <w:pPr>
        <w:adjustRightInd w:val="0"/>
        <w:snapToGrid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0EBB639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0EBB639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发包人要求某一单项工程或任一工程部位提前办理竣工验收的，应与承包人签订单项工程或工程部位竣工验收协议，作为本合同的附件。</w:t>
      </w:r>
    </w:p>
    <w:p w14:paraId="327BFBEC">
      <w:pPr>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597C6898">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）发包人在全部工程竣工前，使用已接收的单项工程或工程部位导致承包人费用增加的，发包人应承担由此增加的费用和（或）延误的工期，并向承包人支付合理利润。</w:t>
      </w:r>
    </w:p>
    <w:p w14:paraId="14C58396">
      <w:pPr>
        <w:spacing w:line="360" w:lineRule="auto"/>
        <w:rPr>
          <w:rFonts w:ascii="仿宋" w:hAnsi="仿宋" w:eastAsia="仿宋"/>
          <w:b/>
          <w:bCs/>
          <w:color w:val="000000" w:themeColor="text1"/>
          <w:highlight w:val="none"/>
          <w:lang w:eastAsia="zh-CN"/>
          <w14:textFill>
            <w14:solidFill>
              <w14:schemeClr w14:val="tx1"/>
            </w14:solidFill>
          </w14:textFill>
        </w:rPr>
      </w:pPr>
      <w:bookmarkStart w:id="375" w:name="_Toc24398"/>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.9</w:t>
      </w:r>
      <w:bookmarkEnd w:id="375"/>
    </w:p>
    <w:p w14:paraId="7855C85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6B178BE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6B178BEB">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合同工程尚未全部竣工（其中某项或某几项单项工程或工程部位已竣工），根据合同约定需要在施工期间运行的，应由发包人按照第65</w:t>
      </w:r>
      <w:r>
        <w:rPr>
          <w:rFonts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lang w:eastAsia="zh-CN"/>
          <w14:textFill>
            <w14:solidFill>
              <w14:schemeClr w14:val="tx1"/>
            </w14:solidFill>
          </w14:textFill>
        </w:rPr>
        <w:t>款约定验收合格，并确保安全后，才能投入施工期运行。</w:t>
      </w:r>
    </w:p>
    <w:p w14:paraId="0DF389F3">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在施工期运行中，发现单项工程或工程部位存在缺陷或损坏的，由承包人按照第66</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款约定进行修复。</w:t>
      </w:r>
    </w:p>
    <w:p w14:paraId="52FFE8BF">
      <w:pPr>
        <w:spacing w:line="360" w:lineRule="auto"/>
        <w:rPr>
          <w:rFonts w:ascii="仿宋" w:hAnsi="仿宋" w:eastAsia="仿宋"/>
          <w:b/>
          <w:bCs/>
          <w:color w:val="000000" w:themeColor="text1"/>
          <w:highlight w:val="none"/>
          <w:lang w:eastAsia="zh-CN"/>
          <w14:textFill>
            <w14:solidFill>
              <w14:schemeClr w14:val="tx1"/>
            </w14:solidFill>
          </w14:textFill>
        </w:rPr>
      </w:pPr>
      <w:bookmarkStart w:id="376" w:name="_Toc18024"/>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.10</w:t>
      </w:r>
      <w:bookmarkEnd w:id="376"/>
    </w:p>
    <w:p w14:paraId="3E90CD71">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4AD2F1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4AD2F1D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专用条款没有约定的，工程接收证书颁发后，承包人应按照下列要求对施工场地进行清理，直至监理人检验合格为止。竣工清场费用由承包人承担。</w:t>
      </w:r>
    </w:p>
    <w:p w14:paraId="54262AA9">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）施工场地内残留的垃圾已全部清除出场；</w:t>
      </w:r>
    </w:p>
    <w:p w14:paraId="573F8197">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）临时设施已拆除，场地已按照合同约定进行清理、平整或复原；</w:t>
      </w:r>
    </w:p>
    <w:p w14:paraId="3A5B62C9">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）按照合同约定应撤离的承包人施工设备和剩余的工程材料，包括废弃的施工设备和工程材料，已按照计划撤离施工场地；</w:t>
      </w:r>
    </w:p>
    <w:p w14:paraId="5EE9863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）建筑物周边及其附近道路、河道的施工堆积物，已按照监理人指令全部清理；</w:t>
      </w:r>
    </w:p>
    <w:p w14:paraId="3FCE097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）监理人指令的其他场地清理工作已全部完成。</w:t>
      </w:r>
    </w:p>
    <w:p w14:paraId="5E4D601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如承包人未按照监理人的要求恢复临时占地，或者场地清理未达到合同约定的，发包人可自行或委托第三方恢复或清理，所发生的费用从应支付或将支付给承包人的款项中扣除。</w:t>
      </w:r>
    </w:p>
    <w:p w14:paraId="596C07A1">
      <w:pPr>
        <w:spacing w:line="360" w:lineRule="auto"/>
        <w:rPr>
          <w:rFonts w:ascii="仿宋" w:hAnsi="仿宋" w:eastAsia="仿宋"/>
          <w:b/>
          <w:bCs/>
          <w:color w:val="000000" w:themeColor="text1"/>
          <w:highlight w:val="none"/>
          <w:lang w:eastAsia="zh-CN"/>
          <w14:textFill>
            <w14:solidFill>
              <w14:schemeClr w14:val="tx1"/>
            </w14:solidFill>
          </w14:textFill>
        </w:rPr>
      </w:pPr>
      <w:bookmarkStart w:id="377" w:name="_Toc17518"/>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.11</w:t>
      </w:r>
      <w:bookmarkEnd w:id="377"/>
    </w:p>
    <w:p w14:paraId="206D8AF3">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17C7DD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17C7DD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工程接收证书颁发后的</w:t>
      </w:r>
      <w:r>
        <w:rPr>
          <w:rFonts w:ascii="仿宋" w:hAnsi="仿宋" w:eastAsia="仿宋" w:cs="仿宋"/>
          <w:color w:val="000000" w:themeColor="text1"/>
          <w:highlight w:val="none"/>
          <w:lang w:eastAsia="zh-CN"/>
          <w14:textFill>
            <w14:solidFill>
              <w14:schemeClr w14:val="tx1"/>
            </w14:solidFill>
          </w14:textFill>
        </w:rPr>
        <w:t>56</w:t>
      </w:r>
      <w:r>
        <w:rPr>
          <w:rFonts w:hint="eastAsia" w:ascii="仿宋" w:hAnsi="仿宋" w:eastAsia="仿宋" w:cs="仿宋"/>
          <w:color w:val="000000" w:themeColor="text1"/>
          <w:highlight w:val="none"/>
          <w:lang w:eastAsia="zh-CN"/>
          <w14:textFill>
            <w14:solidFill>
              <w14:schemeClr w14:val="tx1"/>
            </w14:solidFill>
          </w14:textFill>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25784F7D">
      <w:pPr>
        <w:spacing w:line="360" w:lineRule="auto"/>
        <w:rPr>
          <w:rFonts w:ascii="仿宋" w:hAnsi="仿宋" w:eastAsia="仿宋" w:cs="仿宋"/>
          <w:color w:val="000000" w:themeColor="text1"/>
          <w:highlight w:val="none"/>
          <w:lang w:eastAsia="zh-CN"/>
          <w14:textFill>
            <w14:solidFill>
              <w14:schemeClr w14:val="tx1"/>
            </w14:solidFill>
          </w14:textFill>
        </w:rPr>
      </w:pPr>
      <w:bookmarkStart w:id="378" w:name="_Toc17486"/>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6151683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32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6151683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.12</w:t>
      </w:r>
      <w:bookmarkEnd w:id="378"/>
    </w:p>
    <w:p w14:paraId="138E45A1">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合同工程未经竣工验收或竣工验收不合格的，发包人不得使用。发包人强行使用的，由此发生的质量问题及其他问题，由发包人承担责任。</w:t>
      </w:r>
    </w:p>
    <w:p w14:paraId="5411F573">
      <w:pPr>
        <w:spacing w:line="360" w:lineRule="auto"/>
        <w:rPr>
          <w:rFonts w:ascii="仿宋" w:hAnsi="仿宋" w:eastAsia="仿宋"/>
          <w:b/>
          <w:bCs/>
          <w:color w:val="000000" w:themeColor="text1"/>
          <w:highlight w:val="none"/>
          <w:lang w:eastAsia="zh-CN"/>
          <w14:textFill>
            <w14:solidFill>
              <w14:schemeClr w14:val="tx1"/>
            </w14:solidFill>
          </w14:textFill>
        </w:rPr>
      </w:pPr>
      <w:bookmarkStart w:id="379" w:name="_Toc23300"/>
      <w:r>
        <w:rPr>
          <w:rFonts w:hint="eastAsia" w:ascii="仿宋" w:hAnsi="仿宋" w:eastAsia="仿宋" w:cs="仿宋"/>
          <w:b/>
          <w:bCs/>
          <w:color w:val="000000" w:themeColor="text1"/>
          <w:highlight w:val="none"/>
          <w:lang w:eastAsia="zh-CN"/>
          <w14:textFill>
            <w14:solidFill>
              <w14:schemeClr w14:val="tx1"/>
            </w14:solidFill>
          </w14:textFill>
        </w:rPr>
        <w:t>65</w:t>
      </w:r>
      <w:r>
        <w:rPr>
          <w:rFonts w:ascii="仿宋" w:hAnsi="仿宋" w:eastAsia="仿宋" w:cs="仿宋"/>
          <w:b/>
          <w:bCs/>
          <w:color w:val="000000" w:themeColor="text1"/>
          <w:highlight w:val="none"/>
          <w:lang w:eastAsia="zh-CN"/>
          <w14:textFill>
            <w14:solidFill>
              <w14:schemeClr w14:val="tx1"/>
            </w14:solidFill>
          </w14:textFill>
        </w:rPr>
        <w:t>.13</w:t>
      </w:r>
      <w:bookmarkEnd w:id="379"/>
    </w:p>
    <w:p w14:paraId="50020CF3">
      <w:pPr>
        <w:pStyle w:val="62"/>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280A50F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280A50F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合同工程竣工验收时发生工程质量争议，经第91</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款约定调解或认定工程质量符合合同约定的，由发包人承担由此增加的费用和（或）延误的工期。</w:t>
      </w:r>
    </w:p>
    <w:p w14:paraId="79B7ADC0">
      <w:pPr>
        <w:adjustRightInd w:val="0"/>
        <w:snapToGrid w:val="0"/>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16919909">
      <w:pPr>
        <w:pStyle w:val="5"/>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80" w:name="_Toc20190"/>
      <w:bookmarkStart w:id="381" w:name="_Toc149731501"/>
      <w:r>
        <w:rPr>
          <w:rFonts w:hint="eastAsia" w:ascii="仿宋" w:hAnsi="仿宋" w:eastAsia="仿宋" w:cs="仿宋"/>
          <w:bCs w:val="0"/>
          <w:color w:val="000000" w:themeColor="text1"/>
          <w:sz w:val="24"/>
          <w:szCs w:val="24"/>
          <w:highlight w:val="none"/>
          <w:lang w:eastAsia="zh-CN"/>
          <w14:textFill>
            <w14:solidFill>
              <w14:schemeClr w14:val="tx1"/>
            </w14:solidFill>
          </w14:textFill>
        </w:rPr>
        <w:t>66缺陷责任与质量保修</w:t>
      </w:r>
      <w:bookmarkEnd w:id="380"/>
      <w:bookmarkEnd w:id="381"/>
    </w:p>
    <w:p w14:paraId="6AA8B287">
      <w:pPr>
        <w:adjustRightInd w:val="0"/>
        <w:snapToGrid w:val="0"/>
        <w:spacing w:line="360" w:lineRule="auto"/>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3FC9E0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EA5030D">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428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3FC9E0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EA5030D">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.1</w:t>
      </w:r>
    </w:p>
    <w:p w14:paraId="64D5D116">
      <w:pPr>
        <w:pStyle w:val="62"/>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合同双方当事人应在专用条款中约定缺陷责任期。</w:t>
      </w:r>
    </w:p>
    <w:p w14:paraId="79C33658">
      <w:pPr>
        <w:pStyle w:val="62"/>
        <w:adjustRightInd w:val="0"/>
        <w:snapToGrid w:val="0"/>
        <w:ind w:left="1850" w:leftChars="771"/>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缺陷责任期自实际通过竣工验收之日起计算。在全部工程竣工验收前，已经发包人提前验收的单项工程，其缺陷责任期的起算日期相应提前。</w:t>
      </w:r>
    </w:p>
    <w:p w14:paraId="5108C9C0">
      <w:pPr>
        <w:spacing w:line="360" w:lineRule="auto"/>
        <w:rPr>
          <w:rFonts w:ascii="仿宋" w:hAnsi="仿宋" w:eastAsia="仿宋"/>
          <w:b/>
          <w:bCs/>
          <w:color w:val="000000" w:themeColor="text1"/>
          <w:highlight w:val="none"/>
          <w:lang w:eastAsia="zh-CN"/>
          <w14:textFill>
            <w14:solidFill>
              <w14:schemeClr w14:val="tx1"/>
            </w14:solidFill>
          </w14:textFill>
        </w:rPr>
      </w:pPr>
      <w:bookmarkStart w:id="382" w:name="_Toc22228"/>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6279B2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1C20A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531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6279B2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1C20A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.2</w:t>
      </w:r>
      <w:bookmarkEnd w:id="382"/>
    </w:p>
    <w:p w14:paraId="5930A74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年。</w:t>
      </w:r>
    </w:p>
    <w:p w14:paraId="3A8E81DF">
      <w:pPr>
        <w:spacing w:line="360" w:lineRule="auto"/>
        <w:rPr>
          <w:rFonts w:ascii="仿宋" w:hAnsi="仿宋" w:eastAsia="仿宋"/>
          <w:b/>
          <w:bCs/>
          <w:color w:val="000000" w:themeColor="text1"/>
          <w:highlight w:val="none"/>
          <w:lang w:eastAsia="zh-CN"/>
          <w14:textFill>
            <w14:solidFill>
              <w14:schemeClr w14:val="tx1"/>
            </w14:solidFill>
          </w14:textFill>
        </w:rPr>
      </w:pPr>
      <w:bookmarkStart w:id="383" w:name="_Toc28278"/>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55932C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633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55932C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.3</w:t>
      </w:r>
      <w:bookmarkEnd w:id="383"/>
    </w:p>
    <w:p w14:paraId="08192680">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合同工程存在某项缺陷或损坏的，合同双方当事人应按照下列约定承担缺陷责任以及由此产生的费用。</w:t>
      </w:r>
    </w:p>
    <w:p w14:paraId="47E6B1D9">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）承包人应在缺陷责任期内对已交付使用的工程承担缺陷责任。</w:t>
      </w:r>
    </w:p>
    <w:p w14:paraId="7841B842">
      <w:pPr>
        <w:pStyle w:val="62"/>
        <w:widowControl w:val="0"/>
        <w:adjustRightInd w:val="0"/>
        <w:snapToGrid w:val="0"/>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000000" w:themeColor="text1"/>
          <w:highlight w:val="none"/>
          <w:lang w:eastAsia="zh-CN"/>
          <w14:textFill>
            <w14:solidFill>
              <w14:schemeClr w14:val="tx1"/>
            </w14:solidFill>
          </w14:textFill>
        </w:rPr>
        <w:t>7</w:t>
      </w:r>
      <w:r>
        <w:rPr>
          <w:rFonts w:hint="eastAsia" w:ascii="仿宋" w:hAnsi="仿宋" w:eastAsia="仿宋" w:cs="仿宋"/>
          <w:color w:val="000000" w:themeColor="text1"/>
          <w:highlight w:val="none"/>
          <w:lang w:eastAsia="zh-CN"/>
          <w14:textFill>
            <w14:solidFill>
              <w14:schemeClr w14:val="tx1"/>
            </w14:solidFill>
          </w14:textFill>
        </w:rPr>
        <w:t>天内派人修复，直至检验合格为止。承包人未能在约定时间内修复的，发包人可自行或委托第三方修复，所需费用和利润按照本款第（</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）点约定办理。</w:t>
      </w:r>
    </w:p>
    <w:p w14:paraId="0C46A16F">
      <w:pPr>
        <w:pStyle w:val="62"/>
        <w:widowControl w:val="0"/>
        <w:adjustRightInd w:val="0"/>
        <w:snapToGrid w:val="0"/>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0CABD0B5">
      <w:pPr>
        <w:spacing w:line="360" w:lineRule="auto"/>
        <w:rPr>
          <w:rFonts w:ascii="仿宋" w:hAnsi="仿宋" w:eastAsia="仿宋"/>
          <w:b/>
          <w:bCs/>
          <w:color w:val="000000" w:themeColor="text1"/>
          <w:highlight w:val="none"/>
          <w:lang w:eastAsia="zh-CN"/>
          <w14:textFill>
            <w14:solidFill>
              <w14:schemeClr w14:val="tx1"/>
            </w14:solidFill>
          </w14:textFill>
        </w:rPr>
      </w:pPr>
      <w:bookmarkStart w:id="384" w:name="_Toc32142"/>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.4</w:t>
      </w:r>
      <w:bookmarkEnd w:id="384"/>
    </w:p>
    <w:p w14:paraId="367257C4">
      <w:pPr>
        <w:pStyle w:val="62"/>
        <w:widowControl w:val="0"/>
        <w:adjustRightInd w:val="0"/>
        <w:snapToGrid w:val="0"/>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4C9777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736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4C9777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任何一项缺陷或损坏修复后，经检查证明其影响了工程或工程设备的使用性能，承包人应按照第61条约定重新检（试）验，重新检（试）验的费用由责任方承担。</w:t>
      </w:r>
    </w:p>
    <w:p w14:paraId="5B9DD3E4">
      <w:pPr>
        <w:spacing w:line="360" w:lineRule="auto"/>
        <w:rPr>
          <w:rFonts w:ascii="仿宋" w:hAnsi="仿宋" w:eastAsia="仿宋"/>
          <w:b/>
          <w:bCs/>
          <w:color w:val="000000" w:themeColor="text1"/>
          <w:highlight w:val="none"/>
          <w:lang w:eastAsia="zh-CN"/>
          <w14:textFill>
            <w14:solidFill>
              <w14:schemeClr w14:val="tx1"/>
            </w14:solidFill>
          </w14:textFill>
        </w:rPr>
      </w:pPr>
      <w:bookmarkStart w:id="385" w:name="_Toc14236"/>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.5</w:t>
      </w:r>
      <w:bookmarkEnd w:id="385"/>
    </w:p>
    <w:p w14:paraId="50D6BBED">
      <w:pPr>
        <w:widowControl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2A62EE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838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2A62EE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缺陷责任期内承包人为缺陷修复工作需要，有权进入工程现场，但应遵守发包人的保安和保密等规定。</w:t>
      </w:r>
    </w:p>
    <w:p w14:paraId="58F454BA">
      <w:pPr>
        <w:spacing w:line="360" w:lineRule="auto"/>
        <w:rPr>
          <w:rFonts w:ascii="仿宋" w:hAnsi="仿宋" w:eastAsia="仿宋"/>
          <w:b/>
          <w:bCs/>
          <w:color w:val="000000" w:themeColor="text1"/>
          <w:highlight w:val="none"/>
          <w:lang w:eastAsia="zh-CN"/>
          <w14:textFill>
            <w14:solidFill>
              <w14:schemeClr w14:val="tx1"/>
            </w14:solidFill>
          </w14:textFill>
        </w:rPr>
      </w:pPr>
      <w:bookmarkStart w:id="386" w:name="_Toc19809"/>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5C983A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4940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5C983A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.6</w:t>
      </w:r>
      <w:bookmarkEnd w:id="386"/>
    </w:p>
    <w:p w14:paraId="30635769">
      <w:pPr>
        <w:widowControl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在专用条款约定的缺陷责任期（包括第66</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款延长的期限）终止后的</w:t>
      </w:r>
      <w:r>
        <w:rPr>
          <w:rFonts w:ascii="仿宋" w:hAnsi="仿宋" w:eastAsia="仿宋" w:cs="仿宋"/>
          <w:color w:val="000000" w:themeColor="text1"/>
          <w:highlight w:val="none"/>
          <w:lang w:eastAsia="zh-CN"/>
          <w14:textFill>
            <w14:solidFill>
              <w14:schemeClr w14:val="tx1"/>
            </w14:solidFill>
          </w14:textFill>
        </w:rPr>
        <w:t>14</w:t>
      </w:r>
      <w:r>
        <w:rPr>
          <w:rFonts w:hint="eastAsia" w:ascii="仿宋" w:hAnsi="仿宋" w:eastAsia="仿宋" w:cs="仿宋"/>
          <w:color w:val="000000" w:themeColor="text1"/>
          <w:highlight w:val="none"/>
          <w:lang w:eastAsia="zh-CN"/>
          <w14:textFill>
            <w14:solidFill>
              <w14:schemeClr w14:val="tx1"/>
            </w14:solidFill>
          </w14:textFill>
        </w:rPr>
        <w:t>天内，发包人应向承包人颁发缺陷责任期终止证书，并返还相应的质量保证金。</w:t>
      </w:r>
    </w:p>
    <w:p w14:paraId="6E1D29F0">
      <w:pPr>
        <w:spacing w:line="360" w:lineRule="auto"/>
        <w:rPr>
          <w:rFonts w:ascii="仿宋" w:hAnsi="仿宋" w:eastAsia="仿宋"/>
          <w:b/>
          <w:bCs/>
          <w:color w:val="000000" w:themeColor="text1"/>
          <w:highlight w:val="none"/>
          <w:lang w:eastAsia="zh-CN"/>
          <w14:textFill>
            <w14:solidFill>
              <w14:schemeClr w14:val="tx1"/>
            </w14:solidFill>
          </w14:textFill>
        </w:rPr>
      </w:pPr>
      <w:bookmarkStart w:id="387" w:name="_Toc4724"/>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5E430D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043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5E430D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.7</w:t>
      </w:r>
      <w:bookmarkEnd w:id="387"/>
    </w:p>
    <w:p w14:paraId="6FDED15F">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52132D03">
      <w:pPr>
        <w:spacing w:line="360" w:lineRule="auto"/>
        <w:rPr>
          <w:rFonts w:ascii="仿宋" w:hAnsi="仿宋" w:eastAsia="仿宋"/>
          <w:color w:val="000000" w:themeColor="text1"/>
          <w:highlight w:val="none"/>
          <w:lang w:eastAsia="zh-CN"/>
          <w14:textFill>
            <w14:solidFill>
              <w14:schemeClr w14:val="tx1"/>
            </w14:solidFill>
          </w14:textFill>
        </w:rPr>
      </w:pPr>
      <w:bookmarkStart w:id="388" w:name="_Toc3110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7BA431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145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7BA431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.8</w:t>
      </w:r>
      <w:bookmarkEnd w:id="388"/>
    </w:p>
    <w:p w14:paraId="44B29D8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合同双方当事人应在专用条款和合同工程质量保修书中约定质量保修期，但不得低于《房屋建筑工程质量保修办法》第七条以及《建设工程质量管理条例》第四十条规定的最低保修期限。</w:t>
      </w:r>
    </w:p>
    <w:p w14:paraId="13527B9F">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质量保修期自竣工验收</w:t>
      </w:r>
      <w:r>
        <w:rPr>
          <w:rFonts w:ascii="仿宋" w:hAnsi="仿宋" w:eastAsia="仿宋" w:cs="仿宋"/>
          <w:color w:val="000000" w:themeColor="text1"/>
          <w:highlight w:val="none"/>
          <w:lang w:eastAsia="zh-CN"/>
          <w14:textFill>
            <w14:solidFill>
              <w14:schemeClr w14:val="tx1"/>
            </w14:solidFill>
          </w14:textFill>
        </w:rPr>
        <w:t>合格</w:t>
      </w:r>
      <w:r>
        <w:rPr>
          <w:rFonts w:hint="eastAsia" w:ascii="仿宋" w:hAnsi="仿宋" w:eastAsia="仿宋" w:cs="仿宋"/>
          <w:color w:val="000000" w:themeColor="text1"/>
          <w:highlight w:val="none"/>
          <w:lang w:eastAsia="zh-CN"/>
          <w14:textFill>
            <w14:solidFill>
              <w14:schemeClr w14:val="tx1"/>
            </w14:solidFill>
          </w14:textFill>
        </w:rPr>
        <w:t>之日起计算。在全部工程竣工验收前，已经发包人提前验收的单项工程，其质量保修期的起算日期相应提前。</w:t>
      </w:r>
    </w:p>
    <w:p w14:paraId="5E5D36FC">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389" w:name="_Toc1338"/>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.9</w:t>
      </w:r>
      <w:bookmarkEnd w:id="389"/>
    </w:p>
    <w:p w14:paraId="3913528A">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023ECFD2">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023ECFD2">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35524EAD">
      <w:pPr>
        <w:spacing w:line="360" w:lineRule="auto"/>
        <w:rPr>
          <w:rFonts w:ascii="仿宋" w:hAnsi="仿宋" w:eastAsia="仿宋" w:cs="仿宋"/>
          <w:color w:val="000000" w:themeColor="text1"/>
          <w:highlight w:val="none"/>
          <w:u w:val="dotted"/>
          <w:lang w:eastAsia="zh-CN"/>
          <w14:textFill>
            <w14:solidFill>
              <w14:schemeClr w14:val="tx1"/>
            </w14:solidFill>
          </w14:textFill>
        </w:rPr>
      </w:pPr>
      <w:bookmarkStart w:id="390" w:name="_Toc13407"/>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19D58CB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2480;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hcXHg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ogJ6Rzzoxo&#10;aOTH79+OP34df35ll7M0SNRal1HmvaVc372EjtIjXWfvQH5yzMBNJcxWXSNCWylRUIuT8DI5e9rj&#10;uACyad9AQZXEzkME6kpsgn6kCCN0Gs/hNB7VeSbpcnGRXswpIik0n84X6SxWENnDY4vOv1LQsLDJ&#10;OdL0I7jY3zkfmhHZQ0qoZeBW13V0QG3+uqDE/kZFCw2vA5XQfc/Dd5tukGYDxYFIIfT2os9Fmwrw&#10;C2ctWSvn7vNOoOKsfm1ImMtJmgYvxkM6W0zp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ya7LXAAAA&#10;CgEAAA8AAAAAAAAAAQAgAAAAIgAAAGRycy9kb3ducmV2LnhtbFBLAQIUABQAAAAIAIdO4kCz/hcX&#10;HgIAACYEAAAOAAAAAAAAAAEAIAAAACYBAABkcnMvZTJvRG9jLnhtbFBLBQYAAAAABgAGAFkBAAC2&#10;BQAAAAA=&#10;">
                <v:fill on="f" focussize="0,0"/>
                <v:stroke on="f"/>
                <v:imagedata o:title=""/>
                <o:lock v:ext="edit" aspectratio="f"/>
                <v:textbox>
                  <w:txbxContent>
                    <w:p w14:paraId="19D58CB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66</w:t>
      </w:r>
      <w:r>
        <w:rPr>
          <w:rFonts w:ascii="仿宋" w:hAnsi="仿宋" w:eastAsia="仿宋" w:cs="仿宋"/>
          <w:b/>
          <w:bCs/>
          <w:color w:val="000000" w:themeColor="text1"/>
          <w:highlight w:val="none"/>
          <w:lang w:eastAsia="zh-CN"/>
          <w14:textFill>
            <w14:solidFill>
              <w14:schemeClr w14:val="tx1"/>
            </w14:solidFill>
          </w14:textFill>
        </w:rPr>
        <w:t>.10</w:t>
      </w:r>
      <w:bookmarkEnd w:id="390"/>
    </w:p>
    <w:p w14:paraId="31A114D2">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承包人修复属于质量缺陷以外的费用，由责任方承担。</w:t>
      </w:r>
    </w:p>
    <w:p w14:paraId="0BA88B31">
      <w:pPr>
        <w:adjustRightInd w:val="0"/>
        <w:snapToGrid w:val="0"/>
        <w:spacing w:line="360" w:lineRule="auto"/>
        <w:rPr>
          <w:rFonts w:ascii="仿宋" w:hAnsi="仿宋" w:eastAsia="仿宋" w:cs="仿宋"/>
          <w:color w:val="000000" w:themeColor="text1"/>
          <w:highlight w:val="none"/>
          <w:u w:val="single"/>
          <w:lang w:eastAsia="zh-CN"/>
          <w14:textFill>
            <w14:solidFill>
              <w14:schemeClr w14:val="tx1"/>
            </w14:solidFill>
          </w14:textFill>
        </w:rPr>
      </w:pPr>
    </w:p>
    <w:p w14:paraId="5BF0948A">
      <w:pPr>
        <w:tabs>
          <w:tab w:val="left" w:pos="1620"/>
        </w:tabs>
        <w:adjustRightInd w:val="0"/>
        <w:snapToGrid w:val="0"/>
        <w:spacing w:line="360" w:lineRule="auto"/>
        <w:jc w:val="center"/>
        <w:outlineLvl w:val="1"/>
        <w:rPr>
          <w:color w:val="000000" w:themeColor="text1"/>
          <w:highlight w:val="none"/>
          <w:lang w:eastAsia="zh-CN"/>
          <w14:textFill>
            <w14:solidFill>
              <w14:schemeClr w14:val="tx1"/>
            </w14:solidFill>
          </w14:textFill>
        </w:rPr>
      </w:pPr>
      <w:bookmarkStart w:id="391" w:name="_Toc11703"/>
      <w:bookmarkStart w:id="392" w:name="_Toc149731502"/>
      <w:r>
        <w:rPr>
          <w:rFonts w:hint="eastAsia" w:ascii="仿宋" w:hAnsi="仿宋" w:eastAsia="仿宋" w:cs="仿宋"/>
          <w:b/>
          <w:bCs/>
          <w:color w:val="000000" w:themeColor="text1"/>
          <w:highlight w:val="none"/>
          <w:lang w:eastAsia="zh-CN"/>
          <w14:textFill>
            <w14:solidFill>
              <w14:schemeClr w14:val="tx1"/>
            </w14:solidFill>
          </w14:textFill>
        </w:rPr>
        <w:t>七、合同价格</w:t>
      </w:r>
      <w:bookmarkEnd w:id="391"/>
      <w:bookmarkEnd w:id="392"/>
    </w:p>
    <w:p w14:paraId="377F65BF">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93" w:name="_Toc149731503"/>
      <w:bookmarkStart w:id="394" w:name="_Toc7039"/>
      <w:r>
        <w:rPr>
          <w:rFonts w:ascii="仿宋" w:hAnsi="仿宋" w:eastAsia="仿宋" w:cs="仿宋"/>
          <w:bCs w:val="0"/>
          <w:color w:val="000000" w:themeColor="text1"/>
          <w:sz w:val="24"/>
          <w:szCs w:val="24"/>
          <w:highlight w:val="none"/>
          <w:lang w:eastAsia="zh-CN"/>
          <w14:textFill>
            <w14:solidFill>
              <w14:schemeClr w14:val="tx1"/>
            </w14:solidFill>
          </w14:textFill>
        </w:rPr>
        <w:t>6</w:t>
      </w:r>
      <w:r>
        <w:rPr>
          <w:rFonts w:hint="eastAsia" w:ascii="仿宋" w:hAnsi="仿宋" w:eastAsia="仿宋" w:cs="仿宋"/>
          <w:bCs w:val="0"/>
          <w:color w:val="000000" w:themeColor="text1"/>
          <w:sz w:val="24"/>
          <w:szCs w:val="24"/>
          <w:highlight w:val="none"/>
          <w:lang w:eastAsia="zh-CN"/>
          <w14:textFill>
            <w14:solidFill>
              <w14:schemeClr w14:val="tx1"/>
            </w14:solidFill>
          </w14:textFill>
        </w:rPr>
        <w:t>7资金计划和安排</w:t>
      </w:r>
      <w:bookmarkEnd w:id="393"/>
      <w:bookmarkEnd w:id="394"/>
    </w:p>
    <w:p w14:paraId="2D6F34A4">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6</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1E4352C5">
      <w:pPr>
        <w:widowControl w:val="0"/>
        <w:spacing w:line="360" w:lineRule="auto"/>
        <w:ind w:left="1850" w:leftChars="771"/>
        <w:jc w:val="both"/>
        <w:rPr>
          <w:rFonts w:ascii="仿宋" w:hAnsi="仿宋" w:eastAsia="仿宋"/>
          <w:b/>
          <w:bCs/>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45"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7368BB74">
                            <w:pPr>
                              <w:pStyle w:val="2"/>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CvX9YAAAAJ&#10;AQAADwAAAAAAAAABACAAAAAiAAAAZHJzL2Rvd25yZXYueG1sUEsBAhQAFAAAAAgAh07iQCjtzgAe&#10;AgAAJgQAAA4AAAAAAAAAAQAgAAAAJQEAAGRycy9lMm9Eb2MueG1sUEsFBgAAAAAGAAYAWQEAALUF&#10;AAAAAA==&#10;">
                <v:fill on="f" focussize="0,0"/>
                <v:stroke on="f"/>
                <v:imagedata o:title=""/>
                <o:lock v:ext="edit" aspectratio="f"/>
                <v:textbox>
                  <w:txbxContent>
                    <w:p w14:paraId="7368BB74">
                      <w:pPr>
                        <w:pStyle w:val="2"/>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7CB0538">
      <w:pPr>
        <w:pStyle w:val="40"/>
        <w:adjustRightInd w:val="0"/>
        <w:snapToGrid w:val="0"/>
        <w:spacing w:line="360" w:lineRule="auto"/>
        <w:ind w:left="1617" w:hanging="1617" w:hangingChars="671"/>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6</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6293EAEA">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6CF0A397">
                            <w:pPr>
                              <w:pStyle w:val="2"/>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DVi40d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CacGVHT&#10;yI/f748/fh1/fmOL6TxI1FiXUuadpVzfvoKW0iNdZ29BfnbMwHUpzFZdIUJTKpFTi6PwMjl72uG4&#10;ALJp3kJOlcTOQwRqC6yDfqQII3Qaz+E0HtV6JulyNr1YjCkiKTSdz17OprGCSB8eW3T+tYKahU3G&#10;kaYfwcX+1vnQjEgfUkItAze6qqIDKvPXBSV2NypaqH8dqITuOx6+3bS9NBvID0QKobMXfS7alIBf&#10;OWvIWhl3X3YCFWfVG0PCLEjq4MV4mExngR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0NWLjR0C&#10;AAAmBAAADgAAAAAAAAABACAAAAAlAQAAZHJzL2Uyb0RvYy54bWxQSwUGAAAAAAYABgBZAQAAtAUA&#10;AAAA&#10;">
                <v:fill on="f" focussize="0,0"/>
                <v:stroke on="f"/>
                <v:imagedata o:title=""/>
                <o:lock v:ext="edit" aspectratio="f"/>
                <v:textbox>
                  <w:txbxContent>
                    <w:p w14:paraId="6CF0A397">
                      <w:pPr>
                        <w:pStyle w:val="2"/>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发包人在收到承包人提交的工程资金需求计划书后</w:t>
      </w:r>
      <w:r>
        <w:rPr>
          <w:rFonts w:ascii="仿宋" w:hAnsi="仿宋" w:eastAsia="仿宋" w:cs="仿宋"/>
          <w:color w:val="000000" w:themeColor="text1"/>
          <w:highlight w:val="none"/>
          <w:lang w:eastAsia="zh-CN"/>
          <w14:textFill>
            <w14:solidFill>
              <w14:schemeClr w14:val="tx1"/>
            </w14:solidFill>
          </w14:textFill>
        </w:rPr>
        <w:t>28</w:t>
      </w:r>
      <w:r>
        <w:rPr>
          <w:rFonts w:hint="eastAsia" w:ascii="仿宋" w:hAnsi="仿宋" w:eastAsia="仿宋" w:cs="仿宋"/>
          <w:color w:val="000000" w:themeColor="text1"/>
          <w:highlight w:val="none"/>
          <w:lang w:eastAsia="zh-CN"/>
          <w14:textFill>
            <w14:solidFill>
              <w14:schemeClr w14:val="tx1"/>
            </w14:solidFill>
          </w14:textFill>
        </w:rPr>
        <w:t>天内，应根据合同约定提供已做出资金安排的合理证据，表明自己有能力按照第83条约定支付合同价款。如果发包人对资金安排作出任何变更时，应及时将变更的详情通知承包人。</w:t>
      </w:r>
    </w:p>
    <w:p w14:paraId="5FA80E57">
      <w:pPr>
        <w:spacing w:line="360" w:lineRule="auto"/>
        <w:rPr>
          <w:color w:val="000000" w:themeColor="text1"/>
          <w:highlight w:val="none"/>
          <w:lang w:eastAsia="zh-CN"/>
          <w14:textFill>
            <w14:solidFill>
              <w14:schemeClr w14:val="tx1"/>
            </w14:solidFill>
          </w14:textFill>
        </w:rPr>
      </w:pPr>
    </w:p>
    <w:p w14:paraId="4D3AF8B2">
      <w:pPr>
        <w:pStyle w:val="6"/>
        <w:tabs>
          <w:tab w:val="left" w:pos="360"/>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95" w:name="_Toc149731504"/>
      <w:bookmarkStart w:id="396" w:name="_Toc2840"/>
      <w:r>
        <w:rPr>
          <w:rFonts w:hint="eastAsia" w:ascii="仿宋" w:hAnsi="仿宋" w:eastAsia="仿宋" w:cs="仿宋"/>
          <w:bCs w:val="0"/>
          <w:color w:val="000000" w:themeColor="text1"/>
          <w:sz w:val="24"/>
          <w:szCs w:val="24"/>
          <w:highlight w:val="none"/>
          <w:lang w:eastAsia="zh-CN"/>
          <w14:textFill>
            <w14:solidFill>
              <w14:schemeClr w14:val="tx1"/>
            </w14:solidFill>
          </w14:textFill>
        </w:rPr>
        <w:t>68联合体牵头人项目管理费</w:t>
      </w:r>
      <w:bookmarkEnd w:id="395"/>
      <w:bookmarkEnd w:id="396"/>
    </w:p>
    <w:p w14:paraId="6A639D60">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bookmarkStart w:id="397" w:name="OLE_LINK1"/>
      <w:bookmarkStart w:id="398" w:name="OLE_LINK2"/>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0EC8EDA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0608;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0EC8EDA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0A996E7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牵头人项目管理费由发包人直接支付给联合体牵头人并从合同总价中扣除，支付时间、支付比例在专用条款中约定。</w:t>
      </w:r>
    </w:p>
    <w:p w14:paraId="3B3008CD">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合同履行期间，若牵头人及其授权的承包人代表不作为或存在过错，发包人有权部分或全部扣除该费用，并追究相关责任，扣除金额或比例在专用条款中约定。</w:t>
      </w:r>
    </w:p>
    <w:p w14:paraId="3CCE691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牵头人项目管理费由</w:t>
      </w:r>
      <w:r>
        <w:rPr>
          <w:rFonts w:ascii="仿宋" w:hAnsi="仿宋" w:eastAsia="仿宋" w:cs="仿宋"/>
          <w:color w:val="000000" w:themeColor="text1"/>
          <w:highlight w:val="none"/>
          <w:lang w:eastAsia="zh-CN"/>
          <w14:textFill>
            <w14:solidFill>
              <w14:schemeClr w14:val="tx1"/>
            </w14:solidFill>
          </w14:textFill>
        </w:rPr>
        <w:t>联合体</w:t>
      </w:r>
      <w:r>
        <w:rPr>
          <w:rFonts w:hint="eastAsia" w:ascii="仿宋" w:hAnsi="仿宋" w:eastAsia="仿宋" w:cs="仿宋"/>
          <w:color w:val="000000" w:themeColor="text1"/>
          <w:highlight w:val="none"/>
          <w:lang w:eastAsia="zh-CN"/>
          <w14:textFill>
            <w14:solidFill>
              <w14:schemeClr w14:val="tx1"/>
            </w14:solidFill>
          </w14:textFill>
        </w:rPr>
        <w:t>各</w:t>
      </w:r>
      <w:r>
        <w:rPr>
          <w:rFonts w:ascii="仿宋" w:hAnsi="仿宋" w:eastAsia="仿宋" w:cs="仿宋"/>
          <w:color w:val="000000" w:themeColor="text1"/>
          <w:highlight w:val="none"/>
          <w:lang w:eastAsia="zh-CN"/>
          <w14:textFill>
            <w14:solidFill>
              <w14:schemeClr w14:val="tx1"/>
            </w14:solidFill>
          </w14:textFill>
        </w:rPr>
        <w:t>成员</w:t>
      </w:r>
      <w:r>
        <w:rPr>
          <w:rFonts w:hint="eastAsia" w:ascii="仿宋" w:hAnsi="仿宋" w:eastAsia="仿宋" w:cs="仿宋"/>
          <w:color w:val="000000" w:themeColor="text1"/>
          <w:highlight w:val="none"/>
          <w:lang w:eastAsia="zh-CN"/>
          <w14:textFill>
            <w14:solidFill>
              <w14:schemeClr w14:val="tx1"/>
            </w14:solidFill>
          </w14:textFill>
        </w:rPr>
        <w:t>单位分摊，联合体各成员单位分摊的金额、计费方式、支付方式以及违约处罚方式，由联合体各成员单位在联合体承包协议书中约定。</w:t>
      </w:r>
    </w:p>
    <w:bookmarkEnd w:id="397"/>
    <w:bookmarkEnd w:id="398"/>
    <w:p w14:paraId="55A1FE7A">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p>
    <w:p w14:paraId="42AC82D5">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399" w:name="_Toc18862"/>
      <w:bookmarkStart w:id="400" w:name="_Toc149731505"/>
      <w:r>
        <w:rPr>
          <w:rFonts w:hint="eastAsia" w:ascii="仿宋" w:hAnsi="仿宋" w:eastAsia="仿宋" w:cs="仿宋"/>
          <w:bCs w:val="0"/>
          <w:color w:val="000000" w:themeColor="text1"/>
          <w:sz w:val="24"/>
          <w:szCs w:val="24"/>
          <w:highlight w:val="none"/>
          <w:lang w:eastAsia="zh-CN"/>
          <w14:textFill>
            <w14:solidFill>
              <w14:schemeClr w14:val="tx1"/>
            </w14:solidFill>
          </w14:textFill>
        </w:rPr>
        <w:t>★69合同价格的约定与调整</w:t>
      </w:r>
      <w:bookmarkEnd w:id="399"/>
      <w:bookmarkEnd w:id="400"/>
    </w:p>
    <w:p w14:paraId="6F241086">
      <w:pPr>
        <w:pStyle w:val="40"/>
        <w:adjustRightInd w:val="0"/>
        <w:snapToGrid w:val="0"/>
        <w:spacing w:line="360" w:lineRule="auto"/>
        <w:ind w:left="1446" w:hanging="1446" w:hangingChars="600"/>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69</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559ADB2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55AB34C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6512;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55AB34C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合同双方当事人应在本合同协议书中约定合同总价及其中包括的工程勘察费（如果有）、工程设计费、BIM技术应用费、设备及工器具购置费（如果有）、建筑安装工程费及其他服务费用等各分项费用总价。</w:t>
      </w:r>
    </w:p>
    <w:p w14:paraId="30D5D4A9">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64C3668">
      <w:pPr>
        <w:spacing w:line="360" w:lineRule="auto"/>
        <w:rPr>
          <w:rFonts w:ascii="仿宋" w:hAnsi="仿宋" w:eastAsia="仿宋" w:cs="仿宋"/>
          <w:color w:val="000000" w:themeColor="text1"/>
          <w:highlight w:val="none"/>
          <w:u w:val="dotted"/>
          <w:lang w:eastAsia="zh-CN"/>
          <w14:textFill>
            <w14:solidFill>
              <w14:schemeClr w14:val="tx1"/>
            </w14:solidFill>
          </w14:textFill>
        </w:rPr>
      </w:pPr>
      <w:bookmarkStart w:id="401" w:name="_Toc10655"/>
      <w:r>
        <w:rPr>
          <w:rFonts w:hint="eastAsia" w:ascii="仿宋" w:hAnsi="仿宋" w:eastAsia="仿宋" w:cs="仿宋"/>
          <w:b/>
          <w:bCs/>
          <w:color w:val="000000" w:themeColor="text1"/>
          <w:highlight w:val="none"/>
          <w:lang w:eastAsia="zh-CN"/>
          <w14:textFill>
            <w14:solidFill>
              <w14:schemeClr w14:val="tx1"/>
            </w14:solidFill>
          </w14:textFill>
        </w:rPr>
        <w:t>69</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2</w:t>
      </w:r>
      <w:bookmarkEnd w:id="401"/>
    </w:p>
    <w:p w14:paraId="04CFF38D">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5FC5D92A">
                            <w:pPr>
                              <w:pStyle w:val="2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7536;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5FC5D92A">
                      <w:pPr>
                        <w:pStyle w:val="2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000000" w:themeColor="text1"/>
          <w:highlight w:val="none"/>
          <w:lang w:eastAsia="zh-CN"/>
          <w14:textFill>
            <w14:solidFill>
              <w14:schemeClr w14:val="tx1"/>
            </w14:solidFill>
          </w14:textFill>
        </w:rPr>
        <w:t>项目工程总承包应当采用总价合同，但特殊专项费用或受后续施工影响较大的可变因素较多的子项工程可采用单价合同或其他合同价格形式。发包</w:t>
      </w:r>
      <w:r>
        <w:rPr>
          <w:rFonts w:ascii="仿宋" w:hAnsi="仿宋" w:eastAsia="仿宋"/>
          <w:color w:val="000000" w:themeColor="text1"/>
          <w:highlight w:val="none"/>
          <w:lang w:eastAsia="zh-CN"/>
          <w14:textFill>
            <w14:solidFill>
              <w14:schemeClr w14:val="tx1"/>
            </w14:solidFill>
          </w14:textFill>
        </w:rPr>
        <w:t>人、</w:t>
      </w:r>
      <w:r>
        <w:rPr>
          <w:rFonts w:hint="eastAsia" w:ascii="仿宋" w:hAnsi="仿宋" w:eastAsia="仿宋"/>
          <w:color w:val="000000" w:themeColor="text1"/>
          <w:highlight w:val="none"/>
          <w:lang w:eastAsia="zh-CN"/>
          <w14:textFill>
            <w14:solidFill>
              <w14:schemeClr w14:val="tx1"/>
            </w14:solidFill>
          </w14:textFill>
        </w:rPr>
        <w:t>承</w:t>
      </w:r>
      <w:r>
        <w:rPr>
          <w:rFonts w:ascii="仿宋" w:hAnsi="仿宋" w:eastAsia="仿宋"/>
          <w:color w:val="000000" w:themeColor="text1"/>
          <w:highlight w:val="none"/>
          <w:lang w:eastAsia="zh-CN"/>
          <w14:textFill>
            <w14:solidFill>
              <w14:schemeClr w14:val="tx1"/>
            </w14:solidFill>
          </w14:textFill>
        </w:rPr>
        <w:t>包人</w:t>
      </w:r>
      <w:r>
        <w:rPr>
          <w:rFonts w:hint="eastAsia" w:ascii="仿宋" w:hAnsi="仿宋" w:eastAsia="仿宋"/>
          <w:color w:val="000000" w:themeColor="text1"/>
          <w:highlight w:val="none"/>
          <w:lang w:eastAsia="zh-CN"/>
          <w14:textFill>
            <w14:solidFill>
              <w14:schemeClr w14:val="tx1"/>
            </w14:solidFill>
          </w14:textFill>
        </w:rPr>
        <w:t>结合第72条约定的计量和计价规则在专用条款第72条中约定适用范围</w:t>
      </w:r>
      <w:r>
        <w:rPr>
          <w:rFonts w:hint="eastAsia" w:ascii="仿宋" w:hAnsi="仿宋" w:eastAsia="仿宋" w:cs="仿宋"/>
          <w:color w:val="000000" w:themeColor="text1"/>
          <w:highlight w:val="none"/>
          <w:lang w:eastAsia="zh-CN"/>
          <w14:textFill>
            <w14:solidFill>
              <w14:schemeClr w14:val="tx1"/>
            </w14:solidFill>
          </w14:textFill>
        </w:rPr>
        <w:t>：</w:t>
      </w:r>
    </w:p>
    <w:p w14:paraId="38BF0B7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总价合同</w:t>
      </w: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总价合同是指合同当事人约定以</w:t>
      </w:r>
      <w:r>
        <w:rPr>
          <w:rFonts w:hint="eastAsia" w:ascii="仿宋" w:hAnsi="仿宋" w:eastAsia="仿宋" w:cs="仿宋"/>
          <w:color w:val="000000" w:themeColor="text1"/>
          <w:highlight w:val="none"/>
          <w:lang w:eastAsia="zh-CN"/>
          <w14:textFill>
            <w14:solidFill>
              <w14:schemeClr w14:val="tx1"/>
            </w14:solidFill>
          </w14:textFill>
        </w:rPr>
        <w:t>发包人提供的项目基础资料、发包人要求、标准规范、合同价格清单</w:t>
      </w:r>
      <w:r>
        <w:rPr>
          <w:rFonts w:ascii="仿宋" w:hAnsi="仿宋" w:eastAsia="仿宋" w:cs="仿宋"/>
          <w:color w:val="000000" w:themeColor="text1"/>
          <w:highlight w:val="none"/>
          <w:lang w:eastAsia="zh-CN"/>
          <w14:textFill>
            <w14:solidFill>
              <w14:schemeClr w14:val="tx1"/>
            </w14:solidFill>
          </w14:textFill>
        </w:rPr>
        <w:t>及有关条件进行合同价格计算、调整和确认的建设工程</w:t>
      </w:r>
      <w:r>
        <w:rPr>
          <w:rFonts w:hint="eastAsia" w:ascii="仿宋" w:hAnsi="仿宋" w:eastAsia="仿宋" w:cs="仿宋"/>
          <w:color w:val="000000" w:themeColor="text1"/>
          <w:highlight w:val="none"/>
          <w:lang w:eastAsia="zh-CN"/>
          <w14:textFill>
            <w14:solidFill>
              <w14:schemeClr w14:val="tx1"/>
            </w14:solidFill>
          </w14:textFill>
        </w:rPr>
        <w:t>总承包</w:t>
      </w:r>
      <w:r>
        <w:rPr>
          <w:rFonts w:ascii="仿宋" w:hAnsi="仿宋" w:eastAsia="仿宋" w:cs="仿宋"/>
          <w:color w:val="000000" w:themeColor="text1"/>
          <w:highlight w:val="none"/>
          <w:lang w:eastAsia="zh-CN"/>
          <w14:textFill>
            <w14:solidFill>
              <w14:schemeClr w14:val="tx1"/>
            </w14:solidFill>
          </w14:textFill>
        </w:rPr>
        <w:t>合同，</w:t>
      </w:r>
      <w:r>
        <w:rPr>
          <w:rFonts w:hint="eastAsia" w:ascii="仿宋" w:hAnsi="仿宋" w:eastAsia="仿宋" w:cs="仿宋"/>
          <w:color w:val="000000" w:themeColor="text1"/>
          <w:highlight w:val="none"/>
          <w:lang w:eastAsia="zh-CN"/>
          <w14:textFill>
            <w14:solidFill>
              <w14:schemeClr w14:val="tx1"/>
            </w14:solidFill>
          </w14:textFill>
        </w:rPr>
        <w:t>除合同约定允许调整的事项外，合同总价不予调整。</w:t>
      </w:r>
    </w:p>
    <w:p w14:paraId="1426AFC4">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）总价合同＋部分单价合同。其中</w:t>
      </w:r>
      <w:r>
        <w:rPr>
          <w:rFonts w:ascii="仿宋" w:hAnsi="仿宋" w:eastAsia="仿宋" w:cs="仿宋"/>
          <w:color w:val="000000" w:themeColor="text1"/>
          <w:highlight w:val="none"/>
          <w:lang w:eastAsia="zh-CN"/>
          <w14:textFill>
            <w14:solidFill>
              <w14:schemeClr w14:val="tx1"/>
            </w14:solidFill>
          </w14:textFill>
        </w:rPr>
        <w:t>单价合同是指合同当事人约定以</w:t>
      </w:r>
      <w:r>
        <w:rPr>
          <w:rFonts w:hint="eastAsia" w:ascii="仿宋" w:hAnsi="仿宋" w:eastAsia="仿宋" w:cs="仿宋"/>
          <w:color w:val="000000" w:themeColor="text1"/>
          <w:highlight w:val="none"/>
          <w:lang w:eastAsia="zh-CN"/>
          <w14:textFill>
            <w14:solidFill>
              <w14:schemeClr w14:val="tx1"/>
            </w14:solidFill>
          </w14:textFill>
        </w:rPr>
        <w:t>合同价格</w:t>
      </w:r>
      <w:r>
        <w:rPr>
          <w:rFonts w:ascii="仿宋" w:hAnsi="仿宋" w:eastAsia="仿宋" w:cs="仿宋"/>
          <w:color w:val="000000" w:themeColor="text1"/>
          <w:highlight w:val="none"/>
          <w:lang w:eastAsia="zh-CN"/>
          <w14:textFill>
            <w14:solidFill>
              <w14:schemeClr w14:val="tx1"/>
            </w14:solidFill>
          </w14:textFill>
        </w:rPr>
        <w:t>清单及其综合单价进行合同价格计算、调整和确认的建设工程</w:t>
      </w:r>
      <w:r>
        <w:rPr>
          <w:rFonts w:hint="eastAsia" w:ascii="仿宋" w:hAnsi="仿宋" w:eastAsia="仿宋" w:cs="仿宋"/>
          <w:color w:val="000000" w:themeColor="text1"/>
          <w:highlight w:val="none"/>
          <w:lang w:eastAsia="zh-CN"/>
          <w14:textFill>
            <w14:solidFill>
              <w14:schemeClr w14:val="tx1"/>
            </w14:solidFill>
          </w14:textFill>
        </w:rPr>
        <w:t>总承包</w:t>
      </w:r>
      <w:r>
        <w:rPr>
          <w:rFonts w:ascii="仿宋" w:hAnsi="仿宋" w:eastAsia="仿宋" w:cs="仿宋"/>
          <w:color w:val="000000" w:themeColor="text1"/>
          <w:highlight w:val="none"/>
          <w:lang w:eastAsia="zh-CN"/>
          <w14:textFill>
            <w14:solidFill>
              <w14:schemeClr w14:val="tx1"/>
            </w14:solidFill>
          </w14:textFill>
        </w:rPr>
        <w:t>合同，</w:t>
      </w:r>
      <w:r>
        <w:rPr>
          <w:rFonts w:hint="eastAsia" w:ascii="仿宋" w:hAnsi="仿宋" w:eastAsia="仿宋" w:cs="仿宋"/>
          <w:color w:val="000000" w:themeColor="text1"/>
          <w:highlight w:val="none"/>
          <w:lang w:eastAsia="zh-CN"/>
          <w14:textFill>
            <w14:solidFill>
              <w14:schemeClr w14:val="tx1"/>
            </w14:solidFill>
          </w14:textFill>
        </w:rPr>
        <w:t>除合同约定可以调整的事项外，工作量或工程量按实计算，综合</w:t>
      </w:r>
      <w:r>
        <w:rPr>
          <w:rFonts w:ascii="仿宋" w:hAnsi="仿宋" w:eastAsia="仿宋" w:cs="仿宋"/>
          <w:color w:val="000000" w:themeColor="text1"/>
          <w:highlight w:val="none"/>
          <w:lang w:eastAsia="zh-CN"/>
          <w14:textFill>
            <w14:solidFill>
              <w14:schemeClr w14:val="tx1"/>
            </w14:solidFill>
          </w14:textFill>
        </w:rPr>
        <w:t>单价不</w:t>
      </w:r>
      <w:r>
        <w:rPr>
          <w:rFonts w:hint="eastAsia" w:ascii="仿宋" w:hAnsi="仿宋" w:eastAsia="仿宋" w:cs="仿宋"/>
          <w:color w:val="000000" w:themeColor="text1"/>
          <w:highlight w:val="none"/>
          <w:lang w:eastAsia="zh-CN"/>
          <w14:textFill>
            <w14:solidFill>
              <w14:schemeClr w14:val="tx1"/>
            </w14:solidFill>
          </w14:textFill>
        </w:rPr>
        <w:t>予</w:t>
      </w:r>
      <w:r>
        <w:rPr>
          <w:rFonts w:ascii="仿宋" w:hAnsi="仿宋" w:eastAsia="仿宋" w:cs="仿宋"/>
          <w:color w:val="000000" w:themeColor="text1"/>
          <w:highlight w:val="none"/>
          <w:lang w:eastAsia="zh-CN"/>
          <w14:textFill>
            <w14:solidFill>
              <w14:schemeClr w14:val="tx1"/>
            </w14:solidFill>
          </w14:textFill>
        </w:rPr>
        <w:t>调整。</w:t>
      </w:r>
    </w:p>
    <w:p w14:paraId="2B31B12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（3）其他</w:t>
      </w:r>
      <w:r>
        <w:rPr>
          <w:rFonts w:ascii="仿宋" w:hAnsi="仿宋" w:eastAsia="仿宋" w:cs="仿宋"/>
          <w:color w:val="000000" w:themeColor="text1"/>
          <w:highlight w:val="none"/>
          <w:lang w:eastAsia="zh-CN"/>
          <w14:textFill>
            <w14:solidFill>
              <w14:schemeClr w14:val="tx1"/>
            </w14:solidFill>
          </w14:textFill>
        </w:rPr>
        <w:t>价格形式</w:t>
      </w: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合同当事人在专用条款中约定其他合同价格形式</w:t>
      </w:r>
      <w:r>
        <w:rPr>
          <w:rFonts w:hint="eastAsia" w:ascii="仿宋" w:hAnsi="仿宋" w:eastAsia="仿宋" w:cs="仿宋"/>
          <w:color w:val="000000" w:themeColor="text1"/>
          <w:highlight w:val="none"/>
          <w:lang w:eastAsia="zh-CN"/>
          <w14:textFill>
            <w14:solidFill>
              <w14:schemeClr w14:val="tx1"/>
            </w14:solidFill>
          </w14:textFill>
        </w:rPr>
        <w:t>及合同价格的计算依据、计算方法</w:t>
      </w:r>
      <w:r>
        <w:rPr>
          <w:rFonts w:ascii="仿宋" w:hAnsi="仿宋" w:eastAsia="仿宋" w:cs="仿宋"/>
          <w:color w:val="000000" w:themeColor="text1"/>
          <w:highlight w:val="none"/>
          <w:lang w:eastAsia="zh-CN"/>
          <w14:textFill>
            <w14:solidFill>
              <w14:schemeClr w14:val="tx1"/>
            </w14:solidFill>
          </w14:textFill>
        </w:rPr>
        <w:t>。</w:t>
      </w:r>
    </w:p>
    <w:p w14:paraId="2C65A219">
      <w:pPr>
        <w:spacing w:line="360" w:lineRule="auto"/>
        <w:rPr>
          <w:rFonts w:ascii="仿宋" w:hAnsi="仿宋" w:eastAsia="仿宋"/>
          <w:b/>
          <w:bCs/>
          <w:color w:val="000000" w:themeColor="text1"/>
          <w:highlight w:val="none"/>
          <w:lang w:eastAsia="zh-CN"/>
          <w14:textFill>
            <w14:solidFill>
              <w14:schemeClr w14:val="tx1"/>
            </w14:solidFill>
          </w14:textFill>
        </w:rPr>
      </w:pPr>
      <w:bookmarkStart w:id="402" w:name="_Toc18982"/>
      <w:r>
        <w:rPr>
          <w:rFonts w:hint="eastAsia" w:ascii="仿宋" w:hAnsi="仿宋" w:eastAsia="仿宋" w:cs="仿宋"/>
          <w:b/>
          <w:bCs/>
          <w:color w:val="000000" w:themeColor="text1"/>
          <w:highlight w:val="none"/>
          <w:lang w:eastAsia="zh-CN"/>
          <w14:textFill>
            <w14:solidFill>
              <w14:schemeClr w14:val="tx1"/>
            </w14:solidFill>
          </w14:textFill>
        </w:rPr>
        <w:t>69</w:t>
      </w:r>
      <w:r>
        <w:rPr>
          <w:rFonts w:ascii="仿宋" w:hAnsi="仿宋" w:eastAsia="仿宋" w:cs="仿宋"/>
          <w:b/>
          <w:bCs/>
          <w:color w:val="000000" w:themeColor="text1"/>
          <w:highlight w:val="none"/>
          <w:lang w:eastAsia="zh-CN"/>
          <w14:textFill>
            <w14:solidFill>
              <w14:schemeClr w14:val="tx1"/>
            </w14:solidFill>
          </w14:textFill>
        </w:rPr>
        <w:t>.3</w:t>
      </w:r>
      <w:bookmarkEnd w:id="402"/>
    </w:p>
    <w:p w14:paraId="520861C3">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75C9E353">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8560;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75C9E353">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合同双方当事人应明确合同价格的调整事项。除专用条款另有约定外，允许调整事项应包括：</w:t>
      </w:r>
    </w:p>
    <w:p w14:paraId="269B5706">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（1）因国家法律、法规、政策变化引起的合同价格的变化；</w:t>
      </w:r>
    </w:p>
    <w:p w14:paraId="30664B36">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（2）因下列原因导致的可调价变更：</w:t>
      </w:r>
    </w:p>
    <w:p w14:paraId="5F601BC6">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05166DE0">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② 合同执行期间（含勘察期、设计期和施工期）承包人不可预见的重大地质变化（相对于发包人提供的地质初勘资料，具体在专用条款中明确可量化的指标），造成的工程费用增减。</w:t>
      </w:r>
    </w:p>
    <w:p w14:paraId="4881CFEA">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③ 合同执行期间（含勘察期、设计期和施工期），因不可抗力导致工程费增减的，在扣减保险理赔金额后，按剩余金额调整合同价格。</w:t>
      </w:r>
    </w:p>
    <w:p w14:paraId="37121DEC">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（3）主要工程材料、工程设备、人工价格与基准日期价格相比，波动幅度超过专用条款约定幅度的部分；</w:t>
      </w:r>
    </w:p>
    <w:p w14:paraId="4D12BF60">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（4）非承包人原因产生的费用索赔、现场签证、赶工措施费等有关工程费用；</w:t>
      </w:r>
    </w:p>
    <w:p w14:paraId="63449B2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（5）专用条款约定给予承包人的奖励金额；</w:t>
      </w:r>
    </w:p>
    <w:p w14:paraId="5A00A90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（6）专用条款约定的其他调整事项。</w:t>
      </w:r>
    </w:p>
    <w:p w14:paraId="6661D33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本款调整事项应分别按照第78条至第82条的约定调整合同价格。</w:t>
      </w:r>
    </w:p>
    <w:p w14:paraId="51F135CE">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69</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2DAA029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w:t>
      </w: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1E68C75D">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099584;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1E68C75D">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出现第69</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6E324421">
      <w:pPr>
        <w:spacing w:line="360" w:lineRule="auto"/>
        <w:rPr>
          <w:color w:val="000000" w:themeColor="text1"/>
          <w:highlight w:val="none"/>
          <w:lang w:eastAsia="zh-CN" w:bidi="ar-SA"/>
          <w14:textFill>
            <w14:solidFill>
              <w14:schemeClr w14:val="tx1"/>
            </w14:solidFill>
          </w14:textFill>
        </w:rPr>
      </w:pPr>
    </w:p>
    <w:p w14:paraId="196C87B3">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03" w:name="_Toc32061"/>
      <w:bookmarkStart w:id="404" w:name="_Toc149731506"/>
      <w:r>
        <w:rPr>
          <w:rFonts w:hint="eastAsia" w:ascii="仿宋" w:hAnsi="仿宋" w:eastAsia="仿宋" w:cs="仿宋"/>
          <w:bCs w:val="0"/>
          <w:color w:val="000000" w:themeColor="text1"/>
          <w:sz w:val="24"/>
          <w:szCs w:val="24"/>
          <w:highlight w:val="none"/>
          <w:lang w:eastAsia="zh-CN"/>
          <w14:textFill>
            <w14:solidFill>
              <w14:schemeClr w14:val="tx1"/>
            </w14:solidFill>
          </w14:textFill>
        </w:rPr>
        <w:t>★70合同价格调整程序</w:t>
      </w:r>
      <w:bookmarkEnd w:id="403"/>
      <w:bookmarkEnd w:id="404"/>
    </w:p>
    <w:p w14:paraId="739E8C1B">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70</w:t>
      </w:r>
      <w:r>
        <w:rPr>
          <w:rFonts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1</w:t>
      </w:r>
    </w:p>
    <w:p w14:paraId="2471DCD9">
      <w:pPr>
        <w:pStyle w:val="40"/>
        <w:widowControl w:val="0"/>
        <w:adjustRightInd w:val="0"/>
        <w:snapToGrid w:val="0"/>
        <w:spacing w:line="360" w:lineRule="auto"/>
        <w:ind w:left="1850" w:leftChars="771"/>
        <w:jc w:val="both"/>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104704"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1E055C6B">
                            <w:pPr>
                              <w:pStyle w:val="6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4704;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1E055C6B">
                      <w:pPr>
                        <w:pStyle w:val="6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出现合同价格调增事项后的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天内，承包人应向监理人、造价咨询人提交合同价格调增报告，并附上相关资料。如承包人在出现合同价格调增事项后的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天内未提交合同价格调增报告的，则造价咨询人可在报发包人批准后，根据实际情况决定是否调整合同价格以及调整的金额。</w:t>
      </w:r>
    </w:p>
    <w:p w14:paraId="3F32402E">
      <w:pPr>
        <w:pStyle w:val="40"/>
        <w:adjustRightInd w:val="0"/>
        <w:snapToGrid w:val="0"/>
        <w:spacing w:line="360" w:lineRule="auto"/>
        <w:rPr>
          <w:rFonts w:ascii="仿宋" w:hAnsi="仿宋" w:eastAsia="仿宋" w:cs="仿宋"/>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70.2</w:t>
      </w:r>
    </w:p>
    <w:p w14:paraId="05D50C4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63DB8CC5">
                            <w:pPr>
                              <w:pStyle w:val="6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1632;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63DB8CC5">
                      <w:pPr>
                        <w:pStyle w:val="6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监理人、造价咨询人应在收到合同价格调增报告及相关资料之日起</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天内对其核实，并予以确认或提出协商意见。造价咨询人在收到合同价格调增报告之日起</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5944413A">
      <w:pPr>
        <w:pStyle w:val="40"/>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70.3</w:t>
      </w:r>
    </w:p>
    <w:p w14:paraId="2A87349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37156269">
                            <w:pPr>
                              <w:pStyle w:val="6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2656;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37156269">
                      <w:pPr>
                        <w:pStyle w:val="6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经合同双方当事人确认或造价咨询人暂定调增的合同价格，作为追加合同价格，与工程进度款或结算款同期支付。</w:t>
      </w:r>
    </w:p>
    <w:p w14:paraId="1FF8B176">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70.4</w:t>
      </w:r>
    </w:p>
    <w:p w14:paraId="22BCCF57">
      <w:pPr>
        <w:spacing w:line="360" w:lineRule="auto"/>
        <w:ind w:left="1850" w:leftChars="771" w:firstLine="2"/>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03680"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560B13EE">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3680;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560B13EE">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出现合同价格调减事项时，发包人可按照本条约定的时限和要求，向承包人提交合同价格调减报告以及调减的金额，但调减的金额应按照实际确定。</w:t>
      </w:r>
    </w:p>
    <w:p w14:paraId="406AFD6B">
      <w:pPr>
        <w:pStyle w:val="40"/>
        <w:tabs>
          <w:tab w:val="left" w:pos="180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6388D047">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05" w:name="_Toc3656"/>
      <w:bookmarkStart w:id="406" w:name="_Toc149731507"/>
      <w:r>
        <w:rPr>
          <w:rFonts w:hint="eastAsia" w:ascii="仿宋" w:hAnsi="仿宋" w:eastAsia="仿宋" w:cs="仿宋"/>
          <w:bCs w:val="0"/>
          <w:color w:val="000000" w:themeColor="text1"/>
          <w:sz w:val="24"/>
          <w:szCs w:val="24"/>
          <w:highlight w:val="none"/>
          <w:lang w:eastAsia="zh-CN"/>
          <w14:textFill>
            <w14:solidFill>
              <w14:schemeClr w14:val="tx1"/>
            </w14:solidFill>
          </w14:textFill>
        </w:rPr>
        <w:t>★71工作量或工程量</w:t>
      </w:r>
      <w:bookmarkEnd w:id="405"/>
      <w:bookmarkEnd w:id="406"/>
    </w:p>
    <w:p w14:paraId="12AB2EE7">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71</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C33181A">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19BE26FD">
                            <w:pPr>
                              <w:pStyle w:val="2"/>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19BE26FD">
                      <w:pPr>
                        <w:pStyle w:val="2"/>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合同价格清单包括勘察项目清单（如果有）、设计项目清单、BIM技术应用项目清单、设备及工器具购置项目清单（如果有）、建筑安装工程工程量清单及其他服务项目清单（如果有）。</w:t>
      </w:r>
    </w:p>
    <w:p w14:paraId="5F30828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630C29CA">
      <w:pPr>
        <w:spacing w:line="360" w:lineRule="auto"/>
        <w:rPr>
          <w:rFonts w:ascii="仿宋" w:hAnsi="仿宋" w:eastAsia="仿宋"/>
          <w:b/>
          <w:bCs/>
          <w:color w:val="000000" w:themeColor="text1"/>
          <w:highlight w:val="none"/>
          <w:lang w:eastAsia="zh-CN"/>
          <w14:textFill>
            <w14:solidFill>
              <w14:schemeClr w14:val="tx1"/>
            </w14:solidFill>
          </w14:textFill>
        </w:rPr>
      </w:pPr>
      <w:bookmarkStart w:id="407" w:name="_Toc7410"/>
      <w:r>
        <w:rPr>
          <w:rFonts w:hint="eastAsia" w:ascii="仿宋" w:hAnsi="仿宋" w:eastAsia="仿宋" w:cs="仿宋"/>
          <w:b/>
          <w:bCs/>
          <w:color w:val="000000" w:themeColor="text1"/>
          <w:highlight w:val="none"/>
          <w:lang w:eastAsia="zh-CN"/>
          <w14:textFill>
            <w14:solidFill>
              <w14:schemeClr w14:val="tx1"/>
            </w14:solidFill>
          </w14:textFill>
        </w:rPr>
        <w:t>71</w:t>
      </w:r>
      <w:r>
        <w:rPr>
          <w:rFonts w:ascii="仿宋" w:hAnsi="仿宋" w:eastAsia="仿宋" w:cs="仿宋"/>
          <w:b/>
          <w:bCs/>
          <w:color w:val="000000" w:themeColor="text1"/>
          <w:highlight w:val="none"/>
          <w:lang w:eastAsia="zh-CN"/>
          <w14:textFill>
            <w14:solidFill>
              <w14:schemeClr w14:val="tx1"/>
            </w14:solidFill>
          </w14:textFill>
        </w:rPr>
        <w:t>.2</w:t>
      </w:r>
      <w:bookmarkEnd w:id="407"/>
    </w:p>
    <w:p w14:paraId="64AC25CA">
      <w:pPr>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75F231ED">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75F231ED">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000000" w:themeColor="text1"/>
          <w:highlight w:val="none"/>
          <w:lang w:eastAsia="zh-CN"/>
          <w14:textFill>
            <w14:solidFill>
              <w14:schemeClr w14:val="tx1"/>
            </w14:solidFill>
          </w14:textFill>
        </w:rPr>
        <w:t>合同价格清单中列出的任何工作量和价格数据仅限用于变更和支付的参考资料，而不能用于其他目的。</w:t>
      </w:r>
    </w:p>
    <w:p w14:paraId="3B329671">
      <w:pPr>
        <w:pStyle w:val="40"/>
        <w:widowControl w:val="0"/>
        <w:adjustRightInd w:val="0"/>
        <w:snapToGrid w:val="0"/>
        <w:spacing w:line="360" w:lineRule="auto"/>
        <w:ind w:left="1850" w:leftChars="771"/>
        <w:jc w:val="both"/>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olor w:val="000000" w:themeColor="text1"/>
          <w:sz w:val="24"/>
          <w:szCs w:val="24"/>
          <w:highlight w:val="none"/>
          <w:lang w:eastAsia="zh-CN"/>
          <w14:textFill>
            <w14:solidFill>
              <w14:schemeClr w14:val="tx1"/>
            </w14:solidFill>
          </w14:textFill>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1EC241A6">
      <w:pPr>
        <w:pStyle w:val="40"/>
        <w:tabs>
          <w:tab w:val="left" w:pos="1800"/>
        </w:tabs>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p>
    <w:p w14:paraId="1D5D338E">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08" w:name="_Toc10993"/>
      <w:bookmarkStart w:id="409" w:name="_Toc149731508"/>
      <w:r>
        <w:rPr>
          <w:rFonts w:hint="eastAsia" w:ascii="仿宋" w:hAnsi="仿宋" w:eastAsia="仿宋" w:cs="仿宋"/>
          <w:bCs w:val="0"/>
          <w:color w:val="000000" w:themeColor="text1"/>
          <w:sz w:val="24"/>
          <w:szCs w:val="24"/>
          <w:highlight w:val="none"/>
          <w:lang w:eastAsia="zh-CN"/>
          <w14:textFill>
            <w14:solidFill>
              <w14:schemeClr w14:val="tx1"/>
            </w14:solidFill>
          </w14:textFill>
        </w:rPr>
        <w:t>★72计量和计价</w:t>
      </w:r>
      <w:bookmarkEnd w:id="408"/>
      <w:bookmarkEnd w:id="409"/>
    </w:p>
    <w:p w14:paraId="1B8F958C">
      <w:pPr>
        <w:rPr>
          <w:rFonts w:ascii="仿宋" w:hAnsi="仿宋" w:eastAsia="仿宋" w:cs="仿宋"/>
          <w:b/>
          <w:bCs/>
          <w:color w:val="000000" w:themeColor="text1"/>
          <w:highlight w:val="none"/>
          <w:lang w:eastAsia="zh-CN"/>
          <w14:textFill>
            <w14:solidFill>
              <w14:schemeClr w14:val="tx1"/>
            </w14:solidFill>
          </w14:textFill>
        </w:rPr>
      </w:pPr>
      <w:bookmarkStart w:id="410" w:name="_Toc28023"/>
      <w:r>
        <w:rPr>
          <w:rFonts w:hint="eastAsia" w:ascii="仿宋" w:hAnsi="仿宋" w:eastAsia="仿宋" w:cs="仿宋"/>
          <w:b/>
          <w:bCs/>
          <w:color w:val="000000" w:themeColor="text1"/>
          <w:highlight w:val="none"/>
          <w:lang w:eastAsia="zh-CN"/>
          <w14:textFill>
            <w14:solidFill>
              <w14:schemeClr w14:val="tx1"/>
            </w14:solidFill>
          </w14:textFill>
        </w:rPr>
        <w:t>72</w:t>
      </w:r>
      <w:r>
        <w:rPr>
          <w:rFonts w:ascii="仿宋" w:hAnsi="仿宋" w:eastAsia="仿宋" w:cs="仿宋"/>
          <w:b/>
          <w:bCs/>
          <w:color w:val="000000" w:themeColor="text1"/>
          <w:highlight w:val="none"/>
          <w:lang w:eastAsia="zh-CN"/>
          <w14:textFill>
            <w14:solidFill>
              <w14:schemeClr w14:val="tx1"/>
            </w14:solidFill>
          </w14:textFill>
        </w:rPr>
        <w:t>.1</w:t>
      </w:r>
      <w:bookmarkEnd w:id="410"/>
    </w:p>
    <w:p w14:paraId="6E68CFD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24728DA7">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24728DA7">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45FB0702">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A48BAB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632F8991">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72.1.4 设备及工器具购置费（如果有）的计量规则与计价办法，由合同当事人在专用条款中约定。招标发包工程以承包人的投标文件及有效澄清文件、招标文件规定的报价要求及相关澄清文件执行。</w:t>
      </w:r>
    </w:p>
    <w:p w14:paraId="31BD7B62">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4D33342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72.1.6 其他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0654018">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72</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0758B6D5">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79FB8418">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79FB8418">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合同双方当事人应按照专用条款约定的计量规则、计价办法、计价依据、允许调整事项及合同价格调整办法，进行工程计量和计价。</w:t>
      </w:r>
    </w:p>
    <w:p w14:paraId="716AC23F">
      <w:pPr>
        <w:pStyle w:val="40"/>
        <w:adjustRightInd w:val="0"/>
        <w:snapToGrid w:val="0"/>
        <w:spacing w:line="360" w:lineRule="auto"/>
        <w:ind w:left="1850" w:leftChars="771"/>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监理人、造价咨询人负责工程计量和计价的核实工作。</w:t>
      </w:r>
    </w:p>
    <w:p w14:paraId="27AAE5EC">
      <w:pPr>
        <w:spacing w:line="360" w:lineRule="auto"/>
        <w:rPr>
          <w:rFonts w:ascii="仿宋" w:hAnsi="仿宋" w:eastAsia="仿宋"/>
          <w:b/>
          <w:bCs/>
          <w:color w:val="000000" w:themeColor="text1"/>
          <w:highlight w:val="none"/>
          <w:lang w:eastAsia="zh-CN"/>
          <w14:textFill>
            <w14:solidFill>
              <w14:schemeClr w14:val="tx1"/>
            </w14:solidFill>
          </w14:textFill>
        </w:rPr>
      </w:pPr>
      <w:bookmarkStart w:id="411" w:name="_Toc15382"/>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58A4F7B1">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58A4F7B1">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72</w:t>
      </w:r>
      <w:r>
        <w:rPr>
          <w:rFonts w:ascii="仿宋" w:hAnsi="仿宋" w:eastAsia="仿宋" w:cs="仿宋"/>
          <w:b/>
          <w:bCs/>
          <w:color w:val="000000" w:themeColor="text1"/>
          <w:highlight w:val="none"/>
          <w:lang w:eastAsia="zh-CN"/>
          <w14:textFill>
            <w14:solidFill>
              <w14:schemeClr w14:val="tx1"/>
            </w14:solidFill>
          </w14:textFill>
        </w:rPr>
        <w:t>.3</w:t>
      </w:r>
      <w:bookmarkEnd w:id="411"/>
    </w:p>
    <w:p w14:paraId="62434C1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款约定向造价咨询人提交已完工作或工程款额报告。监理人、造价咨询人应在收到报告后的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天内核实工作量或工程量，并将核实结果通知承包人、抄报发包人，作为计价和支付的依据。</w:t>
      </w:r>
    </w:p>
    <w:p w14:paraId="4ACB5238">
      <w:pPr>
        <w:pStyle w:val="40"/>
        <w:adjustRightInd w:val="0"/>
        <w:snapToGrid w:val="0"/>
        <w:spacing w:line="360" w:lineRule="auto"/>
        <w:rPr>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72</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751E00D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7E9D98F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7E9D98F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当造价咨询人进行现场计量时，应在计量前</w:t>
      </w:r>
      <w:r>
        <w:rPr>
          <w:rFonts w:ascii="仿宋" w:hAnsi="仿宋" w:eastAsia="仿宋" w:cs="仿宋"/>
          <w:color w:val="000000" w:themeColor="text1"/>
          <w:sz w:val="24"/>
          <w:szCs w:val="24"/>
          <w:highlight w:val="none"/>
          <w:lang w:eastAsia="zh-CN"/>
          <w14:textFill>
            <w14:solidFill>
              <w14:schemeClr w14:val="tx1"/>
            </w14:solidFill>
          </w14:textFill>
        </w:rPr>
        <w:t>24</w:t>
      </w:r>
      <w:r>
        <w:rPr>
          <w:rFonts w:hint="eastAsia" w:ascii="仿宋" w:hAnsi="仿宋" w:eastAsia="仿宋" w:cs="仿宋"/>
          <w:color w:val="000000" w:themeColor="text1"/>
          <w:sz w:val="24"/>
          <w:szCs w:val="24"/>
          <w:highlight w:val="none"/>
          <w:lang w:eastAsia="zh-CN"/>
          <w14:textFill>
            <w14:solidFill>
              <w14:schemeClr w14:val="tx1"/>
            </w14:solidFill>
          </w14:textFill>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B13116C">
      <w:pPr>
        <w:spacing w:line="360" w:lineRule="auto"/>
        <w:rPr>
          <w:rFonts w:ascii="仿宋" w:hAnsi="仿宋" w:eastAsia="仿宋"/>
          <w:b/>
          <w:bCs/>
          <w:color w:val="000000" w:themeColor="text1"/>
          <w:highlight w:val="none"/>
          <w:lang w:eastAsia="zh-CN"/>
          <w14:textFill>
            <w14:solidFill>
              <w14:schemeClr w14:val="tx1"/>
            </w14:solidFill>
          </w14:textFill>
        </w:rPr>
      </w:pPr>
      <w:bookmarkStart w:id="412" w:name="_Toc14982"/>
      <w:r>
        <w:rPr>
          <w:rFonts w:hint="eastAsia" w:ascii="仿宋" w:hAnsi="仿宋" w:eastAsia="仿宋" w:cs="仿宋"/>
          <w:b/>
          <w:bCs/>
          <w:color w:val="000000" w:themeColor="text1"/>
          <w:highlight w:val="none"/>
          <w:lang w:eastAsia="zh-CN"/>
          <w14:textFill>
            <w14:solidFill>
              <w14:schemeClr w14:val="tx1"/>
            </w14:solidFill>
          </w14:textFill>
        </w:rPr>
        <w:t>72</w:t>
      </w:r>
      <w:r>
        <w:rPr>
          <w:rFonts w:ascii="仿宋" w:hAnsi="仿宋" w:eastAsia="仿宋" w:cs="仿宋"/>
          <w:b/>
          <w:bCs/>
          <w:color w:val="000000" w:themeColor="text1"/>
          <w:highlight w:val="none"/>
          <w:lang w:eastAsia="zh-CN"/>
          <w14:textFill>
            <w14:solidFill>
              <w14:schemeClr w14:val="tx1"/>
            </w14:solidFill>
          </w14:textFill>
        </w:rPr>
        <w:t>.5</w:t>
      </w:r>
      <w:bookmarkEnd w:id="412"/>
    </w:p>
    <w:p w14:paraId="4590237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734BE760">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734BE760">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造价咨询人收到承包人按照第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款约定提交的已完成工作或工程款额报告后</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天内，未进行计量或未向承包人通知计量结果的，从第</w:t>
      </w:r>
      <w:r>
        <w:rPr>
          <w:rFonts w:ascii="仿宋" w:hAnsi="仿宋" w:eastAsia="仿宋" w:cs="仿宋"/>
          <w:color w:val="000000" w:themeColor="text1"/>
          <w:sz w:val="24"/>
          <w:szCs w:val="24"/>
          <w:highlight w:val="none"/>
          <w:lang w:eastAsia="zh-CN"/>
          <w14:textFill>
            <w14:solidFill>
              <w14:schemeClr w14:val="tx1"/>
            </w14:solidFill>
          </w14:textFill>
        </w:rPr>
        <w:t>15</w:t>
      </w:r>
      <w:r>
        <w:rPr>
          <w:rFonts w:hint="eastAsia" w:ascii="仿宋" w:hAnsi="仿宋" w:eastAsia="仿宋" w:cs="仿宋"/>
          <w:color w:val="000000" w:themeColor="text1"/>
          <w:sz w:val="24"/>
          <w:szCs w:val="24"/>
          <w:highlight w:val="none"/>
          <w:lang w:eastAsia="zh-CN"/>
          <w14:textFill>
            <w14:solidFill>
              <w14:schemeClr w14:val="tx1"/>
            </w14:solidFill>
          </w14:textFill>
        </w:rPr>
        <w:t>天起，承包人报告中开列的工作量或工程量即视为被确认，作为计价和支付的依据。</w:t>
      </w:r>
    </w:p>
    <w:p w14:paraId="45AE68A6">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72</w:t>
      </w:r>
      <w:r>
        <w:rPr>
          <w:rFonts w:ascii="仿宋" w:hAnsi="仿宋" w:eastAsia="仿宋" w:cs="仿宋"/>
          <w:b/>
          <w:bCs/>
          <w:color w:val="000000" w:themeColor="text1"/>
          <w:highlight w:val="none"/>
          <w:lang w:eastAsia="zh-CN"/>
          <w14:textFill>
            <w14:solidFill>
              <w14:schemeClr w14:val="tx1"/>
            </w14:solidFill>
          </w14:textFill>
        </w:rPr>
        <w:t xml:space="preserve">.6  </w:t>
      </w:r>
    </w:p>
    <w:p w14:paraId="4EF173E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6B3D4504">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6B3D4504">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如果承包人认为造价咨询人的计量结果有误，应在收到计量结果通知后的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1FF86FB0">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72</w:t>
      </w:r>
      <w:r>
        <w:rPr>
          <w:rFonts w:ascii="仿宋" w:hAnsi="仿宋" w:eastAsia="仿宋" w:cs="仿宋"/>
          <w:b/>
          <w:bCs/>
          <w:color w:val="000000" w:themeColor="text1"/>
          <w:highlight w:val="none"/>
          <w:lang w:eastAsia="zh-CN"/>
          <w14:textFill>
            <w14:solidFill>
              <w14:schemeClr w14:val="tx1"/>
            </w14:solidFill>
          </w14:textFill>
        </w:rPr>
        <w:t xml:space="preserve">.7  </w:t>
      </w:r>
    </w:p>
    <w:p w14:paraId="18E175B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58A01CFD">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58A01CFD">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对承包人超出总承包范围的工程内容、服务内容或因承包人的原因造成返工的工作量或工程量，造价工程师均不予计量。</w:t>
      </w:r>
    </w:p>
    <w:p w14:paraId="1C6D27CD">
      <w:pPr>
        <w:spacing w:line="360" w:lineRule="auto"/>
        <w:rPr>
          <w:rFonts w:ascii="仿宋" w:hAnsi="仿宋" w:eastAsia="仿宋"/>
          <w:b/>
          <w:bCs/>
          <w:color w:val="000000" w:themeColor="text1"/>
          <w:highlight w:val="none"/>
          <w:lang w:eastAsia="zh-CN"/>
          <w14:textFill>
            <w14:solidFill>
              <w14:schemeClr w14:val="tx1"/>
            </w14:solidFill>
          </w14:textFill>
        </w:rPr>
      </w:pPr>
      <w:bookmarkStart w:id="413" w:name="_Toc13755"/>
      <w:r>
        <w:rPr>
          <w:rFonts w:hint="eastAsia" w:ascii="仿宋" w:hAnsi="仿宋" w:eastAsia="仿宋" w:cs="仿宋"/>
          <w:b/>
          <w:bCs/>
          <w:color w:val="000000" w:themeColor="text1"/>
          <w:highlight w:val="none"/>
          <w:lang w:eastAsia="zh-CN"/>
          <w14:textFill>
            <w14:solidFill>
              <w14:schemeClr w14:val="tx1"/>
            </w14:solidFill>
          </w14:textFill>
        </w:rPr>
        <w:t>72</w:t>
      </w:r>
      <w:r>
        <w:rPr>
          <w:rFonts w:ascii="仿宋" w:hAnsi="仿宋" w:eastAsia="仿宋" w:cs="仿宋"/>
          <w:b/>
          <w:bCs/>
          <w:color w:val="000000" w:themeColor="text1"/>
          <w:highlight w:val="none"/>
          <w:lang w:eastAsia="zh-CN"/>
          <w14:textFill>
            <w14:solidFill>
              <w14:schemeClr w14:val="tx1"/>
            </w14:solidFill>
          </w14:textFill>
        </w:rPr>
        <w:t>.8</w:t>
      </w:r>
      <w:bookmarkEnd w:id="413"/>
    </w:p>
    <w:p w14:paraId="229C99CC">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5ABF66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35ABF66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6CC4F508">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AF93083">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14" w:name="_Toc11470"/>
      <w:bookmarkStart w:id="415" w:name="_Toc149731509"/>
      <w:r>
        <w:rPr>
          <w:rFonts w:hint="eastAsia" w:ascii="仿宋" w:hAnsi="仿宋" w:eastAsia="仿宋" w:cs="仿宋"/>
          <w:bCs w:val="0"/>
          <w:color w:val="000000" w:themeColor="text1"/>
          <w:sz w:val="24"/>
          <w:szCs w:val="24"/>
          <w:highlight w:val="none"/>
          <w:lang w:eastAsia="zh-CN"/>
          <w14:textFill>
            <w14:solidFill>
              <w14:schemeClr w14:val="tx1"/>
            </w14:solidFill>
          </w14:textFill>
        </w:rPr>
        <w:t>★73暂列金额</w:t>
      </w:r>
      <w:bookmarkEnd w:id="414"/>
      <w:bookmarkEnd w:id="415"/>
    </w:p>
    <w:p w14:paraId="24C6EE21">
      <w:pPr>
        <w:rPr>
          <w:rFonts w:ascii="仿宋" w:hAnsi="仿宋" w:eastAsia="仿宋" w:cs="仿宋"/>
          <w:b/>
          <w:bCs/>
          <w:color w:val="000000" w:themeColor="text1"/>
          <w:highlight w:val="none"/>
          <w:lang w:eastAsia="zh-CN"/>
          <w14:textFill>
            <w14:solidFill>
              <w14:schemeClr w14:val="tx1"/>
            </w14:solidFill>
          </w14:textFill>
        </w:rPr>
      </w:pPr>
      <w:bookmarkStart w:id="416" w:name="_Toc19770"/>
      <w:r>
        <w:rPr>
          <w:rFonts w:hint="eastAsia" w:ascii="仿宋" w:hAnsi="仿宋" w:eastAsia="仿宋" w:cs="仿宋"/>
          <w:b/>
          <w:bCs/>
          <w:color w:val="000000" w:themeColor="text1"/>
          <w:highlight w:val="none"/>
          <w:lang w:eastAsia="zh-CN"/>
          <w14:textFill>
            <w14:solidFill>
              <w14:schemeClr w14:val="tx1"/>
            </w14:solidFill>
          </w14:textFill>
        </w:rPr>
        <w:t>73</w:t>
      </w:r>
      <w:r>
        <w:rPr>
          <w:rFonts w:ascii="仿宋" w:hAnsi="仿宋" w:eastAsia="仿宋" w:cs="仿宋"/>
          <w:b/>
          <w:bCs/>
          <w:color w:val="000000" w:themeColor="text1"/>
          <w:highlight w:val="none"/>
          <w:lang w:eastAsia="zh-CN"/>
          <w14:textFill>
            <w14:solidFill>
              <w14:schemeClr w14:val="tx1"/>
            </w14:solidFill>
          </w14:textFill>
        </w:rPr>
        <w:t>.1</w:t>
      </w:r>
      <w:bookmarkEnd w:id="416"/>
    </w:p>
    <w:p w14:paraId="7EAA27F9">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238879C8">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238879C8">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合同双方当事人应在专用条款中明确合同价格清单中开列的暂列金额。</w:t>
      </w:r>
    </w:p>
    <w:p w14:paraId="60CC804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20630C20">
      <w:pPr>
        <w:spacing w:line="360" w:lineRule="auto"/>
        <w:rPr>
          <w:rFonts w:ascii="仿宋" w:hAnsi="仿宋" w:eastAsia="仿宋"/>
          <w:b/>
          <w:bCs/>
          <w:color w:val="000000" w:themeColor="text1"/>
          <w:highlight w:val="none"/>
          <w:lang w:eastAsia="zh-CN"/>
          <w14:textFill>
            <w14:solidFill>
              <w14:schemeClr w14:val="tx1"/>
            </w14:solidFill>
          </w14:textFill>
        </w:rPr>
      </w:pPr>
      <w:bookmarkStart w:id="417" w:name="_Toc32231"/>
      <w:r>
        <w:rPr>
          <w:rFonts w:hint="eastAsia" w:ascii="仿宋" w:hAnsi="仿宋" w:eastAsia="仿宋" w:cs="仿宋"/>
          <w:b/>
          <w:bCs/>
          <w:color w:val="000000" w:themeColor="text1"/>
          <w:highlight w:val="none"/>
          <w:lang w:eastAsia="zh-CN"/>
          <w14:textFill>
            <w14:solidFill>
              <w14:schemeClr w14:val="tx1"/>
            </w14:solidFill>
          </w14:textFill>
        </w:rPr>
        <w:t>73</w:t>
      </w:r>
      <w:r>
        <w:rPr>
          <w:rFonts w:ascii="仿宋" w:hAnsi="仿宋" w:eastAsia="仿宋" w:cs="仿宋"/>
          <w:b/>
          <w:bCs/>
          <w:color w:val="000000" w:themeColor="text1"/>
          <w:highlight w:val="none"/>
          <w:lang w:eastAsia="zh-CN"/>
          <w14:textFill>
            <w14:solidFill>
              <w14:schemeClr w14:val="tx1"/>
            </w14:solidFill>
          </w14:textFill>
        </w:rPr>
        <w:t>.2</w:t>
      </w:r>
      <w:bookmarkEnd w:id="417"/>
    </w:p>
    <w:p w14:paraId="12D4EEA9">
      <w:pPr>
        <w:pStyle w:val="40"/>
        <w:adjustRightInd w:val="0"/>
        <w:snapToGrid w:val="0"/>
        <w:spacing w:line="360" w:lineRule="auto"/>
        <w:ind w:left="1850" w:leftChars="771"/>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3FE96C4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3FE96C4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经发包人批准后，监理人应就承包人实施第73</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款约定的工作发出书面指令。承包人应就此项指令提出所需价款，经造价咨询人核实并由其报发包人确认后，向承包人支付相关款项。</w:t>
      </w:r>
    </w:p>
    <w:p w14:paraId="0DD4845E">
      <w:pPr>
        <w:spacing w:line="360" w:lineRule="auto"/>
        <w:rPr>
          <w:rFonts w:ascii="仿宋" w:hAnsi="仿宋" w:eastAsia="仿宋"/>
          <w:b/>
          <w:bCs/>
          <w:color w:val="000000" w:themeColor="text1"/>
          <w:highlight w:val="none"/>
          <w:lang w:eastAsia="zh-CN"/>
          <w14:textFill>
            <w14:solidFill>
              <w14:schemeClr w14:val="tx1"/>
            </w14:solidFill>
          </w14:textFill>
        </w:rPr>
      </w:pPr>
      <w:bookmarkStart w:id="418" w:name="_Toc3441"/>
      <w:r>
        <w:rPr>
          <w:rFonts w:hint="eastAsia" w:ascii="仿宋" w:hAnsi="仿宋" w:eastAsia="仿宋" w:cs="仿宋"/>
          <w:b/>
          <w:bCs/>
          <w:color w:val="000000" w:themeColor="text1"/>
          <w:highlight w:val="none"/>
          <w:lang w:eastAsia="zh-CN"/>
          <w14:textFill>
            <w14:solidFill>
              <w14:schemeClr w14:val="tx1"/>
            </w14:solidFill>
          </w14:textFill>
        </w:rPr>
        <w:t>73</w:t>
      </w:r>
      <w:r>
        <w:rPr>
          <w:rFonts w:ascii="仿宋" w:hAnsi="仿宋" w:eastAsia="仿宋" w:cs="仿宋"/>
          <w:b/>
          <w:bCs/>
          <w:color w:val="000000" w:themeColor="text1"/>
          <w:highlight w:val="none"/>
          <w:lang w:eastAsia="zh-CN"/>
          <w14:textFill>
            <w14:solidFill>
              <w14:schemeClr w14:val="tx1"/>
            </w14:solidFill>
          </w14:textFill>
        </w:rPr>
        <w:t>.3</w:t>
      </w:r>
      <w:bookmarkEnd w:id="418"/>
    </w:p>
    <w:p w14:paraId="2CE6BBC1">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6251CB3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6251CB3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造价咨询人有要求时，承包人应提供使用暂列金额支付项目的所有报价单、发票、账单或收据。</w:t>
      </w:r>
    </w:p>
    <w:p w14:paraId="2ABD9808">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467E383B">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19" w:name="_Toc149731510"/>
      <w:bookmarkStart w:id="420" w:name="_Toc2591"/>
      <w:r>
        <w:rPr>
          <w:rFonts w:hint="eastAsia" w:ascii="仿宋" w:hAnsi="仿宋" w:eastAsia="仿宋" w:cs="仿宋"/>
          <w:bCs w:val="0"/>
          <w:color w:val="000000" w:themeColor="text1"/>
          <w:sz w:val="24"/>
          <w:szCs w:val="24"/>
          <w:highlight w:val="none"/>
          <w:lang w:eastAsia="zh-CN"/>
          <w14:textFill>
            <w14:solidFill>
              <w14:schemeClr w14:val="tx1"/>
            </w14:solidFill>
          </w14:textFill>
        </w:rPr>
        <w:t>★74计日工</w:t>
      </w:r>
      <w:bookmarkEnd w:id="419"/>
      <w:bookmarkEnd w:id="420"/>
    </w:p>
    <w:p w14:paraId="73401AA7">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74</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7D4B7618">
      <w:pPr>
        <w:pStyle w:val="40"/>
        <w:widowControl w:val="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3DB912F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3DB912F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计日工单价是用于承包人实施发包人要求的合同以外零星工作项目所需的人工单价、工程材料单价、工程设备单价和施工设备机械台班单价。</w:t>
      </w:r>
    </w:p>
    <w:p w14:paraId="52FE799E">
      <w:pPr>
        <w:pStyle w:val="40"/>
        <w:adjustRightInd w:val="0"/>
        <w:snapToGrid w:val="0"/>
        <w:spacing w:line="480" w:lineRule="auto"/>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74</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078C88D4">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经发包人批准后，监理人应就使用计日工项目发出书面指令。</w:t>
      </w: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0779C63A">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0779C63A">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任一按照计日工方式计价的工作，承包人应在该项工作实施结束后的</w:t>
      </w:r>
      <w:r>
        <w:rPr>
          <w:rFonts w:ascii="仿宋" w:hAnsi="仿宋" w:eastAsia="仿宋" w:cs="仿宋"/>
          <w:color w:val="000000" w:themeColor="text1"/>
          <w:sz w:val="24"/>
          <w:szCs w:val="24"/>
          <w:highlight w:val="none"/>
          <w:lang w:eastAsia="zh-CN"/>
          <w14:textFill>
            <w14:solidFill>
              <w14:schemeClr w14:val="tx1"/>
            </w14:solidFill>
          </w14:textFill>
        </w:rPr>
        <w:t>24</w:t>
      </w:r>
      <w:r>
        <w:rPr>
          <w:rFonts w:hint="eastAsia" w:ascii="仿宋" w:hAnsi="仿宋" w:eastAsia="仿宋" w:cs="仿宋"/>
          <w:color w:val="000000" w:themeColor="text1"/>
          <w:sz w:val="24"/>
          <w:szCs w:val="24"/>
          <w:highlight w:val="none"/>
          <w:lang w:eastAsia="zh-CN"/>
          <w14:textFill>
            <w14:solidFill>
              <w14:schemeClr w14:val="tx1"/>
            </w14:solidFill>
          </w14:textFill>
        </w:rPr>
        <w:t>小时内，向监理人提交有计日工记录的现场签证报告一式两份。</w:t>
      </w:r>
    </w:p>
    <w:p w14:paraId="3569EC1B">
      <w:pPr>
        <w:pStyle w:val="40"/>
        <w:adjustRightInd w:val="0"/>
        <w:snapToGrid w:val="0"/>
        <w:spacing w:line="360" w:lineRule="auto"/>
        <w:ind w:left="1800" w:leftChars="75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当此工作持续进行时，承包人应每天向监理人提交当天计日工记录完毕的现场签证报告。监理人在收到承包人提交现场签证报告后的</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天内予以确认并由其报发包人批准后，将其中一份返还给承包人，作为计日工计价和支付的依据。监理人逾期未确认也未提出修改意见的，视为承包人提交的现场签证报告已被认可。</w:t>
      </w:r>
    </w:p>
    <w:p w14:paraId="3B939F66">
      <w:pPr>
        <w:spacing w:line="360" w:lineRule="auto"/>
        <w:rPr>
          <w:rFonts w:ascii="仿宋" w:hAnsi="仿宋" w:eastAsia="仿宋"/>
          <w:b/>
          <w:bCs/>
          <w:color w:val="000000" w:themeColor="text1"/>
          <w:highlight w:val="none"/>
          <w:lang w:eastAsia="zh-CN"/>
          <w14:textFill>
            <w14:solidFill>
              <w14:schemeClr w14:val="tx1"/>
            </w14:solidFill>
          </w14:textFill>
        </w:rPr>
      </w:pPr>
      <w:bookmarkStart w:id="421" w:name="_Toc27830"/>
      <w:r>
        <w:rPr>
          <w:rFonts w:hint="eastAsia" w:ascii="仿宋" w:hAnsi="仿宋" w:eastAsia="仿宋" w:cs="仿宋"/>
          <w:b/>
          <w:bCs/>
          <w:color w:val="000000" w:themeColor="text1"/>
          <w:highlight w:val="none"/>
          <w:lang w:eastAsia="zh-CN"/>
          <w14:textFill>
            <w14:solidFill>
              <w14:schemeClr w14:val="tx1"/>
            </w14:solidFill>
          </w14:textFill>
        </w:rPr>
        <w:t>74</w:t>
      </w:r>
      <w:r>
        <w:rPr>
          <w:rFonts w:ascii="仿宋" w:hAnsi="仿宋" w:eastAsia="仿宋" w:cs="仿宋"/>
          <w:b/>
          <w:bCs/>
          <w:color w:val="000000" w:themeColor="text1"/>
          <w:highlight w:val="none"/>
          <w:lang w:eastAsia="zh-CN"/>
          <w14:textFill>
            <w14:solidFill>
              <w14:schemeClr w14:val="tx1"/>
            </w14:solidFill>
          </w14:textFill>
        </w:rPr>
        <w:t>.3</w:t>
      </w:r>
      <w:bookmarkEnd w:id="421"/>
    </w:p>
    <w:p w14:paraId="2956F2DC">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1CAC7A6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1CAC7A6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07AF9D7E">
      <w:pPr>
        <w:pStyle w:val="4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每个支付期末，承包人应按照第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款约定向发包人提交本期间所有计日工记录的签证汇总表，以说明本期间自己认为有权得到的计日工费用。</w:t>
      </w:r>
    </w:p>
    <w:p w14:paraId="7739ADC2">
      <w:pPr>
        <w:pStyle w:val="40"/>
        <w:tabs>
          <w:tab w:val="left" w:pos="54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p>
    <w:p w14:paraId="7ACBD426">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22" w:name="_Toc149731511"/>
      <w:bookmarkStart w:id="423" w:name="_Toc18977"/>
      <w:r>
        <w:rPr>
          <w:rFonts w:hint="eastAsia" w:ascii="仿宋" w:hAnsi="仿宋" w:eastAsia="仿宋" w:cs="仿宋"/>
          <w:bCs w:val="0"/>
          <w:color w:val="000000" w:themeColor="text1"/>
          <w:sz w:val="24"/>
          <w:szCs w:val="24"/>
          <w:highlight w:val="none"/>
          <w:lang w:eastAsia="zh-CN"/>
          <w14:textFill>
            <w14:solidFill>
              <w14:schemeClr w14:val="tx1"/>
            </w14:solidFill>
          </w14:textFill>
        </w:rPr>
        <w:t>★75暂估价</w:t>
      </w:r>
      <w:bookmarkEnd w:id="422"/>
      <w:bookmarkEnd w:id="423"/>
    </w:p>
    <w:p w14:paraId="7896AC90">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6027C07E">
                            <w:pPr>
                              <w:pStyle w:val="28"/>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701094F0">
                            <w:pPr>
                              <w:rPr>
                                <w:rFonts w:ascii="楷体_GB2312" w:hAnsi="宋体" w:eastAsia="楷体_GB2312"/>
                                <w:b/>
                                <w:bCs/>
                                <w:color w:val="000000"/>
                                <w:sz w:val="18"/>
                                <w:szCs w:val="18"/>
                                <w:lang w:eastAsia="zh-CN"/>
                              </w:rPr>
                            </w:pPr>
                          </w:p>
                          <w:p w14:paraId="472E9BFF">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350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6027C07E">
                      <w:pPr>
                        <w:pStyle w:val="28"/>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701094F0">
                      <w:pPr>
                        <w:rPr>
                          <w:rFonts w:ascii="楷体_GB2312" w:hAnsi="宋体" w:eastAsia="楷体_GB2312"/>
                          <w:b/>
                          <w:bCs/>
                          <w:color w:val="000000"/>
                          <w:sz w:val="18"/>
                          <w:szCs w:val="18"/>
                          <w:lang w:eastAsia="zh-CN"/>
                        </w:rPr>
                      </w:pPr>
                    </w:p>
                    <w:p w14:paraId="472E9BFF">
                      <w:pPr>
                        <w:rPr>
                          <w:sz w:val="18"/>
                          <w:szCs w:val="18"/>
                          <w:lang w:eastAsia="zh-CN"/>
                        </w:rPr>
                      </w:pP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75</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7670CC5">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000000" w:themeColor="text1"/>
          <w:sz w:val="24"/>
          <w:szCs w:val="24"/>
          <w:highlight w:val="none"/>
          <w:lang w:eastAsia="zh-CN"/>
          <w14:textFill>
            <w14:solidFill>
              <w14:schemeClr w14:val="tx1"/>
            </w14:solidFill>
          </w14:textFill>
        </w:rPr>
        <w:t>暂估价</w:t>
      </w:r>
      <w:r>
        <w:rPr>
          <w:rFonts w:hint="eastAsia" w:ascii="仿宋" w:hAnsi="仿宋" w:eastAsia="仿宋" w:cs="仿宋"/>
          <w:color w:val="000000" w:themeColor="text1"/>
          <w:sz w:val="24"/>
          <w:szCs w:val="24"/>
          <w:highlight w:val="none"/>
          <w:lang w:eastAsia="zh-CN"/>
          <w14:textFill>
            <w14:solidFill>
              <w14:schemeClr w14:val="tx1"/>
            </w14:solidFill>
          </w14:textFill>
        </w:rPr>
        <w:t>计入合同价格。</w:t>
      </w:r>
    </w:p>
    <w:p w14:paraId="5761B02A">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75</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59B029D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003B3235">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003B3235">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000000" w:themeColor="text1"/>
          <w:sz w:val="24"/>
          <w:szCs w:val="24"/>
          <w:highlight w:val="none"/>
          <w:lang w:eastAsia="zh-CN"/>
          <w14:textFill>
            <w14:solidFill>
              <w14:schemeClr w14:val="tx1"/>
            </w14:solidFill>
          </w14:textFill>
        </w:rPr>
        <w:t>暂估价</w:t>
      </w:r>
      <w:r>
        <w:rPr>
          <w:rFonts w:hint="eastAsia" w:ascii="仿宋" w:hAnsi="仿宋" w:eastAsia="仿宋" w:cs="仿宋"/>
          <w:color w:val="000000" w:themeColor="text1"/>
          <w:sz w:val="24"/>
          <w:szCs w:val="24"/>
          <w:highlight w:val="none"/>
          <w:lang w:eastAsia="zh-CN"/>
          <w14:textFill>
            <w14:solidFill>
              <w14:schemeClr w14:val="tx1"/>
            </w14:solidFill>
          </w14:textFill>
        </w:rPr>
        <w:t>计入合同价格。</w:t>
      </w:r>
    </w:p>
    <w:p w14:paraId="56426DEE">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bookmarkStart w:id="424" w:name="_Toc27828"/>
      <w:r>
        <w:rPr>
          <w:rFonts w:hint="eastAsia" w:ascii="仿宋" w:hAnsi="仿宋" w:eastAsia="仿宋" w:cs="仿宋"/>
          <w:b/>
          <w:bCs/>
          <w:color w:val="000000" w:themeColor="text1"/>
          <w:sz w:val="24"/>
          <w:szCs w:val="24"/>
          <w:highlight w:val="none"/>
          <w:lang w:eastAsia="zh-CN"/>
          <w14:textFill>
            <w14:solidFill>
              <w14:schemeClr w14:val="tx1"/>
            </w14:solidFill>
          </w14:textFill>
        </w:rPr>
        <w:t>75</w:t>
      </w:r>
      <w:r>
        <w:rPr>
          <w:rFonts w:ascii="仿宋" w:hAnsi="仿宋" w:eastAsia="仿宋" w:cs="仿宋"/>
          <w:b/>
          <w:bCs/>
          <w:color w:val="000000" w:themeColor="text1"/>
          <w:sz w:val="24"/>
          <w:szCs w:val="24"/>
          <w:highlight w:val="none"/>
          <w:lang w:eastAsia="zh-CN"/>
          <w14:textFill>
            <w14:solidFill>
              <w14:schemeClr w14:val="tx1"/>
            </w14:solidFill>
          </w14:textFill>
        </w:rPr>
        <w:t>.3</w:t>
      </w:r>
      <w:bookmarkEnd w:id="424"/>
    </w:p>
    <w:p w14:paraId="4D802637">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302007BB">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302007BB">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000000" w:themeColor="text1"/>
          <w:sz w:val="24"/>
          <w:szCs w:val="24"/>
          <w:highlight w:val="none"/>
          <w:lang w:eastAsia="zh-CN"/>
          <w14:textFill>
            <w14:solidFill>
              <w14:schemeClr w14:val="tx1"/>
            </w14:solidFill>
          </w14:textFill>
        </w:rPr>
        <w:t>暂估价</w:t>
      </w:r>
      <w:r>
        <w:rPr>
          <w:rFonts w:hint="eastAsia" w:ascii="仿宋" w:hAnsi="仿宋" w:eastAsia="仿宋" w:cs="仿宋"/>
          <w:color w:val="000000" w:themeColor="text1"/>
          <w:sz w:val="24"/>
          <w:szCs w:val="24"/>
          <w:highlight w:val="none"/>
          <w:lang w:eastAsia="zh-CN"/>
          <w14:textFill>
            <w14:solidFill>
              <w14:schemeClr w14:val="tx1"/>
            </w14:solidFill>
          </w14:textFill>
        </w:rPr>
        <w:t>计入合同价格。</w:t>
      </w:r>
    </w:p>
    <w:p w14:paraId="4846F541">
      <w:pPr>
        <w:pStyle w:val="40"/>
        <w:tabs>
          <w:tab w:val="left" w:pos="3038"/>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653BA051">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25" w:name="_Toc149731512"/>
      <w:bookmarkStart w:id="426" w:name="_Toc16424"/>
      <w:r>
        <w:rPr>
          <w:rFonts w:hint="eastAsia" w:ascii="仿宋" w:hAnsi="仿宋" w:eastAsia="仿宋" w:cs="仿宋"/>
          <w:bCs w:val="0"/>
          <w:color w:val="000000" w:themeColor="text1"/>
          <w:sz w:val="24"/>
          <w:szCs w:val="24"/>
          <w:highlight w:val="none"/>
          <w:lang w:eastAsia="zh-CN"/>
          <w14:textFill>
            <w14:solidFill>
              <w14:schemeClr w14:val="tx1"/>
            </w14:solidFill>
          </w14:textFill>
        </w:rPr>
        <w:t>★76提前竣工奖与误期赔偿费</w:t>
      </w:r>
      <w:bookmarkEnd w:id="425"/>
      <w:bookmarkEnd w:id="426"/>
    </w:p>
    <w:p w14:paraId="3B823E3C">
      <w:pPr>
        <w:rPr>
          <w:rFonts w:ascii="仿宋" w:hAnsi="仿宋" w:eastAsia="仿宋" w:cs="仿宋"/>
          <w:b/>
          <w:bCs/>
          <w:color w:val="000000" w:themeColor="text1"/>
          <w:highlight w:val="none"/>
          <w:lang w:eastAsia="zh-CN"/>
          <w14:textFill>
            <w14:solidFill>
              <w14:schemeClr w14:val="tx1"/>
            </w14:solidFill>
          </w14:textFill>
        </w:rPr>
      </w:pPr>
      <w:bookmarkStart w:id="427" w:name="_Toc23082"/>
      <w:r>
        <w:rPr>
          <w:rFonts w:hint="eastAsia" w:ascii="仿宋" w:hAnsi="仿宋" w:eastAsia="仿宋" w:cs="仿宋"/>
          <w:b/>
          <w:bCs/>
          <w:color w:val="000000" w:themeColor="text1"/>
          <w:highlight w:val="none"/>
          <w:lang w:eastAsia="zh-CN"/>
          <w14:textFill>
            <w14:solidFill>
              <w14:schemeClr w14:val="tx1"/>
            </w14:solidFill>
          </w14:textFill>
        </w:rPr>
        <w:t>76</w:t>
      </w:r>
      <w:r>
        <w:rPr>
          <w:rFonts w:ascii="仿宋" w:hAnsi="仿宋" w:eastAsia="仿宋" w:cs="仿宋"/>
          <w:b/>
          <w:bCs/>
          <w:color w:val="000000" w:themeColor="text1"/>
          <w:highlight w:val="none"/>
          <w:lang w:eastAsia="zh-CN"/>
          <w14:textFill>
            <w14:solidFill>
              <w14:schemeClr w14:val="tx1"/>
            </w14:solidFill>
          </w14:textFill>
        </w:rPr>
        <w:t>.1</w:t>
      </w:r>
      <w:bookmarkEnd w:id="427"/>
    </w:p>
    <w:p w14:paraId="0E9A527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31C9FB77">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31C9FB77">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。提前竣工奖列入竣工结算文件中，与结算款一并支付。</w:t>
      </w:r>
    </w:p>
    <w:p w14:paraId="515ABB28">
      <w:pPr>
        <w:rPr>
          <w:rFonts w:ascii="仿宋" w:hAnsi="仿宋" w:eastAsia="仿宋"/>
          <w:b/>
          <w:bCs/>
          <w:color w:val="000000" w:themeColor="text1"/>
          <w:highlight w:val="none"/>
          <w:lang w:eastAsia="zh-CN"/>
          <w14:textFill>
            <w14:solidFill>
              <w14:schemeClr w14:val="tx1"/>
            </w14:solidFill>
          </w14:textFill>
        </w:rPr>
      </w:pPr>
      <w:bookmarkStart w:id="428" w:name="_Toc21897"/>
      <w:r>
        <w:rPr>
          <w:rFonts w:hint="eastAsia" w:ascii="仿宋" w:hAnsi="仿宋" w:eastAsia="仿宋" w:cs="仿宋"/>
          <w:b/>
          <w:bCs/>
          <w:color w:val="000000" w:themeColor="text1"/>
          <w:highlight w:val="none"/>
          <w:lang w:eastAsia="zh-CN"/>
          <w14:textFill>
            <w14:solidFill>
              <w14:schemeClr w14:val="tx1"/>
            </w14:solidFill>
          </w14:textFill>
        </w:rPr>
        <w:t>76</w:t>
      </w:r>
      <w:r>
        <w:rPr>
          <w:rFonts w:ascii="仿宋" w:hAnsi="仿宋" w:eastAsia="仿宋" w:cs="仿宋"/>
          <w:b/>
          <w:bCs/>
          <w:color w:val="000000" w:themeColor="text1"/>
          <w:highlight w:val="none"/>
          <w:lang w:eastAsia="zh-CN"/>
          <w14:textFill>
            <w14:solidFill>
              <w14:schemeClr w14:val="tx1"/>
            </w14:solidFill>
          </w14:textFill>
        </w:rPr>
        <w:t>.2</w:t>
      </w:r>
      <w:bookmarkEnd w:id="428"/>
    </w:p>
    <w:p w14:paraId="20CAC726">
      <w:pPr>
        <w:pStyle w:val="40"/>
        <w:widowControl w:val="0"/>
        <w:adjustRightInd w:val="0"/>
        <w:snapToGrid w:val="0"/>
        <w:spacing w:line="460" w:lineRule="exact"/>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7B7F07F4">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7B7F07F4">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。误期赔偿费列入进度支付文件或竣工结算文件中，在进度款或结算款中扣除。</w:t>
      </w:r>
    </w:p>
    <w:p w14:paraId="1E46B993">
      <w:pPr>
        <w:pStyle w:val="40"/>
        <w:widowControl w:val="0"/>
        <w:adjustRightInd w:val="0"/>
        <w:snapToGrid w:val="0"/>
        <w:spacing w:line="460" w:lineRule="exact"/>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1A49FBCB">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234D67D9">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29" w:name="_Toc149731513"/>
      <w:bookmarkStart w:id="430" w:name="_Toc16928"/>
      <w:r>
        <w:rPr>
          <w:rFonts w:hint="eastAsia" w:ascii="仿宋" w:hAnsi="仿宋" w:eastAsia="仿宋" w:cs="仿宋"/>
          <w:bCs w:val="0"/>
          <w:color w:val="000000" w:themeColor="text1"/>
          <w:sz w:val="24"/>
          <w:szCs w:val="24"/>
          <w:highlight w:val="none"/>
          <w:lang w:eastAsia="zh-CN"/>
          <w14:textFill>
            <w14:solidFill>
              <w14:schemeClr w14:val="tx1"/>
            </w14:solidFill>
          </w14:textFill>
        </w:rPr>
        <w:t>★77优质优价费用</w:t>
      </w:r>
      <w:bookmarkEnd w:id="429"/>
      <w:bookmarkEnd w:id="430"/>
    </w:p>
    <w:p w14:paraId="6B95C626">
      <w:pPr>
        <w:rPr>
          <w:rFonts w:ascii="仿宋" w:hAnsi="仿宋" w:eastAsia="仿宋" w:cs="仿宋"/>
          <w:b/>
          <w:bCs/>
          <w:color w:val="000000" w:themeColor="text1"/>
          <w:highlight w:val="none"/>
          <w:lang w:eastAsia="zh-CN"/>
          <w14:textFill>
            <w14:solidFill>
              <w14:schemeClr w14:val="tx1"/>
            </w14:solidFill>
          </w14:textFill>
        </w:rPr>
      </w:pPr>
      <w:bookmarkStart w:id="431" w:name="_Toc3293"/>
      <w:r>
        <w:rPr>
          <w:rFonts w:hint="eastAsia" w:ascii="仿宋" w:hAnsi="仿宋" w:eastAsia="仿宋" w:cs="仿宋"/>
          <w:b/>
          <w:bCs/>
          <w:color w:val="000000" w:themeColor="text1"/>
          <w:highlight w:val="none"/>
          <w:lang w:eastAsia="zh-CN"/>
          <w14:textFill>
            <w14:solidFill>
              <w14:schemeClr w14:val="tx1"/>
            </w14:solidFill>
          </w14:textFill>
        </w:rPr>
        <w:t>77</w:t>
      </w:r>
      <w:r>
        <w:rPr>
          <w:rFonts w:ascii="仿宋" w:hAnsi="仿宋" w:eastAsia="仿宋" w:cs="仿宋"/>
          <w:b/>
          <w:bCs/>
          <w:color w:val="000000" w:themeColor="text1"/>
          <w:highlight w:val="none"/>
          <w:lang w:eastAsia="zh-CN"/>
          <w14:textFill>
            <w14:solidFill>
              <w14:schemeClr w14:val="tx1"/>
            </w14:solidFill>
          </w14:textFill>
        </w:rPr>
        <w:t>.1</w:t>
      </w:r>
      <w:bookmarkEnd w:id="431"/>
    </w:p>
    <w:p w14:paraId="6BDF833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4DB59364">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4DB59364">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78BA7022">
      <w:pPr>
        <w:spacing w:line="360" w:lineRule="auto"/>
        <w:rPr>
          <w:rFonts w:ascii="仿宋" w:hAnsi="仿宋" w:eastAsia="仿宋"/>
          <w:b/>
          <w:bCs/>
          <w:color w:val="000000" w:themeColor="text1"/>
          <w:highlight w:val="none"/>
          <w:lang w:eastAsia="zh-CN"/>
          <w14:textFill>
            <w14:solidFill>
              <w14:schemeClr w14:val="tx1"/>
            </w14:solidFill>
          </w14:textFill>
        </w:rPr>
      </w:pPr>
      <w:bookmarkStart w:id="432" w:name="_Toc14393"/>
      <w:r>
        <w:rPr>
          <w:rFonts w:hint="eastAsia" w:ascii="仿宋" w:hAnsi="仿宋" w:eastAsia="仿宋" w:cs="仿宋"/>
          <w:b/>
          <w:bCs/>
          <w:color w:val="000000" w:themeColor="text1"/>
          <w:highlight w:val="none"/>
          <w:lang w:eastAsia="zh-CN"/>
          <w14:textFill>
            <w14:solidFill>
              <w14:schemeClr w14:val="tx1"/>
            </w14:solidFill>
          </w14:textFill>
        </w:rPr>
        <w:t>77</w:t>
      </w:r>
      <w:r>
        <w:rPr>
          <w:rFonts w:ascii="仿宋" w:hAnsi="仿宋" w:eastAsia="仿宋" w:cs="仿宋"/>
          <w:b/>
          <w:bCs/>
          <w:color w:val="000000" w:themeColor="text1"/>
          <w:highlight w:val="none"/>
          <w:lang w:eastAsia="zh-CN"/>
          <w14:textFill>
            <w14:solidFill>
              <w14:schemeClr w14:val="tx1"/>
            </w14:solidFill>
          </w14:textFill>
        </w:rPr>
        <w:t>.2</w:t>
      </w:r>
      <w:bookmarkEnd w:id="432"/>
    </w:p>
    <w:p w14:paraId="236CB261">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53A11114">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53A11114">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他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天内支付；超过约定时间后获得的，发包人有权不予支付。</w:t>
      </w:r>
    </w:p>
    <w:p w14:paraId="1C03E79E">
      <w:pPr>
        <w:pStyle w:val="40"/>
        <w:tabs>
          <w:tab w:val="left" w:pos="348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CD94A99">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33" w:name="_Toc469384053"/>
      <w:bookmarkStart w:id="434" w:name="_Toc149731514"/>
      <w:bookmarkStart w:id="435" w:name="_Toc15747"/>
      <w:r>
        <w:rPr>
          <w:rFonts w:hint="eastAsia" w:ascii="仿宋" w:hAnsi="仿宋" w:eastAsia="仿宋" w:cs="仿宋"/>
          <w:bCs w:val="0"/>
          <w:color w:val="000000" w:themeColor="text1"/>
          <w:sz w:val="24"/>
          <w:szCs w:val="24"/>
          <w:highlight w:val="none"/>
          <w:lang w:eastAsia="zh-CN"/>
          <w14:textFill>
            <w14:solidFill>
              <w14:schemeClr w14:val="tx1"/>
            </w14:solidFill>
          </w14:textFill>
        </w:rPr>
        <w:t>★78后继法律变化</w:t>
      </w:r>
      <w:bookmarkEnd w:id="433"/>
      <w:r>
        <w:rPr>
          <w:rFonts w:hint="eastAsia" w:ascii="仿宋" w:hAnsi="仿宋" w:eastAsia="仿宋" w:cs="仿宋"/>
          <w:bCs w:val="0"/>
          <w:color w:val="000000" w:themeColor="text1"/>
          <w:sz w:val="24"/>
          <w:szCs w:val="24"/>
          <w:highlight w:val="none"/>
          <w:lang w:eastAsia="zh-CN"/>
          <w14:textFill>
            <w14:solidFill>
              <w14:schemeClr w14:val="tx1"/>
            </w14:solidFill>
          </w14:textFill>
        </w:rPr>
        <w:t>引起的价格调整</w:t>
      </w:r>
      <w:bookmarkEnd w:id="434"/>
      <w:bookmarkEnd w:id="435"/>
    </w:p>
    <w:p w14:paraId="170FC440">
      <w:pPr>
        <w:rPr>
          <w:rFonts w:ascii="仿宋" w:hAnsi="仿宋" w:eastAsia="仿宋" w:cs="仿宋"/>
          <w:b/>
          <w:bCs/>
          <w:color w:val="000000" w:themeColor="text1"/>
          <w:highlight w:val="none"/>
          <w:lang w:eastAsia="zh-CN"/>
          <w14:textFill>
            <w14:solidFill>
              <w14:schemeClr w14:val="tx1"/>
            </w14:solidFill>
          </w14:textFill>
        </w:rPr>
      </w:pPr>
      <w:bookmarkStart w:id="436" w:name="_Toc2456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0BD56DF1">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452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0BD56DF1">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78</w:t>
      </w:r>
      <w:r>
        <w:rPr>
          <w:rFonts w:ascii="仿宋" w:hAnsi="仿宋" w:eastAsia="仿宋" w:cs="仿宋"/>
          <w:b/>
          <w:bCs/>
          <w:color w:val="000000" w:themeColor="text1"/>
          <w:highlight w:val="none"/>
          <w:lang w:eastAsia="zh-CN"/>
          <w14:textFill>
            <w14:solidFill>
              <w14:schemeClr w14:val="tx1"/>
            </w14:solidFill>
          </w14:textFill>
        </w:rPr>
        <w:t>.1</w:t>
      </w:r>
      <w:bookmarkEnd w:id="436"/>
    </w:p>
    <w:p w14:paraId="52E8779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合同履行期间，出现国家或省颁布的法律和政策在合同工程基准日期后发生变化，且因执行上述法律和政策引起除第82条约定以外的合同价格增减事项的，合同双方当事人应调整合同价格。</w:t>
      </w:r>
    </w:p>
    <w:p w14:paraId="3B416387">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437" w:name="_Toc8596"/>
      <w:r>
        <w:rPr>
          <w:rFonts w:hint="eastAsia" w:ascii="仿宋" w:hAnsi="仿宋" w:eastAsia="仿宋" w:cs="仿宋"/>
          <w:b/>
          <w:bCs/>
          <w:color w:val="000000" w:themeColor="text1"/>
          <w:highlight w:val="none"/>
          <w:lang w:eastAsia="zh-CN"/>
          <w14:textFill>
            <w14:solidFill>
              <w14:schemeClr w14:val="tx1"/>
            </w14:solidFill>
          </w14:textFill>
        </w:rPr>
        <w:t>78</w:t>
      </w:r>
      <w:r>
        <w:rPr>
          <w:rFonts w:ascii="仿宋" w:hAnsi="仿宋" w:eastAsia="仿宋" w:cs="仿宋"/>
          <w:b/>
          <w:bCs/>
          <w:color w:val="000000" w:themeColor="text1"/>
          <w:highlight w:val="none"/>
          <w:lang w:eastAsia="zh-CN"/>
          <w14:textFill>
            <w14:solidFill>
              <w14:schemeClr w14:val="tx1"/>
            </w14:solidFill>
          </w14:textFill>
        </w:rPr>
        <w:t>.2</w:t>
      </w:r>
      <w:bookmarkEnd w:id="437"/>
    </w:p>
    <w:p w14:paraId="5694134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6A067E46">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6A067E46">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发生第78</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款情况的，应根据合同工程实际情况，按照上述法律和政策规定计算调整的合同价格。</w:t>
      </w:r>
    </w:p>
    <w:p w14:paraId="09B541F9">
      <w:pPr>
        <w:tabs>
          <w:tab w:val="left" w:pos="1620"/>
        </w:tabs>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09B0AE80">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38" w:name="_Toc32554"/>
      <w:bookmarkStart w:id="439" w:name="_Toc149731515"/>
      <w:r>
        <w:rPr>
          <w:rFonts w:hint="eastAsia" w:ascii="仿宋" w:hAnsi="仿宋" w:eastAsia="仿宋" w:cs="仿宋"/>
          <w:bCs w:val="0"/>
          <w:color w:val="000000" w:themeColor="text1"/>
          <w:sz w:val="24"/>
          <w:szCs w:val="24"/>
          <w:highlight w:val="none"/>
          <w:lang w:eastAsia="zh-CN"/>
          <w14:textFill>
            <w14:solidFill>
              <w14:schemeClr w14:val="tx1"/>
            </w14:solidFill>
          </w14:textFill>
        </w:rPr>
        <w:t>★79 可调价变更定价</w:t>
      </w:r>
      <w:bookmarkEnd w:id="438"/>
      <w:bookmarkEnd w:id="439"/>
    </w:p>
    <w:p w14:paraId="5A230B16">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106752"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77C578C6">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6752;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77C578C6">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79</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0D6D39B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合同履行期间，出现第63条工程变更事项且符合第69.3款可调价条件的，合同双方当事人应调整合同价格。</w:t>
      </w:r>
    </w:p>
    <w:p w14:paraId="324CCCF8">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440" w:name="_Toc18705"/>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2C362D3C">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5728;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2C362D3C">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79.2</w:t>
      </w:r>
      <w:bookmarkEnd w:id="440"/>
    </w:p>
    <w:p w14:paraId="4760209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除专用条款另有约定外，非承包人原因，工程勘察、工程设计、BIM技术应用、设备及工器具购置等总承包工作内容发生变更，其增加或减少的工作项目单价按下列方法确定：</w:t>
      </w:r>
    </w:p>
    <w:p w14:paraId="4DCFC455">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bookmarkStart w:id="441" w:name="OLE_LINK10"/>
      <w:bookmarkStart w:id="442" w:name="OLE_LINK11"/>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合同价格清单中已有相同清单项目的，按照相同清单项目的单价确定；</w:t>
      </w:r>
    </w:p>
    <w:p w14:paraId="36ABCB8B">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合同价格清单中没有相同、只有类似清单项目的，参照类似清单项目的单价调整确定；</w:t>
      </w:r>
    </w:p>
    <w:p w14:paraId="77AC6517">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441"/>
    <w:bookmarkEnd w:id="442"/>
    <w:p w14:paraId="2BAF1C24">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关于“类似清单项目”的认定原则在合同专用条款中约定。</w:t>
      </w:r>
    </w:p>
    <w:p w14:paraId="77D7636C">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443" w:name="_Toc11960"/>
      <w:r>
        <w:rPr>
          <w:rFonts w:hint="eastAsia" w:ascii="仿宋" w:hAnsi="仿宋" w:eastAsia="仿宋" w:cs="仿宋"/>
          <w:b/>
          <w:bCs/>
          <w:color w:val="000000" w:themeColor="text1"/>
          <w:highlight w:val="none"/>
          <w:lang w:eastAsia="zh-CN"/>
          <w14:textFill>
            <w14:solidFill>
              <w14:schemeClr w14:val="tx1"/>
            </w14:solidFill>
          </w14:textFill>
        </w:rPr>
        <w:t>79.3</w:t>
      </w:r>
      <w:bookmarkEnd w:id="443"/>
    </w:p>
    <w:p w14:paraId="1D0E17F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749EDE7A">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749EDE7A">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除专用条款另有约定外，符合第69.3款约定可调价条件的实体项目变更，其增加或减少的实体项目单价按下列方法确定：</w:t>
      </w:r>
    </w:p>
    <w:p w14:paraId="40BAA178">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合同价格清单中已有相同清单项目的，按照相同清单项目的单价确定；</w:t>
      </w:r>
    </w:p>
    <w:p w14:paraId="52D155A7">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合同价格清单中没有相同、只有类似清单项目的，参照类似清单项目的单价调整确定；</w:t>
      </w:r>
    </w:p>
    <w:p w14:paraId="43CFD86F">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17AF0254">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关于“类似清单项目”的认定原则在合同专用条款中约定。</w:t>
      </w:r>
    </w:p>
    <w:p w14:paraId="2FF9087D">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79</w:t>
      </w:r>
      <w:r>
        <w:rPr>
          <w:rFonts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4</w:t>
      </w:r>
    </w:p>
    <w:p w14:paraId="7FC7712F">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140D3C3E">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140D3C3E">
                      <w:pPr>
                        <w:pStyle w:val="28"/>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214E06BF">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w:t xml:space="preserve">(1) </w:t>
      </w:r>
      <w:r>
        <w:rPr>
          <w:rFonts w:hint="eastAsia" w:ascii="仿宋" w:hAnsi="仿宋" w:eastAsia="仿宋" w:cs="仿宋"/>
          <w:color w:val="000000" w:themeColor="text1"/>
          <w:sz w:val="24"/>
          <w:szCs w:val="24"/>
          <w:highlight w:val="none"/>
          <w:lang w:eastAsia="zh-CN"/>
          <w14:textFill>
            <w14:solidFill>
              <w14:schemeClr w14:val="tx1"/>
            </w14:solidFill>
          </w14:textFill>
        </w:rPr>
        <w:t>绿色施工安全防护费，执行政府的相关计费文件规定的单价或费率，按照实际发生变化的措施项目计算确定。</w:t>
      </w:r>
    </w:p>
    <w:p w14:paraId="49658BCD">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 xml:space="preserve"> 凡可计算工程量的措施项目，其单价按照第79.3款约定确定。</w:t>
      </w:r>
    </w:p>
    <w:p w14:paraId="57B11D13">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 xml:space="preserve"> 凡按系数计算的措施项目费，除本款第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）点情形外，执行合同价格清单中标明的计费基础和系数计算确定。</w:t>
      </w:r>
    </w:p>
    <w:p w14:paraId="40B5476E">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如果不利一方当事人未按本款约定事先将拟实施的方案提交给另一方当事人，则认为工程变更不引起措施项目费的调整或不利一方当事人放弃调整措施项目费的权利。</w:t>
      </w:r>
    </w:p>
    <w:p w14:paraId="05822586">
      <w:pPr>
        <w:spacing w:line="360" w:lineRule="auto"/>
        <w:rPr>
          <w:rFonts w:ascii="仿宋" w:hAnsi="仿宋" w:eastAsia="仿宋"/>
          <w:b/>
          <w:bCs/>
          <w:color w:val="000000" w:themeColor="text1"/>
          <w:highlight w:val="none"/>
          <w:lang w:eastAsia="zh-CN"/>
          <w14:textFill>
            <w14:solidFill>
              <w14:schemeClr w14:val="tx1"/>
            </w14:solidFill>
          </w14:textFill>
        </w:rPr>
      </w:pPr>
      <w:bookmarkStart w:id="444" w:name="_Toc12720"/>
      <w:r>
        <w:rPr>
          <w:rFonts w:hint="eastAsia" w:ascii="仿宋" w:hAnsi="仿宋" w:eastAsia="仿宋" w:cs="仿宋"/>
          <w:b/>
          <w:bCs/>
          <w:color w:val="000000" w:themeColor="text1"/>
          <w:highlight w:val="none"/>
          <w:lang w:eastAsia="zh-CN"/>
          <w14:textFill>
            <w14:solidFill>
              <w14:schemeClr w14:val="tx1"/>
            </w14:solidFill>
          </w14:textFill>
        </w:rPr>
        <w:t>79</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5</w:t>
      </w:r>
      <w:bookmarkEnd w:id="444"/>
    </w:p>
    <w:p w14:paraId="6CE641FF">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00DAEC3B">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00DAEC3B">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如果因为非承包人原因删减了合同中的某项原定工作或工程，致使承包人发生的费用或</w:t>
      </w:r>
      <w:r>
        <w:rPr>
          <w:rFonts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和）得到的收益不能被包括在其他已支付或应支付的项目中，也未被包含在任何替代的工作或工程中，则承包人有权按照本条约定提出并得到补偿。</w:t>
      </w:r>
    </w:p>
    <w:p w14:paraId="587EB5F1">
      <w:pPr>
        <w:tabs>
          <w:tab w:val="left" w:pos="1620"/>
        </w:tabs>
        <w:spacing w:line="360" w:lineRule="auto"/>
        <w:rPr>
          <w:rFonts w:ascii="仿宋" w:hAnsi="仿宋" w:eastAsia="仿宋"/>
          <w:b/>
          <w:bCs/>
          <w:color w:val="000000" w:themeColor="text1"/>
          <w:highlight w:val="none"/>
          <w:u w:val="single"/>
          <w:lang w:eastAsia="zh-CN"/>
          <w14:textFill>
            <w14:solidFill>
              <w14:schemeClr w14:val="tx1"/>
            </w14:solidFill>
          </w14:textFill>
        </w:rPr>
      </w:pPr>
    </w:p>
    <w:p w14:paraId="1016C46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45" w:name="_Toc149731516"/>
      <w:bookmarkStart w:id="446" w:name="_Toc14256"/>
      <w:r>
        <w:rPr>
          <w:rFonts w:hint="eastAsia" w:ascii="仿宋" w:hAnsi="仿宋" w:eastAsia="仿宋" w:cs="仿宋"/>
          <w:bCs w:val="0"/>
          <w:color w:val="000000" w:themeColor="text1"/>
          <w:sz w:val="24"/>
          <w:szCs w:val="24"/>
          <w:highlight w:val="none"/>
          <w:lang w:eastAsia="zh-CN"/>
          <w14:textFill>
            <w14:solidFill>
              <w14:schemeClr w14:val="tx1"/>
            </w14:solidFill>
          </w14:textFill>
        </w:rPr>
        <w:t>★80费用索赔</w:t>
      </w:r>
      <w:bookmarkEnd w:id="445"/>
      <w:bookmarkEnd w:id="446"/>
    </w:p>
    <w:p w14:paraId="5478914F">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05E8BB73">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05E8BB73">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80</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306B55E6">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合同履行期间，出现费用索赔事项的，合同双方当事人应调整合同价格。</w:t>
      </w:r>
    </w:p>
    <w:p w14:paraId="20CB1600">
      <w:pPr>
        <w:spacing w:line="360" w:lineRule="auto"/>
        <w:rPr>
          <w:rFonts w:ascii="仿宋" w:hAnsi="仿宋" w:eastAsia="仿宋" w:cs="仿宋"/>
          <w:b/>
          <w:bCs/>
          <w:color w:val="000000" w:themeColor="text1"/>
          <w:highlight w:val="none"/>
          <w:lang w:eastAsia="zh-CN"/>
          <w14:textFill>
            <w14:solidFill>
              <w14:schemeClr w14:val="tx1"/>
            </w14:solidFill>
          </w14:textFill>
        </w:rPr>
      </w:pPr>
      <w:bookmarkStart w:id="447" w:name="_Toc20195"/>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.2</w:t>
      </w:r>
      <w:bookmarkEnd w:id="447"/>
    </w:p>
    <w:p w14:paraId="2A17AF61">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60D879AE">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60D879AE">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如果承包人根据合同约定提出任何费用或其他形式的损失索赔时，应在该索赔事项发生之后的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天内向监理人、造价咨询人发出索赔意向书，并抄送发包人。</w:t>
      </w:r>
    </w:p>
    <w:p w14:paraId="69AFEA9C">
      <w:pPr>
        <w:spacing w:line="360" w:lineRule="auto"/>
        <w:rPr>
          <w:rFonts w:ascii="仿宋" w:hAnsi="仿宋" w:eastAsia="仿宋"/>
          <w:b/>
          <w:bCs/>
          <w:color w:val="000000" w:themeColor="text1"/>
          <w:highlight w:val="none"/>
          <w:lang w:eastAsia="zh-CN"/>
          <w14:textFill>
            <w14:solidFill>
              <w14:schemeClr w14:val="tx1"/>
            </w14:solidFill>
          </w14:textFill>
        </w:rPr>
      </w:pPr>
      <w:bookmarkStart w:id="448" w:name="_Toc23897"/>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.3</w:t>
      </w:r>
      <w:bookmarkEnd w:id="448"/>
    </w:p>
    <w:p w14:paraId="1CC862BA">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655BB3F9">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655BB3F9">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在索赔事项发生时，承包人应保存当时的记录，作为申请索赔的凭证。造价咨询人在接到索赔意向书时，无需确认是否属于发包人责任，应先审查记录并可要求承包人进一步做好补充记录。承包人应配合造价咨询人审查其记录，在造价咨询人有要求时，应当向造价咨询人提供记录的复印件。</w:t>
      </w:r>
    </w:p>
    <w:p w14:paraId="4E803D4E">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 xml:space="preserve">.4 </w:t>
      </w:r>
    </w:p>
    <w:p w14:paraId="28BCBAF8">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480F501A">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480F501A">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在发出索赔意向书后的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天内，承包人应向造价咨询人提交费用索赔报告和有关资料。如果索赔事项持续进行，承包人应每隔</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天向造价咨询人发出索赔意向书，在索赔事项终结后的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天内，提交最终费用索赔报告和有关资料。</w:t>
      </w:r>
    </w:p>
    <w:p w14:paraId="6B5D8991">
      <w:pPr>
        <w:spacing w:line="360" w:lineRule="auto"/>
        <w:rPr>
          <w:rFonts w:ascii="仿宋" w:hAnsi="仿宋" w:eastAsia="仿宋"/>
          <w:b/>
          <w:bCs/>
          <w:color w:val="000000" w:themeColor="text1"/>
          <w:highlight w:val="none"/>
          <w:lang w:eastAsia="zh-CN"/>
          <w14:textFill>
            <w14:solidFill>
              <w14:schemeClr w14:val="tx1"/>
            </w14:solidFill>
          </w14:textFill>
        </w:rPr>
      </w:pPr>
      <w:bookmarkStart w:id="449" w:name="_Toc1734"/>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.5</w:t>
      </w:r>
      <w:bookmarkEnd w:id="449"/>
    </w:p>
    <w:p w14:paraId="7E7378D5">
      <w:pPr>
        <w:pStyle w:val="40"/>
        <w:widowControl w:val="0"/>
        <w:adjustRightInd w:val="0"/>
        <w:snapToGrid w:val="0"/>
        <w:spacing w:line="360" w:lineRule="auto"/>
        <w:ind w:left="1850" w:leftChars="771"/>
        <w:jc w:val="both"/>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006320C3">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555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006320C3">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如果承包人提出的索赔未能遵守第80</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款至第80</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款约定，则承包人无权获得索赔或只限于获得由造价咨询人按照提供记录予以核实的部分款额。</w:t>
      </w:r>
    </w:p>
    <w:p w14:paraId="2EEF78A5">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 xml:space="preserve">.6  </w:t>
      </w:r>
    </w:p>
    <w:p w14:paraId="33F40FC2">
      <w:pPr>
        <w:pStyle w:val="40"/>
        <w:widowControl w:val="0"/>
        <w:adjustRightInd w:val="0"/>
        <w:snapToGrid w:val="0"/>
        <w:spacing w:line="360" w:lineRule="auto"/>
        <w:ind w:left="1850" w:leftChars="771"/>
        <w:jc w:val="both"/>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0EE6D011">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0EE6D011">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造价咨询人应在收到承包人提交的费用索赔报告和有关资料后的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350D59B2">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 xml:space="preserve">.7  </w:t>
      </w:r>
    </w:p>
    <w:p w14:paraId="5C36E1CC">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00B8A9FA">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00B8A9FA">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承包人未能按照合同约定履行各项义务或发生错误，给发包人造成损失，发包人可按照本条约定的时限和要求向承包人提出索赔。</w:t>
      </w:r>
    </w:p>
    <w:p w14:paraId="40812AAC">
      <w:pPr>
        <w:spacing w:line="360" w:lineRule="auto"/>
        <w:rPr>
          <w:rFonts w:ascii="仿宋" w:hAnsi="仿宋" w:eastAsia="仿宋"/>
          <w:b/>
          <w:bCs/>
          <w:color w:val="000000" w:themeColor="text1"/>
          <w:highlight w:val="none"/>
          <w:lang w:eastAsia="zh-CN"/>
          <w14:textFill>
            <w14:solidFill>
              <w14:schemeClr w14:val="tx1"/>
            </w14:solidFill>
          </w14:textFill>
        </w:rPr>
      </w:pPr>
      <w:bookmarkStart w:id="450" w:name="_Toc16129"/>
      <w:r>
        <w:rPr>
          <w:rFonts w:hint="eastAsia" w:ascii="仿宋" w:hAnsi="仿宋" w:eastAsia="仿宋" w:cs="仿宋"/>
          <w:b/>
          <w:bCs/>
          <w:color w:val="000000" w:themeColor="text1"/>
          <w:highlight w:val="none"/>
          <w:lang w:eastAsia="zh-CN"/>
          <w14:textFill>
            <w14:solidFill>
              <w14:schemeClr w14:val="tx1"/>
            </w14:solidFill>
          </w14:textFill>
        </w:rPr>
        <w:t>80</w:t>
      </w:r>
      <w:r>
        <w:rPr>
          <w:rFonts w:ascii="仿宋" w:hAnsi="仿宋" w:eastAsia="仿宋" w:cs="仿宋"/>
          <w:b/>
          <w:bCs/>
          <w:color w:val="000000" w:themeColor="text1"/>
          <w:highlight w:val="none"/>
          <w:lang w:eastAsia="zh-CN"/>
          <w14:textFill>
            <w14:solidFill>
              <w14:schemeClr w14:val="tx1"/>
            </w14:solidFill>
          </w14:textFill>
        </w:rPr>
        <w:t>.8</w:t>
      </w:r>
      <w:bookmarkEnd w:id="450"/>
    </w:p>
    <w:p w14:paraId="364EE0FA">
      <w:pPr>
        <w:pStyle w:val="40"/>
        <w:widowControl w:val="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6CE1962D">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0688;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6CE1962D">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费用索赔报告被认可，则表明该事项已索赔成功，合同双方当事人应确认由此引起调整的合同价格，并作为追加（减）合同价格，与工程进度款或结算款同期支付。</w:t>
      </w:r>
    </w:p>
    <w:p w14:paraId="0B199E28">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70D5150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51" w:name="_Toc149731517"/>
      <w:bookmarkStart w:id="452" w:name="_Toc2780"/>
      <w:r>
        <w:rPr>
          <w:rFonts w:hint="eastAsia" w:ascii="仿宋" w:hAnsi="仿宋" w:eastAsia="仿宋" w:cs="仿宋"/>
          <w:bCs w:val="0"/>
          <w:color w:val="000000" w:themeColor="text1"/>
          <w:sz w:val="24"/>
          <w:szCs w:val="24"/>
          <w:highlight w:val="none"/>
          <w:lang w:eastAsia="zh-CN"/>
          <w14:textFill>
            <w14:solidFill>
              <w14:schemeClr w14:val="tx1"/>
            </w14:solidFill>
          </w14:textFill>
        </w:rPr>
        <w:t>★81现场签证价格的确定</w:t>
      </w:r>
      <w:bookmarkEnd w:id="451"/>
      <w:bookmarkEnd w:id="452"/>
    </w:p>
    <w:p w14:paraId="3993DB92">
      <w:pPr>
        <w:widowControl w:val="0"/>
        <w:rPr>
          <w:rFonts w:ascii="仿宋" w:hAnsi="仿宋" w:eastAsia="仿宋"/>
          <w:b/>
          <w:bCs/>
          <w:color w:val="000000" w:themeColor="text1"/>
          <w:highlight w:val="none"/>
          <w:u w:val="dotted"/>
          <w:lang w:eastAsia="zh-CN"/>
          <w14:textFill>
            <w14:solidFill>
              <w14:schemeClr w14:val="tx1"/>
            </w14:solidFill>
          </w14:textFill>
        </w:rPr>
      </w:pPr>
      <w:bookmarkStart w:id="453" w:name="_Toc10855"/>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.1</w:t>
      </w:r>
      <w:bookmarkEnd w:id="453"/>
    </w:p>
    <w:p w14:paraId="785B54F7">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4E0C10D6">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FEEB06B"/>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1712;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4E0C10D6">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FEEB06B"/>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合同履行期间，由于非承包人责任产生的现场签证费用，合同双方当事人应调整合同价格。</w:t>
      </w:r>
    </w:p>
    <w:p w14:paraId="62D77B45">
      <w:pPr>
        <w:spacing w:line="360" w:lineRule="auto"/>
        <w:rPr>
          <w:rFonts w:ascii="仿宋" w:hAnsi="仿宋" w:eastAsia="仿宋"/>
          <w:b/>
          <w:bCs/>
          <w:color w:val="000000" w:themeColor="text1"/>
          <w:highlight w:val="none"/>
          <w:lang w:eastAsia="zh-CN"/>
          <w14:textFill>
            <w14:solidFill>
              <w14:schemeClr w14:val="tx1"/>
            </w14:solidFill>
          </w14:textFill>
        </w:rPr>
      </w:pPr>
      <w:bookmarkStart w:id="454" w:name="_Toc25531"/>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.2</w:t>
      </w:r>
      <w:bookmarkEnd w:id="454"/>
    </w:p>
    <w:p w14:paraId="7FA0E380">
      <w:pPr>
        <w:pStyle w:val="40"/>
        <w:adjustRightInd w:val="0"/>
        <w:snapToGrid w:val="0"/>
        <w:spacing w:line="360" w:lineRule="auto"/>
        <w:ind w:left="1848" w:leftChars="770" w:firstLine="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76F23426">
                            <w:pPr>
                              <w:pStyle w:val="28"/>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2736;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76F23426">
                      <w:pPr>
                        <w:pStyle w:val="28"/>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5A4492BF">
      <w:pPr>
        <w:spacing w:line="360" w:lineRule="auto"/>
        <w:rPr>
          <w:rFonts w:ascii="仿宋" w:hAnsi="仿宋" w:eastAsia="仿宋"/>
          <w:b/>
          <w:bCs/>
          <w:color w:val="000000" w:themeColor="text1"/>
          <w:highlight w:val="none"/>
          <w:lang w:eastAsia="zh-CN"/>
          <w14:textFill>
            <w14:solidFill>
              <w14:schemeClr w14:val="tx1"/>
            </w14:solidFill>
          </w14:textFill>
        </w:rPr>
      </w:pPr>
      <w:bookmarkStart w:id="455" w:name="_Toc19460"/>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.3</w:t>
      </w:r>
      <w:bookmarkEnd w:id="455"/>
    </w:p>
    <w:p w14:paraId="13BE7CE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39370C70">
                            <w:pPr>
                              <w:pStyle w:val="28"/>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3760;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39370C70">
                      <w:pPr>
                        <w:pStyle w:val="28"/>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除专用条款另有约定外，承包人应在收到监理人书面通知后的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小时内予以确认或提出修改意见。发包人在收到承包人现场签证报告后的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小时内未确认也未提出修改意见的，视为承包人提交的现场签证报告已被认可。</w:t>
      </w:r>
    </w:p>
    <w:p w14:paraId="0DCBA49C">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 xml:space="preserve">.4  </w:t>
      </w:r>
    </w:p>
    <w:p w14:paraId="5876A899">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5E27FCAC">
                            <w:pPr>
                              <w:pStyle w:val="28"/>
                              <w:spacing w:line="200" w:lineRule="exact"/>
                            </w:pPr>
                            <w:r>
                              <w:rPr>
                                <w:rFonts w:hint="eastAsia" w:ascii="楷体_GB2312" w:hAnsi="宋体" w:eastAsia="楷体_GB2312" w:cs="楷体_GB2312"/>
                                <w:b/>
                                <w:bCs/>
                                <w:color w:val="000000"/>
                                <w:sz w:val="18"/>
                                <w:szCs w:val="18"/>
                              </w:rPr>
                              <w:t>现场签证的要求</w:t>
                            </w:r>
                          </w:p>
                          <w:p w14:paraId="3F15364A"/>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4784;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5E27FCAC">
                      <w:pPr>
                        <w:pStyle w:val="28"/>
                        <w:spacing w:line="200" w:lineRule="exact"/>
                      </w:pPr>
                      <w:r>
                        <w:rPr>
                          <w:rFonts w:hint="eastAsia" w:ascii="楷体_GB2312" w:hAnsi="宋体" w:eastAsia="楷体_GB2312" w:cs="楷体_GB2312"/>
                          <w:b/>
                          <w:bCs/>
                          <w:color w:val="000000"/>
                          <w:sz w:val="18"/>
                          <w:szCs w:val="18"/>
                        </w:rPr>
                        <w:t>现场签证的要求</w:t>
                      </w:r>
                    </w:p>
                    <w:p w14:paraId="3F15364A"/>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计日工有相应单价或合同中有适用单价的项目，合同双方当事人仅在现场签证报告中列明完成该类项目所需的人工、工程材料、工程设备和施工设备机械台班的数量。</w:t>
      </w:r>
    </w:p>
    <w:p w14:paraId="5B2ECAB3">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计日工没有相应单价或合同中没有适用单价的项目，合同双方当事人应在现场签证报告中列明完成这类项目所需的人工、工程材料、工程设备和施工设备机械台班的数量和单价。</w:t>
      </w:r>
    </w:p>
    <w:p w14:paraId="2D231C0E">
      <w:pPr>
        <w:spacing w:line="360" w:lineRule="auto"/>
        <w:rPr>
          <w:rFonts w:ascii="仿宋" w:hAnsi="仿宋" w:eastAsia="仿宋"/>
          <w:b/>
          <w:bCs/>
          <w:color w:val="000000" w:themeColor="text1"/>
          <w:highlight w:val="none"/>
          <w:lang w:eastAsia="zh-CN"/>
          <w14:textFill>
            <w14:solidFill>
              <w14:schemeClr w14:val="tx1"/>
            </w14:solidFill>
          </w14:textFill>
        </w:rPr>
      </w:pPr>
      <w:bookmarkStart w:id="456" w:name="_Toc15503"/>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.5</w:t>
      </w:r>
      <w:bookmarkEnd w:id="456"/>
    </w:p>
    <w:p w14:paraId="36F8158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7AAFA47F">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469C31"/>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5808;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7AAFA47F">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469C31"/>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承包人应在发包人确认现场签证报告后的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小时内，按照监理人发出的工作指令及时组织实施相关工作。否则，由此引起的损失和（或）延误的工期由承包人承担。</w:t>
      </w:r>
    </w:p>
    <w:p w14:paraId="665FEBEF">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 xml:space="preserve">.6  </w:t>
      </w:r>
    </w:p>
    <w:p w14:paraId="08EB19A0">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21109446">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6832;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21109446">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合同工程发生现场签证事项，未经发包人签证、确认，承包人便擅自实施相关工作的，除非征得发包人同意，否则发生的费用由承包人承担。</w:t>
      </w:r>
    </w:p>
    <w:p w14:paraId="3E42D4E2">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457" w:name="_Toc31791"/>
      <w:r>
        <w:rPr>
          <w:rFonts w:hint="eastAsia" w:ascii="仿宋" w:hAnsi="仿宋" w:eastAsia="仿宋" w:cs="仿宋"/>
          <w:b/>
          <w:bCs/>
          <w:color w:val="000000" w:themeColor="text1"/>
          <w:highlight w:val="none"/>
          <w:lang w:eastAsia="zh-CN"/>
          <w14:textFill>
            <w14:solidFill>
              <w14:schemeClr w14:val="tx1"/>
            </w14:solidFill>
          </w14:textFill>
        </w:rPr>
        <w:t>81</w:t>
      </w:r>
      <w:r>
        <w:rPr>
          <w:rFonts w:ascii="仿宋" w:hAnsi="仿宋" w:eastAsia="仿宋" w:cs="仿宋"/>
          <w:b/>
          <w:bCs/>
          <w:color w:val="000000" w:themeColor="text1"/>
          <w:highlight w:val="none"/>
          <w:lang w:eastAsia="zh-CN"/>
          <w14:textFill>
            <w14:solidFill>
              <w14:schemeClr w14:val="tx1"/>
            </w14:solidFill>
          </w14:textFill>
        </w:rPr>
        <w:t>.7</w:t>
      </w:r>
      <w:bookmarkEnd w:id="457"/>
    </w:p>
    <w:p w14:paraId="24EDC010">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064B9432">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C80E71B">
                            <w:pPr>
                              <w:pStyle w:val="40"/>
                              <w:adjustRightInd w:val="0"/>
                              <w:snapToGrid w:val="0"/>
                              <w:rPr>
                                <w:rFonts w:ascii="Times New Roman" w:hAnsi="Times New Roman" w:eastAsia="楷体_GB2312"/>
                                <w:b/>
                                <w:bCs/>
                                <w:sz w:val="18"/>
                                <w:szCs w:val="18"/>
                              </w:rPr>
                            </w:pPr>
                          </w:p>
                          <w:p w14:paraId="182EBF58">
                            <w:pPr>
                              <w:pStyle w:val="40"/>
                              <w:adjustRightInd w:val="0"/>
                              <w:snapToGrid w:val="0"/>
                              <w:spacing w:line="360" w:lineRule="auto"/>
                              <w:rPr>
                                <w:rFonts w:ascii="Times New Roman" w:hAnsi="Times New Roman" w:eastAsia="楷体_GB2312"/>
                                <w:b/>
                                <w:bCs/>
                                <w:sz w:val="18"/>
                                <w:szCs w:val="18"/>
                              </w:rPr>
                            </w:pPr>
                          </w:p>
                          <w:p w14:paraId="546F3FDA"/>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7856;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064B9432">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C80E71B">
                      <w:pPr>
                        <w:pStyle w:val="40"/>
                        <w:adjustRightInd w:val="0"/>
                        <w:snapToGrid w:val="0"/>
                        <w:rPr>
                          <w:rFonts w:ascii="Times New Roman" w:hAnsi="Times New Roman" w:eastAsia="楷体_GB2312"/>
                          <w:b/>
                          <w:bCs/>
                          <w:sz w:val="18"/>
                          <w:szCs w:val="18"/>
                        </w:rPr>
                      </w:pPr>
                    </w:p>
                    <w:p w14:paraId="182EBF58">
                      <w:pPr>
                        <w:pStyle w:val="40"/>
                        <w:adjustRightInd w:val="0"/>
                        <w:snapToGrid w:val="0"/>
                        <w:spacing w:line="360" w:lineRule="auto"/>
                        <w:rPr>
                          <w:rFonts w:ascii="Times New Roman" w:hAnsi="Times New Roman" w:eastAsia="楷体_GB2312"/>
                          <w:b/>
                          <w:bCs/>
                          <w:sz w:val="18"/>
                          <w:szCs w:val="18"/>
                        </w:rPr>
                      </w:pPr>
                    </w:p>
                    <w:p w14:paraId="546F3FDA"/>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现场签证工作完成后的</w:t>
      </w:r>
      <w:r>
        <w:rPr>
          <w:rFonts w:ascii="仿宋" w:hAnsi="仿宋" w:eastAsia="仿宋" w:cs="仿宋"/>
          <w:color w:val="000000" w:themeColor="text1"/>
          <w:sz w:val="24"/>
          <w:szCs w:val="24"/>
          <w:highlight w:val="none"/>
          <w:lang w:eastAsia="zh-CN"/>
          <w14:textFill>
            <w14:solidFill>
              <w14:schemeClr w14:val="tx1"/>
            </w14:solidFill>
          </w14:textFill>
        </w:rPr>
        <w:t>48</w:t>
      </w:r>
      <w:r>
        <w:rPr>
          <w:rFonts w:hint="eastAsia" w:ascii="仿宋" w:hAnsi="仿宋" w:eastAsia="仿宋" w:cs="仿宋"/>
          <w:color w:val="000000" w:themeColor="text1"/>
          <w:sz w:val="24"/>
          <w:szCs w:val="24"/>
          <w:highlight w:val="none"/>
          <w:lang w:eastAsia="zh-CN"/>
          <w14:textFill>
            <w14:solidFill>
              <w14:schemeClr w14:val="tx1"/>
            </w14:solidFill>
          </w14:textFill>
        </w:rPr>
        <w:t>小时内，合同双方当事人应确认由此引起调整的合同价格，并作为追加合同价格，与工程进度款同期支付。</w:t>
      </w:r>
    </w:p>
    <w:p w14:paraId="4FEDF71C">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772DCA14">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58" w:name="_Toc149731518"/>
      <w:bookmarkStart w:id="459" w:name="_Toc31633"/>
      <w:r>
        <w:rPr>
          <w:rFonts w:hint="eastAsia" w:ascii="仿宋" w:hAnsi="仿宋" w:eastAsia="仿宋" w:cs="仿宋"/>
          <w:bCs w:val="0"/>
          <w:color w:val="000000" w:themeColor="text1"/>
          <w:sz w:val="24"/>
          <w:szCs w:val="24"/>
          <w:highlight w:val="none"/>
          <w:lang w:eastAsia="zh-CN"/>
          <w14:textFill>
            <w14:solidFill>
              <w14:schemeClr w14:val="tx1"/>
            </w14:solidFill>
          </w14:textFill>
        </w:rPr>
        <w:t>★82物价涨落的价格调整</w:t>
      </w:r>
      <w:bookmarkEnd w:id="458"/>
      <w:bookmarkEnd w:id="459"/>
    </w:p>
    <w:p w14:paraId="32AE6A76">
      <w:pPr>
        <w:pStyle w:val="40"/>
        <w:widowControl w:val="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b/>
          <w:color w:val="000000" w:themeColor="text1"/>
          <w:highlight w:val="none"/>
          <w:lang w:eastAsia="zh-CN"/>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290EA00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657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290EA001">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82</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6836FAD2">
      <w:pPr>
        <w:pStyle w:val="40"/>
        <w:widowControl w:val="0"/>
        <w:adjustRightInd w:val="0"/>
        <w:snapToGrid w:val="0"/>
        <w:spacing w:line="420" w:lineRule="exact"/>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款选择一种方式对合同价格进行调整。</w:t>
      </w:r>
    </w:p>
    <w:p w14:paraId="20412ED8">
      <w:pPr>
        <w:pStyle w:val="40"/>
        <w:widowControl w:val="0"/>
        <w:tabs>
          <w:tab w:val="left" w:pos="54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447AA74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760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447AA74C">
                      <w:pPr>
                        <w:pStyle w:val="2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82</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7FAEE52A">
      <w:pPr>
        <w:pStyle w:val="40"/>
        <w:widowControl w:val="0"/>
        <w:adjustRightInd w:val="0"/>
        <w:snapToGrid w:val="0"/>
        <w:spacing w:line="420" w:lineRule="exact"/>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执行第82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种方式：采用本地造价管理机构发布的价格指导文件进行价格调整”约定的</w:t>
      </w:r>
      <w:r>
        <w:rPr>
          <w:rFonts w:hint="eastAsia"/>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合同当事人应按文件规定调整合同价格，但承包人对人工费或人工单价的报价高于发布价格的除外；或由合同当事人在专用条款中约定人工费、人工单价调整条件。</w:t>
      </w:r>
    </w:p>
    <w:p w14:paraId="739A6E25">
      <w:pPr>
        <w:pStyle w:val="40"/>
        <w:widowControl w:val="0"/>
        <w:tabs>
          <w:tab w:val="left" w:pos="54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82</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0680853E">
      <w:pPr>
        <w:widowControl w:val="0"/>
        <w:spacing w:line="360" w:lineRule="auto"/>
        <w:ind w:left="1850" w:leftChars="771"/>
        <w:jc w:val="both"/>
        <w:rPr>
          <w:rFonts w:eastAsia="仿宋_GB2312"/>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第</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种方式：采用本地造价管理机构发布的价格指导文件进行价格调整。</w:t>
      </w:r>
    </w:p>
    <w:p w14:paraId="0B84627C">
      <w:pPr>
        <w:widowControl w:val="0"/>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合同履行期间，因人工、工程材料、工程设备和施工机具台班价格波动影响合同</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76057BC8">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8880;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76057BC8">
                      <w:pPr>
                        <w:pStyle w:val="28"/>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价格时，人工、施工机具使用费按照文件规定进行调整；需要进行价格调整的工程材料、工程设备，其单价和采购数量应由发包人审批，审批</w:t>
      </w:r>
      <w:r>
        <w:rPr>
          <w:rFonts w:ascii="仿宋" w:hAnsi="仿宋" w:eastAsia="仿宋" w:cs="仿宋"/>
          <w:color w:val="000000" w:themeColor="text1"/>
          <w:highlight w:val="none"/>
          <w:lang w:eastAsia="zh-CN"/>
          <w14:textFill>
            <w14:solidFill>
              <w14:schemeClr w14:val="tx1"/>
            </w14:solidFill>
          </w14:textFill>
        </w:rPr>
        <w:t>文件</w:t>
      </w:r>
      <w:r>
        <w:rPr>
          <w:rFonts w:hint="eastAsia" w:ascii="仿宋" w:hAnsi="仿宋" w:eastAsia="仿宋" w:cs="仿宋"/>
          <w:color w:val="000000" w:themeColor="text1"/>
          <w:highlight w:val="none"/>
          <w:lang w:eastAsia="zh-CN"/>
          <w14:textFill>
            <w14:solidFill>
              <w14:schemeClr w14:val="tx1"/>
            </w14:solidFill>
          </w14:textFill>
        </w:rPr>
        <w:t>作为调整合同价格的依据。</w:t>
      </w:r>
    </w:p>
    <w:p w14:paraId="70C2E30B">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）工程材料、工程设备价格调整按照发包人提供的基准价格，按以下约定</w:t>
      </w:r>
      <w:r>
        <w:rPr>
          <w:rFonts w:ascii="仿宋" w:hAnsi="仿宋" w:eastAsia="仿宋" w:cs="仿宋"/>
          <w:color w:val="000000" w:themeColor="text1"/>
          <w:highlight w:val="none"/>
          <w:lang w:eastAsia="zh-CN"/>
          <w14:textFill>
            <w14:solidFill>
              <w14:schemeClr w14:val="tx1"/>
            </w14:solidFill>
          </w14:textFill>
        </w:rPr>
        <w:t>：</w:t>
      </w:r>
    </w:p>
    <w:p w14:paraId="7F8D1F71">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①承包人在合同价格清单中载明工程材料、工程设备单价低于基准价格的：除专用合同条款另有约定外，合同履行期间工程材料、工程设备单价涨幅以基准价格为基础超过</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时，或工程材料、工程设备单价跌幅以在合同价格清单中载明工程材料单价、工程设备为基础超过</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时，其超过5%以上的部分据实调整（示例：涨跌幅为6%的，据实调整的部分为1%，下同）。</w:t>
      </w:r>
    </w:p>
    <w:p w14:paraId="63FC3B64">
      <w:pPr>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时，或工程材料、工程设备单价涨幅以在合同价格清单中载明工程材料单价、工程设备为基础超过</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时，其超过5%以上的部分据实调整。</w:t>
      </w:r>
    </w:p>
    <w:p w14:paraId="5E7F6995">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时，其超过±5%以上的部分据实调整。</w:t>
      </w:r>
    </w:p>
    <w:p w14:paraId="59025570">
      <w:pPr>
        <w:spacing w:line="360" w:lineRule="auto"/>
        <w:ind w:left="1850" w:leftChars="771"/>
        <w:jc w:val="both"/>
        <w:rPr>
          <w:rFonts w:eastAsia="仿宋"/>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4994A17F">
      <w:pPr>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66046FFC">
      <w:pPr>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种方式：专用合同条款约定的其他方式。</w:t>
      </w:r>
    </w:p>
    <w:p w14:paraId="5348F122">
      <w:pPr>
        <w:pStyle w:val="40"/>
        <w:widowControl w:val="0"/>
        <w:tabs>
          <w:tab w:val="left" w:pos="540"/>
        </w:tabs>
        <w:adjustRightInd w:val="0"/>
        <w:snapToGrid w:val="0"/>
        <w:spacing w:line="360" w:lineRule="auto"/>
        <w:rPr>
          <w:rFonts w:ascii="仿宋" w:hAnsi="仿宋" w:eastAsia="仿宋" w:cs="仿宋"/>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82</w:t>
      </w:r>
      <w:r>
        <w:rPr>
          <w:rFonts w:ascii="仿宋" w:hAnsi="仿宋" w:eastAsia="仿宋" w:cs="仿宋"/>
          <w:b/>
          <w:bCs/>
          <w:color w:val="000000" w:themeColor="text1"/>
          <w:sz w:val="24"/>
          <w:szCs w:val="24"/>
          <w:highlight w:val="none"/>
          <w:lang w:eastAsia="zh-CN"/>
          <w14:textFill>
            <w14:solidFill>
              <w14:schemeClr w14:val="tx1"/>
            </w14:solidFill>
          </w14:textFill>
        </w:rPr>
        <w:t>.4</w:t>
      </w:r>
    </w:p>
    <w:p w14:paraId="30579658">
      <w:pPr>
        <w:pStyle w:val="40"/>
        <w:widowControl w:val="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107776"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572943E9">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7776;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572943E9">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执行第82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种方式：采用</w:t>
      </w:r>
      <w:r>
        <w:rPr>
          <w:rFonts w:hint="eastAsia" w:ascii="仿宋" w:hAnsi="仿宋" w:eastAsia="仿宋" w:cs="仿宋"/>
          <w:color w:val="000000" w:themeColor="text1"/>
          <w:sz w:val="24"/>
          <w:szCs w:val="24"/>
          <w:highlight w:val="none"/>
          <w:lang w:eastAsia="zh-CN" w:bidi="en-US"/>
          <w14:textFill>
            <w14:solidFill>
              <w14:schemeClr w14:val="tx1"/>
            </w14:solidFill>
          </w14:textFill>
        </w:rPr>
        <w:t>本地造价管理机构发布的价格指导文件</w:t>
      </w:r>
      <w:r>
        <w:rPr>
          <w:rFonts w:hint="eastAsia" w:ascii="仿宋" w:hAnsi="仿宋" w:eastAsia="仿宋" w:cs="仿宋"/>
          <w:color w:val="000000" w:themeColor="text1"/>
          <w:sz w:val="24"/>
          <w:szCs w:val="24"/>
          <w:highlight w:val="none"/>
          <w:lang w:eastAsia="zh-CN"/>
          <w14:textFill>
            <w14:solidFill>
              <w14:schemeClr w14:val="tx1"/>
            </w14:solidFill>
          </w14:textFill>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2B2F8483">
      <w:pPr>
        <w:pStyle w:val="40"/>
        <w:widowControl w:val="0"/>
        <w:tabs>
          <w:tab w:val="left" w:pos="540"/>
        </w:tabs>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82</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58FB678F">
      <w:pPr>
        <w:pStyle w:val="40"/>
        <w:widowControl w:val="0"/>
        <w:adjustRightInd w:val="0"/>
        <w:snapToGrid w:val="0"/>
        <w:spacing w:line="420" w:lineRule="exact"/>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762ECD0D">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899904;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762ECD0D">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发包人供应工程材料和工程设备的，由发包人按照实际变化调整，列入合同工程的建筑安装工程费内。</w:t>
      </w:r>
    </w:p>
    <w:p w14:paraId="3FC0CE36">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p>
    <w:p w14:paraId="62B3D1B8">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60" w:name="_Toc149731519"/>
      <w:bookmarkStart w:id="461" w:name="_Toc2425"/>
      <w:r>
        <w:rPr>
          <w:rFonts w:hint="eastAsia" w:ascii="仿宋" w:hAnsi="仿宋" w:eastAsia="仿宋" w:cs="仿宋"/>
          <w:bCs w:val="0"/>
          <w:color w:val="000000" w:themeColor="text1"/>
          <w:sz w:val="24"/>
          <w:szCs w:val="24"/>
          <w:highlight w:val="none"/>
          <w:lang w:eastAsia="zh-CN"/>
          <w14:textFill>
            <w14:solidFill>
              <w14:schemeClr w14:val="tx1"/>
            </w14:solidFill>
          </w14:textFill>
        </w:rPr>
        <w:t>★83支付事项</w:t>
      </w:r>
      <w:bookmarkEnd w:id="460"/>
      <w:bookmarkEnd w:id="461"/>
    </w:p>
    <w:p w14:paraId="27817376">
      <w:pPr>
        <w:pStyle w:val="40"/>
        <w:widowControl w:val="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83</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2C3733C2">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716EA29B">
                            <w:pPr>
                              <w:pStyle w:val="6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0928;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716EA29B">
                      <w:pPr>
                        <w:pStyle w:val="6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发包人应按照下列约定向承包人支付工程勘察费、工程设计费、BIM技术应用费、设备及工器具购置费、建筑安装工程费及其他各种款项：</w:t>
      </w:r>
    </w:p>
    <w:p w14:paraId="5CC974AA">
      <w:pPr>
        <w:widowControl w:val="0"/>
        <w:numPr>
          <w:ilvl w:val="1"/>
          <w:numId w:val="2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预付款按照第84条的约定支付；</w:t>
      </w:r>
    </w:p>
    <w:p w14:paraId="378D79C5">
      <w:pPr>
        <w:widowControl w:val="0"/>
        <w:numPr>
          <w:ilvl w:val="1"/>
          <w:numId w:val="2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绿色施工安全防护费按照第</w:t>
      </w:r>
      <w:r>
        <w:rPr>
          <w:rFonts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lang w:eastAsia="zh-CN"/>
          <w14:textFill>
            <w14:solidFill>
              <w14:schemeClr w14:val="tx1"/>
            </w14:solidFill>
          </w14:textFill>
        </w:rPr>
        <w:t>5条约定支付；</w:t>
      </w:r>
    </w:p>
    <w:p w14:paraId="49855681">
      <w:pPr>
        <w:widowControl w:val="0"/>
        <w:numPr>
          <w:ilvl w:val="1"/>
          <w:numId w:val="2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进度款按照第</w:t>
      </w:r>
      <w:r>
        <w:rPr>
          <w:rFonts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lang w:eastAsia="zh-CN"/>
          <w14:textFill>
            <w14:solidFill>
              <w14:schemeClr w14:val="tx1"/>
            </w14:solidFill>
          </w14:textFill>
        </w:rPr>
        <w:t>6条的约定支付；</w:t>
      </w:r>
    </w:p>
    <w:p w14:paraId="1B5467D6">
      <w:pPr>
        <w:widowControl w:val="0"/>
        <w:numPr>
          <w:ilvl w:val="1"/>
          <w:numId w:val="2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结算款按照第</w:t>
      </w:r>
      <w:r>
        <w:rPr>
          <w:rFonts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lang w:eastAsia="zh-CN"/>
          <w14:textFill>
            <w14:solidFill>
              <w14:schemeClr w14:val="tx1"/>
            </w14:solidFill>
          </w14:textFill>
        </w:rPr>
        <w:t>8条的约定支付；</w:t>
      </w:r>
    </w:p>
    <w:p w14:paraId="10202F79">
      <w:pPr>
        <w:widowControl w:val="0"/>
        <w:numPr>
          <w:ilvl w:val="1"/>
          <w:numId w:val="2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质量保证金按照第89条的约定支付；</w:t>
      </w:r>
    </w:p>
    <w:p w14:paraId="3DC9E74F">
      <w:pPr>
        <w:widowControl w:val="0"/>
        <w:numPr>
          <w:ilvl w:val="1"/>
          <w:numId w:val="2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最终清算款按照第90条的约定支付。</w:t>
      </w:r>
    </w:p>
    <w:p w14:paraId="05BB9DF1">
      <w:pPr>
        <w:spacing w:line="360" w:lineRule="auto"/>
        <w:rPr>
          <w:rFonts w:ascii="仿宋" w:hAnsi="仿宋" w:eastAsia="仿宋"/>
          <w:b/>
          <w:bCs/>
          <w:color w:val="000000" w:themeColor="text1"/>
          <w:highlight w:val="none"/>
          <w:lang w:eastAsia="zh-CN"/>
          <w14:textFill>
            <w14:solidFill>
              <w14:schemeClr w14:val="tx1"/>
            </w14:solidFill>
          </w14:textFill>
        </w:rPr>
      </w:pPr>
      <w:bookmarkStart w:id="462" w:name="_Toc21140"/>
      <w:r>
        <w:rPr>
          <w:rFonts w:hint="eastAsia" w:ascii="仿宋" w:hAnsi="仿宋" w:eastAsia="仿宋" w:cs="仿宋"/>
          <w:b/>
          <w:bCs/>
          <w:color w:val="000000" w:themeColor="text1"/>
          <w:highlight w:val="none"/>
          <w:lang w:eastAsia="zh-CN"/>
          <w14:textFill>
            <w14:solidFill>
              <w14:schemeClr w14:val="tx1"/>
            </w14:solidFill>
          </w14:textFill>
        </w:rPr>
        <w:t>83</w:t>
      </w:r>
      <w:r>
        <w:rPr>
          <w:rFonts w:ascii="仿宋" w:hAnsi="仿宋" w:eastAsia="仿宋" w:cs="仿宋"/>
          <w:b/>
          <w:bCs/>
          <w:color w:val="000000" w:themeColor="text1"/>
          <w:highlight w:val="none"/>
          <w:lang w:eastAsia="zh-CN"/>
          <w14:textFill>
            <w14:solidFill>
              <w14:schemeClr w14:val="tx1"/>
            </w14:solidFill>
          </w14:textFill>
        </w:rPr>
        <w:t>.2</w:t>
      </w:r>
      <w:bookmarkEnd w:id="462"/>
    </w:p>
    <w:p w14:paraId="09A6CAA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7065D97A">
                            <w:pPr>
                              <w:pStyle w:val="6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1952;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7065D97A">
                      <w:pPr>
                        <w:pStyle w:val="6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5EB9CABA">
      <w:pPr>
        <w:widowControl w:val="0"/>
        <w:spacing w:line="360" w:lineRule="auto"/>
        <w:rPr>
          <w:rFonts w:ascii="仿宋" w:hAnsi="仿宋" w:eastAsia="仿宋"/>
          <w:b/>
          <w:bCs/>
          <w:color w:val="000000" w:themeColor="text1"/>
          <w:highlight w:val="none"/>
          <w:lang w:eastAsia="zh-CN"/>
          <w14:textFill>
            <w14:solidFill>
              <w14:schemeClr w14:val="tx1"/>
            </w14:solidFill>
          </w14:textFill>
        </w:rPr>
      </w:pPr>
      <w:bookmarkStart w:id="463" w:name="_Toc20610"/>
      <w:r>
        <w:rPr>
          <w:rFonts w:hint="eastAsia" w:ascii="仿宋" w:hAnsi="仿宋" w:eastAsia="仿宋" w:cs="仿宋"/>
          <w:b/>
          <w:bCs/>
          <w:color w:val="000000" w:themeColor="text1"/>
          <w:highlight w:val="none"/>
          <w:lang w:eastAsia="zh-CN"/>
          <w14:textFill>
            <w14:solidFill>
              <w14:schemeClr w14:val="tx1"/>
            </w14:solidFill>
          </w14:textFill>
        </w:rPr>
        <w:t>83</w:t>
      </w:r>
      <w:r>
        <w:rPr>
          <w:rFonts w:ascii="仿宋" w:hAnsi="仿宋" w:eastAsia="仿宋" w:cs="仿宋"/>
          <w:b/>
          <w:bCs/>
          <w:color w:val="000000" w:themeColor="text1"/>
          <w:highlight w:val="none"/>
          <w:lang w:eastAsia="zh-CN"/>
          <w14:textFill>
            <w14:solidFill>
              <w14:schemeClr w14:val="tx1"/>
            </w14:solidFill>
          </w14:textFill>
        </w:rPr>
        <w:t>.3</w:t>
      </w:r>
      <w:bookmarkEnd w:id="463"/>
    </w:p>
    <w:p w14:paraId="18A31BC9">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6FA5AEAB">
                            <w:pPr>
                              <w:pStyle w:val="6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2976;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6FA5AEAB">
                      <w:pPr>
                        <w:pStyle w:val="6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446DBC2B">
      <w:pPr>
        <w:pStyle w:val="40"/>
        <w:widowControl w:val="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83</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40D8A8C5">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7C0ED24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4000;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7C0ED24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天内，承包人仍未采取措施补救的，发包人可在不损害承包人其他权利的前提下，实施下列工作：</w:t>
      </w:r>
    </w:p>
    <w:p w14:paraId="52CF5DAA">
      <w:pPr>
        <w:pStyle w:val="40"/>
        <w:widowControl w:val="0"/>
        <w:numPr>
          <w:ilvl w:val="0"/>
          <w:numId w:val="21"/>
        </w:numPr>
        <w:tabs>
          <w:tab w:val="left" w:pos="960"/>
          <w:tab w:val="left" w:pos="216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立即停止向承包人支付应付的款项；</w:t>
      </w:r>
    </w:p>
    <w:p w14:paraId="78492343">
      <w:pPr>
        <w:pStyle w:val="40"/>
        <w:widowControl w:val="0"/>
        <w:numPr>
          <w:ilvl w:val="0"/>
          <w:numId w:val="21"/>
        </w:numPr>
        <w:tabs>
          <w:tab w:val="left" w:pos="960"/>
          <w:tab w:val="left" w:pos="2160"/>
        </w:tabs>
        <w:adjustRightInd w:val="0"/>
        <w:snapToGrid w:val="0"/>
        <w:spacing w:line="360" w:lineRule="auto"/>
        <w:ind w:left="1849" w:leftChars="770" w:hanging="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在相应支付期应付的工程款范围内，直接向雇员、分包人和工程材料供应商、工程设备供应商支付承包人应付的款项。</w:t>
      </w:r>
    </w:p>
    <w:p w14:paraId="28DABFBF">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发包人在实施上述工作后的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6AFAC658">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3198148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64" w:name="_Toc149731520"/>
      <w:bookmarkStart w:id="465" w:name="_Toc9113"/>
      <w:r>
        <w:rPr>
          <w:rFonts w:hint="eastAsia" w:ascii="仿宋" w:hAnsi="仿宋" w:eastAsia="仿宋" w:cs="仿宋"/>
          <w:bCs w:val="0"/>
          <w:color w:val="000000" w:themeColor="text1"/>
          <w:sz w:val="24"/>
          <w:szCs w:val="24"/>
          <w:highlight w:val="none"/>
          <w:lang w:eastAsia="zh-CN"/>
          <w14:textFill>
            <w14:solidFill>
              <w14:schemeClr w14:val="tx1"/>
            </w14:solidFill>
          </w14:textFill>
        </w:rPr>
        <w:t>★84预付款</w:t>
      </w:r>
      <w:bookmarkEnd w:id="464"/>
      <w:bookmarkEnd w:id="465"/>
    </w:p>
    <w:p w14:paraId="3257807E">
      <w:pPr>
        <w:pStyle w:val="40"/>
        <w:widowControl w:val="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7C743846">
                            <w:pPr>
                              <w:pStyle w:val="66"/>
                              <w:spacing w:line="200" w:lineRule="exact"/>
                              <w:rPr>
                                <w:rFonts w:ascii="楷体_GB2312" w:hAnsi="宋体"/>
                                <w:sz w:val="18"/>
                                <w:szCs w:val="18"/>
                              </w:rPr>
                            </w:pPr>
                            <w:r>
                              <w:rPr>
                                <w:rFonts w:hint="eastAsia" w:ascii="楷体_GB2312" w:hAnsi="宋体" w:cs="楷体_GB2312"/>
                                <w:sz w:val="18"/>
                                <w:szCs w:val="18"/>
                              </w:rPr>
                              <w:t>预付款的约定</w:t>
                            </w:r>
                          </w:p>
                          <w:p w14:paraId="119FCB12">
                            <w:pPr>
                              <w:pStyle w:val="66"/>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8624;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7C743846">
                      <w:pPr>
                        <w:pStyle w:val="66"/>
                        <w:spacing w:line="200" w:lineRule="exact"/>
                        <w:rPr>
                          <w:rFonts w:ascii="楷体_GB2312" w:hAnsi="宋体"/>
                          <w:sz w:val="18"/>
                          <w:szCs w:val="18"/>
                        </w:rPr>
                      </w:pPr>
                      <w:r>
                        <w:rPr>
                          <w:rFonts w:hint="eastAsia" w:ascii="楷体_GB2312" w:hAnsi="宋体" w:cs="楷体_GB2312"/>
                          <w:sz w:val="18"/>
                          <w:szCs w:val="18"/>
                        </w:rPr>
                        <w:t>预付款的约定</w:t>
                      </w:r>
                    </w:p>
                    <w:p w14:paraId="119FCB12">
                      <w:pPr>
                        <w:pStyle w:val="6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84</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61E91D4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除专用条款另有约定外，合同双方当事人应约定预付款，并在专用条款中明确预付款金额、支付办法和抵扣方式。</w:t>
      </w:r>
    </w:p>
    <w:p w14:paraId="47149C15">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预付款专款专用，承包人应在财务账目中标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000000" w:themeColor="text1"/>
          <w:sz w:val="24"/>
          <w:szCs w:val="24"/>
          <w:highlight w:val="none"/>
          <w:lang w:eastAsia="zh-CN"/>
          <w14:textFill>
            <w14:solidFill>
              <w14:schemeClr w14:val="tx1"/>
            </w14:solidFill>
          </w14:textFill>
        </w:rPr>
        <w:t>10%</w:t>
      </w:r>
      <w:r>
        <w:rPr>
          <w:rFonts w:hint="eastAsia" w:ascii="仿宋" w:hAnsi="仿宋" w:eastAsia="仿宋" w:cs="仿宋"/>
          <w:color w:val="000000" w:themeColor="text1"/>
          <w:sz w:val="24"/>
          <w:szCs w:val="24"/>
          <w:highlight w:val="none"/>
          <w:lang w:eastAsia="zh-CN"/>
          <w14:textFill>
            <w14:solidFill>
              <w14:schemeClr w14:val="tx1"/>
            </w14:solidFill>
          </w14:textFill>
        </w:rPr>
        <w:t>，不高于（含本数）合同价格（扣除暂列金额、暂估价、绿色安全防护措施费等）的</w:t>
      </w:r>
      <w:r>
        <w:rPr>
          <w:rFonts w:ascii="仿宋" w:hAnsi="仿宋" w:eastAsia="仿宋" w:cs="仿宋"/>
          <w:color w:val="000000" w:themeColor="text1"/>
          <w:sz w:val="24"/>
          <w:szCs w:val="24"/>
          <w:highlight w:val="none"/>
          <w:lang w:eastAsia="zh-CN"/>
          <w14:textFill>
            <w14:solidFill>
              <w14:schemeClr w14:val="tx1"/>
            </w14:solidFill>
          </w14:textFill>
        </w:rPr>
        <w:t>30%</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7CB4BE6C">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84</w:t>
      </w:r>
      <w:r>
        <w:rPr>
          <w:rFonts w:ascii="仿宋" w:hAnsi="仿宋" w:eastAsia="仿宋" w:cs="仿宋"/>
          <w:b/>
          <w:bCs/>
          <w:color w:val="000000" w:themeColor="text1"/>
          <w:highlight w:val="none"/>
          <w:lang w:eastAsia="zh-CN"/>
          <w14:textFill>
            <w14:solidFill>
              <w14:schemeClr w14:val="tx1"/>
            </w14:solidFill>
          </w14:textFill>
        </w:rPr>
        <w:t xml:space="preserve">.2  </w:t>
      </w:r>
    </w:p>
    <w:p w14:paraId="3CFA2B8C">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7E275039">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5024;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7E275039">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承包人在完成下列工作后，应在专用条款约定的期限内向造价咨询人提交预付款支付申请，并抄送发包人。</w:t>
      </w:r>
    </w:p>
    <w:p w14:paraId="64656C81">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）签订本合同；</w:t>
      </w:r>
    </w:p>
    <w:p w14:paraId="2200781E">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）按照第32</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款约定提供履约担保；</w:t>
      </w:r>
    </w:p>
    <w:p w14:paraId="070CD5EB">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）向发包人提供与预付款等额的预付款保函的正本。</w:t>
      </w:r>
    </w:p>
    <w:p w14:paraId="127742A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造价咨询人应对支付申请进行核实，并在收到支付申请后的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天内报发包人确认后向发包人发出支付证书，同时抄送承包人。</w:t>
      </w:r>
    </w:p>
    <w:p w14:paraId="0444056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发包人在造价咨询人签发支付证书后的28天内向承包人支付预付款，并通知造价咨询人。</w:t>
      </w:r>
    </w:p>
    <w:p w14:paraId="40906EB4">
      <w:pPr>
        <w:spacing w:line="360" w:lineRule="auto"/>
        <w:rPr>
          <w:rFonts w:ascii="仿宋" w:hAnsi="仿宋" w:eastAsia="仿宋"/>
          <w:b/>
          <w:bCs/>
          <w:color w:val="000000" w:themeColor="text1"/>
          <w:highlight w:val="none"/>
          <w:lang w:eastAsia="zh-CN"/>
          <w14:textFill>
            <w14:solidFill>
              <w14:schemeClr w14:val="tx1"/>
            </w14:solidFill>
          </w14:textFill>
        </w:rPr>
      </w:pPr>
      <w:bookmarkStart w:id="466" w:name="_Toc4585"/>
      <w:r>
        <w:rPr>
          <w:rFonts w:hint="eastAsia" w:ascii="仿宋" w:hAnsi="仿宋" w:eastAsia="仿宋" w:cs="仿宋"/>
          <w:b/>
          <w:bCs/>
          <w:color w:val="000000" w:themeColor="text1"/>
          <w:highlight w:val="none"/>
          <w:lang w:eastAsia="zh-CN"/>
          <w14:textFill>
            <w14:solidFill>
              <w14:schemeClr w14:val="tx1"/>
            </w14:solidFill>
          </w14:textFill>
        </w:rPr>
        <w:t>84</w:t>
      </w:r>
      <w:r>
        <w:rPr>
          <w:rFonts w:ascii="仿宋" w:hAnsi="仿宋" w:eastAsia="仿宋" w:cs="仿宋"/>
          <w:b/>
          <w:bCs/>
          <w:color w:val="000000" w:themeColor="text1"/>
          <w:highlight w:val="none"/>
          <w:lang w:eastAsia="zh-CN"/>
          <w14:textFill>
            <w14:solidFill>
              <w14:schemeClr w14:val="tx1"/>
            </w14:solidFill>
          </w14:textFill>
        </w:rPr>
        <w:t>.3</w:t>
      </w:r>
      <w:bookmarkEnd w:id="466"/>
    </w:p>
    <w:p w14:paraId="7FF3B5E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6807E768">
                            <w:pPr>
                              <w:pStyle w:val="6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6048;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6807E768">
                      <w:pPr>
                        <w:pStyle w:val="6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款约定获得延期支付的利息。发包人承担由此增加的费用和（或）延误的工期，并向承包人支付合理利润。</w:t>
      </w:r>
    </w:p>
    <w:p w14:paraId="43960F79">
      <w:pPr>
        <w:pStyle w:val="40"/>
        <w:tabs>
          <w:tab w:val="left" w:pos="1320"/>
        </w:tabs>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84</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6EDC636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0BD19EFF">
                            <w:pPr>
                              <w:pStyle w:val="6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7072;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0BD19EFF">
                      <w:pPr>
                        <w:pStyle w:val="6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17DE6D71">
      <w:pPr>
        <w:spacing w:line="360" w:lineRule="auto"/>
        <w:rPr>
          <w:rFonts w:ascii="仿宋" w:hAnsi="仿宋" w:eastAsia="仿宋"/>
          <w:b/>
          <w:bCs/>
          <w:color w:val="000000" w:themeColor="text1"/>
          <w:highlight w:val="none"/>
          <w:lang w:eastAsia="zh-CN"/>
          <w14:textFill>
            <w14:solidFill>
              <w14:schemeClr w14:val="tx1"/>
            </w14:solidFill>
          </w14:textFill>
        </w:rPr>
      </w:pPr>
      <w:bookmarkStart w:id="467" w:name="_Toc9269"/>
      <w:r>
        <w:rPr>
          <w:rFonts w:hint="eastAsia" w:ascii="仿宋" w:hAnsi="仿宋" w:eastAsia="仿宋" w:cs="仿宋"/>
          <w:b/>
          <w:bCs/>
          <w:color w:val="000000" w:themeColor="text1"/>
          <w:highlight w:val="none"/>
          <w:lang w:eastAsia="zh-CN"/>
          <w14:textFill>
            <w14:solidFill>
              <w14:schemeClr w14:val="tx1"/>
            </w14:solidFill>
          </w14:textFill>
        </w:rPr>
        <w:t>84</w:t>
      </w:r>
      <w:r>
        <w:rPr>
          <w:rFonts w:ascii="仿宋" w:hAnsi="仿宋" w:eastAsia="仿宋" w:cs="仿宋"/>
          <w:b/>
          <w:bCs/>
          <w:color w:val="000000" w:themeColor="text1"/>
          <w:highlight w:val="none"/>
          <w:lang w:eastAsia="zh-CN"/>
          <w14:textFill>
            <w14:solidFill>
              <w14:schemeClr w14:val="tx1"/>
            </w14:solidFill>
          </w14:textFill>
        </w:rPr>
        <w:t>.5</w:t>
      </w:r>
      <w:bookmarkEnd w:id="467"/>
    </w:p>
    <w:p w14:paraId="4B1947D0">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74B86F0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8096;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74B86F0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承包人应保持预付款保函在预付款全部扣回之前一直有效。发包人应在预付款扣完后的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天内将预付款保函退还承包人，并不得向承包人收取预付款的任何利息。</w:t>
      </w:r>
    </w:p>
    <w:p w14:paraId="23E4E682">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1F6BCAF1">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68" w:name="_Toc149731521"/>
      <w:bookmarkStart w:id="469" w:name="_Toc7650"/>
      <w:r>
        <w:rPr>
          <w:rFonts w:hint="eastAsia" w:ascii="仿宋" w:hAnsi="仿宋" w:eastAsia="仿宋" w:cs="仿宋"/>
          <w:bCs w:val="0"/>
          <w:color w:val="000000" w:themeColor="text1"/>
          <w:sz w:val="24"/>
          <w:szCs w:val="24"/>
          <w:highlight w:val="none"/>
          <w:lang w:eastAsia="zh-CN"/>
          <w14:textFill>
            <w14:solidFill>
              <w14:schemeClr w14:val="tx1"/>
            </w14:solidFill>
          </w14:textFill>
        </w:rPr>
        <w:t>★85绿色施工安全防护费</w:t>
      </w:r>
      <w:bookmarkEnd w:id="468"/>
      <w:bookmarkEnd w:id="469"/>
    </w:p>
    <w:p w14:paraId="05553E7F">
      <w:pPr>
        <w:widowControl w:val="0"/>
        <w:rPr>
          <w:rFonts w:ascii="仿宋" w:hAnsi="仿宋" w:eastAsia="仿宋" w:cs="仿宋"/>
          <w:b/>
          <w:bCs/>
          <w:color w:val="000000" w:themeColor="text1"/>
          <w:highlight w:val="none"/>
          <w:lang w:eastAsia="zh-CN"/>
          <w14:textFill>
            <w14:solidFill>
              <w14:schemeClr w14:val="tx1"/>
            </w14:solidFill>
          </w14:textFill>
        </w:rPr>
      </w:pPr>
      <w:bookmarkStart w:id="470" w:name="_Toc2466"/>
      <w:r>
        <w:rPr>
          <w:rFonts w:hint="eastAsia" w:ascii="仿宋" w:hAnsi="仿宋" w:eastAsia="仿宋" w:cs="仿宋"/>
          <w:b/>
          <w:bCs/>
          <w:color w:val="000000" w:themeColor="text1"/>
          <w:highlight w:val="none"/>
          <w:lang w:eastAsia="zh-CN"/>
          <w14:textFill>
            <w14:solidFill>
              <w14:schemeClr w14:val="tx1"/>
            </w14:solidFill>
          </w14:textFill>
        </w:rPr>
        <w:t>85</w:t>
      </w:r>
      <w:r>
        <w:rPr>
          <w:rFonts w:ascii="仿宋" w:hAnsi="仿宋" w:eastAsia="仿宋" w:cs="仿宋"/>
          <w:b/>
          <w:bCs/>
          <w:color w:val="000000" w:themeColor="text1"/>
          <w:highlight w:val="none"/>
          <w:lang w:eastAsia="zh-CN"/>
          <w14:textFill>
            <w14:solidFill>
              <w14:schemeClr w14:val="tx1"/>
            </w14:solidFill>
          </w14:textFill>
        </w:rPr>
        <w:t>.1</w:t>
      </w:r>
      <w:bookmarkEnd w:id="470"/>
    </w:p>
    <w:p w14:paraId="324B316E">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20AF0386">
                            <w:pPr>
                              <w:pStyle w:val="6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09120;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20AF0386">
                      <w:pPr>
                        <w:pStyle w:val="6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000000" w:themeColor="text1"/>
          <w:sz w:val="24"/>
          <w:szCs w:val="24"/>
          <w:highlight w:val="none"/>
          <w:lang w:eastAsia="zh-CN"/>
          <w14:textFill>
            <w14:solidFill>
              <w14:schemeClr w14:val="tx1"/>
            </w14:solidFill>
          </w14:textFill>
        </w:rPr>
        <w:t>建设</w:t>
      </w:r>
      <w:r>
        <w:rPr>
          <w:rFonts w:hint="eastAsia" w:ascii="仿宋" w:hAnsi="仿宋" w:eastAsia="仿宋" w:cs="仿宋"/>
          <w:color w:val="000000" w:themeColor="text1"/>
          <w:sz w:val="24"/>
          <w:szCs w:val="24"/>
          <w:highlight w:val="none"/>
          <w:lang w:eastAsia="zh-CN"/>
          <w14:textFill>
            <w14:solidFill>
              <w14:schemeClr w14:val="tx1"/>
            </w14:solidFill>
          </w14:textFill>
        </w:rPr>
        <w:t>行政主管</w:t>
      </w:r>
      <w:r>
        <w:rPr>
          <w:rFonts w:ascii="仿宋" w:hAnsi="仿宋" w:eastAsia="仿宋" w:cs="仿宋"/>
          <w:color w:val="000000" w:themeColor="text1"/>
          <w:sz w:val="24"/>
          <w:szCs w:val="24"/>
          <w:highlight w:val="none"/>
          <w:lang w:eastAsia="zh-CN"/>
          <w14:textFill>
            <w14:solidFill>
              <w14:schemeClr w14:val="tx1"/>
            </w14:solidFill>
          </w14:textFill>
        </w:rPr>
        <w:t>部门</w:t>
      </w:r>
      <w:r>
        <w:rPr>
          <w:rFonts w:hint="eastAsia" w:ascii="仿宋" w:hAnsi="仿宋" w:eastAsia="仿宋" w:cs="仿宋"/>
          <w:color w:val="000000" w:themeColor="text1"/>
          <w:sz w:val="24"/>
          <w:szCs w:val="24"/>
          <w:highlight w:val="none"/>
          <w:lang w:eastAsia="zh-CN"/>
          <w14:textFill>
            <w14:solidFill>
              <w14:schemeClr w14:val="tx1"/>
            </w14:solidFill>
          </w14:textFill>
        </w:rPr>
        <w:t>的相关文件规定为准。</w:t>
      </w:r>
    </w:p>
    <w:p w14:paraId="09B411A5">
      <w:pPr>
        <w:spacing w:line="360" w:lineRule="auto"/>
        <w:rPr>
          <w:rFonts w:ascii="仿宋" w:hAnsi="仿宋" w:eastAsia="仿宋" w:cs="仿宋"/>
          <w:color w:val="000000" w:themeColor="text1"/>
          <w:highlight w:val="none"/>
          <w:u w:val="dotted"/>
          <w:lang w:eastAsia="zh-CN"/>
          <w14:textFill>
            <w14:solidFill>
              <w14:schemeClr w14:val="tx1"/>
            </w14:solidFill>
          </w14:textFill>
        </w:rPr>
      </w:pPr>
      <w:bookmarkStart w:id="471" w:name="_Toc1917"/>
      <w:r>
        <w:rPr>
          <w:rFonts w:hint="eastAsia" w:ascii="仿宋" w:hAnsi="仿宋" w:eastAsia="仿宋" w:cs="仿宋"/>
          <w:b/>
          <w:bCs/>
          <w:color w:val="000000" w:themeColor="text1"/>
          <w:highlight w:val="none"/>
          <w:lang w:eastAsia="zh-CN"/>
          <w14:textFill>
            <w14:solidFill>
              <w14:schemeClr w14:val="tx1"/>
            </w14:solidFill>
          </w14:textFill>
        </w:rPr>
        <w:t>85</w:t>
      </w:r>
      <w:r>
        <w:rPr>
          <w:rFonts w:ascii="仿宋" w:hAnsi="仿宋" w:eastAsia="仿宋" w:cs="仿宋"/>
          <w:b/>
          <w:bCs/>
          <w:color w:val="000000" w:themeColor="text1"/>
          <w:highlight w:val="none"/>
          <w:lang w:eastAsia="zh-CN"/>
          <w14:textFill>
            <w14:solidFill>
              <w14:schemeClr w14:val="tx1"/>
            </w14:solidFill>
          </w14:textFill>
        </w:rPr>
        <w:t>.2</w:t>
      </w:r>
      <w:bookmarkEnd w:id="471"/>
    </w:p>
    <w:p w14:paraId="5C15A1C2">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71AA57EA">
                            <w:pPr>
                              <w:pStyle w:val="6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0144;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71AA57EA">
                      <w:pPr>
                        <w:pStyle w:val="6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专用条款没有约定的，承包人应在接到监理人按照第41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款约定发出开工令后的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天内向造价咨询人提交绿色施工安全防护费支付申请，并抄送发包人。造价咨询人应对支付申请进行核实，并在收到支付申请后的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天内报发包人确认后向发包人发出支付证书，同时抄送承包人。</w:t>
      </w:r>
    </w:p>
    <w:p w14:paraId="44EB7FDE">
      <w:pPr>
        <w:spacing w:line="360" w:lineRule="auto"/>
        <w:rPr>
          <w:rFonts w:ascii="仿宋" w:hAnsi="仿宋" w:eastAsia="仿宋"/>
          <w:b/>
          <w:bCs/>
          <w:color w:val="000000" w:themeColor="text1"/>
          <w:highlight w:val="none"/>
          <w:lang w:eastAsia="zh-CN"/>
          <w14:textFill>
            <w14:solidFill>
              <w14:schemeClr w14:val="tx1"/>
            </w14:solidFill>
          </w14:textFill>
        </w:rPr>
      </w:pPr>
      <w:bookmarkStart w:id="472" w:name="_Toc10328"/>
      <w:r>
        <w:rPr>
          <w:rFonts w:hint="eastAsia" w:ascii="仿宋" w:hAnsi="仿宋" w:eastAsia="仿宋" w:cs="仿宋"/>
          <w:b/>
          <w:bCs/>
          <w:color w:val="000000" w:themeColor="text1"/>
          <w:highlight w:val="none"/>
          <w:lang w:eastAsia="zh-CN"/>
          <w14:textFill>
            <w14:solidFill>
              <w14:schemeClr w14:val="tx1"/>
            </w14:solidFill>
          </w14:textFill>
        </w:rPr>
        <w:t>85</w:t>
      </w:r>
      <w:r>
        <w:rPr>
          <w:rFonts w:ascii="仿宋" w:hAnsi="仿宋" w:eastAsia="仿宋" w:cs="仿宋"/>
          <w:b/>
          <w:bCs/>
          <w:color w:val="000000" w:themeColor="text1"/>
          <w:highlight w:val="none"/>
          <w:lang w:eastAsia="zh-CN"/>
          <w14:textFill>
            <w14:solidFill>
              <w14:schemeClr w14:val="tx1"/>
            </w14:solidFill>
          </w14:textFill>
        </w:rPr>
        <w:t>.3</w:t>
      </w:r>
      <w:bookmarkEnd w:id="472"/>
    </w:p>
    <w:p w14:paraId="1995532C">
      <w:pPr>
        <w:pStyle w:val="4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合同双方当事人应按照建设行政主管部门的规定，在专用条款中约定绿色施工安全防护费的支付办法和抵扣方式。除专用条款另有约定外，</w:t>
      </w: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0427D21D">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1168;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0427D21D">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发包人应在造价咨询人签发支付证书后的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天内向承包人支付绿色施工安全防护费，并保证在工程开工后的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天内支付绿色施工安全防护费金额的</w:t>
      </w:r>
      <w:r>
        <w:rPr>
          <w:rFonts w:ascii="仿宋" w:hAnsi="仿宋" w:eastAsia="仿宋" w:cs="仿宋"/>
          <w:color w:val="000000" w:themeColor="text1"/>
          <w:sz w:val="24"/>
          <w:szCs w:val="24"/>
          <w:highlight w:val="none"/>
          <w:lang w:eastAsia="zh-CN"/>
          <w14:textFill>
            <w14:solidFill>
              <w14:schemeClr w14:val="tx1"/>
            </w14:solidFill>
          </w14:textFill>
        </w:rPr>
        <w:t>50%</w:t>
      </w:r>
      <w:r>
        <w:rPr>
          <w:rFonts w:hint="eastAsia" w:ascii="仿宋" w:hAnsi="仿宋" w:eastAsia="仿宋" w:cs="仿宋"/>
          <w:color w:val="000000" w:themeColor="text1"/>
          <w:sz w:val="24"/>
          <w:szCs w:val="24"/>
          <w:highlight w:val="none"/>
          <w:lang w:eastAsia="zh-CN"/>
          <w14:textFill>
            <w14:solidFill>
              <w14:schemeClr w14:val="tx1"/>
            </w14:solidFill>
          </w14:textFill>
        </w:rPr>
        <w:t>，同时通知造价咨询人。其余部分与进度款同期支付。</w:t>
      </w:r>
    </w:p>
    <w:p w14:paraId="10A48B90">
      <w:pPr>
        <w:spacing w:line="360" w:lineRule="auto"/>
        <w:rPr>
          <w:rFonts w:ascii="仿宋" w:hAnsi="仿宋" w:eastAsia="仿宋"/>
          <w:b/>
          <w:bCs/>
          <w:color w:val="000000" w:themeColor="text1"/>
          <w:highlight w:val="none"/>
          <w:lang w:eastAsia="zh-CN"/>
          <w14:textFill>
            <w14:solidFill>
              <w14:schemeClr w14:val="tx1"/>
            </w14:solidFill>
          </w14:textFill>
        </w:rPr>
      </w:pPr>
      <w:bookmarkStart w:id="473" w:name="_Toc27893"/>
      <w:r>
        <w:rPr>
          <w:rFonts w:hint="eastAsia" w:ascii="仿宋" w:hAnsi="仿宋" w:eastAsia="仿宋" w:cs="仿宋"/>
          <w:b/>
          <w:bCs/>
          <w:color w:val="000000" w:themeColor="text1"/>
          <w:highlight w:val="none"/>
          <w:lang w:eastAsia="zh-CN"/>
          <w14:textFill>
            <w14:solidFill>
              <w14:schemeClr w14:val="tx1"/>
            </w14:solidFill>
          </w14:textFill>
        </w:rPr>
        <w:t>85</w:t>
      </w:r>
      <w:r>
        <w:rPr>
          <w:rFonts w:ascii="仿宋" w:hAnsi="仿宋" w:eastAsia="仿宋" w:cs="仿宋"/>
          <w:b/>
          <w:bCs/>
          <w:color w:val="000000" w:themeColor="text1"/>
          <w:highlight w:val="none"/>
          <w:lang w:eastAsia="zh-CN"/>
          <w14:textFill>
            <w14:solidFill>
              <w14:schemeClr w14:val="tx1"/>
            </w14:solidFill>
          </w14:textFill>
        </w:rPr>
        <w:t>.4</w:t>
      </w:r>
      <w:bookmarkEnd w:id="473"/>
    </w:p>
    <w:p w14:paraId="138ADF3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5145CC63">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2192;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5145CC63">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天后暂停施工。发包人应承担由此增加的费用和（或）延误的工期，并向承包人支付合理利润。</w:t>
      </w:r>
    </w:p>
    <w:p w14:paraId="51A21AE5">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85</w:t>
      </w:r>
      <w:r>
        <w:rPr>
          <w:rFonts w:ascii="仿宋" w:hAnsi="仿宋" w:eastAsia="仿宋" w:cs="仿宋"/>
          <w:b/>
          <w:bCs/>
          <w:color w:val="000000" w:themeColor="text1"/>
          <w:highlight w:val="none"/>
          <w:lang w:eastAsia="zh-CN"/>
          <w14:textFill>
            <w14:solidFill>
              <w14:schemeClr w14:val="tx1"/>
            </w14:solidFill>
          </w14:textFill>
        </w:rPr>
        <w:t xml:space="preserve">.5  </w:t>
      </w:r>
    </w:p>
    <w:p w14:paraId="52EE9BD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1DF074BD">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3216;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1DF074BD">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26DD0FA6">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85</w:t>
      </w:r>
      <w:r>
        <w:rPr>
          <w:rFonts w:ascii="仿宋" w:hAnsi="仿宋" w:eastAsia="仿宋" w:cs="仿宋"/>
          <w:b/>
          <w:bCs/>
          <w:color w:val="000000" w:themeColor="text1"/>
          <w:highlight w:val="none"/>
          <w:lang w:eastAsia="zh-CN"/>
          <w14:textFill>
            <w14:solidFill>
              <w14:schemeClr w14:val="tx1"/>
            </w14:solidFill>
          </w14:textFill>
        </w:rPr>
        <w:t xml:space="preserve">.6  </w:t>
      </w:r>
    </w:p>
    <w:p w14:paraId="09AE21E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27A1E078">
                            <w:pPr>
                              <w:pStyle w:val="28"/>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5964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27A1E078">
                      <w:pPr>
                        <w:pStyle w:val="28"/>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除专用条款另有约定外，获得省、市级或其他级别文明工地的文明工地增加费，招标发包工程按照中标通知书日期（直接发包工程按照合同签订日期）的同时期省、市</w:t>
      </w:r>
      <w:r>
        <w:rPr>
          <w:rFonts w:ascii="仿宋" w:hAnsi="仿宋" w:eastAsia="仿宋" w:cs="仿宋"/>
          <w:color w:val="000000" w:themeColor="text1"/>
          <w:sz w:val="24"/>
          <w:szCs w:val="24"/>
          <w:highlight w:val="none"/>
          <w:lang w:eastAsia="zh-CN"/>
          <w14:textFill>
            <w14:solidFill>
              <w14:schemeClr w14:val="tx1"/>
            </w14:solidFill>
          </w14:textFill>
        </w:rPr>
        <w:t>建设</w:t>
      </w:r>
      <w:r>
        <w:rPr>
          <w:rFonts w:hint="eastAsia" w:ascii="仿宋" w:hAnsi="仿宋" w:eastAsia="仿宋" w:cs="仿宋"/>
          <w:color w:val="000000" w:themeColor="text1"/>
          <w:sz w:val="24"/>
          <w:szCs w:val="24"/>
          <w:highlight w:val="none"/>
          <w:lang w:eastAsia="zh-CN"/>
          <w14:textFill>
            <w14:solidFill>
              <w14:schemeClr w14:val="tx1"/>
            </w14:solidFill>
          </w14:textFill>
        </w:rPr>
        <w:t>行政主管</w:t>
      </w:r>
      <w:r>
        <w:rPr>
          <w:rFonts w:ascii="仿宋" w:hAnsi="仿宋" w:eastAsia="仿宋" w:cs="仿宋"/>
          <w:color w:val="000000" w:themeColor="text1"/>
          <w:sz w:val="24"/>
          <w:szCs w:val="24"/>
          <w:highlight w:val="none"/>
          <w:lang w:eastAsia="zh-CN"/>
          <w14:textFill>
            <w14:solidFill>
              <w14:schemeClr w14:val="tx1"/>
            </w14:solidFill>
          </w14:textFill>
        </w:rPr>
        <w:t>部门</w:t>
      </w:r>
      <w:r>
        <w:rPr>
          <w:rFonts w:hint="eastAsia" w:ascii="仿宋" w:hAnsi="仿宋" w:eastAsia="仿宋" w:cs="仿宋"/>
          <w:color w:val="000000" w:themeColor="text1"/>
          <w:sz w:val="24"/>
          <w:szCs w:val="24"/>
          <w:highlight w:val="none"/>
          <w:lang w:eastAsia="zh-CN"/>
          <w14:textFill>
            <w14:solidFill>
              <w14:schemeClr w14:val="tx1"/>
            </w14:solidFill>
          </w14:textFill>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天内支付。</w:t>
      </w:r>
    </w:p>
    <w:p w14:paraId="78578982">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1434453">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74" w:name="_Toc22650"/>
      <w:bookmarkStart w:id="475" w:name="_Toc149731522"/>
      <w:r>
        <w:rPr>
          <w:rFonts w:hint="eastAsia" w:ascii="仿宋" w:hAnsi="仿宋" w:eastAsia="仿宋" w:cs="仿宋"/>
          <w:bCs w:val="0"/>
          <w:color w:val="000000" w:themeColor="text1"/>
          <w:sz w:val="24"/>
          <w:szCs w:val="24"/>
          <w:highlight w:val="none"/>
          <w:lang w:eastAsia="zh-CN"/>
          <w14:textFill>
            <w14:solidFill>
              <w14:schemeClr w14:val="tx1"/>
            </w14:solidFill>
          </w14:textFill>
        </w:rPr>
        <w:t>★86进度款</w:t>
      </w:r>
      <w:bookmarkEnd w:id="474"/>
      <w:bookmarkEnd w:id="475"/>
    </w:p>
    <w:p w14:paraId="1CA106FC">
      <w:pPr>
        <w:pStyle w:val="40"/>
        <w:widowControl w:val="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86</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6895BB6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46AA548D">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4240;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uMwN9UAAAAJ&#10;AQAADwAAAAAAAAABACAAAAAiAAAAZHJzL2Rvd25yZXYueG1sUEsBAhQAFAAAAAgAh07iQCBL+NEf&#10;AgAAJgQAAA4AAAAAAAAAAQAgAAAAJAEAAGRycy9lMm9Eb2MueG1sUEsFBgAAAAAGAAYAWQEAALUF&#10;AAAAAA==&#10;">
                <v:fill on="f" focussize="0,0"/>
                <v:stroke on="f"/>
                <v:imagedata o:title=""/>
                <o:lock v:ext="edit" aspectratio="f"/>
                <v:textbox>
                  <w:txbxContent>
                    <w:p w14:paraId="46AA548D">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合同双方当事人应在专用条款中明确进度款的支付期限及比例。专用条款没有约定期限的，支付期限以月为单位。涉及政府投资资金的工程，支付期限、支付方法等需调整的，应在专用条款中约定。</w:t>
      </w:r>
    </w:p>
    <w:p w14:paraId="5344222F">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承包人应在每个支付期结束后的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77E039E4">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已</w:t>
      </w:r>
      <w:r>
        <w:rPr>
          <w:rFonts w:hint="eastAsia" w:ascii="仿宋" w:hAnsi="仿宋" w:eastAsia="仿宋" w:cs="仿宋"/>
          <w:color w:val="000000" w:themeColor="text1"/>
          <w:sz w:val="24"/>
          <w:szCs w:val="24"/>
          <w:highlight w:val="none"/>
          <w:lang w:eastAsia="zh-CN"/>
          <w14:textFill>
            <w14:solidFill>
              <w14:schemeClr w14:val="tx1"/>
            </w14:solidFill>
          </w14:textFill>
        </w:rPr>
        <w:t>完成</w:t>
      </w:r>
      <w:r>
        <w:rPr>
          <w:rFonts w:hint="eastAsia" w:ascii="仿宋" w:hAnsi="仿宋" w:eastAsia="仿宋" w:cs="仿宋"/>
          <w:color w:val="000000" w:themeColor="text1"/>
          <w:sz w:val="24"/>
          <w:szCs w:val="24"/>
          <w:highlight w:val="none"/>
          <w14:textFill>
            <w14:solidFill>
              <w14:schemeClr w14:val="tx1"/>
            </w14:solidFill>
          </w14:textFill>
        </w:rPr>
        <w:t>工作或工程款；</w:t>
      </w:r>
    </w:p>
    <w:p w14:paraId="7019D158">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已实际支付的工作或工程款；</w:t>
      </w:r>
    </w:p>
    <w:p w14:paraId="2980FE01">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本期间完成的工作或工程款；</w:t>
      </w:r>
    </w:p>
    <w:p w14:paraId="549D2888">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本期间完成的计日工费用；</w:t>
      </w:r>
    </w:p>
    <w:p w14:paraId="2C28BDC7">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根据第78条至第82条约定本期间已确认的调整价款；</w:t>
      </w:r>
    </w:p>
    <w:p w14:paraId="32054300">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本期间暂列金额的使用情况；</w:t>
      </w:r>
    </w:p>
    <w:p w14:paraId="0EE82A53">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根据第76条约定本期间应扣除的误期赔偿费；</w:t>
      </w:r>
    </w:p>
    <w:p w14:paraId="7BAC6506">
      <w:pPr>
        <w:pStyle w:val="40"/>
        <w:widowControl w:val="0"/>
        <w:numPr>
          <w:ilvl w:val="0"/>
          <w:numId w:val="22"/>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根据第84条本期间应扣回的预付款；</w:t>
      </w:r>
    </w:p>
    <w:p w14:paraId="1FACA432">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5条约定本期间应支付或扣回的绿色施工安全防护费；</w:t>
      </w:r>
    </w:p>
    <w:p w14:paraId="3D23E64F">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根据第89条本期间应扣留的质量保证金；</w:t>
      </w:r>
    </w:p>
    <w:p w14:paraId="25473DDE">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olor w:val="000000" w:themeColor="text1"/>
          <w:sz w:val="24"/>
          <w:szCs w:val="24"/>
          <w:highlight w:val="none"/>
          <w:lang w:eastAsia="zh-CN"/>
          <w14:textFill>
            <w14:solidFill>
              <w14:schemeClr w14:val="tx1"/>
            </w14:solidFill>
          </w14:textFill>
        </w:rPr>
        <w:t>根据</w:t>
      </w:r>
      <w:r>
        <w:rPr>
          <w:rFonts w:hint="eastAsia" w:ascii="仿宋" w:hAnsi="仿宋" w:eastAsia="仿宋" w:cs="仿宋"/>
          <w:color w:val="000000" w:themeColor="text1"/>
          <w:sz w:val="24"/>
          <w:szCs w:val="24"/>
          <w:highlight w:val="none"/>
          <w:lang w:eastAsia="zh-CN"/>
          <w14:textFill>
            <w14:solidFill>
              <w14:schemeClr w14:val="tx1"/>
            </w14:solidFill>
          </w14:textFill>
        </w:rPr>
        <w:t>合同约定，本期间应支付或扣留（回）的其他款项；</w:t>
      </w:r>
    </w:p>
    <w:p w14:paraId="391D26F8">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olor w:val="000000" w:themeColor="text1"/>
          <w:sz w:val="24"/>
          <w:szCs w:val="24"/>
          <w:highlight w:val="none"/>
          <w:lang w:eastAsia="zh-CN"/>
          <w14:textFill>
            <w14:solidFill>
              <w14:schemeClr w14:val="tx1"/>
            </w14:solidFill>
          </w14:textFill>
        </w:rPr>
        <w:t>本期</w:t>
      </w:r>
      <w:r>
        <w:rPr>
          <w:rFonts w:hint="eastAsia" w:ascii="仿宋" w:hAnsi="仿宋" w:eastAsia="仿宋" w:cs="仿宋"/>
          <w:color w:val="000000" w:themeColor="text1"/>
          <w:sz w:val="24"/>
          <w:szCs w:val="24"/>
          <w:highlight w:val="none"/>
          <w:lang w:eastAsia="zh-CN"/>
          <w14:textFill>
            <w14:solidFill>
              <w14:schemeClr w14:val="tx1"/>
            </w14:solidFill>
          </w14:textFill>
        </w:rPr>
        <w:t>间应支付的进度款。</w:t>
      </w:r>
    </w:p>
    <w:p w14:paraId="2E6CD036">
      <w:pPr>
        <w:pStyle w:val="40"/>
        <w:tabs>
          <w:tab w:val="left" w:pos="13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86</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1F7C7279">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6A8E8D4A">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5264;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6A8E8D4A">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造价咨询人在收到第86.1款所述资料后，应按照第72条约定进行计量，并根据计量结果和合同约定对资料内容予以核实。在收到上述资料后的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天内报发包人确认后向发包人签发期中支付证书，同时抄送承包人。</w:t>
      </w:r>
    </w:p>
    <w:p w14:paraId="0440510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3271D89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造价咨询人签发期中支付证书，不应视为发包人已同意、批准或接受了承包人完成该部分工作。</w:t>
      </w:r>
    </w:p>
    <w:p w14:paraId="548F8255">
      <w:pPr>
        <w:widowControl w:val="0"/>
        <w:spacing w:line="360" w:lineRule="auto"/>
        <w:rPr>
          <w:rFonts w:ascii="仿宋" w:hAnsi="仿宋" w:eastAsia="仿宋"/>
          <w:b/>
          <w:bCs/>
          <w:color w:val="000000" w:themeColor="text1"/>
          <w:highlight w:val="none"/>
          <w:lang w:eastAsia="zh-CN"/>
          <w14:textFill>
            <w14:solidFill>
              <w14:schemeClr w14:val="tx1"/>
            </w14:solidFill>
          </w14:textFill>
        </w:rPr>
      </w:pPr>
      <w:bookmarkStart w:id="476" w:name="_Toc12014"/>
      <w:r>
        <w:rPr>
          <w:rFonts w:hint="eastAsia" w:ascii="仿宋" w:hAnsi="仿宋" w:eastAsia="仿宋" w:cs="仿宋"/>
          <w:b/>
          <w:bCs/>
          <w:color w:val="000000" w:themeColor="text1"/>
          <w:highlight w:val="none"/>
          <w:lang w:eastAsia="zh-CN"/>
          <w14:textFill>
            <w14:solidFill>
              <w14:schemeClr w14:val="tx1"/>
            </w14:solidFill>
          </w14:textFill>
        </w:rPr>
        <w:t>86</w:t>
      </w:r>
      <w:r>
        <w:rPr>
          <w:rFonts w:ascii="仿宋" w:hAnsi="仿宋" w:eastAsia="仿宋" w:cs="仿宋"/>
          <w:b/>
          <w:bCs/>
          <w:color w:val="000000" w:themeColor="text1"/>
          <w:highlight w:val="none"/>
          <w:lang w:eastAsia="zh-CN"/>
          <w14:textFill>
            <w14:solidFill>
              <w14:schemeClr w14:val="tx1"/>
            </w14:solidFill>
          </w14:textFill>
        </w:rPr>
        <w:t>.3</w:t>
      </w:r>
      <w:bookmarkEnd w:id="476"/>
    </w:p>
    <w:p w14:paraId="2087D06C">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216E2B9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6288;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216E2B9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发包人应在造价咨询人签发期中支付证书后的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天内，按照期中支付证书列明的金额向承包人支付进度款，并通知造价咨询人。</w:t>
      </w:r>
    </w:p>
    <w:p w14:paraId="15537509">
      <w:pPr>
        <w:widowControl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86</w:t>
      </w:r>
      <w:r>
        <w:rPr>
          <w:rFonts w:ascii="仿宋" w:hAnsi="仿宋" w:eastAsia="仿宋" w:cs="仿宋"/>
          <w:b/>
          <w:bCs/>
          <w:color w:val="000000" w:themeColor="text1"/>
          <w:highlight w:val="none"/>
          <w:lang w:eastAsia="zh-CN"/>
          <w14:textFill>
            <w14:solidFill>
              <w14:schemeClr w14:val="tx1"/>
            </w14:solidFill>
          </w14:textFill>
        </w:rPr>
        <w:t>.4</w:t>
      </w:r>
    </w:p>
    <w:p w14:paraId="3DBD9DC8">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6CB7BF03">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7312;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6CB7BF03">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如果造价咨询人未在第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天内，按照承包人支付申请列明的金额向承包人支付进度款。</w:t>
      </w:r>
    </w:p>
    <w:p w14:paraId="2E5ACE62">
      <w:pPr>
        <w:widowControl w:val="0"/>
        <w:spacing w:line="360" w:lineRule="auto"/>
        <w:rPr>
          <w:rFonts w:ascii="仿宋" w:hAnsi="仿宋" w:eastAsia="仿宋"/>
          <w:b/>
          <w:bCs/>
          <w:color w:val="000000" w:themeColor="text1"/>
          <w:highlight w:val="none"/>
          <w:lang w:eastAsia="zh-CN"/>
          <w14:textFill>
            <w14:solidFill>
              <w14:schemeClr w14:val="tx1"/>
            </w14:solidFill>
          </w14:textFill>
        </w:rPr>
      </w:pPr>
      <w:bookmarkStart w:id="477" w:name="_Toc6512"/>
      <w:r>
        <w:rPr>
          <w:rFonts w:hint="eastAsia" w:ascii="仿宋" w:hAnsi="仿宋" w:eastAsia="仿宋" w:cs="仿宋"/>
          <w:b/>
          <w:bCs/>
          <w:color w:val="000000" w:themeColor="text1"/>
          <w:highlight w:val="none"/>
          <w:lang w:eastAsia="zh-CN"/>
          <w14:textFill>
            <w14:solidFill>
              <w14:schemeClr w14:val="tx1"/>
            </w14:solidFill>
          </w14:textFill>
        </w:rPr>
        <w:t>86</w:t>
      </w:r>
      <w:r>
        <w:rPr>
          <w:rFonts w:ascii="仿宋" w:hAnsi="仿宋" w:eastAsia="仿宋" w:cs="仿宋"/>
          <w:b/>
          <w:bCs/>
          <w:color w:val="000000" w:themeColor="text1"/>
          <w:highlight w:val="none"/>
          <w:lang w:eastAsia="zh-CN"/>
          <w14:textFill>
            <w14:solidFill>
              <w14:schemeClr w14:val="tx1"/>
            </w14:solidFill>
          </w14:textFill>
        </w:rPr>
        <w:t>.5</w:t>
      </w:r>
      <w:bookmarkEnd w:id="477"/>
    </w:p>
    <w:p w14:paraId="6CAC5F70">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730A105A">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8336;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730A105A">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发包人未按照第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款和第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款约定获得延期支付的利息。</w:t>
      </w:r>
    </w:p>
    <w:p w14:paraId="2BD643B9">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55F0E9BF">
      <w:pPr>
        <w:widowControl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86</w:t>
      </w:r>
      <w:r>
        <w:rPr>
          <w:rFonts w:ascii="仿宋" w:hAnsi="仿宋" w:eastAsia="仿宋" w:cs="仿宋"/>
          <w:b/>
          <w:bCs/>
          <w:color w:val="000000" w:themeColor="text1"/>
          <w:highlight w:val="none"/>
          <w:lang w:eastAsia="zh-CN"/>
          <w14:textFill>
            <w14:solidFill>
              <w14:schemeClr w14:val="tx1"/>
            </w14:solidFill>
          </w14:textFill>
        </w:rPr>
        <w:t>.6</w:t>
      </w:r>
    </w:p>
    <w:p w14:paraId="1644208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12B647B0">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19360;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IDEVtYAAAAI&#10;AQAADwAAAAAAAAABACAAAAAiAAAAZHJzL2Rvd25yZXYueG1sUEsBAhQAFAAAAAgAh07iQACRKjge&#10;AgAAJgQAAA4AAAAAAAAAAQAgAAAAJQEAAGRycy9lMm9Eb2MueG1sUEsFBgAAAAAGAAYAWQEAALUF&#10;AAAAAA==&#10;">
                <v:fill on="f" focussize="0,0"/>
                <v:stroke on="f"/>
                <v:imagedata o:title=""/>
                <o:lock v:ext="edit" aspectratio="f"/>
                <v:textbox>
                  <w:txbxContent>
                    <w:p w14:paraId="12B647B0">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EA184BC">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256DED07">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78" w:name="_Toc149731523"/>
      <w:bookmarkStart w:id="479" w:name="_Toc25100"/>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ascii="仿宋" w:hAnsi="仿宋" w:eastAsia="仿宋" w:cs="仿宋"/>
          <w:bCs w:val="0"/>
          <w:color w:val="000000" w:themeColor="text1"/>
          <w:sz w:val="24"/>
          <w:szCs w:val="24"/>
          <w:highlight w:val="none"/>
          <w:lang w:eastAsia="zh-CN"/>
          <w14:textFill>
            <w14:solidFill>
              <w14:schemeClr w14:val="tx1"/>
            </w14:solidFill>
          </w14:textFill>
        </w:rPr>
        <w:t>8</w:t>
      </w:r>
      <w:r>
        <w:rPr>
          <w:rFonts w:hint="eastAsia" w:ascii="仿宋" w:hAnsi="仿宋" w:eastAsia="仿宋" w:cs="仿宋"/>
          <w:bCs w:val="0"/>
          <w:color w:val="000000" w:themeColor="text1"/>
          <w:sz w:val="24"/>
          <w:szCs w:val="24"/>
          <w:highlight w:val="none"/>
          <w:lang w:eastAsia="zh-CN"/>
          <w14:textFill>
            <w14:solidFill>
              <w14:schemeClr w14:val="tx1"/>
            </w14:solidFill>
          </w14:textFill>
        </w:rPr>
        <w:t>7竣工结算</w:t>
      </w:r>
      <w:bookmarkEnd w:id="478"/>
      <w:bookmarkEnd w:id="479"/>
    </w:p>
    <w:p w14:paraId="052AD906">
      <w:pPr>
        <w:widowControl w:val="0"/>
        <w:rPr>
          <w:rFonts w:ascii="仿宋" w:hAnsi="仿宋" w:eastAsia="仿宋" w:cs="仿宋"/>
          <w:b/>
          <w:bCs/>
          <w:color w:val="000000" w:themeColor="text1"/>
          <w:highlight w:val="none"/>
          <w:lang w:eastAsia="zh-CN"/>
          <w14:textFill>
            <w14:solidFill>
              <w14:schemeClr w14:val="tx1"/>
            </w14:solidFill>
          </w14:textFill>
        </w:rPr>
      </w:pPr>
      <w:bookmarkStart w:id="480" w:name="_Toc29029"/>
      <w:r>
        <w:rPr>
          <w:rFonts w:ascii="仿宋" w:hAnsi="仿宋" w:eastAsia="仿宋" w:cs="仿宋"/>
          <w:b/>
          <w:bCs/>
          <w:color w:val="000000" w:themeColor="text1"/>
          <w:highlight w:val="none"/>
          <w:lang w:eastAsia="zh-CN"/>
          <w14:textFill>
            <w14:solidFill>
              <w14:schemeClr w14:val="tx1"/>
            </w14:solidFill>
          </w14:textFill>
        </w:rPr>
        <w:t>8</w:t>
      </w:r>
      <w:r>
        <w:rPr>
          <w:rFonts w:hint="eastAsia" w:ascii="仿宋" w:hAnsi="仿宋" w:eastAsia="仿宋" w:cs="仿宋"/>
          <w:b/>
          <w:bCs/>
          <w:color w:val="000000" w:themeColor="text1"/>
          <w:highlight w:val="none"/>
          <w:lang w:eastAsia="zh-CN"/>
          <w14:textFill>
            <w14:solidFill>
              <w14:schemeClr w14:val="tx1"/>
            </w14:solidFill>
          </w14:textFill>
        </w:rPr>
        <w:t>7</w:t>
      </w:r>
      <w:r>
        <w:rPr>
          <w:rFonts w:ascii="仿宋" w:hAnsi="仿宋" w:eastAsia="仿宋" w:cs="仿宋"/>
          <w:b/>
          <w:bCs/>
          <w:color w:val="000000" w:themeColor="text1"/>
          <w:highlight w:val="none"/>
          <w:lang w:eastAsia="zh-CN"/>
          <w14:textFill>
            <w14:solidFill>
              <w14:schemeClr w14:val="tx1"/>
            </w14:solidFill>
          </w14:textFill>
        </w:rPr>
        <w:t>.1</w:t>
      </w:r>
      <w:bookmarkEnd w:id="480"/>
    </w:p>
    <w:p w14:paraId="57D4667D">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01D478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0384;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01D478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合同双方当事人应遵守法律或规范在专用条款中明确办理竣工结算的程序和时限。专用条款没有约定的，竣工结算按照第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款至第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款约定办理。</w:t>
      </w:r>
    </w:p>
    <w:p w14:paraId="0A6CA2CE">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000000" w:themeColor="text1"/>
          <w:sz w:val="24"/>
          <w:szCs w:val="24"/>
          <w:highlight w:val="none"/>
          <w:lang w:eastAsia="zh-CN"/>
          <w14:textFill>
            <w14:solidFill>
              <w14:schemeClr w14:val="tx1"/>
            </w14:solidFill>
          </w14:textFill>
        </w:rPr>
        <w:t>条款</w:t>
      </w:r>
      <w:r>
        <w:rPr>
          <w:rFonts w:hint="eastAsia" w:ascii="仿宋" w:hAnsi="仿宋" w:eastAsia="仿宋" w:cs="仿宋"/>
          <w:color w:val="000000" w:themeColor="text1"/>
          <w:sz w:val="24"/>
          <w:szCs w:val="24"/>
          <w:highlight w:val="none"/>
          <w:lang w:eastAsia="zh-CN"/>
          <w14:textFill>
            <w14:solidFill>
              <w14:schemeClr w14:val="tx1"/>
            </w14:solidFill>
          </w14:textFill>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000000" w:themeColor="text1"/>
          <w:sz w:val="24"/>
          <w:szCs w:val="24"/>
          <w:highlight w:val="none"/>
          <w:lang w:eastAsia="zh-CN"/>
          <w14:textFill>
            <w14:solidFill>
              <w14:schemeClr w14:val="tx1"/>
            </w14:solidFill>
          </w14:textFill>
        </w:rPr>
        <w:t>条款</w:t>
      </w:r>
      <w:r>
        <w:rPr>
          <w:rFonts w:hint="eastAsia" w:ascii="仿宋" w:hAnsi="仿宋" w:eastAsia="仿宋" w:cs="仿宋"/>
          <w:color w:val="000000" w:themeColor="text1"/>
          <w:sz w:val="24"/>
          <w:szCs w:val="24"/>
          <w:highlight w:val="none"/>
          <w:lang w:eastAsia="zh-CN"/>
          <w14:textFill>
            <w14:solidFill>
              <w14:schemeClr w14:val="tx1"/>
            </w14:solidFill>
          </w14:textFill>
        </w:rPr>
        <w:t>中约定。过程结算文件是工程竣工结算文件的重要内容与组成部分。</w:t>
      </w:r>
    </w:p>
    <w:p w14:paraId="04AE60B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在办理竣工结算期间，发包人按照第83条约定应向承包人支付的工程款及其他款项不停止。</w:t>
      </w:r>
    </w:p>
    <w:p w14:paraId="30C07EC8">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8</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63CC8AA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0C55F69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1408;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0C55F69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承包人应在提交竣工验收申请报告前编制完成竣工结算文件，并在提交竣工验收申请报告的同时向造价咨询人递交竣工结算文件。竣工结算文件清单由双方在专用条款中约定。</w:t>
      </w:r>
    </w:p>
    <w:p w14:paraId="38EF49BC">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4EEC85D1">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8</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62D6789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641069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2432;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6410693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造价咨询人应在收到承包人按照第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款约定递交的竣工结算文件后的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天内予以核实，并向承包人提出完整的核实意见（包括进一步补充资料和修改结算文件），同时抄报发包人。承包人在收到核实意见后的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天内按照造价咨询人提出的合理要求补充资料，修改竣工结算文件，并再次递交给造价咨询人。</w:t>
      </w:r>
    </w:p>
    <w:p w14:paraId="58DC441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造价咨询人在收到竣工结算文件后的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天内，不核实竣工结算或未提出核实意见的，视为承包人递交的竣工结算已被认可。</w:t>
      </w:r>
    </w:p>
    <w:p w14:paraId="152E0CE4">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承包人在收到造价咨询人提出的核实意见后的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天内，不确认也未提出异议的，视为造价咨询人提出的核实意见已被认可，竣工结算办理完毕。</w:t>
      </w:r>
    </w:p>
    <w:p w14:paraId="22B14013">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04F3EA0E">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8</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1C66C3B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u w:val="singl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3482B5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3456;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3482B51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造价咨询人应在收到承包人按照第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款约定再次递交的竣工结算文件后的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天内予以复核，并将复核结果通知承包人、抄报发包人。</w:t>
      </w:r>
    </w:p>
    <w:p w14:paraId="2D6E6EB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）经复核无误的，除属于第91条约定的争议外，发包人应在</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天内在竣工结算文件上签字确认，竣工结算办理完毕。</w:t>
      </w:r>
    </w:p>
    <w:p w14:paraId="009B11C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u w:val="singl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）经复核认为有误的：无误部分按照本款第</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）点约定办理不完全竣工结算；有误部分由造价咨询人与合同双方当事人协商解决，或按照第91条约定处理。</w:t>
      </w:r>
    </w:p>
    <w:p w14:paraId="58065703">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8</w:t>
      </w: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ascii="仿宋" w:hAnsi="仿宋" w:eastAsia="仿宋" w:cs="仿宋"/>
          <w:b/>
          <w:bCs/>
          <w:color w:val="000000" w:themeColor="text1"/>
          <w:sz w:val="24"/>
          <w:szCs w:val="24"/>
          <w:highlight w:val="none"/>
          <w:lang w:eastAsia="zh-CN"/>
          <w14:textFill>
            <w14:solidFill>
              <w14:schemeClr w14:val="tx1"/>
            </w14:solidFill>
          </w14:textFill>
        </w:rPr>
        <w:t>.5</w:t>
      </w:r>
    </w:p>
    <w:p w14:paraId="0644E5C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3482C2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4480;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3482C2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发包人应在已核实无误的竣工结算文件上签名确认，拒不签认的，承包人可不交付竣工工程。</w:t>
      </w:r>
    </w:p>
    <w:p w14:paraId="1C2F165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承包人未及时递交竣工结算文件的，发包人要求交付竣工工程，承包人应当交付；发包人不要求交付竣工工程，承包人承担照管永久工程责任。</w:t>
      </w:r>
    </w:p>
    <w:p w14:paraId="55792A20">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p>
    <w:p w14:paraId="2451E6A4">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81" w:name="_Toc149731524"/>
      <w:bookmarkStart w:id="482" w:name="_Toc14389"/>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ascii="仿宋" w:hAnsi="仿宋" w:eastAsia="仿宋" w:cs="仿宋"/>
          <w:bCs w:val="0"/>
          <w:color w:val="000000" w:themeColor="text1"/>
          <w:sz w:val="24"/>
          <w:szCs w:val="24"/>
          <w:highlight w:val="none"/>
          <w:lang w:eastAsia="zh-CN"/>
          <w14:textFill>
            <w14:solidFill>
              <w14:schemeClr w14:val="tx1"/>
            </w14:solidFill>
          </w14:textFill>
        </w:rPr>
        <w:t>8</w:t>
      </w:r>
      <w:r>
        <w:rPr>
          <w:rFonts w:hint="eastAsia" w:ascii="仿宋" w:hAnsi="仿宋" w:eastAsia="仿宋" w:cs="仿宋"/>
          <w:bCs w:val="0"/>
          <w:color w:val="000000" w:themeColor="text1"/>
          <w:sz w:val="24"/>
          <w:szCs w:val="24"/>
          <w:highlight w:val="none"/>
          <w:lang w:eastAsia="zh-CN"/>
          <w14:textFill>
            <w14:solidFill>
              <w14:schemeClr w14:val="tx1"/>
            </w14:solidFill>
          </w14:textFill>
        </w:rPr>
        <w:t>8结算款</w:t>
      </w:r>
      <w:bookmarkEnd w:id="481"/>
      <w:bookmarkEnd w:id="482"/>
    </w:p>
    <w:p w14:paraId="7509F352">
      <w:pPr>
        <w:rPr>
          <w:rFonts w:ascii="仿宋" w:hAnsi="仿宋" w:eastAsia="仿宋" w:cs="仿宋"/>
          <w:color w:val="000000" w:themeColor="text1"/>
          <w:highlight w:val="none"/>
          <w:lang w:eastAsia="zh-CN"/>
          <w14:textFill>
            <w14:solidFill>
              <w14:schemeClr w14:val="tx1"/>
            </w14:solidFill>
          </w14:textFill>
        </w:rPr>
      </w:pPr>
      <w:bookmarkStart w:id="483" w:name="_Toc26261"/>
      <w:r>
        <w:rPr>
          <w:rFonts w:ascii="仿宋" w:hAnsi="仿宋" w:eastAsia="仿宋" w:cs="仿宋"/>
          <w:b/>
          <w:bCs/>
          <w:color w:val="000000" w:themeColor="text1"/>
          <w:highlight w:val="none"/>
          <w:lang w:eastAsia="zh-CN"/>
          <w14:textFill>
            <w14:solidFill>
              <w14:schemeClr w14:val="tx1"/>
            </w14:solidFill>
          </w14:textFill>
        </w:rPr>
        <w:t>8</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.1</w:t>
      </w:r>
      <w:bookmarkEnd w:id="483"/>
    </w:p>
    <w:p w14:paraId="19C8978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3F15E6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5504;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3F15E6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合同双方当事人应在专用条款中明确结算款的支付时限。专用条款没有约定的，结算款支付按照第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款至第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款约定办理。涉及政府投资资金的工程，支付期、支付方法等需调整的，应在专用条款中约定。</w:t>
      </w:r>
    </w:p>
    <w:p w14:paraId="3F6946D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44CFA68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）根据合同完成总承包范围内所有工作和全部工程的竣工结算总价；</w:t>
      </w:r>
    </w:p>
    <w:p w14:paraId="6D3495F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）根据合同约定发包人应付的剩余所有款项，包括工程勘察费、工程设计费、BIM技术应用费、设备及工器具购置费（如果有）和建筑安装工程费等应付未付金额。</w:t>
      </w:r>
    </w:p>
    <w:p w14:paraId="156AB193">
      <w:pPr>
        <w:spacing w:line="360" w:lineRule="auto"/>
        <w:rPr>
          <w:rFonts w:ascii="仿宋" w:hAnsi="仿宋" w:eastAsia="仿宋"/>
          <w:b/>
          <w:bCs/>
          <w:color w:val="000000" w:themeColor="text1"/>
          <w:highlight w:val="none"/>
          <w:u w:val="single"/>
          <w:lang w:eastAsia="zh-CN"/>
          <w14:textFill>
            <w14:solidFill>
              <w14:schemeClr w14:val="tx1"/>
            </w14:solidFill>
          </w14:textFill>
        </w:rPr>
      </w:pPr>
      <w:bookmarkStart w:id="484" w:name="_Toc25185"/>
      <w:r>
        <w:rPr>
          <w:rFonts w:ascii="仿宋" w:hAnsi="仿宋" w:eastAsia="仿宋" w:cs="仿宋"/>
          <w:b/>
          <w:bCs/>
          <w:color w:val="000000" w:themeColor="text1"/>
          <w:highlight w:val="none"/>
          <w:lang w:eastAsia="zh-CN"/>
          <w14:textFill>
            <w14:solidFill>
              <w14:schemeClr w14:val="tx1"/>
            </w14:solidFill>
          </w14:textFill>
        </w:rPr>
        <w:t>8</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.2</w:t>
      </w:r>
      <w:bookmarkEnd w:id="484"/>
    </w:p>
    <w:p w14:paraId="392B23C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u w:val="singl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5AD9D6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6528;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5AD9D6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造价咨询人在收到第89.1款所述资料后，应按照第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款约定核实竣工结算文件，并在发包人签字确认竣工结算文件后的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天内，向发包人签发竣工结算支付证书，同时抄送承包人。</w:t>
      </w:r>
    </w:p>
    <w:p w14:paraId="4707644D">
      <w:pPr>
        <w:spacing w:line="360" w:lineRule="auto"/>
        <w:rPr>
          <w:rFonts w:ascii="仿宋" w:hAnsi="仿宋" w:eastAsia="仿宋"/>
          <w:color w:val="000000" w:themeColor="text1"/>
          <w:highlight w:val="none"/>
          <w:lang w:eastAsia="zh-CN"/>
          <w14:textFill>
            <w14:solidFill>
              <w14:schemeClr w14:val="tx1"/>
            </w14:solidFill>
          </w14:textFill>
        </w:rPr>
      </w:pPr>
      <w:bookmarkStart w:id="485" w:name="_Toc27666"/>
      <w:r>
        <w:rPr>
          <w:rFonts w:ascii="仿宋" w:hAnsi="仿宋" w:eastAsia="仿宋" w:cs="仿宋"/>
          <w:b/>
          <w:bCs/>
          <w:color w:val="000000" w:themeColor="text1"/>
          <w:highlight w:val="none"/>
          <w:lang w:eastAsia="zh-CN"/>
          <w14:textFill>
            <w14:solidFill>
              <w14:schemeClr w14:val="tx1"/>
            </w14:solidFill>
          </w14:textFill>
        </w:rPr>
        <w:t>8</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.3</w:t>
      </w:r>
      <w:bookmarkEnd w:id="485"/>
    </w:p>
    <w:p w14:paraId="019FB8DD">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0EA45E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7552;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0EA45E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发包人应在造价咨询人签发竣工结算支付证书后的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天内，按照竣工结算支付证书列明的金额向承包人支付结算款，并通知造价咨询人。</w:t>
      </w:r>
    </w:p>
    <w:p w14:paraId="6783B66C">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8</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.4  </w:t>
      </w:r>
    </w:p>
    <w:p w14:paraId="42FA39A8">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63D347B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8576;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63D347B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如果造价咨询人未在第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天内，按照承包人支付申请列明的金额向承包人支付竣工结算款。</w:t>
      </w:r>
    </w:p>
    <w:p w14:paraId="1482C0F8">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8</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.5  </w:t>
      </w:r>
    </w:p>
    <w:p w14:paraId="7731A2E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49BF79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29600;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49BF79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发包人未按照第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款和第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8</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款约定支付竣工结算款的，承包人可催告发包人支付竣工结算款，如双方达成延期支付协议，承包人有权按照第83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款约定获得延期支付的利息。</w:t>
      </w:r>
    </w:p>
    <w:p w14:paraId="4642D287">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发包人在收到竣工结算支付证书后的</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0C936CD2">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p>
    <w:p w14:paraId="0EC27DB9">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86" w:name="_Toc16462"/>
      <w:bookmarkStart w:id="487" w:name="_Toc149731525"/>
      <w:r>
        <w:rPr>
          <w:rFonts w:hint="eastAsia" w:ascii="仿宋" w:hAnsi="仿宋" w:eastAsia="仿宋" w:cs="仿宋"/>
          <w:bCs w:val="0"/>
          <w:color w:val="000000" w:themeColor="text1"/>
          <w:sz w:val="24"/>
          <w:szCs w:val="24"/>
          <w:highlight w:val="none"/>
          <w:lang w:eastAsia="zh-CN"/>
          <w14:textFill>
            <w14:solidFill>
              <w14:schemeClr w14:val="tx1"/>
            </w14:solidFill>
          </w14:textFill>
        </w:rPr>
        <w:t>★89质量保证金</w:t>
      </w:r>
      <w:bookmarkEnd w:id="486"/>
      <w:bookmarkEnd w:id="487"/>
    </w:p>
    <w:p w14:paraId="565DD5FB">
      <w:pPr>
        <w:rPr>
          <w:rFonts w:ascii="仿宋" w:hAnsi="仿宋" w:eastAsia="仿宋" w:cs="仿宋"/>
          <w:b/>
          <w:bCs/>
          <w:color w:val="000000" w:themeColor="text1"/>
          <w:highlight w:val="none"/>
          <w:lang w:eastAsia="zh-CN"/>
          <w14:textFill>
            <w14:solidFill>
              <w14:schemeClr w14:val="tx1"/>
            </w14:solidFill>
          </w14:textFill>
        </w:rPr>
      </w:pPr>
      <w:bookmarkStart w:id="488" w:name="_Toc32434"/>
      <w:r>
        <w:rPr>
          <w:rFonts w:hint="eastAsia" w:ascii="仿宋" w:hAnsi="仿宋" w:eastAsia="仿宋" w:cs="仿宋"/>
          <w:b/>
          <w:bCs/>
          <w:color w:val="000000" w:themeColor="text1"/>
          <w:highlight w:val="none"/>
          <w:lang w:eastAsia="zh-CN"/>
          <w14:textFill>
            <w14:solidFill>
              <w14:schemeClr w14:val="tx1"/>
            </w14:solidFill>
          </w14:textFill>
        </w:rPr>
        <w:t>89</w:t>
      </w:r>
      <w:r>
        <w:rPr>
          <w:rFonts w:ascii="仿宋" w:hAnsi="仿宋" w:eastAsia="仿宋" w:cs="仿宋"/>
          <w:b/>
          <w:bCs/>
          <w:color w:val="000000" w:themeColor="text1"/>
          <w:highlight w:val="none"/>
          <w:lang w:eastAsia="zh-CN"/>
          <w14:textFill>
            <w14:solidFill>
              <w14:schemeClr w14:val="tx1"/>
            </w14:solidFill>
          </w14:textFill>
        </w:rPr>
        <w:t>.1</w:t>
      </w:r>
      <w:bookmarkEnd w:id="488"/>
    </w:p>
    <w:p w14:paraId="68E6EBB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08B79A2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0624;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08B79A2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质量保证金用于承包人对合同工程质量的担保。承包人未按照法律有关规定和合同约定履行质量保修义务的，发包人有权从质量保证金中扣留用于质量保修的各项支出。</w:t>
      </w:r>
    </w:p>
    <w:p w14:paraId="7DEE2DD6">
      <w:pPr>
        <w:spacing w:line="360" w:lineRule="auto"/>
        <w:rPr>
          <w:rFonts w:ascii="仿宋" w:hAnsi="仿宋" w:eastAsia="仿宋"/>
          <w:b/>
          <w:bCs/>
          <w:color w:val="000000" w:themeColor="text1"/>
          <w:highlight w:val="none"/>
          <w:lang w:eastAsia="zh-CN"/>
          <w14:textFill>
            <w14:solidFill>
              <w14:schemeClr w14:val="tx1"/>
            </w14:solidFill>
          </w14:textFill>
        </w:rPr>
      </w:pPr>
      <w:bookmarkStart w:id="489" w:name="_Toc3328"/>
      <w:r>
        <w:rPr>
          <w:rFonts w:hint="eastAsia" w:ascii="仿宋" w:hAnsi="仿宋" w:eastAsia="仿宋" w:cs="仿宋"/>
          <w:b/>
          <w:bCs/>
          <w:color w:val="000000" w:themeColor="text1"/>
          <w:highlight w:val="none"/>
          <w:lang w:eastAsia="zh-CN"/>
          <w14:textFill>
            <w14:solidFill>
              <w14:schemeClr w14:val="tx1"/>
            </w14:solidFill>
          </w14:textFill>
        </w:rPr>
        <w:t>89</w:t>
      </w:r>
      <w:r>
        <w:rPr>
          <w:rFonts w:ascii="仿宋" w:hAnsi="仿宋" w:eastAsia="仿宋" w:cs="仿宋"/>
          <w:b/>
          <w:bCs/>
          <w:color w:val="000000" w:themeColor="text1"/>
          <w:highlight w:val="none"/>
          <w:lang w:eastAsia="zh-CN"/>
          <w14:textFill>
            <w14:solidFill>
              <w14:schemeClr w14:val="tx1"/>
            </w14:solidFill>
          </w14:textFill>
        </w:rPr>
        <w:t>.2</w:t>
      </w:r>
      <w:bookmarkEnd w:id="489"/>
    </w:p>
    <w:p w14:paraId="356160D5">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5E7A0CE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1648;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5E7A0CE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89.2.1质量保证金预留方式</w:t>
      </w:r>
    </w:p>
    <w:p w14:paraId="73CC890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除专用合同条款另有约定外，质量保证金的预留方式原则上采用银行保函、担保、保险等方式。</w:t>
      </w:r>
    </w:p>
    <w:p w14:paraId="08B257A5">
      <w:pPr>
        <w:pStyle w:val="40"/>
        <w:widowControl w:val="0"/>
        <w:adjustRightInd w:val="0"/>
        <w:snapToGrid w:val="0"/>
        <w:spacing w:line="360" w:lineRule="auto"/>
        <w:ind w:left="1850" w:leftChars="771"/>
        <w:jc w:val="both"/>
        <w:rPr>
          <w:rFonts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89.2.2质量保证金预留比例</w:t>
      </w:r>
    </w:p>
    <w:p w14:paraId="3CD9171B">
      <w:pPr>
        <w:pStyle w:val="40"/>
        <w:widowControl w:val="0"/>
        <w:adjustRightInd w:val="0"/>
        <w:snapToGrid w:val="0"/>
        <w:spacing w:line="360" w:lineRule="auto"/>
        <w:ind w:left="1850" w:leftChars="77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6F582931">
      <w:pPr>
        <w:spacing w:line="360" w:lineRule="auto"/>
        <w:rPr>
          <w:rFonts w:ascii="仿宋" w:hAnsi="仿宋" w:eastAsia="仿宋"/>
          <w:b/>
          <w:bCs/>
          <w:color w:val="000000" w:themeColor="text1"/>
          <w:highlight w:val="none"/>
          <w:lang w:eastAsia="zh-CN"/>
          <w14:textFill>
            <w14:solidFill>
              <w14:schemeClr w14:val="tx1"/>
            </w14:solidFill>
          </w14:textFill>
        </w:rPr>
      </w:pPr>
      <w:bookmarkStart w:id="490" w:name="_Toc8069"/>
      <w:r>
        <w:rPr>
          <w:rFonts w:hint="eastAsia" w:ascii="仿宋" w:hAnsi="仿宋" w:eastAsia="仿宋" w:cs="仿宋"/>
          <w:b/>
          <w:bCs/>
          <w:color w:val="000000" w:themeColor="text1"/>
          <w:highlight w:val="none"/>
          <w:lang w:eastAsia="zh-CN"/>
          <w14:textFill>
            <w14:solidFill>
              <w14:schemeClr w14:val="tx1"/>
            </w14:solidFill>
          </w14:textFill>
        </w:rPr>
        <w:t>89</w:t>
      </w:r>
      <w:r>
        <w:rPr>
          <w:rFonts w:ascii="仿宋" w:hAnsi="仿宋" w:eastAsia="仿宋" w:cs="仿宋"/>
          <w:b/>
          <w:bCs/>
          <w:color w:val="000000" w:themeColor="text1"/>
          <w:highlight w:val="none"/>
          <w:lang w:eastAsia="zh-CN"/>
          <w14:textFill>
            <w14:solidFill>
              <w14:schemeClr w14:val="tx1"/>
            </w14:solidFill>
          </w14:textFill>
        </w:rPr>
        <w:t>.3</w:t>
      </w:r>
      <w:bookmarkEnd w:id="490"/>
    </w:p>
    <w:p w14:paraId="24313A75">
      <w:pPr>
        <w:pStyle w:val="40"/>
        <w:widowControl w:val="0"/>
        <w:adjustRightInd w:val="0"/>
        <w:snapToGrid w:val="0"/>
        <w:spacing w:line="360" w:lineRule="auto"/>
        <w:ind w:left="1850" w:leftChars="771"/>
        <w:rPr>
          <w:rFonts w:ascii="仿宋" w:hAnsi="仿宋" w:eastAsia="仿宋" w:cs="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20F29C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2672;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20F29C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缺陷责任期（包括第66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款延长的期限）满时，承包人应向发包人申请到期应返还的剩余质量保证金金额。发包人如无异议，应在缺陷责任期满后的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0F9C6583">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89</w:t>
      </w:r>
      <w:r>
        <w:rPr>
          <w:rFonts w:ascii="仿宋" w:hAnsi="仿宋" w:eastAsia="仿宋" w:cs="仿宋"/>
          <w:b/>
          <w:bCs/>
          <w:color w:val="000000" w:themeColor="text1"/>
          <w:highlight w:val="none"/>
          <w:lang w:eastAsia="zh-CN"/>
          <w14:textFill>
            <w14:solidFill>
              <w14:schemeClr w14:val="tx1"/>
            </w14:solidFill>
          </w14:textFill>
        </w:rPr>
        <w:t xml:space="preserve">.4  </w:t>
      </w:r>
    </w:p>
    <w:p w14:paraId="7DEEFF3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0CECB9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3696;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0CECB9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缺陷责任期（包括第66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款延长的期限）届满时，承包人没有全面</w:t>
      </w:r>
      <w:r>
        <w:rPr>
          <w:rFonts w:ascii="仿宋" w:hAnsi="仿宋" w:eastAsia="仿宋" w:cs="仿宋"/>
          <w:color w:val="000000" w:themeColor="text1"/>
          <w:sz w:val="24"/>
          <w:szCs w:val="24"/>
          <w:highlight w:val="none"/>
          <w:lang w:eastAsia="zh-CN"/>
          <w14:textFill>
            <w14:solidFill>
              <w14:schemeClr w14:val="tx1"/>
            </w14:solidFill>
          </w14:textFill>
        </w:rPr>
        <w:t>履行</w:t>
      </w:r>
      <w:r>
        <w:rPr>
          <w:rFonts w:hint="eastAsia" w:ascii="仿宋" w:hAnsi="仿宋" w:eastAsia="仿宋" w:cs="仿宋"/>
          <w:color w:val="000000" w:themeColor="text1"/>
          <w:sz w:val="24"/>
          <w:szCs w:val="24"/>
          <w:highlight w:val="none"/>
          <w:lang w:eastAsia="zh-CN"/>
          <w14:textFill>
            <w14:solidFill>
              <w14:schemeClr w14:val="tx1"/>
            </w14:solidFill>
          </w14:textFill>
        </w:rPr>
        <w:t>缺陷修复责任的，发包人有权扣留承包人未履行</w:t>
      </w:r>
      <w:r>
        <w:rPr>
          <w:rFonts w:ascii="仿宋" w:hAnsi="仿宋" w:eastAsia="仿宋" w:cs="仿宋"/>
          <w:color w:val="000000" w:themeColor="text1"/>
          <w:sz w:val="24"/>
          <w:szCs w:val="24"/>
          <w:highlight w:val="none"/>
          <w:lang w:eastAsia="zh-CN"/>
          <w14:textFill>
            <w14:solidFill>
              <w14:schemeClr w14:val="tx1"/>
            </w14:solidFill>
          </w14:textFill>
        </w:rPr>
        <w:t>部分相应质量保证金</w:t>
      </w:r>
      <w:r>
        <w:rPr>
          <w:rFonts w:hint="eastAsia" w:ascii="仿宋" w:hAnsi="仿宋" w:eastAsia="仿宋" w:cs="仿宋"/>
          <w:color w:val="000000" w:themeColor="text1"/>
          <w:sz w:val="24"/>
          <w:szCs w:val="24"/>
          <w:highlight w:val="none"/>
          <w:lang w:eastAsia="zh-CN"/>
          <w14:textFill>
            <w14:solidFill>
              <w14:schemeClr w14:val="tx1"/>
            </w14:solidFill>
          </w14:textFill>
        </w:rPr>
        <w:t>，并有权根据第66</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款约定要求延长缺陷责任期，直到完成剩余工作为止。</w:t>
      </w:r>
    </w:p>
    <w:p w14:paraId="54C2F79E">
      <w:pPr>
        <w:pStyle w:val="40"/>
        <w:adjustRightInd w:val="0"/>
        <w:snapToGrid w:val="0"/>
        <w:spacing w:line="360" w:lineRule="auto"/>
        <w:rPr>
          <w:rFonts w:ascii="仿宋" w:hAnsi="仿宋" w:eastAsia="仿宋"/>
          <w:b/>
          <w:bCs/>
          <w:color w:val="000000" w:themeColor="text1"/>
          <w:sz w:val="24"/>
          <w:szCs w:val="24"/>
          <w:highlight w:val="none"/>
          <w:u w:val="single"/>
          <w:lang w:eastAsia="zh-CN"/>
          <w14:textFill>
            <w14:solidFill>
              <w14:schemeClr w14:val="tx1"/>
            </w14:solidFill>
          </w14:textFill>
        </w:rPr>
      </w:pPr>
    </w:p>
    <w:p w14:paraId="56A2393F">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91" w:name="_Toc7865"/>
      <w:bookmarkStart w:id="492" w:name="_Toc149731526"/>
      <w:r>
        <w:rPr>
          <w:rFonts w:hint="eastAsia" w:ascii="仿宋" w:hAnsi="仿宋" w:eastAsia="仿宋" w:cs="仿宋"/>
          <w:bCs w:val="0"/>
          <w:color w:val="000000" w:themeColor="text1"/>
          <w:sz w:val="24"/>
          <w:szCs w:val="24"/>
          <w:highlight w:val="none"/>
          <w:lang w:eastAsia="zh-CN"/>
          <w14:textFill>
            <w14:solidFill>
              <w14:schemeClr w14:val="tx1"/>
            </w14:solidFill>
          </w14:textFill>
        </w:rPr>
        <w:t>90最终清算款</w:t>
      </w:r>
      <w:bookmarkEnd w:id="491"/>
      <w:bookmarkEnd w:id="492"/>
    </w:p>
    <w:p w14:paraId="287AFF5A">
      <w:pPr>
        <w:rPr>
          <w:rFonts w:ascii="仿宋" w:hAnsi="仿宋" w:eastAsia="仿宋" w:cs="仿宋"/>
          <w:b/>
          <w:bCs/>
          <w:color w:val="000000" w:themeColor="text1"/>
          <w:highlight w:val="none"/>
          <w:lang w:eastAsia="zh-CN"/>
          <w14:textFill>
            <w14:solidFill>
              <w14:schemeClr w14:val="tx1"/>
            </w14:solidFill>
          </w14:textFill>
        </w:rPr>
      </w:pPr>
      <w:bookmarkStart w:id="493" w:name="_Toc28312"/>
      <w:r>
        <w:rPr>
          <w:rFonts w:hint="eastAsia" w:ascii="仿宋" w:hAnsi="仿宋" w:eastAsia="仿宋" w:cs="仿宋"/>
          <w:b/>
          <w:bCs/>
          <w:color w:val="000000" w:themeColor="text1"/>
          <w:highlight w:val="none"/>
          <w:lang w:eastAsia="zh-CN"/>
          <w14:textFill>
            <w14:solidFill>
              <w14:schemeClr w14:val="tx1"/>
            </w14:solidFill>
          </w14:textFill>
        </w:rPr>
        <w:t>90</w:t>
      </w:r>
      <w:r>
        <w:rPr>
          <w:rFonts w:ascii="仿宋" w:hAnsi="仿宋" w:eastAsia="仿宋" w:cs="仿宋"/>
          <w:b/>
          <w:bCs/>
          <w:color w:val="000000" w:themeColor="text1"/>
          <w:highlight w:val="none"/>
          <w:lang w:eastAsia="zh-CN"/>
          <w14:textFill>
            <w14:solidFill>
              <w14:schemeClr w14:val="tx1"/>
            </w14:solidFill>
          </w14:textFill>
        </w:rPr>
        <w:t>.1</w:t>
      </w:r>
      <w:bookmarkEnd w:id="493"/>
    </w:p>
    <w:p w14:paraId="11A2F4E4">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757545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4720;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757545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合同双方当事人应在专用条款中明确最终清算款的支付时限。专用条款没有约定的，最终清算款按照第90</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款至第90</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款约定办理。涉及政府投资资金的工程，支付期、支付方法等需调整的，应在专用条款中约定。</w:t>
      </w:r>
    </w:p>
    <w:p w14:paraId="33999676">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262DF939">
      <w:pPr>
        <w:pStyle w:val="40"/>
        <w:tabs>
          <w:tab w:val="left" w:pos="900"/>
        </w:tabs>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90</w:t>
      </w:r>
      <w:r>
        <w:rPr>
          <w:rFonts w:ascii="仿宋" w:hAnsi="仿宋" w:eastAsia="仿宋" w:cs="仿宋"/>
          <w:b/>
          <w:bCs/>
          <w:color w:val="000000" w:themeColor="text1"/>
          <w:sz w:val="24"/>
          <w:szCs w:val="24"/>
          <w:highlight w:val="none"/>
          <w:lang w:eastAsia="zh-CN"/>
          <w14:textFill>
            <w14:solidFill>
              <w14:schemeClr w14:val="tx1"/>
            </w14:solidFill>
          </w14:textFill>
        </w:rPr>
        <w:t>.2</w:t>
      </w:r>
    </w:p>
    <w:p w14:paraId="4CBEB6B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u w:val="singl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4CDF2C84">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5744;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4CDF2C84">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造价咨询人应在收到最终清算支付申请后的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天内予以计量、核实，并将核实结果通知承包人、抄报发包人。发包人应在收到核实结果后的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天内在最终清算文件上签字确认。造价咨询人应在发包人签字确认最终清算文件后的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天内，向发包人签发最终清算支付证书，同时抄送承包人。</w:t>
      </w:r>
    </w:p>
    <w:p w14:paraId="4B73FDAB">
      <w:pPr>
        <w:pStyle w:val="40"/>
        <w:tabs>
          <w:tab w:val="left" w:pos="900"/>
        </w:tabs>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bookmarkStart w:id="494" w:name="_Toc7893"/>
      <w:r>
        <w:rPr>
          <w:rFonts w:hint="eastAsia" w:ascii="仿宋" w:hAnsi="仿宋" w:eastAsia="仿宋" w:cs="仿宋"/>
          <w:b/>
          <w:bCs/>
          <w:color w:val="000000" w:themeColor="text1"/>
          <w:sz w:val="24"/>
          <w:szCs w:val="24"/>
          <w:highlight w:val="none"/>
          <w:lang w:eastAsia="zh-CN"/>
          <w14:textFill>
            <w14:solidFill>
              <w14:schemeClr w14:val="tx1"/>
            </w14:solidFill>
          </w14:textFill>
        </w:rPr>
        <w:t>90</w:t>
      </w:r>
      <w:r>
        <w:rPr>
          <w:rFonts w:ascii="仿宋" w:hAnsi="仿宋" w:eastAsia="仿宋" w:cs="仿宋"/>
          <w:b/>
          <w:bCs/>
          <w:color w:val="000000" w:themeColor="text1"/>
          <w:sz w:val="24"/>
          <w:szCs w:val="24"/>
          <w:highlight w:val="none"/>
          <w:lang w:eastAsia="zh-CN"/>
          <w14:textFill>
            <w14:solidFill>
              <w14:schemeClr w14:val="tx1"/>
            </w14:solidFill>
          </w14:textFill>
        </w:rPr>
        <w:t>.3</w:t>
      </w:r>
      <w:bookmarkEnd w:id="494"/>
    </w:p>
    <w:p w14:paraId="3BD760A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sz w:val="24"/>
          <w:szCs w:val="24"/>
          <w:highlight w:val="none"/>
          <w:lang w:eastAsia="zh-CN"/>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40EEE2ED">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0672;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40EEE2ED">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发包人应在造价咨询人签发最终清算支付证书后的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天内，按照最终清算支付证书列明的金额向承包人支付最终清算款，并通知造价咨询人。</w:t>
      </w:r>
    </w:p>
    <w:p w14:paraId="50A32D0C">
      <w:pPr>
        <w:pStyle w:val="40"/>
        <w:adjustRightInd w:val="0"/>
        <w:snapToGrid w:val="0"/>
        <w:spacing w:line="480" w:lineRule="auto"/>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90</w:t>
      </w:r>
      <w:r>
        <w:rPr>
          <w:rFonts w:ascii="仿宋" w:hAnsi="仿宋" w:eastAsia="仿宋" w:cs="仿宋"/>
          <w:b/>
          <w:bCs/>
          <w:color w:val="000000" w:themeColor="text1"/>
          <w:sz w:val="24"/>
          <w:szCs w:val="24"/>
          <w:highlight w:val="none"/>
          <w:lang w:eastAsia="zh-CN"/>
          <w14:textFill>
            <w14:solidFill>
              <w14:schemeClr w14:val="tx1"/>
            </w14:solidFill>
          </w14:textFill>
        </w:rPr>
        <w:t xml:space="preserve">.4 </w:t>
      </w:r>
    </w:p>
    <w:p w14:paraId="1F040B6A">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207B5E0B">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1696;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207B5E0B">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如果造价咨询人未在第90</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天内，按照承包人提交最终清算支付申请列明的金额向承包人支付最终清算款。</w:t>
      </w:r>
    </w:p>
    <w:p w14:paraId="7936A41E">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90</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4042FF18">
      <w:pPr>
        <w:widowControl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48B12C6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6768;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48B12C6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发包人未按照第90</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款和第90</w:t>
      </w:r>
      <w:r>
        <w:rPr>
          <w:rFonts w:ascii="仿宋" w:hAnsi="仿宋" w:eastAsia="仿宋" w:cs="仿宋"/>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款约定支付最终清算款的，承包人可催告发包人支付最终清算款，如双方达成延期支付协议，承包人有权按照第83</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款约定获得延期支付的利息。若该永久工程按照第</w:t>
      </w:r>
      <w:r>
        <w:rPr>
          <w:rFonts w:ascii="仿宋" w:hAnsi="仿宋" w:eastAsia="仿宋" w:cs="仿宋"/>
          <w:color w:val="000000" w:themeColor="text1"/>
          <w:highlight w:val="none"/>
          <w:lang w:eastAsia="zh-CN"/>
          <w14:textFill>
            <w14:solidFill>
              <w14:schemeClr w14:val="tx1"/>
            </w14:solidFill>
          </w14:textFill>
        </w:rPr>
        <w:t>8</w:t>
      </w:r>
      <w:r>
        <w:rPr>
          <w:rFonts w:hint="eastAsia" w:ascii="仿宋" w:hAnsi="仿宋" w:eastAsia="仿宋" w:cs="仿宋"/>
          <w:color w:val="000000" w:themeColor="text1"/>
          <w:highlight w:val="none"/>
          <w:lang w:eastAsia="zh-CN"/>
          <w14:textFill>
            <w14:solidFill>
              <w14:schemeClr w14:val="tx1"/>
            </w14:solidFill>
          </w14:textFill>
        </w:rPr>
        <w:t>8</w:t>
      </w:r>
      <w:r>
        <w:rPr>
          <w:rFonts w:ascii="仿宋" w:hAnsi="仿宋" w:eastAsia="仿宋" w:cs="仿宋"/>
          <w:color w:val="000000" w:themeColor="text1"/>
          <w:highlight w:val="none"/>
          <w:lang w:eastAsia="zh-CN"/>
          <w14:textFill>
            <w14:solidFill>
              <w14:schemeClr w14:val="tx1"/>
            </w14:solidFill>
          </w14:textFill>
        </w:rPr>
        <w:t>.5</w:t>
      </w:r>
      <w:r>
        <w:rPr>
          <w:rFonts w:hint="eastAsia" w:ascii="仿宋" w:hAnsi="仿宋" w:eastAsia="仿宋" w:cs="仿宋"/>
          <w:color w:val="000000" w:themeColor="text1"/>
          <w:highlight w:val="none"/>
          <w:lang w:eastAsia="zh-CN"/>
          <w14:textFill>
            <w14:solidFill>
              <w14:schemeClr w14:val="tx1"/>
            </w14:solidFill>
          </w14:textFill>
        </w:rPr>
        <w:t>款约定进行折价或依法拍卖的，承包人就该工程折价或拍卖的价款优先受偿。</w:t>
      </w:r>
    </w:p>
    <w:p w14:paraId="654120A5">
      <w:pPr>
        <w:pStyle w:val="40"/>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6A2D00F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272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6A2D00F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90</w:t>
      </w:r>
      <w:r>
        <w:rPr>
          <w:rFonts w:ascii="仿宋" w:hAnsi="仿宋" w:eastAsia="仿宋" w:cs="仿宋"/>
          <w:b/>
          <w:bCs/>
          <w:color w:val="000000" w:themeColor="text1"/>
          <w:sz w:val="24"/>
          <w:szCs w:val="24"/>
          <w:highlight w:val="none"/>
          <w:lang w:eastAsia="zh-CN"/>
          <w14:textFill>
            <w14:solidFill>
              <w14:schemeClr w14:val="tx1"/>
            </w14:solidFill>
          </w14:textFill>
        </w:rPr>
        <w:t xml:space="preserve">.6 </w:t>
      </w:r>
    </w:p>
    <w:p w14:paraId="0E8E4D7C">
      <w:pPr>
        <w:widowControl w:val="0"/>
        <w:spacing w:line="360" w:lineRule="auto"/>
        <w:ind w:left="1850" w:leftChars="77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承包人对发包人支付的最终清算款有异议的，按照第91条约定的争议处理。</w:t>
      </w:r>
    </w:p>
    <w:p w14:paraId="043F44F9">
      <w:pPr>
        <w:spacing w:line="360" w:lineRule="auto"/>
        <w:rPr>
          <w:color w:val="000000" w:themeColor="text1"/>
          <w:highlight w:val="none"/>
          <w:lang w:eastAsia="zh-CN"/>
          <w14:textFill>
            <w14:solidFill>
              <w14:schemeClr w14:val="tx1"/>
            </w14:solidFill>
          </w14:textFill>
        </w:rPr>
      </w:pPr>
    </w:p>
    <w:p w14:paraId="0A45BD68">
      <w:pPr>
        <w:pStyle w:val="40"/>
        <w:adjustRightInd w:val="0"/>
        <w:snapToGrid w:val="0"/>
        <w:spacing w:line="360" w:lineRule="auto"/>
        <w:jc w:val="center"/>
        <w:outlineLvl w:val="1"/>
        <w:rPr>
          <w:rFonts w:ascii="仿宋" w:hAnsi="仿宋" w:eastAsia="仿宋"/>
          <w:b/>
          <w:bCs/>
          <w:color w:val="000000" w:themeColor="text1"/>
          <w:sz w:val="24"/>
          <w:szCs w:val="24"/>
          <w:highlight w:val="none"/>
          <w:lang w:eastAsia="zh-CN"/>
          <w14:textFill>
            <w14:solidFill>
              <w14:schemeClr w14:val="tx1"/>
            </w14:solidFill>
          </w14:textFill>
        </w:rPr>
      </w:pPr>
      <w:bookmarkStart w:id="495" w:name="_Toc149731527"/>
      <w:bookmarkStart w:id="496" w:name="_Toc7170"/>
      <w:bookmarkStart w:id="497" w:name="_Toc469384069"/>
      <w:r>
        <w:rPr>
          <w:rFonts w:hint="eastAsia" w:ascii="仿宋" w:hAnsi="仿宋" w:eastAsia="仿宋" w:cs="仿宋"/>
          <w:b/>
          <w:bCs/>
          <w:color w:val="000000" w:themeColor="text1"/>
          <w:sz w:val="24"/>
          <w:szCs w:val="24"/>
          <w:highlight w:val="none"/>
          <w:lang w:eastAsia="zh-CN"/>
          <w14:textFill>
            <w14:solidFill>
              <w14:schemeClr w14:val="tx1"/>
            </w14:solidFill>
          </w14:textFill>
        </w:rPr>
        <w:t>八、合同争议、解除与终止</w:t>
      </w:r>
      <w:bookmarkEnd w:id="495"/>
      <w:bookmarkEnd w:id="496"/>
      <w:bookmarkEnd w:id="497"/>
    </w:p>
    <w:p w14:paraId="307FF40E">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498" w:name="_Toc9337"/>
      <w:bookmarkStart w:id="499" w:name="_Toc469384070"/>
      <w:bookmarkStart w:id="500" w:name="_Toc149731528"/>
      <w:r>
        <w:rPr>
          <w:rFonts w:hint="eastAsia" w:ascii="仿宋" w:hAnsi="仿宋" w:eastAsia="仿宋" w:cs="仿宋"/>
          <w:bCs w:val="0"/>
          <w:color w:val="000000" w:themeColor="text1"/>
          <w:sz w:val="24"/>
          <w:szCs w:val="24"/>
          <w:highlight w:val="none"/>
          <w:lang w:eastAsia="zh-CN"/>
          <w14:textFill>
            <w14:solidFill>
              <w14:schemeClr w14:val="tx1"/>
            </w14:solidFill>
          </w14:textFill>
        </w:rPr>
        <w:t>91合同争议</w:t>
      </w:r>
      <w:bookmarkEnd w:id="498"/>
      <w:bookmarkEnd w:id="499"/>
      <w:bookmarkEnd w:id="500"/>
    </w:p>
    <w:p w14:paraId="37C29C8C">
      <w:pPr>
        <w:pStyle w:val="40"/>
        <w:adjustRightInd w:val="0"/>
        <w:snapToGrid w:val="0"/>
        <w:rPr>
          <w:rFonts w:ascii="仿宋" w:hAnsi="仿宋" w:eastAsia="仿宋" w:cs="仿宋"/>
          <w:b/>
          <w:bCs/>
          <w:color w:val="000000" w:themeColor="text1"/>
          <w:sz w:val="24"/>
          <w:szCs w:val="24"/>
          <w:highlight w:val="none"/>
          <w:lang w:eastAsia="zh-CN"/>
          <w14:textFill>
            <w14:solidFill>
              <w14:schemeClr w14:val="tx1"/>
            </w14:solidFill>
          </w14:textFill>
        </w:rPr>
      </w:pPr>
      <w:r>
        <w:rPr>
          <w:b/>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129279A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374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129279A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91</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3FFC6A1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本合同履行期间，合同双方当事人应在收到监理人或造价咨询人依据合同约定作出暂定结果之后的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517E0BC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合同双方当事人在收到监理人或造价咨询人的暂定结果之日起，超过</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天，未对暂定结果予以确认也未提出意见的，视为合同双方当事人已认可暂定结果。</w:t>
      </w:r>
    </w:p>
    <w:p w14:paraId="6B95D56F">
      <w:pPr>
        <w:spacing w:line="360" w:lineRule="auto"/>
        <w:rPr>
          <w:rFonts w:ascii="仿宋" w:hAnsi="仿宋" w:eastAsia="仿宋"/>
          <w:b/>
          <w:bCs/>
          <w:color w:val="000000" w:themeColor="text1"/>
          <w:highlight w:val="none"/>
          <w:lang w:eastAsia="zh-CN"/>
          <w14:textFill>
            <w14:solidFill>
              <w14:schemeClr w14:val="tx1"/>
            </w14:solidFill>
          </w14:textFill>
        </w:rPr>
      </w:pPr>
      <w:bookmarkStart w:id="501" w:name="_Toc7915"/>
      <w:r>
        <w:rPr>
          <w:rFonts w:hint="eastAsia" w:ascii="仿宋" w:hAnsi="仿宋" w:eastAsia="仿宋" w:cs="仿宋"/>
          <w:b/>
          <w:bCs/>
          <w:color w:val="000000" w:themeColor="text1"/>
          <w:highlight w:val="none"/>
          <w:lang w:eastAsia="zh-CN"/>
          <w14:textFill>
            <w14:solidFill>
              <w14:schemeClr w14:val="tx1"/>
            </w14:solidFill>
          </w14:textFill>
        </w:rPr>
        <w:t>91</w:t>
      </w:r>
      <w:r>
        <w:rPr>
          <w:rFonts w:ascii="仿宋" w:hAnsi="仿宋" w:eastAsia="仿宋" w:cs="仿宋"/>
          <w:b/>
          <w:bCs/>
          <w:color w:val="000000" w:themeColor="text1"/>
          <w:highlight w:val="none"/>
          <w:lang w:eastAsia="zh-CN"/>
          <w14:textFill>
            <w14:solidFill>
              <w14:schemeClr w14:val="tx1"/>
            </w14:solidFill>
          </w14:textFill>
        </w:rPr>
        <w:t>.2</w:t>
      </w:r>
      <w:bookmarkEnd w:id="501"/>
    </w:p>
    <w:p w14:paraId="6E29F9DC">
      <w:pPr>
        <w:pStyle w:val="40"/>
        <w:tabs>
          <w:tab w:val="left" w:pos="1320"/>
        </w:tabs>
        <w:adjustRightInd w:val="0"/>
        <w:snapToGrid w:val="0"/>
        <w:spacing w:line="360" w:lineRule="auto"/>
        <w:ind w:left="1920" w:leftChars="800"/>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79F656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7792;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79F656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争议发生后的</w:t>
      </w:r>
      <w:r>
        <w:rPr>
          <w:rFonts w:ascii="仿宋" w:hAnsi="仿宋" w:eastAsia="仿宋" w:cs="仿宋"/>
          <w:color w:val="000000" w:themeColor="text1"/>
          <w:sz w:val="24"/>
          <w:szCs w:val="24"/>
          <w:highlight w:val="none"/>
          <w:lang w:eastAsia="zh-CN"/>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款至第91</w:t>
      </w:r>
      <w:r>
        <w:rPr>
          <w:rFonts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lang w:eastAsia="zh-CN"/>
          <w14:textFill>
            <w14:solidFill>
              <w14:schemeClr w14:val="tx1"/>
            </w14:solidFill>
          </w14:textFill>
        </w:rPr>
        <w:t>款约定进行调解或认定、仲裁或诉讼。</w:t>
      </w:r>
    </w:p>
    <w:p w14:paraId="5B63548C">
      <w:pPr>
        <w:pStyle w:val="40"/>
        <w:tabs>
          <w:tab w:val="left" w:pos="13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91</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0CAF60C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1ADA847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8816;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1ADA847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合同双方当事人没有按照第91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款约定进一步协商的，或虽然协商但未在约定期限内达成一致的，合同双方或一方当事人可在争议发生后的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天内，将争议提交争议调解或认定机构处理，或直接按照专用条款第91</w:t>
      </w:r>
      <w:r>
        <w:rPr>
          <w:rFonts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lang w:eastAsia="zh-CN"/>
          <w14:textFill>
            <w14:solidFill>
              <w14:schemeClr w14:val="tx1"/>
            </w14:solidFill>
          </w14:textFill>
        </w:rPr>
        <w:t>款约定提请仲裁或诉讼。</w:t>
      </w:r>
    </w:p>
    <w:p w14:paraId="3F210EBB">
      <w:pPr>
        <w:spacing w:line="360" w:lineRule="auto"/>
        <w:rPr>
          <w:rFonts w:ascii="仿宋" w:hAnsi="仿宋" w:eastAsia="仿宋"/>
          <w:color w:val="000000" w:themeColor="text1"/>
          <w:highlight w:val="none"/>
          <w:lang w:eastAsia="zh-CN"/>
          <w14:textFill>
            <w14:solidFill>
              <w14:schemeClr w14:val="tx1"/>
            </w14:solidFill>
          </w14:textFill>
        </w:rPr>
      </w:pPr>
      <w:bookmarkStart w:id="502" w:name="_Toc3737"/>
      <w:r>
        <w:rPr>
          <w:rFonts w:hint="eastAsia" w:ascii="仿宋" w:hAnsi="仿宋" w:eastAsia="仿宋" w:cs="仿宋"/>
          <w:b/>
          <w:bCs/>
          <w:color w:val="000000" w:themeColor="text1"/>
          <w:highlight w:val="none"/>
          <w:lang w:eastAsia="zh-CN"/>
          <w14:textFill>
            <w14:solidFill>
              <w14:schemeClr w14:val="tx1"/>
            </w14:solidFill>
          </w14:textFill>
        </w:rPr>
        <w:t>91</w:t>
      </w:r>
      <w:r>
        <w:rPr>
          <w:rFonts w:ascii="仿宋" w:hAnsi="仿宋" w:eastAsia="仿宋" w:cs="仿宋"/>
          <w:b/>
          <w:bCs/>
          <w:color w:val="000000" w:themeColor="text1"/>
          <w:highlight w:val="none"/>
          <w:lang w:eastAsia="zh-CN"/>
          <w14:textFill>
            <w14:solidFill>
              <w14:schemeClr w14:val="tx1"/>
            </w14:solidFill>
          </w14:textFill>
        </w:rPr>
        <w:t>.4</w:t>
      </w:r>
      <w:bookmarkEnd w:id="502"/>
    </w:p>
    <w:p w14:paraId="723F049B">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689C36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39840;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689C36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6A0A4FE">
      <w:pPr>
        <w:pStyle w:val="40"/>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建设工程安全监督机构、行业协会或其他第三方调解机构，负责有关工程安全方面争议的调解或认定；</w:t>
      </w:r>
    </w:p>
    <w:p w14:paraId="0BE699B1">
      <w:pPr>
        <w:pStyle w:val="40"/>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建设工程质量监督机构、行业协会或其他第三方调解机构，负责有关工程质量方面争议的调解或认定；</w:t>
      </w:r>
    </w:p>
    <w:p w14:paraId="28A2C0B1">
      <w:pPr>
        <w:pStyle w:val="40"/>
        <w:widowControl w:val="0"/>
        <w:numPr>
          <w:ilvl w:val="1"/>
          <w:numId w:val="23"/>
        </w:numPr>
        <w:tabs>
          <w:tab w:val="clear" w:pos="3285"/>
        </w:tabs>
        <w:adjustRightInd w:val="0"/>
        <w:snapToGrid w:val="0"/>
        <w:spacing w:line="360" w:lineRule="auto"/>
        <w:ind w:left="1850" w:leftChars="771" w:firstLine="0"/>
        <w:jc w:val="both"/>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建设工程造价管理机构、行业协会或其他第三方调解机构，负责有关工程造价方面争议的调解或认定。</w:t>
      </w:r>
    </w:p>
    <w:p w14:paraId="06C71248">
      <w:pPr>
        <w:spacing w:line="360" w:lineRule="auto"/>
        <w:rPr>
          <w:rFonts w:ascii="仿宋" w:hAnsi="仿宋" w:eastAsia="仿宋"/>
          <w:b/>
          <w:bCs/>
          <w:color w:val="000000" w:themeColor="text1"/>
          <w:highlight w:val="none"/>
          <w:lang w:eastAsia="zh-CN"/>
          <w14:textFill>
            <w14:solidFill>
              <w14:schemeClr w14:val="tx1"/>
            </w14:solidFill>
          </w14:textFill>
        </w:rPr>
      </w:pPr>
      <w:bookmarkStart w:id="503" w:name="_Toc10351"/>
      <w:r>
        <w:rPr>
          <w:rFonts w:hint="eastAsia" w:ascii="仿宋" w:hAnsi="仿宋" w:eastAsia="仿宋" w:cs="仿宋"/>
          <w:b/>
          <w:bCs/>
          <w:color w:val="000000" w:themeColor="text1"/>
          <w:highlight w:val="none"/>
          <w:lang w:eastAsia="zh-CN"/>
          <w14:textFill>
            <w14:solidFill>
              <w14:schemeClr w14:val="tx1"/>
            </w14:solidFill>
          </w14:textFill>
        </w:rPr>
        <w:t>91</w:t>
      </w:r>
      <w:r>
        <w:rPr>
          <w:rFonts w:ascii="仿宋" w:hAnsi="仿宋" w:eastAsia="仿宋" w:cs="仿宋"/>
          <w:b/>
          <w:bCs/>
          <w:color w:val="000000" w:themeColor="text1"/>
          <w:highlight w:val="none"/>
          <w:lang w:eastAsia="zh-CN"/>
          <w14:textFill>
            <w14:solidFill>
              <w14:schemeClr w14:val="tx1"/>
            </w14:solidFill>
          </w14:textFill>
        </w:rPr>
        <w:t>.5</w:t>
      </w:r>
      <w:bookmarkEnd w:id="503"/>
    </w:p>
    <w:p w14:paraId="1E150EAD">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489FC24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0864;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489FC24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合同双方当事人应在收到争议调解或认定机构书面结果后的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天内，对调解或认定结果以书面形式予以确认。调解或认定结果经双方签字盖章后作为合同补充文件，双方均应遵照执行。</w:t>
      </w:r>
    </w:p>
    <w:p w14:paraId="28E0D75E">
      <w:pPr>
        <w:spacing w:line="360" w:lineRule="auto"/>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91</w:t>
      </w:r>
      <w:r>
        <w:rPr>
          <w:rFonts w:ascii="仿宋" w:hAnsi="仿宋" w:eastAsia="仿宋" w:cs="仿宋"/>
          <w:b/>
          <w:bCs/>
          <w:color w:val="000000" w:themeColor="text1"/>
          <w:highlight w:val="none"/>
          <w:lang w:eastAsia="zh-CN"/>
          <w14:textFill>
            <w14:solidFill>
              <w14:schemeClr w14:val="tx1"/>
            </w14:solidFill>
          </w14:textFill>
        </w:rPr>
        <w:t xml:space="preserve">.6  </w:t>
      </w:r>
    </w:p>
    <w:p w14:paraId="54B306CA">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7E898D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1888;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7E898D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若合同双方或一方当事人在收到争议调解或认定机构的书面结果后明确表示不同意，或在</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天内没有书面确认，任何一方均可按照专用条款约定的下列任一种方式解决争议：</w:t>
      </w:r>
    </w:p>
    <w:p w14:paraId="731864D2">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向约定的仲裁委员会申请仲裁；</w:t>
      </w:r>
    </w:p>
    <w:p w14:paraId="09E0CCA5">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向有管辖权的人民法院提起诉讼。</w:t>
      </w:r>
    </w:p>
    <w:p w14:paraId="10178F44">
      <w:pPr>
        <w:pStyle w:val="40"/>
        <w:tabs>
          <w:tab w:val="left" w:pos="13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91</w:t>
      </w:r>
      <w:r>
        <w:rPr>
          <w:rFonts w:ascii="仿宋" w:hAnsi="仿宋" w:eastAsia="仿宋" w:cs="仿宋"/>
          <w:b/>
          <w:bCs/>
          <w:color w:val="000000" w:themeColor="text1"/>
          <w:sz w:val="24"/>
          <w:szCs w:val="24"/>
          <w:highlight w:val="none"/>
          <w:lang w:eastAsia="zh-CN"/>
          <w14:textFill>
            <w14:solidFill>
              <w14:schemeClr w14:val="tx1"/>
            </w14:solidFill>
          </w14:textFill>
        </w:rPr>
        <w:t xml:space="preserve">.7  </w:t>
      </w:r>
    </w:p>
    <w:p w14:paraId="72DFD574">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2B7C6D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2912;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2B7C6D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争议期间，除下列情况停止施工外，合同双方当事人应继续履行合同，保持工程连续施工，保护好已完成工程：</w:t>
      </w:r>
    </w:p>
    <w:p w14:paraId="100CB45C">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合同双方当事人协商同意；</w:t>
      </w:r>
    </w:p>
    <w:p w14:paraId="526FF294">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合同一方当事人违约导致合同无法履行；</w:t>
      </w:r>
    </w:p>
    <w:p w14:paraId="2BBA0AB5">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工程造价调解机构调解需要，且合同双方当事人同意；</w:t>
      </w:r>
    </w:p>
    <w:p w14:paraId="1B398DA9">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仲裁委员会仲裁需要，且合同双方当事人同意；</w:t>
      </w:r>
    </w:p>
    <w:p w14:paraId="09FC3FF3">
      <w:pPr>
        <w:pStyle w:val="40"/>
        <w:widowControl w:val="0"/>
        <w:numPr>
          <w:ilvl w:val="1"/>
          <w:numId w:val="25"/>
        </w:numPr>
        <w:tabs>
          <w:tab w:val="clear" w:pos="3285"/>
        </w:tabs>
        <w:adjustRightInd w:val="0"/>
        <w:snapToGrid w:val="0"/>
        <w:spacing w:line="360" w:lineRule="auto"/>
        <w:ind w:left="1850" w:leftChars="771"/>
        <w:jc w:val="both"/>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人民法院诉讼需要。</w:t>
      </w:r>
    </w:p>
    <w:p w14:paraId="2D2DFF8E">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8B1BFDA">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04" w:name="_Toc149731529"/>
      <w:bookmarkStart w:id="505" w:name="_Toc27725"/>
      <w:bookmarkStart w:id="506" w:name="_Toc469384071"/>
      <w:r>
        <w:rPr>
          <w:rFonts w:hint="eastAsia" w:ascii="仿宋" w:hAnsi="仿宋" w:eastAsia="仿宋" w:cs="仿宋"/>
          <w:bCs w:val="0"/>
          <w:color w:val="000000" w:themeColor="text1"/>
          <w:sz w:val="24"/>
          <w:szCs w:val="24"/>
          <w:highlight w:val="none"/>
          <w:lang w:eastAsia="zh-CN"/>
          <w14:textFill>
            <w14:solidFill>
              <w14:schemeClr w14:val="tx1"/>
            </w14:solidFill>
          </w14:textFill>
        </w:rPr>
        <w:t>92合同解除</w:t>
      </w:r>
      <w:bookmarkEnd w:id="504"/>
      <w:bookmarkEnd w:id="505"/>
      <w:bookmarkEnd w:id="506"/>
    </w:p>
    <w:p w14:paraId="361A0329">
      <w:pPr>
        <w:rPr>
          <w:rFonts w:ascii="仿宋" w:hAnsi="仿宋" w:eastAsia="仿宋" w:cs="仿宋"/>
          <w:b/>
          <w:bCs/>
          <w:color w:val="000000" w:themeColor="text1"/>
          <w:highlight w:val="none"/>
          <w:lang w:eastAsia="zh-CN"/>
          <w14:textFill>
            <w14:solidFill>
              <w14:schemeClr w14:val="tx1"/>
            </w14:solidFill>
          </w14:textFill>
        </w:rPr>
      </w:pPr>
      <w:bookmarkStart w:id="507" w:name="_Toc16164"/>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4170AF5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3936;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4170AF5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92</w:t>
      </w:r>
      <w:r>
        <w:rPr>
          <w:rFonts w:ascii="仿宋" w:hAnsi="仿宋" w:eastAsia="仿宋" w:cs="仿宋"/>
          <w:b/>
          <w:bCs/>
          <w:color w:val="000000" w:themeColor="text1"/>
          <w:highlight w:val="none"/>
          <w:lang w:eastAsia="zh-CN"/>
          <w14:textFill>
            <w14:solidFill>
              <w14:schemeClr w14:val="tx1"/>
            </w14:solidFill>
          </w14:textFill>
        </w:rPr>
        <w:t>.1</w:t>
      </w:r>
      <w:bookmarkEnd w:id="507"/>
    </w:p>
    <w:p w14:paraId="1EF80421">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合同双方当事人协商一致，可以解除合同。</w:t>
      </w:r>
    </w:p>
    <w:p w14:paraId="2BC31D5D">
      <w:pPr>
        <w:pStyle w:val="40"/>
        <w:tabs>
          <w:tab w:val="left" w:pos="1320"/>
        </w:tabs>
        <w:adjustRightInd w:val="0"/>
        <w:snapToGrid w:val="0"/>
        <w:spacing w:line="360" w:lineRule="auto"/>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708D31F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476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708D31F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92</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774A352D">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因单次不可抗力导致合同无法履行连续超过84天或累计超过140天的，合同双方当事人有权解除合同。</w:t>
      </w:r>
    </w:p>
    <w:p w14:paraId="74E6E89E">
      <w:pPr>
        <w:widowControl w:val="0"/>
        <w:spacing w:line="360" w:lineRule="auto"/>
        <w:rPr>
          <w:rFonts w:ascii="仿宋" w:hAnsi="仿宋" w:eastAsia="仿宋"/>
          <w:color w:val="000000" w:themeColor="text1"/>
          <w:highlight w:val="none"/>
          <w:lang w:eastAsia="zh-CN"/>
          <w14:textFill>
            <w14:solidFill>
              <w14:schemeClr w14:val="tx1"/>
            </w14:solidFill>
          </w14:textFill>
        </w:rPr>
      </w:pPr>
      <w:bookmarkStart w:id="508" w:name="_Toc7790"/>
      <w:r>
        <w:rPr>
          <w:rFonts w:hint="eastAsia" w:ascii="仿宋" w:hAnsi="仿宋" w:eastAsia="仿宋" w:cs="仿宋"/>
          <w:b/>
          <w:bCs/>
          <w:color w:val="000000" w:themeColor="text1"/>
          <w:highlight w:val="none"/>
          <w:lang w:eastAsia="zh-CN"/>
          <w14:textFill>
            <w14:solidFill>
              <w14:schemeClr w14:val="tx1"/>
            </w14:solidFill>
          </w14:textFill>
        </w:rPr>
        <w:t>92</w:t>
      </w:r>
      <w:r>
        <w:rPr>
          <w:rFonts w:ascii="仿宋" w:hAnsi="仿宋" w:eastAsia="仿宋" w:cs="仿宋"/>
          <w:b/>
          <w:bCs/>
          <w:color w:val="000000" w:themeColor="text1"/>
          <w:highlight w:val="none"/>
          <w:lang w:eastAsia="zh-CN"/>
          <w14:textFill>
            <w14:solidFill>
              <w14:schemeClr w14:val="tx1"/>
            </w14:solidFill>
          </w14:textFill>
        </w:rPr>
        <w:t>.3</w:t>
      </w:r>
      <w:bookmarkEnd w:id="508"/>
    </w:p>
    <w:p w14:paraId="5976FD8B">
      <w:pPr>
        <w:pStyle w:val="4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71DBF9E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4960;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71DBF9E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承包人有下列情形之一的，发包人可以解除合同：</w:t>
      </w:r>
    </w:p>
    <w:p w14:paraId="44E998FC">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承包人未能按照第41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天内仍未开工的；</w:t>
      </w:r>
    </w:p>
    <w:p w14:paraId="509ECD11">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按照第40条约定的进度计划未表明有停工且监理人也未按照第42</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款约定发出暂停施工令，但承包人停止施工时间持续达</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天或累计停止施工时间达</w:t>
      </w:r>
      <w:r>
        <w:rPr>
          <w:rFonts w:ascii="仿宋" w:hAnsi="仿宋" w:eastAsia="仿宋" w:cs="仿宋"/>
          <w:color w:val="000000" w:themeColor="text1"/>
          <w:sz w:val="24"/>
          <w:szCs w:val="24"/>
          <w:highlight w:val="none"/>
          <w:lang w:eastAsia="zh-CN"/>
          <w14:textFill>
            <w14:solidFill>
              <w14:schemeClr w14:val="tx1"/>
            </w14:solidFill>
          </w14:textFill>
        </w:rPr>
        <w:t>70</w:t>
      </w:r>
      <w:r>
        <w:rPr>
          <w:rFonts w:hint="eastAsia" w:ascii="仿宋" w:hAnsi="仿宋" w:eastAsia="仿宋" w:cs="仿宋"/>
          <w:color w:val="000000" w:themeColor="text1"/>
          <w:sz w:val="24"/>
          <w:szCs w:val="24"/>
          <w:highlight w:val="none"/>
          <w:lang w:eastAsia="zh-CN"/>
          <w14:textFill>
            <w14:solidFill>
              <w14:schemeClr w14:val="tx1"/>
            </w14:solidFill>
          </w14:textFill>
        </w:rPr>
        <w:t>天的；</w:t>
      </w:r>
    </w:p>
    <w:p w14:paraId="772DF6FD">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承包人违反第21</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款或第58</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款约定未经监理人批准，擅自将已按照合同约定进入施工现场的施工设备、临时设施、工程材料、工程设备运出施工现场的；</w:t>
      </w:r>
    </w:p>
    <w:p w14:paraId="396944BE">
      <w:pPr>
        <w:pStyle w:val="40"/>
        <w:widowControl w:val="0"/>
        <w:numPr>
          <w:ilvl w:val="0"/>
          <w:numId w:val="26"/>
        </w:numPr>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承包人拖延完工且能偿付的误期赔偿费已达到专用条款约定最高限额的；</w:t>
      </w:r>
    </w:p>
    <w:p w14:paraId="167EF82E">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承包人转包工程、违法分包或未经发</w:t>
      </w:r>
      <w:r>
        <w:rPr>
          <w:rFonts w:ascii="仿宋" w:hAnsi="仿宋" w:eastAsia="仿宋" w:cs="仿宋"/>
          <w:color w:val="000000" w:themeColor="text1"/>
          <w:sz w:val="24"/>
          <w:szCs w:val="24"/>
          <w:highlight w:val="none"/>
          <w:lang w:eastAsia="zh-CN"/>
          <w14:textFill>
            <w14:solidFill>
              <w14:schemeClr w14:val="tx1"/>
            </w14:solidFill>
          </w14:textFill>
        </w:rPr>
        <w:t>包人同意</w:t>
      </w:r>
      <w:r>
        <w:rPr>
          <w:rFonts w:hint="eastAsia" w:ascii="仿宋" w:hAnsi="仿宋" w:eastAsia="仿宋" w:cs="仿宋"/>
          <w:color w:val="000000" w:themeColor="text1"/>
          <w:sz w:val="24"/>
          <w:szCs w:val="24"/>
          <w:highlight w:val="none"/>
          <w:lang w:eastAsia="zh-CN"/>
          <w14:textFill>
            <w14:solidFill>
              <w14:schemeClr w14:val="tx1"/>
            </w14:solidFill>
          </w14:textFill>
        </w:rPr>
        <w:t>擅自分包工程的；</w:t>
      </w:r>
    </w:p>
    <w:p w14:paraId="2003B74F">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承包人未按照合同约定或设计顾问人、监理人的指令，经监理人、设计顾问人书面指出后仍未按要求改正的；</w:t>
      </w:r>
    </w:p>
    <w:p w14:paraId="499C06D3">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承包人履行合同期间有欺诈行为的；</w:t>
      </w:r>
    </w:p>
    <w:p w14:paraId="01BE9E2E">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承包人向任何人给付或企图给付任何贿赂、礼品、赏金、回扣或其他贵重物品，以引诱或报偿他人，但给付承包人雇员的奖励则属例外；</w:t>
      </w:r>
    </w:p>
    <w:p w14:paraId="08C6EFCE">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承包人在缺陷责任期内未能对发生的缺陷进行修复，且又拒绝按照监理人指令再进行修补的；</w:t>
      </w:r>
    </w:p>
    <w:p w14:paraId="52EA61F1">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承包人明确表示或以行为表明不履行合同约定主要义务的；</w:t>
      </w:r>
    </w:p>
    <w:p w14:paraId="04BC3C8D">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承包人延迟履行合同约定主要义务，经催告后在合理期限内仍未履行的；</w:t>
      </w:r>
    </w:p>
    <w:p w14:paraId="446BA7E4">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承包人破产或清算的，但以机构重组或联合为目的的除外；</w:t>
      </w:r>
    </w:p>
    <w:p w14:paraId="7114B848">
      <w:pPr>
        <w:pStyle w:val="40"/>
        <w:widowControl w:val="0"/>
        <w:numPr>
          <w:ilvl w:val="0"/>
          <w:numId w:val="26"/>
        </w:numPr>
        <w:adjustRightInd w:val="0"/>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承包人被认为有严重违反合同的其他违约行为；</w:t>
      </w:r>
    </w:p>
    <w:p w14:paraId="42EE95EC">
      <w:pPr>
        <w:pStyle w:val="40"/>
        <w:widowControl w:val="0"/>
        <w:numPr>
          <w:ilvl w:val="0"/>
          <w:numId w:val="26"/>
        </w:numPr>
        <w:adjustRightInd w:val="0"/>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olor w:val="000000" w:themeColor="text1"/>
          <w:sz w:val="24"/>
          <w:szCs w:val="24"/>
          <w:highlight w:val="none"/>
          <w:lang w:eastAsia="zh-CN"/>
          <w14:textFill>
            <w14:solidFill>
              <w14:schemeClr w14:val="tx1"/>
            </w14:solidFill>
          </w14:textFill>
        </w:rPr>
        <w:t>承包人不配合发包人对本合同工程进行检查。</w:t>
      </w:r>
    </w:p>
    <w:p w14:paraId="55FA4AA3">
      <w:pPr>
        <w:pStyle w:val="40"/>
        <w:widowControl w:val="0"/>
        <w:adjustRightInd w:val="0"/>
        <w:snapToGrid w:val="0"/>
        <w:spacing w:line="360" w:lineRule="auto"/>
        <w:ind w:left="1850" w:leftChars="771"/>
        <w:jc w:val="both"/>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在这种情况下，发包人可自行或委托第三方实施、完成合同工程或其任何部分，并可使用根据第21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款留下的承包人临时工程，直至永久工程完工为止。</w:t>
      </w:r>
    </w:p>
    <w:p w14:paraId="7E0E2920">
      <w:pPr>
        <w:widowControl w:val="0"/>
        <w:spacing w:line="360" w:lineRule="auto"/>
        <w:rPr>
          <w:rFonts w:ascii="仿宋" w:hAnsi="仿宋" w:eastAsia="仿宋"/>
          <w:b/>
          <w:bCs/>
          <w:color w:val="000000" w:themeColor="text1"/>
          <w:highlight w:val="none"/>
          <w:lang w:eastAsia="zh-CN"/>
          <w14:textFill>
            <w14:solidFill>
              <w14:schemeClr w14:val="tx1"/>
            </w14:solidFill>
          </w14:textFill>
        </w:rPr>
      </w:pPr>
      <w:bookmarkStart w:id="509" w:name="_Toc8110"/>
      <w:r>
        <w:rPr>
          <w:rFonts w:hint="eastAsia" w:ascii="仿宋" w:hAnsi="仿宋" w:eastAsia="仿宋" w:cs="仿宋"/>
          <w:b/>
          <w:bCs/>
          <w:color w:val="000000" w:themeColor="text1"/>
          <w:highlight w:val="none"/>
          <w:lang w:eastAsia="zh-CN"/>
          <w14:textFill>
            <w14:solidFill>
              <w14:schemeClr w14:val="tx1"/>
            </w14:solidFill>
          </w14:textFill>
        </w:rPr>
        <w:t>92</w:t>
      </w:r>
      <w:r>
        <w:rPr>
          <w:rFonts w:ascii="仿宋" w:hAnsi="仿宋" w:eastAsia="仿宋" w:cs="仿宋"/>
          <w:b/>
          <w:bCs/>
          <w:color w:val="000000" w:themeColor="text1"/>
          <w:highlight w:val="none"/>
          <w:lang w:eastAsia="zh-CN"/>
          <w14:textFill>
            <w14:solidFill>
              <w14:schemeClr w14:val="tx1"/>
            </w14:solidFill>
          </w14:textFill>
        </w:rPr>
        <w:t>.4</w:t>
      </w:r>
      <w:bookmarkEnd w:id="509"/>
    </w:p>
    <w:p w14:paraId="004CAFA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27704C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5984;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27704C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发包人有下列情形之一的，承包人可以解除合同：</w:t>
      </w:r>
    </w:p>
    <w:p w14:paraId="18FA88D6">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非承包人原因未按照第41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款约定期限内发出开工令，经承包人催告后</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天内仍未发出开工令的；</w:t>
      </w:r>
    </w:p>
    <w:p w14:paraId="5E6028F2">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按照第42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款约定非承包人原因造成暂停施工持续</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天以上或累计停工时间超过了</w:t>
      </w:r>
      <w:r>
        <w:rPr>
          <w:rFonts w:ascii="仿宋" w:hAnsi="仿宋" w:eastAsia="仿宋" w:cs="仿宋"/>
          <w:color w:val="000000" w:themeColor="text1"/>
          <w:sz w:val="24"/>
          <w:szCs w:val="24"/>
          <w:highlight w:val="none"/>
          <w:lang w:eastAsia="zh-CN"/>
          <w14:textFill>
            <w14:solidFill>
              <w14:schemeClr w14:val="tx1"/>
            </w14:solidFill>
          </w14:textFill>
        </w:rPr>
        <w:t>70</w:t>
      </w:r>
      <w:r>
        <w:rPr>
          <w:rFonts w:hint="eastAsia" w:ascii="仿宋" w:hAnsi="仿宋" w:eastAsia="仿宋" w:cs="仿宋"/>
          <w:color w:val="000000" w:themeColor="text1"/>
          <w:sz w:val="24"/>
          <w:szCs w:val="24"/>
          <w:highlight w:val="none"/>
          <w:lang w:eastAsia="zh-CN"/>
          <w14:textFill>
            <w14:solidFill>
              <w14:schemeClr w14:val="tx1"/>
            </w14:solidFill>
          </w14:textFill>
        </w:rPr>
        <w:t>天的；</w:t>
      </w:r>
    </w:p>
    <w:p w14:paraId="2A0FC4C2">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发包人按照第55条约定供应的工程材料和工程设备不符合强制性标准，致使承包人无法施工，经承包人催告后</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天内仍未更换的；</w:t>
      </w:r>
    </w:p>
    <w:p w14:paraId="39FC014C">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设计顾问人或监理人未按照合同约定及时发出工作指令，导致承包人无法继续工作或施工的；</w:t>
      </w:r>
    </w:p>
    <w:p w14:paraId="13CA8AA4">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发包人未按照第83</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款约定向承包人支付工程款，经承包人催告后</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天内仍未支付的；</w:t>
      </w:r>
    </w:p>
    <w:p w14:paraId="5C357ABC">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发包人无法继续履行、明确表示或以行为表明不履行合同约定主要义务的；</w:t>
      </w:r>
    </w:p>
    <w:p w14:paraId="0AB2713E">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发包人延迟履行合同约定主要义务，经催告后在合理期限内仍未履行的；</w:t>
      </w:r>
    </w:p>
    <w:p w14:paraId="7AAEFD0F">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发包人破产或清算的，但以机构重组或联合为目的的除外；</w:t>
      </w:r>
    </w:p>
    <w:p w14:paraId="262F28BA">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发包人被认为有严重违反合同的其他违约行为。</w:t>
      </w:r>
    </w:p>
    <w:p w14:paraId="7A3A4035">
      <w:pPr>
        <w:pStyle w:val="40"/>
        <w:tabs>
          <w:tab w:val="left" w:pos="1320"/>
        </w:tabs>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7B099C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5792;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7B099C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92</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27BE2CE3">
      <w:pPr>
        <w:pStyle w:val="40"/>
        <w:adjustRightInd w:val="0"/>
        <w:snapToGrid w:val="0"/>
        <w:spacing w:line="360" w:lineRule="auto"/>
        <w:ind w:left="1850" w:leftChars="771"/>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根据第92</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款至第92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款约定要求解除合同的，解除方应以书面形式向另一方当事人发出解除合同的通知，自通知到达对方时合同解除。对解除合同有争议的，应按照第91条约定处理。</w:t>
      </w:r>
    </w:p>
    <w:p w14:paraId="45CCCF37">
      <w:pPr>
        <w:spacing w:line="360" w:lineRule="auto"/>
        <w:rPr>
          <w:rFonts w:ascii="仿宋" w:hAnsi="仿宋" w:eastAsia="仿宋"/>
          <w:b/>
          <w:bCs/>
          <w:color w:val="000000" w:themeColor="text1"/>
          <w:highlight w:val="none"/>
          <w:lang w:eastAsia="zh-CN"/>
          <w14:textFill>
            <w14:solidFill>
              <w14:schemeClr w14:val="tx1"/>
            </w14:solidFill>
          </w14:textFill>
        </w:rPr>
      </w:pPr>
      <w:bookmarkStart w:id="510" w:name="_Toc27334"/>
      <w:r>
        <w:rPr>
          <w:rFonts w:hint="eastAsia" w:ascii="仿宋" w:hAnsi="仿宋" w:eastAsia="仿宋" w:cs="仿宋"/>
          <w:b/>
          <w:bCs/>
          <w:color w:val="000000" w:themeColor="text1"/>
          <w:highlight w:val="none"/>
          <w:lang w:eastAsia="zh-CN"/>
          <w14:textFill>
            <w14:solidFill>
              <w14:schemeClr w14:val="tx1"/>
            </w14:solidFill>
          </w14:textFill>
        </w:rPr>
        <w:t>92</w:t>
      </w:r>
      <w:r>
        <w:rPr>
          <w:rFonts w:ascii="仿宋" w:hAnsi="仿宋" w:eastAsia="仿宋" w:cs="仿宋"/>
          <w:b/>
          <w:bCs/>
          <w:color w:val="000000" w:themeColor="text1"/>
          <w:highlight w:val="none"/>
          <w:lang w:eastAsia="zh-CN"/>
          <w14:textFill>
            <w14:solidFill>
              <w14:schemeClr w14:val="tx1"/>
            </w14:solidFill>
          </w14:textFill>
        </w:rPr>
        <w:t>.6</w:t>
      </w:r>
      <w:bookmarkEnd w:id="510"/>
    </w:p>
    <w:p w14:paraId="5D36472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40B6EB4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7008;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40B6EB4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0654524D">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6BE6111D">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11" w:name="_Toc2713"/>
      <w:bookmarkStart w:id="512" w:name="_Toc469384072"/>
      <w:bookmarkStart w:id="513" w:name="_Toc149731530"/>
      <w:r>
        <w:rPr>
          <w:rFonts w:hint="eastAsia" w:ascii="仿宋" w:hAnsi="仿宋" w:eastAsia="仿宋" w:cs="仿宋"/>
          <w:bCs w:val="0"/>
          <w:color w:val="000000" w:themeColor="text1"/>
          <w:sz w:val="24"/>
          <w:szCs w:val="24"/>
          <w:highlight w:val="none"/>
          <w:lang w:eastAsia="zh-CN"/>
          <w14:textFill>
            <w14:solidFill>
              <w14:schemeClr w14:val="tx1"/>
            </w14:solidFill>
          </w14:textFill>
        </w:rPr>
        <w:t>93合同解除的支付</w:t>
      </w:r>
      <w:bookmarkEnd w:id="511"/>
      <w:bookmarkEnd w:id="512"/>
      <w:bookmarkEnd w:id="513"/>
    </w:p>
    <w:p w14:paraId="742B67C3">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23C871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681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23C871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93</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038A923">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根据第92</w:t>
      </w:r>
      <w:r>
        <w:rPr>
          <w:rFonts w:ascii="仿宋" w:hAnsi="仿宋" w:eastAsia="仿宋" w:cs="仿宋"/>
          <w:color w:val="000000" w:themeColor="text1"/>
          <w:sz w:val="24"/>
          <w:szCs w:val="24"/>
          <w:highlight w:val="none"/>
          <w:lang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款约定解除合同的，按照达成的协议办理结算和支付工程款。</w:t>
      </w:r>
    </w:p>
    <w:p w14:paraId="58BD82F3">
      <w:pPr>
        <w:spacing w:line="360" w:lineRule="auto"/>
        <w:rPr>
          <w:rFonts w:ascii="仿宋" w:hAnsi="仿宋" w:eastAsia="仿宋"/>
          <w:b/>
          <w:bCs/>
          <w:color w:val="000000" w:themeColor="text1"/>
          <w:highlight w:val="none"/>
          <w:lang w:eastAsia="zh-CN"/>
          <w14:textFill>
            <w14:solidFill>
              <w14:schemeClr w14:val="tx1"/>
            </w14:solidFill>
          </w14:textFill>
        </w:rPr>
      </w:pPr>
      <w:bookmarkStart w:id="514" w:name="_Toc12411"/>
      <w:r>
        <w:rPr>
          <w:rFonts w:hint="eastAsia" w:ascii="仿宋" w:hAnsi="仿宋" w:eastAsia="仿宋" w:cs="仿宋"/>
          <w:b/>
          <w:bCs/>
          <w:color w:val="000000" w:themeColor="text1"/>
          <w:highlight w:val="none"/>
          <w:lang w:eastAsia="zh-CN"/>
          <w14:textFill>
            <w14:solidFill>
              <w14:schemeClr w14:val="tx1"/>
            </w14:solidFill>
          </w14:textFill>
        </w:rPr>
        <w:t>93</w:t>
      </w:r>
      <w:r>
        <w:rPr>
          <w:rFonts w:ascii="仿宋" w:hAnsi="仿宋" w:eastAsia="仿宋" w:cs="仿宋"/>
          <w:b/>
          <w:bCs/>
          <w:color w:val="000000" w:themeColor="text1"/>
          <w:highlight w:val="none"/>
          <w:lang w:eastAsia="zh-CN"/>
          <w14:textFill>
            <w14:solidFill>
              <w14:schemeClr w14:val="tx1"/>
            </w14:solidFill>
          </w14:textFill>
        </w:rPr>
        <w:t>.2</w:t>
      </w:r>
      <w:bookmarkEnd w:id="514"/>
    </w:p>
    <w:p w14:paraId="795578F1">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40F1DA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8032;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40F1DAD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根据第92</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款约定解除合同的，发包人应向承包人支付合同解除之日前已完成工程但尚未支付的工程款。此外，发包人还应支付下列款项：</w:t>
      </w:r>
    </w:p>
    <w:p w14:paraId="5F0DBF7E">
      <w:pPr>
        <w:pStyle w:val="40"/>
        <w:widowControl w:val="0"/>
        <w:numPr>
          <w:ilvl w:val="0"/>
          <w:numId w:val="28"/>
        </w:numPr>
        <w:adjustRightInd w:val="0"/>
        <w:snapToGrid w:val="0"/>
        <w:spacing w:line="360" w:lineRule="auto"/>
        <w:ind w:left="2327" w:leftChars="771" w:hanging="477" w:hangingChars="199"/>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已实施或部分实施的措施项目应付款项；</w:t>
      </w:r>
    </w:p>
    <w:p w14:paraId="2D782E0D">
      <w:pPr>
        <w:pStyle w:val="40"/>
        <w:widowControl w:val="0"/>
        <w:numPr>
          <w:ilvl w:val="0"/>
          <w:numId w:val="28"/>
        </w:numPr>
        <w:adjustRightInd w:val="0"/>
        <w:snapToGrid w:val="0"/>
        <w:spacing w:line="360" w:lineRule="auto"/>
        <w:ind w:left="1849" w:leftChars="770" w:hanging="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承包人为合同工程合理订购且已交付的工程材料和工程设备货款。发包人一经支付此项货款，该工程材料和工程设备即成为发包人的财产；</w:t>
      </w:r>
    </w:p>
    <w:p w14:paraId="768B6410">
      <w:pPr>
        <w:pStyle w:val="40"/>
        <w:widowControl w:val="0"/>
        <w:numPr>
          <w:ilvl w:val="0"/>
          <w:numId w:val="28"/>
        </w:numPr>
        <w:adjustRightInd w:val="0"/>
        <w:snapToGrid w:val="0"/>
        <w:spacing w:line="360" w:lineRule="auto"/>
        <w:ind w:left="1849" w:leftChars="770" w:hanging="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承包人为完成合同工程而预期开支的任何合理款项，且该项款项未包括在本款其他各项支付之内；</w:t>
      </w:r>
    </w:p>
    <w:p w14:paraId="5C8AB49E">
      <w:pPr>
        <w:pStyle w:val="40"/>
        <w:widowControl w:val="0"/>
        <w:numPr>
          <w:ilvl w:val="0"/>
          <w:numId w:val="28"/>
        </w:numPr>
        <w:adjustRightInd w:val="0"/>
        <w:snapToGrid w:val="0"/>
        <w:spacing w:line="360" w:lineRule="auto"/>
        <w:ind w:left="2327" w:leftChars="771" w:hanging="477" w:hangingChars="199"/>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款约定的任何工作应支付的款项；</w:t>
      </w:r>
    </w:p>
    <w:p w14:paraId="50400683">
      <w:pPr>
        <w:pStyle w:val="40"/>
        <w:widowControl w:val="0"/>
        <w:numPr>
          <w:ilvl w:val="0"/>
          <w:numId w:val="28"/>
        </w:numPr>
        <w:tabs>
          <w:tab w:val="left" w:pos="1980"/>
        </w:tabs>
        <w:adjustRightInd w:val="0"/>
        <w:snapToGrid w:val="0"/>
        <w:spacing w:line="360" w:lineRule="auto"/>
        <w:ind w:left="1849" w:leftChars="770" w:hanging="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根据第92</w:t>
      </w:r>
      <w:r>
        <w:rPr>
          <w:rFonts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lang w:eastAsia="zh-CN"/>
          <w14:textFill>
            <w14:solidFill>
              <w14:schemeClr w14:val="tx1"/>
            </w14:solidFill>
          </w14:textFill>
        </w:rPr>
        <w:t>款约定承包人撤离现场所需的合理款项，包括雇员遣散费和临时工程拆除、施工设备运离现场的款项。</w:t>
      </w:r>
    </w:p>
    <w:p w14:paraId="4346A5C2">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合同双方当事人按照第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7条、第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天内将其差额退还给发包人。</w:t>
      </w:r>
    </w:p>
    <w:p w14:paraId="0851D8F9">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93</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46FD8599">
      <w:pPr>
        <w:pStyle w:val="40"/>
        <w:widowControl w:val="0"/>
        <w:adjustRightInd w:val="0"/>
        <w:snapToGrid w:val="0"/>
        <w:spacing w:line="360" w:lineRule="auto"/>
        <w:ind w:left="1850" w:leftChars="771"/>
        <w:jc w:val="both"/>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76106B0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49056;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76106B0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根据第92</w:t>
      </w:r>
      <w:r>
        <w:rPr>
          <w:rFonts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款约定解除合同的，发包人暂停向承包人支付任何款项，造价咨询人应在合同解除后</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000000" w:themeColor="text1"/>
          <w:sz w:val="24"/>
          <w:szCs w:val="24"/>
          <w:highlight w:val="none"/>
          <w:lang w:eastAsia="zh-CN"/>
          <w14:textFill>
            <w14:solidFill>
              <w14:schemeClr w14:val="tx1"/>
            </w14:solidFill>
          </w14:textFill>
        </w:rPr>
        <w:t>28</w:t>
      </w:r>
      <w:r>
        <w:rPr>
          <w:rFonts w:hint="eastAsia" w:ascii="仿宋" w:hAnsi="仿宋" w:eastAsia="仿宋" w:cs="仿宋"/>
          <w:color w:val="000000" w:themeColor="text1"/>
          <w:sz w:val="24"/>
          <w:szCs w:val="24"/>
          <w:highlight w:val="none"/>
          <w:lang w:eastAsia="zh-CN"/>
          <w14:textFill>
            <w14:solidFill>
              <w14:schemeClr w14:val="tx1"/>
            </w14:solidFill>
          </w14:textFill>
        </w:rPr>
        <w:t>天内予以确认或提出意见，并按照第</w:t>
      </w:r>
      <w:r>
        <w:rPr>
          <w:rFonts w:ascii="仿宋" w:hAnsi="仿宋" w:eastAsia="仿宋" w:cs="仿宋"/>
          <w:color w:val="000000" w:themeColor="text1"/>
          <w:sz w:val="24"/>
          <w:szCs w:val="24"/>
          <w:highlight w:val="none"/>
          <w:lang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款约定办理工程款结算。如果发包人应扣除的款项超过了应支付的款项，则承包人应在合同解除后的</w:t>
      </w:r>
      <w:r>
        <w:rPr>
          <w:rFonts w:ascii="仿宋" w:hAnsi="仿宋" w:eastAsia="仿宋" w:cs="仿宋"/>
          <w:color w:val="000000" w:themeColor="text1"/>
          <w:sz w:val="24"/>
          <w:szCs w:val="24"/>
          <w:highlight w:val="none"/>
          <w:lang w:eastAsia="zh-CN"/>
          <w14:textFill>
            <w14:solidFill>
              <w14:schemeClr w14:val="tx1"/>
            </w14:solidFill>
          </w14:textFill>
        </w:rPr>
        <w:t>56</w:t>
      </w:r>
      <w:r>
        <w:rPr>
          <w:rFonts w:hint="eastAsia" w:ascii="仿宋" w:hAnsi="仿宋" w:eastAsia="仿宋" w:cs="仿宋"/>
          <w:color w:val="000000" w:themeColor="text1"/>
          <w:sz w:val="24"/>
          <w:szCs w:val="24"/>
          <w:highlight w:val="none"/>
          <w:lang w:eastAsia="zh-CN"/>
          <w14:textFill>
            <w14:solidFill>
              <w14:schemeClr w14:val="tx1"/>
            </w14:solidFill>
          </w14:textFill>
        </w:rPr>
        <w:t>天内将其差额退还给发包人。</w:t>
      </w:r>
    </w:p>
    <w:p w14:paraId="06FB20D1">
      <w:pPr>
        <w:spacing w:line="360" w:lineRule="auto"/>
        <w:rPr>
          <w:rFonts w:ascii="仿宋" w:hAnsi="仿宋" w:eastAsia="仿宋"/>
          <w:b/>
          <w:bCs/>
          <w:color w:val="000000" w:themeColor="text1"/>
          <w:highlight w:val="none"/>
          <w:lang w:eastAsia="zh-CN"/>
          <w14:textFill>
            <w14:solidFill>
              <w14:schemeClr w14:val="tx1"/>
            </w14:solidFill>
          </w14:textFill>
        </w:rPr>
      </w:pPr>
      <w:bookmarkStart w:id="515" w:name="_Toc23620"/>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2324155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78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2324155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93</w:t>
      </w:r>
      <w:r>
        <w:rPr>
          <w:rFonts w:ascii="仿宋" w:hAnsi="仿宋" w:eastAsia="仿宋" w:cs="仿宋"/>
          <w:b/>
          <w:bCs/>
          <w:color w:val="000000" w:themeColor="text1"/>
          <w:highlight w:val="none"/>
          <w:lang w:eastAsia="zh-CN"/>
          <w14:textFill>
            <w14:solidFill>
              <w14:schemeClr w14:val="tx1"/>
            </w14:solidFill>
          </w14:textFill>
        </w:rPr>
        <w:t>.4</w:t>
      </w:r>
      <w:bookmarkEnd w:id="515"/>
    </w:p>
    <w:p w14:paraId="6B26AA6B">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根据第92</w:t>
      </w:r>
      <w:r>
        <w:rPr>
          <w:rFonts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lang w:eastAsia="zh-CN"/>
          <w14:textFill>
            <w14:solidFill>
              <w14:schemeClr w14:val="tx1"/>
            </w14:solidFill>
          </w14:textFill>
        </w:rPr>
        <w:t>款约定解除合同的，发包人除应按照第93</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天内由造价咨询人向发包人签发支付证书，抄送承包人。协商不能达成一致的，按照第91条约定处理。</w:t>
      </w:r>
    </w:p>
    <w:p w14:paraId="4564C96D">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46902C7F">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16" w:name="_Toc16907"/>
      <w:bookmarkStart w:id="517" w:name="_Toc149731531"/>
      <w:bookmarkStart w:id="518" w:name="_Toc469384073"/>
      <w:r>
        <w:rPr>
          <w:rFonts w:hint="eastAsia" w:ascii="仿宋" w:hAnsi="仿宋" w:eastAsia="仿宋" w:cs="仿宋"/>
          <w:bCs w:val="0"/>
          <w:color w:val="000000" w:themeColor="text1"/>
          <w:sz w:val="24"/>
          <w:szCs w:val="24"/>
          <w:highlight w:val="none"/>
          <w:lang w:eastAsia="zh-CN"/>
          <w14:textFill>
            <w14:solidFill>
              <w14:schemeClr w14:val="tx1"/>
            </w14:solidFill>
          </w14:textFill>
        </w:rPr>
        <w:t>94合同终止</w:t>
      </w:r>
      <w:bookmarkEnd w:id="516"/>
      <w:bookmarkEnd w:id="517"/>
      <w:bookmarkEnd w:id="518"/>
    </w:p>
    <w:p w14:paraId="2407CC12">
      <w:pPr>
        <w:rPr>
          <w:rFonts w:ascii="仿宋" w:hAnsi="仿宋" w:eastAsia="仿宋" w:cs="仿宋"/>
          <w:b/>
          <w:bCs/>
          <w:color w:val="000000" w:themeColor="text1"/>
          <w:highlight w:val="none"/>
          <w:lang w:eastAsia="zh-CN"/>
          <w14:textFill>
            <w14:solidFill>
              <w14:schemeClr w14:val="tx1"/>
            </w14:solidFill>
          </w14:textFill>
        </w:rPr>
      </w:pPr>
      <w:bookmarkStart w:id="519" w:name="_Toc21953"/>
      <w:r>
        <w:rPr>
          <w:rFonts w:hint="eastAsia" w:ascii="仿宋" w:hAnsi="仿宋" w:eastAsia="仿宋" w:cs="仿宋"/>
          <w:b/>
          <w:bCs/>
          <w:color w:val="000000" w:themeColor="text1"/>
          <w:highlight w:val="none"/>
          <w:lang w:eastAsia="zh-CN"/>
          <w14:textFill>
            <w14:solidFill>
              <w14:schemeClr w14:val="tx1"/>
            </w14:solidFill>
          </w14:textFill>
        </w:rPr>
        <w:t>94</w:t>
      </w:r>
      <w:r>
        <w:rPr>
          <w:rFonts w:ascii="仿宋" w:hAnsi="仿宋" w:eastAsia="仿宋" w:cs="仿宋"/>
          <w:b/>
          <w:bCs/>
          <w:color w:val="000000" w:themeColor="text1"/>
          <w:highlight w:val="none"/>
          <w:lang w:eastAsia="zh-CN"/>
          <w14:textFill>
            <w14:solidFill>
              <w14:schemeClr w14:val="tx1"/>
            </w14:solidFill>
          </w14:textFill>
        </w:rPr>
        <w:t>.1</w:t>
      </w:r>
      <w:bookmarkEnd w:id="519"/>
    </w:p>
    <w:p w14:paraId="5A2C906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14E39F7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0080;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14E39F7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合同解除后，除合同双方当事人享有第91条至第93条约定的权利外，本合同的权利</w:t>
      </w:r>
      <w:r>
        <w:rPr>
          <w:rFonts w:ascii="仿宋" w:hAnsi="仿宋" w:eastAsia="仿宋" w:cs="仿宋"/>
          <w:color w:val="000000" w:themeColor="text1"/>
          <w:sz w:val="24"/>
          <w:szCs w:val="24"/>
          <w:highlight w:val="none"/>
          <w:lang w:eastAsia="zh-CN"/>
          <w14:textFill>
            <w14:solidFill>
              <w14:schemeClr w14:val="tx1"/>
            </w14:solidFill>
          </w14:textFill>
        </w:rPr>
        <w:t>义务</w:t>
      </w:r>
      <w:r>
        <w:rPr>
          <w:rFonts w:hint="eastAsia" w:ascii="仿宋" w:hAnsi="仿宋" w:eastAsia="仿宋" w:cs="仿宋"/>
          <w:color w:val="000000" w:themeColor="text1"/>
          <w:sz w:val="24"/>
          <w:szCs w:val="24"/>
          <w:highlight w:val="none"/>
          <w:lang w:eastAsia="zh-CN"/>
          <w14:textFill>
            <w14:solidFill>
              <w14:schemeClr w14:val="tx1"/>
            </w14:solidFill>
          </w14:textFill>
        </w:rPr>
        <w:t>关系</w:t>
      </w:r>
      <w:r>
        <w:rPr>
          <w:rFonts w:ascii="仿宋" w:hAnsi="仿宋" w:eastAsia="仿宋" w:cs="仿宋"/>
          <w:color w:val="000000" w:themeColor="text1"/>
          <w:sz w:val="24"/>
          <w:szCs w:val="24"/>
          <w:highlight w:val="none"/>
          <w:lang w:eastAsia="zh-CN"/>
          <w14:textFill>
            <w14:solidFill>
              <w14:schemeClr w14:val="tx1"/>
            </w14:solidFill>
          </w14:textFill>
        </w:rPr>
        <w:t>终止</w:t>
      </w:r>
      <w:r>
        <w:rPr>
          <w:rFonts w:hint="eastAsia" w:ascii="仿宋" w:hAnsi="仿宋" w:eastAsia="仿宋" w:cs="仿宋"/>
          <w:color w:val="000000" w:themeColor="text1"/>
          <w:sz w:val="24"/>
          <w:szCs w:val="24"/>
          <w:highlight w:val="none"/>
          <w:lang w:eastAsia="zh-CN"/>
          <w14:textFill>
            <w14:solidFill>
              <w14:schemeClr w14:val="tx1"/>
            </w14:solidFill>
          </w14:textFill>
        </w:rPr>
        <w:t>，但不影响一方当事人在此以前的任何违约而损害另一方当事人应享有的权利，也不影响合同双方当事人履行本合同结算和清算条款的效力。</w:t>
      </w:r>
    </w:p>
    <w:p w14:paraId="7AAC8C4B">
      <w:pPr>
        <w:spacing w:line="360" w:lineRule="auto"/>
        <w:rPr>
          <w:rFonts w:ascii="仿宋" w:hAnsi="仿宋" w:eastAsia="仿宋"/>
          <w:b/>
          <w:bCs/>
          <w:color w:val="000000" w:themeColor="text1"/>
          <w:highlight w:val="none"/>
          <w:lang w:eastAsia="zh-CN"/>
          <w14:textFill>
            <w14:solidFill>
              <w14:schemeClr w14:val="tx1"/>
            </w14:solidFill>
          </w14:textFill>
        </w:rPr>
      </w:pPr>
      <w:bookmarkStart w:id="520" w:name="_Toc15914"/>
      <w:r>
        <w:rPr>
          <w:rFonts w:hint="eastAsia" w:ascii="仿宋" w:hAnsi="仿宋" w:eastAsia="仿宋" w:cs="仿宋"/>
          <w:b/>
          <w:bCs/>
          <w:color w:val="000000" w:themeColor="text1"/>
          <w:highlight w:val="none"/>
          <w:lang w:eastAsia="zh-CN"/>
          <w14:textFill>
            <w14:solidFill>
              <w14:schemeClr w14:val="tx1"/>
            </w14:solidFill>
          </w14:textFill>
        </w:rPr>
        <w:t>94</w:t>
      </w:r>
      <w:r>
        <w:rPr>
          <w:rFonts w:ascii="仿宋" w:hAnsi="仿宋" w:eastAsia="仿宋" w:cs="仿宋"/>
          <w:b/>
          <w:bCs/>
          <w:color w:val="000000" w:themeColor="text1"/>
          <w:highlight w:val="none"/>
          <w:lang w:eastAsia="zh-CN"/>
          <w14:textFill>
            <w14:solidFill>
              <w14:schemeClr w14:val="tx1"/>
            </w14:solidFill>
          </w14:textFill>
        </w:rPr>
        <w:t>.2</w:t>
      </w:r>
      <w:bookmarkEnd w:id="520"/>
    </w:p>
    <w:p w14:paraId="488F0106">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6B9C254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1104;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6B9C254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除第66条和第89条约定的质量保修条款外，合同双方当事人履行完本合同全部义务，发包人向承包人支付完竣工结算款，承包人向发包人交付竣工工程后，本合同即告终止。</w:t>
      </w:r>
    </w:p>
    <w:p w14:paraId="31270CB0">
      <w:pPr>
        <w:spacing w:line="360" w:lineRule="auto"/>
        <w:rPr>
          <w:rFonts w:ascii="仿宋" w:hAnsi="仿宋" w:eastAsia="仿宋"/>
          <w:b/>
          <w:bCs/>
          <w:color w:val="000000" w:themeColor="text1"/>
          <w:highlight w:val="none"/>
          <w:lang w:eastAsia="zh-CN"/>
          <w14:textFill>
            <w14:solidFill>
              <w14:schemeClr w14:val="tx1"/>
            </w14:solidFill>
          </w14:textFill>
        </w:rPr>
      </w:pPr>
      <w:bookmarkStart w:id="521" w:name="_Toc583"/>
      <w:r>
        <w:rPr>
          <w:rFonts w:hint="eastAsia" w:ascii="仿宋" w:hAnsi="仿宋" w:eastAsia="仿宋" w:cs="仿宋"/>
          <w:b/>
          <w:bCs/>
          <w:color w:val="000000" w:themeColor="text1"/>
          <w:highlight w:val="none"/>
          <w:lang w:eastAsia="zh-CN"/>
          <w14:textFill>
            <w14:solidFill>
              <w14:schemeClr w14:val="tx1"/>
            </w14:solidFill>
          </w14:textFill>
        </w:rPr>
        <w:t>94</w:t>
      </w:r>
      <w:r>
        <w:rPr>
          <w:rFonts w:ascii="仿宋" w:hAnsi="仿宋" w:eastAsia="仿宋" w:cs="仿宋"/>
          <w:b/>
          <w:bCs/>
          <w:color w:val="000000" w:themeColor="text1"/>
          <w:highlight w:val="none"/>
          <w:lang w:eastAsia="zh-CN"/>
          <w14:textFill>
            <w14:solidFill>
              <w14:schemeClr w14:val="tx1"/>
            </w14:solidFill>
          </w14:textFill>
        </w:rPr>
        <w:t>.3</w:t>
      </w:r>
      <w:bookmarkEnd w:id="521"/>
    </w:p>
    <w:p w14:paraId="421E76AE">
      <w:pPr>
        <w:pStyle w:val="40"/>
        <w:widowControl w:val="0"/>
        <w:adjustRightInd w:val="0"/>
        <w:snapToGrid w:val="0"/>
        <w:spacing w:line="360" w:lineRule="auto"/>
        <w:ind w:left="1850" w:leftChars="771"/>
        <w:jc w:val="both"/>
        <w:rPr>
          <w:rFonts w:ascii="仿宋" w:hAnsi="仿宋" w:eastAsia="仿宋"/>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5F95D1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2128;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5F95D1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000000" w:themeColor="text1"/>
          <w:sz w:val="24"/>
          <w:szCs w:val="24"/>
          <w:highlight w:val="none"/>
          <w:lang w:eastAsia="zh-CN"/>
          <w14:textFill>
            <w14:solidFill>
              <w14:schemeClr w14:val="tx1"/>
            </w14:solidFill>
          </w14:textFill>
        </w:rPr>
        <w:t>本合同的权利义务终止后，合同双方当事人仍应遵循诚实信用原则，继续履行合同约定的通知、协助、保密等义务。</w:t>
      </w:r>
    </w:p>
    <w:p w14:paraId="25BBDAA3">
      <w:pPr>
        <w:pStyle w:val="40"/>
        <w:adjustRightInd w:val="0"/>
        <w:snapToGrid w:val="0"/>
        <w:spacing w:line="480" w:lineRule="auto"/>
        <w:ind w:right="-238"/>
        <w:rPr>
          <w:rFonts w:ascii="仿宋" w:hAnsi="仿宋" w:eastAsia="仿宋" w:cs="仿宋"/>
          <w:color w:val="000000" w:themeColor="text1"/>
          <w:sz w:val="24"/>
          <w:szCs w:val="24"/>
          <w:highlight w:val="none"/>
          <w:u w:val="single"/>
          <w:lang w:eastAsia="zh-CN"/>
          <w14:textFill>
            <w14:solidFill>
              <w14:schemeClr w14:val="tx1"/>
            </w14:solidFill>
          </w14:textFill>
        </w:rPr>
      </w:pPr>
    </w:p>
    <w:p w14:paraId="32BF687F">
      <w:pPr>
        <w:pStyle w:val="40"/>
        <w:adjustRightInd w:val="0"/>
        <w:snapToGrid w:val="0"/>
        <w:spacing w:line="360" w:lineRule="auto"/>
        <w:jc w:val="center"/>
        <w:outlineLvl w:val="1"/>
        <w:rPr>
          <w:rFonts w:ascii="仿宋" w:hAnsi="仿宋" w:eastAsia="仿宋" w:cs="仿宋"/>
          <w:b/>
          <w:bCs/>
          <w:color w:val="000000" w:themeColor="text1"/>
          <w:sz w:val="24"/>
          <w:szCs w:val="24"/>
          <w:highlight w:val="none"/>
          <w:lang w:eastAsia="zh-CN"/>
          <w14:textFill>
            <w14:solidFill>
              <w14:schemeClr w14:val="tx1"/>
            </w14:solidFill>
          </w14:textFill>
        </w:rPr>
      </w:pPr>
      <w:bookmarkStart w:id="522" w:name="_Toc149731532"/>
      <w:bookmarkStart w:id="523" w:name="_Toc18853"/>
      <w:r>
        <w:rPr>
          <w:rFonts w:hint="eastAsia" w:ascii="仿宋" w:hAnsi="仿宋" w:eastAsia="仿宋" w:cs="仿宋"/>
          <w:b/>
          <w:bCs/>
          <w:color w:val="000000" w:themeColor="text1"/>
          <w:sz w:val="24"/>
          <w:szCs w:val="24"/>
          <w:highlight w:val="none"/>
          <w:lang w:eastAsia="zh-CN"/>
          <w14:textFill>
            <w14:solidFill>
              <w14:schemeClr w14:val="tx1"/>
            </w14:solidFill>
          </w14:textFill>
        </w:rPr>
        <w:t>九、违约</w:t>
      </w:r>
      <w:bookmarkEnd w:id="522"/>
      <w:bookmarkEnd w:id="523"/>
    </w:p>
    <w:p w14:paraId="74189C56">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24" w:name="_Toc149731533"/>
      <w:bookmarkStart w:id="525" w:name="_Toc14896"/>
      <w:r>
        <w:rPr>
          <w:rFonts w:hint="eastAsia" w:ascii="仿宋" w:hAnsi="仿宋" w:eastAsia="仿宋" w:cs="仿宋"/>
          <w:bCs w:val="0"/>
          <w:color w:val="000000" w:themeColor="text1"/>
          <w:sz w:val="24"/>
          <w:szCs w:val="24"/>
          <w:highlight w:val="none"/>
          <w:lang w:eastAsia="zh-CN"/>
          <w14:textFill>
            <w14:solidFill>
              <w14:schemeClr w14:val="tx1"/>
            </w14:solidFill>
          </w14:textFill>
        </w:rPr>
        <w:t>★95承包人违约</w:t>
      </w:r>
      <w:bookmarkEnd w:id="524"/>
      <w:bookmarkEnd w:id="525"/>
    </w:p>
    <w:p w14:paraId="6F328507">
      <w:pPr>
        <w:rPr>
          <w:rFonts w:ascii="仿宋" w:hAnsi="仿宋" w:eastAsia="仿宋" w:cs="仿宋"/>
          <w:b/>
          <w:bCs/>
          <w:color w:val="000000" w:themeColor="text1"/>
          <w:highlight w:val="none"/>
          <w:lang w:eastAsia="zh-CN"/>
          <w14:textFill>
            <w14:solidFill>
              <w14:schemeClr w14:val="tx1"/>
            </w14:solidFill>
          </w14:textFill>
        </w:rPr>
      </w:pPr>
      <w:bookmarkStart w:id="526" w:name="_Toc20371"/>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745D878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3392;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745D878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95</w:t>
      </w:r>
      <w:r>
        <w:rPr>
          <w:rFonts w:ascii="仿宋" w:hAnsi="仿宋" w:eastAsia="仿宋" w:cs="仿宋"/>
          <w:b/>
          <w:bCs/>
          <w:color w:val="000000" w:themeColor="text1"/>
          <w:highlight w:val="none"/>
          <w:lang w:eastAsia="zh-CN"/>
          <w14:textFill>
            <w14:solidFill>
              <w14:schemeClr w14:val="tx1"/>
            </w14:solidFill>
          </w14:textFill>
        </w:rPr>
        <w:t>.1</w:t>
      </w:r>
      <w:bookmarkEnd w:id="526"/>
    </w:p>
    <w:p w14:paraId="00264C11">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在合同履行过程中发生的下列情形，属于承包人违约：</w:t>
      </w:r>
    </w:p>
    <w:p w14:paraId="5840D8A7">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承包人的设计、承包人文件、实施和竣工的工程不符合法律以及合同约定；</w:t>
      </w:r>
    </w:p>
    <w:p w14:paraId="4AC46C84">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ab/>
      </w:r>
      <w:r>
        <w:rPr>
          <w:rFonts w:hint="eastAsia" w:ascii="仿宋" w:hAnsi="仿宋" w:eastAsia="仿宋" w:cs="仿宋"/>
          <w:color w:val="000000" w:themeColor="text1"/>
          <w:highlight w:val="none"/>
          <w:lang w:eastAsia="zh-CN"/>
          <w14:textFill>
            <w14:solidFill>
              <w14:schemeClr w14:val="tx1"/>
            </w14:solidFill>
          </w14:textFill>
        </w:rPr>
        <w:t>承包人违反合同约定进行转包或违法分包的；</w:t>
      </w:r>
    </w:p>
    <w:p w14:paraId="6C83D0C1">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承包人违反约定采购和使用不合格工程材料或工程设备；</w:t>
      </w:r>
    </w:p>
    <w:p w14:paraId="17EC5CEC">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因承包人原因导致工程质量不符合合同约定的；</w:t>
      </w:r>
    </w:p>
    <w:p w14:paraId="61B59749">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承包人未经工程师批准，擅自将已按合同约定进入施工现场的施工设备、临时设施、工程材料、工程设备撤离施工现场；</w:t>
      </w:r>
    </w:p>
    <w:p w14:paraId="0E79A549">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承包人未能按项目进度计划及时完成合同约定的工作，造成工期延误；</w:t>
      </w:r>
    </w:p>
    <w:p w14:paraId="6BC6AC38">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由于承包人原因未能通过竣工试验或竣工后试验的；</w:t>
      </w:r>
    </w:p>
    <w:p w14:paraId="3FC9E438">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承包人在缺陷责任期及保修期内，未能在合理期限对工程缺陷进行修复，或拒绝按发包人指示进行修复的；</w:t>
      </w:r>
    </w:p>
    <w:p w14:paraId="3F450632">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承包人明确表示或者以其行为表明不履行合同主要义务的；</w:t>
      </w:r>
    </w:p>
    <w:p w14:paraId="560B7B70">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承包人未能按照合同约定履行其他义务的。</w:t>
      </w:r>
    </w:p>
    <w:p w14:paraId="118B5846">
      <w:p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95</w:t>
      </w:r>
      <w:r>
        <w:rPr>
          <w:rFonts w:ascii="仿宋" w:hAnsi="仿宋" w:eastAsia="仿宋" w:cs="仿宋"/>
          <w:b/>
          <w:bCs/>
          <w:color w:val="000000" w:themeColor="text1"/>
          <w:highlight w:val="none"/>
          <w:lang w:eastAsia="zh-CN"/>
          <w14:textFill>
            <w14:solidFill>
              <w14:schemeClr w14:val="tx1"/>
            </w14:solidFill>
          </w14:textFill>
        </w:rPr>
        <w:t xml:space="preserve">.2  </w:t>
      </w:r>
    </w:p>
    <w:p w14:paraId="29C62E14">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仿宋"/>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0982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61394F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0982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61394F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承包人发生除第95.1款第（7）目、第（9）目约定以外的其他违约情况时，设计顾问人、监理人和造价咨询人可向承包人发出整改通知，要求其在指定的期限内改正。</w:t>
      </w:r>
    </w:p>
    <w:p w14:paraId="32E27508">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rFonts w:ascii="仿宋" w:hAnsi="仿宋" w:eastAsia="仿宋" w:cs="仿宋"/>
          <w:b/>
          <w:bCs/>
          <w:color w:val="000000" w:themeColor="text1"/>
          <w:highlight w:val="none"/>
          <w:u w:val="dotted"/>
          <w:lang w:eastAsia="zh-CN" w:bidi="ar-SA"/>
          <w14:textFill>
            <w14:solidFill>
              <w14:schemeClr w14:val="tx1"/>
            </w14:solidFill>
          </w14:textFill>
        </w:rPr>
        <mc:AlternateContent>
          <mc:Choice Requires="wps">
            <w:drawing>
              <wp:anchor distT="0" distB="0" distL="114300" distR="114300" simplePos="0" relativeHeight="25211084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1BC76646">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4BAB5D53">
                            <w:pPr>
                              <w:spacing w:line="240" w:lineRule="exact"/>
                              <w:rPr>
                                <w:rFonts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084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1BC76646">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4BAB5D53">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95</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3</w:t>
      </w:r>
    </w:p>
    <w:p w14:paraId="34B07D7D">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bidi="ar-SA"/>
          <w14:textFill>
            <w14:solidFill>
              <w14:schemeClr w14:val="tx1"/>
            </w14:solidFill>
          </w14:textFill>
        </w:rPr>
        <w:t>承包人应承担因其违约行为而增加的费用和（或）延误的工期。此外，合同当事人可在合同专用条款中另行约定承包人违约责任的承担方式和计算方法。</w:t>
      </w:r>
    </w:p>
    <w:p w14:paraId="71CAE61F">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527" w:name="_Toc8891"/>
      <w:r>
        <w:rPr>
          <w:rFonts w:hint="eastAsia" w:ascii="仿宋" w:hAnsi="仿宋" w:eastAsia="仿宋" w:cs="仿宋"/>
          <w:b/>
          <w:bCs/>
          <w:color w:val="000000" w:themeColor="text1"/>
          <w:highlight w:val="none"/>
          <w:lang w:eastAsia="zh-CN"/>
          <w14:textFill>
            <w14:solidFill>
              <w14:schemeClr w14:val="tx1"/>
            </w14:solidFill>
          </w14:textFill>
        </w:rPr>
        <w:t>95</w:t>
      </w:r>
      <w:r>
        <w:rPr>
          <w:rFonts w:ascii="仿宋" w:hAnsi="仿宋" w:eastAsia="仿宋" w:cs="仿宋"/>
          <w:b/>
          <w:bCs/>
          <w:color w:val="000000" w:themeColor="text1"/>
          <w:highlight w:val="none"/>
          <w:lang w:eastAsia="zh-CN"/>
          <w14:textFill>
            <w14:solidFill>
              <w14:schemeClr w14:val="tx1"/>
            </w14:solidFill>
          </w14:textFill>
        </w:rPr>
        <w:t>.</w:t>
      </w:r>
      <w:bookmarkEnd w:id="527"/>
      <w:r>
        <w:rPr>
          <w:rFonts w:hint="eastAsia" w:ascii="仿宋" w:hAnsi="仿宋" w:eastAsia="仿宋" w:cs="仿宋"/>
          <w:b/>
          <w:bCs/>
          <w:color w:val="000000" w:themeColor="text1"/>
          <w:highlight w:val="none"/>
          <w:lang w:eastAsia="zh-CN"/>
          <w14:textFill>
            <w14:solidFill>
              <w14:schemeClr w14:val="tx1"/>
            </w14:solidFill>
          </w14:textFill>
        </w:rPr>
        <w:t>4</w:t>
      </w:r>
    </w:p>
    <w:p w14:paraId="0FEB1891">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077E28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DE9E875">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8864;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077E28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DE9E875">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491A3C54">
      <w:pPr>
        <w:pStyle w:val="40"/>
        <w:adjustRightInd w:val="0"/>
        <w:snapToGrid w:val="0"/>
        <w:spacing w:line="360" w:lineRule="auto"/>
        <w:ind w:right="-238"/>
        <w:rPr>
          <w:rFonts w:ascii="仿宋" w:hAnsi="仿宋" w:eastAsia="仿宋"/>
          <w:color w:val="000000" w:themeColor="text1"/>
          <w:highlight w:val="none"/>
          <w:lang w:eastAsia="zh-CN"/>
          <w14:textFill>
            <w14:solidFill>
              <w14:schemeClr w14:val="tx1"/>
            </w14:solidFill>
          </w14:textFill>
        </w:rPr>
      </w:pPr>
    </w:p>
    <w:p w14:paraId="0E895190">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28" w:name="_Toc24311"/>
      <w:bookmarkStart w:id="529" w:name="_Toc149731534"/>
      <w:bookmarkStart w:id="530" w:name="_Toc489260630"/>
      <w:r>
        <w:rPr>
          <w:rFonts w:hint="eastAsia" w:ascii="仿宋" w:hAnsi="仿宋" w:eastAsia="仿宋" w:cs="仿宋"/>
          <w:bCs w:val="0"/>
          <w:color w:val="000000" w:themeColor="text1"/>
          <w:sz w:val="24"/>
          <w:szCs w:val="24"/>
          <w:highlight w:val="none"/>
          <w:lang w:eastAsia="zh-CN"/>
          <w14:textFill>
            <w14:solidFill>
              <w14:schemeClr w14:val="tx1"/>
            </w14:solidFill>
          </w14:textFill>
        </w:rPr>
        <w:t>★96 发包人违约</w:t>
      </w:r>
      <w:bookmarkEnd w:id="528"/>
      <w:bookmarkEnd w:id="529"/>
      <w:bookmarkEnd w:id="530"/>
    </w:p>
    <w:p w14:paraId="450ABC22">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28F5AD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69888;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28F5AD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96</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7E02E61">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除合同专用条款另有约定外，在合同履行过程中发生的下列情形，属于发包人违约：</w:t>
      </w:r>
    </w:p>
    <w:p w14:paraId="7E602AC2">
      <w:pPr>
        <w:widowControl w:val="0"/>
        <w:numPr>
          <w:ilvl w:val="1"/>
          <w:numId w:val="3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因发包人原因导致开始工作日期延误的； </w:t>
      </w:r>
    </w:p>
    <w:p w14:paraId="4A55476B">
      <w:pPr>
        <w:widowControl w:val="0"/>
        <w:numPr>
          <w:ilvl w:val="1"/>
          <w:numId w:val="3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因发包人原因未能按合同约定支付合同价款的；</w:t>
      </w:r>
    </w:p>
    <w:p w14:paraId="44A19FEC">
      <w:pPr>
        <w:widowControl w:val="0"/>
        <w:numPr>
          <w:ilvl w:val="1"/>
          <w:numId w:val="3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发包人违反第13.1.1项约定，自行实施被取消的工作或转由他人实施的；</w:t>
      </w:r>
    </w:p>
    <w:p w14:paraId="07810897">
      <w:pPr>
        <w:widowControl w:val="0"/>
        <w:numPr>
          <w:ilvl w:val="1"/>
          <w:numId w:val="3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ab/>
      </w:r>
      <w:r>
        <w:rPr>
          <w:rFonts w:hint="eastAsia" w:ascii="仿宋" w:hAnsi="仿宋" w:eastAsia="仿宋" w:cs="仿宋"/>
          <w:color w:val="000000" w:themeColor="text1"/>
          <w:highlight w:val="none"/>
          <w:lang w:eastAsia="zh-CN"/>
          <w14:textFill>
            <w14:solidFill>
              <w14:schemeClr w14:val="tx1"/>
            </w14:solidFill>
          </w14:textFill>
        </w:rPr>
        <w:t>因发包人违反合同约定造成工程暂停施工的；</w:t>
      </w:r>
    </w:p>
    <w:p w14:paraId="7C3332E3">
      <w:pPr>
        <w:widowControl w:val="0"/>
        <w:numPr>
          <w:ilvl w:val="1"/>
          <w:numId w:val="3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监理人无正当理由没有在约定期限内发出复工指示，导致承包人无法复工的；</w:t>
      </w:r>
    </w:p>
    <w:p w14:paraId="53342AD8">
      <w:pPr>
        <w:widowControl w:val="0"/>
        <w:numPr>
          <w:ilvl w:val="1"/>
          <w:numId w:val="30"/>
        </w:numPr>
        <w:tabs>
          <w:tab w:val="clear" w:pos="3285"/>
        </w:tabs>
        <w:spacing w:line="360" w:lineRule="auto"/>
        <w:ind w:left="1850" w:leftChars="771" w:firstLine="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发包人明确表示或者以其行为表明不履行合同主要义务的；</w:t>
      </w:r>
    </w:p>
    <w:p w14:paraId="135C8E64">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ab/>
      </w:r>
      <w:r>
        <w:rPr>
          <w:rFonts w:hint="eastAsia" w:ascii="仿宋" w:hAnsi="仿宋" w:eastAsia="仿宋" w:cs="仿宋"/>
          <w:color w:val="000000" w:themeColor="text1"/>
          <w:highlight w:val="none"/>
          <w:lang w:eastAsia="zh-CN"/>
          <w14:textFill>
            <w14:solidFill>
              <w14:schemeClr w14:val="tx1"/>
            </w14:solidFill>
          </w14:textFill>
        </w:rPr>
        <w:t>发包人未能按照合同约定履行其他义务的。</w:t>
      </w:r>
    </w:p>
    <w:p w14:paraId="60CF57B6">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531" w:name="_Toc15582"/>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0E422D3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0912;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0E422D3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96</w:t>
      </w:r>
      <w:r>
        <w:rPr>
          <w:rFonts w:ascii="仿宋" w:hAnsi="仿宋" w:eastAsia="仿宋" w:cs="仿宋"/>
          <w:b/>
          <w:bCs/>
          <w:color w:val="000000" w:themeColor="text1"/>
          <w:highlight w:val="none"/>
          <w:lang w:eastAsia="zh-CN"/>
          <w14:textFill>
            <w14:solidFill>
              <w14:schemeClr w14:val="tx1"/>
            </w14:solidFill>
          </w14:textFill>
        </w:rPr>
        <w:t>.2</w:t>
      </w:r>
      <w:bookmarkEnd w:id="531"/>
    </w:p>
    <w:p w14:paraId="0D64C29A">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6D8A4D7B">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36A9D4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1872;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36A9D4B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96</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3</w:t>
      </w:r>
    </w:p>
    <w:p w14:paraId="6DCB6915">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发包人应承担因其违约给承包人增加的费用和（或）延误的工期，并支付承包人合理的利润。此外，合同当事人可在合同专用条款中另行约定发包人违约责任的承担方式和计算方法。</w:t>
      </w:r>
    </w:p>
    <w:p w14:paraId="2F8B3F25">
      <w:pPr>
        <w:pStyle w:val="40"/>
        <w:adjustRightInd w:val="0"/>
        <w:snapToGrid w:val="0"/>
        <w:spacing w:line="360" w:lineRule="auto"/>
        <w:ind w:right="-238"/>
        <w:rPr>
          <w:rFonts w:ascii="仿宋" w:hAnsi="仿宋" w:eastAsia="仿宋"/>
          <w:color w:val="000000" w:themeColor="text1"/>
          <w:highlight w:val="none"/>
          <w:lang w:eastAsia="zh-CN"/>
          <w14:textFill>
            <w14:solidFill>
              <w14:schemeClr w14:val="tx1"/>
            </w14:solidFill>
          </w14:textFill>
        </w:rPr>
      </w:pPr>
    </w:p>
    <w:p w14:paraId="0C02334E">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32" w:name="_Toc489260631"/>
      <w:bookmarkStart w:id="533" w:name="_Toc10270"/>
      <w:bookmarkStart w:id="534" w:name="_Toc149731535"/>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ascii="仿宋" w:hAnsi="仿宋" w:eastAsia="仿宋" w:cs="仿宋"/>
          <w:bCs w:val="0"/>
          <w:color w:val="000000" w:themeColor="text1"/>
          <w:sz w:val="24"/>
          <w:szCs w:val="24"/>
          <w:highlight w:val="none"/>
          <w:lang w:eastAsia="zh-CN"/>
          <w14:textFill>
            <w14:solidFill>
              <w14:schemeClr w14:val="tx1"/>
            </w14:solidFill>
          </w14:textFill>
        </w:rPr>
        <w:t>9</w:t>
      </w:r>
      <w:r>
        <w:rPr>
          <w:rFonts w:hint="eastAsia" w:ascii="仿宋" w:hAnsi="仿宋" w:eastAsia="仿宋" w:cs="仿宋"/>
          <w:bCs w:val="0"/>
          <w:color w:val="000000" w:themeColor="text1"/>
          <w:sz w:val="24"/>
          <w:szCs w:val="24"/>
          <w:highlight w:val="none"/>
          <w:lang w:eastAsia="zh-CN"/>
          <w14:textFill>
            <w14:solidFill>
              <w14:schemeClr w14:val="tx1"/>
            </w14:solidFill>
          </w14:textFill>
        </w:rPr>
        <w:t>7第三方违约与除外责任</w:t>
      </w:r>
      <w:bookmarkEnd w:id="532"/>
      <w:bookmarkEnd w:id="533"/>
      <w:bookmarkEnd w:id="534"/>
    </w:p>
    <w:p w14:paraId="4B76E80A">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6C44BA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2896;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6C44BA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000000" w:themeColor="text1"/>
          <w:highlight w:val="none"/>
          <w:lang w:eastAsia="zh-CN"/>
          <w14:textFill>
            <w14:solidFill>
              <w14:schemeClr w14:val="tx1"/>
            </w14:solidFill>
          </w14:textFill>
        </w:rPr>
        <w:t>97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1</w:t>
      </w:r>
    </w:p>
    <w:p w14:paraId="2BB0A405">
      <w:pPr>
        <w:widowControl w:val="0"/>
        <w:adjustRightInd w:val="0"/>
        <w:snapToGrid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在履行合同过程中，一方当事人因第三人的原因造成违约的，应当向对方当事人承担违约责任。一方当事人和第三人之间的纠纷，依照法律规定或者按照约定解决。</w:t>
      </w:r>
    </w:p>
    <w:p w14:paraId="32912C3C">
      <w:pPr>
        <w:spacing w:line="360" w:lineRule="auto"/>
        <w:rPr>
          <w:color w:val="000000" w:themeColor="text1"/>
          <w:highlight w:val="none"/>
          <w:lang w:eastAsia="zh-CN" w:bidi="ar-SA"/>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97</w:t>
      </w:r>
      <w:r>
        <w:rPr>
          <w:rFonts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b/>
          <w:bCs/>
          <w:color w:val="000000" w:themeColor="text1"/>
          <w:highlight w:val="none"/>
          <w:lang w:eastAsia="zh-CN"/>
          <w14:textFill>
            <w14:solidFill>
              <w14:schemeClr w14:val="tx1"/>
            </w14:solidFill>
          </w14:textFill>
        </w:rPr>
        <w:t>2</w:t>
      </w:r>
    </w:p>
    <w:p w14:paraId="065ABA2A">
      <w:pPr>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6D2EE4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4416;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6D2EE48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非承包人的原因，且承包人无过错，而产生的各类损失，承包人不承担赔偿责任。</w:t>
      </w:r>
    </w:p>
    <w:p w14:paraId="61A491DB">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因不可抗力导致本合同全部或部分不能履行时，双方各自承担损失。</w:t>
      </w:r>
    </w:p>
    <w:p w14:paraId="017C6C08">
      <w:pPr>
        <w:pStyle w:val="40"/>
        <w:adjustRightInd w:val="0"/>
        <w:snapToGrid w:val="0"/>
        <w:spacing w:line="360" w:lineRule="auto"/>
        <w:ind w:right="-238"/>
        <w:rPr>
          <w:rFonts w:ascii="仿宋" w:hAnsi="仿宋" w:eastAsia="仿宋"/>
          <w:color w:val="000000" w:themeColor="text1"/>
          <w:sz w:val="24"/>
          <w:szCs w:val="24"/>
          <w:highlight w:val="none"/>
          <w:u w:val="single"/>
          <w:lang w:eastAsia="zh-CN"/>
          <w14:textFill>
            <w14:solidFill>
              <w14:schemeClr w14:val="tx1"/>
            </w14:solidFill>
          </w14:textFill>
        </w:rPr>
      </w:pPr>
    </w:p>
    <w:p w14:paraId="1D4930D8">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35" w:name="_Toc5672"/>
      <w:bookmarkStart w:id="536" w:name="_Toc149731536"/>
      <w:bookmarkStart w:id="537" w:name="_Toc469384074"/>
      <w:r>
        <w:rPr>
          <w:rFonts w:ascii="仿宋" w:hAnsi="仿宋" w:eastAsia="仿宋" w:cs="仿宋"/>
          <w:bCs w:val="0"/>
          <w:color w:val="000000" w:themeColor="text1"/>
          <w:sz w:val="24"/>
          <w:szCs w:val="24"/>
          <w:highlight w:val="none"/>
          <w:lang w:eastAsia="zh-CN"/>
          <w14:textFill>
            <w14:solidFill>
              <w14:schemeClr w14:val="tx1"/>
            </w14:solidFill>
          </w14:textFill>
        </w:rPr>
        <w:t>9</w:t>
      </w:r>
      <w:r>
        <w:rPr>
          <w:rFonts w:hint="eastAsia" w:ascii="仿宋" w:hAnsi="仿宋" w:eastAsia="仿宋" w:cs="仿宋"/>
          <w:bCs w:val="0"/>
          <w:color w:val="000000" w:themeColor="text1"/>
          <w:sz w:val="24"/>
          <w:szCs w:val="24"/>
          <w:highlight w:val="none"/>
          <w:lang w:eastAsia="zh-CN"/>
          <w14:textFill>
            <w14:solidFill>
              <w14:schemeClr w14:val="tx1"/>
            </w14:solidFill>
          </w14:textFill>
        </w:rPr>
        <w:t>8缴纳税费</w:t>
      </w:r>
      <w:bookmarkEnd w:id="535"/>
      <w:bookmarkEnd w:id="536"/>
    </w:p>
    <w:p w14:paraId="1BE3A251">
      <w:pPr>
        <w:pStyle w:val="40"/>
        <w:tabs>
          <w:tab w:val="left" w:pos="1320"/>
        </w:tabs>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9</w:t>
      </w:r>
      <w:r>
        <w:rPr>
          <w:rFonts w:hint="eastAsia" w:ascii="仿宋" w:hAnsi="仿宋" w:eastAsia="仿宋" w:cs="仿宋"/>
          <w:b/>
          <w:bCs/>
          <w:color w:val="000000" w:themeColor="text1"/>
          <w:sz w:val="24"/>
          <w:szCs w:val="24"/>
          <w:highlight w:val="none"/>
          <w:lang w:eastAsia="zh-CN"/>
          <w14:textFill>
            <w14:solidFill>
              <w14:schemeClr w14:val="tx1"/>
            </w14:solidFill>
          </w14:textFill>
        </w:rPr>
        <w:t>8</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06D6C63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w:t>
      </w: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7284308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801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7284308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应按照国家现行税法和有关部门现行规定缴纳合同工程需缴的一切税费。</w:t>
      </w:r>
    </w:p>
    <w:p w14:paraId="787F2ACB">
      <w:pPr>
        <w:spacing w:line="360" w:lineRule="auto"/>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t>9</w:t>
      </w:r>
      <w:r>
        <w:rPr>
          <w:rFonts w:hint="eastAsia" w:ascii="仿宋" w:hAnsi="仿宋" w:eastAsia="仿宋" w:cs="仿宋"/>
          <w:b/>
          <w:bCs/>
          <w:color w:val="000000" w:themeColor="text1"/>
          <w:highlight w:val="none"/>
          <w:lang w:eastAsia="zh-CN"/>
          <w14:textFill>
            <w14:solidFill>
              <w14:schemeClr w14:val="tx1"/>
            </w14:solidFill>
          </w14:textFill>
        </w:rPr>
        <w:t>8</w:t>
      </w:r>
      <w:r>
        <w:rPr>
          <w:rFonts w:ascii="仿宋" w:hAnsi="仿宋" w:eastAsia="仿宋" w:cs="仿宋"/>
          <w:b/>
          <w:bCs/>
          <w:color w:val="000000" w:themeColor="text1"/>
          <w:highlight w:val="none"/>
          <w:lang w:eastAsia="zh-CN"/>
          <w14:textFill>
            <w14:solidFill>
              <w14:schemeClr w14:val="tx1"/>
            </w14:solidFill>
          </w14:textFill>
        </w:rPr>
        <w:t xml:space="preserve">.2  </w:t>
      </w:r>
    </w:p>
    <w:p w14:paraId="4199AB2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2F64CF6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1904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2F64CF6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合同任何一方当事人没交或少交合同工程需缴税费的，违法方应足额补交，并承担相应的法律责任；给另一方当事人造成损失的，违法方应赔偿损失。</w:t>
      </w:r>
    </w:p>
    <w:p w14:paraId="3F4749D6">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2CE874B4">
      <w:pPr>
        <w:pStyle w:val="40"/>
        <w:adjustRightInd w:val="0"/>
        <w:snapToGrid w:val="0"/>
        <w:spacing w:line="360" w:lineRule="auto"/>
        <w:jc w:val="center"/>
        <w:outlineLvl w:val="1"/>
        <w:rPr>
          <w:rFonts w:ascii="仿宋" w:hAnsi="仿宋" w:eastAsia="仿宋"/>
          <w:b/>
          <w:bCs/>
          <w:color w:val="000000" w:themeColor="text1"/>
          <w:sz w:val="24"/>
          <w:szCs w:val="24"/>
          <w:highlight w:val="none"/>
          <w:lang w:eastAsia="zh-CN"/>
          <w14:textFill>
            <w14:solidFill>
              <w14:schemeClr w14:val="tx1"/>
            </w14:solidFill>
          </w14:textFill>
        </w:rPr>
      </w:pPr>
      <w:bookmarkStart w:id="538" w:name="_Toc149731537"/>
      <w:bookmarkStart w:id="539" w:name="_Toc24511"/>
      <w:r>
        <w:rPr>
          <w:rFonts w:hint="eastAsia" w:ascii="仿宋" w:hAnsi="仿宋" w:eastAsia="仿宋" w:cs="仿宋"/>
          <w:b/>
          <w:bCs/>
          <w:color w:val="000000" w:themeColor="text1"/>
          <w:sz w:val="24"/>
          <w:szCs w:val="24"/>
          <w:highlight w:val="none"/>
          <w:lang w:eastAsia="zh-CN"/>
          <w14:textFill>
            <w14:solidFill>
              <w14:schemeClr w14:val="tx1"/>
            </w14:solidFill>
          </w14:textFill>
        </w:rPr>
        <w:t>十、其他</w:t>
      </w:r>
      <w:bookmarkEnd w:id="537"/>
      <w:bookmarkEnd w:id="538"/>
      <w:bookmarkEnd w:id="539"/>
    </w:p>
    <w:p w14:paraId="6CD1EEAF">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40" w:name="_Toc469384076"/>
      <w:bookmarkStart w:id="541" w:name="_Toc149731538"/>
      <w:bookmarkStart w:id="542" w:name="_Toc14153"/>
      <w:r>
        <w:rPr>
          <w:rFonts w:hint="eastAsia" w:ascii="仿宋" w:hAnsi="仿宋" w:eastAsia="仿宋" w:cs="仿宋"/>
          <w:bCs w:val="0"/>
          <w:color w:val="000000" w:themeColor="text1"/>
          <w:sz w:val="24"/>
          <w:szCs w:val="24"/>
          <w:highlight w:val="none"/>
          <w:lang w:eastAsia="zh-CN"/>
          <w14:textFill>
            <w14:solidFill>
              <w14:schemeClr w14:val="tx1"/>
            </w14:solidFill>
          </w14:textFill>
        </w:rPr>
        <w:t>99保密要求</w:t>
      </w:r>
      <w:bookmarkEnd w:id="540"/>
      <w:bookmarkEnd w:id="541"/>
      <w:bookmarkEnd w:id="542"/>
    </w:p>
    <w:p w14:paraId="4CBEB2D9">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99</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4AE011A9">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68A955B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3152;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68A955B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合同双方当事人应在合同专用条款约定期限内提供保密信息。自收到对方当事人提供的保密信息之日起，应履行保密义务。合同双方当事人履行保密义务，并不因本合同终止而结束。</w:t>
      </w:r>
    </w:p>
    <w:p w14:paraId="111270A4">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543" w:name="_Toc3105"/>
      <w:r>
        <w:rPr>
          <w:rFonts w:hint="eastAsia" w:ascii="仿宋" w:hAnsi="仿宋" w:eastAsia="仿宋" w:cs="仿宋"/>
          <w:b/>
          <w:bCs/>
          <w:color w:val="000000" w:themeColor="text1"/>
          <w:highlight w:val="none"/>
          <w:lang w:eastAsia="zh-CN"/>
          <w14:textFill>
            <w14:solidFill>
              <w14:schemeClr w14:val="tx1"/>
            </w14:solidFill>
          </w14:textFill>
        </w:rPr>
        <w:t>99</w:t>
      </w:r>
      <w:r>
        <w:rPr>
          <w:rFonts w:ascii="仿宋" w:hAnsi="仿宋" w:eastAsia="仿宋" w:cs="仿宋"/>
          <w:b/>
          <w:bCs/>
          <w:color w:val="000000" w:themeColor="text1"/>
          <w:highlight w:val="none"/>
          <w:lang w:eastAsia="zh-CN"/>
          <w14:textFill>
            <w14:solidFill>
              <w14:schemeClr w14:val="tx1"/>
            </w14:solidFill>
          </w14:textFill>
        </w:rPr>
        <w:t>.2</w:t>
      </w:r>
      <w:bookmarkEnd w:id="543"/>
    </w:p>
    <w:p w14:paraId="0B77FACE">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418B5E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4176;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418B5E4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4DD5F4B">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0771341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5200;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0771341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99</w:t>
      </w:r>
      <w:r>
        <w:rPr>
          <w:rFonts w:ascii="仿宋" w:hAnsi="仿宋" w:eastAsia="仿宋" w:cs="仿宋"/>
          <w:b/>
          <w:bCs/>
          <w:color w:val="000000" w:themeColor="text1"/>
          <w:sz w:val="24"/>
          <w:szCs w:val="24"/>
          <w:highlight w:val="none"/>
          <w:lang w:eastAsia="zh-CN"/>
          <w14:textFill>
            <w14:solidFill>
              <w14:schemeClr w14:val="tx1"/>
            </w14:solidFill>
          </w14:textFill>
        </w:rPr>
        <w:t xml:space="preserve">.3  </w:t>
      </w:r>
    </w:p>
    <w:p w14:paraId="0B9D8B67">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5F9A903">
      <w:pPr>
        <w:spacing w:line="360" w:lineRule="auto"/>
        <w:rPr>
          <w:rFonts w:ascii="仿宋" w:hAnsi="仿宋" w:eastAsia="仿宋"/>
          <w:b/>
          <w:bCs/>
          <w:color w:val="000000" w:themeColor="text1"/>
          <w:highlight w:val="none"/>
          <w:lang w:eastAsia="zh-CN"/>
          <w14:textFill>
            <w14:solidFill>
              <w14:schemeClr w14:val="tx1"/>
            </w14:solidFill>
          </w14:textFill>
        </w:rPr>
      </w:pPr>
      <w:bookmarkStart w:id="544" w:name="_Toc7344"/>
      <w:r>
        <w:rPr>
          <w:rFonts w:hint="eastAsia" w:ascii="仿宋" w:hAnsi="仿宋" w:eastAsia="仿宋" w:cs="仿宋"/>
          <w:b/>
          <w:bCs/>
          <w:color w:val="000000" w:themeColor="text1"/>
          <w:highlight w:val="none"/>
          <w:lang w:eastAsia="zh-CN"/>
          <w14:textFill>
            <w14:solidFill>
              <w14:schemeClr w14:val="tx1"/>
            </w14:solidFill>
          </w14:textFill>
        </w:rPr>
        <w:t>99</w:t>
      </w:r>
      <w:r>
        <w:rPr>
          <w:rFonts w:ascii="仿宋" w:hAnsi="仿宋" w:eastAsia="仿宋" w:cs="仿宋"/>
          <w:b/>
          <w:bCs/>
          <w:color w:val="000000" w:themeColor="text1"/>
          <w:highlight w:val="none"/>
          <w:lang w:eastAsia="zh-CN"/>
          <w14:textFill>
            <w14:solidFill>
              <w14:schemeClr w14:val="tx1"/>
            </w14:solidFill>
          </w14:textFill>
        </w:rPr>
        <w:t>.4</w:t>
      </w:r>
      <w:bookmarkEnd w:id="544"/>
    </w:p>
    <w:p w14:paraId="45D5B394">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1DF91C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6224;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1DF91C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3257064A">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99</w:t>
      </w:r>
      <w:r>
        <w:rPr>
          <w:rFonts w:ascii="仿宋" w:hAnsi="仿宋" w:eastAsia="仿宋" w:cs="仿宋"/>
          <w:b/>
          <w:bCs/>
          <w:color w:val="000000" w:themeColor="text1"/>
          <w:sz w:val="24"/>
          <w:szCs w:val="24"/>
          <w:highlight w:val="none"/>
          <w:lang w:eastAsia="zh-CN"/>
          <w14:textFill>
            <w14:solidFill>
              <w14:schemeClr w14:val="tx1"/>
            </w14:solidFill>
          </w14:textFill>
        </w:rPr>
        <w:t xml:space="preserve">.5  </w:t>
      </w:r>
    </w:p>
    <w:p w14:paraId="4F991056">
      <w:pPr>
        <w:widowControl w:val="0"/>
        <w:adjustRightInd w:val="0"/>
        <w:snapToGrid w:val="0"/>
        <w:spacing w:line="360" w:lineRule="auto"/>
        <w:ind w:left="1850" w:leftChars="771"/>
        <w:jc w:val="both"/>
        <w:rPr>
          <w:rFonts w:ascii="仿宋" w:hAnsi="仿宋" w:eastAsia="仿宋"/>
          <w:color w:val="000000" w:themeColor="text1"/>
          <w:highlight w:val="none"/>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77BDDA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7248;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77BDDA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保密信息应由提供方以书面形式说明保密程度；以口头形式提供的，则提供方应在提供后</w:t>
      </w:r>
      <w:r>
        <w:rPr>
          <w:rFonts w:ascii="仿宋" w:hAnsi="仿宋" w:eastAsia="仿宋" w:cs="仿宋"/>
          <w:color w:val="000000" w:themeColor="text1"/>
          <w:highlight w:val="none"/>
          <w:lang w:eastAsia="zh-CN"/>
          <w14:textFill>
            <w14:solidFill>
              <w14:schemeClr w14:val="tx1"/>
            </w14:solidFill>
          </w14:textFill>
        </w:rPr>
        <w:t>28</w:t>
      </w:r>
      <w:r>
        <w:rPr>
          <w:rFonts w:hint="eastAsia" w:ascii="仿宋" w:hAnsi="仿宋" w:eastAsia="仿宋" w:cs="仿宋"/>
          <w:color w:val="000000" w:themeColor="text1"/>
          <w:highlight w:val="none"/>
          <w:lang w:eastAsia="zh-CN"/>
          <w14:textFill>
            <w14:solidFill>
              <w14:schemeClr w14:val="tx1"/>
            </w14:solidFill>
          </w14:textFill>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000000" w:themeColor="text1"/>
          <w:highlight w:val="none"/>
          <w14:textFill>
            <w14:solidFill>
              <w14:schemeClr w14:val="tx1"/>
            </w14:solidFill>
          </w14:textFill>
        </w:rPr>
        <w:t>但不包括下述信息：</w:t>
      </w:r>
    </w:p>
    <w:p w14:paraId="3E1489B6">
      <w:pPr>
        <w:pStyle w:val="40"/>
        <w:widowControl w:val="0"/>
        <w:numPr>
          <w:ilvl w:val="0"/>
          <w:numId w:val="31"/>
        </w:numPr>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bookmarkStart w:id="545" w:name="_Toc3104"/>
      <w:r>
        <w:rPr>
          <w:rFonts w:hint="eastAsia" w:ascii="仿宋" w:hAnsi="仿宋" w:eastAsia="仿宋" w:cs="仿宋"/>
          <w:color w:val="000000" w:themeColor="text1"/>
          <w:sz w:val="24"/>
          <w:szCs w:val="24"/>
          <w:highlight w:val="none"/>
          <w:lang w:eastAsia="zh-CN"/>
          <w14:textFill>
            <w14:solidFill>
              <w14:schemeClr w14:val="tx1"/>
            </w14:solidFill>
          </w14:textFill>
        </w:rPr>
        <w:t>提供前已由合同双方当事人所持有的；</w:t>
      </w:r>
      <w:bookmarkEnd w:id="545"/>
    </w:p>
    <w:p w14:paraId="34F3D61F">
      <w:pPr>
        <w:pStyle w:val="40"/>
        <w:widowControl w:val="0"/>
        <w:numPr>
          <w:ilvl w:val="0"/>
          <w:numId w:val="31"/>
        </w:numPr>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bookmarkStart w:id="546" w:name="_Toc11051"/>
      <w:r>
        <w:rPr>
          <w:rFonts w:hint="eastAsia" w:ascii="仿宋" w:hAnsi="仿宋" w:eastAsia="仿宋" w:cs="仿宋"/>
          <w:color w:val="000000" w:themeColor="text1"/>
          <w:sz w:val="24"/>
          <w:szCs w:val="24"/>
          <w:highlight w:val="none"/>
          <w:lang w:eastAsia="zh-CN"/>
          <w14:textFill>
            <w14:solidFill>
              <w14:schemeClr w14:val="tx1"/>
            </w14:solidFill>
          </w14:textFill>
        </w:rPr>
        <w:t>已公开发表或非对方当事人原因向公众公开的；</w:t>
      </w:r>
      <w:bookmarkEnd w:id="546"/>
    </w:p>
    <w:p w14:paraId="096A3649">
      <w:pPr>
        <w:pStyle w:val="40"/>
        <w:widowControl w:val="0"/>
        <w:numPr>
          <w:ilvl w:val="0"/>
          <w:numId w:val="31"/>
        </w:numPr>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bookmarkStart w:id="547" w:name="_Toc21480"/>
      <w:r>
        <w:rPr>
          <w:rFonts w:hint="eastAsia" w:ascii="仿宋" w:hAnsi="仿宋" w:eastAsia="仿宋" w:cs="仿宋"/>
          <w:color w:val="000000" w:themeColor="text1"/>
          <w:sz w:val="24"/>
          <w:szCs w:val="24"/>
          <w:highlight w:val="none"/>
          <w:lang w:eastAsia="zh-CN"/>
          <w14:textFill>
            <w14:solidFill>
              <w14:schemeClr w14:val="tx1"/>
            </w14:solidFill>
          </w14:textFill>
        </w:rPr>
        <w:t>已由各相关方书面同意其公开的；</w:t>
      </w:r>
      <w:bookmarkEnd w:id="547"/>
    </w:p>
    <w:p w14:paraId="4AB14BE3">
      <w:pPr>
        <w:pStyle w:val="40"/>
        <w:widowControl w:val="0"/>
        <w:numPr>
          <w:ilvl w:val="0"/>
          <w:numId w:val="31"/>
        </w:numPr>
        <w:snapToGrid w:val="0"/>
        <w:spacing w:line="360" w:lineRule="auto"/>
        <w:ind w:left="1850" w:leftChars="771" w:firstLine="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在未获取保密信息前由对方当事人独立开发的；</w:t>
      </w:r>
    </w:p>
    <w:p w14:paraId="0EB9143E">
      <w:pPr>
        <w:pStyle w:val="40"/>
        <w:widowControl w:val="0"/>
        <w:numPr>
          <w:ilvl w:val="0"/>
          <w:numId w:val="31"/>
        </w:numPr>
        <w:snapToGrid w:val="0"/>
        <w:spacing w:line="360" w:lineRule="auto"/>
        <w:ind w:left="1850" w:leftChars="771" w:firstLine="0"/>
        <w:jc w:val="both"/>
        <w:rPr>
          <w:rFonts w:ascii="仿宋" w:hAnsi="仿宋" w:eastAsia="仿宋"/>
          <w:color w:val="000000" w:themeColor="text1"/>
          <w:sz w:val="24"/>
          <w:szCs w:val="24"/>
          <w:highlight w:val="none"/>
          <w:lang w:eastAsia="zh-CN"/>
          <w14:textFill>
            <w14:solidFill>
              <w14:schemeClr w14:val="tx1"/>
            </w14:solidFill>
          </w14:textFill>
        </w:rPr>
      </w:pPr>
      <w:bookmarkStart w:id="548" w:name="_Toc7745"/>
      <w:r>
        <w:rPr>
          <w:rFonts w:hint="eastAsia" w:ascii="仿宋" w:hAnsi="仿宋" w:eastAsia="仿宋" w:cs="仿宋"/>
          <w:color w:val="000000" w:themeColor="text1"/>
          <w:sz w:val="24"/>
          <w:szCs w:val="24"/>
          <w:highlight w:val="none"/>
          <w:lang w:eastAsia="zh-CN"/>
          <w14:textFill>
            <w14:solidFill>
              <w14:schemeClr w14:val="tx1"/>
            </w14:solidFill>
          </w14:textFill>
        </w:rPr>
        <w:t>对方当事人从对保密信息不承担保密义务的第三方处合法获得的。</w:t>
      </w:r>
      <w:bookmarkEnd w:id="548"/>
    </w:p>
    <w:p w14:paraId="6D4A3AA7">
      <w:pPr>
        <w:pStyle w:val="40"/>
        <w:tabs>
          <w:tab w:val="left" w:pos="1620"/>
        </w:tabs>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53B91858">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49" w:name="_Toc149731539"/>
      <w:bookmarkStart w:id="550" w:name="_Toc469384077"/>
      <w:bookmarkStart w:id="551" w:name="_Toc1386"/>
      <w:r>
        <w:rPr>
          <w:rFonts w:hint="eastAsia" w:ascii="仿宋" w:hAnsi="仿宋" w:eastAsia="仿宋" w:cs="仿宋"/>
          <w:bCs w:val="0"/>
          <w:color w:val="000000" w:themeColor="text1"/>
          <w:sz w:val="24"/>
          <w:szCs w:val="24"/>
          <w:highlight w:val="none"/>
          <w:lang w:eastAsia="zh-CN"/>
          <w14:textFill>
            <w14:solidFill>
              <w14:schemeClr w14:val="tx1"/>
            </w14:solidFill>
          </w14:textFill>
        </w:rPr>
        <w:t>100 廉政建设</w:t>
      </w:r>
      <w:bookmarkEnd w:id="549"/>
      <w:bookmarkEnd w:id="550"/>
      <w:bookmarkEnd w:id="551"/>
    </w:p>
    <w:p w14:paraId="7EE7D596">
      <w:pPr>
        <w:rPr>
          <w:rFonts w:ascii="仿宋" w:hAnsi="仿宋" w:eastAsia="仿宋" w:cs="仿宋"/>
          <w:b/>
          <w:bCs/>
          <w:color w:val="000000" w:themeColor="text1"/>
          <w:highlight w:val="none"/>
          <w:lang w:eastAsia="zh-CN"/>
          <w14:textFill>
            <w14:solidFill>
              <w14:schemeClr w14:val="tx1"/>
            </w14:solidFill>
          </w14:textFill>
        </w:rPr>
      </w:pPr>
      <w:bookmarkStart w:id="552" w:name="_Toc13646"/>
      <w:r>
        <w:rPr>
          <w:rFonts w:hint="eastAsia" w:ascii="仿宋" w:hAnsi="仿宋" w:eastAsia="仿宋" w:cs="仿宋"/>
          <w:b/>
          <w:bCs/>
          <w:color w:val="000000" w:themeColor="text1"/>
          <w:highlight w:val="none"/>
          <w:lang w:eastAsia="zh-CN"/>
          <w14:textFill>
            <w14:solidFill>
              <w14:schemeClr w14:val="tx1"/>
            </w14:solidFill>
          </w14:textFill>
        </w:rPr>
        <w:t>100</w:t>
      </w:r>
      <w:r>
        <w:rPr>
          <w:rFonts w:ascii="仿宋" w:hAnsi="仿宋" w:eastAsia="仿宋" w:cs="仿宋"/>
          <w:b/>
          <w:bCs/>
          <w:color w:val="000000" w:themeColor="text1"/>
          <w:highlight w:val="none"/>
          <w:lang w:eastAsia="zh-CN"/>
          <w14:textFill>
            <w14:solidFill>
              <w14:schemeClr w14:val="tx1"/>
            </w14:solidFill>
          </w14:textFill>
        </w:rPr>
        <w:t>.1</w:t>
      </w:r>
      <w:bookmarkEnd w:id="552"/>
    </w:p>
    <w:p w14:paraId="1EF9D1BB">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35F3F71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8272;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35F3F71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合同双方当事人在签订本合同时，应同时签订廉政合同，作为本合同的附件。合同双方当事人在合同履行期间应遵守有关廉政方面的规定和要求，禁止任何腐败行为。</w:t>
      </w:r>
    </w:p>
    <w:p w14:paraId="70EFBEAF">
      <w:pPr>
        <w:pStyle w:val="40"/>
        <w:adjustRightInd w:val="0"/>
        <w:snapToGrid w:val="0"/>
        <w:spacing w:line="360" w:lineRule="auto"/>
        <w:rPr>
          <w:rFonts w:ascii="仿宋" w:hAnsi="仿宋" w:eastAsia="仿宋" w:cs="仿宋"/>
          <w:b/>
          <w:bCs/>
          <w:color w:val="000000" w:themeColor="text1"/>
          <w:sz w:val="24"/>
          <w:szCs w:val="24"/>
          <w:highlight w:val="none"/>
          <w:u w:val="dotted"/>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100</w:t>
      </w:r>
      <w:r>
        <w:rPr>
          <w:rFonts w:ascii="仿宋" w:hAnsi="仿宋" w:eastAsia="仿宋" w:cs="仿宋"/>
          <w:b/>
          <w:bCs/>
          <w:color w:val="000000" w:themeColor="text1"/>
          <w:sz w:val="24"/>
          <w:szCs w:val="24"/>
          <w:highlight w:val="none"/>
          <w:lang w:eastAsia="zh-CN"/>
          <w14:textFill>
            <w14:solidFill>
              <w14:schemeClr w14:val="tx1"/>
            </w14:solidFill>
          </w14:textFill>
        </w:rPr>
        <w:t xml:space="preserve">.2  </w:t>
      </w:r>
    </w:p>
    <w:p w14:paraId="387331EA">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1DB440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59296;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1DB440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款约定解除合同，并按照第93</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款约定办理合同解除的支付。</w:t>
      </w:r>
    </w:p>
    <w:p w14:paraId="364EBF0A">
      <w:pPr>
        <w:pStyle w:val="40"/>
        <w:adjustRightInd w:val="0"/>
        <w:snapToGrid w:val="0"/>
        <w:spacing w:line="36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0603C518">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53" w:name="_Toc149731540"/>
      <w:bookmarkStart w:id="554" w:name="_Toc1981"/>
      <w:bookmarkStart w:id="555" w:name="_Toc469384078"/>
      <w:r>
        <w:rPr>
          <w:rFonts w:hint="eastAsia" w:ascii="仿宋" w:hAnsi="仿宋" w:eastAsia="仿宋" w:cs="仿宋"/>
          <w:bCs w:val="0"/>
          <w:color w:val="000000" w:themeColor="text1"/>
          <w:sz w:val="24"/>
          <w:szCs w:val="24"/>
          <w:highlight w:val="none"/>
          <w:lang w:eastAsia="zh-CN"/>
          <w14:textFill>
            <w14:solidFill>
              <w14:schemeClr w14:val="tx1"/>
            </w14:solidFill>
          </w14:textFill>
        </w:rPr>
        <w:t>101禁止转让</w:t>
      </w:r>
      <w:bookmarkEnd w:id="553"/>
      <w:bookmarkEnd w:id="554"/>
      <w:bookmarkEnd w:id="555"/>
    </w:p>
    <w:p w14:paraId="59ACD0C1">
      <w:pPr>
        <w:pStyle w:val="40"/>
        <w:adjustRightInd w:val="0"/>
        <w:snapToGrid w:val="0"/>
        <w:spacing w:line="360" w:lineRule="auto"/>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101</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55D16E4E">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44FAD6BA">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0320;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44FAD6BA">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本合同一经签署，合同双方当事人均应按照本合同约定行使各自的权利、履行各自的义务。</w:t>
      </w:r>
    </w:p>
    <w:p w14:paraId="5E817948">
      <w:pPr>
        <w:spacing w:line="360" w:lineRule="auto"/>
        <w:rPr>
          <w:rFonts w:ascii="仿宋" w:hAnsi="仿宋" w:eastAsia="仿宋" w:cs="仿宋"/>
          <w:b/>
          <w:bCs/>
          <w:color w:val="000000" w:themeColor="text1"/>
          <w:highlight w:val="none"/>
          <w:u w:val="dotted"/>
          <w:lang w:eastAsia="zh-CN"/>
          <w14:textFill>
            <w14:solidFill>
              <w14:schemeClr w14:val="tx1"/>
            </w14:solidFill>
          </w14:textFill>
        </w:rPr>
      </w:pPr>
      <w:bookmarkStart w:id="556" w:name="_Toc8900"/>
      <w:r>
        <w:rPr>
          <w:rFonts w:hint="eastAsia" w:ascii="仿宋" w:hAnsi="仿宋" w:eastAsia="仿宋" w:cs="仿宋"/>
          <w:b/>
          <w:bCs/>
          <w:color w:val="000000" w:themeColor="text1"/>
          <w:highlight w:val="none"/>
          <w:lang w:eastAsia="zh-CN"/>
          <w14:textFill>
            <w14:solidFill>
              <w14:schemeClr w14:val="tx1"/>
            </w14:solidFill>
          </w14:textFill>
        </w:rPr>
        <w:t>101</w:t>
      </w:r>
      <w:r>
        <w:rPr>
          <w:rFonts w:ascii="仿宋" w:hAnsi="仿宋" w:eastAsia="仿宋" w:cs="仿宋"/>
          <w:b/>
          <w:bCs/>
          <w:color w:val="000000" w:themeColor="text1"/>
          <w:highlight w:val="none"/>
          <w:lang w:eastAsia="zh-CN"/>
          <w14:textFill>
            <w14:solidFill>
              <w14:schemeClr w14:val="tx1"/>
            </w14:solidFill>
          </w14:textFill>
        </w:rPr>
        <w:t>.2</w:t>
      </w:r>
      <w:bookmarkEnd w:id="556"/>
    </w:p>
    <w:p w14:paraId="28169BEB">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0A05698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1344;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0A05698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除合同另有约定外，未经另一方当事人同意，合同一方当事人不得将本合同的全部或部分权利、义务转让给第三方。</w:t>
      </w:r>
    </w:p>
    <w:p w14:paraId="06685B45">
      <w:pPr>
        <w:pStyle w:val="40"/>
        <w:adjustRightInd w:val="0"/>
        <w:snapToGrid w:val="0"/>
        <w:spacing w:line="480" w:lineRule="auto"/>
        <w:rPr>
          <w:rFonts w:ascii="仿宋" w:hAnsi="仿宋" w:eastAsia="仿宋"/>
          <w:b/>
          <w:bCs/>
          <w:color w:val="000000" w:themeColor="text1"/>
          <w:sz w:val="24"/>
          <w:szCs w:val="24"/>
          <w:highlight w:val="none"/>
          <w:lang w:eastAsia="zh-CN"/>
          <w14:textFill>
            <w14:solidFill>
              <w14:schemeClr w14:val="tx1"/>
            </w14:solidFill>
          </w14:textFill>
        </w:rPr>
      </w:pPr>
    </w:p>
    <w:p w14:paraId="6C8211D2">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57" w:name="_Toc14800"/>
      <w:bookmarkStart w:id="558" w:name="_Toc469384079"/>
      <w:bookmarkStart w:id="559" w:name="_Toc149731541"/>
      <w:r>
        <w:rPr>
          <w:rFonts w:hint="eastAsia" w:ascii="仿宋" w:hAnsi="仿宋" w:eastAsia="仿宋" w:cs="仿宋"/>
          <w:bCs w:val="0"/>
          <w:color w:val="000000" w:themeColor="text1"/>
          <w:sz w:val="24"/>
          <w:szCs w:val="24"/>
          <w:highlight w:val="none"/>
          <w:lang w:eastAsia="zh-CN"/>
          <w14:textFill>
            <w14:solidFill>
              <w14:schemeClr w14:val="tx1"/>
            </w14:solidFill>
          </w14:textFill>
        </w:rPr>
        <w:t>102合同份数</w:t>
      </w:r>
      <w:bookmarkEnd w:id="557"/>
      <w:bookmarkEnd w:id="558"/>
      <w:bookmarkEnd w:id="559"/>
    </w:p>
    <w:p w14:paraId="54F2A87D">
      <w:pPr>
        <w:pStyle w:val="40"/>
        <w:adjustRightInd w:val="0"/>
        <w:snapToGrid w:val="0"/>
        <w:spacing w:line="360" w:lineRule="auto"/>
        <w:ind w:left="1312" w:hanging="1312" w:hangingChars="656"/>
        <w:rPr>
          <w:rFonts w:ascii="仿宋" w:hAnsi="仿宋" w:eastAsia="仿宋" w:cs="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076469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193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076469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102</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7C369F58">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除合同专用条款另有约定外，发包人应按照第102</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款约定的份数免费为承包人提供合同文本。</w:t>
      </w:r>
    </w:p>
    <w:p w14:paraId="568BEE4D">
      <w:pPr>
        <w:spacing w:line="360" w:lineRule="auto"/>
        <w:rPr>
          <w:rFonts w:ascii="仿宋" w:hAnsi="仿宋" w:eastAsia="仿宋"/>
          <w:color w:val="000000" w:themeColor="text1"/>
          <w:highlight w:val="none"/>
          <w:lang w:eastAsia="zh-CN"/>
          <w14:textFill>
            <w14:solidFill>
              <w14:schemeClr w14:val="tx1"/>
            </w14:solidFill>
          </w14:textFill>
        </w:rPr>
      </w:pPr>
      <w:bookmarkStart w:id="560" w:name="_Toc21966"/>
      <w:r>
        <w:rPr>
          <w:rFonts w:hint="eastAsia" w:ascii="仿宋" w:hAnsi="仿宋" w:eastAsia="仿宋" w:cs="仿宋"/>
          <w:b/>
          <w:bCs/>
          <w:color w:val="000000" w:themeColor="text1"/>
          <w:highlight w:val="none"/>
          <w:lang w:eastAsia="zh-CN"/>
          <w14:textFill>
            <w14:solidFill>
              <w14:schemeClr w14:val="tx1"/>
            </w14:solidFill>
          </w14:textFill>
        </w:rPr>
        <w:t>102</w:t>
      </w:r>
      <w:r>
        <w:rPr>
          <w:rFonts w:ascii="仿宋" w:hAnsi="仿宋" w:eastAsia="仿宋" w:cs="仿宋"/>
          <w:b/>
          <w:bCs/>
          <w:color w:val="000000" w:themeColor="text1"/>
          <w:highlight w:val="none"/>
          <w:lang w:eastAsia="zh-CN"/>
          <w14:textFill>
            <w14:solidFill>
              <w14:schemeClr w14:val="tx1"/>
            </w14:solidFill>
          </w14:textFill>
        </w:rPr>
        <w:t>.2</w:t>
      </w:r>
      <w:bookmarkEnd w:id="560"/>
    </w:p>
    <w:p w14:paraId="5141D936">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color w:val="000000" w:themeColor="text1"/>
          <w:highlight w:val="none"/>
          <w:lang w:eastAsia="zh-CN" w:bidi="ar-SA"/>
          <w14:textFill>
            <w14:solidFill>
              <w14:schemeClr w14:val="tx1"/>
            </w14:solidFill>
          </w14:textFill>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41A0DC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2368;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41A0DC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000000" w:themeColor="text1"/>
          <w:highlight w:val="none"/>
          <w:lang w:eastAsia="zh-CN"/>
          <w14:textFill>
            <w14:solidFill>
              <w14:schemeClr w14:val="tx1"/>
            </w14:solidFill>
          </w14:textFill>
        </w:rPr>
        <w:t>本合同正、副本份数，由合同双方当事人根据需要在专用条款中约定。正本与副本具有同等效力，当正本与副本不一致时，以正本为准。</w:t>
      </w:r>
    </w:p>
    <w:p w14:paraId="6636D344">
      <w:pPr>
        <w:pStyle w:val="40"/>
        <w:adjustRightInd w:val="0"/>
        <w:snapToGrid w:val="0"/>
        <w:spacing w:line="480" w:lineRule="auto"/>
        <w:rPr>
          <w:rFonts w:ascii="仿宋" w:hAnsi="仿宋" w:eastAsia="仿宋" w:cs="仿宋"/>
          <w:b/>
          <w:bCs/>
          <w:color w:val="000000" w:themeColor="text1"/>
          <w:sz w:val="24"/>
          <w:szCs w:val="24"/>
          <w:highlight w:val="none"/>
          <w:u w:val="single"/>
          <w:lang w:eastAsia="zh-CN"/>
          <w14:textFill>
            <w14:solidFill>
              <w14:schemeClr w14:val="tx1"/>
            </w14:solidFill>
          </w14:textFill>
        </w:rPr>
      </w:pPr>
    </w:p>
    <w:p w14:paraId="6053D20F">
      <w:pPr>
        <w:pStyle w:val="6"/>
        <w:tabs>
          <w:tab w:val="left" w:pos="420"/>
        </w:tabs>
        <w:spacing w:before="120" w:beforeLines="50" w:after="120" w:afterLines="50" w:line="360" w:lineRule="auto"/>
        <w:rPr>
          <w:rFonts w:ascii="仿宋" w:hAnsi="仿宋" w:eastAsia="仿宋" w:cs="仿宋"/>
          <w:bCs w:val="0"/>
          <w:color w:val="000000" w:themeColor="text1"/>
          <w:sz w:val="24"/>
          <w:szCs w:val="24"/>
          <w:highlight w:val="none"/>
          <w:lang w:eastAsia="zh-CN"/>
          <w14:textFill>
            <w14:solidFill>
              <w14:schemeClr w14:val="tx1"/>
            </w14:solidFill>
          </w14:textFill>
        </w:rPr>
      </w:pPr>
      <w:bookmarkStart w:id="561" w:name="_Toc469384080"/>
      <w:bookmarkStart w:id="562" w:name="_Toc15071"/>
      <w:bookmarkStart w:id="563" w:name="_Toc149731542"/>
      <w:r>
        <w:rPr>
          <w:rFonts w:hint="eastAsia" w:ascii="仿宋" w:hAnsi="仿宋" w:eastAsia="仿宋" w:cs="仿宋"/>
          <w:bCs w:val="0"/>
          <w:color w:val="000000" w:themeColor="text1"/>
          <w:sz w:val="24"/>
          <w:szCs w:val="24"/>
          <w:highlight w:val="none"/>
          <w:lang w:eastAsia="zh-CN"/>
          <w14:textFill>
            <w14:solidFill>
              <w14:schemeClr w14:val="tx1"/>
            </w14:solidFill>
          </w14:textFill>
        </w:rPr>
        <w:t>103合同</w:t>
      </w:r>
      <w:bookmarkEnd w:id="561"/>
      <w:r>
        <w:rPr>
          <w:rFonts w:hint="eastAsia" w:ascii="仿宋" w:hAnsi="仿宋" w:eastAsia="仿宋" w:cs="仿宋"/>
          <w:bCs w:val="0"/>
          <w:color w:val="000000" w:themeColor="text1"/>
          <w:sz w:val="24"/>
          <w:szCs w:val="24"/>
          <w:highlight w:val="none"/>
          <w:lang w:eastAsia="zh-CN"/>
          <w14:textFill>
            <w14:solidFill>
              <w14:schemeClr w14:val="tx1"/>
            </w14:solidFill>
          </w14:textFill>
        </w:rPr>
        <w:t>管理</w:t>
      </w:r>
      <w:bookmarkEnd w:id="562"/>
      <w:bookmarkEnd w:id="563"/>
    </w:p>
    <w:p w14:paraId="0AAE7B0B">
      <w:pPr>
        <w:pStyle w:val="40"/>
        <w:adjustRightInd w:val="0"/>
        <w:snapToGrid w:val="0"/>
        <w:spacing w:line="360" w:lineRule="auto"/>
        <w:rPr>
          <w:rFonts w:ascii="仿宋" w:hAnsi="仿宋" w:eastAsia="仿宋"/>
          <w:b/>
          <w:bCs/>
          <w:color w:val="000000" w:themeColor="text1"/>
          <w:sz w:val="24"/>
          <w:szCs w:val="24"/>
          <w:highlight w:val="none"/>
          <w:lang w:eastAsia="zh-CN"/>
          <w14:textFill>
            <w14:solidFill>
              <w14:schemeClr w14:val="tx1"/>
            </w14:solidFill>
          </w14:textFill>
        </w:rPr>
      </w:pPr>
      <w:r>
        <w:rPr>
          <w:color w:val="000000" w:themeColor="text1"/>
          <w:highlight w:val="none"/>
          <w:lang w:eastAsia="zh-CN"/>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0C20D7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2960;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0C20D7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000000" w:themeColor="text1"/>
          <w:sz w:val="24"/>
          <w:szCs w:val="24"/>
          <w:highlight w:val="none"/>
          <w:lang w:eastAsia="zh-CN"/>
          <w14:textFill>
            <w14:solidFill>
              <w14:schemeClr w14:val="tx1"/>
            </w14:solidFill>
          </w14:textFill>
        </w:rPr>
        <w:t>103</w:t>
      </w:r>
      <w:r>
        <w:rPr>
          <w:rFonts w:ascii="仿宋" w:hAnsi="仿宋" w:eastAsia="仿宋" w:cs="仿宋"/>
          <w:b/>
          <w:bCs/>
          <w:color w:val="000000" w:themeColor="text1"/>
          <w:sz w:val="24"/>
          <w:szCs w:val="24"/>
          <w:highlight w:val="none"/>
          <w:lang w:eastAsia="zh-CN"/>
          <w14:textFill>
            <w14:solidFill>
              <w14:schemeClr w14:val="tx1"/>
            </w14:solidFill>
          </w14:textFill>
        </w:rPr>
        <w:t>.1</w:t>
      </w:r>
    </w:p>
    <w:p w14:paraId="62B3168E">
      <w:pPr>
        <w:widowControl w:val="0"/>
        <w:adjustRightInd w:val="0"/>
        <w:snapToGrid w:val="0"/>
        <w:spacing w:line="360" w:lineRule="auto"/>
        <w:ind w:left="1850" w:leftChars="771"/>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合同双方当事人应按照第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5条至第</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9条的职责划分，督促各自人员认真履行合同管理职责，加强合同管理。</w:t>
      </w:r>
    </w:p>
    <w:p w14:paraId="0B754352">
      <w:pPr>
        <w:widowControl w:val="0"/>
        <w:spacing w:line="360" w:lineRule="auto"/>
        <w:ind w:left="1850" w:leftChars="771"/>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涉及国有资金</w:t>
      </w:r>
      <w:r>
        <w:rPr>
          <w:rFonts w:hint="eastAsia" w:ascii="仿宋" w:hAnsi="仿宋" w:eastAsia="仿宋"/>
          <w:color w:val="000000" w:themeColor="text1"/>
          <w:highlight w:val="none"/>
          <w:lang w:eastAsia="zh-CN"/>
          <w14:textFill>
            <w14:solidFill>
              <w14:schemeClr w14:val="tx1"/>
            </w14:solidFill>
          </w14:textFill>
        </w:rPr>
        <w:t>投资</w:t>
      </w:r>
      <w:r>
        <w:rPr>
          <w:rFonts w:hint="eastAsia" w:ascii="仿宋" w:hAnsi="仿宋" w:eastAsia="仿宋" w:cs="仿宋"/>
          <w:color w:val="000000" w:themeColor="text1"/>
          <w:highlight w:val="none"/>
          <w:lang w:eastAsia="zh-CN"/>
          <w14:textFill>
            <w14:solidFill>
              <w14:schemeClr w14:val="tx1"/>
            </w14:solidFill>
          </w14:textFill>
        </w:rPr>
        <w:t>的工程，建设行政主管部门应依据建设行政主管部门存档合同实施合同监督管理；合同双方当事人应随时接受执法人员对本合同的监督管理，并为监督管理活动提供配合和协助。</w:t>
      </w:r>
    </w:p>
    <w:p w14:paraId="2CA44C53">
      <w:pPr>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3610D416">
      <w:pPr>
        <w:spacing w:line="360" w:lineRule="auto"/>
        <w:rPr>
          <w:rFonts w:ascii="仿宋" w:hAnsi="仿宋" w:eastAsia="仿宋" w:cs="仿宋"/>
          <w:b/>
          <w:bCs/>
          <w:color w:val="000000" w:themeColor="text1"/>
          <w:highlight w:val="none"/>
          <w:u w:val="single"/>
          <w:lang w:eastAsia="zh-CN"/>
          <w14:textFill>
            <w14:solidFill>
              <w14:schemeClr w14:val="tx1"/>
            </w14:solidFill>
          </w14:textFill>
        </w:rPr>
      </w:pPr>
    </w:p>
    <w:p w14:paraId="44872F72">
      <w:pPr>
        <w:spacing w:line="360" w:lineRule="auto"/>
        <w:rPr>
          <w:color w:val="000000" w:themeColor="text1"/>
          <w:highlight w:val="none"/>
          <w:lang w:eastAsia="zh-CN"/>
          <w14:textFill>
            <w14:solidFill>
              <w14:schemeClr w14:val="tx1"/>
            </w14:solidFill>
          </w14:textFill>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97"/>
    <w:p w14:paraId="5DAACB6F">
      <w:pPr>
        <w:pStyle w:val="4"/>
        <w:tabs>
          <w:tab w:val="left" w:pos="420"/>
        </w:tabs>
        <w:ind w:left="494" w:leftChars="206" w:firstLine="177" w:firstLineChars="49"/>
        <w:jc w:val="center"/>
        <w:rPr>
          <w:rFonts w:hAnsi="宋体"/>
          <w:bCs w:val="0"/>
          <w:color w:val="000000" w:themeColor="text1"/>
          <w:sz w:val="36"/>
          <w:szCs w:val="36"/>
          <w:highlight w:val="none"/>
          <w:lang w:eastAsia="zh-CN"/>
          <w14:textFill>
            <w14:solidFill>
              <w14:schemeClr w14:val="tx1"/>
            </w14:solidFill>
          </w14:textFill>
        </w:rPr>
      </w:pPr>
      <w:bookmarkStart w:id="564" w:name="_Toc149731543"/>
      <w:bookmarkStart w:id="565" w:name="_Toc27278"/>
      <w:r>
        <w:rPr>
          <w:rFonts w:hint="eastAsia" w:hAnsi="宋体"/>
          <w:bCs w:val="0"/>
          <w:color w:val="000000" w:themeColor="text1"/>
          <w:sz w:val="36"/>
          <w:szCs w:val="36"/>
          <w:highlight w:val="none"/>
          <w:lang w:eastAsia="zh-CN"/>
          <w14:textFill>
            <w14:solidFill>
              <w14:schemeClr w14:val="tx1"/>
            </w14:solidFill>
          </w14:textFill>
        </w:rPr>
        <w:t>第三部分  专用条款</w:t>
      </w:r>
      <w:bookmarkEnd w:id="564"/>
      <w:bookmarkEnd w:id="565"/>
    </w:p>
    <w:p w14:paraId="7C4B4919">
      <w:pPr>
        <w:pStyle w:val="5"/>
        <w:spacing w:before="0" w:after="0" w:line="360" w:lineRule="auto"/>
        <w:ind w:firstLine="562"/>
        <w:jc w:val="center"/>
        <w:rPr>
          <w:rFonts w:ascii="仿宋" w:hAnsi="仿宋" w:eastAsia="仿宋"/>
          <w:snapToGrid w:val="0"/>
          <w:color w:val="000000" w:themeColor="text1"/>
          <w:highlight w:val="none"/>
          <w:lang w:eastAsia="zh-CN"/>
          <w14:textFill>
            <w14:solidFill>
              <w14:schemeClr w14:val="tx1"/>
            </w14:solidFill>
          </w14:textFill>
        </w:rPr>
      </w:pPr>
      <w:bookmarkStart w:id="566" w:name="_Toc514666972"/>
      <w:bookmarkStart w:id="567" w:name="_Toc514681181"/>
      <w:bookmarkStart w:id="568" w:name="_Toc519503079"/>
      <w:bookmarkStart w:id="569" w:name="_Toc516495975"/>
      <w:bookmarkStart w:id="570" w:name="_Toc514663857"/>
      <w:bookmarkStart w:id="571" w:name="_Toc517954572"/>
      <w:bookmarkStart w:id="572" w:name="_Toc520902604"/>
      <w:bookmarkStart w:id="573" w:name="_Toc35083094"/>
      <w:bookmarkStart w:id="574" w:name="_Toc520902826"/>
      <w:bookmarkStart w:id="575" w:name="_Toc520358229"/>
      <w:bookmarkStart w:id="576" w:name="_Toc517774559"/>
      <w:bookmarkStart w:id="577" w:name="_Toc520358053"/>
      <w:bookmarkStart w:id="578" w:name="_Toc514664859"/>
      <w:bookmarkStart w:id="579" w:name="_Toc514665142"/>
      <w:bookmarkStart w:id="580" w:name="_Toc519502249"/>
      <w:bookmarkStart w:id="581" w:name="_Toc520901459"/>
      <w:bookmarkStart w:id="582" w:name="_Toc104979584"/>
      <w:bookmarkStart w:id="583" w:name="_Toc514681762"/>
      <w:bookmarkStart w:id="584" w:name="_Toc518481731"/>
      <w:bookmarkStart w:id="585" w:name="_Toc520902755"/>
      <w:bookmarkStart w:id="586" w:name="_Toc514665281"/>
    </w:p>
    <w:p w14:paraId="6F4033DF">
      <w:pPr>
        <w:pStyle w:val="5"/>
        <w:spacing w:before="0" w:after="0" w:line="360" w:lineRule="auto"/>
        <w:ind w:firstLine="562"/>
        <w:jc w:val="center"/>
        <w:rPr>
          <w:rFonts w:ascii="仿宋" w:hAnsi="仿宋" w:eastAsia="仿宋"/>
          <w:snapToGrid w:val="0"/>
          <w:color w:val="000000" w:themeColor="text1"/>
          <w:highlight w:val="none"/>
          <w:lang w:eastAsia="zh-CN"/>
          <w14:textFill>
            <w14:solidFill>
              <w14:schemeClr w14:val="tx1"/>
            </w14:solidFill>
          </w14:textFill>
        </w:rPr>
      </w:pPr>
      <w:bookmarkStart w:id="587" w:name="_Toc6363"/>
      <w:bookmarkStart w:id="588" w:name="_Toc149731544"/>
      <w:r>
        <w:rPr>
          <w:rFonts w:hint="eastAsia" w:ascii="仿宋" w:hAnsi="仿宋" w:eastAsia="仿宋"/>
          <w:snapToGrid w:val="0"/>
          <w:color w:val="000000" w:themeColor="text1"/>
          <w:highlight w:val="none"/>
          <w:lang w:eastAsia="zh-CN"/>
          <w14:textFill>
            <w14:solidFill>
              <w14:schemeClr w14:val="tx1"/>
            </w14:solidFill>
          </w14:textFill>
        </w:rPr>
        <w:t>总则</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hint="eastAsia" w:ascii="仿宋" w:hAnsi="仿宋" w:eastAsia="仿宋"/>
          <w:snapToGrid w:val="0"/>
          <w:color w:val="000000" w:themeColor="text1"/>
          <w:highlight w:val="none"/>
          <w:lang w:eastAsia="zh-CN"/>
          <w14:textFill>
            <w14:solidFill>
              <w14:schemeClr w14:val="tx1"/>
            </w14:solidFill>
          </w14:textFill>
        </w:rPr>
        <w:t>（补充）</w:t>
      </w:r>
      <w:bookmarkEnd w:id="587"/>
      <w:bookmarkEnd w:id="588"/>
    </w:p>
    <w:p w14:paraId="0D12F284">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 xml:space="preserve">1. </w:t>
      </w:r>
      <w:r>
        <w:rPr>
          <w:rFonts w:hint="eastAsia" w:ascii="仿宋" w:hAnsi="仿宋" w:eastAsia="仿宋" w:cs="宋体"/>
          <w:snapToGrid w:val="0"/>
          <w:color w:val="000000" w:themeColor="text1"/>
          <w:highlight w:val="none"/>
          <w:lang w:eastAsia="zh-CN"/>
          <w14:textFill>
            <w14:solidFill>
              <w14:schemeClr w14:val="tx1"/>
            </w14:solidFill>
          </w14:textFill>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2AEE7936">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 xml:space="preserve">2. </w:t>
      </w:r>
      <w:r>
        <w:rPr>
          <w:rFonts w:hint="eastAsia" w:ascii="仿宋" w:hAnsi="仿宋" w:eastAsia="仿宋" w:cs="宋体"/>
          <w:snapToGrid w:val="0"/>
          <w:color w:val="000000" w:themeColor="text1"/>
          <w:highlight w:val="none"/>
          <w:lang w:eastAsia="zh-CN"/>
          <w14:textFill>
            <w14:solidFill>
              <w14:schemeClr w14:val="tx1"/>
            </w14:solidFill>
          </w14:textFill>
        </w:rPr>
        <w:t>发包人通过监理单位下达指令，监督承包人履约行为，承包人所有请求事项由监理单位协调并一般均通过监理单位接受或提出处理意见（发包人有特别要求和规定的除外）。</w:t>
      </w:r>
    </w:p>
    <w:p w14:paraId="19ACDC7E">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 xml:space="preserve">3. </w:t>
      </w:r>
      <w:r>
        <w:rPr>
          <w:rFonts w:hint="eastAsia" w:ascii="仿宋" w:hAnsi="仿宋" w:eastAsia="仿宋" w:cs="宋体"/>
          <w:snapToGrid w:val="0"/>
          <w:color w:val="000000" w:themeColor="text1"/>
          <w:highlight w:val="none"/>
          <w:lang w:eastAsia="zh-CN"/>
          <w14:textFill>
            <w14:solidFill>
              <w14:schemeClr w14:val="tx1"/>
            </w14:solidFill>
          </w14:textFill>
        </w:rPr>
        <w:t>考虑到本工程的重要性，发包人将采取较为严密的组织管理形式，承包人需投入满足本项目需求的足够的人力、物力，以满足本工程施工需要。</w:t>
      </w:r>
    </w:p>
    <w:p w14:paraId="17939961">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 xml:space="preserve">4. </w:t>
      </w:r>
      <w:r>
        <w:rPr>
          <w:rFonts w:hint="eastAsia" w:ascii="仿宋" w:hAnsi="仿宋" w:eastAsia="仿宋" w:cs="宋体"/>
          <w:snapToGrid w:val="0"/>
          <w:color w:val="000000" w:themeColor="text1"/>
          <w:highlight w:val="none"/>
          <w:lang w:eastAsia="zh-CN"/>
          <w14:textFill>
            <w14:solidFill>
              <w14:schemeClr w14:val="tx1"/>
            </w14:solidFill>
          </w14:textFill>
        </w:rPr>
        <w:t>发包人根据工程推进实际情况，有权要求承包人的分管生产安全的副总经理必须常驻施工现场，协调各种事项。</w:t>
      </w:r>
    </w:p>
    <w:p w14:paraId="146FDC48">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 xml:space="preserve">5. </w:t>
      </w:r>
      <w:r>
        <w:rPr>
          <w:rFonts w:hint="eastAsia" w:ascii="仿宋" w:hAnsi="仿宋" w:eastAsia="仿宋" w:cs="宋体"/>
          <w:snapToGrid w:val="0"/>
          <w:color w:val="000000" w:themeColor="text1"/>
          <w:highlight w:val="none"/>
          <w:lang w:eastAsia="zh-CN"/>
          <w14:textFill>
            <w14:solidFill>
              <w14:schemeClr w14:val="tx1"/>
            </w14:solidFill>
          </w14:textFill>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color w:val="000000" w:themeColor="text1"/>
          <w:highlight w:val="none"/>
          <w:lang w:eastAsia="zh-CN"/>
          <w14:textFill>
            <w14:solidFill>
              <w14:schemeClr w14:val="tx1"/>
            </w14:solidFill>
          </w14:textFill>
        </w:rPr>
        <w:t>95.</w:t>
      </w:r>
      <w:r>
        <w:rPr>
          <w:rFonts w:hint="eastAsia" w:ascii="仿宋" w:hAnsi="仿宋" w:eastAsia="仿宋" w:cs="宋体"/>
          <w:snapToGrid w:val="0"/>
          <w:color w:val="000000" w:themeColor="text1"/>
          <w:highlight w:val="none"/>
          <w:lang w:eastAsia="zh-CN"/>
          <w14:textFill>
            <w14:solidFill>
              <w14:schemeClr w14:val="tx1"/>
            </w14:solidFill>
          </w14:textFill>
        </w:rPr>
        <w:t>2</w:t>
      </w:r>
      <w:r>
        <w:rPr>
          <w:rFonts w:ascii="仿宋" w:hAnsi="仿宋" w:eastAsia="仿宋" w:cs="宋体"/>
          <w:snapToGrid w:val="0"/>
          <w:color w:val="000000" w:themeColor="text1"/>
          <w:highlight w:val="none"/>
          <w:lang w:eastAsia="zh-CN"/>
          <w14:textFill>
            <w14:solidFill>
              <w14:schemeClr w14:val="tx1"/>
            </w14:solidFill>
          </w14:textFill>
        </w:rPr>
        <w:t>（1）款的约定承担违约责任并赔偿由此造成发包人的一切经济损失。</w:t>
      </w:r>
    </w:p>
    <w:p w14:paraId="226278EB">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 xml:space="preserve">6. </w:t>
      </w:r>
      <w:r>
        <w:rPr>
          <w:rFonts w:hint="eastAsia" w:ascii="仿宋" w:hAnsi="仿宋" w:eastAsia="仿宋" w:cs="宋体"/>
          <w:snapToGrid w:val="0"/>
          <w:color w:val="000000" w:themeColor="text1"/>
          <w:highlight w:val="none"/>
          <w:lang w:eastAsia="zh-CN"/>
          <w14:textFill>
            <w14:solidFill>
              <w14:schemeClr w14:val="tx1"/>
            </w14:solidFill>
          </w14:textFill>
        </w:rPr>
        <w:t>承包人承诺遵守发包人所制定的针对本工程管理的各项制度、规定，这些管理制度、规定必须符合下列原则：</w:t>
      </w:r>
    </w:p>
    <w:p w14:paraId="36C5A324">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1）符合国家、广东省、广州市的有关法律法规、规范和标准；</w:t>
      </w:r>
    </w:p>
    <w:p w14:paraId="571078C3">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2）符合对本工程进行有效管理的基本精神和要求；</w:t>
      </w:r>
    </w:p>
    <w:p w14:paraId="2DF5C521">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3）为确保工程质量、进度、安全文明施工管理所必须；</w:t>
      </w:r>
    </w:p>
    <w:p w14:paraId="4898593B">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4）不是针对某一特定的承包人；</w:t>
      </w:r>
    </w:p>
    <w:p w14:paraId="17A408E6">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5）以按时完成工程目标而设立为基本准则。</w:t>
      </w:r>
    </w:p>
    <w:p w14:paraId="0AF61894">
      <w:pPr>
        <w:rPr>
          <w:rFonts w:ascii="仿宋" w:hAnsi="仿宋" w:eastAsia="仿宋"/>
          <w:b/>
          <w:bCs/>
          <w:color w:val="000000" w:themeColor="text1"/>
          <w:highlight w:val="none"/>
          <w:lang w:eastAsia="zh-CN"/>
          <w14:textFill>
            <w14:solidFill>
              <w14:schemeClr w14:val="tx1"/>
            </w14:solidFill>
          </w14:textFill>
        </w:rPr>
      </w:pPr>
      <w:r>
        <w:rPr>
          <w:rFonts w:ascii="仿宋" w:hAnsi="仿宋" w:eastAsia="仿宋"/>
          <w:i/>
          <w:iCs/>
          <w:color w:val="000000" w:themeColor="text1"/>
          <w:highlight w:val="none"/>
          <w:lang w:eastAsia="zh-CN"/>
          <w14:textFill>
            <w14:solidFill>
              <w14:schemeClr w14:val="tx1"/>
            </w14:solidFill>
          </w14:textFill>
        </w:rPr>
        <w:br w:type="page"/>
      </w:r>
    </w:p>
    <w:p w14:paraId="1E19A203">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589" w:name="_Toc5144"/>
      <w:bookmarkStart w:id="590" w:name="_Toc149731545"/>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  定义</w:t>
      </w:r>
      <w:bookmarkEnd w:id="589"/>
      <w:bookmarkEnd w:id="590"/>
    </w:p>
    <w:p w14:paraId="58690210">
      <w:pPr>
        <w:pStyle w:val="40"/>
        <w:widowControl w:val="0"/>
        <w:tabs>
          <w:tab w:val="left" w:pos="1260"/>
          <w:tab w:val="left" w:pos="2160"/>
        </w:tabs>
        <w:adjustRightInd w:val="0"/>
        <w:spacing w:line="360" w:lineRule="auto"/>
        <w:ind w:firstLine="482" w:firstLineChars="20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1.3.3 合同价格清单：</w:t>
      </w:r>
      <w:r>
        <w:rPr>
          <w:rFonts w:hint="eastAsia" w:ascii="仿宋" w:hAnsi="仿宋" w:eastAsia="仿宋" w:cs="仿宋"/>
          <w:color w:val="000000" w:themeColor="text1"/>
          <w:sz w:val="24"/>
          <w:szCs w:val="24"/>
          <w:highlight w:val="none"/>
          <w:lang w:eastAsia="zh-CN"/>
          <w14:textFill>
            <w14:solidFill>
              <w14:schemeClr w14:val="tx1"/>
            </w14:solidFill>
          </w14:textFill>
        </w:rPr>
        <w:t>指承包人按招标文件规定的格式和要求填写、标明总承包范围内所有服务和施工内容的项目名称、项目特征、数量及价格的清单项目及价格明细表以及有效的澄清文件。价格清单包括工程设计费、建筑安装工程费等各项费用及明细。</w:t>
      </w:r>
    </w:p>
    <w:p w14:paraId="4F8109C3">
      <w:pPr>
        <w:autoSpaceDE w:val="0"/>
        <w:autoSpaceDN w:val="0"/>
        <w:adjustRightIn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1.3.16利润：</w:t>
      </w:r>
    </w:p>
    <w:p w14:paraId="24605189">
      <w:pPr>
        <w:widowControl w:val="0"/>
        <w:autoSpaceDE w:val="0"/>
        <w:autoSpaceDN w:val="0"/>
        <w:adjustRightInd w:val="0"/>
        <w:spacing w:before="120" w:beforeLines="50" w:line="360" w:lineRule="auto"/>
        <w:ind w:firstLine="480" w:firstLineChars="20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双方协商一致，通用条款1.3.1</w:t>
      </w:r>
      <w:r>
        <w:rPr>
          <w:rFonts w:ascii="仿宋" w:hAnsi="仿宋" w:eastAsia="仿宋" w:cs="仿宋"/>
          <w:color w:val="000000" w:themeColor="text1"/>
          <w:highlight w:val="none"/>
          <w:lang w:eastAsia="zh-CN"/>
          <w14:textFill>
            <w14:solidFill>
              <w14:schemeClr w14:val="tx1"/>
            </w14:solidFill>
          </w14:textFill>
        </w:rPr>
        <w:t>6</w:t>
      </w:r>
      <w:r>
        <w:rPr>
          <w:rFonts w:hint="eastAsia" w:ascii="仿宋" w:hAnsi="仿宋" w:eastAsia="仿宋" w:cs="仿宋"/>
          <w:color w:val="000000" w:themeColor="text1"/>
          <w:highlight w:val="none"/>
          <w:lang w:eastAsia="zh-CN"/>
          <w14:textFill>
            <w14:solidFill>
              <w14:schemeClr w14:val="tx1"/>
            </w14:solidFill>
          </w14:textFill>
        </w:rPr>
        <w:t>款不适用本工程。</w:t>
      </w:r>
    </w:p>
    <w:p w14:paraId="1E24CA7D">
      <w:pPr>
        <w:pStyle w:val="40"/>
        <w:widowControl w:val="0"/>
        <w:tabs>
          <w:tab w:val="left" w:pos="1260"/>
          <w:tab w:val="left" w:pos="2160"/>
        </w:tabs>
        <w:adjustRightInd w:val="0"/>
        <w:spacing w:line="360" w:lineRule="auto"/>
        <w:ind w:firstLine="482" w:firstLineChars="200"/>
        <w:jc w:val="both"/>
        <w:rPr>
          <w:rFonts w:ascii="仿宋" w:hAnsi="仿宋" w:eastAsia="仿宋" w:cs="仿宋"/>
          <w:color w:val="000000" w:themeColor="text1"/>
          <w:sz w:val="24"/>
          <w:szCs w:val="24"/>
          <w:highlight w:val="none"/>
          <w:lang w:eastAsia="zh-CN"/>
          <w14:textFill>
            <w14:solidFill>
              <w14:schemeClr w14:val="tx1"/>
            </w14:solidFill>
          </w14:textFill>
        </w:rPr>
      </w:pPr>
      <w:r>
        <w:rPr>
          <w:rFonts w:ascii="仿宋" w:hAnsi="仿宋" w:eastAsia="仿宋" w:cs="仿宋"/>
          <w:b/>
          <w:bCs/>
          <w:color w:val="000000" w:themeColor="text1"/>
          <w:sz w:val="24"/>
          <w:szCs w:val="24"/>
          <w:highlight w:val="none"/>
          <w:lang w:eastAsia="zh-CN"/>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4.2 设计：</w:t>
      </w:r>
      <w:r>
        <w:rPr>
          <w:rFonts w:hint="eastAsia" w:ascii="仿宋" w:hAnsi="仿宋" w:eastAsia="仿宋" w:cs="仿宋"/>
          <w:color w:val="000000" w:themeColor="text1"/>
          <w:sz w:val="24"/>
          <w:szCs w:val="24"/>
          <w:highlight w:val="none"/>
          <w:lang w:eastAsia="zh-CN"/>
          <w14:textFill>
            <w14:solidFill>
              <w14:schemeClr w14:val="tx1"/>
            </w14:solidFill>
          </w14:textFill>
        </w:rPr>
        <w:t>指发包人要求承包人提供本项目施工图设计文件及相关深化设计、后期配合等服务。具体承包范围及工程内容由双方在协议书中约定。合同通用条款中所述的“初步设计”工作已由发包人依法委托前期服务单位实施，不在承包人的设计工作范围内。</w:t>
      </w:r>
    </w:p>
    <w:p w14:paraId="0478EF76">
      <w:pPr>
        <w:autoSpaceDE w:val="0"/>
        <w:autoSpaceDN w:val="0"/>
        <w:adjustRightInd w:val="0"/>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1.8.5 单项工程：</w:t>
      </w:r>
      <w:r>
        <w:rPr>
          <w:rFonts w:hint="eastAsia" w:ascii="仿宋" w:hAnsi="仿宋" w:eastAsia="仿宋" w:cs="仿宋"/>
          <w:color w:val="000000" w:themeColor="text1"/>
          <w:highlight w:val="none"/>
          <w:u w:val="single"/>
          <w:lang w:eastAsia="zh-CN"/>
          <w14:textFill>
            <w14:solidFill>
              <w14:schemeClr w14:val="tx1"/>
            </w14:solidFill>
          </w14:textFill>
        </w:rPr>
        <w:t>（详见招标图纸）</w:t>
      </w:r>
    </w:p>
    <w:p w14:paraId="2E873160">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1.10.7  所采用的书面形式包括： </w:t>
      </w:r>
    </w:p>
    <w:p w14:paraId="137DE97F">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合同文件；</w:t>
      </w:r>
    </w:p>
    <w:p w14:paraId="60737AC3">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信函；</w:t>
      </w:r>
    </w:p>
    <w:p w14:paraId="49396B92">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电报；</w:t>
      </w:r>
    </w:p>
    <w:p w14:paraId="3AE0ACFC">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传真；</w:t>
      </w:r>
    </w:p>
    <w:p w14:paraId="58591D6E">
      <w:pPr>
        <w:autoSpaceDE w:val="0"/>
        <w:autoSpaceDN w:val="0"/>
        <w:adjustRightInd w:val="0"/>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会议纪要；</w:t>
      </w:r>
    </w:p>
    <w:p w14:paraId="6DCAF5A7">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电子邮件；</w:t>
      </w:r>
    </w:p>
    <w:p w14:paraId="1E3EE8B4">
      <w:pPr>
        <w:autoSpaceDE w:val="0"/>
        <w:autoSpaceDN w:val="0"/>
        <w:adjustRightInd w:val="0"/>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其他：</w:t>
      </w:r>
    </w:p>
    <w:p w14:paraId="6E71FD8E">
      <w:pPr>
        <w:autoSpaceDE w:val="0"/>
        <w:autoSpaceDN w:val="0"/>
        <w:adjustRightInd w:val="0"/>
        <w:spacing w:line="360" w:lineRule="auto"/>
        <w:rPr>
          <w:rFonts w:ascii="仿宋" w:hAnsi="仿宋" w:eastAsia="仿宋"/>
          <w:b/>
          <w:color w:val="000000" w:themeColor="text1"/>
          <w:highlight w:val="none"/>
          <w:lang w:eastAsia="zh-CN"/>
          <w14:textFill>
            <w14:solidFill>
              <w14:schemeClr w14:val="tx1"/>
            </w14:solidFill>
          </w14:textFill>
        </w:rPr>
      </w:pPr>
      <w:r>
        <w:rPr>
          <w:rFonts w:hint="eastAsia" w:ascii="仿宋" w:hAnsi="仿宋" w:eastAsia="仿宋"/>
          <w:b/>
          <w:color w:val="000000" w:themeColor="text1"/>
          <w:highlight w:val="none"/>
          <w:lang w:eastAsia="zh-CN"/>
          <w14:textFill>
            <w14:solidFill>
              <w14:schemeClr w14:val="tx1"/>
            </w14:solidFill>
          </w14:textFill>
        </w:rPr>
        <w:t>增加以下1.10.9-1.10.16款：</w:t>
      </w:r>
    </w:p>
    <w:p w14:paraId="26192B52">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1.10.9承包人违约的定义及分类</w:t>
      </w:r>
    </w:p>
    <w:p w14:paraId="2E9FB0A6">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（1）承包人违约责任的定义：指合同承包人不履行或不完全履行合同约定的义务或者履行义务不符合合同约定所应承担的责任。</w:t>
      </w:r>
    </w:p>
    <w:p w14:paraId="3F488B33">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（2）承包人违约的分类及处理方式</w:t>
      </w:r>
    </w:p>
    <w:p w14:paraId="5D10F486">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1）一般违约责任。指虽然违反本合同的约定，但其违约行为不对本合同的履行造成严重影响而应承担的责任。违约处理方式：承担10000元（含税）/次的违约处罚，书面警告限期改正。</w:t>
      </w:r>
    </w:p>
    <w:p w14:paraId="6E81A014">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2）较大违约责任。指违反本合同的约定且其违约行为足以对本合同的履行造成较大或较实质性的影响而应承担的责任。违约处理方式：承担30000元（含税）/次的违约处罚，书面警告限期改正。</w:t>
      </w:r>
    </w:p>
    <w:p w14:paraId="7DE71294">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3）严重违约责任。指违反本合同的约定且其违约行为足以对本合同的履行造成严重或实质性的影响而应承担的责任。违约处理方式：承担50000元（含税）/次的违约处罚，书面警告限期改正。</w:t>
      </w:r>
    </w:p>
    <w:p w14:paraId="24C0A696">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4）根本违约责任。指违反本合同的约定且其违约行为造成本合同无法履行而应承担的责任。违约处理方式包括：</w:t>
      </w:r>
    </w:p>
    <w:p w14:paraId="0DC394D9">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他方面损失的，发包人有权要求承包人赔偿相关损失。</w:t>
      </w:r>
    </w:p>
    <w:p w14:paraId="2331FFD5">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50304E4B">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（3）其他说明</w:t>
      </w:r>
    </w:p>
    <w:p w14:paraId="68386AC3">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1）承包人按本合同约定应缴纳的违约金和赔偿金应分别计算。违约金累计总额不超过本合同结算价款的25%；</w:t>
      </w:r>
    </w:p>
    <w:p w14:paraId="57649AAC">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2）赔偿损失：因承包人原因造成发包人经济损失的，承包人应赔偿发包人的经济损失，除承担上述违约责任外，承包人还应根据合同约定赔偿损失，损失金额上限不超过本合同结算价；</w:t>
      </w:r>
    </w:p>
    <w:p w14:paraId="498E9E89">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3）在本合同有效期内：</w:t>
      </w:r>
    </w:p>
    <w:p w14:paraId="7F64D6BE">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①承包人因同一事项承担一般违约责任处罚累计达3次的，另行追加较大违约责任处罚1次；</w:t>
      </w:r>
    </w:p>
    <w:p w14:paraId="5A8F2338">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②承包人因同一事项承担较大违约责任处罚累计达3次的，另行追加严重违约责任处罚1次；</w:t>
      </w:r>
    </w:p>
    <w:p w14:paraId="40470046">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③承包人因同一事项承担严重违约责任处罚累计达3次的，发包人有权单方面部分解除合同或解除合同而不承担违约责任。</w:t>
      </w:r>
    </w:p>
    <w:p w14:paraId="7EE24A9A">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4A54F998">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38F81B9A">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1.10.10安全事故等级[《住房城乡建设部关于印发〈房屋市政工程生产安全事故报告和查处工作规程〉的通知》（建质〔2013〕4号）]：</w:t>
      </w:r>
    </w:p>
    <w:p w14:paraId="2147C58E">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（1）特别重大事故，是指造成30人以上死亡，或者100人以上重伤，或者1亿元以上直接经济损失的事故；</w:t>
      </w:r>
    </w:p>
    <w:p w14:paraId="59728D8F">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（2）重大事故，是指造成10人以上30人以下死亡，或者50人以上100人以下重伤，或者5000万元以上1亿元以下直接经济损失的事故；</w:t>
      </w:r>
    </w:p>
    <w:p w14:paraId="1AAD90E7">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（3）较大事故，是指造成3人以上10人以下死亡，或者10人以上50人以下重伤，或者1000万元以上5000万元以下直接经济损失的事故；</w:t>
      </w:r>
    </w:p>
    <w:p w14:paraId="0F9C9B41">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（4）一般事故，是指造成3人以下死亡，或者10人以下重伤，或者100万元以上1000万元以下直接经济损失的事故。</w:t>
      </w:r>
    </w:p>
    <w:p w14:paraId="05FCBBF9">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上述所称的“以上”包括本数，所称的“以下”不包括本数。</w:t>
      </w:r>
    </w:p>
    <w:p w14:paraId="4BC3EB24">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1.10.11质量事故等级[《关于做好房屋建筑和市政基础设施工程质量事故报告和调查处理工作的通知》（建质〔2010〕111号）]：</w:t>
      </w:r>
    </w:p>
    <w:p w14:paraId="362099F2">
      <w:pPr>
        <w:autoSpaceDE w:val="0"/>
        <w:autoSpaceDN w:val="0"/>
        <w:adjustRightInd w:val="0"/>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根据工程质量事故造成的人员伤亡或者直接经济损失，工程质量事故分为4个等级：</w:t>
      </w:r>
    </w:p>
    <w:p w14:paraId="1BBEB8E6">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 xml:space="preserve">（1）特别重大事故，是指造成30人以上死亡，或者100人以上重伤，或者1亿元以上直接经济损失的事故； </w:t>
      </w:r>
    </w:p>
    <w:p w14:paraId="7EC81D2D">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（2）重大事故，是指造成10人以上30人以下死亡，或者50人以上100人以下重伤，或者5000万元以上1亿元以下直接经济损失的事故；</w:t>
      </w:r>
    </w:p>
    <w:p w14:paraId="5E144E71">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（3）较大事故，是指造成3人以上10人以下死亡，或者10人以上50人以下重伤，或者1000万元以上5000万元以下直接经济损失的事故；</w:t>
      </w:r>
    </w:p>
    <w:p w14:paraId="4C123212">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（4）一般事故，是指造成3人以下死亡，或者10人以下重伤，或者100万元以上1000万元以下直接经济损失的事故。</w:t>
      </w:r>
    </w:p>
    <w:p w14:paraId="7117C164">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本等级划分所称的“以上”包括本数，所称的“以下”不包括本数。</w:t>
      </w:r>
    </w:p>
    <w:p w14:paraId="376305E6">
      <w:pPr>
        <w:autoSpaceDE w:val="0"/>
        <w:autoSpaceDN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1.10.12暂列金额：是指发包人在招标文件中给定的，用于在招标时尚未确定或不可预见变更的设计、施工及其所需材料、工程设备、服务等的金额，使用范围按相关文件规定执行。</w:t>
      </w:r>
    </w:p>
    <w:p w14:paraId="6CE62A09">
      <w:pPr>
        <w:autoSpaceDE w:val="0"/>
        <w:autoSpaceDN w:val="0"/>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建筑安装工程费可调整事项费用经审批后使用预备费支付的，以预备费总额为限。</w:t>
      </w:r>
    </w:p>
    <w:p w14:paraId="54E7812C">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1.10.13重大变更：根据发包人的相关规定执行。</w:t>
      </w:r>
    </w:p>
    <w:p w14:paraId="50535006">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1.10.14质量验收：市或地区住建局属下的质量监督部门按相关法律法规，对整体工程进行验收，并颁发《竣工联合验收意见书》（以相关部门/单位出具的最终文件名称为准）。</w:t>
      </w:r>
    </w:p>
    <w:p w14:paraId="2731C442">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1.10.15档案验收：工程竣工资料通过工程所在地档案馆验收，并取得《建设工程档案专项验收意见书》。</w:t>
      </w:r>
    </w:p>
    <w:p w14:paraId="3B42D5CB">
      <w:pPr>
        <w:autoSpaceDE w:val="0"/>
        <w:autoSpaceDN w:val="0"/>
        <w:adjustRightIn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1.10.16本工程综合考评委员会：指在本工程建设期间，由发包人组建的、代表发包人对各参建单位合同履约情况进行考核的机构。</w:t>
      </w:r>
    </w:p>
    <w:p w14:paraId="0E10A0F8">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591" w:name="_Toc149731546"/>
      <w:bookmarkStart w:id="592" w:name="_Toc548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  合同文件及解释</w:t>
      </w:r>
      <w:bookmarkEnd w:id="591"/>
      <w:bookmarkEnd w:id="592"/>
    </w:p>
    <w:p w14:paraId="2EFC03DD">
      <w:pPr>
        <w:spacing w:line="360" w:lineRule="auto"/>
        <w:ind w:firstLine="480" w:firstLineChars="200"/>
        <w:rPr>
          <w:rFonts w:ascii="仿宋" w:hAnsi="仿宋" w:eastAsia="仿宋" w:cs="仿宋"/>
          <w:b/>
          <w:bCs/>
          <w:color w:val="000000" w:themeColor="text1"/>
          <w:highlight w:val="none"/>
          <w:lang w:eastAsia="zh-CN"/>
          <w14:textFill>
            <w14:solidFill>
              <w14:schemeClr w14:val="tx1"/>
            </w14:solidFill>
          </w14:textFill>
        </w:rPr>
      </w:pPr>
      <w:bookmarkStart w:id="593" w:name="_Toc20134"/>
      <w:r>
        <w:rPr>
          <w:rFonts w:hint="eastAsia" w:ascii="仿宋" w:hAnsi="仿宋" w:eastAsia="仿宋" w:cs="仿宋"/>
          <w:color w:val="000000" w:themeColor="text1"/>
          <w:highlight w:val="none"/>
          <w:lang w:eastAsia="zh-CN"/>
          <w14:textFill>
            <w14:solidFill>
              <w14:schemeClr w14:val="tx1"/>
            </w14:solidFill>
          </w14:textFill>
        </w:rPr>
        <w:t xml:space="preserve">2.2 </w:t>
      </w:r>
      <w:r>
        <w:rPr>
          <w:rFonts w:hint="eastAsia" w:ascii="仿宋" w:hAnsi="仿宋" w:eastAsia="仿宋" w:cs="仿宋"/>
          <w:b/>
          <w:bCs/>
          <w:color w:val="000000" w:themeColor="text1"/>
          <w:highlight w:val="none"/>
          <w:lang w:eastAsia="zh-CN"/>
          <w14:textFill>
            <w14:solidFill>
              <w14:schemeClr w14:val="tx1"/>
            </w14:solidFill>
          </w14:textFill>
        </w:rPr>
        <w:t>合同文件组成及优先顺序</w:t>
      </w:r>
      <w:bookmarkEnd w:id="593"/>
    </w:p>
    <w:p w14:paraId="152D10D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合同文件组成及优先顺序为： </w:t>
      </w:r>
    </w:p>
    <w:p w14:paraId="7CEC2D5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（1）补充合同（协议）或修正文件；</w:t>
      </w:r>
    </w:p>
    <w:p w14:paraId="0B93907D">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（2）协议书；</w:t>
      </w:r>
    </w:p>
    <w:p w14:paraId="371ABBE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（3）中标通知书；</w:t>
      </w:r>
    </w:p>
    <w:p w14:paraId="17A6E15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（4）本合同专用条款；</w:t>
      </w:r>
    </w:p>
    <w:p w14:paraId="781E787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w:t>
      </w:r>
      <w:r>
        <w:rPr>
          <w:rFonts w:ascii="仿宋" w:hAnsi="仿宋" w:eastAsia="仿宋" w:cs="仿宋"/>
          <w:color w:val="000000" w:themeColor="text1"/>
          <w:highlight w:val="none"/>
          <w:u w:val="single"/>
          <w:lang w:eastAsia="zh-CN"/>
          <w14:textFill>
            <w14:solidFill>
              <w14:schemeClr w14:val="tx1"/>
            </w14:solidFill>
          </w14:textFill>
        </w:rPr>
        <w:t>5</w:t>
      </w:r>
      <w:r>
        <w:rPr>
          <w:rFonts w:hint="eastAsia" w:ascii="仿宋" w:hAnsi="仿宋" w:eastAsia="仿宋" w:cs="仿宋"/>
          <w:color w:val="000000" w:themeColor="text1"/>
          <w:highlight w:val="none"/>
          <w:u w:val="single"/>
          <w:lang w:eastAsia="zh-CN"/>
          <w14:textFill>
            <w14:solidFill>
              <w14:schemeClr w14:val="tx1"/>
            </w14:solidFill>
          </w14:textFill>
        </w:rPr>
        <w:t>）发包人针对本工程管理的各项制度、规定；</w:t>
      </w:r>
    </w:p>
    <w:p w14:paraId="4400C5EC">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w:t>
      </w:r>
      <w:r>
        <w:rPr>
          <w:rFonts w:ascii="仿宋" w:hAnsi="仿宋" w:eastAsia="仿宋" w:cs="仿宋"/>
          <w:color w:val="000000" w:themeColor="text1"/>
          <w:highlight w:val="none"/>
          <w:u w:val="single"/>
          <w:lang w:eastAsia="zh-CN"/>
          <w14:textFill>
            <w14:solidFill>
              <w14:schemeClr w14:val="tx1"/>
            </w14:solidFill>
          </w14:textFill>
        </w:rPr>
        <w:t>6</w:t>
      </w:r>
      <w:r>
        <w:rPr>
          <w:rFonts w:hint="eastAsia" w:ascii="仿宋" w:hAnsi="仿宋" w:eastAsia="仿宋" w:cs="仿宋"/>
          <w:color w:val="000000" w:themeColor="text1"/>
          <w:highlight w:val="none"/>
          <w:u w:val="single"/>
          <w:lang w:eastAsia="zh-CN"/>
          <w14:textFill>
            <w14:solidFill>
              <w14:schemeClr w14:val="tx1"/>
            </w14:solidFill>
          </w14:textFill>
        </w:rPr>
        <w:t>）合同附件[属本条第（1）项和第（</w:t>
      </w:r>
      <w:r>
        <w:rPr>
          <w:rFonts w:ascii="仿宋" w:hAnsi="仿宋" w:eastAsia="仿宋" w:cs="仿宋"/>
          <w:color w:val="000000" w:themeColor="text1"/>
          <w:highlight w:val="none"/>
          <w:u w:val="single"/>
          <w:lang w:eastAsia="zh-CN"/>
          <w14:textFill>
            <w14:solidFill>
              <w14:schemeClr w14:val="tx1"/>
            </w14:solidFill>
          </w14:textFill>
        </w:rPr>
        <w:t>5</w:t>
      </w:r>
      <w:r>
        <w:rPr>
          <w:rFonts w:hint="eastAsia" w:ascii="仿宋" w:hAnsi="仿宋" w:eastAsia="仿宋" w:cs="仿宋"/>
          <w:color w:val="000000" w:themeColor="text1"/>
          <w:highlight w:val="none"/>
          <w:u w:val="single"/>
          <w:lang w:eastAsia="zh-CN"/>
          <w14:textFill>
            <w14:solidFill>
              <w14:schemeClr w14:val="tx1"/>
            </w14:solidFill>
          </w14:textFill>
        </w:rPr>
        <w:t>）项内容的除外]；</w:t>
      </w:r>
    </w:p>
    <w:p w14:paraId="6CB5D44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w:t>
      </w:r>
      <w:r>
        <w:rPr>
          <w:rFonts w:ascii="仿宋" w:hAnsi="仿宋" w:eastAsia="仿宋" w:cs="仿宋"/>
          <w:color w:val="000000" w:themeColor="text1"/>
          <w:highlight w:val="none"/>
          <w:u w:val="single"/>
          <w:lang w:eastAsia="zh-CN"/>
          <w14:textFill>
            <w14:solidFill>
              <w14:schemeClr w14:val="tx1"/>
            </w14:solidFill>
          </w14:textFill>
        </w:rPr>
        <w:t>7</w:t>
      </w:r>
      <w:r>
        <w:rPr>
          <w:rFonts w:hint="eastAsia" w:ascii="仿宋" w:hAnsi="仿宋" w:eastAsia="仿宋" w:cs="仿宋"/>
          <w:color w:val="000000" w:themeColor="text1"/>
          <w:highlight w:val="none"/>
          <w:u w:val="single"/>
          <w:lang w:eastAsia="zh-CN"/>
          <w14:textFill>
            <w14:solidFill>
              <w14:schemeClr w14:val="tx1"/>
            </w14:solidFill>
          </w14:textFill>
        </w:rPr>
        <w:t>）本合同通用条款；</w:t>
      </w:r>
    </w:p>
    <w:p w14:paraId="169CECE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w:t>
      </w:r>
      <w:r>
        <w:rPr>
          <w:rFonts w:ascii="仿宋" w:hAnsi="仿宋" w:eastAsia="仿宋" w:cs="仿宋"/>
          <w:color w:val="000000" w:themeColor="text1"/>
          <w:highlight w:val="none"/>
          <w:u w:val="single"/>
          <w:lang w:eastAsia="zh-CN"/>
          <w14:textFill>
            <w14:solidFill>
              <w14:schemeClr w14:val="tx1"/>
            </w14:solidFill>
          </w14:textFill>
        </w:rPr>
        <w:t>8</w:t>
      </w:r>
      <w:r>
        <w:rPr>
          <w:rFonts w:hint="eastAsia" w:ascii="仿宋" w:hAnsi="仿宋" w:eastAsia="仿宋" w:cs="仿宋"/>
          <w:color w:val="000000" w:themeColor="text1"/>
          <w:highlight w:val="none"/>
          <w:u w:val="single"/>
          <w:lang w:eastAsia="zh-CN"/>
          <w14:textFill>
            <w14:solidFill>
              <w14:schemeClr w14:val="tx1"/>
            </w14:solidFill>
          </w14:textFill>
        </w:rPr>
        <w:t>）招标文件[含招标文件补充文件、澄清文件、答疑文件、招标图等，属本条第（</w:t>
      </w:r>
      <w:r>
        <w:rPr>
          <w:rFonts w:ascii="仿宋" w:hAnsi="仿宋" w:eastAsia="仿宋" w:cs="仿宋"/>
          <w:color w:val="000000" w:themeColor="text1"/>
          <w:highlight w:val="none"/>
          <w:u w:val="single"/>
          <w:lang w:eastAsia="zh-CN"/>
          <w14:textFill>
            <w14:solidFill>
              <w14:schemeClr w14:val="tx1"/>
            </w14:solidFill>
          </w14:textFill>
        </w:rPr>
        <w:t>6</w:t>
      </w:r>
      <w:r>
        <w:rPr>
          <w:rFonts w:hint="eastAsia" w:ascii="仿宋" w:hAnsi="仿宋" w:eastAsia="仿宋" w:cs="仿宋"/>
          <w:color w:val="000000" w:themeColor="text1"/>
          <w:highlight w:val="none"/>
          <w:u w:val="single"/>
          <w:lang w:eastAsia="zh-CN"/>
          <w14:textFill>
            <w14:solidFill>
              <w14:schemeClr w14:val="tx1"/>
            </w14:solidFill>
          </w14:textFill>
        </w:rPr>
        <w:t>）项内容的除外]；</w:t>
      </w:r>
    </w:p>
    <w:p w14:paraId="1D39166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w:t>
      </w:r>
      <w:r>
        <w:rPr>
          <w:rFonts w:ascii="仿宋" w:hAnsi="仿宋" w:eastAsia="仿宋" w:cs="仿宋"/>
          <w:color w:val="000000" w:themeColor="text1"/>
          <w:highlight w:val="none"/>
          <w:u w:val="single"/>
          <w:lang w:eastAsia="zh-CN"/>
          <w14:textFill>
            <w14:solidFill>
              <w14:schemeClr w14:val="tx1"/>
            </w14:solidFill>
          </w14:textFill>
        </w:rPr>
        <w:t>9</w:t>
      </w:r>
      <w:r>
        <w:rPr>
          <w:rFonts w:hint="eastAsia" w:ascii="仿宋" w:hAnsi="仿宋" w:eastAsia="仿宋" w:cs="仿宋"/>
          <w:color w:val="000000" w:themeColor="text1"/>
          <w:highlight w:val="none"/>
          <w:u w:val="single"/>
          <w:lang w:eastAsia="zh-CN"/>
          <w14:textFill>
            <w14:solidFill>
              <w14:schemeClr w14:val="tx1"/>
            </w14:solidFill>
          </w14:textFill>
        </w:rPr>
        <w:t>）承包人投标文件及其附件[含投标文件澄清等，属本条第（</w:t>
      </w:r>
      <w:r>
        <w:rPr>
          <w:rFonts w:ascii="仿宋" w:hAnsi="仿宋" w:eastAsia="仿宋" w:cs="仿宋"/>
          <w:color w:val="000000" w:themeColor="text1"/>
          <w:highlight w:val="none"/>
          <w:u w:val="single"/>
          <w:lang w:eastAsia="zh-CN"/>
          <w14:textFill>
            <w14:solidFill>
              <w14:schemeClr w14:val="tx1"/>
            </w14:solidFill>
          </w14:textFill>
        </w:rPr>
        <w:t>6</w:t>
      </w:r>
      <w:r>
        <w:rPr>
          <w:rFonts w:hint="eastAsia" w:ascii="仿宋" w:hAnsi="仿宋" w:eastAsia="仿宋" w:cs="仿宋"/>
          <w:color w:val="000000" w:themeColor="text1"/>
          <w:highlight w:val="none"/>
          <w:u w:val="single"/>
          <w:lang w:eastAsia="zh-CN"/>
          <w14:textFill>
            <w14:solidFill>
              <w14:schemeClr w14:val="tx1"/>
            </w14:solidFill>
          </w14:textFill>
        </w:rPr>
        <w:t>）项内容的除外]；</w:t>
      </w:r>
    </w:p>
    <w:p w14:paraId="321C9DD8">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（10）相关政府主管部门关于本工程的有关文件；</w:t>
      </w:r>
    </w:p>
    <w:p w14:paraId="0EE0450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（11）国家及广东省、广州市的标准、规范及有关技术文件；</w:t>
      </w:r>
    </w:p>
    <w:p w14:paraId="4CC5FEE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（12）组成合同的其他文件。</w:t>
      </w:r>
    </w:p>
    <w:p w14:paraId="62D0D56F">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594" w:name="_Toc26636"/>
      <w:bookmarkStart w:id="595" w:name="_Toc14973154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  语言及适用的法律、标准与</w:t>
      </w:r>
      <w:r>
        <w:rPr>
          <w:rFonts w:hint="eastAsia" w:ascii="仿宋" w:hAnsi="仿宋" w:eastAsia="仿宋"/>
          <w:b w:val="0"/>
          <w:bCs w:val="0"/>
          <w:color w:val="000000" w:themeColor="text1"/>
          <w:sz w:val="24"/>
          <w:szCs w:val="24"/>
          <w:highlight w:val="none"/>
          <w:lang w:eastAsia="zh-CN"/>
          <w14:textFill>
            <w14:solidFill>
              <w14:schemeClr w14:val="tx1"/>
            </w14:solidFill>
          </w14:textFill>
        </w:rPr>
        <w:t>规范</w:t>
      </w:r>
      <w:bookmarkEnd w:id="594"/>
      <w:bookmarkEnd w:id="595"/>
    </w:p>
    <w:p w14:paraId="0098E44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4.1 语言文字</w:t>
      </w:r>
    </w:p>
    <w:p w14:paraId="047A79A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与合同有关的联络应使用的语言：</w:t>
      </w:r>
      <w:r>
        <w:rPr>
          <w:rFonts w:hint="eastAsia" w:ascii="仿宋" w:hAnsi="仿宋" w:eastAsia="仿宋" w:cs="仿宋"/>
          <w:color w:val="000000" w:themeColor="text1"/>
          <w:highlight w:val="none"/>
          <w:u w:val="single"/>
          <w:lang w:eastAsia="zh-CN"/>
          <w14:textFill>
            <w14:solidFill>
              <w14:schemeClr w14:val="tx1"/>
            </w14:solidFill>
          </w14:textFill>
        </w:rPr>
        <w:t xml:space="preserve"> 汉语简体语言。</w:t>
      </w:r>
    </w:p>
    <w:p w14:paraId="6999807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4.2适用法律</w:t>
      </w:r>
    </w:p>
    <w:p w14:paraId="40E22C2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3FC5BE3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履行合同期间，合同双方当事人均应遵守适用的法律。</w:t>
      </w:r>
    </w:p>
    <w:p w14:paraId="201F5E8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 适用标准与规范</w:t>
      </w:r>
    </w:p>
    <w:p w14:paraId="6E7B633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约定适用的标准、规范的名称：</w:t>
      </w:r>
      <w:r>
        <w:rPr>
          <w:rFonts w:hint="eastAsia" w:ascii="仿宋" w:hAnsi="仿宋" w:eastAsia="仿宋" w:cs="仿宋"/>
          <w:color w:val="000000" w:themeColor="text1"/>
          <w:highlight w:val="none"/>
          <w:u w:val="single"/>
          <w:lang w:eastAsia="zh-CN"/>
          <w14:textFill>
            <w14:solidFill>
              <w14:schemeClr w14:val="tx1"/>
            </w14:solidFill>
          </w14:textFill>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0E9A624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53B98FF7">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596" w:name="_Toc149731548"/>
      <w:bookmarkStart w:id="597" w:name="_Toc750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  发包人要求</w:t>
      </w:r>
      <w:bookmarkEnd w:id="596"/>
      <w:bookmarkEnd w:id="597"/>
    </w:p>
    <w:p w14:paraId="10D4E3D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5.1 发包人要求的提供：</w:t>
      </w:r>
      <w:r>
        <w:rPr>
          <w:rFonts w:hint="eastAsia" w:ascii="仿宋" w:hAnsi="仿宋" w:eastAsia="仿宋" w:cs="仿宋"/>
          <w:color w:val="000000" w:themeColor="text1"/>
          <w:highlight w:val="none"/>
          <w:u w:val="single"/>
          <w:lang w:eastAsia="zh-CN"/>
          <w14:textFill>
            <w14:solidFill>
              <w14:schemeClr w14:val="tx1"/>
            </w14:solidFill>
          </w14:textFill>
        </w:rPr>
        <w:t>详见合同第四部分附件十《发包人要求》。承包人应尽早认真阅读、复核《发包人要求》以及其提供的基础资料，发现错误的，应及时书面通知发包人补正。合同履行阶段，如有补充要求的，发包人以书面形式通知承包人。</w:t>
      </w:r>
    </w:p>
    <w:p w14:paraId="52350179">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598" w:name="_Toc9024"/>
      <w:bookmarkStart w:id="599" w:name="_Toc149731549"/>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  项目基础资料的提供</w:t>
      </w:r>
      <w:bookmarkEnd w:id="598"/>
      <w:bookmarkEnd w:id="599"/>
    </w:p>
    <w:p w14:paraId="5686676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6.1发包人提供项目基础资料：</w:t>
      </w:r>
      <w:r>
        <w:rPr>
          <w:rFonts w:hint="eastAsia" w:ascii="仿宋" w:hAnsi="仿宋" w:eastAsia="仿宋" w:cs="仿宋"/>
          <w:color w:val="000000" w:themeColor="text1"/>
          <w:highlight w:val="none"/>
          <w:u w:val="single"/>
          <w:lang w:eastAsia="zh-CN"/>
          <w14:textFill>
            <w14:solidFill>
              <w14:schemeClr w14:val="tx1"/>
            </w14:solidFill>
          </w14:textFill>
        </w:rPr>
        <w:t>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7D39E28F">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00" w:name="_Toc22714"/>
      <w:bookmarkStart w:id="601" w:name="_Toc14973155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7.  勘察报告、设计文件、建筑信息模型（BIM）</w:t>
      </w:r>
      <w:bookmarkEnd w:id="600"/>
      <w:bookmarkEnd w:id="601"/>
    </w:p>
    <w:p w14:paraId="30B589B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7.1 承包人提供勘察报告</w:t>
      </w:r>
    </w:p>
    <w:p w14:paraId="3F716F2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不涉及 </w:t>
      </w:r>
    </w:p>
    <w:p w14:paraId="7DC0EE3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②提供的数量：</w:t>
      </w:r>
      <w:r>
        <w:rPr>
          <w:rFonts w:hint="eastAsia" w:ascii="仿宋" w:hAnsi="仿宋" w:eastAsia="仿宋" w:cs="仿宋"/>
          <w:color w:val="000000" w:themeColor="text1"/>
          <w:highlight w:val="none"/>
          <w:u w:val="single"/>
          <w:lang w:eastAsia="zh-CN"/>
          <w14:textFill>
            <w14:solidFill>
              <w14:schemeClr w14:val="tx1"/>
            </w14:solidFill>
          </w14:textFill>
        </w:rPr>
        <w:t xml:space="preserve">不涉及  </w:t>
      </w:r>
    </w:p>
    <w:p w14:paraId="6D7EF09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③发包人或设计顾问人答复的时间：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不涉及 </w:t>
      </w:r>
    </w:p>
    <w:p w14:paraId="39E1D25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 承包人提供设计文件</w:t>
      </w:r>
    </w:p>
    <w:p w14:paraId="2750021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初步设计文件（适用于可行性研究报告批准后或备案发包）：</w:t>
      </w:r>
    </w:p>
    <w:p w14:paraId="436D110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①提供的时间：</w:t>
      </w:r>
    </w:p>
    <w:p w14:paraId="4A344B1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②提供的数量：</w:t>
      </w:r>
    </w:p>
    <w:p w14:paraId="53314E4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③发包人或设计顾问人答复的时间：</w:t>
      </w:r>
    </w:p>
    <w:p w14:paraId="2594D7F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承包人提供施工图设计文件（适用于初步设计批准后或备案发包）</w:t>
      </w:r>
    </w:p>
    <w:tbl>
      <w:tblPr>
        <w:tblStyle w:val="78"/>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1984"/>
        <w:gridCol w:w="2227"/>
      </w:tblGrid>
      <w:tr w14:paraId="54D60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5A2E7805">
            <w:pPr>
              <w:pStyle w:val="225"/>
              <w:ind w:right="50" w:rightChars="21"/>
              <w:jc w:val="center"/>
              <w:rPr>
                <w:rFonts w:ascii="仿宋" w:hAnsi="仿宋" w:eastAsia="仿宋"/>
                <w:b/>
                <w:color w:val="000000" w:themeColor="text1"/>
                <w:sz w:val="21"/>
                <w:szCs w:val="21"/>
                <w:highlight w:val="none"/>
                <w14:textFill>
                  <w14:solidFill>
                    <w14:schemeClr w14:val="tx1"/>
                  </w14:solidFill>
                </w14:textFill>
              </w:rPr>
            </w:pPr>
            <w:r>
              <w:rPr>
                <w:rFonts w:hint="eastAsia" w:ascii="仿宋" w:hAnsi="仿宋" w:eastAsia="仿宋"/>
                <w:b/>
                <w:color w:val="000000" w:themeColor="text1"/>
                <w:sz w:val="21"/>
                <w:szCs w:val="21"/>
                <w:highlight w:val="none"/>
                <w14:textFill>
                  <w14:solidFill>
                    <w14:schemeClr w14:val="tx1"/>
                  </w14:solidFill>
                </w14:textFill>
              </w:rPr>
              <w:t>序号</w:t>
            </w:r>
          </w:p>
        </w:tc>
        <w:tc>
          <w:tcPr>
            <w:tcW w:w="4678" w:type="dxa"/>
            <w:vAlign w:val="center"/>
          </w:tcPr>
          <w:p w14:paraId="43BF4EBA">
            <w:pPr>
              <w:pStyle w:val="225"/>
              <w:ind w:right="50" w:rightChars="21"/>
              <w:jc w:val="center"/>
              <w:rPr>
                <w:rFonts w:ascii="仿宋" w:hAnsi="仿宋" w:eastAsia="仿宋"/>
                <w:b/>
                <w:color w:val="000000" w:themeColor="text1"/>
                <w:sz w:val="21"/>
                <w:szCs w:val="21"/>
                <w:highlight w:val="none"/>
                <w14:textFill>
                  <w14:solidFill>
                    <w14:schemeClr w14:val="tx1"/>
                  </w14:solidFill>
                </w14:textFill>
              </w:rPr>
            </w:pPr>
            <w:r>
              <w:rPr>
                <w:rFonts w:hint="eastAsia" w:ascii="仿宋" w:hAnsi="仿宋" w:eastAsia="仿宋"/>
                <w:b/>
                <w:color w:val="000000" w:themeColor="text1"/>
                <w:sz w:val="21"/>
                <w:szCs w:val="21"/>
                <w:highlight w:val="none"/>
                <w14:textFill>
                  <w14:solidFill>
                    <w14:schemeClr w14:val="tx1"/>
                  </w14:solidFill>
                </w14:textFill>
              </w:rPr>
              <w:t>项目名称</w:t>
            </w:r>
          </w:p>
        </w:tc>
        <w:tc>
          <w:tcPr>
            <w:tcW w:w="1984" w:type="dxa"/>
            <w:vAlign w:val="center"/>
          </w:tcPr>
          <w:p w14:paraId="1D3C1987">
            <w:pPr>
              <w:pStyle w:val="225"/>
              <w:ind w:right="50" w:rightChars="21"/>
              <w:jc w:val="center"/>
              <w:rPr>
                <w:rFonts w:ascii="仿宋" w:hAnsi="仿宋" w:eastAsia="仿宋"/>
                <w:b/>
                <w:color w:val="000000" w:themeColor="text1"/>
                <w:sz w:val="21"/>
                <w:szCs w:val="21"/>
                <w:highlight w:val="none"/>
                <w14:textFill>
                  <w14:solidFill>
                    <w14:schemeClr w14:val="tx1"/>
                  </w14:solidFill>
                </w14:textFill>
              </w:rPr>
            </w:pPr>
            <w:r>
              <w:rPr>
                <w:rFonts w:hint="eastAsia" w:ascii="仿宋" w:hAnsi="仿宋" w:eastAsia="仿宋"/>
                <w:b/>
                <w:color w:val="000000" w:themeColor="text1"/>
                <w:sz w:val="21"/>
                <w:szCs w:val="21"/>
                <w:highlight w:val="none"/>
                <w14:textFill>
                  <w14:solidFill>
                    <w14:schemeClr w14:val="tx1"/>
                  </w14:solidFill>
                </w14:textFill>
              </w:rPr>
              <w:t>完成时间</w:t>
            </w:r>
          </w:p>
        </w:tc>
        <w:tc>
          <w:tcPr>
            <w:tcW w:w="2227" w:type="dxa"/>
            <w:vAlign w:val="center"/>
          </w:tcPr>
          <w:p w14:paraId="25AC0F5C">
            <w:pPr>
              <w:pStyle w:val="225"/>
              <w:ind w:right="50" w:rightChars="21"/>
              <w:jc w:val="center"/>
              <w:rPr>
                <w:rFonts w:ascii="仿宋" w:hAnsi="仿宋" w:eastAsia="仿宋"/>
                <w:b/>
                <w:color w:val="000000" w:themeColor="text1"/>
                <w:sz w:val="21"/>
                <w:szCs w:val="21"/>
                <w:highlight w:val="none"/>
                <w14:textFill>
                  <w14:solidFill>
                    <w14:schemeClr w14:val="tx1"/>
                  </w14:solidFill>
                </w14:textFill>
              </w:rPr>
            </w:pPr>
            <w:r>
              <w:rPr>
                <w:rFonts w:hint="eastAsia" w:ascii="仿宋" w:hAnsi="仿宋" w:eastAsia="仿宋"/>
                <w:b/>
                <w:color w:val="000000" w:themeColor="text1"/>
                <w:sz w:val="21"/>
                <w:szCs w:val="21"/>
                <w:highlight w:val="none"/>
                <w14:textFill>
                  <w14:solidFill>
                    <w14:schemeClr w14:val="tx1"/>
                  </w14:solidFill>
                </w14:textFill>
              </w:rPr>
              <w:t>备注</w:t>
            </w:r>
          </w:p>
        </w:tc>
      </w:tr>
      <w:tr w14:paraId="63630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04" w:type="dxa"/>
            <w:vAlign w:val="center"/>
          </w:tcPr>
          <w:p w14:paraId="312CDC07">
            <w:pPr>
              <w:pStyle w:val="225"/>
              <w:ind w:right="50" w:rightChars="21"/>
              <w:jc w:val="center"/>
              <w:rPr>
                <w:rFonts w:ascii="仿宋" w:hAnsi="仿宋" w:eastAsia="仿宋"/>
                <w:color w:val="000000" w:themeColor="text1"/>
                <w:sz w:val="21"/>
                <w:szCs w:val="21"/>
                <w:highlight w:val="none"/>
                <w:lang w:val="en-US"/>
                <w14:textFill>
                  <w14:solidFill>
                    <w14:schemeClr w14:val="tx1"/>
                  </w14:solidFill>
                </w14:textFill>
              </w:rPr>
            </w:pPr>
            <w:r>
              <w:rPr>
                <w:rFonts w:ascii="仿宋" w:hAnsi="仿宋" w:eastAsia="仿宋"/>
                <w:color w:val="000000" w:themeColor="text1"/>
                <w:sz w:val="21"/>
                <w:szCs w:val="21"/>
                <w:highlight w:val="none"/>
                <w:lang w:val="en-US"/>
                <w14:textFill>
                  <w14:solidFill>
                    <w14:schemeClr w14:val="tx1"/>
                  </w14:solidFill>
                </w14:textFill>
              </w:rPr>
              <w:t>1</w:t>
            </w:r>
          </w:p>
        </w:tc>
        <w:tc>
          <w:tcPr>
            <w:tcW w:w="4678" w:type="dxa"/>
            <w:vAlign w:val="center"/>
          </w:tcPr>
          <w:p w14:paraId="2101B53D">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根据发包人要求文件及其附件《设计技术标准》对初步设计进行优化</w:t>
            </w:r>
          </w:p>
        </w:tc>
        <w:tc>
          <w:tcPr>
            <w:tcW w:w="1984" w:type="dxa"/>
            <w:vAlign w:val="center"/>
          </w:tcPr>
          <w:p w14:paraId="59929D94">
            <w:pPr>
              <w:ind w:leftChars="-42" w:right="50" w:rightChars="21" w:hanging="100" w:hangingChars="48"/>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进场后</w:t>
            </w:r>
            <w:r>
              <w:rPr>
                <w:rFonts w:hint="eastAsia" w:ascii="仿宋" w:hAnsi="仿宋" w:eastAsia="仿宋"/>
                <w:color w:val="000000" w:themeColor="text1"/>
                <w:sz w:val="21"/>
                <w:szCs w:val="21"/>
                <w:highlight w:val="none"/>
                <w:lang w:eastAsia="zh-CN"/>
                <w14:textFill>
                  <w14:solidFill>
                    <w14:schemeClr w14:val="tx1"/>
                  </w14:solidFill>
                </w14:textFill>
              </w:rPr>
              <w:t>1</w:t>
            </w:r>
            <w:r>
              <w:rPr>
                <w:rFonts w:hint="eastAsia" w:ascii="仿宋" w:hAnsi="仿宋" w:eastAsia="仿宋"/>
                <w:color w:val="000000" w:themeColor="text1"/>
                <w:sz w:val="21"/>
                <w:szCs w:val="21"/>
                <w:highlight w:val="none"/>
                <w14:textFill>
                  <w14:solidFill>
                    <w14:schemeClr w14:val="tx1"/>
                  </w14:solidFill>
                </w14:textFill>
              </w:rPr>
              <w:t>周内</w:t>
            </w:r>
          </w:p>
        </w:tc>
        <w:tc>
          <w:tcPr>
            <w:tcW w:w="2227" w:type="dxa"/>
            <w:vAlign w:val="center"/>
          </w:tcPr>
          <w:p w14:paraId="68B42E59">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设计优化通过审批后进行施工图设计</w:t>
            </w:r>
          </w:p>
        </w:tc>
      </w:tr>
      <w:tr w14:paraId="369B9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694F3C2A">
            <w:pPr>
              <w:pStyle w:val="225"/>
              <w:ind w:right="50" w:rightChars="21"/>
              <w:jc w:val="center"/>
              <w:rPr>
                <w:rFonts w:ascii="仿宋" w:hAnsi="仿宋" w:eastAsia="仿宋"/>
                <w:color w:val="000000" w:themeColor="text1"/>
                <w:sz w:val="21"/>
                <w:szCs w:val="21"/>
                <w:highlight w:val="none"/>
                <w:lang w:val="en-US"/>
                <w14:textFill>
                  <w14:solidFill>
                    <w14:schemeClr w14:val="tx1"/>
                  </w14:solidFill>
                </w14:textFill>
              </w:rPr>
            </w:pPr>
            <w:r>
              <w:rPr>
                <w:rFonts w:hint="eastAsia" w:ascii="仿宋" w:hAnsi="仿宋" w:eastAsia="仿宋"/>
                <w:color w:val="000000" w:themeColor="text1"/>
                <w:sz w:val="21"/>
                <w:szCs w:val="21"/>
                <w:highlight w:val="none"/>
                <w:lang w:val="en-US"/>
                <w14:textFill>
                  <w14:solidFill>
                    <w14:schemeClr w14:val="tx1"/>
                  </w14:solidFill>
                </w14:textFill>
              </w:rPr>
              <w:t>2</w:t>
            </w:r>
          </w:p>
        </w:tc>
        <w:tc>
          <w:tcPr>
            <w:tcW w:w="4678" w:type="dxa"/>
            <w:vAlign w:val="center"/>
          </w:tcPr>
          <w:p w14:paraId="1FC40721">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基坑施工图</w:t>
            </w:r>
          </w:p>
        </w:tc>
        <w:tc>
          <w:tcPr>
            <w:tcW w:w="1984" w:type="dxa"/>
            <w:vAlign w:val="center"/>
          </w:tcPr>
          <w:p w14:paraId="3E5237BC">
            <w:pPr>
              <w:ind w:leftChars="-42" w:right="50" w:rightChars="21" w:hanging="100" w:hangingChars="48"/>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按发包人书面通知</w:t>
            </w:r>
          </w:p>
        </w:tc>
        <w:tc>
          <w:tcPr>
            <w:tcW w:w="2227" w:type="dxa"/>
            <w:vAlign w:val="center"/>
          </w:tcPr>
          <w:p w14:paraId="7330EA5B">
            <w:pPr>
              <w:pStyle w:val="225"/>
              <w:ind w:right="50" w:rightChars="21"/>
              <w:rPr>
                <w:rFonts w:ascii="仿宋" w:hAnsi="仿宋" w:eastAsia="仿宋"/>
                <w:color w:val="000000" w:themeColor="text1"/>
                <w:sz w:val="21"/>
                <w:szCs w:val="21"/>
                <w:highlight w:val="none"/>
                <w14:textFill>
                  <w14:solidFill>
                    <w14:schemeClr w14:val="tx1"/>
                  </w14:solidFill>
                </w14:textFill>
              </w:rPr>
            </w:pPr>
          </w:p>
        </w:tc>
      </w:tr>
      <w:tr w14:paraId="1C55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09A489BF">
            <w:pPr>
              <w:pStyle w:val="225"/>
              <w:ind w:right="50" w:rightChars="21"/>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en-US"/>
                <w14:textFill>
                  <w14:solidFill>
                    <w14:schemeClr w14:val="tx1"/>
                  </w14:solidFill>
                </w14:textFill>
              </w:rPr>
              <w:t>3</w:t>
            </w:r>
          </w:p>
        </w:tc>
        <w:tc>
          <w:tcPr>
            <w:tcW w:w="4678" w:type="dxa"/>
            <w:vAlign w:val="center"/>
          </w:tcPr>
          <w:p w14:paraId="08451B63">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设计变更及估算修改</w:t>
            </w:r>
          </w:p>
        </w:tc>
        <w:tc>
          <w:tcPr>
            <w:tcW w:w="1984" w:type="dxa"/>
            <w:vAlign w:val="center"/>
          </w:tcPr>
          <w:p w14:paraId="5E3864E1">
            <w:pPr>
              <w:pStyle w:val="225"/>
              <w:ind w:leftChars="-42" w:right="50" w:rightChars="21" w:hanging="100" w:hangingChars="48"/>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按发包人书面通知</w:t>
            </w:r>
          </w:p>
        </w:tc>
        <w:tc>
          <w:tcPr>
            <w:tcW w:w="2227" w:type="dxa"/>
            <w:vAlign w:val="center"/>
          </w:tcPr>
          <w:p w14:paraId="3482E341">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ascii="仿宋" w:hAnsi="仿宋" w:eastAsia="仿宋"/>
                <w:color w:val="000000" w:themeColor="text1"/>
                <w:sz w:val="21"/>
                <w:szCs w:val="21"/>
                <w:highlight w:val="none"/>
                <w14:textFill>
                  <w14:solidFill>
                    <w14:schemeClr w14:val="tx1"/>
                  </w14:solidFill>
                </w14:textFill>
              </w:rPr>
              <w:t>如承包人为联合体单位，</w:t>
            </w:r>
            <w:r>
              <w:rPr>
                <w:rFonts w:hint="eastAsia" w:ascii="仿宋" w:hAnsi="仿宋" w:eastAsia="仿宋"/>
                <w:color w:val="000000" w:themeColor="text1"/>
                <w:sz w:val="21"/>
                <w:szCs w:val="21"/>
                <w:highlight w:val="none"/>
                <w14:textFill>
                  <w14:solidFill>
                    <w14:schemeClr w14:val="tx1"/>
                  </w14:solidFill>
                </w14:textFill>
              </w:rPr>
              <w:t>应由联合体各方确认后提交发包人</w:t>
            </w:r>
            <w:r>
              <w:rPr>
                <w:rFonts w:ascii="仿宋" w:hAnsi="仿宋" w:eastAsia="仿宋"/>
                <w:color w:val="000000" w:themeColor="text1"/>
                <w:sz w:val="21"/>
                <w:szCs w:val="21"/>
                <w:highlight w:val="none"/>
                <w14:textFill>
                  <w14:solidFill>
                    <w14:schemeClr w14:val="tx1"/>
                  </w14:solidFill>
                </w14:textFill>
              </w:rPr>
              <w:t>。</w:t>
            </w:r>
          </w:p>
        </w:tc>
      </w:tr>
      <w:tr w14:paraId="75846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06FE3F78">
            <w:pPr>
              <w:pStyle w:val="225"/>
              <w:ind w:right="50" w:rightChars="21"/>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en-US"/>
                <w14:textFill>
                  <w14:solidFill>
                    <w14:schemeClr w14:val="tx1"/>
                  </w14:solidFill>
                </w14:textFill>
              </w:rPr>
              <w:t>4</w:t>
            </w:r>
          </w:p>
        </w:tc>
        <w:tc>
          <w:tcPr>
            <w:tcW w:w="4678" w:type="dxa"/>
            <w:vAlign w:val="center"/>
          </w:tcPr>
          <w:p w14:paraId="62D5A134">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施工图预算</w:t>
            </w:r>
          </w:p>
        </w:tc>
        <w:tc>
          <w:tcPr>
            <w:tcW w:w="1984" w:type="dxa"/>
            <w:vAlign w:val="center"/>
          </w:tcPr>
          <w:p w14:paraId="38963416">
            <w:pPr>
              <w:pStyle w:val="225"/>
              <w:ind w:leftChars="-42" w:right="50" w:rightChars="21" w:hanging="100" w:hangingChars="48"/>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按发包人书面通知</w:t>
            </w:r>
          </w:p>
        </w:tc>
        <w:tc>
          <w:tcPr>
            <w:tcW w:w="2227" w:type="dxa"/>
            <w:vAlign w:val="center"/>
          </w:tcPr>
          <w:p w14:paraId="755914EB">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ascii="仿宋" w:hAnsi="仿宋" w:eastAsia="仿宋"/>
                <w:color w:val="000000" w:themeColor="text1"/>
                <w:sz w:val="21"/>
                <w:szCs w:val="21"/>
                <w:highlight w:val="none"/>
                <w14:textFill>
                  <w14:solidFill>
                    <w14:schemeClr w14:val="tx1"/>
                  </w14:solidFill>
                </w14:textFill>
              </w:rPr>
              <w:t>如承包人为联合体单位，由</w:t>
            </w:r>
            <w:r>
              <w:rPr>
                <w:rFonts w:hint="eastAsia" w:ascii="仿宋" w:hAnsi="仿宋" w:eastAsia="仿宋"/>
                <w:color w:val="000000" w:themeColor="text1"/>
                <w:sz w:val="21"/>
                <w:szCs w:val="21"/>
                <w:highlight w:val="none"/>
                <w14:textFill>
                  <w14:solidFill>
                    <w14:schemeClr w14:val="tx1"/>
                  </w14:solidFill>
                </w14:textFill>
              </w:rPr>
              <w:t>施工</w:t>
            </w:r>
            <w:r>
              <w:rPr>
                <w:rFonts w:ascii="仿宋" w:hAnsi="仿宋" w:eastAsia="仿宋"/>
                <w:color w:val="000000" w:themeColor="text1"/>
                <w:sz w:val="21"/>
                <w:szCs w:val="21"/>
                <w:highlight w:val="none"/>
                <w14:textFill>
                  <w14:solidFill>
                    <w14:schemeClr w14:val="tx1"/>
                  </w14:solidFill>
                </w14:textFill>
              </w:rPr>
              <w:t>方按发包人要求编制、提供。</w:t>
            </w:r>
          </w:p>
        </w:tc>
      </w:tr>
      <w:tr w14:paraId="77FE8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04" w:type="dxa"/>
            <w:vAlign w:val="center"/>
          </w:tcPr>
          <w:p w14:paraId="749FBE14">
            <w:pPr>
              <w:pStyle w:val="225"/>
              <w:ind w:right="50" w:rightChars="21"/>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en-US"/>
                <w14:textFill>
                  <w14:solidFill>
                    <w14:schemeClr w14:val="tx1"/>
                  </w14:solidFill>
                </w14:textFill>
              </w:rPr>
              <w:t>5</w:t>
            </w:r>
          </w:p>
        </w:tc>
        <w:tc>
          <w:tcPr>
            <w:tcW w:w="4678" w:type="dxa"/>
            <w:vAlign w:val="center"/>
          </w:tcPr>
          <w:p w14:paraId="2F4BF296">
            <w:pPr>
              <w:pStyle w:val="225"/>
              <w:ind w:right="50" w:rightChars="21"/>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其他设计图纸</w:t>
            </w:r>
          </w:p>
        </w:tc>
        <w:tc>
          <w:tcPr>
            <w:tcW w:w="1984" w:type="dxa"/>
            <w:vAlign w:val="center"/>
          </w:tcPr>
          <w:p w14:paraId="0FA63EEF">
            <w:pPr>
              <w:pStyle w:val="225"/>
              <w:ind w:leftChars="-42" w:right="50" w:rightChars="21" w:hanging="100" w:hangingChars="48"/>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按发包人书面通知</w:t>
            </w:r>
          </w:p>
        </w:tc>
        <w:tc>
          <w:tcPr>
            <w:tcW w:w="2227" w:type="dxa"/>
            <w:vAlign w:val="center"/>
          </w:tcPr>
          <w:p w14:paraId="77C91383">
            <w:pPr>
              <w:pStyle w:val="225"/>
              <w:ind w:right="50" w:rightChars="21" w:firstLine="422" w:firstLineChars="201"/>
              <w:rPr>
                <w:rFonts w:ascii="仿宋" w:hAnsi="仿宋" w:eastAsia="仿宋"/>
                <w:color w:val="000000" w:themeColor="text1"/>
                <w:sz w:val="21"/>
                <w:szCs w:val="21"/>
                <w:highlight w:val="none"/>
                <w14:textFill>
                  <w14:solidFill>
                    <w14:schemeClr w14:val="tx1"/>
                  </w14:solidFill>
                </w14:textFill>
              </w:rPr>
            </w:pPr>
          </w:p>
        </w:tc>
      </w:tr>
    </w:tbl>
    <w:p w14:paraId="7B905CF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7.3 承包人提供建筑信息模型（BIM）及技术应用</w:t>
      </w:r>
    </w:p>
    <w:p w14:paraId="6C4AFFFD">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本项目不涉及。</w:t>
      </w:r>
    </w:p>
    <w:p w14:paraId="144B76C9">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勘察</w:t>
      </w:r>
    </w:p>
    <w:p w14:paraId="2E18C9D3">
      <w:pPr>
        <w:spacing w:line="360" w:lineRule="auto"/>
        <w:ind w:firstLine="720" w:firstLineChars="3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①提供的时间：</w:t>
      </w:r>
    </w:p>
    <w:p w14:paraId="08035E1A">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②发包人或设计顾问人答复的时间：</w:t>
      </w:r>
    </w:p>
    <w:p w14:paraId="043DB2A3">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设计阶段</w:t>
      </w:r>
    </w:p>
    <w:p w14:paraId="4DFACA9D">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初步设计（适用于可行性研究报告批准后发包）：</w:t>
      </w:r>
    </w:p>
    <w:p w14:paraId="293BDA1B">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①提供的时间：</w:t>
      </w:r>
    </w:p>
    <w:p w14:paraId="782AF4F4">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②发包人或设计顾问人答复的时间：</w:t>
      </w:r>
    </w:p>
    <w:p w14:paraId="230428DB">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施工图设计（适用于初步设计批准后或备案发包）</w:t>
      </w:r>
    </w:p>
    <w:p w14:paraId="71A028E8">
      <w:pPr>
        <w:numPr>
          <w:ilvl w:val="0"/>
          <w:numId w:val="32"/>
        </w:num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提供的时间：</w:t>
      </w:r>
    </w:p>
    <w:p w14:paraId="284E33D5">
      <w:pPr>
        <w:numPr>
          <w:ilvl w:val="0"/>
          <w:numId w:val="32"/>
        </w:num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发包人或设计顾问人答复的时间：</w:t>
      </w:r>
    </w:p>
    <w:p w14:paraId="5B274D6A">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施工阶段</w:t>
      </w:r>
    </w:p>
    <w:p w14:paraId="0DD1CFF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深化设计  </w:t>
      </w:r>
    </w:p>
    <w:p w14:paraId="45235B18">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①提供的时间：</w:t>
      </w:r>
    </w:p>
    <w:p w14:paraId="786A7BEF">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②发包人或监理人答复的时间：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2821865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施工方案</w:t>
      </w:r>
    </w:p>
    <w:p w14:paraId="292AD36E">
      <w:pPr>
        <w:spacing w:line="360" w:lineRule="auto"/>
        <w:ind w:firstLine="960" w:firstLineChars="4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①提供的时间：</w:t>
      </w:r>
    </w:p>
    <w:p w14:paraId="6AFDDC0E">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②发包人或监理人答复的时间：</w:t>
      </w:r>
    </w:p>
    <w:p w14:paraId="27EFEEA9">
      <w:pPr>
        <w:spacing w:line="360" w:lineRule="auto"/>
        <w:ind w:firstLine="708" w:firstLineChars="295"/>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14:textFill>
            <w14:solidFill>
              <w14:schemeClr w14:val="tx1"/>
            </w14:solidFill>
          </w14:textFill>
        </w:rPr>
        <w:t xml:space="preserve">  进度管理 </w:t>
      </w:r>
    </w:p>
    <w:p w14:paraId="3AA3A0B0">
      <w:pPr>
        <w:numPr>
          <w:ilvl w:val="0"/>
          <w:numId w:val="33"/>
        </w:num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提供的时间：</w:t>
      </w:r>
    </w:p>
    <w:p w14:paraId="32584ADE">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②发包人或监理人答复的时间：</w:t>
      </w:r>
    </w:p>
    <w:p w14:paraId="003CF2B4">
      <w:pPr>
        <w:spacing w:line="360" w:lineRule="auto"/>
        <w:ind w:firstLine="708" w:firstLineChars="295"/>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14:textFill>
            <w14:solidFill>
              <w14:schemeClr w14:val="tx1"/>
            </w14:solidFill>
          </w14:textFill>
        </w:rPr>
        <w:t xml:space="preserve">  造价管理 </w:t>
      </w:r>
    </w:p>
    <w:p w14:paraId="3D37A4E1">
      <w:pPr>
        <w:numPr>
          <w:ilvl w:val="0"/>
          <w:numId w:val="34"/>
        </w:num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提供的时间：</w:t>
      </w:r>
    </w:p>
    <w:p w14:paraId="1ABD1C24">
      <w:pPr>
        <w:numPr>
          <w:ilvl w:val="0"/>
          <w:numId w:val="34"/>
        </w:num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发包人或监理人答复的时间：</w:t>
      </w:r>
    </w:p>
    <w:p w14:paraId="63ED4F1E">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质量与安全管理</w:t>
      </w:r>
    </w:p>
    <w:p w14:paraId="22011B06">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①提供的时间：</w:t>
      </w:r>
    </w:p>
    <w:p w14:paraId="1F7688F4">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②发包人或监理人答复的时间：</w:t>
      </w:r>
    </w:p>
    <w:p w14:paraId="2170AEF7">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装配式建筑生产与施工工艺</w:t>
      </w:r>
    </w:p>
    <w:p w14:paraId="7AF507A7">
      <w:pPr>
        <w:spacing w:line="360" w:lineRule="auto"/>
        <w:ind w:firstLine="960" w:firstLineChars="4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（以满足经发包人批准的施工进度计划要求为准）  </w:t>
      </w:r>
    </w:p>
    <w:p w14:paraId="25338E47">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②发包人或监理人答复的时间：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（以监理工程师书面答复为准）</w:t>
      </w:r>
    </w:p>
    <w:p w14:paraId="45E5EFF7">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竣工阶段的建筑信息模型（BIM）</w:t>
      </w:r>
    </w:p>
    <w:p w14:paraId="2133BD16">
      <w:pPr>
        <w:numPr>
          <w:ilvl w:val="0"/>
          <w:numId w:val="35"/>
        </w:num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提供的时间：</w:t>
      </w:r>
    </w:p>
    <w:p w14:paraId="58E9AD1D">
      <w:pPr>
        <w:spacing w:line="360" w:lineRule="auto"/>
        <w:ind w:firstLine="960" w:firstLineChars="4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②发包人或监理人答复的时间：</w:t>
      </w:r>
    </w:p>
    <w:p w14:paraId="17A30D40">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运营维护阶段需要的建筑信息模型（BIM）</w:t>
      </w:r>
    </w:p>
    <w:p w14:paraId="65401050">
      <w:pPr>
        <w:numPr>
          <w:ilvl w:val="0"/>
          <w:numId w:val="36"/>
        </w:num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提供的时间：</w:t>
      </w:r>
    </w:p>
    <w:p w14:paraId="65BEB283">
      <w:pPr>
        <w:numPr>
          <w:ilvl w:val="0"/>
          <w:numId w:val="36"/>
        </w:num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包人或监理人答复的时间：</w:t>
      </w:r>
    </w:p>
    <w:p w14:paraId="5FD3498B">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利用BIM信息管理平台进行协调管理的要求：</w:t>
      </w:r>
    </w:p>
    <w:p w14:paraId="47B9404C">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其他应用内容及要求：</w:t>
      </w:r>
      <w:r>
        <w:rPr>
          <w:rFonts w:hint="eastAsia" w:ascii="仿宋" w:hAnsi="仿宋" w:eastAsia="仿宋" w:cs="仿宋"/>
          <w:color w:val="000000" w:themeColor="text1"/>
          <w:highlight w:val="none"/>
          <w:u w:val="single"/>
          <w:lang w:eastAsia="zh-CN"/>
          <w14:textFill>
            <w14:solidFill>
              <w14:schemeClr w14:val="tx1"/>
            </w14:solidFill>
          </w14:textFill>
        </w:rPr>
        <w:t>/</w:t>
      </w:r>
    </w:p>
    <w:p w14:paraId="28E4858B">
      <w:pPr>
        <w:spacing w:line="360" w:lineRule="auto"/>
        <w:ind w:firstLine="426" w:firstLineChars="177"/>
        <w:rPr>
          <w:rFonts w:ascii="仿宋" w:hAnsi="仿宋" w:eastAsia="仿宋" w:cs="仿宋"/>
          <w:b/>
          <w:color w:val="000000" w:themeColor="text1"/>
          <w:highlight w:val="none"/>
          <w:u w:val="single"/>
          <w:lang w:eastAsia="zh-CN"/>
          <w14:textFill>
            <w14:solidFill>
              <w14:schemeClr w14:val="tx1"/>
            </w14:solidFill>
          </w14:textFill>
        </w:rPr>
      </w:pPr>
      <w:r>
        <w:rPr>
          <w:rFonts w:hint="eastAsia" w:ascii="仿宋" w:hAnsi="仿宋" w:eastAsia="仿宋" w:cs="仿宋"/>
          <w:b/>
          <w:color w:val="000000" w:themeColor="text1"/>
          <w:highlight w:val="none"/>
          <w:u w:val="single"/>
          <w:lang w:eastAsia="zh-CN"/>
          <w14:textFill>
            <w14:solidFill>
              <w14:schemeClr w14:val="tx1"/>
            </w14:solidFill>
          </w14:textFill>
        </w:rPr>
        <w:t>双方协商一致，增加第7.4款：</w:t>
      </w:r>
    </w:p>
    <w:p w14:paraId="61E3E87B">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7.4 </w:t>
      </w:r>
      <w:r>
        <w:rPr>
          <w:rFonts w:hint="eastAsia" w:ascii="仿宋" w:hAnsi="仿宋" w:eastAsia="仿宋"/>
          <w:color w:val="000000" w:themeColor="text1"/>
          <w:highlight w:val="none"/>
          <w:lang w:eastAsia="zh-CN"/>
          <w14:textFill>
            <w14:solidFill>
              <w14:schemeClr w14:val="tx1"/>
            </w14:solidFill>
          </w14:textFill>
        </w:rPr>
        <w:t>文件的照管</w:t>
      </w:r>
    </w:p>
    <w:p w14:paraId="7F5A9F5B">
      <w:pPr>
        <w:spacing w:line="360" w:lineRule="auto"/>
        <w:ind w:firstLine="566" w:firstLineChars="236"/>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关于现场文件准备的约定：</w:t>
      </w:r>
      <w:r>
        <w:rPr>
          <w:rFonts w:hint="eastAsia" w:ascii="仿宋" w:hAnsi="仿宋" w:eastAsia="仿宋"/>
          <w:color w:val="000000" w:themeColor="text1"/>
          <w:highlight w:val="none"/>
          <w:u w:val="single"/>
          <w:lang w:eastAsia="zh-CN"/>
          <w14:textFill>
            <w14:solidFill>
              <w14:schemeClr w14:val="tx1"/>
            </w14:solidFill>
          </w14:textFill>
        </w:rPr>
        <w:t>承包人应把一整套的合同文件（包括合同图纸、本合同约定的标准</w:t>
      </w:r>
      <w:r>
        <w:rPr>
          <w:rFonts w:ascii="仿宋" w:hAnsi="仿宋" w:eastAsia="仿宋"/>
          <w:color w:val="000000" w:themeColor="text1"/>
          <w:highlight w:val="none"/>
          <w:u w:val="single"/>
          <w:lang w:eastAsia="zh-CN"/>
          <w14:textFill>
            <w14:solidFill>
              <w14:schemeClr w14:val="tx1"/>
            </w14:solidFill>
          </w14:textFill>
        </w:rPr>
        <w:t>/规范/规程等）连同本工程开始施工后由发包人签发的任何指示、附加图纸、补充标准/规范/规程、</w:t>
      </w:r>
      <w:r>
        <w:rPr>
          <w:rFonts w:hint="eastAsia" w:ascii="仿宋" w:hAnsi="仿宋" w:eastAsia="仿宋"/>
          <w:color w:val="000000" w:themeColor="text1"/>
          <w:highlight w:val="none"/>
          <w:u w:val="single"/>
          <w:lang w:eastAsia="zh-CN"/>
          <w14:textFill>
            <w14:solidFill>
              <w14:schemeClr w14:val="tx1"/>
            </w14:solidFill>
          </w14:textFill>
        </w:rPr>
        <w:t>其他类似</w:t>
      </w:r>
      <w:r>
        <w:rPr>
          <w:rFonts w:ascii="仿宋" w:hAnsi="仿宋" w:eastAsia="仿宋"/>
          <w:color w:val="000000" w:themeColor="text1"/>
          <w:highlight w:val="none"/>
          <w:u w:val="single"/>
          <w:lang w:eastAsia="zh-CN"/>
          <w14:textFill>
            <w14:solidFill>
              <w14:schemeClr w14:val="tx1"/>
            </w14:solidFill>
          </w14:textFill>
        </w:rPr>
        <w:t>文件存放在施工场地，以便发包人、监理人及其授权代表可随时查阅参考。承包人应将全部图纸、图表固定在硬板上或用其他适宜的方式</w:t>
      </w:r>
      <w:r>
        <w:rPr>
          <w:rFonts w:hint="eastAsia" w:ascii="仿宋" w:hAnsi="仿宋" w:eastAsia="仿宋"/>
          <w:color w:val="000000" w:themeColor="text1"/>
          <w:highlight w:val="none"/>
          <w:u w:val="single"/>
          <w:lang w:eastAsia="zh-CN"/>
          <w14:textFill>
            <w14:solidFill>
              <w14:schemeClr w14:val="tx1"/>
            </w14:solidFill>
          </w14:textFill>
        </w:rPr>
        <w:t>整齐</w:t>
      </w:r>
      <w:r>
        <w:rPr>
          <w:rFonts w:ascii="仿宋" w:hAnsi="仿宋" w:eastAsia="仿宋"/>
          <w:color w:val="000000" w:themeColor="text1"/>
          <w:highlight w:val="none"/>
          <w:u w:val="single"/>
          <w:lang w:eastAsia="zh-CN"/>
          <w14:textFill>
            <w14:solidFill>
              <w14:schemeClr w14:val="tx1"/>
            </w14:solidFill>
          </w14:textFill>
        </w:rPr>
        <w:t>有条理地存放起来。因非发包人原因导致上述文件的毁损或缺失，责任由承包人承担。</w:t>
      </w:r>
    </w:p>
    <w:p w14:paraId="52A05CBF">
      <w:pPr>
        <w:spacing w:line="360" w:lineRule="auto"/>
        <w:ind w:firstLine="566" w:firstLineChars="236"/>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承包人未经发包人事先书面同意，不得将本工程图纸、施工资料等透露、转移给第三人，否则应承担由此产生的一切责任。工程完工移交后，除承包人存档需要的图纸、施工资料外，应将全部图纸、施工资料退还给发包人。</w:t>
      </w:r>
    </w:p>
    <w:p w14:paraId="6D12DA6F">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02" w:name="_Toc149731551"/>
      <w:bookmarkStart w:id="603" w:name="_Toc3097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  合同价格的控制原则</w:t>
      </w:r>
      <w:bookmarkEnd w:id="602"/>
      <w:bookmarkEnd w:id="603"/>
    </w:p>
    <w:p w14:paraId="0752C65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8.2工程勘察费的控制</w:t>
      </w:r>
    </w:p>
    <w:p w14:paraId="0D90C950">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①计价方式：</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r>
        <w:rPr>
          <w:rFonts w:hint="eastAsia" w:ascii="仿宋" w:hAnsi="仿宋" w:eastAsia="仿宋" w:cs="仿宋"/>
          <w:i/>
          <w:color w:val="000000" w:themeColor="text1"/>
          <w:highlight w:val="none"/>
          <w:u w:val="single"/>
          <w:lang w:eastAsia="zh-CN"/>
          <w14:textFill>
            <w14:solidFill>
              <w14:schemeClr w14:val="tx1"/>
            </w14:solidFill>
          </w14:textFill>
        </w:rPr>
        <w:t>同72.1.1款</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0687A848">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②价格控制：</w:t>
      </w:r>
    </w:p>
    <w:p w14:paraId="1D4F77B3">
      <w:pPr>
        <w:spacing w:line="360" w:lineRule="auto"/>
        <w:ind w:firstLine="840" w:firstLineChars="3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□不允许超过合同约定的相应价格，相应合同价格即为结算额。</w:t>
      </w:r>
    </w:p>
    <w:p w14:paraId="0CAFC195">
      <w:pPr>
        <w:spacing w:line="360" w:lineRule="auto"/>
        <w:ind w:firstLine="840" w:firstLineChars="3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□不允许超过合同约定的相应合同价格及调整事项。其中，调整事项约定为： 。</w:t>
      </w:r>
    </w:p>
    <w:p w14:paraId="4DA22368">
      <w:pPr>
        <w:spacing w:line="360" w:lineRule="auto"/>
        <w:ind w:firstLine="840" w:firstLineChars="3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另作约定：</w:t>
      </w:r>
      <w:r>
        <w:rPr>
          <w:rFonts w:hint="eastAsia" w:ascii="仿宋" w:hAnsi="仿宋" w:eastAsia="仿宋" w:cs="仿宋"/>
          <w:color w:val="000000" w:themeColor="text1"/>
          <w:highlight w:val="none"/>
          <w:u w:val="single"/>
          <w:lang w:eastAsia="zh-CN"/>
          <w14:textFill>
            <w14:solidFill>
              <w14:schemeClr w14:val="tx1"/>
            </w14:solidFill>
          </w14:textFill>
        </w:rPr>
        <w:t>本项目不涉及。</w:t>
      </w:r>
    </w:p>
    <w:p w14:paraId="6035220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8.3工程设计费的控制</w:t>
      </w:r>
    </w:p>
    <w:p w14:paraId="71681B52">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①计价方式：</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r>
        <w:rPr>
          <w:rFonts w:hint="eastAsia" w:ascii="仿宋" w:hAnsi="仿宋" w:eastAsia="仿宋" w:cs="仿宋"/>
          <w:i/>
          <w:color w:val="000000" w:themeColor="text1"/>
          <w:highlight w:val="none"/>
          <w:u w:val="single"/>
          <w:lang w:eastAsia="zh-CN"/>
          <w14:textFill>
            <w14:solidFill>
              <w14:schemeClr w14:val="tx1"/>
            </w14:solidFill>
          </w14:textFill>
        </w:rPr>
        <w:t>同72.1.2款</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41ED0762">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②价格控制：</w:t>
      </w:r>
    </w:p>
    <w:p w14:paraId="3D411856">
      <w:pPr>
        <w:spacing w:line="360" w:lineRule="auto"/>
        <w:ind w:firstLine="840" w:firstLineChars="3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□不允许超过合同约定的相应价格，相应合同价格即为结算额。</w:t>
      </w:r>
    </w:p>
    <w:p w14:paraId="054F7E00">
      <w:pPr>
        <w:spacing w:line="360" w:lineRule="auto"/>
        <w:ind w:firstLine="840" w:firstLineChars="3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不允许超过合同约定的相应合同价格及调整事项。其中，调整事项约定为：</w:t>
      </w:r>
      <w:r>
        <w:rPr>
          <w:rFonts w:hint="eastAsia" w:ascii="仿宋" w:hAnsi="仿宋" w:eastAsia="仿宋" w:cs="仿宋"/>
          <w:color w:val="000000" w:themeColor="text1"/>
          <w:highlight w:val="none"/>
          <w:u w:val="single"/>
          <w:lang w:eastAsia="zh-CN"/>
          <w14:textFill>
            <w14:solidFill>
              <w14:schemeClr w14:val="tx1"/>
            </w14:solidFill>
          </w14:textFill>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55A188E9">
      <w:pPr>
        <w:spacing w:line="360" w:lineRule="auto"/>
        <w:ind w:firstLine="840" w:firstLineChars="3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□另作约定：</w:t>
      </w:r>
    </w:p>
    <w:p w14:paraId="310E345A">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③施工图审查费由发包</w:t>
      </w:r>
      <w:r>
        <w:rPr>
          <w:rFonts w:ascii="仿宋" w:hAnsi="仿宋" w:eastAsia="仿宋" w:cs="仿宋"/>
          <w:color w:val="000000" w:themeColor="text1"/>
          <w:highlight w:val="none"/>
          <w:lang w:eastAsia="zh-CN"/>
          <w14:textFill>
            <w14:solidFill>
              <w14:schemeClr w14:val="tx1"/>
            </w14:solidFill>
          </w14:textFill>
        </w:rPr>
        <w:t>人</w:t>
      </w:r>
      <w:r>
        <w:rPr>
          <w:rFonts w:hint="eastAsia" w:ascii="仿宋" w:hAnsi="仿宋" w:eastAsia="仿宋" w:cs="仿宋"/>
          <w:color w:val="000000" w:themeColor="text1"/>
          <w:highlight w:val="none"/>
          <w:lang w:eastAsia="zh-CN"/>
          <w14:textFill>
            <w14:solidFill>
              <w14:schemeClr w14:val="tx1"/>
            </w14:solidFill>
          </w14:textFill>
        </w:rPr>
        <w:t>支付。</w:t>
      </w:r>
    </w:p>
    <w:p w14:paraId="08FB3525">
      <w:pPr>
        <w:spacing w:line="360" w:lineRule="auto"/>
        <w:ind w:firstLine="240"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8.4 BIM技术应用费的控制</w:t>
      </w:r>
    </w:p>
    <w:p w14:paraId="283274C1">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①计价方式：</w:t>
      </w:r>
      <w:r>
        <w:rPr>
          <w:rFonts w:hint="eastAsia" w:ascii="仿宋" w:hAnsi="仿宋" w:eastAsia="仿宋" w:cs="仿宋"/>
          <w:color w:val="000000" w:themeColor="text1"/>
          <w:highlight w:val="none"/>
          <w:u w:val="single"/>
          <w:lang w:eastAsia="zh-CN"/>
          <w14:textFill>
            <w14:solidFill>
              <w14:schemeClr w14:val="tx1"/>
            </w14:solidFill>
          </w14:textFill>
        </w:rPr>
        <w:t xml:space="preserve">  不涉及                </w:t>
      </w:r>
    </w:p>
    <w:p w14:paraId="32B5DF50">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②价格控制：</w:t>
      </w:r>
    </w:p>
    <w:p w14:paraId="0644D9A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□不允许超过合同约定的相应价格，相应合同价格即为结算额。</w:t>
      </w:r>
    </w:p>
    <w:p w14:paraId="1A5FA4F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不允许超过合同约定的相应合同价格及调整事项。其中，调整事项约定为：</w:t>
      </w:r>
    </w:p>
    <w:p w14:paraId="6248F092">
      <w:pPr>
        <w:spacing w:line="360" w:lineRule="auto"/>
        <w:ind w:firstLine="840" w:firstLineChars="3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□另作约定：</w:t>
      </w:r>
    </w:p>
    <w:p w14:paraId="2342048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8.5建筑安装工程费的控制</w:t>
      </w:r>
    </w:p>
    <w:p w14:paraId="36B39F2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8.5.1限额设计</w:t>
      </w:r>
    </w:p>
    <w:p w14:paraId="23EE8B25">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①总额限额及专业限额分解指标：</w:t>
      </w:r>
      <w:r>
        <w:rPr>
          <w:rFonts w:hint="eastAsia" w:ascii="仿宋" w:hAnsi="仿宋" w:eastAsia="仿宋" w:cs="仿宋"/>
          <w:color w:val="000000" w:themeColor="text1"/>
          <w:highlight w:val="none"/>
          <w:u w:val="single"/>
          <w:lang w:eastAsia="zh-CN"/>
          <w14:textFill>
            <w14:solidFill>
              <w14:schemeClr w14:val="tx1"/>
            </w14:solidFill>
          </w14:textFill>
        </w:rPr>
        <w:t>取合同价格清单中的各单体、各专业工程的建筑安装工程费分别乘以合同价修正率后，作为相应的限额设计指标；如承包人需调整的，应说明调整理由，并须取得监理单位、造价咨询单位及发包人审批同意。</w:t>
      </w:r>
    </w:p>
    <w:p w14:paraId="115CBF58">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②限额设计其他要求： </w:t>
      </w:r>
      <w:r>
        <w:rPr>
          <w:rFonts w:hint="eastAsia" w:ascii="仿宋" w:hAnsi="仿宋" w:eastAsia="仿宋" w:cs="仿宋"/>
          <w:color w:val="000000" w:themeColor="text1"/>
          <w:highlight w:val="none"/>
          <w:u w:val="single"/>
          <w:lang w:eastAsia="zh-CN"/>
          <w14:textFill>
            <w14:solidFill>
              <w14:schemeClr w14:val="tx1"/>
            </w14:solidFill>
          </w14:textFill>
        </w:rPr>
        <w:t xml:space="preserve">限额设计的造价指标统计口径应前后一致。 </w:t>
      </w:r>
    </w:p>
    <w:p w14:paraId="2E254F9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8.5.2初步设计概算控制</w:t>
      </w:r>
    </w:p>
    <w:p w14:paraId="686B054E">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①编制规则：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ascii="仿宋" w:hAnsi="仿宋" w:eastAsia="仿宋" w:cs="仿宋"/>
          <w:color w:val="000000" w:themeColor="text1"/>
          <w:highlight w:val="none"/>
          <w:u w:val="single"/>
          <w:lang w:eastAsia="zh-CN"/>
          <w14:textFill>
            <w14:solidFill>
              <w14:schemeClr w14:val="tx1"/>
            </w14:solidFill>
          </w14:textFill>
        </w:rPr>
        <w:t>（按概算审批部门要求执行）</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6CB77D0A">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②价格控制：</w:t>
      </w:r>
    </w:p>
    <w:p w14:paraId="5644E49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□不允许超过合同约定的相应价格，相应合同价格即为概算批准或备案金额。</w:t>
      </w:r>
    </w:p>
    <w:p w14:paraId="2C0152F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□按有权审定部门审批的价格为概算批准或备案金额，</w:t>
      </w:r>
    </w:p>
    <w:p w14:paraId="49D786DF">
      <w:pPr>
        <w:spacing w:line="360" w:lineRule="auto"/>
        <w:ind w:left="480" w:leftChars="20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若初步设计概算审批价≥（相应合同价格±初步设计阶段发生的调整事项价格），则按（相应合同价格±调整事项价格）为初步设计概算金额，超出部分由承包人自行承担；</w:t>
      </w:r>
    </w:p>
    <w:p w14:paraId="6C5DF000">
      <w:pPr>
        <w:spacing w:line="360" w:lineRule="auto"/>
        <w:ind w:left="480" w:leftChars="200"/>
        <w:jc w:val="both"/>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若初步设计概算审批价＜（相应合同价格±初步设计阶段发生的调整事项价格），则初步设计概算金额按批准的初步设计概算审批价金额。</w:t>
      </w:r>
    </w:p>
    <w:p w14:paraId="6ACD2BC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sym w:font="Wingdings 2" w:char="F052"/>
      </w:r>
      <w:r>
        <w:rPr>
          <w:rFonts w:hint="eastAsia" w:ascii="仿宋" w:hAnsi="仿宋" w:eastAsia="仿宋" w:cs="仿宋"/>
          <w:color w:val="000000" w:themeColor="text1"/>
          <w:highlight w:val="none"/>
          <w:u w:val="single"/>
          <w:lang w:eastAsia="zh-CN"/>
          <w14:textFill>
            <w14:solidFill>
              <w14:schemeClr w14:val="tx1"/>
            </w14:solidFill>
          </w14:textFill>
        </w:rPr>
        <w:t>另作约定：建筑安装工程费签约合同价暂定为中标价的建安工程费，具体价格根据初步设计概算审批价进行修正。建筑安装工程费合同修正价＝中标价的建安工程费×合同价修正率。合同价修正率＝初步设计概算审批价中相应招标范围的建筑安装工程费÷建安工程费最高投标限价×100%，若合同价修正率&gt;100%时取值100%。</w:t>
      </w:r>
    </w:p>
    <w:p w14:paraId="5C15743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8.5.3施工图预算控制</w:t>
      </w:r>
    </w:p>
    <w:p w14:paraId="3E17623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①编制规则：以建筑安装工程费合同修正价作为建安工程投资上限进行限额设计，以经审查的施工图为依据，根据《建设工程工程量清单计价标准（GB/T 50500-2024）》，按下表计算原则编制施工图预算，施工图预算价超过合同修正价，承包人必须及时进行优化设计，以满足限额指标的要求。施工图预算经造价咨询单位和发包人审定后，双方另行签订补充协议，由承包人按已审定的施工图预算执行，严格控制投资，作为建安工程费进度款的拨付依据。</w:t>
      </w:r>
    </w:p>
    <w:tbl>
      <w:tblPr>
        <w:tblStyle w:val="78"/>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418"/>
        <w:gridCol w:w="5386"/>
        <w:gridCol w:w="2268"/>
      </w:tblGrid>
      <w:tr w14:paraId="586E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7" w:type="dxa"/>
            <w:vAlign w:val="center"/>
          </w:tcPr>
          <w:p w14:paraId="22203086">
            <w:pPr>
              <w:ind w:leftChars="-62" w:hanging="149" w:hangingChars="71"/>
              <w:jc w:val="center"/>
              <w:rPr>
                <w:rFonts w:ascii="仿宋" w:hAnsi="仿宋" w:eastAsia="仿宋"/>
                <w:bCs/>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序号</w:t>
            </w:r>
          </w:p>
        </w:tc>
        <w:tc>
          <w:tcPr>
            <w:tcW w:w="1418" w:type="dxa"/>
            <w:vAlign w:val="center"/>
          </w:tcPr>
          <w:p w14:paraId="47F25C45">
            <w:pPr>
              <w:jc w:val="center"/>
              <w:rPr>
                <w:rFonts w:ascii="仿宋" w:hAnsi="仿宋" w:eastAsia="仿宋"/>
                <w:bCs/>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费用名称</w:t>
            </w:r>
          </w:p>
        </w:tc>
        <w:tc>
          <w:tcPr>
            <w:tcW w:w="5386" w:type="dxa"/>
            <w:vAlign w:val="center"/>
          </w:tcPr>
          <w:p w14:paraId="37CAA9DE">
            <w:pPr>
              <w:jc w:val="center"/>
              <w:rPr>
                <w:rFonts w:ascii="仿宋" w:hAnsi="仿宋" w:eastAsia="仿宋"/>
                <w:bCs/>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计算</w:t>
            </w:r>
            <w:r>
              <w:rPr>
                <w:rFonts w:hint="eastAsia" w:ascii="仿宋" w:hAnsi="仿宋" w:eastAsia="仿宋"/>
                <w:bCs/>
                <w:color w:val="000000" w:themeColor="text1"/>
                <w:sz w:val="21"/>
                <w:szCs w:val="21"/>
                <w:highlight w:val="none"/>
                <w:lang w:eastAsia="zh-CN"/>
                <w14:textFill>
                  <w14:solidFill>
                    <w14:schemeClr w14:val="tx1"/>
                  </w14:solidFill>
                </w14:textFill>
              </w:rPr>
              <w:t>原则</w:t>
            </w:r>
          </w:p>
        </w:tc>
        <w:tc>
          <w:tcPr>
            <w:tcW w:w="2268" w:type="dxa"/>
            <w:vAlign w:val="center"/>
          </w:tcPr>
          <w:p w14:paraId="74E38B94">
            <w:pPr>
              <w:jc w:val="center"/>
              <w:rPr>
                <w:rFonts w:ascii="仿宋" w:hAnsi="仿宋" w:eastAsia="仿宋"/>
                <w:bCs/>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备注</w:t>
            </w:r>
          </w:p>
        </w:tc>
      </w:tr>
      <w:tr w14:paraId="022D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2581BF5D">
            <w:pPr>
              <w:rPr>
                <w:rFonts w:ascii="仿宋" w:hAnsi="仿宋" w:eastAsia="仿宋"/>
                <w:color w:val="000000" w:themeColor="text1"/>
                <w:sz w:val="21"/>
                <w:szCs w:val="21"/>
                <w:highlight w:val="none"/>
                <w:lang w:eastAsia="zh-CN"/>
                <w14:textFill>
                  <w14:solidFill>
                    <w14:schemeClr w14:val="tx1"/>
                  </w14:solidFill>
                </w14:textFill>
              </w:rPr>
            </w:pPr>
            <w:r>
              <w:rPr>
                <w:rFonts w:hint="eastAsia" w:ascii="仿宋" w:hAnsi="仿宋" w:eastAsia="仿宋"/>
                <w:color w:val="000000" w:themeColor="text1"/>
                <w:sz w:val="21"/>
                <w:szCs w:val="21"/>
                <w:highlight w:val="none"/>
                <w:lang w:eastAsia="zh-CN"/>
                <w14:textFill>
                  <w14:solidFill>
                    <w14:schemeClr w14:val="tx1"/>
                  </w14:solidFill>
                </w14:textFill>
              </w:rPr>
              <w:t>1</w:t>
            </w:r>
          </w:p>
        </w:tc>
        <w:tc>
          <w:tcPr>
            <w:tcW w:w="1418" w:type="dxa"/>
            <w:vAlign w:val="center"/>
          </w:tcPr>
          <w:p w14:paraId="7D970AAE">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分部分项工程费</w:t>
            </w:r>
          </w:p>
        </w:tc>
        <w:tc>
          <w:tcPr>
            <w:tcW w:w="5386" w:type="dxa"/>
            <w:vAlign w:val="center"/>
          </w:tcPr>
          <w:p w14:paraId="2681A262">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①</w:t>
            </w:r>
            <w:r>
              <w:rPr>
                <w:rFonts w:ascii="仿宋" w:hAnsi="仿宋" w:eastAsia="仿宋"/>
                <w:bCs/>
                <w:color w:val="000000" w:themeColor="text1"/>
                <w:sz w:val="21"/>
                <w:szCs w:val="21"/>
                <w:highlight w:val="none"/>
                <w:lang w:eastAsia="zh-CN"/>
                <w14:textFill>
                  <w14:solidFill>
                    <w14:schemeClr w14:val="tx1"/>
                  </w14:solidFill>
                </w14:textFill>
              </w:rPr>
              <w:t>工程量：</w:t>
            </w:r>
            <w:r>
              <w:rPr>
                <w:rFonts w:hint="eastAsia" w:ascii="仿宋" w:hAnsi="仿宋" w:eastAsia="仿宋"/>
                <w:bCs/>
                <w:color w:val="000000" w:themeColor="text1"/>
                <w:sz w:val="21"/>
                <w:szCs w:val="21"/>
                <w:highlight w:val="none"/>
                <w:lang w:eastAsia="zh-CN"/>
                <w14:textFill>
                  <w14:solidFill>
                    <w14:schemeClr w14:val="tx1"/>
                  </w14:solidFill>
                </w14:textFill>
              </w:rPr>
              <w:t>以经审查的施工图</w:t>
            </w:r>
            <w:r>
              <w:rPr>
                <w:rFonts w:ascii="仿宋" w:hAnsi="仿宋" w:eastAsia="仿宋"/>
                <w:bCs/>
                <w:color w:val="000000" w:themeColor="text1"/>
                <w:sz w:val="21"/>
                <w:szCs w:val="21"/>
                <w:highlight w:val="none"/>
                <w:lang w:eastAsia="zh-CN"/>
                <w14:textFill>
                  <w14:solidFill>
                    <w14:schemeClr w14:val="tx1"/>
                  </w14:solidFill>
                </w14:textFill>
              </w:rPr>
              <w:t>计算。</w:t>
            </w:r>
          </w:p>
          <w:p w14:paraId="563F561A">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color w:val="000000" w:themeColor="text1"/>
                <w:sz w:val="21"/>
                <w:szCs w:val="21"/>
                <w:highlight w:val="none"/>
                <w:lang w:eastAsia="zh-CN"/>
                <w14:textFill>
                  <w14:solidFill>
                    <w14:schemeClr w14:val="tx1"/>
                  </w14:solidFill>
                </w14:textFill>
              </w:rPr>
              <w:t>②</w:t>
            </w:r>
            <w:r>
              <w:rPr>
                <w:rFonts w:ascii="仿宋" w:hAnsi="仿宋" w:eastAsia="仿宋"/>
                <w:color w:val="000000" w:themeColor="text1"/>
                <w:sz w:val="21"/>
                <w:szCs w:val="21"/>
                <w:highlight w:val="none"/>
                <w:lang w:eastAsia="zh-CN"/>
                <w14:textFill>
                  <w14:solidFill>
                    <w14:schemeClr w14:val="tx1"/>
                  </w14:solidFill>
                </w14:textFill>
              </w:rPr>
              <w:t>综合单价：承包人</w:t>
            </w:r>
            <w:r>
              <w:rPr>
                <w:rFonts w:hint="eastAsia" w:ascii="仿宋" w:hAnsi="仿宋" w:eastAsia="仿宋"/>
                <w:color w:val="000000" w:themeColor="text1"/>
                <w:sz w:val="21"/>
                <w:szCs w:val="21"/>
                <w:highlight w:val="none"/>
                <w:lang w:eastAsia="zh-CN"/>
                <w14:textFill>
                  <w14:solidFill>
                    <w14:schemeClr w14:val="tx1"/>
                  </w14:solidFill>
                </w14:textFill>
              </w:rPr>
              <w:t>投标报价</w:t>
            </w:r>
            <w:r>
              <w:rPr>
                <w:rFonts w:ascii="仿宋" w:hAnsi="仿宋" w:eastAsia="仿宋"/>
                <w:color w:val="000000" w:themeColor="text1"/>
                <w:sz w:val="21"/>
                <w:szCs w:val="21"/>
                <w:highlight w:val="none"/>
                <w:lang w:eastAsia="zh-CN"/>
                <w14:textFill>
                  <w14:solidFill>
                    <w14:schemeClr w14:val="tx1"/>
                  </w14:solidFill>
                </w14:textFill>
              </w:rPr>
              <w:t>中有相应综合单价，按该综合单价；如承包人</w:t>
            </w:r>
            <w:r>
              <w:rPr>
                <w:rFonts w:hint="eastAsia" w:ascii="仿宋" w:hAnsi="仿宋" w:eastAsia="仿宋"/>
                <w:color w:val="000000" w:themeColor="text1"/>
                <w:sz w:val="21"/>
                <w:szCs w:val="21"/>
                <w:highlight w:val="none"/>
                <w:lang w:eastAsia="zh-CN"/>
                <w14:textFill>
                  <w14:solidFill>
                    <w14:schemeClr w14:val="tx1"/>
                  </w14:solidFill>
                </w14:textFill>
              </w:rPr>
              <w:t>投标报价</w:t>
            </w:r>
            <w:r>
              <w:rPr>
                <w:rFonts w:ascii="仿宋" w:hAnsi="仿宋" w:eastAsia="仿宋"/>
                <w:color w:val="000000" w:themeColor="text1"/>
                <w:sz w:val="21"/>
                <w:szCs w:val="21"/>
                <w:highlight w:val="none"/>
                <w:lang w:eastAsia="zh-CN"/>
                <w14:textFill>
                  <w14:solidFill>
                    <w14:schemeClr w14:val="tx1"/>
                  </w14:solidFill>
                </w14:textFill>
              </w:rPr>
              <w:t>中无相应综合单价的，则按</w:t>
            </w:r>
            <w:r>
              <w:rPr>
                <w:rFonts w:hint="eastAsia" w:ascii="仿宋" w:hAnsi="仿宋" w:eastAsia="仿宋"/>
                <w:color w:val="000000" w:themeColor="text1"/>
                <w:sz w:val="21"/>
                <w:szCs w:val="21"/>
                <w:highlight w:val="none"/>
                <w:lang w:eastAsia="zh-CN"/>
                <w14:textFill>
                  <w14:solidFill>
                    <w14:schemeClr w14:val="tx1"/>
                  </w14:solidFill>
                </w14:textFill>
              </w:rPr>
              <w:t>新增工程计价，按专用条款</w:t>
            </w:r>
            <w:r>
              <w:rPr>
                <w:rFonts w:ascii="仿宋" w:hAnsi="仿宋" w:eastAsia="仿宋"/>
                <w:color w:val="000000" w:themeColor="text1"/>
                <w:sz w:val="21"/>
                <w:szCs w:val="21"/>
                <w:highlight w:val="none"/>
                <w:lang w:eastAsia="zh-CN"/>
                <w14:textFill>
                  <w14:solidFill>
                    <w14:schemeClr w14:val="tx1"/>
                  </w14:solidFill>
                </w14:textFill>
              </w:rPr>
              <w:t>第79.3（1）款、</w:t>
            </w:r>
            <w:r>
              <w:rPr>
                <w:rFonts w:hint="eastAsia" w:ascii="仿宋" w:hAnsi="仿宋" w:eastAsia="仿宋"/>
                <w:color w:val="000000" w:themeColor="text1"/>
                <w:sz w:val="21"/>
                <w:szCs w:val="21"/>
                <w:highlight w:val="none"/>
                <w:lang w:eastAsia="zh-CN"/>
                <w14:textFill>
                  <w14:solidFill>
                    <w14:schemeClr w14:val="tx1"/>
                  </w14:solidFill>
                </w14:textFill>
              </w:rPr>
              <w:t>第</w:t>
            </w:r>
            <w:r>
              <w:rPr>
                <w:rFonts w:ascii="仿宋" w:hAnsi="仿宋" w:eastAsia="仿宋"/>
                <w:color w:val="000000" w:themeColor="text1"/>
                <w:sz w:val="21"/>
                <w:szCs w:val="21"/>
                <w:highlight w:val="none"/>
                <w:lang w:eastAsia="zh-CN"/>
                <w14:textFill>
                  <w14:solidFill>
                    <w14:schemeClr w14:val="tx1"/>
                  </w14:solidFill>
                </w14:textFill>
              </w:rPr>
              <w:t>79.3（2）</w:t>
            </w:r>
            <w:r>
              <w:rPr>
                <w:rFonts w:hint="eastAsia" w:ascii="仿宋" w:hAnsi="仿宋" w:eastAsia="仿宋"/>
                <w:color w:val="000000" w:themeColor="text1"/>
                <w:sz w:val="21"/>
                <w:szCs w:val="21"/>
                <w:highlight w:val="none"/>
                <w:lang w:eastAsia="zh-CN"/>
                <w14:textFill>
                  <w14:solidFill>
                    <w14:schemeClr w14:val="tx1"/>
                  </w14:solidFill>
                </w14:textFill>
              </w:rPr>
              <w:t>款计算</w:t>
            </w:r>
            <w:r>
              <w:rPr>
                <w:rFonts w:ascii="仿宋" w:hAnsi="仿宋" w:eastAsia="仿宋"/>
                <w:color w:val="000000" w:themeColor="text1"/>
                <w:sz w:val="21"/>
                <w:szCs w:val="21"/>
                <w:highlight w:val="none"/>
                <w:lang w:eastAsia="zh-CN"/>
                <w14:textFill>
                  <w14:solidFill>
                    <w14:schemeClr w14:val="tx1"/>
                  </w14:solidFill>
                </w14:textFill>
              </w:rPr>
              <w:t>综合单价。</w:t>
            </w:r>
          </w:p>
          <w:p w14:paraId="56D70EBE">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③</w:t>
            </w:r>
            <w:r>
              <w:rPr>
                <w:rFonts w:ascii="仿宋" w:hAnsi="仿宋" w:eastAsia="仿宋"/>
                <w:bCs/>
                <w:color w:val="000000" w:themeColor="text1"/>
                <w:sz w:val="21"/>
                <w:szCs w:val="21"/>
                <w:highlight w:val="none"/>
                <w:lang w:eastAsia="zh-CN"/>
                <w14:textFill>
                  <w14:solidFill>
                    <w14:schemeClr w14:val="tx1"/>
                  </w14:solidFill>
                </w14:textFill>
              </w:rPr>
              <w:t>分部分项工程费=∑工程量×综合单价。</w:t>
            </w:r>
          </w:p>
        </w:tc>
        <w:tc>
          <w:tcPr>
            <w:tcW w:w="2268" w:type="dxa"/>
            <w:vAlign w:val="center"/>
          </w:tcPr>
          <w:p w14:paraId="135D6D10">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分部分项工程量清单综合单价包干。</w:t>
            </w:r>
          </w:p>
        </w:tc>
      </w:tr>
      <w:tr w14:paraId="36F1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2DE13546">
            <w:pPr>
              <w:rPr>
                <w:rFonts w:ascii="仿宋" w:hAnsi="仿宋" w:eastAsia="仿宋"/>
                <w:bCs/>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2</w:t>
            </w:r>
          </w:p>
        </w:tc>
        <w:tc>
          <w:tcPr>
            <w:tcW w:w="1418" w:type="dxa"/>
            <w:vAlign w:val="center"/>
          </w:tcPr>
          <w:p w14:paraId="33C57B46">
            <w:pPr>
              <w:rPr>
                <w:rFonts w:ascii="仿宋" w:hAnsi="仿宋" w:eastAsia="仿宋"/>
                <w:bCs/>
                <w:dstrike/>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措施项目费</w:t>
            </w:r>
          </w:p>
        </w:tc>
        <w:tc>
          <w:tcPr>
            <w:tcW w:w="5386" w:type="dxa"/>
            <w:vAlign w:val="center"/>
          </w:tcPr>
          <w:p w14:paraId="3A1709CB">
            <w:pPr>
              <w:rPr>
                <w:rFonts w:ascii="仿宋" w:hAnsi="仿宋" w:eastAsia="仿宋"/>
                <w:bCs/>
                <w:dstrike/>
                <w:color w:val="000000" w:themeColor="text1"/>
                <w:sz w:val="21"/>
                <w:szCs w:val="21"/>
                <w:highlight w:val="none"/>
                <w14:textFill>
                  <w14:solidFill>
                    <w14:schemeClr w14:val="tx1"/>
                  </w14:solidFill>
                </w14:textFill>
              </w:rPr>
            </w:pPr>
          </w:p>
        </w:tc>
        <w:tc>
          <w:tcPr>
            <w:tcW w:w="2268" w:type="dxa"/>
            <w:vAlign w:val="center"/>
          </w:tcPr>
          <w:p w14:paraId="20DF70AA">
            <w:pPr>
              <w:rPr>
                <w:rFonts w:ascii="仿宋" w:hAnsi="仿宋" w:eastAsia="仿宋"/>
                <w:bCs/>
                <w:color w:val="000000" w:themeColor="text1"/>
                <w:sz w:val="21"/>
                <w:szCs w:val="21"/>
                <w:highlight w:val="none"/>
                <w14:textFill>
                  <w14:solidFill>
                    <w14:schemeClr w14:val="tx1"/>
                  </w14:solidFill>
                </w14:textFill>
              </w:rPr>
            </w:pPr>
          </w:p>
        </w:tc>
      </w:tr>
      <w:tr w14:paraId="0CB3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67" w:type="dxa"/>
            <w:vAlign w:val="center"/>
          </w:tcPr>
          <w:p w14:paraId="7767FC7A">
            <w:pPr>
              <w:rPr>
                <w:rFonts w:ascii="仿宋" w:hAnsi="仿宋" w:eastAsia="仿宋"/>
                <w:bCs/>
                <w:color w:val="000000" w:themeColor="text1"/>
                <w:sz w:val="21"/>
                <w:szCs w:val="21"/>
                <w:highlight w:val="none"/>
                <w14:textFill>
                  <w14:solidFill>
                    <w14:schemeClr w14:val="tx1"/>
                  </w14:solidFill>
                </w14:textFill>
              </w:rPr>
            </w:pPr>
            <w:r>
              <w:rPr>
                <w:rFonts w:ascii="仿宋" w:hAnsi="仿宋" w:eastAsia="仿宋"/>
                <w:bCs/>
                <w:color w:val="000000" w:themeColor="text1"/>
                <w:sz w:val="21"/>
                <w:szCs w:val="21"/>
                <w:highlight w:val="none"/>
                <w14:textFill>
                  <w14:solidFill>
                    <w14:schemeClr w14:val="tx1"/>
                  </w14:solidFill>
                </w14:textFill>
              </w:rPr>
              <w:t>2.1</w:t>
            </w:r>
          </w:p>
        </w:tc>
        <w:tc>
          <w:tcPr>
            <w:tcW w:w="1418" w:type="dxa"/>
            <w:vAlign w:val="center"/>
          </w:tcPr>
          <w:p w14:paraId="6B4DBA5F">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安全</w:t>
            </w:r>
            <w:r>
              <w:rPr>
                <w:rFonts w:hint="eastAsia" w:ascii="仿宋" w:hAnsi="仿宋" w:eastAsia="仿宋"/>
                <w:bCs/>
                <w:color w:val="000000" w:themeColor="text1"/>
                <w:sz w:val="21"/>
                <w:szCs w:val="21"/>
                <w:highlight w:val="none"/>
                <w:lang w:val="en-US" w:eastAsia="zh-CN"/>
                <w14:textFill>
                  <w14:solidFill>
                    <w14:schemeClr w14:val="tx1"/>
                  </w14:solidFill>
                </w14:textFill>
              </w:rPr>
              <w:t>生产</w:t>
            </w:r>
            <w:r>
              <w:rPr>
                <w:rFonts w:hint="eastAsia" w:ascii="仿宋" w:hAnsi="仿宋" w:eastAsia="仿宋"/>
                <w:bCs/>
                <w:color w:val="000000" w:themeColor="text1"/>
                <w:sz w:val="21"/>
                <w:szCs w:val="21"/>
                <w:highlight w:val="none"/>
                <w:lang w:eastAsia="zh-CN"/>
                <w14:textFill>
                  <w14:solidFill>
                    <w14:schemeClr w14:val="tx1"/>
                  </w14:solidFill>
                </w14:textFill>
              </w:rPr>
              <w:t>措施费</w:t>
            </w:r>
          </w:p>
        </w:tc>
        <w:tc>
          <w:tcPr>
            <w:tcW w:w="5386" w:type="dxa"/>
            <w:vAlign w:val="center"/>
          </w:tcPr>
          <w:p w14:paraId="1FF3B7A3">
            <w:pPr>
              <w:rPr>
                <w:rFonts w:ascii="仿宋" w:hAnsi="仿宋" w:eastAsia="仿宋"/>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按《广东省建设工程计价依据(2018）》</w:t>
            </w:r>
            <w:r>
              <w:rPr>
                <w:rFonts w:hint="default" w:ascii="仿宋" w:hAnsi="仿宋" w:eastAsia="仿宋"/>
                <w:bCs/>
                <w:color w:val="000000" w:themeColor="text1"/>
                <w:sz w:val="21"/>
                <w:szCs w:val="21"/>
                <w:highlight w:val="none"/>
                <w:lang w:eastAsia="zh-CN"/>
                <w14:textFill>
                  <w14:solidFill>
                    <w14:schemeClr w14:val="tx1"/>
                  </w14:solidFill>
                </w14:textFill>
              </w:rPr>
              <w:t>以分部分项的人工费与施工机具费之和为计算基础</w:t>
            </w:r>
            <w:r>
              <w:rPr>
                <w:rFonts w:hint="eastAsia" w:ascii="仿宋" w:hAnsi="仿宋" w:eastAsia="仿宋"/>
                <w:bCs/>
                <w:color w:val="000000" w:themeColor="text1"/>
                <w:sz w:val="21"/>
                <w:szCs w:val="21"/>
                <w:highlight w:val="none"/>
                <w:lang w:val="en-US" w:eastAsia="zh-CN"/>
                <w14:textFill>
                  <w14:solidFill>
                    <w14:schemeClr w14:val="tx1"/>
                  </w14:solidFill>
                </w14:textFill>
              </w:rPr>
              <w:t>乘以各专业工程对应的费率计算。其中建筑工程</w:t>
            </w:r>
            <w:r>
              <w:rPr>
                <w:rFonts w:hint="default" w:ascii="仿宋" w:hAnsi="仿宋" w:eastAsia="仿宋"/>
                <w:bCs/>
                <w:color w:val="000000" w:themeColor="text1"/>
                <w:sz w:val="21"/>
                <w:szCs w:val="21"/>
                <w:highlight w:val="none"/>
                <w:lang w:eastAsia="zh-CN"/>
                <w14:textFill>
                  <w14:solidFill>
                    <w14:schemeClr w14:val="tx1"/>
                  </w14:solidFill>
                </w14:textFill>
              </w:rPr>
              <w:t>费率</w:t>
            </w:r>
            <w:r>
              <w:rPr>
                <w:rFonts w:hint="eastAsia" w:ascii="仿宋" w:hAnsi="仿宋" w:eastAsia="仿宋"/>
                <w:bCs/>
                <w:color w:val="000000" w:themeColor="text1"/>
                <w:sz w:val="21"/>
                <w:szCs w:val="21"/>
                <w:highlight w:val="none"/>
                <w:lang w:val="en-US" w:eastAsia="zh-CN"/>
                <w14:textFill>
                  <w14:solidFill>
                    <w14:schemeClr w14:val="tx1"/>
                  </w14:solidFill>
                </w14:textFill>
              </w:rPr>
              <w:t>为</w:t>
            </w:r>
            <w:r>
              <w:rPr>
                <w:rFonts w:hint="eastAsia" w:ascii="仿宋" w:hAnsi="仿宋" w:eastAsia="仿宋"/>
                <w:bCs/>
                <w:color w:val="000000" w:themeColor="text1"/>
                <w:sz w:val="21"/>
                <w:szCs w:val="21"/>
                <w:highlight w:val="none"/>
                <w:lang w:eastAsia="zh-CN"/>
                <w14:textFill>
                  <w14:solidFill>
                    <w14:schemeClr w14:val="tx1"/>
                  </w14:solidFill>
                </w14:textFill>
              </w:rPr>
              <w:t>1</w:t>
            </w:r>
            <w:r>
              <w:rPr>
                <w:rFonts w:hint="eastAsia" w:ascii="仿宋" w:hAnsi="仿宋" w:eastAsia="仿宋"/>
                <w:bCs/>
                <w:color w:val="000000" w:themeColor="text1"/>
                <w:sz w:val="21"/>
                <w:szCs w:val="21"/>
                <w:highlight w:val="none"/>
                <w:lang w:val="en-US" w:eastAsia="zh-CN"/>
                <w14:textFill>
                  <w14:solidFill>
                    <w14:schemeClr w14:val="tx1"/>
                  </w14:solidFill>
                </w14:textFill>
              </w:rPr>
              <w:t>1.59</w:t>
            </w:r>
            <w:r>
              <w:rPr>
                <w:rFonts w:hint="default" w:ascii="仿宋" w:hAnsi="仿宋" w:eastAsia="仿宋"/>
                <w:bCs/>
                <w:color w:val="000000" w:themeColor="text1"/>
                <w:sz w:val="21"/>
                <w:szCs w:val="21"/>
                <w:highlight w:val="none"/>
                <w:lang w:eastAsia="zh-CN"/>
                <w14:textFill>
                  <w14:solidFill>
                    <w14:schemeClr w14:val="tx1"/>
                  </w14:solidFill>
                </w14:textFill>
              </w:rPr>
              <w:t>%</w:t>
            </w:r>
            <w:r>
              <w:rPr>
                <w:rFonts w:hint="eastAsia" w:ascii="仿宋" w:hAnsi="仿宋" w:eastAsia="仿宋"/>
                <w:bCs/>
                <w:color w:val="000000" w:themeColor="text1"/>
                <w:sz w:val="21"/>
                <w:szCs w:val="21"/>
                <w:highlight w:val="none"/>
                <w:lang w:eastAsia="zh-CN"/>
                <w14:textFill>
                  <w14:solidFill>
                    <w14:schemeClr w14:val="tx1"/>
                  </w14:solidFill>
                </w14:textFill>
              </w:rPr>
              <w:t>，</w:t>
            </w:r>
            <w:r>
              <w:rPr>
                <w:rFonts w:hint="eastAsia" w:ascii="仿宋" w:hAnsi="仿宋" w:eastAsia="仿宋"/>
                <w:bCs/>
                <w:color w:val="000000" w:themeColor="text1"/>
                <w:sz w:val="21"/>
                <w:szCs w:val="21"/>
                <w:highlight w:val="none"/>
                <w:lang w:val="en-US" w:eastAsia="zh-CN"/>
                <w14:textFill>
                  <w14:solidFill>
                    <w14:schemeClr w14:val="tx1"/>
                  </w14:solidFill>
                </w14:textFill>
              </w:rPr>
              <w:t>安装工程费率为21.8197%</w:t>
            </w:r>
            <w:r>
              <w:rPr>
                <w:rFonts w:hint="eastAsia" w:ascii="仿宋" w:hAnsi="仿宋" w:eastAsia="仿宋"/>
                <w:bCs/>
                <w:color w:val="000000" w:themeColor="text1"/>
                <w:sz w:val="21"/>
                <w:szCs w:val="21"/>
                <w:highlight w:val="none"/>
                <w:lang w:eastAsia="zh-CN"/>
                <w14:textFill>
                  <w14:solidFill>
                    <w14:schemeClr w14:val="tx1"/>
                  </w14:solidFill>
                </w14:textFill>
              </w:rPr>
              <w:t>。</w:t>
            </w:r>
          </w:p>
        </w:tc>
        <w:tc>
          <w:tcPr>
            <w:tcW w:w="2268" w:type="dxa"/>
            <w:vAlign w:val="center"/>
          </w:tcPr>
          <w:p w14:paraId="63D8BC0F">
            <w:pPr>
              <w:rPr>
                <w:rFonts w:ascii="仿宋" w:hAnsi="仿宋" w:eastAsia="仿宋"/>
                <w:bCs/>
                <w:color w:val="000000" w:themeColor="text1"/>
                <w:sz w:val="21"/>
                <w:szCs w:val="21"/>
                <w:highlight w:val="none"/>
                <w:lang w:eastAsia="zh-CN"/>
                <w14:textFill>
                  <w14:solidFill>
                    <w14:schemeClr w14:val="tx1"/>
                  </w14:solidFill>
                </w14:textFill>
              </w:rPr>
            </w:pPr>
            <w:r>
              <w:rPr>
                <w:rFonts w:ascii="仿宋" w:hAnsi="仿宋" w:eastAsia="仿宋"/>
                <w:bCs/>
                <w:color w:val="000000" w:themeColor="text1"/>
                <w:sz w:val="21"/>
                <w:szCs w:val="21"/>
                <w:highlight w:val="none"/>
                <w:lang w:eastAsia="zh-CN"/>
                <w14:textFill>
                  <w14:solidFill>
                    <w14:schemeClr w14:val="tx1"/>
                  </w14:solidFill>
                </w14:textFill>
              </w:rPr>
              <w:t>如发生甩项的</w:t>
            </w:r>
            <w:r>
              <w:rPr>
                <w:rFonts w:hint="eastAsia" w:ascii="仿宋" w:hAnsi="仿宋" w:eastAsia="仿宋"/>
                <w:bCs/>
                <w:color w:val="000000" w:themeColor="text1"/>
                <w:sz w:val="21"/>
                <w:szCs w:val="21"/>
                <w:highlight w:val="none"/>
                <w:lang w:eastAsia="zh-CN"/>
                <w14:textFill>
                  <w14:solidFill>
                    <w14:schemeClr w14:val="tx1"/>
                  </w14:solidFill>
                </w14:textFill>
              </w:rPr>
              <w:t>，按</w:t>
            </w:r>
            <w:r>
              <w:rPr>
                <w:rFonts w:ascii="仿宋" w:hAnsi="仿宋" w:eastAsia="仿宋"/>
                <w:bCs/>
                <w:color w:val="000000" w:themeColor="text1"/>
                <w:sz w:val="21"/>
                <w:szCs w:val="21"/>
                <w:highlight w:val="none"/>
                <w:lang w:eastAsia="zh-CN"/>
                <w14:textFill>
                  <w14:solidFill>
                    <w14:schemeClr w14:val="tx1"/>
                  </w14:solidFill>
                </w14:textFill>
              </w:rPr>
              <w:t>甩项</w:t>
            </w:r>
            <w:r>
              <w:rPr>
                <w:rFonts w:hint="eastAsia" w:ascii="仿宋" w:hAnsi="仿宋" w:eastAsia="仿宋"/>
                <w:bCs/>
                <w:color w:val="000000" w:themeColor="text1"/>
                <w:sz w:val="21"/>
                <w:szCs w:val="21"/>
                <w:highlight w:val="none"/>
                <w:lang w:eastAsia="zh-CN"/>
                <w14:textFill>
                  <w14:solidFill>
                    <w14:schemeClr w14:val="tx1"/>
                  </w14:solidFill>
                </w14:textFill>
              </w:rPr>
              <w:t>建筑安装工程费占合同建筑安装工程费总额比例</w:t>
            </w:r>
            <w:r>
              <w:rPr>
                <w:rFonts w:ascii="仿宋" w:hAnsi="仿宋" w:eastAsia="仿宋"/>
                <w:bCs/>
                <w:color w:val="000000" w:themeColor="text1"/>
                <w:sz w:val="21"/>
                <w:szCs w:val="21"/>
                <w:highlight w:val="none"/>
                <w:lang w:eastAsia="zh-CN"/>
                <w14:textFill>
                  <w14:solidFill>
                    <w14:schemeClr w14:val="tx1"/>
                  </w14:solidFill>
                </w14:textFill>
              </w:rPr>
              <w:t>相应扣减</w:t>
            </w:r>
            <w:r>
              <w:rPr>
                <w:rFonts w:hint="eastAsia" w:ascii="仿宋" w:hAnsi="仿宋" w:eastAsia="仿宋"/>
                <w:bCs/>
                <w:color w:val="000000" w:themeColor="text1"/>
                <w:sz w:val="21"/>
                <w:szCs w:val="21"/>
                <w:highlight w:val="none"/>
                <w:lang w:eastAsia="zh-CN"/>
                <w14:textFill>
                  <w14:solidFill>
                    <w14:schemeClr w14:val="tx1"/>
                  </w14:solidFill>
                </w14:textFill>
              </w:rPr>
              <w:t>。</w:t>
            </w:r>
          </w:p>
        </w:tc>
      </w:tr>
      <w:tr w14:paraId="28EE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ABA289D">
            <w:pPr>
              <w:rPr>
                <w:rFonts w:ascii="仿宋" w:hAnsi="仿宋" w:eastAsia="仿宋"/>
                <w:bCs/>
                <w:color w:val="000000" w:themeColor="text1"/>
                <w:sz w:val="21"/>
                <w:szCs w:val="21"/>
                <w:highlight w:val="none"/>
                <w14:textFill>
                  <w14:solidFill>
                    <w14:schemeClr w14:val="tx1"/>
                  </w14:solidFill>
                </w14:textFill>
              </w:rPr>
            </w:pPr>
            <w:r>
              <w:rPr>
                <w:rFonts w:ascii="仿宋" w:hAnsi="仿宋" w:eastAsia="仿宋"/>
                <w:bCs/>
                <w:color w:val="000000" w:themeColor="text1"/>
                <w:sz w:val="21"/>
                <w:szCs w:val="21"/>
                <w:highlight w:val="none"/>
                <w14:textFill>
                  <w14:solidFill>
                    <w14:schemeClr w14:val="tx1"/>
                  </w14:solidFill>
                </w14:textFill>
              </w:rPr>
              <w:t>2.2</w:t>
            </w:r>
          </w:p>
        </w:tc>
        <w:tc>
          <w:tcPr>
            <w:tcW w:w="1418" w:type="dxa"/>
            <w:vMerge w:val="restart"/>
            <w:vAlign w:val="center"/>
          </w:tcPr>
          <w:p w14:paraId="32B4E5A7">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措施其他项目费</w:t>
            </w:r>
          </w:p>
          <w:p w14:paraId="60DB109B">
            <w:pPr>
              <w:rPr>
                <w:rFonts w:hint="eastAsia" w:ascii="仿宋" w:hAnsi="仿宋" w:eastAsia="仿宋"/>
                <w:bCs/>
                <w:color w:val="000000" w:themeColor="text1"/>
                <w:sz w:val="21"/>
                <w:szCs w:val="21"/>
                <w:highlight w:val="none"/>
                <w:lang w:eastAsia="zh-CN"/>
                <w14:textFill>
                  <w14:solidFill>
                    <w14:schemeClr w14:val="tx1"/>
                  </w14:solidFill>
                </w14:textFill>
              </w:rPr>
            </w:pPr>
          </w:p>
          <w:p w14:paraId="47E7951F">
            <w:pPr>
              <w:rPr>
                <w:rFonts w:ascii="仿宋" w:hAnsi="仿宋" w:eastAsia="仿宋"/>
                <w:bCs/>
                <w:color w:val="000000" w:themeColor="text1"/>
                <w:sz w:val="21"/>
                <w:szCs w:val="21"/>
                <w:highlight w:val="none"/>
                <w:lang w:eastAsia="zh-CN"/>
                <w14:textFill>
                  <w14:solidFill>
                    <w14:schemeClr w14:val="tx1"/>
                  </w14:solidFill>
                </w14:textFill>
              </w:rPr>
            </w:pPr>
          </w:p>
        </w:tc>
        <w:tc>
          <w:tcPr>
            <w:tcW w:w="5386" w:type="dxa"/>
            <w:vAlign w:val="center"/>
          </w:tcPr>
          <w:p w14:paraId="0ABAE058">
            <w:pPr>
              <w:ind w:left="25"/>
              <w:rPr>
                <w:rFonts w:hint="eastAsia" w:ascii="仿宋" w:hAnsi="仿宋" w:eastAsia="仿宋" w:cs="宋体"/>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①文明施工措施、环境保护措施</w:t>
            </w:r>
            <w:r>
              <w:rPr>
                <w:rFonts w:hint="eastAsia" w:ascii="仿宋" w:hAnsi="仿宋" w:eastAsia="仿宋"/>
                <w:bCs/>
                <w:color w:val="000000" w:themeColor="text1"/>
                <w:sz w:val="21"/>
                <w:szCs w:val="21"/>
                <w:highlight w:val="none"/>
                <w:lang w:val="en-US" w:eastAsia="zh-CN"/>
                <w14:textFill>
                  <w14:solidFill>
                    <w14:schemeClr w14:val="tx1"/>
                  </w14:solidFill>
                </w14:textFill>
              </w:rPr>
              <w:t>及</w:t>
            </w:r>
            <w:r>
              <w:rPr>
                <w:rFonts w:hint="eastAsia" w:ascii="仿宋" w:hAnsi="仿宋" w:eastAsia="仿宋"/>
                <w:bCs/>
                <w:color w:val="000000" w:themeColor="text1"/>
                <w:sz w:val="21"/>
                <w:szCs w:val="21"/>
                <w:highlight w:val="none"/>
                <w:lang w:eastAsia="zh-CN"/>
                <w14:textFill>
                  <w14:solidFill>
                    <w14:schemeClr w14:val="tx1"/>
                  </w14:solidFill>
                </w14:textFill>
              </w:rPr>
              <w:t>临时设施措施以承包人投标报价中分部分项的人工费与施工机具费之和为计算基础乘以</w:t>
            </w:r>
            <w:r>
              <w:rPr>
                <w:rFonts w:hint="eastAsia" w:ascii="仿宋" w:hAnsi="仿宋" w:eastAsia="仿宋"/>
                <w:bCs/>
                <w:color w:val="000000" w:themeColor="text1"/>
                <w:sz w:val="21"/>
                <w:szCs w:val="21"/>
                <w:highlight w:val="none"/>
                <w:lang w:val="en-US" w:eastAsia="zh-CN"/>
                <w14:textFill>
                  <w14:solidFill>
                    <w14:schemeClr w14:val="tx1"/>
                  </w14:solidFill>
                </w14:textFill>
              </w:rPr>
              <w:t>投标报价的</w:t>
            </w:r>
            <w:r>
              <w:rPr>
                <w:rFonts w:hint="eastAsia" w:ascii="仿宋" w:hAnsi="仿宋" w:eastAsia="仿宋"/>
                <w:bCs/>
                <w:color w:val="000000" w:themeColor="text1"/>
                <w:sz w:val="21"/>
                <w:szCs w:val="21"/>
                <w:highlight w:val="none"/>
                <w:lang w:eastAsia="zh-CN"/>
                <w14:textFill>
                  <w14:solidFill>
                    <w14:schemeClr w14:val="tx1"/>
                  </w14:solidFill>
                </w14:textFill>
              </w:rPr>
              <w:t>相应费率计算，费率不予调整，且最高不超过《广东省建设工程计价依据(2018）》相应费率。</w:t>
            </w:r>
          </w:p>
          <w:p w14:paraId="0C734F42">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cs="宋体"/>
                <w:color w:val="000000" w:themeColor="text1"/>
                <w:sz w:val="21"/>
                <w:szCs w:val="21"/>
                <w:highlight w:val="none"/>
                <w:lang w:eastAsia="zh-CN"/>
                <w14:textFill>
                  <w14:solidFill>
                    <w14:schemeClr w14:val="tx1"/>
                  </w14:solidFill>
                </w14:textFill>
              </w:rPr>
              <w:t>②</w:t>
            </w:r>
            <w:r>
              <w:rPr>
                <w:rFonts w:hint="eastAsia" w:ascii="仿宋" w:hAnsi="仿宋" w:eastAsia="仿宋" w:cs="宋体"/>
                <w:color w:val="000000" w:themeColor="text1"/>
                <w:sz w:val="21"/>
                <w:szCs w:val="21"/>
                <w:highlight w:val="none"/>
                <w:lang w:val="en-US" w:eastAsia="zh-CN"/>
                <w14:textFill>
                  <w14:solidFill>
                    <w14:schemeClr w14:val="tx1"/>
                  </w14:solidFill>
                </w14:textFill>
              </w:rPr>
              <w:t>上述措施项目除外的其他措施项目</w:t>
            </w:r>
            <w:r>
              <w:rPr>
                <w:rFonts w:hint="eastAsia" w:ascii="仿宋" w:hAnsi="仿宋" w:eastAsia="仿宋" w:cs="宋体"/>
                <w:color w:val="000000" w:themeColor="text1"/>
                <w:sz w:val="21"/>
                <w:szCs w:val="21"/>
                <w:highlight w:val="none"/>
                <w:lang w:eastAsia="zh-CN"/>
                <w14:textFill>
                  <w14:solidFill>
                    <w14:schemeClr w14:val="tx1"/>
                  </w14:solidFill>
                </w14:textFill>
              </w:rPr>
              <w:t>按承包人投标报价中相应报价合价包干。投标报价中没有填报的措施项目费，视为此工作内容</w:t>
            </w:r>
            <w:r>
              <w:rPr>
                <w:rFonts w:hint="eastAsia" w:ascii="仿宋" w:hAnsi="仿宋" w:eastAsia="仿宋"/>
                <w:color w:val="000000" w:themeColor="text1"/>
                <w:sz w:val="21"/>
                <w:szCs w:val="21"/>
                <w:highlight w:val="none"/>
                <w:lang w:eastAsia="zh-CN"/>
                <w14:textFill>
                  <w14:solidFill>
                    <w14:schemeClr w14:val="tx1"/>
                  </w14:solidFill>
                </w14:textFill>
              </w:rPr>
              <w:t>在投标报价中综合考虑，不单独计取。</w:t>
            </w:r>
          </w:p>
        </w:tc>
        <w:tc>
          <w:tcPr>
            <w:tcW w:w="2268" w:type="dxa"/>
            <w:vAlign w:val="center"/>
          </w:tcPr>
          <w:p w14:paraId="3EB460B5">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合价包干的措施项目费，</w:t>
            </w:r>
            <w:r>
              <w:rPr>
                <w:rFonts w:ascii="仿宋" w:hAnsi="仿宋" w:eastAsia="仿宋"/>
                <w:bCs/>
                <w:color w:val="000000" w:themeColor="text1"/>
                <w:sz w:val="21"/>
                <w:szCs w:val="21"/>
                <w:highlight w:val="none"/>
                <w:lang w:eastAsia="zh-CN"/>
                <w14:textFill>
                  <w14:solidFill>
                    <w14:schemeClr w14:val="tx1"/>
                  </w14:solidFill>
                </w14:textFill>
              </w:rPr>
              <w:t>如发生甩项的</w:t>
            </w:r>
            <w:r>
              <w:rPr>
                <w:rFonts w:hint="eastAsia" w:ascii="仿宋" w:hAnsi="仿宋" w:eastAsia="仿宋"/>
                <w:bCs/>
                <w:color w:val="000000" w:themeColor="text1"/>
                <w:sz w:val="21"/>
                <w:szCs w:val="21"/>
                <w:highlight w:val="none"/>
                <w:lang w:eastAsia="zh-CN"/>
                <w14:textFill>
                  <w14:solidFill>
                    <w14:schemeClr w14:val="tx1"/>
                  </w14:solidFill>
                </w14:textFill>
              </w:rPr>
              <w:t>，按</w:t>
            </w:r>
            <w:r>
              <w:rPr>
                <w:rFonts w:ascii="仿宋" w:hAnsi="仿宋" w:eastAsia="仿宋"/>
                <w:bCs/>
                <w:color w:val="000000" w:themeColor="text1"/>
                <w:sz w:val="21"/>
                <w:szCs w:val="21"/>
                <w:highlight w:val="none"/>
                <w:lang w:eastAsia="zh-CN"/>
                <w14:textFill>
                  <w14:solidFill>
                    <w14:schemeClr w14:val="tx1"/>
                  </w14:solidFill>
                </w14:textFill>
              </w:rPr>
              <w:t>甩项</w:t>
            </w:r>
            <w:r>
              <w:rPr>
                <w:rFonts w:hint="eastAsia" w:ascii="仿宋" w:hAnsi="仿宋" w:eastAsia="仿宋"/>
                <w:bCs/>
                <w:color w:val="000000" w:themeColor="text1"/>
                <w:sz w:val="21"/>
                <w:szCs w:val="21"/>
                <w:highlight w:val="none"/>
                <w:lang w:eastAsia="zh-CN"/>
                <w14:textFill>
                  <w14:solidFill>
                    <w14:schemeClr w14:val="tx1"/>
                  </w14:solidFill>
                </w14:textFill>
              </w:rPr>
              <w:t>建筑安装工程费占合同建筑安装工程费总额比例</w:t>
            </w:r>
            <w:r>
              <w:rPr>
                <w:rFonts w:ascii="仿宋" w:hAnsi="仿宋" w:eastAsia="仿宋"/>
                <w:bCs/>
                <w:color w:val="000000" w:themeColor="text1"/>
                <w:sz w:val="21"/>
                <w:szCs w:val="21"/>
                <w:highlight w:val="none"/>
                <w:lang w:eastAsia="zh-CN"/>
                <w14:textFill>
                  <w14:solidFill>
                    <w14:schemeClr w14:val="tx1"/>
                  </w14:solidFill>
                </w14:textFill>
              </w:rPr>
              <w:t>相应扣减</w:t>
            </w:r>
          </w:p>
        </w:tc>
      </w:tr>
      <w:tr w14:paraId="66CB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18BE0B6C">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w:t>
            </w:r>
          </w:p>
        </w:tc>
        <w:tc>
          <w:tcPr>
            <w:tcW w:w="1418" w:type="dxa"/>
            <w:vAlign w:val="center"/>
          </w:tcPr>
          <w:p w14:paraId="4DC8F365">
            <w:pPr>
              <w:ind w:left="-2" w:leftChars="-1" w:firstLine="35" w:firstLineChars="17"/>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其他项目费</w:t>
            </w:r>
          </w:p>
        </w:tc>
        <w:tc>
          <w:tcPr>
            <w:tcW w:w="5386" w:type="dxa"/>
            <w:vAlign w:val="center"/>
          </w:tcPr>
          <w:p w14:paraId="312E3645">
            <w:pPr>
              <w:pStyle w:val="31"/>
              <w:ind w:left="31" w:leftChars="13" w:firstLine="140" w:firstLineChars="67"/>
              <w:rPr>
                <w:rFonts w:ascii="仿宋" w:hAnsi="仿宋" w:eastAsia="仿宋"/>
                <w:bCs/>
                <w:color w:val="000000" w:themeColor="text1"/>
                <w:sz w:val="21"/>
                <w:szCs w:val="21"/>
                <w:highlight w:val="none"/>
                <w:lang w:eastAsia="zh-CN" w:bidi="en-US"/>
                <w14:textFill>
                  <w14:solidFill>
                    <w14:schemeClr w14:val="tx1"/>
                  </w14:solidFill>
                </w14:textFill>
              </w:rPr>
            </w:pPr>
          </w:p>
        </w:tc>
        <w:tc>
          <w:tcPr>
            <w:tcW w:w="2268" w:type="dxa"/>
            <w:vAlign w:val="center"/>
          </w:tcPr>
          <w:p w14:paraId="54E4C0F8">
            <w:pPr>
              <w:ind w:firstLine="420"/>
              <w:rPr>
                <w:rFonts w:ascii="仿宋" w:hAnsi="仿宋" w:eastAsia="仿宋"/>
                <w:bCs/>
                <w:color w:val="000000" w:themeColor="text1"/>
                <w:sz w:val="21"/>
                <w:szCs w:val="21"/>
                <w:highlight w:val="none"/>
                <w:lang w:eastAsia="zh-CN"/>
                <w14:textFill>
                  <w14:solidFill>
                    <w14:schemeClr w14:val="tx1"/>
                  </w14:solidFill>
                </w14:textFill>
              </w:rPr>
            </w:pPr>
          </w:p>
        </w:tc>
      </w:tr>
      <w:tr w14:paraId="4FBC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22B595E">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w:t>
            </w:r>
            <w:r>
              <w:rPr>
                <w:rFonts w:ascii="仿宋" w:hAnsi="仿宋" w:eastAsia="仿宋"/>
                <w:bCs/>
                <w:color w:val="000000" w:themeColor="text1"/>
                <w:sz w:val="21"/>
                <w:szCs w:val="21"/>
                <w:highlight w:val="none"/>
                <w:lang w:eastAsia="zh-CN"/>
                <w14:textFill>
                  <w14:solidFill>
                    <w14:schemeClr w14:val="tx1"/>
                  </w14:solidFill>
                </w14:textFill>
              </w:rPr>
              <w:t>.1</w:t>
            </w:r>
          </w:p>
        </w:tc>
        <w:tc>
          <w:tcPr>
            <w:tcW w:w="1418" w:type="dxa"/>
            <w:vAlign w:val="center"/>
          </w:tcPr>
          <w:p w14:paraId="4410406B">
            <w:pPr>
              <w:ind w:firstLine="33"/>
              <w:rPr>
                <w:rFonts w:ascii="仿宋" w:hAnsi="仿宋" w:eastAsia="仿宋"/>
                <w:bCs/>
                <w:color w:val="000000" w:themeColor="text1"/>
                <w:sz w:val="21"/>
                <w:szCs w:val="21"/>
                <w:highlight w:val="none"/>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暂列金额</w:t>
            </w:r>
          </w:p>
        </w:tc>
        <w:tc>
          <w:tcPr>
            <w:tcW w:w="5386" w:type="dxa"/>
            <w:vAlign w:val="center"/>
          </w:tcPr>
          <w:p w14:paraId="3E841779">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按合同价中的暂列金额。</w:t>
            </w:r>
          </w:p>
        </w:tc>
        <w:tc>
          <w:tcPr>
            <w:tcW w:w="2268" w:type="dxa"/>
            <w:vAlign w:val="center"/>
          </w:tcPr>
          <w:p w14:paraId="6C85452F">
            <w:pPr>
              <w:ind w:firstLine="420"/>
              <w:jc w:val="center"/>
              <w:rPr>
                <w:rFonts w:ascii="仿宋" w:hAnsi="仿宋" w:eastAsia="仿宋"/>
                <w:bCs/>
                <w:color w:val="000000" w:themeColor="text1"/>
                <w:sz w:val="21"/>
                <w:szCs w:val="21"/>
                <w:highlight w:val="none"/>
                <w:lang w:eastAsia="zh-CN"/>
                <w14:textFill>
                  <w14:solidFill>
                    <w14:schemeClr w14:val="tx1"/>
                  </w14:solidFill>
                </w14:textFill>
              </w:rPr>
            </w:pPr>
          </w:p>
        </w:tc>
      </w:tr>
      <w:tr w14:paraId="2A7B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7F2B1AD0">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w:t>
            </w:r>
            <w:r>
              <w:rPr>
                <w:rFonts w:ascii="仿宋" w:hAnsi="仿宋" w:eastAsia="仿宋"/>
                <w:bCs/>
                <w:color w:val="000000" w:themeColor="text1"/>
                <w:sz w:val="21"/>
                <w:szCs w:val="21"/>
                <w:highlight w:val="none"/>
                <w:lang w:eastAsia="zh-CN"/>
                <w14:textFill>
                  <w14:solidFill>
                    <w14:schemeClr w14:val="tx1"/>
                  </w14:solidFill>
                </w14:textFill>
              </w:rPr>
              <w:t>.2</w:t>
            </w:r>
          </w:p>
        </w:tc>
        <w:tc>
          <w:tcPr>
            <w:tcW w:w="1418" w:type="dxa"/>
            <w:vAlign w:val="center"/>
          </w:tcPr>
          <w:p w14:paraId="33B08DCE">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预算包干费</w:t>
            </w:r>
          </w:p>
        </w:tc>
        <w:tc>
          <w:tcPr>
            <w:tcW w:w="5386" w:type="dxa"/>
            <w:vAlign w:val="center"/>
          </w:tcPr>
          <w:p w14:paraId="173CF593">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以承包人投标报价中分部分项的人工费与施工机具费之和为计算基础乘以投标报价的相应费率计算，费率不予调整，</w:t>
            </w:r>
            <w:r>
              <w:rPr>
                <w:rFonts w:hint="eastAsia" w:ascii="仿宋" w:hAnsi="仿宋" w:eastAsia="仿宋"/>
                <w:bCs/>
                <w:color w:val="000000" w:themeColor="text1"/>
                <w:sz w:val="21"/>
                <w:szCs w:val="21"/>
                <w:highlight w:val="none"/>
                <w:lang w:val="en-US" w:eastAsia="zh-CN"/>
                <w14:textFill>
                  <w14:solidFill>
                    <w14:schemeClr w14:val="tx1"/>
                  </w14:solidFill>
                </w14:textFill>
              </w:rPr>
              <w:t>且最高不超过</w:t>
            </w:r>
            <w:r>
              <w:rPr>
                <w:rFonts w:hint="eastAsia" w:ascii="仿宋" w:hAnsi="仿宋" w:eastAsia="仿宋"/>
                <w:bCs/>
                <w:color w:val="000000" w:themeColor="text1"/>
                <w:sz w:val="21"/>
                <w:szCs w:val="21"/>
                <w:highlight w:val="none"/>
                <w:lang w:eastAsia="zh-CN"/>
                <w14:textFill>
                  <w14:solidFill>
                    <w14:schemeClr w14:val="tx1"/>
                  </w14:solidFill>
                </w14:textFill>
              </w:rPr>
              <w:t>《广东省建设工程计价依据(2018）》</w:t>
            </w:r>
            <w:r>
              <w:rPr>
                <w:rFonts w:hint="eastAsia" w:ascii="仿宋" w:hAnsi="仿宋" w:eastAsia="仿宋"/>
                <w:bCs/>
                <w:color w:val="000000" w:themeColor="text1"/>
                <w:sz w:val="21"/>
                <w:szCs w:val="21"/>
                <w:highlight w:val="none"/>
                <w:lang w:val="en-US" w:eastAsia="zh-CN"/>
                <w14:textFill>
                  <w14:solidFill>
                    <w14:schemeClr w14:val="tx1"/>
                  </w14:solidFill>
                </w14:textFill>
              </w:rPr>
              <w:t>相应费率</w:t>
            </w:r>
            <w:r>
              <w:rPr>
                <w:rFonts w:hint="eastAsia" w:ascii="仿宋" w:hAnsi="仿宋" w:eastAsia="仿宋"/>
                <w:bCs/>
                <w:color w:val="000000" w:themeColor="text1"/>
                <w:sz w:val="21"/>
                <w:szCs w:val="21"/>
                <w:highlight w:val="none"/>
                <w:lang w:eastAsia="zh-CN"/>
                <w14:textFill>
                  <w14:solidFill>
                    <w14:schemeClr w14:val="tx1"/>
                  </w14:solidFill>
                </w14:textFill>
              </w:rPr>
              <w:t>，</w:t>
            </w:r>
            <w:r>
              <w:rPr>
                <w:rFonts w:hint="eastAsia" w:ascii="仿宋" w:hAnsi="仿宋" w:eastAsia="仿宋"/>
                <w:bCs/>
                <w:color w:val="000000" w:themeColor="text1"/>
                <w:sz w:val="21"/>
                <w:szCs w:val="21"/>
                <w:highlight w:val="none"/>
                <w:lang w:val="en-US" w:eastAsia="zh-CN"/>
                <w14:textFill>
                  <w14:solidFill>
                    <w14:schemeClr w14:val="tx1"/>
                  </w14:solidFill>
                </w14:textFill>
              </w:rPr>
              <w:t>若超过相应费率，按最高费率进行修正。</w:t>
            </w:r>
          </w:p>
        </w:tc>
        <w:tc>
          <w:tcPr>
            <w:tcW w:w="2268" w:type="dxa"/>
            <w:vAlign w:val="center"/>
          </w:tcPr>
          <w:p w14:paraId="18A5C4CC">
            <w:pPr>
              <w:ind w:firstLine="29"/>
              <w:rPr>
                <w:rFonts w:ascii="仿宋" w:hAnsi="仿宋" w:eastAsia="仿宋"/>
                <w:bCs/>
                <w:color w:val="000000" w:themeColor="text1"/>
                <w:sz w:val="21"/>
                <w:szCs w:val="21"/>
                <w:highlight w:val="none"/>
                <w:lang w:eastAsia="zh-CN"/>
                <w14:textFill>
                  <w14:solidFill>
                    <w14:schemeClr w14:val="tx1"/>
                  </w14:solidFill>
                </w14:textFill>
              </w:rPr>
            </w:pPr>
            <w:r>
              <w:rPr>
                <w:rFonts w:ascii="仿宋" w:hAnsi="仿宋" w:eastAsia="仿宋"/>
                <w:bCs/>
                <w:color w:val="000000" w:themeColor="text1"/>
                <w:sz w:val="21"/>
                <w:szCs w:val="21"/>
                <w:highlight w:val="none"/>
                <w:lang w:eastAsia="zh-CN"/>
                <w14:textFill>
                  <w14:solidFill>
                    <w14:schemeClr w14:val="tx1"/>
                  </w14:solidFill>
                </w14:textFill>
              </w:rPr>
              <w:t>如发生甩项的</w:t>
            </w:r>
            <w:r>
              <w:rPr>
                <w:rFonts w:hint="eastAsia" w:ascii="仿宋" w:hAnsi="仿宋" w:eastAsia="仿宋"/>
                <w:bCs/>
                <w:color w:val="000000" w:themeColor="text1"/>
                <w:sz w:val="21"/>
                <w:szCs w:val="21"/>
                <w:highlight w:val="none"/>
                <w:lang w:eastAsia="zh-CN"/>
                <w14:textFill>
                  <w14:solidFill>
                    <w14:schemeClr w14:val="tx1"/>
                  </w14:solidFill>
                </w14:textFill>
              </w:rPr>
              <w:t>，按</w:t>
            </w:r>
            <w:r>
              <w:rPr>
                <w:rFonts w:ascii="仿宋" w:hAnsi="仿宋" w:eastAsia="仿宋"/>
                <w:bCs/>
                <w:color w:val="000000" w:themeColor="text1"/>
                <w:sz w:val="21"/>
                <w:szCs w:val="21"/>
                <w:highlight w:val="none"/>
                <w:lang w:eastAsia="zh-CN"/>
                <w14:textFill>
                  <w14:solidFill>
                    <w14:schemeClr w14:val="tx1"/>
                  </w14:solidFill>
                </w14:textFill>
              </w:rPr>
              <w:t>甩项</w:t>
            </w:r>
            <w:r>
              <w:rPr>
                <w:rFonts w:hint="eastAsia" w:ascii="仿宋" w:hAnsi="仿宋" w:eastAsia="仿宋"/>
                <w:bCs/>
                <w:color w:val="000000" w:themeColor="text1"/>
                <w:sz w:val="21"/>
                <w:szCs w:val="21"/>
                <w:highlight w:val="none"/>
                <w:lang w:eastAsia="zh-CN"/>
                <w14:textFill>
                  <w14:solidFill>
                    <w14:schemeClr w14:val="tx1"/>
                  </w14:solidFill>
                </w14:textFill>
              </w:rPr>
              <w:t>建筑安装工程费占合同建筑安装工程费总额比例</w:t>
            </w:r>
            <w:r>
              <w:rPr>
                <w:rFonts w:ascii="仿宋" w:hAnsi="仿宋" w:eastAsia="仿宋"/>
                <w:bCs/>
                <w:color w:val="000000" w:themeColor="text1"/>
                <w:sz w:val="21"/>
                <w:szCs w:val="21"/>
                <w:highlight w:val="none"/>
                <w:lang w:eastAsia="zh-CN"/>
                <w14:textFill>
                  <w14:solidFill>
                    <w14:schemeClr w14:val="tx1"/>
                  </w14:solidFill>
                </w14:textFill>
              </w:rPr>
              <w:t>相应扣减</w:t>
            </w:r>
            <w:r>
              <w:rPr>
                <w:rFonts w:hint="eastAsia" w:ascii="仿宋" w:hAnsi="仿宋" w:eastAsia="仿宋"/>
                <w:bCs/>
                <w:color w:val="000000" w:themeColor="text1"/>
                <w:sz w:val="21"/>
                <w:szCs w:val="21"/>
                <w:highlight w:val="none"/>
                <w:lang w:eastAsia="zh-CN"/>
                <w14:textFill>
                  <w14:solidFill>
                    <w14:schemeClr w14:val="tx1"/>
                  </w14:solidFill>
                </w14:textFill>
              </w:rPr>
              <w:t>。</w:t>
            </w:r>
          </w:p>
        </w:tc>
      </w:tr>
      <w:tr w14:paraId="5B33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0446685">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w:t>
            </w:r>
            <w:r>
              <w:rPr>
                <w:rFonts w:ascii="仿宋" w:hAnsi="仿宋" w:eastAsia="仿宋"/>
                <w:bCs/>
                <w:color w:val="000000" w:themeColor="text1"/>
                <w:sz w:val="21"/>
                <w:szCs w:val="21"/>
                <w:highlight w:val="none"/>
                <w:lang w:eastAsia="zh-CN"/>
                <w14:textFill>
                  <w14:solidFill>
                    <w14:schemeClr w14:val="tx1"/>
                  </w14:solidFill>
                </w14:textFill>
              </w:rPr>
              <w:t>.3</w:t>
            </w:r>
          </w:p>
        </w:tc>
        <w:tc>
          <w:tcPr>
            <w:tcW w:w="1418" w:type="dxa"/>
            <w:vAlign w:val="center"/>
          </w:tcPr>
          <w:p w14:paraId="3B1DF720">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暂估价</w:t>
            </w:r>
          </w:p>
        </w:tc>
        <w:tc>
          <w:tcPr>
            <w:tcW w:w="5386" w:type="dxa"/>
            <w:vAlign w:val="center"/>
          </w:tcPr>
          <w:p w14:paraId="079E554E">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如有，按发包人要求计取。</w:t>
            </w:r>
          </w:p>
        </w:tc>
        <w:tc>
          <w:tcPr>
            <w:tcW w:w="2268" w:type="dxa"/>
            <w:vAlign w:val="center"/>
          </w:tcPr>
          <w:p w14:paraId="603B3A2C">
            <w:pPr>
              <w:ind w:firstLine="29"/>
              <w:jc w:val="center"/>
              <w:rPr>
                <w:rFonts w:ascii="仿宋" w:hAnsi="仿宋" w:eastAsia="仿宋"/>
                <w:bCs/>
                <w:color w:val="000000" w:themeColor="text1"/>
                <w:sz w:val="21"/>
                <w:szCs w:val="21"/>
                <w:highlight w:val="none"/>
                <w:lang w:eastAsia="zh-CN"/>
                <w14:textFill>
                  <w14:solidFill>
                    <w14:schemeClr w14:val="tx1"/>
                  </w14:solidFill>
                </w14:textFill>
              </w:rPr>
            </w:pPr>
          </w:p>
        </w:tc>
      </w:tr>
      <w:tr w14:paraId="7413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24C67B6">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w:t>
            </w:r>
            <w:r>
              <w:rPr>
                <w:rFonts w:ascii="仿宋" w:hAnsi="仿宋" w:eastAsia="仿宋"/>
                <w:bCs/>
                <w:color w:val="000000" w:themeColor="text1"/>
                <w:sz w:val="21"/>
                <w:szCs w:val="21"/>
                <w:highlight w:val="none"/>
                <w:lang w:eastAsia="zh-CN"/>
                <w14:textFill>
                  <w14:solidFill>
                    <w14:schemeClr w14:val="tx1"/>
                  </w14:solidFill>
                </w14:textFill>
              </w:rPr>
              <w:t>.4</w:t>
            </w:r>
          </w:p>
        </w:tc>
        <w:tc>
          <w:tcPr>
            <w:tcW w:w="1418" w:type="dxa"/>
            <w:vAlign w:val="center"/>
          </w:tcPr>
          <w:p w14:paraId="283396DF">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ascii="仿宋" w:hAnsi="仿宋" w:eastAsia="仿宋"/>
                <w:bCs/>
                <w:color w:val="000000" w:themeColor="text1"/>
                <w:sz w:val="21"/>
                <w:szCs w:val="21"/>
                <w:highlight w:val="none"/>
                <w:lang w:eastAsia="zh-CN"/>
                <w14:textFill>
                  <w14:solidFill>
                    <w14:schemeClr w14:val="tx1"/>
                  </w14:solidFill>
                </w14:textFill>
              </w:rPr>
              <w:t>消纳费</w:t>
            </w:r>
          </w:p>
        </w:tc>
        <w:tc>
          <w:tcPr>
            <w:tcW w:w="5386" w:type="dxa"/>
            <w:vAlign w:val="center"/>
          </w:tcPr>
          <w:p w14:paraId="5E2FB61D">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ascii="仿宋" w:hAnsi="仿宋" w:eastAsia="仿宋"/>
                <w:bCs/>
                <w:color w:val="000000" w:themeColor="text1"/>
                <w:sz w:val="21"/>
                <w:szCs w:val="21"/>
                <w:highlight w:val="none"/>
                <w:lang w:eastAsia="zh-CN"/>
                <w14:textFill>
                  <w14:solidFill>
                    <w14:schemeClr w14:val="tx1"/>
                  </w14:solidFill>
                </w14:textFill>
              </w:rPr>
              <w:t>工程量按实。</w:t>
            </w:r>
          </w:p>
        </w:tc>
        <w:tc>
          <w:tcPr>
            <w:tcW w:w="2268" w:type="dxa"/>
            <w:vAlign w:val="center"/>
          </w:tcPr>
          <w:p w14:paraId="676A4CDA">
            <w:pPr>
              <w:ind w:firstLine="29"/>
              <w:jc w:val="cente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需提供合法消纳场出具的有效凭证</w:t>
            </w:r>
          </w:p>
        </w:tc>
      </w:tr>
      <w:tr w14:paraId="562C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1E571764">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3.5</w:t>
            </w:r>
          </w:p>
        </w:tc>
        <w:tc>
          <w:tcPr>
            <w:tcW w:w="1418" w:type="dxa"/>
            <w:vAlign w:val="center"/>
          </w:tcPr>
          <w:p w14:paraId="0E291419">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总承包管理配合服务费</w:t>
            </w:r>
          </w:p>
        </w:tc>
        <w:tc>
          <w:tcPr>
            <w:tcW w:w="5386" w:type="dxa"/>
            <w:vAlign w:val="center"/>
          </w:tcPr>
          <w:p w14:paraId="58F4C278">
            <w:pPr>
              <w:ind w:firstLine="33"/>
              <w:rPr>
                <w:rFonts w:ascii="仿宋" w:hAnsi="仿宋" w:eastAsia="仿宋" w:cs="宋体"/>
                <w:color w:val="000000" w:themeColor="text1"/>
                <w:sz w:val="21"/>
                <w:szCs w:val="21"/>
                <w:highlight w:val="none"/>
                <w:lang w:eastAsia="zh-CN"/>
                <w14:textFill>
                  <w14:solidFill>
                    <w14:schemeClr w14:val="tx1"/>
                  </w14:solidFill>
                </w14:textFill>
              </w:rPr>
            </w:pPr>
            <w:r>
              <w:rPr>
                <w:rFonts w:hint="eastAsia" w:ascii="仿宋" w:hAnsi="仿宋" w:eastAsia="仿宋" w:cs="宋体"/>
                <w:color w:val="000000" w:themeColor="text1"/>
                <w:sz w:val="21"/>
                <w:szCs w:val="21"/>
                <w:highlight w:val="none"/>
                <w:lang w:eastAsia="zh-CN"/>
                <w14:textFill>
                  <w14:solidFill>
                    <w14:schemeClr w14:val="tx1"/>
                  </w14:solidFill>
                </w14:textFill>
              </w:rPr>
              <w:t>承包人在投标报价中综合考虑，不单独计取。</w:t>
            </w:r>
          </w:p>
        </w:tc>
        <w:tc>
          <w:tcPr>
            <w:tcW w:w="2268" w:type="dxa"/>
            <w:vAlign w:val="center"/>
          </w:tcPr>
          <w:p w14:paraId="40D5690F">
            <w:pPr>
              <w:ind w:firstLine="29"/>
              <w:jc w:val="center"/>
              <w:rPr>
                <w:rFonts w:ascii="仿宋" w:hAnsi="仿宋" w:eastAsia="仿宋"/>
                <w:bCs/>
                <w:color w:val="000000" w:themeColor="text1"/>
                <w:sz w:val="21"/>
                <w:szCs w:val="21"/>
                <w:highlight w:val="none"/>
                <w:lang w:eastAsia="zh-CN"/>
                <w14:textFill>
                  <w14:solidFill>
                    <w14:schemeClr w14:val="tx1"/>
                  </w14:solidFill>
                </w14:textFill>
              </w:rPr>
            </w:pPr>
          </w:p>
        </w:tc>
      </w:tr>
      <w:tr w14:paraId="5422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79D754A1">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3</w:t>
            </w:r>
            <w:r>
              <w:rPr>
                <w:rFonts w:ascii="仿宋" w:hAnsi="仿宋" w:eastAsia="仿宋"/>
                <w:bCs/>
                <w:color w:val="000000" w:themeColor="text1"/>
                <w:sz w:val="21"/>
                <w:szCs w:val="21"/>
                <w:highlight w:val="none"/>
                <w:lang w:eastAsia="zh-CN"/>
                <w14:textFill>
                  <w14:solidFill>
                    <w14:schemeClr w14:val="tx1"/>
                  </w14:solidFill>
                </w14:textFill>
              </w:rPr>
              <w:t>.</w:t>
            </w:r>
            <w:r>
              <w:rPr>
                <w:rFonts w:hint="eastAsia" w:ascii="仿宋" w:hAnsi="仿宋" w:eastAsia="仿宋"/>
                <w:bCs/>
                <w:color w:val="000000" w:themeColor="text1"/>
                <w:sz w:val="21"/>
                <w:szCs w:val="21"/>
                <w:highlight w:val="none"/>
                <w:lang w:eastAsia="zh-CN"/>
                <w14:textFill>
                  <w14:solidFill>
                    <w14:schemeClr w14:val="tx1"/>
                  </w14:solidFill>
                </w14:textFill>
              </w:rPr>
              <w:t>6</w:t>
            </w:r>
          </w:p>
        </w:tc>
        <w:tc>
          <w:tcPr>
            <w:tcW w:w="1418" w:type="dxa"/>
            <w:vAlign w:val="center"/>
          </w:tcPr>
          <w:p w14:paraId="54D6A61D">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ascii="仿宋" w:hAnsi="仿宋" w:eastAsia="仿宋"/>
                <w:bCs/>
                <w:color w:val="000000" w:themeColor="text1"/>
                <w:sz w:val="21"/>
                <w:szCs w:val="21"/>
                <w:highlight w:val="none"/>
                <w:lang w:eastAsia="zh-CN"/>
                <w14:textFill>
                  <w14:solidFill>
                    <w14:schemeClr w14:val="tx1"/>
                  </w14:solidFill>
                </w14:textFill>
              </w:rPr>
              <w:t>其他</w:t>
            </w:r>
          </w:p>
        </w:tc>
        <w:tc>
          <w:tcPr>
            <w:tcW w:w="5386" w:type="dxa"/>
            <w:vAlign w:val="center"/>
          </w:tcPr>
          <w:p w14:paraId="49AF89AA">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cs="宋体"/>
                <w:color w:val="000000" w:themeColor="text1"/>
                <w:sz w:val="21"/>
                <w:szCs w:val="21"/>
                <w:highlight w:val="none"/>
                <w:lang w:eastAsia="zh-CN"/>
                <w14:textFill>
                  <w14:solidFill>
                    <w14:schemeClr w14:val="tx1"/>
                  </w14:solidFill>
                </w14:textFill>
              </w:rPr>
              <w:t>承包人投标报价中没有填报的其他项目费，视为此工作内容</w:t>
            </w:r>
            <w:r>
              <w:rPr>
                <w:rFonts w:hint="eastAsia" w:ascii="仿宋" w:hAnsi="仿宋" w:eastAsia="仿宋"/>
                <w:color w:val="000000" w:themeColor="text1"/>
                <w:sz w:val="21"/>
                <w:szCs w:val="21"/>
                <w:highlight w:val="none"/>
                <w:lang w:eastAsia="zh-CN"/>
                <w14:textFill>
                  <w14:solidFill>
                    <w14:schemeClr w14:val="tx1"/>
                  </w14:solidFill>
                </w14:textFill>
              </w:rPr>
              <w:t>在投标报价中综合考虑，不单独计取。</w:t>
            </w:r>
          </w:p>
        </w:tc>
        <w:tc>
          <w:tcPr>
            <w:tcW w:w="2268" w:type="dxa"/>
            <w:vAlign w:val="center"/>
          </w:tcPr>
          <w:p w14:paraId="6E412482">
            <w:pPr>
              <w:ind w:firstLine="29"/>
              <w:jc w:val="center"/>
              <w:rPr>
                <w:rFonts w:ascii="仿宋" w:hAnsi="仿宋" w:eastAsia="仿宋"/>
                <w:bCs/>
                <w:color w:val="000000" w:themeColor="text1"/>
                <w:sz w:val="21"/>
                <w:szCs w:val="21"/>
                <w:highlight w:val="none"/>
                <w:lang w:eastAsia="zh-CN"/>
                <w14:textFill>
                  <w14:solidFill>
                    <w14:schemeClr w14:val="tx1"/>
                  </w14:solidFill>
                </w14:textFill>
              </w:rPr>
            </w:pPr>
          </w:p>
        </w:tc>
      </w:tr>
      <w:tr w14:paraId="002B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AFC96B1">
            <w:pPr>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4</w:t>
            </w:r>
          </w:p>
        </w:tc>
        <w:tc>
          <w:tcPr>
            <w:tcW w:w="1418" w:type="dxa"/>
            <w:vAlign w:val="center"/>
          </w:tcPr>
          <w:p w14:paraId="572DEEB3">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14:textFill>
                  <w14:solidFill>
                    <w14:schemeClr w14:val="tx1"/>
                  </w14:solidFill>
                </w14:textFill>
              </w:rPr>
              <w:t>税金</w:t>
            </w:r>
          </w:p>
        </w:tc>
        <w:tc>
          <w:tcPr>
            <w:tcW w:w="5386" w:type="dxa"/>
            <w:vAlign w:val="center"/>
          </w:tcPr>
          <w:p w14:paraId="182B202C">
            <w:pPr>
              <w:ind w:firstLine="33"/>
              <w:rPr>
                <w:rFonts w:ascii="仿宋" w:hAnsi="仿宋" w:eastAsia="仿宋"/>
                <w:bCs/>
                <w:color w:val="000000" w:themeColor="text1"/>
                <w:sz w:val="21"/>
                <w:szCs w:val="21"/>
                <w:highlight w:val="none"/>
                <w:lang w:eastAsia="zh-CN"/>
                <w14:textFill>
                  <w14:solidFill>
                    <w14:schemeClr w14:val="tx1"/>
                  </w14:solidFill>
                </w14:textFill>
              </w:rPr>
            </w:pPr>
            <w:r>
              <w:rPr>
                <w:rFonts w:hint="eastAsia" w:ascii="仿宋" w:hAnsi="仿宋" w:eastAsia="仿宋"/>
                <w:bCs/>
                <w:color w:val="000000" w:themeColor="text1"/>
                <w:sz w:val="21"/>
                <w:szCs w:val="21"/>
                <w:highlight w:val="none"/>
                <w:lang w:eastAsia="zh-CN"/>
                <w14:textFill>
                  <w14:solidFill>
                    <w14:schemeClr w14:val="tx1"/>
                  </w14:solidFill>
                </w14:textFill>
              </w:rPr>
              <w:t>按本合同</w:t>
            </w:r>
            <w:r>
              <w:rPr>
                <w:rFonts w:hint="eastAsia" w:ascii="仿宋" w:hAnsi="仿宋" w:eastAsia="仿宋" w:cs="宋体"/>
                <w:color w:val="000000" w:themeColor="text1"/>
                <w:sz w:val="21"/>
                <w:szCs w:val="21"/>
                <w:highlight w:val="none"/>
                <w:lang w:eastAsia="zh-CN"/>
                <w14:textFill>
                  <w14:solidFill>
                    <w14:schemeClr w14:val="tx1"/>
                  </w14:solidFill>
                </w14:textFill>
              </w:rPr>
              <w:t>相关约定及国家相关规定计算</w:t>
            </w:r>
            <w:r>
              <w:rPr>
                <w:rFonts w:hint="eastAsia" w:ascii="仿宋" w:hAnsi="仿宋" w:eastAsia="仿宋"/>
                <w:bCs/>
                <w:color w:val="000000" w:themeColor="text1"/>
                <w:sz w:val="21"/>
                <w:szCs w:val="21"/>
                <w:highlight w:val="none"/>
                <w:lang w:eastAsia="zh-CN"/>
                <w14:textFill>
                  <w14:solidFill>
                    <w14:schemeClr w14:val="tx1"/>
                  </w14:solidFill>
                </w14:textFill>
              </w:rPr>
              <w:t>。</w:t>
            </w:r>
          </w:p>
        </w:tc>
        <w:tc>
          <w:tcPr>
            <w:tcW w:w="2268" w:type="dxa"/>
            <w:vAlign w:val="center"/>
          </w:tcPr>
          <w:p w14:paraId="497DF4FA">
            <w:pPr>
              <w:ind w:firstLine="29"/>
              <w:jc w:val="center"/>
              <w:rPr>
                <w:rFonts w:ascii="仿宋" w:hAnsi="仿宋" w:eastAsia="仿宋"/>
                <w:bCs/>
                <w:color w:val="000000" w:themeColor="text1"/>
                <w:sz w:val="21"/>
                <w:szCs w:val="21"/>
                <w:highlight w:val="none"/>
                <w:lang w:eastAsia="zh-CN"/>
                <w14:textFill>
                  <w14:solidFill>
                    <w14:schemeClr w14:val="tx1"/>
                  </w14:solidFill>
                </w14:textFill>
              </w:rPr>
            </w:pPr>
          </w:p>
        </w:tc>
      </w:tr>
    </w:tbl>
    <w:p w14:paraId="308112A3">
      <w:pPr>
        <w:tabs>
          <w:tab w:val="left" w:pos="851"/>
        </w:tabs>
        <w:spacing w:line="360" w:lineRule="auto"/>
        <w:ind w:left="426" w:right="11"/>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②价格控制</w:t>
      </w:r>
      <w:r>
        <w:rPr>
          <w:rFonts w:hint="eastAsia" w:ascii="仿宋" w:hAnsi="仿宋" w:eastAsia="仿宋" w:cs="宋体"/>
          <w:snapToGrid w:val="0"/>
          <w:color w:val="000000" w:themeColor="text1"/>
          <w:highlight w:val="none"/>
          <w:lang w:eastAsia="zh-CN"/>
          <w14:textFill>
            <w14:solidFill>
              <w14:schemeClr w14:val="tx1"/>
            </w14:solidFill>
          </w14:textFill>
        </w:rPr>
        <w:t>：</w:t>
      </w:r>
    </w:p>
    <w:p w14:paraId="62B4CEA8">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1）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4D68EA48">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2）最高投标限价明显不合理是指分部分项工程费中综合单价低于合同基准期计价标准值20%以上，最高投标限价明显不合理情况需在投标阶段或合同价修正确认前提出，并报监理单位、造价咨询、发包人审批。</w:t>
      </w:r>
    </w:p>
    <w:p w14:paraId="4CF0B189">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3）投标报价、最高投标限价中相同的清单子项出现不同的综合单价，发包人有权按就低原则计算。</w:t>
      </w:r>
    </w:p>
    <w:p w14:paraId="48D7A564">
      <w:pPr>
        <w:spacing w:line="360" w:lineRule="auto"/>
        <w:ind w:right="11" w:firstLine="460" w:firstLineChars="192"/>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③</w:t>
      </w:r>
      <w:r>
        <w:rPr>
          <w:rFonts w:ascii="仿宋" w:hAnsi="仿宋" w:eastAsia="仿宋" w:cs="宋体"/>
          <w:bCs/>
          <w:snapToGrid w:val="0"/>
          <w:color w:val="000000" w:themeColor="text1"/>
          <w:highlight w:val="none"/>
          <w:lang w:eastAsia="zh-CN"/>
          <w14:textFill>
            <w14:solidFill>
              <w14:schemeClr w14:val="tx1"/>
            </w14:solidFill>
          </w14:textFill>
        </w:rPr>
        <w:t>土石方工程的计价</w:t>
      </w:r>
    </w:p>
    <w:p w14:paraId="13F0D841">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1）本工程土石方弃置外运按承包人中标综合单价包干计算，承包人投标报价时需自行组织现场勘查，综合考虑弃置外运运距。中标综合单价包括但不限于弃置费用（消纳费除外）、不可预见费等一切费用，结算时综合单价不另作调整。</w:t>
      </w:r>
    </w:p>
    <w:p w14:paraId="19A4F0CF">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2）</w:t>
      </w:r>
      <w:r>
        <w:rPr>
          <w:rFonts w:hint="eastAsia" w:ascii="仿宋" w:hAnsi="仿宋" w:eastAsia="仿宋" w:cs="宋体"/>
          <w:snapToGrid w:val="0"/>
          <w:color w:val="000000" w:themeColor="text1"/>
          <w:highlight w:val="none"/>
          <w:lang w:eastAsia="zh-CN"/>
          <w14:textFill>
            <w14:solidFill>
              <w14:schemeClr w14:val="tx1"/>
            </w14:solidFill>
          </w14:textFill>
        </w:rPr>
        <w:t>本工程土石方消纳费按承包人中标综合单价包干计算，结算时综合单价不另作调整，工程量以合法消纳场出具的相关凭证为准。</w:t>
      </w:r>
    </w:p>
    <w:p w14:paraId="67B6FBB4">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3）承包人应严格按照经监理单位及发包人审批的土方转</w:t>
      </w:r>
      <w:r>
        <w:rPr>
          <w:rFonts w:hint="eastAsia" w:ascii="仿宋" w:hAnsi="仿宋" w:eastAsia="仿宋" w:cs="宋体"/>
          <w:snapToGrid w:val="0"/>
          <w:color w:val="000000" w:themeColor="text1"/>
          <w:highlight w:val="none"/>
          <w:lang w:eastAsia="zh-CN"/>
          <w14:textFill>
            <w14:solidFill>
              <w14:schemeClr w14:val="tx1"/>
            </w14:solidFill>
          </w14:textFill>
        </w:rPr>
        <w:t>堆方案处置土方堆放及外运，发包人对本工程范围内多余土方拥有优先处置权，本工程与其他工程间的土方的调配要服从发包人安排。</w:t>
      </w:r>
    </w:p>
    <w:p w14:paraId="71E325AB">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4）承包人</w:t>
      </w:r>
      <w:r>
        <w:rPr>
          <w:rFonts w:ascii="仿宋" w:hAnsi="仿宋" w:eastAsia="仿宋" w:cs="宋体"/>
          <w:snapToGrid w:val="0"/>
          <w:color w:val="000000" w:themeColor="text1"/>
          <w:highlight w:val="none"/>
          <w:lang w:eastAsia="zh-CN"/>
          <w14:textFill>
            <w14:solidFill>
              <w14:schemeClr w14:val="tx1"/>
            </w14:solidFill>
          </w14:textFill>
        </w:rPr>
        <w:t>必须按照工程需求和环保法规</w:t>
      </w:r>
      <w:r>
        <w:rPr>
          <w:rFonts w:hint="eastAsia" w:ascii="仿宋" w:hAnsi="仿宋" w:eastAsia="仿宋" w:cs="宋体"/>
          <w:snapToGrid w:val="0"/>
          <w:color w:val="000000" w:themeColor="text1"/>
          <w:highlight w:val="none"/>
          <w:lang w:eastAsia="zh-CN"/>
          <w14:textFill>
            <w14:solidFill>
              <w14:schemeClr w14:val="tx1"/>
            </w14:solidFill>
          </w14:textFill>
        </w:rPr>
        <w:t>等</w:t>
      </w:r>
      <w:r>
        <w:rPr>
          <w:rFonts w:ascii="仿宋" w:hAnsi="仿宋" w:eastAsia="仿宋" w:cs="宋体"/>
          <w:snapToGrid w:val="0"/>
          <w:color w:val="000000" w:themeColor="text1"/>
          <w:highlight w:val="none"/>
          <w:lang w:eastAsia="zh-CN"/>
          <w14:textFill>
            <w14:solidFill>
              <w14:schemeClr w14:val="tx1"/>
            </w14:solidFill>
          </w14:textFill>
        </w:rPr>
        <w:t>要求排放</w:t>
      </w:r>
      <w:r>
        <w:rPr>
          <w:rFonts w:hint="eastAsia" w:ascii="仿宋" w:hAnsi="仿宋" w:eastAsia="仿宋" w:cs="宋体"/>
          <w:snapToGrid w:val="0"/>
          <w:color w:val="000000" w:themeColor="text1"/>
          <w:highlight w:val="none"/>
          <w:lang w:eastAsia="zh-CN"/>
          <w14:textFill>
            <w14:solidFill>
              <w14:schemeClr w14:val="tx1"/>
            </w14:solidFill>
          </w14:textFill>
        </w:rPr>
        <w:t>渣土</w:t>
      </w:r>
      <w:r>
        <w:rPr>
          <w:rFonts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eastAsia="zh-CN"/>
          <w14:textFill>
            <w14:solidFill>
              <w14:schemeClr w14:val="tx1"/>
            </w14:solidFill>
          </w14:textFill>
        </w:rPr>
        <w:t>严禁</w:t>
      </w:r>
      <w:r>
        <w:rPr>
          <w:rFonts w:ascii="仿宋" w:hAnsi="仿宋" w:eastAsia="仿宋" w:cs="宋体"/>
          <w:snapToGrid w:val="0"/>
          <w:color w:val="000000" w:themeColor="text1"/>
          <w:highlight w:val="none"/>
          <w:lang w:eastAsia="zh-CN"/>
          <w14:textFill>
            <w14:solidFill>
              <w14:schemeClr w14:val="tx1"/>
            </w14:solidFill>
          </w14:textFill>
        </w:rPr>
        <w:t>将渣土倾倒至非指定消纳场（如农田、河道、荒地等）</w:t>
      </w:r>
      <w:r>
        <w:rPr>
          <w:rFonts w:hint="eastAsia" w:ascii="仿宋" w:hAnsi="仿宋" w:eastAsia="仿宋" w:cs="宋体"/>
          <w:snapToGrid w:val="0"/>
          <w:color w:val="000000" w:themeColor="text1"/>
          <w:highlight w:val="none"/>
          <w:lang w:eastAsia="zh-CN"/>
          <w14:textFill>
            <w14:solidFill>
              <w14:schemeClr w14:val="tx1"/>
            </w14:solidFill>
          </w14:textFill>
        </w:rPr>
        <w:t>，严禁伪造消纳场接收证明，严禁夜间违规倾倒、无证运输等逃避监管的行为</w:t>
      </w:r>
      <w:r>
        <w:rPr>
          <w:rFonts w:ascii="仿宋" w:hAnsi="仿宋" w:eastAsia="仿宋" w:cs="宋体"/>
          <w:snapToGrid w:val="0"/>
          <w:color w:val="000000" w:themeColor="text1"/>
          <w:highlight w:val="none"/>
          <w:lang w:eastAsia="zh-CN"/>
          <w14:textFill>
            <w14:solidFill>
              <w14:schemeClr w14:val="tx1"/>
            </w14:solidFill>
          </w14:textFill>
        </w:rPr>
        <w:t>。如因承包人违规导致发包人受到行政处罚或社会投诉，承包人除承担全部费用外，还需赔偿发包人名誉损失（如公开道歉、修复影响等）</w:t>
      </w:r>
      <w:r>
        <w:rPr>
          <w:rFonts w:hint="eastAsia" w:ascii="仿宋" w:hAnsi="仿宋" w:eastAsia="仿宋" w:cs="宋体"/>
          <w:snapToGrid w:val="0"/>
          <w:color w:val="000000" w:themeColor="text1"/>
          <w:highlight w:val="none"/>
          <w:lang w:eastAsia="zh-CN"/>
          <w14:textFill>
            <w14:solidFill>
              <w14:schemeClr w14:val="tx1"/>
            </w14:solidFill>
          </w14:textFill>
        </w:rPr>
        <w:t>。</w:t>
      </w:r>
    </w:p>
    <w:p w14:paraId="322905EF">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4）如余方弃置量与土石方开挖不匹配，发包人有权按就低原则计算支付承包人。</w:t>
      </w:r>
    </w:p>
    <w:p w14:paraId="6AD5828E">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④</w:t>
      </w:r>
      <w:r>
        <w:rPr>
          <w:rFonts w:ascii="仿宋" w:hAnsi="仿宋" w:eastAsia="仿宋" w:cs="宋体"/>
          <w:snapToGrid w:val="0"/>
          <w:color w:val="000000" w:themeColor="text1"/>
          <w:highlight w:val="none"/>
          <w:lang w:eastAsia="zh-CN"/>
          <w14:textFill>
            <w14:solidFill>
              <w14:schemeClr w14:val="tx1"/>
            </w14:solidFill>
          </w14:textFill>
        </w:rPr>
        <w:t>发生甩项，按以下原则调整措施费：</w:t>
      </w:r>
    </w:p>
    <w:p w14:paraId="1BFE6E89">
      <w:pPr>
        <w:spacing w:line="360" w:lineRule="auto"/>
        <w:ind w:right="11" w:firstLine="566" w:firstLineChars="236"/>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1）计算工程量的措施项目，按调整的工程量乘以相应的单价或合价调整计算；</w:t>
      </w:r>
    </w:p>
    <w:p w14:paraId="0AE33572">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2）不可计算工程量的措施项目，按</w:t>
      </w:r>
      <w:r>
        <w:rPr>
          <w:rFonts w:ascii="仿宋" w:hAnsi="仿宋" w:eastAsia="仿宋" w:cs="宋体"/>
          <w:snapToGrid w:val="0"/>
          <w:color w:val="000000" w:themeColor="text1"/>
          <w:highlight w:val="none"/>
          <w:lang w:eastAsia="zh-CN"/>
          <w14:textFill>
            <w14:solidFill>
              <w14:schemeClr w14:val="tx1"/>
            </w14:solidFill>
          </w14:textFill>
        </w:rPr>
        <w:t>甩项</w:t>
      </w:r>
      <w:r>
        <w:rPr>
          <w:rFonts w:hint="eastAsia" w:ascii="仿宋" w:hAnsi="仿宋" w:eastAsia="仿宋" w:cs="宋体"/>
          <w:snapToGrid w:val="0"/>
          <w:color w:val="000000" w:themeColor="text1"/>
          <w:highlight w:val="none"/>
          <w:lang w:eastAsia="zh-CN"/>
          <w14:textFill>
            <w14:solidFill>
              <w14:schemeClr w14:val="tx1"/>
            </w14:solidFill>
          </w14:textFill>
        </w:rPr>
        <w:t>建筑安装工程费占合同建筑安装工程费总额比例</w:t>
      </w:r>
      <w:r>
        <w:rPr>
          <w:rFonts w:ascii="仿宋" w:hAnsi="仿宋" w:eastAsia="仿宋" w:cs="宋体"/>
          <w:snapToGrid w:val="0"/>
          <w:color w:val="000000" w:themeColor="text1"/>
          <w:highlight w:val="none"/>
          <w:lang w:eastAsia="zh-CN"/>
          <w14:textFill>
            <w14:solidFill>
              <w14:schemeClr w14:val="tx1"/>
            </w14:solidFill>
          </w14:textFill>
        </w:rPr>
        <w:t>相应扣减</w:t>
      </w:r>
      <w:r>
        <w:rPr>
          <w:rFonts w:hint="eastAsia" w:ascii="仿宋" w:hAnsi="仿宋" w:eastAsia="仿宋" w:cs="宋体"/>
          <w:snapToGrid w:val="0"/>
          <w:color w:val="000000" w:themeColor="text1"/>
          <w:highlight w:val="none"/>
          <w:lang w:eastAsia="zh-CN"/>
          <w14:textFill>
            <w14:solidFill>
              <w14:schemeClr w14:val="tx1"/>
            </w14:solidFill>
          </w14:textFill>
        </w:rPr>
        <w:t>措施费。</w:t>
      </w:r>
    </w:p>
    <w:p w14:paraId="49860851">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⑤</w:t>
      </w:r>
      <w:r>
        <w:rPr>
          <w:rFonts w:ascii="仿宋" w:hAnsi="仿宋" w:eastAsia="仿宋" w:cs="宋体"/>
          <w:snapToGrid w:val="0"/>
          <w:color w:val="000000" w:themeColor="text1"/>
          <w:highlight w:val="none"/>
          <w:lang w:eastAsia="zh-CN"/>
          <w14:textFill>
            <w14:solidFill>
              <w14:schemeClr w14:val="tx1"/>
            </w14:solidFill>
          </w14:textFill>
        </w:rPr>
        <w:t>合同风险范围内的费用已包含在合同价格中，发包人不再另行支付，合同风险包括如下范围：</w:t>
      </w:r>
    </w:p>
    <w:p w14:paraId="35F9E437">
      <w:pPr>
        <w:spacing w:line="360" w:lineRule="auto"/>
        <w:ind w:right="11" w:firstLine="566" w:firstLineChars="236"/>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4EB4F52F">
      <w:pPr>
        <w:spacing w:line="360" w:lineRule="auto"/>
        <w:ind w:right="11" w:firstLine="566" w:firstLineChars="236"/>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2）承包人应在投标报价中充分评估本项目可能因包括但不限于移交、协调等原因产生的照管管养风险，并在投标报价中综合考虑由此而导致的工程照管以及现场管理等所产生的费用。</w:t>
      </w:r>
    </w:p>
    <w:p w14:paraId="0F2EF8CC">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3）本合同条款中承包人履行义务涉及的风险，或承包人由于自身原因引起合同</w:t>
      </w:r>
      <w:r>
        <w:rPr>
          <w:rFonts w:ascii="仿宋" w:hAnsi="仿宋" w:eastAsia="仿宋" w:cs="宋体"/>
          <w:snapToGrid w:val="0"/>
          <w:color w:val="000000" w:themeColor="text1"/>
          <w:highlight w:val="none"/>
          <w:lang w:eastAsia="zh-CN"/>
          <w14:textFill>
            <w14:solidFill>
              <w14:schemeClr w14:val="tx1"/>
            </w14:solidFill>
          </w14:textFill>
        </w:rPr>
        <w:t>价款以外的费用增加。</w:t>
      </w:r>
    </w:p>
    <w:p w14:paraId="180B7318">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4）除本合同另有约定外的物价变化、气候变化、保险、工程分包等情况发生时产生的相关费用。</w:t>
      </w:r>
    </w:p>
    <w:p w14:paraId="0A4B100D">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5）除本合同其他专用条款另有约定外，措施项目费不因施工期间人工、材料及机械价格变化、施工条件、工程规模的变化和政府造价管理部门调整各项收费等而调整。</w:t>
      </w:r>
    </w:p>
    <w:p w14:paraId="7CB37C44">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6）</w:t>
      </w:r>
      <w:r>
        <w:rPr>
          <w:rFonts w:hint="eastAsia" w:ascii="仿宋" w:hAnsi="仿宋" w:eastAsia="仿宋" w:cs="宋体"/>
          <w:snapToGrid w:val="0"/>
          <w:color w:val="000000" w:themeColor="text1"/>
          <w:highlight w:val="none"/>
          <w:lang w:eastAsia="zh-CN"/>
          <w14:textFill>
            <w14:solidFill>
              <w14:schemeClr w14:val="tx1"/>
            </w14:solidFill>
          </w14:textFill>
        </w:rPr>
        <w:t>赶工费不另行计算，</w:t>
      </w:r>
      <w:r>
        <w:rPr>
          <w:rFonts w:ascii="仿宋" w:hAnsi="仿宋" w:eastAsia="仿宋" w:cs="宋体"/>
          <w:snapToGrid w:val="0"/>
          <w:color w:val="000000" w:themeColor="text1"/>
          <w:highlight w:val="none"/>
          <w:lang w:eastAsia="zh-CN"/>
          <w14:textFill>
            <w14:solidFill>
              <w14:schemeClr w14:val="tx1"/>
            </w14:solidFill>
          </w14:textFill>
        </w:rPr>
        <w:t>综合考虑在报价中</w:t>
      </w:r>
      <w:r>
        <w:rPr>
          <w:rFonts w:hint="eastAsia" w:ascii="仿宋" w:hAnsi="仿宋" w:eastAsia="仿宋" w:cs="宋体"/>
          <w:snapToGrid w:val="0"/>
          <w:color w:val="000000" w:themeColor="text1"/>
          <w:highlight w:val="none"/>
          <w:lang w:eastAsia="zh-CN"/>
          <w14:textFill>
            <w14:solidFill>
              <w14:schemeClr w14:val="tx1"/>
            </w14:solidFill>
          </w14:textFill>
        </w:rPr>
        <w:t>，因发包人原因导致的赶工，费用另行协商</w:t>
      </w:r>
      <w:r>
        <w:rPr>
          <w:rFonts w:ascii="仿宋" w:hAnsi="仿宋" w:eastAsia="仿宋" w:cs="宋体"/>
          <w:snapToGrid w:val="0"/>
          <w:color w:val="000000" w:themeColor="text1"/>
          <w:highlight w:val="none"/>
          <w:lang w:eastAsia="zh-CN"/>
          <w14:textFill>
            <w14:solidFill>
              <w14:schemeClr w14:val="tx1"/>
            </w14:solidFill>
          </w14:textFill>
        </w:rPr>
        <w:t>。</w:t>
      </w:r>
    </w:p>
    <w:p w14:paraId="0CB329BA">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7）法律法规（包括规章和政策）变化、不可抗力等因素发生时，依据本合同有关条款和现行有关规定应由承包人</w:t>
      </w:r>
      <w:bookmarkStart w:id="604" w:name="17.2_预付款"/>
      <w:bookmarkEnd w:id="604"/>
      <w:bookmarkStart w:id="605" w:name="_bookmark275"/>
      <w:bookmarkEnd w:id="605"/>
      <w:r>
        <w:rPr>
          <w:rFonts w:ascii="仿宋" w:hAnsi="仿宋" w:eastAsia="仿宋" w:cs="宋体"/>
          <w:snapToGrid w:val="0"/>
          <w:color w:val="000000" w:themeColor="text1"/>
          <w:highlight w:val="none"/>
          <w:lang w:eastAsia="zh-CN"/>
          <w14:textFill>
            <w14:solidFill>
              <w14:schemeClr w14:val="tx1"/>
            </w14:solidFill>
          </w14:textFill>
        </w:rPr>
        <w:t>承担的费用。</w:t>
      </w:r>
    </w:p>
    <w:p w14:paraId="50548323">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8.5.4建安工程费结算价</w:t>
      </w:r>
    </w:p>
    <w:p w14:paraId="5537A2E4">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建安工程费结算价=经发包人审定的施工图预算价（扣除暂列金额、暂估价和工程优质费（国家级））±合同约定的可调整价款。最终结算金额以有权终审部门审定的金额为准。</w:t>
      </w:r>
    </w:p>
    <w:p w14:paraId="5270E21D">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合同约定的可调整价款包括：</w:t>
      </w:r>
    </w:p>
    <w:p w14:paraId="4F9F51D8">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（1）因国家法律、法规、政策变化引起的合同价格的变化；</w:t>
      </w:r>
    </w:p>
    <w:p w14:paraId="2E13A71C">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（2）主要工程材料、工程设备与基准日期价格相比，波动幅度超过专用条款约定幅度的部分；</w:t>
      </w:r>
    </w:p>
    <w:p w14:paraId="42FE9644">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（3）经批准的设计变更以及清单漏项、误算的调整；</w:t>
      </w:r>
    </w:p>
    <w:p w14:paraId="3BD79847">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（4）非承包人原因产生的费用索赔、现场签证等有关工程费用；</w:t>
      </w:r>
    </w:p>
    <w:p w14:paraId="58F9B302">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（5）专用条款约定给予承包人的奖罚金额；</w:t>
      </w:r>
    </w:p>
    <w:p w14:paraId="7E553E0C">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（6）双方约定的其他因素。</w:t>
      </w:r>
    </w:p>
    <w:p w14:paraId="273A48E6">
      <w:pPr>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8.6设备及工器具购置费的控制：</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020B60D2">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06" w:name="_Toc21019"/>
      <w:bookmarkStart w:id="607" w:name="_Toc149731552"/>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9.  通信联络</w:t>
      </w:r>
      <w:bookmarkEnd w:id="606"/>
      <w:bookmarkEnd w:id="607"/>
    </w:p>
    <w:p w14:paraId="098E13C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9.2 发送通讯</w:t>
      </w:r>
    </w:p>
    <w:p w14:paraId="2A99C20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各方通讯地址、收件人及其他送达方式</w:t>
      </w:r>
    </w:p>
    <w:p w14:paraId="67B5D70F">
      <w:pPr>
        <w:spacing w:line="360" w:lineRule="auto"/>
        <w:ind w:firstLine="720" w:firstLineChars="3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①各方通讯地址和收件人：</w:t>
      </w:r>
    </w:p>
    <w:p w14:paraId="46083872">
      <w:pPr>
        <w:spacing w:line="360" w:lineRule="auto"/>
        <w:ind w:firstLine="720" w:firstLineChars="3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w:t>
      </w:r>
    </w:p>
    <w:p w14:paraId="446A556A">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3E5BA1D8">
      <w:pPr>
        <w:spacing w:line="360" w:lineRule="auto"/>
        <w:ind w:firstLine="720" w:firstLineChars="3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电子邮箱：                     </w:t>
      </w:r>
    </w:p>
    <w:p w14:paraId="5C5CA93E">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承包人（联合体牵头人）： </w:t>
      </w:r>
    </w:p>
    <w:p w14:paraId="69D59E31">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4322A281">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电子邮箱：    </w:t>
      </w:r>
    </w:p>
    <w:p w14:paraId="22C10D80">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承包人（联合体成员单位）： </w:t>
      </w:r>
    </w:p>
    <w:p w14:paraId="632FAAC9">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36B7BF35">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电子邮箱：                     </w:t>
      </w:r>
    </w:p>
    <w:p w14:paraId="422F1418">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承包人（联合体成员单位）： </w:t>
      </w:r>
    </w:p>
    <w:p w14:paraId="2322AD45">
      <w:pPr>
        <w:spacing w:line="360" w:lineRule="auto"/>
        <w:ind w:left="598" w:leftChars="249"/>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045DEDA9">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电子邮箱：                     </w:t>
      </w:r>
    </w:p>
    <w:p w14:paraId="22732BB6">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承包人（联合体成员单位）： </w:t>
      </w:r>
    </w:p>
    <w:p w14:paraId="3760AB40">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129690B1">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电子邮箱：                     </w:t>
      </w:r>
    </w:p>
    <w:p w14:paraId="353992FE">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设计顾问人：</w:t>
      </w:r>
    </w:p>
    <w:p w14:paraId="7CC8F90E">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450785AC">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电子邮箱：                     </w:t>
      </w:r>
    </w:p>
    <w:p w14:paraId="4C9FED6D">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监理人：</w:t>
      </w:r>
    </w:p>
    <w:p w14:paraId="2E64558D">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5A32CBBA">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电子邮箱：                     </w:t>
      </w:r>
    </w:p>
    <w:p w14:paraId="69BE7FAD">
      <w:pPr>
        <w:spacing w:line="360" w:lineRule="auto"/>
        <w:ind w:firstLine="720" w:firstLineChars="3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工程造价咨询人： </w:t>
      </w:r>
    </w:p>
    <w:p w14:paraId="4C34F945">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收件人： 邮政编码：</w:t>
      </w:r>
    </w:p>
    <w:p w14:paraId="274BBBB6">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电子邮箱：                     </w:t>
      </w:r>
    </w:p>
    <w:p w14:paraId="1F6D0152">
      <w:pPr>
        <w:numPr>
          <w:ilvl w:val="255"/>
          <w:numId w:val="0"/>
        </w:num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②送达的其他方式：</w:t>
      </w:r>
    </w:p>
    <w:p w14:paraId="33D87637">
      <w:pPr>
        <w:spacing w:line="360" w:lineRule="auto"/>
        <w:ind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双方协商一致，增加9.4款：</w:t>
      </w:r>
    </w:p>
    <w:p w14:paraId="123BE42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9.4本项目采用信息化管理系统进行辅助管理，承包人应确保能接入并兼容发包人的信息化管理系统，硬件投入、软件端口接入及日常管理等相关费用已含在合同价款中，不单独计列。具体按合同附件要求执行。</w:t>
      </w:r>
    </w:p>
    <w:p w14:paraId="1EABE97C">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08" w:name="_Toc149731553"/>
      <w:bookmarkStart w:id="609" w:name="_Toc25915"/>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10.  分包</w:t>
      </w:r>
      <w:bookmarkEnd w:id="608"/>
      <w:bookmarkEnd w:id="609"/>
    </w:p>
    <w:p w14:paraId="4428FA8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双方协商一致，通用条款10.2款修改如下：</w:t>
      </w:r>
    </w:p>
    <w:p w14:paraId="732128D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10.2承包人可依法将部分工作事项分包给具有相应资质的分包人，但未经发包人同意，承包人不得将总承包工作事项的任何部分或任何工作分包给第三方。</w:t>
      </w:r>
    </w:p>
    <w:p w14:paraId="5A28F20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10.2.1设计分包约定：</w:t>
      </w:r>
    </w:p>
    <w:p w14:paraId="6FDB1292">
      <w:pPr>
        <w:spacing w:line="360" w:lineRule="auto"/>
        <w:ind w:firstLine="480" w:firstLineChars="200"/>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w:t>
      </w:r>
      <w:r>
        <w:rPr>
          <w:rFonts w:ascii="仿宋" w:hAnsi="仿宋" w:eastAsia="仿宋"/>
          <w:snapToGrid w:val="0"/>
          <w:color w:val="000000" w:themeColor="text1"/>
          <w:highlight w:val="none"/>
          <w:lang w:eastAsia="zh-CN"/>
          <w14:textFill>
            <w14:solidFill>
              <w14:schemeClr w14:val="tx1"/>
            </w14:solidFill>
          </w14:textFill>
        </w:rPr>
        <w:t>1）本工程的主体工程</w:t>
      </w:r>
      <w:r>
        <w:rPr>
          <w:rFonts w:hint="eastAsia" w:ascii="仿宋" w:hAnsi="仿宋" w:eastAsia="仿宋"/>
          <w:snapToGrid w:val="0"/>
          <w:color w:val="000000" w:themeColor="text1"/>
          <w:highlight w:val="none"/>
          <w:lang w:eastAsia="zh-CN"/>
          <w14:textFill>
            <w14:solidFill>
              <w14:schemeClr w14:val="tx1"/>
            </w14:solidFill>
          </w14:textFill>
        </w:rPr>
        <w:t>设计</w:t>
      </w:r>
      <w:r>
        <w:rPr>
          <w:rFonts w:ascii="仿宋" w:hAnsi="仿宋" w:eastAsia="仿宋"/>
          <w:snapToGrid w:val="0"/>
          <w:color w:val="000000" w:themeColor="text1"/>
          <w:highlight w:val="none"/>
          <w:lang w:eastAsia="zh-CN"/>
          <w14:textFill>
            <w14:solidFill>
              <w14:schemeClr w14:val="tx1"/>
            </w14:solidFill>
          </w14:textFill>
        </w:rPr>
        <w:t>必须由承包人自行完成，不得分包。</w:t>
      </w:r>
    </w:p>
    <w:p w14:paraId="4264652C">
      <w:pPr>
        <w:spacing w:line="360" w:lineRule="auto"/>
        <w:ind w:firstLine="480" w:firstLineChars="200"/>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w:t>
      </w:r>
      <w:r>
        <w:rPr>
          <w:rFonts w:ascii="仿宋" w:hAnsi="仿宋" w:eastAsia="仿宋"/>
          <w:snapToGrid w:val="0"/>
          <w:color w:val="000000" w:themeColor="text1"/>
          <w:highlight w:val="none"/>
          <w:lang w:eastAsia="zh-CN"/>
          <w14:textFill>
            <w14:solidFill>
              <w14:schemeClr w14:val="tx1"/>
            </w14:solidFill>
          </w14:textFill>
        </w:rPr>
        <w:t>2）承包人所承接的专项设计内容</w:t>
      </w:r>
      <w:r>
        <w:rPr>
          <w:rFonts w:hint="eastAsia" w:ascii="仿宋" w:hAnsi="仿宋" w:eastAsia="仿宋"/>
          <w:snapToGrid w:val="0"/>
          <w:color w:val="000000" w:themeColor="text1"/>
          <w:highlight w:val="none"/>
          <w:lang w:eastAsia="zh-CN"/>
          <w14:textFill>
            <w14:solidFill>
              <w14:schemeClr w14:val="tx1"/>
            </w14:solidFill>
          </w14:textFill>
        </w:rPr>
        <w:t>（如外水、外电等）</w:t>
      </w:r>
      <w:r>
        <w:rPr>
          <w:rFonts w:ascii="仿宋" w:hAnsi="仿宋" w:eastAsia="仿宋"/>
          <w:snapToGrid w:val="0"/>
          <w:color w:val="000000" w:themeColor="text1"/>
          <w:highlight w:val="none"/>
          <w:lang w:eastAsia="zh-CN"/>
          <w14:textFill>
            <w14:solidFill>
              <w14:schemeClr w14:val="tx1"/>
            </w14:solidFill>
          </w14:textFill>
        </w:rPr>
        <w:t>，由于承包人自身的资质及所属设计人员的限制，或者承包人指定的专项设计分包单位不能满足发包人的要求，承包人可进行分包，承包人须事先征得发包人书面同意，</w:t>
      </w:r>
      <w:r>
        <w:rPr>
          <w:rFonts w:hint="eastAsia" w:ascii="仿宋" w:hAnsi="仿宋" w:eastAsia="仿宋"/>
          <w:snapToGrid w:val="0"/>
          <w:color w:val="000000" w:themeColor="text1"/>
          <w:highlight w:val="none"/>
          <w:lang w:eastAsia="zh-CN"/>
          <w14:textFill>
            <w14:solidFill>
              <w14:schemeClr w14:val="tx1"/>
            </w14:solidFill>
          </w14:textFill>
        </w:rPr>
        <w:t>若根据相关规定需履行招标程序的，承包人应当依法招标。承包人应</w:t>
      </w:r>
      <w:r>
        <w:rPr>
          <w:rFonts w:ascii="仿宋" w:hAnsi="仿宋" w:eastAsia="仿宋"/>
          <w:snapToGrid w:val="0"/>
          <w:color w:val="000000" w:themeColor="text1"/>
          <w:highlight w:val="none"/>
          <w:lang w:eastAsia="zh-CN"/>
          <w14:textFill>
            <w14:solidFill>
              <w14:schemeClr w14:val="tx1"/>
            </w14:solidFill>
          </w14:textFill>
        </w:rPr>
        <w:t>在分包合同签订之日起7个工作日内报送发包人备案。</w:t>
      </w:r>
    </w:p>
    <w:p w14:paraId="208A25D3">
      <w:pPr>
        <w:spacing w:line="360" w:lineRule="auto"/>
        <w:ind w:firstLine="480" w:firstLineChars="200"/>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w:t>
      </w:r>
      <w:r>
        <w:rPr>
          <w:rFonts w:ascii="仿宋" w:hAnsi="仿宋" w:eastAsia="仿宋"/>
          <w:snapToGrid w:val="0"/>
          <w:color w:val="000000" w:themeColor="text1"/>
          <w:highlight w:val="none"/>
          <w:lang w:eastAsia="zh-CN"/>
          <w14:textFill>
            <w14:solidFill>
              <w14:schemeClr w14:val="tx1"/>
            </w14:solidFill>
          </w14:textFill>
        </w:rPr>
        <w:t>3）承包人不</w:t>
      </w:r>
      <w:r>
        <w:rPr>
          <w:rFonts w:hint="eastAsia" w:ascii="仿宋" w:hAnsi="仿宋" w:eastAsia="仿宋"/>
          <w:snapToGrid w:val="0"/>
          <w:color w:val="000000" w:themeColor="text1"/>
          <w:highlight w:val="none"/>
          <w:lang w:eastAsia="zh-CN"/>
          <w14:textFill>
            <w14:solidFill>
              <w14:schemeClr w14:val="tx1"/>
            </w14:solidFill>
          </w14:textFill>
        </w:rPr>
        <w:t>得</w:t>
      </w:r>
      <w:r>
        <w:rPr>
          <w:rFonts w:ascii="仿宋" w:hAnsi="仿宋" w:eastAsia="仿宋"/>
          <w:snapToGrid w:val="0"/>
          <w:color w:val="000000" w:themeColor="text1"/>
          <w:highlight w:val="none"/>
          <w:lang w:eastAsia="zh-CN"/>
          <w14:textFill>
            <w14:solidFill>
              <w14:schemeClr w14:val="tx1"/>
            </w14:solidFill>
          </w14:textFill>
        </w:rPr>
        <w:t>将其承包的全部</w:t>
      </w:r>
      <w:r>
        <w:rPr>
          <w:rFonts w:hint="eastAsia" w:ascii="仿宋" w:hAnsi="仿宋" w:eastAsia="仿宋"/>
          <w:snapToGrid w:val="0"/>
          <w:color w:val="000000" w:themeColor="text1"/>
          <w:highlight w:val="none"/>
          <w:lang w:eastAsia="zh-CN"/>
          <w14:textFill>
            <w14:solidFill>
              <w14:schemeClr w14:val="tx1"/>
            </w14:solidFill>
          </w14:textFill>
        </w:rPr>
        <w:t>设计项目转包</w:t>
      </w:r>
      <w:r>
        <w:rPr>
          <w:rFonts w:ascii="仿宋" w:hAnsi="仿宋" w:eastAsia="仿宋"/>
          <w:snapToGrid w:val="0"/>
          <w:color w:val="000000" w:themeColor="text1"/>
          <w:highlight w:val="none"/>
          <w:lang w:eastAsia="zh-CN"/>
          <w14:textFill>
            <w14:solidFill>
              <w14:schemeClr w14:val="tx1"/>
            </w14:solidFill>
          </w14:textFill>
        </w:rPr>
        <w:t>给他人，或者将其承包的全部</w:t>
      </w:r>
      <w:r>
        <w:rPr>
          <w:rFonts w:hint="eastAsia" w:ascii="仿宋" w:hAnsi="仿宋" w:eastAsia="仿宋"/>
          <w:snapToGrid w:val="0"/>
          <w:color w:val="000000" w:themeColor="text1"/>
          <w:highlight w:val="none"/>
          <w:lang w:eastAsia="zh-CN"/>
          <w14:textFill>
            <w14:solidFill>
              <w14:schemeClr w14:val="tx1"/>
            </w14:solidFill>
          </w14:textFill>
        </w:rPr>
        <w:t>设计项目</w:t>
      </w:r>
      <w:r>
        <w:rPr>
          <w:rFonts w:ascii="仿宋" w:hAnsi="仿宋" w:eastAsia="仿宋"/>
          <w:snapToGrid w:val="0"/>
          <w:color w:val="000000" w:themeColor="text1"/>
          <w:highlight w:val="none"/>
          <w:lang w:eastAsia="zh-CN"/>
          <w14:textFill>
            <w14:solidFill>
              <w14:schemeClr w14:val="tx1"/>
            </w14:solidFill>
          </w14:textFill>
        </w:rPr>
        <w:t>肢解后以分包的名义分别</w:t>
      </w:r>
      <w:r>
        <w:rPr>
          <w:rFonts w:hint="eastAsia" w:ascii="仿宋" w:hAnsi="仿宋" w:eastAsia="仿宋"/>
          <w:snapToGrid w:val="0"/>
          <w:color w:val="000000" w:themeColor="text1"/>
          <w:highlight w:val="none"/>
          <w:lang w:eastAsia="zh-CN"/>
          <w14:textFill>
            <w14:solidFill>
              <w14:schemeClr w14:val="tx1"/>
            </w14:solidFill>
          </w14:textFill>
        </w:rPr>
        <w:t>转包</w:t>
      </w:r>
      <w:r>
        <w:rPr>
          <w:rFonts w:ascii="仿宋" w:hAnsi="仿宋" w:eastAsia="仿宋"/>
          <w:snapToGrid w:val="0"/>
          <w:color w:val="000000" w:themeColor="text1"/>
          <w:highlight w:val="none"/>
          <w:lang w:eastAsia="zh-CN"/>
          <w14:textFill>
            <w14:solidFill>
              <w14:schemeClr w14:val="tx1"/>
            </w14:solidFill>
          </w14:textFill>
        </w:rPr>
        <w:t>给他人</w:t>
      </w:r>
      <w:r>
        <w:rPr>
          <w:rFonts w:hint="eastAsia" w:ascii="仿宋" w:hAnsi="仿宋" w:eastAsia="仿宋"/>
          <w:snapToGrid w:val="0"/>
          <w:color w:val="000000" w:themeColor="text1"/>
          <w:highlight w:val="none"/>
          <w:lang w:eastAsia="zh-CN"/>
          <w14:textFill>
            <w14:solidFill>
              <w14:schemeClr w14:val="tx1"/>
            </w14:solidFill>
          </w14:textFill>
        </w:rPr>
        <w:t>；</w:t>
      </w:r>
      <w:r>
        <w:rPr>
          <w:rFonts w:ascii="仿宋" w:hAnsi="仿宋" w:eastAsia="仿宋"/>
          <w:snapToGrid w:val="0"/>
          <w:color w:val="000000" w:themeColor="text1"/>
          <w:highlight w:val="none"/>
          <w:lang w:eastAsia="zh-CN"/>
          <w14:textFill>
            <w14:solidFill>
              <w14:schemeClr w14:val="tx1"/>
            </w14:solidFill>
          </w14:textFill>
        </w:rPr>
        <w:t>将</w:t>
      </w:r>
      <w:r>
        <w:rPr>
          <w:rFonts w:hint="eastAsia" w:ascii="仿宋" w:hAnsi="仿宋" w:eastAsia="仿宋"/>
          <w:snapToGrid w:val="0"/>
          <w:color w:val="000000" w:themeColor="text1"/>
          <w:highlight w:val="none"/>
          <w:lang w:eastAsia="zh-CN"/>
          <w14:textFill>
            <w14:solidFill>
              <w14:schemeClr w14:val="tx1"/>
            </w14:solidFill>
          </w14:textFill>
        </w:rPr>
        <w:t>设计项目</w:t>
      </w:r>
      <w:r>
        <w:rPr>
          <w:rFonts w:ascii="仿宋" w:hAnsi="仿宋" w:eastAsia="仿宋"/>
          <w:snapToGrid w:val="0"/>
          <w:color w:val="000000" w:themeColor="text1"/>
          <w:highlight w:val="none"/>
          <w:lang w:eastAsia="zh-CN"/>
          <w14:textFill>
            <w14:solidFill>
              <w14:schemeClr w14:val="tx1"/>
            </w14:solidFill>
          </w14:textFill>
        </w:rPr>
        <w:t>分包后，未在</w:t>
      </w:r>
      <w:r>
        <w:rPr>
          <w:rFonts w:hint="eastAsia" w:ascii="仿宋" w:hAnsi="仿宋" w:eastAsia="仿宋"/>
          <w:snapToGrid w:val="0"/>
          <w:color w:val="000000" w:themeColor="text1"/>
          <w:highlight w:val="none"/>
          <w:lang w:eastAsia="zh-CN"/>
          <w14:textFill>
            <w14:solidFill>
              <w14:schemeClr w14:val="tx1"/>
            </w14:solidFill>
          </w14:textFill>
        </w:rPr>
        <w:t>设计</w:t>
      </w:r>
      <w:r>
        <w:rPr>
          <w:rFonts w:ascii="仿宋" w:hAnsi="仿宋" w:eastAsia="仿宋"/>
          <w:snapToGrid w:val="0"/>
          <w:color w:val="000000" w:themeColor="text1"/>
          <w:highlight w:val="none"/>
          <w:lang w:eastAsia="zh-CN"/>
          <w14:textFill>
            <w14:solidFill>
              <w14:schemeClr w14:val="tx1"/>
            </w14:solidFill>
          </w14:textFill>
        </w:rPr>
        <w:t>现场设立项目管理机构和派驻相应人员，</w:t>
      </w:r>
      <w:r>
        <w:rPr>
          <w:rFonts w:hint="eastAsia" w:ascii="仿宋" w:hAnsi="仿宋" w:eastAsia="仿宋"/>
          <w:snapToGrid w:val="0"/>
          <w:color w:val="000000" w:themeColor="text1"/>
          <w:highlight w:val="none"/>
          <w:lang w:eastAsia="zh-CN"/>
          <w14:textFill>
            <w14:solidFill>
              <w14:schemeClr w14:val="tx1"/>
            </w14:solidFill>
          </w14:textFill>
        </w:rPr>
        <w:t>且</w:t>
      </w:r>
      <w:r>
        <w:rPr>
          <w:rFonts w:ascii="仿宋" w:hAnsi="仿宋" w:eastAsia="仿宋"/>
          <w:snapToGrid w:val="0"/>
          <w:color w:val="000000" w:themeColor="text1"/>
          <w:highlight w:val="none"/>
          <w:lang w:eastAsia="zh-CN"/>
          <w14:textFill>
            <w14:solidFill>
              <w14:schemeClr w14:val="tx1"/>
            </w14:solidFill>
          </w14:textFill>
        </w:rPr>
        <w:t>未对该</w:t>
      </w:r>
      <w:r>
        <w:rPr>
          <w:rFonts w:hint="eastAsia" w:ascii="仿宋" w:hAnsi="仿宋" w:eastAsia="仿宋"/>
          <w:snapToGrid w:val="0"/>
          <w:color w:val="000000" w:themeColor="text1"/>
          <w:highlight w:val="none"/>
          <w:lang w:eastAsia="zh-CN"/>
          <w14:textFill>
            <w14:solidFill>
              <w14:schemeClr w14:val="tx1"/>
            </w14:solidFill>
          </w14:textFill>
        </w:rPr>
        <w:t>设计</w:t>
      </w:r>
      <w:r>
        <w:rPr>
          <w:rFonts w:ascii="仿宋" w:hAnsi="仿宋" w:eastAsia="仿宋"/>
          <w:snapToGrid w:val="0"/>
          <w:color w:val="000000" w:themeColor="text1"/>
          <w:highlight w:val="none"/>
          <w:lang w:eastAsia="zh-CN"/>
          <w14:textFill>
            <w14:solidFill>
              <w14:schemeClr w14:val="tx1"/>
            </w14:solidFill>
          </w14:textFill>
        </w:rPr>
        <w:t>活动进行组织管理的，视同转包行为。</w:t>
      </w:r>
    </w:p>
    <w:p w14:paraId="6ED9C52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w:t>
      </w:r>
      <w:r>
        <w:rPr>
          <w:rFonts w:ascii="仿宋" w:hAnsi="仿宋" w:eastAsia="仿宋"/>
          <w:snapToGrid w:val="0"/>
          <w:color w:val="000000" w:themeColor="text1"/>
          <w:highlight w:val="none"/>
          <w:lang w:eastAsia="zh-CN"/>
          <w14:textFill>
            <w14:solidFill>
              <w14:schemeClr w14:val="tx1"/>
            </w14:solidFill>
          </w14:textFill>
        </w:rPr>
        <w:t>4）分包</w:t>
      </w:r>
      <w:r>
        <w:rPr>
          <w:rFonts w:hint="eastAsia" w:ascii="仿宋" w:hAnsi="仿宋" w:eastAsia="仿宋"/>
          <w:snapToGrid w:val="0"/>
          <w:color w:val="000000" w:themeColor="text1"/>
          <w:highlight w:val="none"/>
          <w:lang w:eastAsia="zh-CN"/>
          <w14:textFill>
            <w14:solidFill>
              <w14:schemeClr w14:val="tx1"/>
            </w14:solidFill>
          </w14:textFill>
        </w:rPr>
        <w:t>单位</w:t>
      </w:r>
      <w:r>
        <w:rPr>
          <w:rFonts w:ascii="仿宋" w:hAnsi="仿宋" w:eastAsia="仿宋"/>
          <w:snapToGrid w:val="0"/>
          <w:color w:val="000000" w:themeColor="text1"/>
          <w:highlight w:val="none"/>
          <w:lang w:eastAsia="zh-CN"/>
          <w14:textFill>
            <w14:solidFill>
              <w14:schemeClr w14:val="tx1"/>
            </w14:solidFill>
          </w14:textFill>
        </w:rPr>
        <w:t>必须自行完成所承包的</w:t>
      </w:r>
      <w:r>
        <w:rPr>
          <w:rFonts w:hint="eastAsia" w:ascii="仿宋" w:hAnsi="仿宋" w:eastAsia="仿宋"/>
          <w:snapToGrid w:val="0"/>
          <w:color w:val="000000" w:themeColor="text1"/>
          <w:highlight w:val="none"/>
          <w:lang w:eastAsia="zh-CN"/>
          <w14:textFill>
            <w14:solidFill>
              <w14:schemeClr w14:val="tx1"/>
            </w14:solidFill>
          </w14:textFill>
        </w:rPr>
        <w:t>设计，严禁再分包</w:t>
      </w:r>
      <w:r>
        <w:rPr>
          <w:rFonts w:ascii="仿宋" w:hAnsi="仿宋" w:eastAsia="仿宋"/>
          <w:snapToGrid w:val="0"/>
          <w:color w:val="000000" w:themeColor="text1"/>
          <w:highlight w:val="none"/>
          <w:lang w:eastAsia="zh-CN"/>
          <w14:textFill>
            <w14:solidFill>
              <w14:schemeClr w14:val="tx1"/>
            </w14:solidFill>
          </w14:textFill>
        </w:rPr>
        <w:t>。</w:t>
      </w:r>
    </w:p>
    <w:p w14:paraId="336D372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10.2.2施工分包约定：</w:t>
      </w:r>
    </w:p>
    <w:p w14:paraId="7FEA49E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1）对于非主体</w:t>
      </w:r>
      <w:r>
        <w:rPr>
          <w:rFonts w:hint="eastAsia" w:ascii="仿宋" w:hAnsi="仿宋" w:eastAsia="仿宋"/>
          <w:color w:val="000000" w:themeColor="text1"/>
          <w:highlight w:val="none"/>
          <w:lang w:eastAsia="zh-CN"/>
          <w14:textFill>
            <w14:solidFill>
              <w14:schemeClr w14:val="tx1"/>
            </w14:solidFill>
          </w14:textFill>
        </w:rPr>
        <w:t>工程</w:t>
      </w:r>
      <w:r>
        <w:rPr>
          <w:rFonts w:ascii="仿宋" w:hAnsi="仿宋" w:eastAsia="仿宋"/>
          <w:color w:val="000000" w:themeColor="text1"/>
          <w:highlight w:val="none"/>
          <w:lang w:eastAsia="zh-CN"/>
          <w14:textFill>
            <w14:solidFill>
              <w14:schemeClr w14:val="tx1"/>
            </w14:solidFill>
          </w14:textFill>
        </w:rPr>
        <w:t>，经发包人审核批准后</w:t>
      </w:r>
      <w:r>
        <w:rPr>
          <w:rFonts w:hint="eastAsia" w:ascii="仿宋" w:hAnsi="仿宋" w:eastAsia="仿宋"/>
          <w:color w:val="000000" w:themeColor="text1"/>
          <w:highlight w:val="none"/>
          <w:lang w:eastAsia="zh-CN"/>
          <w14:textFill>
            <w14:solidFill>
              <w14:schemeClr w14:val="tx1"/>
            </w14:solidFill>
          </w14:textFill>
        </w:rPr>
        <w:t>可</w:t>
      </w:r>
      <w:r>
        <w:rPr>
          <w:rFonts w:ascii="仿宋" w:hAnsi="仿宋" w:eastAsia="仿宋"/>
          <w:color w:val="000000" w:themeColor="text1"/>
          <w:highlight w:val="none"/>
          <w:lang w:eastAsia="zh-CN"/>
          <w14:textFill>
            <w14:solidFill>
              <w14:schemeClr w14:val="tx1"/>
            </w14:solidFill>
          </w14:textFill>
        </w:rPr>
        <w:t>分包给具有相应资质和能力的专业单位实施。</w:t>
      </w:r>
    </w:p>
    <w:p w14:paraId="5A22289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 xml:space="preserve">2）承包人应严格按照《房屋建筑和市政基础设施工程施工分包管理办法》（建设部令第 124 </w:t>
      </w:r>
      <w:r>
        <w:rPr>
          <w:rFonts w:hint="eastAsia" w:ascii="仿宋" w:hAnsi="仿宋" w:eastAsia="仿宋"/>
          <w:color w:val="000000" w:themeColor="text1"/>
          <w:highlight w:val="none"/>
          <w:lang w:eastAsia="zh-CN"/>
          <w14:textFill>
            <w14:solidFill>
              <w14:schemeClr w14:val="tx1"/>
            </w14:solidFill>
          </w14:textFill>
        </w:rPr>
        <w:t>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6B7C047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3）由于专业分包而产生的费用已包含在本工程合同价款中。如承包人违反本条款第（4）点的要求承包人须按</w:t>
      </w:r>
      <w:r>
        <w:rPr>
          <w:rFonts w:hint="eastAsia" w:ascii="仿宋" w:hAnsi="仿宋" w:eastAsia="仿宋"/>
          <w:color w:val="000000" w:themeColor="text1"/>
          <w:highlight w:val="none"/>
          <w:lang w:eastAsia="zh-CN"/>
          <w14:textFill>
            <w14:solidFill>
              <w14:schemeClr w14:val="tx1"/>
            </w14:solidFill>
          </w14:textFill>
        </w:rPr>
        <w:t>专用条款</w:t>
      </w:r>
      <w:r>
        <w:rPr>
          <w:rFonts w:ascii="仿宋" w:hAnsi="仿宋" w:eastAsia="仿宋"/>
          <w:color w:val="000000" w:themeColor="text1"/>
          <w:highlight w:val="none"/>
          <w:lang w:eastAsia="zh-CN"/>
          <w14:textFill>
            <w14:solidFill>
              <w14:schemeClr w14:val="tx1"/>
            </w14:solidFill>
          </w14:textFill>
        </w:rPr>
        <w:t>第95款的约定承担违约责任。</w:t>
      </w:r>
    </w:p>
    <w:p w14:paraId="0FC5353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1B98022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5）承包人应参照有关约定，在发包人批准分包后5天内将分包单位工程技术管理人员名单及劳动力、施工机械设备投入计划报送发包人且负责落实到位，并接受</w:t>
      </w:r>
      <w:r>
        <w:rPr>
          <w:rFonts w:hint="eastAsia" w:ascii="仿宋" w:hAnsi="仿宋" w:eastAsia="仿宋"/>
          <w:color w:val="000000" w:themeColor="text1"/>
          <w:highlight w:val="none"/>
          <w:lang w:eastAsia="zh-CN"/>
          <w14:textFill>
            <w14:solidFill>
              <w14:schemeClr w14:val="tx1"/>
            </w14:solidFill>
          </w14:textFill>
        </w:rPr>
        <w:t>监理</w:t>
      </w:r>
      <w:r>
        <w:rPr>
          <w:rFonts w:ascii="仿宋" w:hAnsi="仿宋" w:eastAsia="仿宋"/>
          <w:color w:val="000000" w:themeColor="text1"/>
          <w:highlight w:val="none"/>
          <w:lang w:eastAsia="zh-CN"/>
          <w14:textFill>
            <w14:solidFill>
              <w14:schemeClr w14:val="tx1"/>
            </w14:solidFill>
          </w14:textFill>
        </w:rPr>
        <w:t xml:space="preserve">工程师和发包人代表的查验。 </w:t>
      </w:r>
    </w:p>
    <w:p w14:paraId="31979DB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10.4 分包合同价款结算与支付</w:t>
      </w:r>
    </w:p>
    <w:p w14:paraId="208924A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分包合同价款的支付方式：</w:t>
      </w:r>
      <w:r>
        <w:rPr>
          <w:rFonts w:hint="eastAsia" w:ascii="仿宋" w:hAnsi="仿宋" w:eastAsia="仿宋" w:cs="仿宋"/>
          <w:color w:val="000000" w:themeColor="text1"/>
          <w:highlight w:val="none"/>
          <w:u w:val="single"/>
          <w:lang w:eastAsia="zh-CN"/>
          <w14:textFill>
            <w14:solidFill>
              <w14:schemeClr w14:val="tx1"/>
            </w14:solidFill>
          </w14:textFill>
        </w:rPr>
        <w:t>分包合同价款由承包人与分包人结算。</w:t>
      </w:r>
    </w:p>
    <w:p w14:paraId="485011F4">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10" w:name="_Toc149731554"/>
      <w:bookmarkStart w:id="611" w:name="_Toc1121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13.  投标文件的完备性</w:t>
      </w:r>
      <w:bookmarkEnd w:id="610"/>
      <w:bookmarkEnd w:id="611"/>
    </w:p>
    <w:p w14:paraId="42CD9E13">
      <w:pPr>
        <w:spacing w:line="360" w:lineRule="auto"/>
        <w:ind w:firstLine="480" w:firstLineChars="200"/>
        <w:rPr>
          <w:rFonts w:ascii="仿宋" w:hAnsi="仿宋" w:eastAsia="仿宋"/>
          <w:b/>
          <w:bCs/>
          <w:color w:val="000000" w:themeColor="text1"/>
          <w:sz w:val="18"/>
          <w:szCs w:val="18"/>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13.3算术性错误的调整</w:t>
      </w:r>
    </w:p>
    <w:p w14:paraId="65360FF9">
      <w:pPr>
        <w:spacing w:line="360" w:lineRule="auto"/>
        <w:ind w:firstLine="480" w:firstLineChars="200"/>
        <w:rPr>
          <w:rFonts w:ascii="仿宋" w:hAnsi="仿宋" w:eastAsia="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本条款补充以下内容：</w:t>
      </w:r>
    </w:p>
    <w:p w14:paraId="660FB1D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承包人投标文件中出现算术性错误，导致其实际总造价与报价总金额不一致时，按以下原则予以修正：</w:t>
      </w:r>
    </w:p>
    <w:p w14:paraId="0325DAD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1）若数量级有误，以核准的数量级为准；</w:t>
      </w:r>
    </w:p>
    <w:p w14:paraId="5E497F9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2）若用小写表示的金额和用大写的金额不一致，以金额低者为准；</w:t>
      </w:r>
    </w:p>
    <w:p w14:paraId="44B085A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3）单价包干部分算术性错误调整原则：</w:t>
      </w:r>
    </w:p>
    <w:p w14:paraId="4303E7D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w:t>
      </w:r>
      <w:r>
        <w:rPr>
          <w:rFonts w:hint="eastAsia" w:ascii="仿宋" w:hAnsi="仿宋" w:eastAsia="仿宋"/>
          <w:color w:val="000000" w:themeColor="text1"/>
          <w:highlight w:val="none"/>
          <w:lang w:eastAsia="zh-CN"/>
          <w14:textFill>
            <w14:solidFill>
              <w14:schemeClr w14:val="tx1"/>
            </w14:solidFill>
          </w14:textFill>
        </w:rPr>
        <w:t>）当单价与数量的乘积与合价不一致时，以所报单价为准，修改合价，除非在发包人看来单价中有明显的小数点错误，在这种情况下则以所报的合价为准，修改单价。</w:t>
      </w:r>
    </w:p>
    <w:p w14:paraId="07E2790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w:t>
      </w:r>
      <w:r>
        <w:rPr>
          <w:rFonts w:hint="eastAsia" w:ascii="仿宋" w:hAnsi="仿宋" w:eastAsia="仿宋"/>
          <w:color w:val="000000" w:themeColor="text1"/>
          <w:highlight w:val="none"/>
          <w:lang w:eastAsia="zh-CN"/>
          <w14:textFill>
            <w14:solidFill>
              <w14:schemeClr w14:val="tx1"/>
            </w14:solidFill>
          </w14:textFill>
        </w:rPr>
        <w:t>）当工程量清单单价与单价分析表不一致时，以单价低的为准，若工程量清单单价低于单价分析表单价，则修正单价分析表。</w:t>
      </w:r>
    </w:p>
    <w:p w14:paraId="1649CB6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w:t>
      </w:r>
      <w:r>
        <w:rPr>
          <w:rFonts w:hint="eastAsia" w:ascii="仿宋" w:hAnsi="仿宋" w:eastAsia="仿宋"/>
          <w:color w:val="000000" w:themeColor="text1"/>
          <w:highlight w:val="none"/>
          <w:lang w:eastAsia="zh-CN"/>
          <w14:textFill>
            <w14:solidFill>
              <w14:schemeClr w14:val="tx1"/>
            </w14:solidFill>
          </w14:textFill>
        </w:rPr>
        <w:t>）单价包干项目工程量与招标文件工程量清单不一致时，按招标文件的工程量进行修正。</w:t>
      </w:r>
    </w:p>
    <w:p w14:paraId="280DCBD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4）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34510C1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4</w:t>
      </w:r>
      <w:r>
        <w:rPr>
          <w:rFonts w:hint="eastAsia" w:ascii="仿宋" w:hAnsi="仿宋" w:eastAsia="仿宋"/>
          <w:color w:val="000000" w:themeColor="text1"/>
          <w:highlight w:val="none"/>
          <w:lang w:eastAsia="zh-CN"/>
          <w14:textFill>
            <w14:solidFill>
              <w14:schemeClr w14:val="tx1"/>
            </w14:solidFill>
          </w14:textFill>
        </w:rPr>
        <w:t>）修正工程量清单中各汇总项的累加错误，单价包干项目以各子项为准，修正汇总项；合价包干项目以各子项汇总为准，修正汇总项。</w:t>
      </w:r>
    </w:p>
    <w:p w14:paraId="244A595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612" w:name="_Hlk34136573"/>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5</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安全</w:t>
      </w:r>
      <w:r>
        <w:rPr>
          <w:rFonts w:hint="eastAsia" w:ascii="仿宋" w:hAnsi="仿宋" w:eastAsia="仿宋"/>
          <w:color w:val="000000" w:themeColor="text1"/>
          <w:highlight w:val="none"/>
          <w:lang w:val="en-US" w:eastAsia="zh-CN"/>
          <w14:textFill>
            <w14:solidFill>
              <w14:schemeClr w14:val="tx1"/>
            </w14:solidFill>
          </w14:textFill>
        </w:rPr>
        <w:t>生产</w:t>
      </w:r>
      <w:r>
        <w:rPr>
          <w:rFonts w:ascii="仿宋" w:hAnsi="仿宋" w:eastAsia="仿宋"/>
          <w:color w:val="000000" w:themeColor="text1"/>
          <w:highlight w:val="none"/>
          <w:lang w:eastAsia="zh-CN"/>
          <w14:textFill>
            <w14:solidFill>
              <w14:schemeClr w14:val="tx1"/>
            </w14:solidFill>
          </w14:textFill>
        </w:rPr>
        <w:t>措施费</w:t>
      </w:r>
      <w:r>
        <w:rPr>
          <w:rFonts w:hint="eastAsia" w:ascii="仿宋" w:hAnsi="仿宋" w:eastAsia="仿宋"/>
          <w:color w:val="000000" w:themeColor="text1"/>
          <w:highlight w:val="none"/>
          <w:lang w:eastAsia="zh-CN"/>
          <w14:textFill>
            <w14:solidFill>
              <w14:schemeClr w14:val="tx1"/>
            </w14:solidFill>
          </w14:textFill>
        </w:rPr>
        <w:t>、暂列金额、暂估价为非竞争性报价。如承包人未按发包人公布的</w:t>
      </w:r>
      <w:r>
        <w:rPr>
          <w:rFonts w:ascii="仿宋" w:hAnsi="仿宋" w:eastAsia="仿宋"/>
          <w:color w:val="000000" w:themeColor="text1"/>
          <w:highlight w:val="none"/>
          <w:lang w:eastAsia="zh-CN"/>
          <w14:textFill>
            <w14:solidFill>
              <w14:schemeClr w14:val="tx1"/>
            </w14:solidFill>
          </w14:textFill>
        </w:rPr>
        <w:t>安全</w:t>
      </w:r>
      <w:r>
        <w:rPr>
          <w:rFonts w:hint="eastAsia" w:ascii="仿宋" w:hAnsi="仿宋" w:eastAsia="仿宋"/>
          <w:color w:val="000000" w:themeColor="text1"/>
          <w:highlight w:val="none"/>
          <w:lang w:val="en-US" w:eastAsia="zh-CN"/>
          <w14:textFill>
            <w14:solidFill>
              <w14:schemeClr w14:val="tx1"/>
            </w14:solidFill>
          </w14:textFill>
        </w:rPr>
        <w:t>生产</w:t>
      </w:r>
      <w:r>
        <w:rPr>
          <w:rFonts w:ascii="仿宋" w:hAnsi="仿宋" w:eastAsia="仿宋"/>
          <w:color w:val="000000" w:themeColor="text1"/>
          <w:highlight w:val="none"/>
          <w:lang w:eastAsia="zh-CN"/>
          <w14:textFill>
            <w14:solidFill>
              <w14:schemeClr w14:val="tx1"/>
            </w14:solidFill>
          </w14:textFill>
        </w:rPr>
        <w:t>措施费</w:t>
      </w:r>
      <w:r>
        <w:rPr>
          <w:rFonts w:hint="eastAsia" w:ascii="仿宋" w:hAnsi="仿宋" w:eastAsia="仿宋"/>
          <w:color w:val="000000" w:themeColor="text1"/>
          <w:highlight w:val="none"/>
          <w:lang w:eastAsia="zh-CN"/>
          <w14:textFill>
            <w14:solidFill>
              <w14:schemeClr w14:val="tx1"/>
            </w14:solidFill>
          </w14:textFill>
        </w:rPr>
        <w:t>、暂列金额、暂估价正确填写的，则在签订合同前对中标价进行算术核准时，按就低不就高的原则进行调整。</w:t>
      </w:r>
    </w:p>
    <w:bookmarkEnd w:id="612"/>
    <w:p w14:paraId="5351A61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6</w:t>
      </w:r>
      <w:r>
        <w:rPr>
          <w:rFonts w:hint="eastAsia" w:ascii="仿宋" w:hAnsi="仿宋" w:eastAsia="仿宋"/>
          <w:color w:val="000000" w:themeColor="text1"/>
          <w:highlight w:val="none"/>
          <w:lang w:eastAsia="zh-CN"/>
          <w14:textFill>
            <w14:solidFill>
              <w14:schemeClr w14:val="tx1"/>
            </w14:solidFill>
          </w14:textFill>
        </w:rPr>
        <w:t>）拟签订合同价按上述原则核定后，按就低不就高原则确定。</w:t>
      </w:r>
    </w:p>
    <w:p w14:paraId="7E5E5BA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7</w:t>
      </w:r>
      <w:r>
        <w:rPr>
          <w:rFonts w:hint="eastAsia" w:ascii="仿宋" w:hAnsi="仿宋" w:eastAsia="仿宋"/>
          <w:color w:val="000000" w:themeColor="text1"/>
          <w:highlight w:val="none"/>
          <w:lang w:eastAsia="zh-CN"/>
          <w14:textFill>
            <w14:solidFill>
              <w14:schemeClr w14:val="tx1"/>
            </w14:solidFill>
          </w14:textFill>
        </w:rPr>
        <w:t>）为便于发包人对投标价的校核，承包人需提供编制投标报价的软件给发包人使用。</w:t>
      </w:r>
    </w:p>
    <w:p w14:paraId="04EF33EC">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13" w:name="_Toc149731555"/>
      <w:bookmarkStart w:id="614" w:name="_Toc153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14. 文物和地下障碍物</w:t>
      </w:r>
      <w:bookmarkEnd w:id="613"/>
      <w:bookmarkEnd w:id="614"/>
    </w:p>
    <w:p w14:paraId="67A789D2">
      <w:pPr>
        <w:spacing w:line="360" w:lineRule="auto"/>
        <w:rPr>
          <w:rFonts w:ascii="仿宋" w:hAnsi="仿宋" w:eastAsia="仿宋"/>
          <w:color w:val="000000" w:themeColor="text1"/>
          <w:highlight w:val="none"/>
          <w:lang w:eastAsia="zh-CN" w:bidi="ar-SA"/>
          <w14:textFill>
            <w14:solidFill>
              <w14:schemeClr w14:val="tx1"/>
            </w14:solidFill>
          </w14:textFill>
        </w:rPr>
      </w:pPr>
      <w:r>
        <w:rPr>
          <w:rFonts w:hint="eastAsia" w:ascii="仿宋" w:hAnsi="仿宋" w:eastAsia="仿宋"/>
          <w:color w:val="000000" w:themeColor="text1"/>
          <w:highlight w:val="none"/>
          <w:lang w:eastAsia="zh-CN" w:bidi="ar-SA"/>
          <w14:textFill>
            <w14:solidFill>
              <w14:schemeClr w14:val="tx1"/>
            </w14:solidFill>
          </w14:textFill>
        </w:rPr>
        <w:t>双方协商一致，增加14.3款</w:t>
      </w:r>
    </w:p>
    <w:p w14:paraId="215F3A1F">
      <w:pPr>
        <w:autoSpaceDE w:val="0"/>
        <w:autoSpaceDN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14.3合同价款已包括探明、打碎及移去所有在施工期间所遇到的地下障碍物</w:t>
      </w:r>
      <w:r>
        <w:rPr>
          <w:rFonts w:hint="eastAsia" w:ascii="仿宋" w:hAnsi="仿宋" w:eastAsia="仿宋"/>
          <w:color w:val="000000" w:themeColor="text1"/>
          <w:highlight w:val="none"/>
          <w:lang w:eastAsia="zh-CN"/>
          <w14:textFill>
            <w14:solidFill>
              <w14:schemeClr w14:val="tx1"/>
            </w14:solidFill>
          </w14:textFill>
        </w:rPr>
        <w:t>（不论本合同是否已明确）</w:t>
      </w:r>
      <w:r>
        <w:rPr>
          <w:rFonts w:ascii="仿宋" w:hAnsi="仿宋" w:eastAsia="仿宋"/>
          <w:color w:val="000000" w:themeColor="text1"/>
          <w:highlight w:val="none"/>
          <w:lang w:eastAsia="zh-CN"/>
          <w14:textFill>
            <w14:solidFill>
              <w14:schemeClr w14:val="tx1"/>
            </w14:solidFill>
          </w14:textFill>
        </w:rPr>
        <w:t>如石块、结构混凝土、素混凝土、砖块、坟头等，及用经</w:t>
      </w:r>
      <w:r>
        <w:rPr>
          <w:rFonts w:hint="eastAsia" w:ascii="仿宋" w:hAnsi="仿宋" w:eastAsia="仿宋"/>
          <w:color w:val="000000" w:themeColor="text1"/>
          <w:highlight w:val="none"/>
          <w:lang w:eastAsia="zh-CN"/>
          <w14:textFill>
            <w14:solidFill>
              <w14:schemeClr w14:val="tx1"/>
            </w14:solidFill>
          </w14:textFill>
        </w:rPr>
        <w:t>监理单位和发包人</w:t>
      </w:r>
      <w:r>
        <w:rPr>
          <w:rFonts w:ascii="仿宋" w:hAnsi="仿宋" w:eastAsia="仿宋"/>
          <w:color w:val="000000" w:themeColor="text1"/>
          <w:highlight w:val="none"/>
          <w:lang w:eastAsia="zh-CN"/>
          <w14:textFill>
            <w14:solidFill>
              <w14:schemeClr w14:val="tx1"/>
            </w14:solidFill>
          </w14:textFill>
        </w:rPr>
        <w:t>认可的土壤回填于空位内，因上述障碍物而引致工人及机械窝工的费用</w:t>
      </w:r>
      <w:r>
        <w:rPr>
          <w:rFonts w:hint="eastAsia" w:ascii="仿宋" w:hAnsi="仿宋" w:eastAsia="仿宋"/>
          <w:color w:val="000000" w:themeColor="text1"/>
          <w:highlight w:val="none"/>
          <w:lang w:eastAsia="zh-CN"/>
          <w14:textFill>
            <w14:solidFill>
              <w14:schemeClr w14:val="tx1"/>
            </w14:solidFill>
          </w14:textFill>
        </w:rPr>
        <w:t>及其他</w:t>
      </w:r>
      <w:r>
        <w:rPr>
          <w:rFonts w:ascii="仿宋" w:hAnsi="仿宋" w:eastAsia="仿宋"/>
          <w:color w:val="000000" w:themeColor="text1"/>
          <w:highlight w:val="none"/>
          <w:lang w:eastAsia="zh-CN"/>
          <w14:textFill>
            <w14:solidFill>
              <w14:schemeClr w14:val="tx1"/>
            </w14:solidFill>
          </w14:textFill>
        </w:rPr>
        <w:t>一切费用。</w:t>
      </w:r>
    </w:p>
    <w:p w14:paraId="5D458243">
      <w:pPr>
        <w:pStyle w:val="5"/>
        <w:tabs>
          <w:tab w:val="left" w:pos="420"/>
        </w:tabs>
        <w:spacing w:before="0" w:after="0" w:line="360" w:lineRule="auto"/>
        <w:rPr>
          <w:rFonts w:ascii="仿宋" w:hAnsi="仿宋" w:eastAsia="仿宋" w:cs="仿宋"/>
          <w:color w:val="000000" w:themeColor="text1"/>
          <w:sz w:val="24"/>
          <w:szCs w:val="24"/>
          <w:highlight w:val="none"/>
          <w:lang w:eastAsia="zh-CN"/>
          <w14:textFill>
            <w14:solidFill>
              <w14:schemeClr w14:val="tx1"/>
            </w14:solidFill>
          </w14:textFill>
        </w:rPr>
      </w:pPr>
      <w:bookmarkStart w:id="615" w:name="_Toc149731556"/>
      <w:bookmarkStart w:id="616" w:name="_Toc9396"/>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16.  交通运输</w:t>
      </w:r>
      <w:bookmarkEnd w:id="615"/>
      <w:bookmarkEnd w:id="616"/>
    </w:p>
    <w:p w14:paraId="4EA33DB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17" w:name="_Toc15287"/>
      <w:r>
        <w:rPr>
          <w:rFonts w:hint="eastAsia" w:ascii="仿宋" w:hAnsi="仿宋" w:eastAsia="仿宋" w:cs="仿宋"/>
          <w:color w:val="000000" w:themeColor="text1"/>
          <w:highlight w:val="none"/>
          <w:lang w:eastAsia="zh-CN"/>
          <w14:textFill>
            <w14:solidFill>
              <w14:schemeClr w14:val="tx1"/>
            </w14:solidFill>
          </w14:textFill>
        </w:rPr>
        <w:t>16.1 道路通行权和场外设施</w:t>
      </w:r>
      <w:bookmarkEnd w:id="617"/>
    </w:p>
    <w:p w14:paraId="6783C5EF">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办理道路通行权和修建场外设施的费用：</w:t>
      </w:r>
      <w:r>
        <w:rPr>
          <w:rFonts w:hint="eastAsia" w:ascii="仿宋" w:hAnsi="仿宋" w:eastAsia="仿宋" w:cs="仿宋"/>
          <w:color w:val="000000" w:themeColor="text1"/>
          <w:highlight w:val="none"/>
          <w:u w:val="single"/>
          <w:lang w:eastAsia="zh-CN"/>
          <w14:textFill>
            <w14:solidFill>
              <w14:schemeClr w14:val="tx1"/>
            </w14:solidFill>
          </w14:textFill>
        </w:rPr>
        <w:t xml:space="preserve">由承包人负责取得出入施工现场所需的批准手续和全部权利，以及取得因工程实施所需修建道路、桥梁以及其他基础设施的权利，并承担相关手续费用和建设费用，相关费用已包含在投标报价中。 </w:t>
      </w:r>
    </w:p>
    <w:p w14:paraId="454D58F6">
      <w:pPr>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618" w:name="_Toc10888"/>
      <w:r>
        <w:rPr>
          <w:rFonts w:hint="eastAsia" w:ascii="仿宋" w:hAnsi="仿宋" w:eastAsia="仿宋" w:cs="仿宋"/>
          <w:color w:val="000000" w:themeColor="text1"/>
          <w:highlight w:val="none"/>
          <w:lang w:eastAsia="zh-CN"/>
          <w14:textFill>
            <w14:solidFill>
              <w14:schemeClr w14:val="tx1"/>
            </w14:solidFill>
          </w14:textFill>
        </w:rPr>
        <w:t>16.2 场内临时道路和交通设施</w:t>
      </w:r>
      <w:bookmarkEnd w:id="618"/>
    </w:p>
    <w:p w14:paraId="435AA7DD">
      <w:pPr>
        <w:spacing w:line="360" w:lineRule="auto"/>
        <w:ind w:firstLine="566" w:firstLineChars="236"/>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修建场内临时道路和交通设施的费用：</w:t>
      </w:r>
      <w:r>
        <w:rPr>
          <w:rFonts w:hint="eastAsia" w:ascii="仿宋" w:hAnsi="仿宋" w:eastAsia="仿宋" w:cs="仿宋"/>
          <w:color w:val="000000" w:themeColor="text1"/>
          <w:highlight w:val="none"/>
          <w:u w:val="single"/>
          <w:lang w:eastAsia="zh-CN"/>
          <w14:textFill>
            <w14:solidFill>
              <w14:schemeClr w14:val="tx1"/>
            </w14:solidFill>
          </w14:textFill>
        </w:rPr>
        <w:t>由承包人承担，相关费用已含在投标报价中。</w:t>
      </w:r>
    </w:p>
    <w:p w14:paraId="07E6A29A">
      <w:pPr>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16.4 超大件和超重件的运输</w:t>
      </w:r>
    </w:p>
    <w:p w14:paraId="35F8B534">
      <w:pPr>
        <w:spacing w:line="360" w:lineRule="auto"/>
        <w:ind w:firstLine="600" w:firstLineChars="2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运输超大件和超重件的费用：</w:t>
      </w:r>
      <w:r>
        <w:rPr>
          <w:rFonts w:hint="eastAsia" w:ascii="仿宋" w:hAnsi="仿宋" w:eastAsia="仿宋" w:cs="仿宋"/>
          <w:color w:val="000000" w:themeColor="text1"/>
          <w:highlight w:val="none"/>
          <w:u w:val="single"/>
          <w:lang w:eastAsia="zh-CN"/>
          <w14:textFill>
            <w14:solidFill>
              <w14:schemeClr w14:val="tx1"/>
            </w14:solidFill>
          </w14:textFill>
        </w:rPr>
        <w:t xml:space="preserve">由承包人承担，相关费用已含在投标报价中。 </w:t>
      </w:r>
    </w:p>
    <w:p w14:paraId="214C5BC4">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19" w:name="_Toc23512"/>
      <w:bookmarkStart w:id="620" w:name="_Toc14973155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17.  专项批准事项的签认</w:t>
      </w:r>
      <w:bookmarkEnd w:id="619"/>
      <w:bookmarkEnd w:id="620"/>
    </w:p>
    <w:p w14:paraId="096939CF">
      <w:pPr>
        <w:spacing w:line="360" w:lineRule="auto"/>
        <w:ind w:firstLine="566" w:firstLineChars="236"/>
        <w:rPr>
          <w:rFonts w:ascii="仿宋" w:hAnsi="仿宋" w:eastAsia="仿宋" w:cs="仿宋"/>
          <w:color w:val="000000" w:themeColor="text1"/>
          <w:highlight w:val="none"/>
          <w:lang w:eastAsia="zh-CN"/>
          <w14:textFill>
            <w14:solidFill>
              <w14:schemeClr w14:val="tx1"/>
            </w14:solidFill>
          </w14:textFill>
        </w:rPr>
      </w:pPr>
      <w:bookmarkStart w:id="621" w:name="_Toc25987"/>
      <w:r>
        <w:rPr>
          <w:rFonts w:hint="eastAsia" w:ascii="仿宋" w:hAnsi="仿宋" w:eastAsia="仿宋" w:cs="仿宋"/>
          <w:color w:val="000000" w:themeColor="text1"/>
          <w:highlight w:val="none"/>
          <w:lang w:eastAsia="zh-CN"/>
          <w14:textFill>
            <w14:solidFill>
              <w14:schemeClr w14:val="tx1"/>
            </w14:solidFill>
          </w14:textFill>
        </w:rPr>
        <w:t>17.2 专项批准事项签认人的要求</w:t>
      </w:r>
      <w:bookmarkEnd w:id="621"/>
    </w:p>
    <w:p w14:paraId="24DB783E">
      <w:pPr>
        <w:spacing w:line="360" w:lineRule="auto"/>
        <w:ind w:left="137" w:leftChars="57" w:firstLine="600" w:firstLineChars="25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专项批准事项的签认人选</w:t>
      </w:r>
      <w:r>
        <w:rPr>
          <w:rFonts w:hint="eastAsia" w:ascii="仿宋" w:hAnsi="仿宋" w:eastAsia="仿宋"/>
          <w:color w:val="000000" w:themeColor="text1"/>
          <w:highlight w:val="none"/>
          <w:lang w:eastAsia="zh-CN"/>
          <w14:textFill>
            <w14:solidFill>
              <w14:schemeClr w14:val="tx1"/>
            </w14:solidFill>
          </w14:textFill>
        </w:rPr>
        <w:t>：</w:t>
      </w:r>
    </w:p>
    <w:p w14:paraId="12A0A54A">
      <w:pPr>
        <w:spacing w:line="360" w:lineRule="auto"/>
        <w:ind w:left="274" w:leftChars="114"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①设计顾问人代表：</w:t>
      </w:r>
    </w:p>
    <w:p w14:paraId="37F1B54A">
      <w:pPr>
        <w:snapToGrid w:val="0"/>
        <w:spacing w:line="360" w:lineRule="auto"/>
        <w:ind w:firstLine="840" w:firstLineChars="35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姓名：  印章样式：                签字样式：</w:t>
      </w:r>
    </w:p>
    <w:p w14:paraId="4EC4B492">
      <w:pPr>
        <w:spacing w:line="360" w:lineRule="auto"/>
        <w:ind w:left="274" w:leftChars="114"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②监理人代表：</w:t>
      </w:r>
    </w:p>
    <w:p w14:paraId="6B5012F6">
      <w:pPr>
        <w:snapToGrid w:val="0"/>
        <w:spacing w:line="360" w:lineRule="auto"/>
        <w:ind w:firstLine="840" w:firstLineChars="35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姓名：  印章样式：                签字样式：</w:t>
      </w:r>
    </w:p>
    <w:p w14:paraId="79F463F8">
      <w:pPr>
        <w:spacing w:line="360" w:lineRule="auto"/>
        <w:ind w:left="274" w:leftChars="114"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③造价咨询人代表：</w:t>
      </w:r>
    </w:p>
    <w:p w14:paraId="2FAC23FF">
      <w:pPr>
        <w:snapToGrid w:val="0"/>
        <w:spacing w:line="360" w:lineRule="auto"/>
        <w:ind w:firstLine="840" w:firstLineChars="35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姓名：   印章样式：                签字样式：</w:t>
      </w:r>
    </w:p>
    <w:p w14:paraId="79EDADB2">
      <w:pPr>
        <w:spacing w:line="360" w:lineRule="auto"/>
        <w:ind w:left="274" w:leftChars="114"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④承包人代表：</w:t>
      </w:r>
    </w:p>
    <w:p w14:paraId="2E2D917B">
      <w:pPr>
        <w:snapToGrid w:val="0"/>
        <w:spacing w:line="360" w:lineRule="auto"/>
        <w:ind w:firstLine="840" w:firstLineChars="3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姓名： 印章样式：                签字样式：</w:t>
      </w:r>
    </w:p>
    <w:p w14:paraId="2532F36D">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22" w:name="_Toc27395"/>
      <w:bookmarkStart w:id="623" w:name="_Toc149731558"/>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18.  专利技术和知识产权</w:t>
      </w:r>
      <w:bookmarkEnd w:id="622"/>
      <w:bookmarkEnd w:id="623"/>
    </w:p>
    <w:p w14:paraId="2EB16AF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18.3版权和知识产权</w:t>
      </w:r>
    </w:p>
    <w:p w14:paraId="6761AC2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18.3.2 承包人（或以承包人名义）为实施工程所编制的文件、承包人完成的设计工作成果和建造完成的建筑物，其著作权归属的约定：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归发包人。 </w:t>
      </w:r>
    </w:p>
    <w:p w14:paraId="2915F18B">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24" w:name="_Toc5233"/>
      <w:bookmarkStart w:id="625" w:name="_Toc149731559"/>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19.  联合体的责任</w:t>
      </w:r>
      <w:bookmarkEnd w:id="624"/>
      <w:bookmarkEnd w:id="625"/>
    </w:p>
    <w:p w14:paraId="49E01CC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19.1联合体的组成及责任</w:t>
      </w:r>
    </w:p>
    <w:p w14:paraId="35BC58A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19.1.2联合牵头人的管理责任</w:t>
      </w:r>
    </w:p>
    <w:p w14:paraId="15A2DE02">
      <w:pPr>
        <w:spacing w:line="360" w:lineRule="auto"/>
        <w:ind w:left="240" w:leftChars="100" w:firstLine="360" w:firstLineChars="1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设计单位为联合体牵头人时的管理责任：</w:t>
      </w:r>
      <w:r>
        <w:rPr>
          <w:rFonts w:hint="eastAsia" w:ascii="仿宋" w:hAnsi="仿宋" w:eastAsia="仿宋" w:cs="仿宋"/>
          <w:color w:val="000000" w:themeColor="text1"/>
          <w:highlight w:val="none"/>
          <w:u w:val="single"/>
          <w:lang w:eastAsia="zh-CN"/>
          <w14:textFill>
            <w14:solidFill>
              <w14:schemeClr w14:val="tx1"/>
            </w14:solidFill>
          </w14:textFill>
        </w:rPr>
        <w:t>按联合体协议书执行。</w:t>
      </w:r>
    </w:p>
    <w:p w14:paraId="242BC18E">
      <w:pPr>
        <w:snapToGrid w:val="0"/>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□施工单位为联合体牵头人时的管理责任：</w:t>
      </w:r>
    </w:p>
    <w:p w14:paraId="3DAD1B5C">
      <w:pPr>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19.3 联合体的内部管理</w:t>
      </w:r>
    </w:p>
    <w:p w14:paraId="34FF69CC">
      <w:pPr>
        <w:snapToGrid w:val="0"/>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19.3.6  联合体牵头人因反对成员单位提出的优化建议而不报送发包人审核，发包人有权对牵头人进行经济处罚，其违约处罚方式的约定：</w:t>
      </w:r>
      <w:r>
        <w:rPr>
          <w:rFonts w:hint="eastAsia" w:ascii="仿宋" w:hAnsi="仿宋" w:eastAsia="仿宋" w:cs="仿宋"/>
          <w:color w:val="000000" w:themeColor="text1"/>
          <w:highlight w:val="none"/>
          <w:u w:val="single"/>
          <w:lang w:eastAsia="zh-CN"/>
          <w14:textFill>
            <w14:solidFill>
              <w14:schemeClr w14:val="tx1"/>
            </w14:solidFill>
          </w14:textFill>
        </w:rPr>
        <w:t>每发生1次，承包人承担</w:t>
      </w:r>
      <w:r>
        <w:rPr>
          <w:rFonts w:ascii="仿宋" w:hAnsi="仿宋" w:eastAsia="仿宋" w:cs="仿宋"/>
          <w:color w:val="000000" w:themeColor="text1"/>
          <w:highlight w:val="none"/>
          <w:u w:val="single"/>
          <w:lang w:eastAsia="zh-CN"/>
          <w14:textFill>
            <w14:solidFill>
              <w14:schemeClr w14:val="tx1"/>
            </w14:solidFill>
          </w14:textFill>
        </w:rPr>
        <w:t>1次一般违约责任处罚。</w:t>
      </w:r>
    </w:p>
    <w:p w14:paraId="458A74A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双方协商一致，增加19.4款：</w:t>
      </w:r>
    </w:p>
    <w:p w14:paraId="6BA8FCD5">
      <w:pPr>
        <w:snapToGrid w:val="0"/>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19.4合同价款支付</w:t>
      </w:r>
    </w:p>
    <w:p w14:paraId="4CF867FF">
      <w:pPr>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由联合体各方共同盖章，并提供各自等额合法有效的增值税专用发票，由发包人分别对应拨付至联合体各方的银行账户。</w:t>
      </w:r>
    </w:p>
    <w:p w14:paraId="70BA7BC6">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26" w:name="_Toc30023"/>
      <w:bookmarkStart w:id="627" w:name="_Toc14973156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22.  发包人</w:t>
      </w:r>
      <w:bookmarkEnd w:id="626"/>
      <w:bookmarkEnd w:id="627"/>
    </w:p>
    <w:p w14:paraId="3D2B487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22.2 发包人工作</w:t>
      </w:r>
    </w:p>
    <w:p w14:paraId="40883960">
      <w:pPr>
        <w:spacing w:line="360" w:lineRule="auto"/>
        <w:ind w:firstLine="600" w:firstLineChars="25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发包人完成下列工作的约定：</w:t>
      </w:r>
    </w:p>
    <w:p w14:paraId="450DF58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w:t>
      </w:r>
      <w:bookmarkStart w:id="628" w:name="_Hlk53305925"/>
      <w:r>
        <w:rPr>
          <w:rFonts w:hint="eastAsia" w:ascii="仿宋" w:hAnsi="仿宋" w:eastAsia="仿宋" w:cs="仿宋"/>
          <w:color w:val="000000" w:themeColor="text1"/>
          <w:highlight w:val="none"/>
          <w:lang w:eastAsia="zh-CN"/>
          <w14:textFill>
            <w14:solidFill>
              <w14:schemeClr w14:val="tx1"/>
            </w14:solidFill>
          </w14:textFill>
        </w:rPr>
        <w:t>提供标准与规范的时间：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承包人自行取得相关标准与规范。 </w:t>
      </w:r>
    </w:p>
    <w:bookmarkEnd w:id="628"/>
    <w:p w14:paraId="4391648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（4）办理土地征用、拆迁、平整施工场地等工作的时间：</w:t>
      </w:r>
      <w:r>
        <w:rPr>
          <w:rFonts w:hint="eastAsia" w:ascii="仿宋" w:hAnsi="仿宋" w:eastAsia="仿宋" w:cs="仿宋"/>
          <w:color w:val="000000" w:themeColor="text1"/>
          <w:highlight w:val="none"/>
          <w:u w:val="single"/>
          <w:lang w:eastAsia="zh-CN"/>
          <w14:textFill>
            <w14:solidFill>
              <w14:schemeClr w14:val="tx1"/>
            </w14:solidFill>
          </w14:textFill>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3BCB88FB">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（5）完成施工所需水、电、通讯线路接驳的时间及地点：</w:t>
      </w:r>
      <w:r>
        <w:rPr>
          <w:rFonts w:hint="eastAsia" w:ascii="仿宋" w:hAnsi="仿宋" w:eastAsia="仿宋" w:cs="仿宋"/>
          <w:color w:val="000000" w:themeColor="text1"/>
          <w:highlight w:val="none"/>
          <w:u w:val="single"/>
          <w:lang w:eastAsia="zh-CN"/>
          <w14:textFill>
            <w14:solidFill>
              <w14:schemeClr w14:val="tx1"/>
            </w14:solidFill>
          </w14:textFill>
        </w:rPr>
        <w:t>现场未具备“三通一平”条件，临水临电未开通（包括接驳点也由承包人自行考虑），承包人须自行办理施工临时排水许可及施工临时排污许可证。</w:t>
      </w:r>
    </w:p>
    <w:p w14:paraId="0A52E68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29622DE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（6）开通施工现场与城乡公共道路间的通道的时间：</w:t>
      </w:r>
      <w:r>
        <w:rPr>
          <w:rFonts w:hint="eastAsia" w:ascii="仿宋" w:hAnsi="仿宋" w:eastAsia="仿宋" w:cs="仿宋"/>
          <w:color w:val="000000" w:themeColor="text1"/>
          <w:highlight w:val="none"/>
          <w:u w:val="single"/>
          <w:lang w:eastAsia="zh-CN"/>
          <w14:textFill>
            <w14:solidFill>
              <w14:schemeClr w14:val="tx1"/>
            </w14:solidFill>
          </w14:textFill>
        </w:rPr>
        <w:t>由承包人负责。</w:t>
      </w:r>
    </w:p>
    <w:p w14:paraId="368873A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（7）办理施工所需的有关证件和批准手续的时间：</w:t>
      </w:r>
      <w:r>
        <w:rPr>
          <w:rFonts w:hint="eastAsia" w:ascii="仿宋" w:hAnsi="仿宋" w:eastAsia="仿宋" w:cs="仿宋"/>
          <w:color w:val="000000" w:themeColor="text1"/>
          <w:highlight w:val="none"/>
          <w:u w:val="single"/>
          <w:lang w:eastAsia="zh-CN"/>
          <w14:textFill>
            <w14:solidFill>
              <w14:schemeClr w14:val="tx1"/>
            </w14:solidFill>
          </w14:textFill>
        </w:rPr>
        <w:t>协议书第二条约定的施工所需有关证件和批准手续由承包人负责配合办理。</w:t>
      </w:r>
    </w:p>
    <w:p w14:paraId="2BC99AF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（8）确定水准点与坐标控制点，组织现场交验的时间：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施工开工7天前，具体时间以发包人通知为准。 </w:t>
      </w:r>
    </w:p>
    <w:p w14:paraId="704BED7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29" w:name="_Hlk53308218"/>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9</w:t>
      </w:r>
      <w:r>
        <w:rPr>
          <w:rFonts w:hint="eastAsia" w:ascii="仿宋" w:hAnsi="仿宋" w:eastAsia="仿宋" w:cs="仿宋"/>
          <w:color w:val="000000" w:themeColor="text1"/>
          <w:highlight w:val="none"/>
          <w:lang w:eastAsia="zh-CN"/>
          <w14:textFill>
            <w14:solidFill>
              <w14:schemeClr w14:val="tx1"/>
            </w14:solidFill>
          </w14:textFill>
        </w:rPr>
        <w:t>）协调处理施工场地周围地形关系问题和邻近建筑物等保护工作的约定：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由承包人负责，详见合同专用条款第23.2（15）款。        </w:t>
      </w:r>
    </w:p>
    <w:bookmarkEnd w:id="629"/>
    <w:p w14:paraId="2BE2F83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11</w:t>
      </w:r>
      <w:r>
        <w:rPr>
          <w:rFonts w:hint="eastAsia" w:ascii="仿宋" w:hAnsi="仿宋" w:eastAsia="仿宋" w:cs="仿宋"/>
          <w:color w:val="000000" w:themeColor="text1"/>
          <w:highlight w:val="none"/>
          <w:lang w:eastAsia="zh-CN"/>
          <w14:textFill>
            <w14:solidFill>
              <w14:schemeClr w14:val="tx1"/>
            </w14:solidFill>
          </w14:textFill>
        </w:rPr>
        <w:t>）其他约定：</w:t>
      </w:r>
      <w:r>
        <w:rPr>
          <w:rFonts w:hint="eastAsia" w:ascii="仿宋" w:hAnsi="仿宋" w:eastAsia="仿宋" w:cs="仿宋"/>
          <w:color w:val="000000" w:themeColor="text1"/>
          <w:highlight w:val="none"/>
          <w:u w:val="single"/>
          <w:lang w:eastAsia="zh-CN"/>
          <w14:textFill>
            <w14:solidFill>
              <w14:schemeClr w14:val="tx1"/>
            </w14:solidFill>
          </w14:textFill>
        </w:rPr>
        <w:t>/</w:t>
      </w:r>
    </w:p>
    <w:p w14:paraId="3D58BF6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30" w:name="_Toc15645"/>
      <w:r>
        <w:rPr>
          <w:rFonts w:hint="eastAsia" w:ascii="仿宋" w:hAnsi="仿宋" w:eastAsia="仿宋" w:cs="仿宋"/>
          <w:color w:val="000000" w:themeColor="text1"/>
          <w:highlight w:val="none"/>
          <w:lang w:eastAsia="zh-CN"/>
          <w14:textFill>
            <w14:solidFill>
              <w14:schemeClr w14:val="tx1"/>
            </w14:solidFill>
          </w14:textFill>
        </w:rPr>
        <w:t>22.3 发包人提供施工场地</w:t>
      </w:r>
      <w:bookmarkEnd w:id="630"/>
    </w:p>
    <w:p w14:paraId="10B49EF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提供施工场地的时间：</w:t>
      </w:r>
      <w:r>
        <w:rPr>
          <w:rFonts w:hint="eastAsia" w:ascii="仿宋" w:hAnsi="仿宋" w:eastAsia="仿宋" w:cs="仿宋"/>
          <w:color w:val="000000" w:themeColor="text1"/>
          <w:highlight w:val="none"/>
          <w:u w:val="single"/>
          <w:lang w:eastAsia="zh-CN"/>
          <w14:textFill>
            <w14:solidFill>
              <w14:schemeClr w14:val="tx1"/>
            </w14:solidFill>
          </w14:textFill>
        </w:rPr>
        <w:t>发包人有权按照项目的实际进度和计划分批移交工作面，承包人已充分考虑并承诺承担因场地不能一次性移交而产生的相关费用及对工期的影响。</w:t>
      </w:r>
    </w:p>
    <w:p w14:paraId="7C42AEC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22.4 发包人支付款项</w:t>
      </w:r>
    </w:p>
    <w:p w14:paraId="25374A8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①工程款支付期限</w:t>
      </w:r>
    </w:p>
    <w:p w14:paraId="5533E9A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按通用条款第85.3款、第86.3款、第88.3款等约定期限支付。</w:t>
      </w:r>
    </w:p>
    <w:p w14:paraId="43976AC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详见合同专用条款第85.3款、第86款约定。  </w:t>
      </w:r>
    </w:p>
    <w:p w14:paraId="22E76C1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②工程款支付方式</w:t>
      </w:r>
    </w:p>
    <w:p w14:paraId="2329AEF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按协议书所注明的银行账户转账。</w:t>
      </w:r>
    </w:p>
    <w:p w14:paraId="112A8EC1">
      <w:pPr>
        <w:spacing w:line="360" w:lineRule="auto"/>
        <w:ind w:firstLine="480" w:firstLineChars="200"/>
        <w:rPr>
          <w:rFonts w:ascii="仿宋" w:hAnsi="仿宋" w:eastAsia="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支票支付。</w:t>
      </w:r>
    </w:p>
    <w:p w14:paraId="28B3451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其他方式：</w:t>
      </w:r>
    </w:p>
    <w:p w14:paraId="006EB8C3">
      <w:pPr>
        <w:spacing w:line="360" w:lineRule="auto"/>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双方协商一致，补充第22.8、22.9款：</w:t>
      </w:r>
    </w:p>
    <w:p w14:paraId="32B2BACD">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22.8发包人保留下列权利：</w:t>
      </w:r>
    </w:p>
    <w:p w14:paraId="0DB51987">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1）对本合同工程的设计标准、设计内容进行调整的权利，承包人不得拒绝或另行收</w:t>
      </w:r>
      <w:r>
        <w:rPr>
          <w:rFonts w:hint="eastAsia" w:ascii="仿宋" w:hAnsi="仿宋" w:eastAsia="仿宋"/>
          <w:color w:val="000000" w:themeColor="text1"/>
          <w:highlight w:val="none"/>
          <w:u w:val="single"/>
          <w:lang w:eastAsia="zh-CN"/>
          <w14:textFill>
            <w14:solidFill>
              <w14:schemeClr w14:val="tx1"/>
            </w14:solidFill>
          </w14:textFill>
        </w:rPr>
        <w:t>取设计</w:t>
      </w:r>
      <w:r>
        <w:rPr>
          <w:rFonts w:ascii="仿宋" w:hAnsi="仿宋" w:eastAsia="仿宋"/>
          <w:color w:val="000000" w:themeColor="text1"/>
          <w:highlight w:val="none"/>
          <w:u w:val="single"/>
          <w:lang w:eastAsia="zh-CN"/>
          <w14:textFill>
            <w14:solidFill>
              <w14:schemeClr w14:val="tx1"/>
            </w14:solidFill>
          </w14:textFill>
        </w:rPr>
        <w:t>费，招标文件及本合同另有规定的除外。</w:t>
      </w:r>
    </w:p>
    <w:p w14:paraId="77A100DB">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2）享有承包人设计文件的</w:t>
      </w:r>
      <w:r>
        <w:rPr>
          <w:rFonts w:hint="eastAsia" w:ascii="仿宋" w:hAnsi="仿宋" w:eastAsia="仿宋"/>
          <w:color w:val="000000" w:themeColor="text1"/>
          <w:highlight w:val="none"/>
          <w:u w:val="single"/>
          <w:lang w:eastAsia="zh-CN"/>
          <w14:textFill>
            <w14:solidFill>
              <w14:schemeClr w14:val="tx1"/>
            </w14:solidFill>
          </w14:textFill>
        </w:rPr>
        <w:t>知识产权</w:t>
      </w:r>
      <w:r>
        <w:rPr>
          <w:rFonts w:ascii="仿宋" w:hAnsi="仿宋" w:eastAsia="仿宋"/>
          <w:color w:val="000000" w:themeColor="text1"/>
          <w:highlight w:val="none"/>
          <w:u w:val="single"/>
          <w:lang w:eastAsia="zh-CN"/>
          <w14:textFill>
            <w14:solidFill>
              <w14:schemeClr w14:val="tx1"/>
            </w14:solidFill>
          </w14:textFill>
        </w:rPr>
        <w:t>和全部使用权。</w:t>
      </w:r>
    </w:p>
    <w:p w14:paraId="76AACB94">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3）承包人在设计</w:t>
      </w: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施工进度、设计</w:t>
      </w: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施工质量、指派人员、提供服务、协作等方面义务的履行不符合本合同约定时，发包人有追究违约责任、要求赔偿损失</w:t>
      </w:r>
      <w:r>
        <w:rPr>
          <w:rFonts w:hint="eastAsia" w:ascii="仿宋" w:hAnsi="仿宋" w:eastAsia="仿宋"/>
          <w:color w:val="000000" w:themeColor="text1"/>
          <w:highlight w:val="none"/>
          <w:u w:val="single"/>
          <w:lang w:eastAsia="zh-CN"/>
          <w14:textFill>
            <w14:solidFill>
              <w14:schemeClr w14:val="tx1"/>
            </w14:solidFill>
          </w14:textFill>
        </w:rPr>
        <w:t>直至</w:t>
      </w:r>
      <w:r>
        <w:rPr>
          <w:rFonts w:ascii="仿宋" w:hAnsi="仿宋" w:eastAsia="仿宋"/>
          <w:color w:val="000000" w:themeColor="text1"/>
          <w:highlight w:val="none"/>
          <w:u w:val="single"/>
          <w:lang w:eastAsia="zh-CN"/>
          <w14:textFill>
            <w14:solidFill>
              <w14:schemeClr w14:val="tx1"/>
            </w14:solidFill>
          </w14:textFill>
        </w:rPr>
        <w:t>解除合同等权利；同时，发包人还有权将承包人存在的上述违约事实</w:t>
      </w:r>
      <w:r>
        <w:rPr>
          <w:rFonts w:hint="eastAsia" w:ascii="仿宋" w:hAnsi="仿宋" w:eastAsia="仿宋"/>
          <w:color w:val="000000" w:themeColor="text1"/>
          <w:highlight w:val="none"/>
          <w:u w:val="single"/>
          <w:lang w:eastAsia="zh-CN"/>
          <w14:textFill>
            <w14:solidFill>
              <w14:schemeClr w14:val="tx1"/>
            </w14:solidFill>
          </w14:textFill>
        </w:rPr>
        <w:t>公之于众</w:t>
      </w:r>
      <w:r>
        <w:rPr>
          <w:rFonts w:ascii="仿宋" w:hAnsi="仿宋" w:eastAsia="仿宋"/>
          <w:color w:val="000000" w:themeColor="text1"/>
          <w:highlight w:val="none"/>
          <w:u w:val="single"/>
          <w:lang w:eastAsia="zh-CN"/>
          <w14:textFill>
            <w14:solidFill>
              <w14:schemeClr w14:val="tx1"/>
            </w14:solidFill>
          </w14:textFill>
        </w:rPr>
        <w:t>和向有关部门反映情况。</w:t>
      </w:r>
    </w:p>
    <w:p w14:paraId="1150D24C">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4）发包人有权按国家相关规定聘请施工图设计审查单位，承包人应接受该施工图审查单位按照相关法律、法规和发包人赋予的权利所进行的施工图审查工作。</w:t>
      </w:r>
    </w:p>
    <w:p w14:paraId="64A065E1">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5）对用于本合同工程的材料设备的品质、质量提交质量监督检验机构</w:t>
      </w:r>
      <w:r>
        <w:rPr>
          <w:rFonts w:hint="eastAsia" w:ascii="仿宋" w:hAnsi="仿宋" w:eastAsia="仿宋" w:cs="宋体"/>
          <w:bCs/>
          <w:snapToGrid w:val="0"/>
          <w:color w:val="000000" w:themeColor="text1"/>
          <w:highlight w:val="none"/>
          <w:u w:val="single"/>
          <w:lang w:eastAsia="zh-CN"/>
          <w14:textFill>
            <w14:solidFill>
              <w14:schemeClr w14:val="tx1"/>
            </w14:solidFill>
          </w14:textFill>
        </w:rPr>
        <w:t>（包括本合同约定的质量监督检验机构和法律法规规定的质量监督检验机构）</w:t>
      </w:r>
      <w:r>
        <w:rPr>
          <w:rFonts w:ascii="仿宋" w:hAnsi="仿宋" w:eastAsia="仿宋"/>
          <w:color w:val="000000" w:themeColor="text1"/>
          <w:highlight w:val="none"/>
          <w:u w:val="single"/>
          <w:lang w:eastAsia="zh-CN"/>
          <w14:textFill>
            <w14:solidFill>
              <w14:schemeClr w14:val="tx1"/>
            </w14:solidFill>
          </w14:textFill>
        </w:rPr>
        <w:t>审查确认的权利。</w:t>
      </w:r>
    </w:p>
    <w:p w14:paraId="78715262">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6）依据合同的约定对合同承包范围及内容进行调整（包括增加或减少部分工程），并保留对主要材料设备的分类及</w:t>
      </w:r>
      <w:r>
        <w:rPr>
          <w:rFonts w:hint="eastAsia" w:ascii="仿宋" w:hAnsi="仿宋" w:eastAsia="仿宋"/>
          <w:color w:val="000000" w:themeColor="text1"/>
          <w:highlight w:val="none"/>
          <w:u w:val="single"/>
          <w:lang w:eastAsia="zh-CN"/>
          <w14:textFill>
            <w14:solidFill>
              <w14:schemeClr w14:val="tx1"/>
            </w14:solidFill>
          </w14:textFill>
        </w:rPr>
        <w:t>集中采购</w:t>
      </w:r>
      <w:r>
        <w:rPr>
          <w:rFonts w:ascii="仿宋" w:hAnsi="仿宋" w:eastAsia="仿宋"/>
          <w:color w:val="000000" w:themeColor="text1"/>
          <w:highlight w:val="none"/>
          <w:u w:val="single"/>
          <w:lang w:eastAsia="zh-CN"/>
          <w14:textFill>
            <w14:solidFill>
              <w14:schemeClr w14:val="tx1"/>
            </w14:solidFill>
          </w14:textFill>
        </w:rPr>
        <w:t>进行调整的权利，承包人不得拒绝或要求</w:t>
      </w:r>
      <w:r>
        <w:rPr>
          <w:rFonts w:hint="eastAsia" w:ascii="仿宋" w:hAnsi="仿宋" w:eastAsia="仿宋"/>
          <w:color w:val="000000" w:themeColor="text1"/>
          <w:highlight w:val="none"/>
          <w:u w:val="single"/>
          <w:lang w:eastAsia="zh-CN"/>
          <w14:textFill>
            <w14:solidFill>
              <w14:schemeClr w14:val="tx1"/>
            </w14:solidFill>
          </w14:textFill>
        </w:rPr>
        <w:t>增加费用</w:t>
      </w:r>
      <w:r>
        <w:rPr>
          <w:rFonts w:ascii="仿宋" w:hAnsi="仿宋" w:eastAsia="仿宋"/>
          <w:color w:val="000000" w:themeColor="text1"/>
          <w:highlight w:val="none"/>
          <w:u w:val="single"/>
          <w:lang w:eastAsia="zh-CN"/>
          <w14:textFill>
            <w14:solidFill>
              <w14:schemeClr w14:val="tx1"/>
            </w14:solidFill>
          </w14:textFill>
        </w:rPr>
        <w:t>，招标文件及本合同另有规定的除外。</w:t>
      </w:r>
    </w:p>
    <w:p w14:paraId="2E727E2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w:t>
      </w:r>
      <w:r>
        <w:rPr>
          <w:rFonts w:ascii="仿宋" w:hAnsi="仿宋" w:eastAsia="仿宋"/>
          <w:color w:val="000000" w:themeColor="text1"/>
          <w:highlight w:val="none"/>
          <w:u w:val="single"/>
          <w:lang w:eastAsia="zh-CN"/>
          <w14:textFill>
            <w14:solidFill>
              <w14:schemeClr w14:val="tx1"/>
            </w14:solidFill>
          </w14:textFill>
        </w:rPr>
        <w:t>7）发包人有权对项目的全过程进行审计或审计调查，并提出审计意见和建议；承包人应</w:t>
      </w:r>
      <w:r>
        <w:rPr>
          <w:rFonts w:hint="eastAsia" w:ascii="仿宋" w:hAnsi="仿宋" w:eastAsia="仿宋"/>
          <w:color w:val="000000" w:themeColor="text1"/>
          <w:highlight w:val="none"/>
          <w:u w:val="single"/>
          <w:lang w:eastAsia="zh-CN"/>
          <w14:textFill>
            <w14:solidFill>
              <w14:schemeClr w14:val="tx1"/>
            </w14:solidFill>
          </w14:textFill>
        </w:rPr>
        <w:t>无条件</w:t>
      </w:r>
      <w:r>
        <w:rPr>
          <w:rFonts w:ascii="仿宋" w:hAnsi="仿宋" w:eastAsia="仿宋"/>
          <w:color w:val="000000" w:themeColor="text1"/>
          <w:highlight w:val="none"/>
          <w:u w:val="single"/>
          <w:lang w:eastAsia="zh-CN"/>
          <w14:textFill>
            <w14:solidFill>
              <w14:schemeClr w14:val="tx1"/>
            </w14:solidFill>
          </w14:textFill>
        </w:rPr>
        <w:t>配合并根据意见和建议作出相应的调整。</w:t>
      </w:r>
    </w:p>
    <w:p w14:paraId="795E5E14">
      <w:pPr>
        <w:spacing w:line="360" w:lineRule="auto"/>
        <w:ind w:firstLine="566" w:firstLineChars="236"/>
        <w:rPr>
          <w:rFonts w:ascii="仿宋" w:hAnsi="仿宋" w:eastAsia="仿宋"/>
          <w:color w:val="000000" w:themeColor="text1"/>
          <w:highlight w:val="none"/>
          <w:u w:val="single"/>
          <w:lang w:eastAsia="zh-CN"/>
          <w14:textFill>
            <w14:solidFill>
              <w14:schemeClr w14:val="tx1"/>
            </w14:solidFill>
          </w14:textFill>
        </w:rPr>
      </w:pPr>
      <w:bookmarkStart w:id="631" w:name="_Toc104979608"/>
      <w:r>
        <w:rPr>
          <w:rFonts w:ascii="仿宋" w:hAnsi="仿宋" w:eastAsia="仿宋"/>
          <w:color w:val="000000" w:themeColor="text1"/>
          <w:highlight w:val="none"/>
          <w:u w:val="single"/>
          <w:lang w:eastAsia="zh-CN"/>
          <w14:textFill>
            <w14:solidFill>
              <w14:schemeClr w14:val="tx1"/>
            </w14:solidFill>
          </w14:textFill>
        </w:rPr>
        <w:t>22.9综合考评</w:t>
      </w:r>
      <w:bookmarkEnd w:id="631"/>
    </w:p>
    <w:p w14:paraId="344C2325">
      <w:pPr>
        <w:autoSpaceDE w:val="0"/>
        <w:autoSpaceDN w:val="0"/>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鉴于本工程的重要性，为确保本合同工程质量，发包人将对参与本合同项目建设的勘察、设计、施工等单位进行综合考评，并根据综合考评的结果按照相关规定执行。</w:t>
      </w:r>
    </w:p>
    <w:p w14:paraId="67ED2246">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32" w:name="_Toc21907"/>
      <w:bookmarkStart w:id="633" w:name="_Toc14973156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23.  承包人</w:t>
      </w:r>
      <w:bookmarkEnd w:id="632"/>
      <w:bookmarkEnd w:id="633"/>
    </w:p>
    <w:p w14:paraId="0F48BD7C">
      <w:pPr>
        <w:spacing w:line="360" w:lineRule="auto"/>
        <w:ind w:firstLine="480" w:firstLineChars="200"/>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23.1 遵守法律</w:t>
      </w:r>
    </w:p>
    <w:p w14:paraId="749A00A8">
      <w:pPr>
        <w:widowControl w:val="0"/>
        <w:spacing w:line="360" w:lineRule="auto"/>
        <w:ind w:firstLine="480" w:firstLineChars="20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拒绝投标时限</w:t>
      </w:r>
      <w:r>
        <w:rPr>
          <w:rFonts w:hint="eastAsia" w:ascii="仿宋" w:hAnsi="仿宋" w:eastAsia="仿宋" w:cs="仿宋"/>
          <w:color w:val="000000" w:themeColor="text1"/>
          <w:highlight w:val="none"/>
          <w:u w:val="single"/>
          <w:lang w:eastAsia="zh-CN"/>
          <w14:textFill>
            <w14:solidFill>
              <w14:schemeClr w14:val="tx1"/>
            </w14:solidFill>
          </w14:textFill>
        </w:rPr>
        <w:t>自承包人发出通知之日起一年内。</w:t>
      </w:r>
    </w:p>
    <w:p w14:paraId="5318193A">
      <w:pPr>
        <w:spacing w:line="360" w:lineRule="auto"/>
        <w:ind w:left="240" w:leftChars="100" w:firstLine="240"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23.2 承包人工作</w:t>
      </w:r>
    </w:p>
    <w:p w14:paraId="5E8CAAFF">
      <w:pPr>
        <w:spacing w:line="360" w:lineRule="auto"/>
        <w:ind w:left="240" w:leftChars="100" w:firstLine="240"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承包人完成下列工作的约定：</w:t>
      </w:r>
    </w:p>
    <w:p w14:paraId="5588EC2D">
      <w:pPr>
        <w:spacing w:line="360" w:lineRule="auto"/>
        <w:ind w:left="240" w:leftChars="100" w:firstLine="240" w:firstLineChars="1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（1）除法律另有规定外，由承包人办理的许可、批准或备案：</w:t>
      </w:r>
      <w:r>
        <w:rPr>
          <w:rFonts w:hint="eastAsia" w:ascii="仿宋" w:hAnsi="仿宋" w:eastAsia="仿宋" w:cs="仿宋"/>
          <w:color w:val="000000" w:themeColor="text1"/>
          <w:highlight w:val="none"/>
          <w:u w:val="single"/>
          <w:lang w:eastAsia="zh-CN"/>
          <w14:textFill>
            <w14:solidFill>
              <w14:schemeClr w14:val="tx1"/>
            </w14:solidFill>
          </w14:textFill>
        </w:rPr>
        <w:t xml:space="preserve"> 见协议书第二条。</w:t>
      </w:r>
    </w:p>
    <w:p w14:paraId="00D957A3">
      <w:pPr>
        <w:spacing w:line="360" w:lineRule="auto"/>
        <w:ind w:left="240" w:leftChars="100" w:firstLine="240" w:firstLineChars="1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 提交支付申请和工程款额报告期限</w:t>
      </w:r>
    </w:p>
    <w:p w14:paraId="2D03C12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 xml:space="preserve"> 按通用条款第83.1款等约定期限提交。</w:t>
      </w:r>
    </w:p>
    <w:p w14:paraId="04161D8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5F77D55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向发包人提供施工场地办公和生活的房屋及设施的数量和时间等要求：需满足发包人委托的第三方单位（检测监测、造价咨询、第三方咨询等）办公需求，现场办公区布置方案需经过发包人批准同意后方可实施，</w:t>
      </w:r>
      <w:r>
        <w:rPr>
          <w:rFonts w:hint="eastAsia" w:ascii="仿宋" w:hAnsi="仿宋" w:eastAsia="仿宋" w:cs="仿宋"/>
          <w:color w:val="000000" w:themeColor="text1"/>
          <w:highlight w:val="none"/>
          <w:u w:val="single"/>
          <w:lang w:eastAsia="zh-CN"/>
          <w14:textFill>
            <w14:solidFill>
              <w14:schemeClr w14:val="tx1"/>
            </w14:solidFill>
          </w14:textFill>
        </w:rPr>
        <w:t xml:space="preserve">以发包人批准的临时设施施工方案为准。 </w:t>
      </w:r>
    </w:p>
    <w:p w14:paraId="1341490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（10）办理施工场地交通、环境保护、施工噪声、绿色施工安全防护等手续的时间：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（以监理工程师通知为准。） </w:t>
      </w:r>
    </w:p>
    <w:p w14:paraId="4A9AA96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（11）做好施工场地地下管线和邻近建筑物、构筑物（包括文物保护建筑）、古树名木保护工作的约定：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由承包人负责，相关费用已含在合同价款中。 </w:t>
      </w:r>
    </w:p>
    <w:p w14:paraId="2A614F1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（12）保证施工场地的清洁和做好交工前施工现场清理工作的约定：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承包人负责交工前施工现场清理（次数以发包人要求为准），相关费用已含在合同价款中。 </w:t>
      </w:r>
    </w:p>
    <w:p w14:paraId="72244FE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（13）提交竣工验收申请报告和竣工结算文件</w:t>
      </w:r>
    </w:p>
    <w:p w14:paraId="7619C78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按通用条款第64.2款、第87.2款约定提交。</w:t>
      </w:r>
    </w:p>
    <w:p w14:paraId="5609517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3E8691E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双方协商一致，补充以下条款：</w:t>
      </w:r>
    </w:p>
    <w:p w14:paraId="4B981EB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15）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问题。</w:t>
      </w:r>
    </w:p>
    <w:p w14:paraId="25DE22A0">
      <w:pPr>
        <w:spacing w:line="360" w:lineRule="auto"/>
        <w:ind w:right="11" w:firstLine="460" w:firstLineChars="192"/>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（16）</w:t>
      </w:r>
      <w:r>
        <w:rPr>
          <w:rFonts w:ascii="仿宋" w:hAnsi="仿宋" w:eastAsia="仿宋" w:cs="宋体"/>
          <w:bCs/>
          <w:snapToGrid w:val="0"/>
          <w:color w:val="000000" w:themeColor="text1"/>
          <w:highlight w:val="none"/>
          <w:lang w:eastAsia="zh-CN"/>
          <w14:textFill>
            <w14:solidFill>
              <w14:schemeClr w14:val="tx1"/>
            </w14:solidFill>
          </w14:textFill>
        </w:rPr>
        <w:t>根据工程需要，承包人提供和维修白天或夜间施工使用的照明、围栏设施，并负责安全保卫。若承包人未履行上述义务造成工程、财产、人身损害等，由承包人承担责任及因此所发生的一切费用。</w:t>
      </w:r>
    </w:p>
    <w:p w14:paraId="55E3220D">
      <w:pPr>
        <w:spacing w:line="360" w:lineRule="auto"/>
        <w:ind w:right="11" w:firstLine="460" w:firstLineChars="192"/>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7</w:t>
      </w:r>
      <w:r>
        <w:rPr>
          <w:rFonts w:ascii="仿宋" w:hAnsi="仿宋" w:eastAsia="仿宋" w:cs="宋体"/>
          <w:bCs/>
          <w:snapToGrid w:val="0"/>
          <w:color w:val="000000" w:themeColor="text1"/>
          <w:highlight w:val="none"/>
          <w:lang w:eastAsia="zh-CN"/>
          <w14:textFill>
            <w14:solidFill>
              <w14:schemeClr w14:val="tx1"/>
            </w14:solidFill>
          </w14:textFill>
        </w:rPr>
        <w:t>）承包人应</w:t>
      </w:r>
      <w:r>
        <w:rPr>
          <w:rFonts w:hint="eastAsia" w:ascii="仿宋" w:hAnsi="仿宋" w:eastAsia="仿宋" w:cs="宋体"/>
          <w:snapToGrid w:val="0"/>
          <w:color w:val="000000" w:themeColor="text1"/>
          <w:highlight w:val="none"/>
          <w:lang w:eastAsia="zh-CN"/>
          <w14:textFill>
            <w14:solidFill>
              <w14:schemeClr w14:val="tx1"/>
            </w14:solidFill>
          </w14:textFill>
        </w:rPr>
        <w:t>遵守政府有关主管部门对施工场地交通、余泥排放、污水排放、节假日施工、夜间施工噪音以及环境保护和安全生产等的管理规定，</w:t>
      </w:r>
      <w:r>
        <w:rPr>
          <w:rFonts w:hint="eastAsia" w:ascii="仿宋" w:hAnsi="仿宋" w:eastAsia="仿宋" w:cs="宋体"/>
          <w:bCs/>
          <w:snapToGrid w:val="0"/>
          <w:color w:val="000000" w:themeColor="text1"/>
          <w:highlight w:val="none"/>
          <w:lang w:eastAsia="zh-CN"/>
          <w14:textFill>
            <w14:solidFill>
              <w14:schemeClr w14:val="tx1"/>
            </w14:solidFill>
          </w14:textFill>
        </w:rPr>
        <w:t>按工程所在地政府主管部门的规定办理并承担由此发生的费用，并在开工之日起</w:t>
      </w:r>
      <w:r>
        <w:rPr>
          <w:rFonts w:ascii="仿宋" w:hAnsi="仿宋" w:eastAsia="仿宋" w:cs="宋体"/>
          <w:bCs/>
          <w:snapToGrid w:val="0"/>
          <w:color w:val="000000" w:themeColor="text1"/>
          <w:highlight w:val="none"/>
          <w:lang w:eastAsia="zh-CN"/>
          <w14:textFill>
            <w14:solidFill>
              <w14:schemeClr w14:val="tx1"/>
            </w14:solidFill>
          </w14:textFill>
        </w:rPr>
        <w:t>2个月内以书面形式知会发包人。</w:t>
      </w:r>
    </w:p>
    <w:p w14:paraId="059E22F8">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8</w:t>
      </w:r>
      <w:r>
        <w:rPr>
          <w:rFonts w:ascii="仿宋" w:hAnsi="仿宋" w:eastAsia="仿宋" w:cs="宋体"/>
          <w:bCs/>
          <w:snapToGrid w:val="0"/>
          <w:color w:val="000000" w:themeColor="text1"/>
          <w:highlight w:val="none"/>
          <w:lang w:eastAsia="zh-CN"/>
          <w14:textFill>
            <w14:solidFill>
              <w14:schemeClr w14:val="tx1"/>
            </w14:solidFill>
          </w14:textFill>
        </w:rPr>
        <w:t>）未移交后续施工单位或发包人使用前，对已完工工程的保护工作及费用均由承包人负责，发生损坏由承包人自费修复。</w:t>
      </w:r>
    </w:p>
    <w:p w14:paraId="1EB03A32">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9</w:t>
      </w:r>
      <w:r>
        <w:rPr>
          <w:rFonts w:ascii="仿宋" w:hAnsi="仿宋" w:eastAsia="仿宋" w:cs="宋体"/>
          <w:bCs/>
          <w:snapToGrid w:val="0"/>
          <w:color w:val="000000" w:themeColor="text1"/>
          <w:highlight w:val="none"/>
          <w:lang w:eastAsia="zh-CN"/>
          <w14:textFill>
            <w14:solidFill>
              <w14:schemeClr w14:val="tx1"/>
            </w14:solidFill>
          </w14:textFill>
        </w:rPr>
        <w:t>）承包人应对施工场地及周围的</w:t>
      </w:r>
      <w:r>
        <w:rPr>
          <w:rFonts w:hint="eastAsia" w:ascii="仿宋" w:hAnsi="仿宋" w:eastAsia="仿宋" w:cs="宋体"/>
          <w:bCs/>
          <w:snapToGrid w:val="0"/>
          <w:color w:val="000000" w:themeColor="text1"/>
          <w:highlight w:val="none"/>
          <w:lang w:eastAsia="zh-CN"/>
          <w14:textFill>
            <w14:solidFill>
              <w14:schemeClr w14:val="tx1"/>
            </w14:solidFill>
          </w14:textFill>
        </w:rPr>
        <w:t>城际地铁、燃油管道、高压线网、</w:t>
      </w:r>
      <w:r>
        <w:rPr>
          <w:rFonts w:ascii="仿宋" w:hAnsi="仿宋" w:eastAsia="仿宋" w:cs="宋体"/>
          <w:bCs/>
          <w:snapToGrid w:val="0"/>
          <w:color w:val="000000" w:themeColor="text1"/>
          <w:highlight w:val="none"/>
          <w:lang w:eastAsia="zh-CN"/>
          <w14:textFill>
            <w14:solidFill>
              <w14:schemeClr w14:val="tx1"/>
            </w14:solidFill>
          </w14:textFill>
        </w:rPr>
        <w:t>地下管线、建筑物、构筑物（含文物保护建筑）、古树名木之状况进行勘察，根据勘察结果确定具体的保护措施并承担有关费用。</w:t>
      </w:r>
    </w:p>
    <w:p w14:paraId="69B5492F">
      <w:pPr>
        <w:spacing w:line="360" w:lineRule="auto"/>
        <w:ind w:right="11"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6AC572AD">
      <w:pPr>
        <w:spacing w:line="360" w:lineRule="auto"/>
        <w:ind w:right="11"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（20</w:t>
      </w:r>
      <w:r>
        <w:rPr>
          <w:rFonts w:ascii="仿宋" w:hAnsi="仿宋" w:eastAsia="仿宋" w:cs="宋体"/>
          <w:bCs/>
          <w:snapToGrid w:val="0"/>
          <w:color w:val="000000" w:themeColor="text1"/>
          <w:highlight w:val="none"/>
          <w:lang w:eastAsia="zh-CN"/>
          <w14:textFill>
            <w14:solidFill>
              <w14:schemeClr w14:val="tx1"/>
            </w14:solidFill>
          </w14:textFill>
        </w:rPr>
        <w:t>）</w:t>
      </w:r>
      <w:r>
        <w:rPr>
          <w:rFonts w:hint="eastAsia" w:ascii="仿宋" w:hAnsi="仿宋" w:eastAsia="仿宋" w:cs="宋体"/>
          <w:bCs/>
          <w:snapToGrid w:val="0"/>
          <w:color w:val="000000" w:themeColor="text1"/>
          <w:highlight w:val="none"/>
          <w:lang w:eastAsia="zh-CN"/>
          <w14:textFill>
            <w14:solidFill>
              <w14:schemeClr w14:val="tx1"/>
            </w14:solidFill>
          </w14:textFill>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款第95.3款的有关约定承担违约责任。</w:t>
      </w:r>
    </w:p>
    <w:p w14:paraId="33CD588D">
      <w:pPr>
        <w:spacing w:line="360" w:lineRule="auto"/>
        <w:ind w:right="11"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color w:val="000000" w:themeColor="text1"/>
          <w:highlight w:val="none"/>
          <w:lang w:eastAsia="zh-CN"/>
          <w14:textFill>
            <w14:solidFill>
              <w14:schemeClr w14:val="tx1"/>
            </w14:solidFill>
          </w14:textFill>
        </w:rPr>
        <w:t>10天内完成对施工场地进行全面清理。</w:t>
      </w:r>
    </w:p>
    <w:p w14:paraId="67CADCE1">
      <w:pPr>
        <w:spacing w:line="360" w:lineRule="auto"/>
        <w:ind w:right="11" w:firstLine="460" w:firstLineChars="192"/>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2</w:t>
      </w:r>
      <w:r>
        <w:rPr>
          <w:rFonts w:hint="eastAsia" w:ascii="仿宋" w:hAnsi="仿宋" w:eastAsia="仿宋" w:cs="宋体"/>
          <w:bCs/>
          <w:snapToGrid w:val="0"/>
          <w:color w:val="000000" w:themeColor="text1"/>
          <w:highlight w:val="none"/>
          <w:lang w:eastAsia="zh-CN"/>
          <w14:textFill>
            <w14:solidFill>
              <w14:schemeClr w14:val="tx1"/>
            </w14:solidFill>
          </w14:textFill>
        </w:rPr>
        <w:t>1）承包人应做的其他工作</w:t>
      </w:r>
    </w:p>
    <w:p w14:paraId="6C88A4C3">
      <w:pPr>
        <w:spacing w:line="360" w:lineRule="auto"/>
        <w:ind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1）进场后定期按审定格式向工程师申报人材机投入量及实物工程量完成量，以工程师审定量作为工程款（进度款）支付的依据。</w:t>
      </w:r>
    </w:p>
    <w:p w14:paraId="5125C4CD">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2）</w:t>
      </w:r>
      <w:r>
        <w:rPr>
          <w:rFonts w:hint="eastAsia" w:ascii="仿宋" w:hAnsi="仿宋" w:eastAsia="仿宋" w:cs="宋体"/>
          <w:snapToGrid w:val="0"/>
          <w:color w:val="000000" w:themeColor="text1"/>
          <w:highlight w:val="none"/>
          <w:lang w:eastAsia="zh-CN"/>
          <w14:textFill>
            <w14:solidFill>
              <w14:schemeClr w14:val="tx1"/>
            </w14:solidFill>
          </w14:textFill>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color w:val="000000" w:themeColor="text1"/>
          <w:highlight w:val="none"/>
          <w:lang w:eastAsia="zh-CN"/>
          <w14:textFill>
            <w14:solidFill>
              <w14:schemeClr w14:val="tx1"/>
            </w14:solidFill>
          </w14:textFill>
        </w:rPr>
        <w:t>专用条款</w:t>
      </w:r>
      <w:r>
        <w:rPr>
          <w:rFonts w:hint="eastAsia" w:ascii="仿宋" w:hAnsi="仿宋" w:eastAsia="仿宋" w:cs="宋体"/>
          <w:snapToGrid w:val="0"/>
          <w:color w:val="000000" w:themeColor="text1"/>
          <w:highlight w:val="none"/>
          <w:lang w:eastAsia="zh-CN"/>
          <w14:textFill>
            <w14:solidFill>
              <w14:schemeClr w14:val="tx1"/>
            </w14:solidFill>
          </w14:textFill>
        </w:rPr>
        <w:t>第</w:t>
      </w:r>
      <w:r>
        <w:rPr>
          <w:rFonts w:ascii="仿宋" w:hAnsi="仿宋" w:eastAsia="仿宋" w:cs="宋体"/>
          <w:snapToGrid w:val="0"/>
          <w:color w:val="000000" w:themeColor="text1"/>
          <w:highlight w:val="none"/>
          <w:lang w:eastAsia="zh-CN"/>
          <w14:textFill>
            <w14:solidFill>
              <w14:schemeClr w14:val="tx1"/>
            </w14:solidFill>
          </w14:textFill>
        </w:rPr>
        <w:t>95.</w:t>
      </w:r>
      <w:r>
        <w:rPr>
          <w:rFonts w:hint="eastAsia" w:ascii="仿宋" w:hAnsi="仿宋" w:eastAsia="仿宋" w:cs="宋体"/>
          <w:snapToGrid w:val="0"/>
          <w:color w:val="000000" w:themeColor="text1"/>
          <w:highlight w:val="none"/>
          <w:lang w:eastAsia="zh-CN"/>
          <w14:textFill>
            <w14:solidFill>
              <w14:schemeClr w14:val="tx1"/>
            </w14:solidFill>
          </w14:textFill>
        </w:rPr>
        <w:t>2（</w:t>
      </w:r>
      <w:r>
        <w:rPr>
          <w:rFonts w:ascii="仿宋" w:hAnsi="仿宋" w:eastAsia="仿宋" w:cs="宋体"/>
          <w:snapToGrid w:val="0"/>
          <w:color w:val="000000" w:themeColor="text1"/>
          <w:highlight w:val="none"/>
          <w:lang w:eastAsia="zh-CN"/>
          <w14:textFill>
            <w14:solidFill>
              <w14:schemeClr w14:val="tx1"/>
            </w14:solidFill>
          </w14:textFill>
        </w:rPr>
        <w:t>3）款的约定承担违反投标承诺的违约责任。</w:t>
      </w:r>
    </w:p>
    <w:p w14:paraId="30FBBEF8">
      <w:pPr>
        <w:spacing w:line="360" w:lineRule="auto"/>
        <w:ind w:right="11"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施工过程中，承包人因特殊原因需变更资源投入计划或者对已投入的资源进行调整的，应当提前</w:t>
      </w:r>
      <w:r>
        <w:rPr>
          <w:rFonts w:ascii="仿宋" w:hAnsi="仿宋" w:eastAsia="仿宋" w:cs="宋体"/>
          <w:bCs/>
          <w:snapToGrid w:val="0"/>
          <w:color w:val="000000" w:themeColor="text1"/>
          <w:highlight w:val="none"/>
          <w:lang w:eastAsia="zh-CN"/>
          <w14:textFill>
            <w14:solidFill>
              <w14:schemeClr w14:val="tx1"/>
            </w14:solidFill>
          </w14:textFill>
        </w:rPr>
        <w:t>7天提出书面申请，报总监理工程师和发包人批准。</w:t>
      </w:r>
      <w:r>
        <w:rPr>
          <w:rFonts w:hint="eastAsia" w:ascii="仿宋" w:hAnsi="仿宋" w:eastAsia="仿宋" w:cs="宋体"/>
          <w:snapToGrid w:val="0"/>
          <w:color w:val="000000" w:themeColor="text1"/>
          <w:highlight w:val="none"/>
          <w:lang w:eastAsia="zh-CN"/>
          <w14:textFill>
            <w14:solidFill>
              <w14:schemeClr w14:val="tx1"/>
            </w14:solidFill>
          </w14:textFill>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color w:val="000000" w:themeColor="text1"/>
          <w:highlight w:val="none"/>
          <w:lang w:eastAsia="zh-CN"/>
          <w14:textFill>
            <w14:solidFill>
              <w14:schemeClr w14:val="tx1"/>
            </w14:solidFill>
          </w14:textFill>
        </w:rPr>
        <w:t>未经发包人许可，承包人开工后已进场的机械设备在</w:t>
      </w:r>
      <w:r>
        <w:rPr>
          <w:rFonts w:hint="eastAsia" w:ascii="仿宋" w:hAnsi="仿宋" w:eastAsia="仿宋" w:cs="宋体"/>
          <w:snapToGrid w:val="0"/>
          <w:color w:val="000000" w:themeColor="text1"/>
          <w:highlight w:val="none"/>
          <w:lang w:eastAsia="zh-CN"/>
          <w14:textFill>
            <w14:solidFill>
              <w14:schemeClr w14:val="tx1"/>
            </w14:solidFill>
          </w14:textFill>
        </w:rPr>
        <w:t>任何情况下都</w:t>
      </w:r>
      <w:r>
        <w:rPr>
          <w:rFonts w:hint="eastAsia" w:ascii="仿宋" w:hAnsi="仿宋" w:eastAsia="仿宋" w:cs="宋体"/>
          <w:bCs/>
          <w:snapToGrid w:val="0"/>
          <w:color w:val="000000" w:themeColor="text1"/>
          <w:highlight w:val="none"/>
          <w:lang w:eastAsia="zh-CN"/>
          <w14:textFill>
            <w14:solidFill>
              <w14:schemeClr w14:val="tx1"/>
            </w14:solidFill>
          </w14:textFill>
        </w:rPr>
        <w:t>不得在计划使用期间撤出现场。若施工机械、设备在施工过程中发生损坏，承包人必须在</w:t>
      </w:r>
      <w:r>
        <w:rPr>
          <w:rFonts w:ascii="仿宋" w:hAnsi="仿宋" w:eastAsia="仿宋" w:cs="宋体"/>
          <w:bCs/>
          <w:snapToGrid w:val="0"/>
          <w:color w:val="000000" w:themeColor="text1"/>
          <w:highlight w:val="none"/>
          <w:lang w:eastAsia="zh-CN"/>
          <w14:textFill>
            <w14:solidFill>
              <w14:schemeClr w14:val="tx1"/>
            </w14:solidFill>
          </w14:textFill>
        </w:rPr>
        <w:t>3天内完成修复或更换。</w:t>
      </w:r>
    </w:p>
    <w:p w14:paraId="44DA0969">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因设计变更、施工现场情况变化造成工程内容、工程量变化，须调整机械、设备的规格、数量的，承包人须在变更或变化确定之日起</w:t>
      </w:r>
      <w:r>
        <w:rPr>
          <w:rFonts w:ascii="仿宋" w:hAnsi="仿宋" w:eastAsia="仿宋" w:cs="宋体"/>
          <w:snapToGrid w:val="0"/>
          <w:color w:val="000000" w:themeColor="text1"/>
          <w:highlight w:val="none"/>
          <w:lang w:eastAsia="zh-CN"/>
          <w14:textFill>
            <w14:solidFill>
              <w14:schemeClr w14:val="tx1"/>
            </w14:solidFill>
          </w14:textFill>
        </w:rPr>
        <w:t>3天内，提出完整的更新施工方案和资源投入计划，报总监理工程师和发包人批准后实施。</w:t>
      </w:r>
    </w:p>
    <w:p w14:paraId="7BA7C866">
      <w:pPr>
        <w:spacing w:line="360" w:lineRule="auto"/>
        <w:ind w:right="11"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3）对</w:t>
      </w:r>
      <w:r>
        <w:rPr>
          <w:rFonts w:hint="eastAsia" w:ascii="仿宋" w:hAnsi="仿宋" w:eastAsia="仿宋" w:cs="宋体"/>
          <w:bCs/>
          <w:snapToGrid w:val="0"/>
          <w:color w:val="000000" w:themeColor="text1"/>
          <w:highlight w:val="none"/>
          <w:lang w:eastAsia="zh-CN"/>
          <w14:textFill>
            <w14:solidFill>
              <w14:schemeClr w14:val="tx1"/>
            </w14:solidFill>
          </w14:textFill>
        </w:rPr>
        <w:t>前期成果文件</w:t>
      </w:r>
      <w:r>
        <w:rPr>
          <w:rFonts w:ascii="仿宋" w:hAnsi="仿宋" w:eastAsia="仿宋" w:cs="宋体"/>
          <w:bCs/>
          <w:snapToGrid w:val="0"/>
          <w:color w:val="000000" w:themeColor="text1"/>
          <w:highlight w:val="none"/>
          <w:lang w:eastAsia="zh-CN"/>
          <w14:textFill>
            <w14:solidFill>
              <w14:schemeClr w14:val="tx1"/>
            </w14:solidFill>
          </w14:textFill>
        </w:rPr>
        <w:t>、技术资料认真地复核和检查，有预见性地</w:t>
      </w:r>
      <w:bookmarkStart w:id="634" w:name="_Toc519583858"/>
      <w:bookmarkStart w:id="635" w:name="_Toc535252420"/>
      <w:r>
        <w:rPr>
          <w:rFonts w:hint="eastAsia" w:ascii="仿宋" w:hAnsi="仿宋" w:eastAsia="仿宋" w:cs="宋体"/>
          <w:bCs/>
          <w:snapToGrid w:val="0"/>
          <w:color w:val="000000" w:themeColor="text1"/>
          <w:highlight w:val="none"/>
          <w:lang w:eastAsia="zh-CN"/>
          <w14:textFill>
            <w14:solidFill>
              <w14:schemeClr w14:val="tx1"/>
            </w14:solidFill>
          </w14:textFill>
        </w:rPr>
        <w:t>发现</w:t>
      </w:r>
      <w:bookmarkEnd w:id="634"/>
      <w:bookmarkEnd w:id="635"/>
      <w:r>
        <w:rPr>
          <w:rFonts w:hint="eastAsia" w:ascii="仿宋" w:hAnsi="仿宋" w:eastAsia="仿宋" w:cs="宋体"/>
          <w:bCs/>
          <w:snapToGrid w:val="0"/>
          <w:color w:val="000000" w:themeColor="text1"/>
          <w:highlight w:val="none"/>
          <w:lang w:eastAsia="zh-CN"/>
          <w14:textFill>
            <w14:solidFill>
              <w14:schemeClr w14:val="tx1"/>
            </w14:solidFill>
          </w14:textFill>
        </w:rPr>
        <w:t>和指正设计缺陷和错误，应提出能实质性地节约资金和缩短工期的建议和措施。</w:t>
      </w:r>
    </w:p>
    <w:p w14:paraId="6EBFE74A">
      <w:pPr>
        <w:spacing w:line="360" w:lineRule="auto"/>
        <w:ind w:right="11" w:firstLine="566" w:firstLineChars="236"/>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4）承包人应当清楚地预计到施工期间对外界可能产生的不可避免的干扰，并保证主动努力减少这些干扰对外界的影响，积极主动与外界进行协调。</w:t>
      </w:r>
    </w:p>
    <w:p w14:paraId="5318F3FF">
      <w:pPr>
        <w:spacing w:line="360" w:lineRule="auto"/>
        <w:ind w:right="11" w:firstLine="566" w:firstLineChars="236"/>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5）承包人应努力创建节能减排和节约型工地。</w:t>
      </w:r>
    </w:p>
    <w:p w14:paraId="7F55700C">
      <w:pPr>
        <w:spacing w:line="360" w:lineRule="auto"/>
        <w:ind w:right="11" w:firstLine="566" w:firstLineChars="236"/>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6）承包人负责地磅基础施工及安装地磅，开工前完成，相关费用含在合同价款中，不单独计列。</w:t>
      </w:r>
    </w:p>
    <w:p w14:paraId="0BB88A94">
      <w:pPr>
        <w:spacing w:line="360" w:lineRule="auto"/>
        <w:ind w:right="11" w:firstLine="566" w:firstLineChars="236"/>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7）承包人无条件配合工程检测（详见</w:t>
      </w:r>
      <w:r>
        <w:rPr>
          <w:rFonts w:hint="eastAsia" w:ascii="仿宋" w:hAnsi="仿宋" w:eastAsia="仿宋" w:cs="宋体"/>
          <w:iCs/>
          <w:snapToGrid w:val="0"/>
          <w:color w:val="000000" w:themeColor="text1"/>
          <w:highlight w:val="none"/>
          <w:lang w:eastAsia="zh-CN"/>
          <w14:textFill>
            <w14:solidFill>
              <w14:schemeClr w14:val="tx1"/>
            </w14:solidFill>
          </w14:textFill>
        </w:rPr>
        <w:t>专用条款</w:t>
      </w:r>
      <w:r>
        <w:rPr>
          <w:rFonts w:ascii="仿宋" w:hAnsi="仿宋" w:eastAsia="仿宋" w:cs="宋体"/>
          <w:iCs/>
          <w:snapToGrid w:val="0"/>
          <w:color w:val="000000" w:themeColor="text1"/>
          <w:highlight w:val="none"/>
          <w:lang w:eastAsia="zh-CN"/>
          <w14:textFill>
            <w14:solidFill>
              <w14:schemeClr w14:val="tx1"/>
            </w14:solidFill>
          </w14:textFill>
        </w:rPr>
        <w:t>第23.2（25）款约定事项）。</w:t>
      </w:r>
    </w:p>
    <w:p w14:paraId="41A8F9F3">
      <w:pPr>
        <w:spacing w:line="360" w:lineRule="auto"/>
        <w:ind w:right="11" w:firstLine="566" w:firstLineChars="236"/>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8）承包人在合同签订之日起30天内向发包人提交10套投标文件（复印件加盖公章）存档。</w:t>
      </w:r>
    </w:p>
    <w:p w14:paraId="0A89C33C">
      <w:pPr>
        <w:spacing w:line="360" w:lineRule="auto"/>
        <w:ind w:firstLine="480" w:firstLineChars="200"/>
        <w:rPr>
          <w:rFonts w:ascii="仿宋" w:hAnsi="仿宋" w:eastAsia="仿宋" w:cs="宋体"/>
          <w:iCs/>
          <w:snapToGrid w:val="0"/>
          <w:color w:val="000000" w:themeColor="text1"/>
          <w:highlight w:val="none"/>
          <w:lang w:eastAsia="zh-CN"/>
          <w14:textFill>
            <w14:solidFill>
              <w14:schemeClr w14:val="tx1"/>
            </w14:solidFill>
          </w14:textFill>
        </w:rPr>
      </w:pPr>
      <w:r>
        <w:rPr>
          <w:rFonts w:hint="eastAsia" w:ascii="仿宋" w:hAnsi="仿宋" w:eastAsia="仿宋" w:cs="宋体"/>
          <w:iCs/>
          <w:snapToGrid w:val="0"/>
          <w:color w:val="000000" w:themeColor="text1"/>
          <w:highlight w:val="none"/>
          <w:lang w:eastAsia="zh-CN"/>
          <w14:textFill>
            <w14:solidFill>
              <w14:schemeClr w14:val="tx1"/>
            </w14:solidFill>
          </w14:textFill>
        </w:rPr>
        <w:t>（22</w:t>
      </w:r>
      <w:r>
        <w:rPr>
          <w:rFonts w:ascii="仿宋" w:hAnsi="仿宋" w:eastAsia="仿宋" w:cs="宋体"/>
          <w:iCs/>
          <w:snapToGrid w:val="0"/>
          <w:color w:val="000000" w:themeColor="text1"/>
          <w:highlight w:val="none"/>
          <w:lang w:eastAsia="zh-CN"/>
          <w14:textFill>
            <w14:solidFill>
              <w14:schemeClr w14:val="tx1"/>
            </w14:solidFill>
          </w14:textFill>
        </w:rPr>
        <w:t>）承包人应根据《广州市住房和城乡建设局关于加强建筑工程质量风险分级管控的通知》（</w:t>
      </w:r>
      <w:r>
        <w:rPr>
          <w:rFonts w:hint="eastAsia" w:ascii="仿宋" w:hAnsi="仿宋" w:eastAsia="仿宋" w:cs="宋体"/>
          <w:iCs/>
          <w:snapToGrid w:val="0"/>
          <w:color w:val="000000" w:themeColor="text1"/>
          <w:highlight w:val="none"/>
          <w:lang w:eastAsia="zh-CN"/>
          <w14:textFill>
            <w14:solidFill>
              <w14:schemeClr w14:val="tx1"/>
            </w14:solidFill>
          </w14:textFill>
        </w:rPr>
        <w:t>穗建质〔</w:t>
      </w:r>
      <w:r>
        <w:rPr>
          <w:rFonts w:ascii="仿宋" w:hAnsi="仿宋" w:eastAsia="仿宋" w:cs="宋体"/>
          <w:iCs/>
          <w:snapToGrid w:val="0"/>
          <w:color w:val="000000" w:themeColor="text1"/>
          <w:highlight w:val="none"/>
          <w:lang w:eastAsia="zh-CN"/>
          <w14:textFill>
            <w14:solidFill>
              <w14:schemeClr w14:val="tx1"/>
            </w14:solidFill>
          </w14:textFill>
        </w:rPr>
        <w:t>2020〕21号）、《广州市住房和城乡建设局关于加强建筑工程施工安全风险分级管控的通知》（</w:t>
      </w:r>
      <w:r>
        <w:rPr>
          <w:rFonts w:hint="eastAsia" w:ascii="仿宋" w:hAnsi="仿宋" w:eastAsia="仿宋" w:cs="宋体"/>
          <w:iCs/>
          <w:snapToGrid w:val="0"/>
          <w:color w:val="000000" w:themeColor="text1"/>
          <w:highlight w:val="none"/>
          <w:lang w:eastAsia="zh-CN"/>
          <w14:textFill>
            <w14:solidFill>
              <w14:schemeClr w14:val="tx1"/>
            </w14:solidFill>
          </w14:textFill>
        </w:rPr>
        <w:t>穗建质〔</w:t>
      </w:r>
      <w:r>
        <w:rPr>
          <w:rFonts w:ascii="仿宋" w:hAnsi="仿宋" w:eastAsia="仿宋" w:cs="宋体"/>
          <w:iCs/>
          <w:snapToGrid w:val="0"/>
          <w:color w:val="000000" w:themeColor="text1"/>
          <w:highlight w:val="none"/>
          <w:lang w:eastAsia="zh-CN"/>
          <w14:textFill>
            <w14:solidFill>
              <w14:schemeClr w14:val="tx1"/>
            </w14:solidFill>
          </w14:textFill>
        </w:rPr>
        <w:t>2020〕22号）实施质量、安全风险分级管控。</w:t>
      </w:r>
    </w:p>
    <w:p w14:paraId="6213941C">
      <w:pPr>
        <w:autoSpaceDE w:val="0"/>
        <w:autoSpaceDN w:val="0"/>
        <w:spacing w:line="360" w:lineRule="auto"/>
        <w:ind w:firstLine="480" w:firstLineChars="200"/>
        <w:rPr>
          <w:rFonts w:ascii="仿宋" w:hAnsi="仿宋" w:eastAsia="仿宋" w:cs="宋体"/>
          <w:bCs/>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w:t>
      </w:r>
      <w:r>
        <w:rPr>
          <w:rFonts w:hint="eastAsia" w:ascii="仿宋" w:hAnsi="仿宋" w:eastAsia="仿宋" w:cs="宋体"/>
          <w:iCs/>
          <w:snapToGrid w:val="0"/>
          <w:color w:val="000000" w:themeColor="text1"/>
          <w:highlight w:val="none"/>
          <w:lang w:eastAsia="zh-CN"/>
          <w14:textFill>
            <w14:solidFill>
              <w14:schemeClr w14:val="tx1"/>
            </w14:solidFill>
          </w14:textFill>
        </w:rPr>
        <w:t>23</w:t>
      </w:r>
      <w:r>
        <w:rPr>
          <w:rFonts w:ascii="仿宋" w:hAnsi="仿宋" w:eastAsia="仿宋" w:cs="宋体"/>
          <w:iCs/>
          <w:snapToGrid w:val="0"/>
          <w:color w:val="000000" w:themeColor="text1"/>
          <w:highlight w:val="none"/>
          <w:lang w:eastAsia="zh-CN"/>
          <w14:textFill>
            <w14:solidFill>
              <w14:schemeClr w14:val="tx1"/>
            </w14:solidFill>
          </w14:textFill>
        </w:rPr>
        <w:t>）</w:t>
      </w:r>
      <w:r>
        <w:rPr>
          <w:rFonts w:hint="eastAsia" w:ascii="仿宋" w:hAnsi="仿宋" w:eastAsia="仿宋" w:cs="宋体"/>
          <w:bCs/>
          <w:color w:val="000000" w:themeColor="text1"/>
          <w:highlight w:val="none"/>
          <w:lang w:eastAsia="zh-CN"/>
          <w14:textFill>
            <w14:solidFill>
              <w14:schemeClr w14:val="tx1"/>
            </w14:solidFill>
          </w14:textFill>
        </w:rPr>
        <w:t>承包人需配合由发包人委托的第三方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2425E2AC">
      <w:pPr>
        <w:autoSpaceDE w:val="0"/>
        <w:autoSpaceDN w:val="0"/>
        <w:spacing w:line="360" w:lineRule="auto"/>
        <w:ind w:firstLine="566" w:firstLineChars="236"/>
        <w:rPr>
          <w:rFonts w:ascii="仿宋" w:hAnsi="仿宋" w:eastAsia="仿宋" w:cs="宋体"/>
          <w:bCs/>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color w:val="000000" w:themeColor="text1"/>
          <w:highlight w:val="none"/>
          <w:lang w:eastAsia="zh-CN"/>
          <w14:textFill>
            <w14:solidFill>
              <w14:schemeClr w14:val="tx1"/>
            </w14:solidFill>
          </w14:textFill>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5C75948F">
      <w:pPr>
        <w:autoSpaceDE w:val="0"/>
        <w:autoSpaceDN w:val="0"/>
        <w:spacing w:line="360" w:lineRule="auto"/>
        <w:ind w:firstLine="566" w:firstLineChars="236"/>
        <w:rPr>
          <w:rFonts w:ascii="仿宋" w:hAnsi="仿宋" w:eastAsia="仿宋" w:cs="宋体"/>
          <w:bCs/>
          <w:color w:val="000000" w:themeColor="text1"/>
          <w:highlight w:val="none"/>
          <w:lang w:eastAsia="zh-CN"/>
          <w14:textFill>
            <w14:solidFill>
              <w14:schemeClr w14:val="tx1"/>
            </w14:solidFill>
          </w14:textFill>
        </w:rPr>
      </w:pPr>
      <w:r>
        <w:rPr>
          <w:rFonts w:hint="eastAsia" w:ascii="仿宋" w:hAnsi="仿宋" w:eastAsia="仿宋" w:cs="宋体"/>
          <w:bCs/>
          <w:color w:val="000000" w:themeColor="text1"/>
          <w:highlight w:val="none"/>
          <w:lang w:eastAsia="zh-CN"/>
          <w14:textFill>
            <w14:solidFill>
              <w14:schemeClr w14:val="tx1"/>
            </w14:solidFill>
          </w14:textFill>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25D11502">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iCs/>
          <w:snapToGrid w:val="0"/>
          <w:color w:val="000000" w:themeColor="text1"/>
          <w:highlight w:val="none"/>
          <w:lang w:eastAsia="zh-CN"/>
          <w14:textFill>
            <w14:solidFill>
              <w14:schemeClr w14:val="tx1"/>
            </w14:solidFill>
          </w14:textFill>
        </w:rPr>
        <w:t>（24）承包人须按照本合同约定履行施工管理和配合服务，包括但不限于下列工作内容：</w:t>
      </w:r>
    </w:p>
    <w:p w14:paraId="611FA625">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1）项目进度管理；</w:t>
      </w:r>
    </w:p>
    <w:p w14:paraId="1635D108">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2）施工现场临时设施搭建和管理；</w:t>
      </w:r>
    </w:p>
    <w:p w14:paraId="29A0CF7D">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3）文明施工和安全生产管理；</w:t>
      </w:r>
    </w:p>
    <w:p w14:paraId="1944AF00">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4）综合管理；</w:t>
      </w:r>
    </w:p>
    <w:p w14:paraId="7AFA5C80">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5）成品保护；</w:t>
      </w:r>
    </w:p>
    <w:p w14:paraId="71BBA1F8">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6）竣工验收、竣工资料（含竣工图）管理；</w:t>
      </w:r>
    </w:p>
    <w:p w14:paraId="46419085">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7）第三方检测、监测现场配合服务；</w:t>
      </w:r>
    </w:p>
    <w:p w14:paraId="5C5207AB">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8）专业分包的配合和管理；</w:t>
      </w:r>
    </w:p>
    <w:p w14:paraId="51FD24A7">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9）发包人交办的其他任务。</w:t>
      </w:r>
    </w:p>
    <w:p w14:paraId="77740C55">
      <w:pPr>
        <w:pStyle w:val="20"/>
        <w:spacing w:line="360" w:lineRule="auto"/>
        <w:ind w:firstLine="566" w:firstLineChars="236"/>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（25）承包人</w:t>
      </w:r>
      <w:r>
        <w:rPr>
          <w:rFonts w:hint="eastAsia" w:ascii="仿宋" w:hAnsi="仿宋" w:eastAsia="仿宋"/>
          <w:color w:val="000000" w:themeColor="text1"/>
          <w:highlight w:val="none"/>
          <w:lang w:eastAsia="zh-CN"/>
          <w14:textFill>
            <w14:solidFill>
              <w14:schemeClr w14:val="tx1"/>
            </w14:solidFill>
          </w14:textFill>
        </w:rPr>
        <w:t>须与第三方监测单位独立同步实时进行基坑监测，承包人该部分自行监测工作所需的所有费用已含在合同价款中，不单独计列。</w:t>
      </w:r>
    </w:p>
    <w:p w14:paraId="3A0A07C6">
      <w:pPr>
        <w:pStyle w:val="20"/>
        <w:spacing w:line="360" w:lineRule="auto"/>
        <w:ind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26）承包人应协助办理施工阶段各项行政部门开工前置手续，包括但不限于建设工程质量安全监督登记、建设工程合同备案、建筑工程施工许可、夜间施工许可、施工噪音排污许可、临时用电报装、给水工程报装、建筑废弃物处置核准、排水设施接驳许可等所有手续，除按规定由发包人缴纳的费用外，其他相关费用已包含在合同价款中。</w:t>
      </w:r>
    </w:p>
    <w:p w14:paraId="2DD90A2D">
      <w:pPr>
        <w:spacing w:line="360" w:lineRule="auto"/>
        <w:ind w:right="11" w:firstLine="566" w:firstLineChars="236"/>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（27）承包人应配合发包人的用地报批、征地拆迁及管线迁改等工作，相关费用已包含在合同价款中。</w:t>
      </w:r>
    </w:p>
    <w:p w14:paraId="7A68329E">
      <w:pPr>
        <w:pStyle w:val="2"/>
        <w:spacing w:line="360" w:lineRule="auto"/>
        <w:ind w:firstLine="566" w:firstLineChars="236"/>
        <w:rPr>
          <w:rFonts w:ascii="仿宋" w:hAnsi="仿宋" w:eastAsia="仿宋"/>
          <w:color w:val="000000" w:themeColor="text1"/>
          <w:highlight w:val="none"/>
          <w:lang w:val="zh-CN" w:eastAsia="zh-CN" w:bidi="zh-CN"/>
          <w14:textFill>
            <w14:solidFill>
              <w14:schemeClr w14:val="tx1"/>
            </w14:solidFill>
          </w14:textFill>
        </w:rPr>
      </w:pPr>
      <w:r>
        <w:rPr>
          <w:rFonts w:hint="eastAsia" w:ascii="仿宋" w:hAnsi="仿宋" w:eastAsia="仿宋"/>
          <w:color w:val="000000" w:themeColor="text1"/>
          <w:highlight w:val="none"/>
          <w:lang w:val="zh-CN" w:eastAsia="zh-CN" w:bidi="zh-CN"/>
          <w14:textFill>
            <w14:solidFill>
              <w14:schemeClr w14:val="tx1"/>
            </w14:solidFill>
          </w14:textFill>
        </w:rPr>
        <w:t>（</w:t>
      </w:r>
      <w:r>
        <w:rPr>
          <w:rFonts w:hint="eastAsia" w:ascii="仿宋" w:hAnsi="仿宋" w:eastAsia="仿宋"/>
          <w:color w:val="000000" w:themeColor="text1"/>
          <w:highlight w:val="none"/>
          <w:lang w:eastAsia="zh-CN" w:bidi="zh-CN"/>
          <w14:textFill>
            <w14:solidFill>
              <w14:schemeClr w14:val="tx1"/>
            </w14:solidFill>
          </w14:textFill>
        </w:rPr>
        <w:t>28</w:t>
      </w:r>
      <w:r>
        <w:rPr>
          <w:rFonts w:hint="eastAsia" w:ascii="仿宋" w:hAnsi="仿宋" w:eastAsia="仿宋"/>
          <w:color w:val="000000" w:themeColor="text1"/>
          <w:highlight w:val="none"/>
          <w:lang w:val="zh-CN" w:eastAsia="zh-CN" w:bidi="zh-CN"/>
          <w14:textFill>
            <w14:solidFill>
              <w14:schemeClr w14:val="tx1"/>
            </w14:solidFill>
          </w14:textFill>
        </w:rPr>
        <w:t>）承包人</w:t>
      </w:r>
      <w:r>
        <w:rPr>
          <w:rFonts w:hint="eastAsia" w:ascii="仿宋" w:hAnsi="仿宋" w:eastAsia="仿宋"/>
          <w:color w:val="000000" w:themeColor="text1"/>
          <w:highlight w:val="none"/>
          <w:lang w:eastAsia="zh-CN" w:bidi="zh-CN"/>
          <w14:textFill>
            <w14:solidFill>
              <w14:schemeClr w14:val="tx1"/>
            </w14:solidFill>
          </w14:textFill>
        </w:rPr>
        <w:t>应</w:t>
      </w:r>
      <w:r>
        <w:rPr>
          <w:rFonts w:hint="eastAsia" w:ascii="仿宋" w:hAnsi="仿宋" w:eastAsia="仿宋"/>
          <w:color w:val="000000" w:themeColor="text1"/>
          <w:highlight w:val="none"/>
          <w:lang w:val="zh-CN" w:eastAsia="zh-CN" w:bidi="zh-CN"/>
          <w14:textFill>
            <w14:solidFill>
              <w14:schemeClr w14:val="tx1"/>
            </w14:solidFill>
          </w14:textFill>
        </w:rPr>
        <w:t xml:space="preserve">配备 </w:t>
      </w:r>
      <w:r>
        <w:rPr>
          <w:rFonts w:hint="eastAsia" w:ascii="仿宋" w:hAnsi="仿宋" w:eastAsia="仿宋"/>
          <w:color w:val="000000" w:themeColor="text1"/>
          <w:highlight w:val="none"/>
          <w:lang w:eastAsia="zh-CN" w:bidi="zh-CN"/>
          <w14:textFill>
            <w14:solidFill>
              <w14:schemeClr w14:val="tx1"/>
            </w14:solidFill>
          </w14:textFill>
        </w:rPr>
        <w:t>1</w:t>
      </w:r>
      <w:r>
        <w:rPr>
          <w:rFonts w:hint="eastAsia" w:ascii="仿宋" w:hAnsi="仿宋" w:eastAsia="仿宋"/>
          <w:color w:val="000000" w:themeColor="text1"/>
          <w:highlight w:val="none"/>
          <w:lang w:val="zh-CN" w:eastAsia="zh-CN" w:bidi="zh-CN"/>
          <w14:textFill>
            <w14:solidFill>
              <w14:schemeClr w14:val="tx1"/>
            </w14:solidFill>
          </w14:textFill>
        </w:rPr>
        <w:t xml:space="preserve"> 台</w:t>
      </w:r>
      <w:r>
        <w:rPr>
          <w:rFonts w:hint="eastAsia" w:ascii="仿宋" w:hAnsi="仿宋" w:eastAsia="仿宋"/>
          <w:color w:val="000000" w:themeColor="text1"/>
          <w:highlight w:val="none"/>
          <w:lang w:eastAsia="zh-CN" w:bidi="zh-CN"/>
          <w14:textFill>
            <w14:solidFill>
              <w14:schemeClr w14:val="tx1"/>
            </w14:solidFill>
          </w14:textFill>
        </w:rPr>
        <w:t>应急车辆</w:t>
      </w:r>
      <w:r>
        <w:rPr>
          <w:rFonts w:hint="eastAsia" w:ascii="仿宋" w:hAnsi="仿宋" w:eastAsia="仿宋"/>
          <w:color w:val="000000" w:themeColor="text1"/>
          <w:highlight w:val="none"/>
          <w:lang w:val="zh-CN" w:eastAsia="zh-CN" w:bidi="zh-CN"/>
          <w14:textFill>
            <w14:solidFill>
              <w14:schemeClr w14:val="tx1"/>
            </w14:solidFill>
          </w14:textFill>
        </w:rPr>
        <w:t xml:space="preserve"> (7 座商务）为项目服务(需配备专职司机，使用的全部费用由承包人负责）。车辆使用期限为：合同签订之日起至</w:t>
      </w:r>
      <w:r>
        <w:rPr>
          <w:rFonts w:hint="eastAsia" w:ascii="仿宋" w:hAnsi="仿宋" w:eastAsia="仿宋"/>
          <w:color w:val="000000" w:themeColor="text1"/>
          <w:highlight w:val="none"/>
          <w:lang w:eastAsia="zh-CN" w:bidi="zh-CN"/>
          <w14:textFill>
            <w14:solidFill>
              <w14:schemeClr w14:val="tx1"/>
            </w14:solidFill>
          </w14:textFill>
        </w:rPr>
        <w:t>场地移交给后续施工单位后3个月</w:t>
      </w:r>
      <w:r>
        <w:rPr>
          <w:rFonts w:hint="eastAsia" w:ascii="仿宋" w:hAnsi="仿宋" w:eastAsia="仿宋"/>
          <w:color w:val="000000" w:themeColor="text1"/>
          <w:highlight w:val="none"/>
          <w:lang w:val="zh-CN" w:eastAsia="zh-CN" w:bidi="zh-CN"/>
          <w14:textFill>
            <w14:solidFill>
              <w14:schemeClr w14:val="tx1"/>
            </w14:solidFill>
          </w14:textFill>
        </w:rPr>
        <w:t>。</w:t>
      </w:r>
    </w:p>
    <w:p w14:paraId="0A6AC22D">
      <w:pPr>
        <w:pStyle w:val="2"/>
        <w:spacing w:line="360" w:lineRule="auto"/>
        <w:ind w:firstLine="566" w:firstLineChars="236"/>
        <w:rPr>
          <w:rFonts w:ascii="仿宋" w:hAnsi="仿宋" w:eastAsia="仿宋"/>
          <w:color w:val="000000" w:themeColor="text1"/>
          <w:highlight w:val="none"/>
          <w:lang w:val="zh-CN" w:eastAsia="zh-CN" w:bidi="zh-CN"/>
          <w14:textFill>
            <w14:solidFill>
              <w14:schemeClr w14:val="tx1"/>
            </w14:solidFill>
          </w14:textFill>
        </w:rPr>
      </w:pPr>
      <w:r>
        <w:rPr>
          <w:rFonts w:hint="eastAsia" w:ascii="仿宋" w:hAnsi="仿宋" w:eastAsia="仿宋"/>
          <w:color w:val="000000" w:themeColor="text1"/>
          <w:highlight w:val="none"/>
          <w:lang w:val="zh-CN" w:eastAsia="zh-CN" w:bidi="zh-CN"/>
          <w14:textFill>
            <w14:solidFill>
              <w14:schemeClr w14:val="tx1"/>
            </w14:solidFill>
          </w14:textFill>
        </w:rPr>
        <w:t>（</w:t>
      </w:r>
      <w:r>
        <w:rPr>
          <w:rFonts w:hint="eastAsia" w:ascii="仿宋" w:hAnsi="仿宋" w:eastAsia="仿宋"/>
          <w:color w:val="000000" w:themeColor="text1"/>
          <w:highlight w:val="none"/>
          <w:lang w:eastAsia="zh-CN" w:bidi="zh-CN"/>
          <w14:textFill>
            <w14:solidFill>
              <w14:schemeClr w14:val="tx1"/>
            </w14:solidFill>
          </w14:textFill>
        </w:rPr>
        <w:t>29</w:t>
      </w:r>
      <w:r>
        <w:rPr>
          <w:rFonts w:hint="eastAsia" w:ascii="仿宋" w:hAnsi="仿宋" w:eastAsia="仿宋"/>
          <w:color w:val="000000" w:themeColor="text1"/>
          <w:highlight w:val="none"/>
          <w:lang w:val="zh-CN" w:eastAsia="zh-CN" w:bidi="zh-CN"/>
          <w14:textFill>
            <w14:solidFill>
              <w14:schemeClr w14:val="tx1"/>
            </w14:solidFill>
          </w14:textFill>
        </w:rPr>
        <w:t>）承包人</w:t>
      </w:r>
      <w:r>
        <w:rPr>
          <w:rFonts w:hint="eastAsia" w:ascii="仿宋" w:hAnsi="仿宋" w:eastAsia="仿宋"/>
          <w:color w:val="000000" w:themeColor="text1"/>
          <w:highlight w:val="none"/>
          <w:lang w:eastAsia="zh-CN" w:bidi="zh-CN"/>
          <w14:textFill>
            <w14:solidFill>
              <w14:schemeClr w14:val="tx1"/>
            </w14:solidFill>
          </w14:textFill>
        </w:rPr>
        <w:t>应</w:t>
      </w:r>
      <w:r>
        <w:rPr>
          <w:rFonts w:hint="eastAsia" w:ascii="仿宋" w:hAnsi="仿宋" w:eastAsia="仿宋"/>
          <w:color w:val="000000" w:themeColor="text1"/>
          <w:highlight w:val="none"/>
          <w:lang w:val="zh-CN" w:eastAsia="zh-CN" w:bidi="zh-CN"/>
          <w14:textFill>
            <w14:solidFill>
              <w14:schemeClr w14:val="tx1"/>
            </w14:solidFill>
          </w14:textFill>
        </w:rPr>
        <w:t>配备高清航拍的无人机设备1台（要求无人机上升高度不小于500m以上，遥控距离不小于3km以上，摄像头像素不少于</w:t>
      </w:r>
      <w:r>
        <w:rPr>
          <w:rFonts w:hint="eastAsia" w:ascii="仿宋" w:hAnsi="仿宋" w:eastAsia="仿宋"/>
          <w:color w:val="000000" w:themeColor="text1"/>
          <w:highlight w:val="none"/>
          <w:lang w:eastAsia="zh-CN" w:bidi="zh-CN"/>
          <w14:textFill>
            <w14:solidFill>
              <w14:schemeClr w14:val="tx1"/>
            </w14:solidFill>
          </w14:textFill>
        </w:rPr>
        <w:t>4</w:t>
      </w:r>
      <w:r>
        <w:rPr>
          <w:rFonts w:hint="eastAsia" w:ascii="仿宋" w:hAnsi="仿宋" w:eastAsia="仿宋"/>
          <w:color w:val="000000" w:themeColor="text1"/>
          <w:highlight w:val="none"/>
          <w:lang w:val="zh-CN" w:eastAsia="zh-CN" w:bidi="zh-CN"/>
          <w14:textFill>
            <w14:solidFill>
              <w14:schemeClr w14:val="tx1"/>
            </w14:solidFill>
          </w14:textFill>
        </w:rPr>
        <w:t>000万以上），按照发包人要求</w:t>
      </w:r>
      <w:r>
        <w:rPr>
          <w:rFonts w:hint="eastAsia" w:ascii="仿宋" w:hAnsi="仿宋" w:eastAsia="仿宋"/>
          <w:color w:val="000000" w:themeColor="text1"/>
          <w:highlight w:val="none"/>
          <w:lang w:eastAsia="zh-CN" w:bidi="zh-CN"/>
          <w14:textFill>
            <w14:solidFill>
              <w14:schemeClr w14:val="tx1"/>
            </w14:solidFill>
          </w14:textFill>
        </w:rPr>
        <w:t>至少</w:t>
      </w:r>
      <w:r>
        <w:rPr>
          <w:rFonts w:hint="eastAsia" w:ascii="仿宋" w:hAnsi="仿宋" w:eastAsia="仿宋"/>
          <w:color w:val="000000" w:themeColor="text1"/>
          <w:highlight w:val="none"/>
          <w:lang w:val="zh-CN" w:eastAsia="zh-CN" w:bidi="zh-CN"/>
          <w14:textFill>
            <w14:solidFill>
              <w14:schemeClr w14:val="tx1"/>
            </w14:solidFill>
          </w14:textFill>
        </w:rPr>
        <w:t>每周提供一组</w:t>
      </w:r>
      <w:r>
        <w:rPr>
          <w:rFonts w:hint="eastAsia" w:ascii="仿宋" w:hAnsi="仿宋" w:eastAsia="仿宋"/>
          <w:color w:val="000000" w:themeColor="text1"/>
          <w:highlight w:val="none"/>
          <w:lang w:eastAsia="zh-CN" w:bidi="zh-CN"/>
          <w14:textFill>
            <w14:solidFill>
              <w14:schemeClr w14:val="tx1"/>
            </w14:solidFill>
          </w14:textFill>
        </w:rPr>
        <w:t>固定角度的</w:t>
      </w:r>
      <w:r>
        <w:rPr>
          <w:rFonts w:hint="eastAsia" w:ascii="仿宋" w:hAnsi="仿宋" w:eastAsia="仿宋"/>
          <w:color w:val="000000" w:themeColor="text1"/>
          <w:highlight w:val="none"/>
          <w:lang w:val="zh-CN" w:eastAsia="zh-CN" w:bidi="zh-CN"/>
          <w14:textFill>
            <w14:solidFill>
              <w14:schemeClr w14:val="tx1"/>
            </w14:solidFill>
          </w14:textFill>
        </w:rPr>
        <w:t>项目全景照片，</w:t>
      </w:r>
      <w:r>
        <w:rPr>
          <w:rFonts w:hint="eastAsia" w:ascii="仿宋" w:hAnsi="仿宋" w:eastAsia="仿宋"/>
          <w:color w:val="000000" w:themeColor="text1"/>
          <w:highlight w:val="none"/>
          <w:lang w:eastAsia="zh-CN" w:bidi="zh-CN"/>
          <w14:textFill>
            <w14:solidFill>
              <w14:schemeClr w14:val="tx1"/>
            </w14:solidFill>
          </w14:textFill>
        </w:rPr>
        <w:t>提交每季度、半年度、年度的进度宣传视频（时长不少于3min），并配合发包人委托的宣传视频的制作、拍摄</w:t>
      </w:r>
      <w:r>
        <w:rPr>
          <w:rFonts w:hint="eastAsia" w:ascii="仿宋" w:hAnsi="仿宋" w:eastAsia="仿宋"/>
          <w:color w:val="000000" w:themeColor="text1"/>
          <w:highlight w:val="none"/>
          <w:lang w:val="zh-CN" w:eastAsia="zh-CN" w:bidi="zh-CN"/>
          <w14:textFill>
            <w14:solidFill>
              <w14:schemeClr w14:val="tx1"/>
            </w14:solidFill>
          </w14:textFill>
        </w:rPr>
        <w:t>。</w:t>
      </w:r>
    </w:p>
    <w:p w14:paraId="3CA7E5AE">
      <w:pPr>
        <w:pStyle w:val="2"/>
        <w:spacing w:line="360" w:lineRule="auto"/>
        <w:ind w:firstLine="566" w:firstLineChars="236"/>
        <w:rPr>
          <w:rFonts w:ascii="仿宋" w:hAnsi="仿宋" w:eastAsia="仿宋"/>
          <w:color w:val="000000" w:themeColor="text1"/>
          <w:highlight w:val="none"/>
          <w:lang w:val="zh-CN" w:eastAsia="zh-CN" w:bidi="zh-CN"/>
          <w14:textFill>
            <w14:solidFill>
              <w14:schemeClr w14:val="tx1"/>
            </w14:solidFill>
          </w14:textFill>
        </w:rPr>
      </w:pPr>
      <w:r>
        <w:rPr>
          <w:rFonts w:hint="eastAsia" w:ascii="仿宋" w:hAnsi="仿宋" w:eastAsia="仿宋"/>
          <w:color w:val="000000" w:themeColor="text1"/>
          <w:highlight w:val="none"/>
          <w:lang w:val="zh-CN" w:eastAsia="zh-CN" w:bidi="zh-CN"/>
          <w14:textFill>
            <w14:solidFill>
              <w14:schemeClr w14:val="tx1"/>
            </w14:solidFill>
          </w14:textFill>
        </w:rPr>
        <w:t>（</w:t>
      </w:r>
      <w:r>
        <w:rPr>
          <w:rFonts w:hint="eastAsia" w:ascii="仿宋" w:hAnsi="仿宋" w:eastAsia="仿宋"/>
          <w:color w:val="000000" w:themeColor="text1"/>
          <w:highlight w:val="none"/>
          <w:lang w:eastAsia="zh-CN" w:bidi="zh-CN"/>
          <w14:textFill>
            <w14:solidFill>
              <w14:schemeClr w14:val="tx1"/>
            </w14:solidFill>
          </w14:textFill>
        </w:rPr>
        <w:t>30</w:t>
      </w:r>
      <w:r>
        <w:rPr>
          <w:rFonts w:hint="eastAsia" w:ascii="仿宋" w:hAnsi="仿宋" w:eastAsia="仿宋"/>
          <w:color w:val="000000" w:themeColor="text1"/>
          <w:highlight w:val="none"/>
          <w:lang w:val="zh-CN" w:eastAsia="zh-CN" w:bidi="zh-CN"/>
          <w14:textFill>
            <w14:solidFill>
              <w14:schemeClr w14:val="tx1"/>
            </w14:solidFill>
          </w14:textFill>
        </w:rPr>
        <w:t>）承包人为会议室和档案室配备专用</w:t>
      </w:r>
      <w:r>
        <w:rPr>
          <w:rFonts w:hint="eastAsia" w:ascii="仿宋" w:hAnsi="仿宋" w:eastAsia="仿宋"/>
          <w:color w:val="000000" w:themeColor="text1"/>
          <w:highlight w:val="none"/>
          <w:lang w:eastAsia="zh-CN" w:bidi="zh-CN"/>
          <w14:textFill>
            <w14:solidFill>
              <w14:schemeClr w14:val="tx1"/>
            </w14:solidFill>
          </w14:textFill>
        </w:rPr>
        <w:t>新</w:t>
      </w:r>
      <w:r>
        <w:rPr>
          <w:rFonts w:hint="eastAsia" w:ascii="仿宋" w:hAnsi="仿宋" w:eastAsia="仿宋"/>
          <w:color w:val="000000" w:themeColor="text1"/>
          <w:highlight w:val="none"/>
          <w:lang w:val="zh-CN" w:eastAsia="zh-CN" w:bidi="zh-CN"/>
          <w14:textFill>
            <w14:solidFill>
              <w14:schemeClr w14:val="tx1"/>
            </w14:solidFill>
          </w14:textFill>
        </w:rPr>
        <w:t>电脑两台（台式机1台，笔记本</w:t>
      </w:r>
      <w:r>
        <w:rPr>
          <w:rFonts w:hint="eastAsia" w:ascii="仿宋" w:hAnsi="仿宋" w:eastAsia="仿宋"/>
          <w:color w:val="000000" w:themeColor="text1"/>
          <w:highlight w:val="none"/>
          <w:lang w:eastAsia="zh-CN" w:bidi="zh-CN"/>
          <w14:textFill>
            <w14:solidFill>
              <w14:schemeClr w14:val="tx1"/>
            </w14:solidFill>
          </w14:textFill>
        </w:rPr>
        <w:t>1</w:t>
      </w:r>
      <w:r>
        <w:rPr>
          <w:rFonts w:hint="eastAsia" w:ascii="仿宋" w:hAnsi="仿宋" w:eastAsia="仿宋"/>
          <w:color w:val="000000" w:themeColor="text1"/>
          <w:highlight w:val="none"/>
          <w:lang w:val="zh-CN" w:eastAsia="zh-CN" w:bidi="zh-CN"/>
          <w14:textFill>
            <w14:solidFill>
              <w14:schemeClr w14:val="tx1"/>
            </w14:solidFill>
          </w14:textFill>
        </w:rPr>
        <w:t>台），用于会议</w:t>
      </w:r>
      <w:r>
        <w:rPr>
          <w:rFonts w:hint="eastAsia" w:ascii="仿宋" w:hAnsi="仿宋" w:eastAsia="仿宋"/>
          <w:color w:val="000000" w:themeColor="text1"/>
          <w:highlight w:val="none"/>
          <w:lang w:eastAsia="zh-CN" w:bidi="zh-CN"/>
          <w14:textFill>
            <w14:solidFill>
              <w14:schemeClr w14:val="tx1"/>
            </w14:solidFill>
          </w14:textFill>
        </w:rPr>
        <w:t>投屏</w:t>
      </w:r>
      <w:r>
        <w:rPr>
          <w:rFonts w:hint="eastAsia" w:ascii="仿宋" w:hAnsi="仿宋" w:eastAsia="仿宋"/>
          <w:color w:val="000000" w:themeColor="text1"/>
          <w:highlight w:val="none"/>
          <w:lang w:val="zh-CN" w:eastAsia="zh-CN" w:bidi="zh-CN"/>
          <w14:textFill>
            <w14:solidFill>
              <w14:schemeClr w14:val="tx1"/>
            </w14:solidFill>
          </w14:textFill>
        </w:rPr>
        <w:t>和存储项目</w:t>
      </w:r>
      <w:r>
        <w:rPr>
          <w:rFonts w:hint="eastAsia" w:ascii="仿宋" w:hAnsi="仿宋" w:eastAsia="仿宋"/>
          <w:color w:val="000000" w:themeColor="text1"/>
          <w:highlight w:val="none"/>
          <w:lang w:eastAsia="zh-CN" w:bidi="zh-CN"/>
          <w14:textFill>
            <w14:solidFill>
              <w14:schemeClr w14:val="tx1"/>
            </w14:solidFill>
          </w14:textFill>
        </w:rPr>
        <w:t>过程资料及</w:t>
      </w:r>
      <w:r>
        <w:rPr>
          <w:rFonts w:hint="eastAsia" w:ascii="仿宋" w:hAnsi="仿宋" w:eastAsia="仿宋"/>
          <w:color w:val="000000" w:themeColor="text1"/>
          <w:highlight w:val="none"/>
          <w:lang w:val="zh-CN" w:eastAsia="zh-CN" w:bidi="zh-CN"/>
          <w14:textFill>
            <w14:solidFill>
              <w14:schemeClr w14:val="tx1"/>
            </w14:solidFill>
          </w14:textFill>
        </w:rPr>
        <w:t>档案。</w:t>
      </w:r>
    </w:p>
    <w:p w14:paraId="102319EF">
      <w:pPr>
        <w:pStyle w:val="2"/>
        <w:spacing w:line="360" w:lineRule="auto"/>
        <w:ind w:firstLine="566" w:firstLineChars="236"/>
        <w:rPr>
          <w:rFonts w:ascii="仿宋" w:hAnsi="仿宋" w:eastAsia="仿宋"/>
          <w:color w:val="000000" w:themeColor="text1"/>
          <w:highlight w:val="none"/>
          <w:lang w:eastAsia="zh-CN" w:bidi="zh-CN"/>
          <w14:textFill>
            <w14:solidFill>
              <w14:schemeClr w14:val="tx1"/>
            </w14:solidFill>
          </w14:textFill>
        </w:rPr>
      </w:pPr>
      <w:r>
        <w:rPr>
          <w:rFonts w:hint="eastAsia" w:ascii="仿宋" w:hAnsi="仿宋" w:eastAsia="仿宋"/>
          <w:color w:val="000000" w:themeColor="text1"/>
          <w:highlight w:val="none"/>
          <w:lang w:val="zh-CN" w:eastAsia="zh-CN" w:bidi="zh-CN"/>
          <w14:textFill>
            <w14:solidFill>
              <w14:schemeClr w14:val="tx1"/>
            </w14:solidFill>
          </w14:textFill>
        </w:rPr>
        <w:t>（</w:t>
      </w:r>
      <w:r>
        <w:rPr>
          <w:rFonts w:hint="eastAsia" w:ascii="仿宋" w:hAnsi="仿宋" w:eastAsia="仿宋"/>
          <w:color w:val="000000" w:themeColor="text1"/>
          <w:highlight w:val="none"/>
          <w:lang w:eastAsia="zh-CN" w:bidi="zh-CN"/>
          <w14:textFill>
            <w14:solidFill>
              <w14:schemeClr w14:val="tx1"/>
            </w14:solidFill>
          </w14:textFill>
        </w:rPr>
        <w:t>31</w:t>
      </w:r>
      <w:r>
        <w:rPr>
          <w:rFonts w:hint="eastAsia" w:ascii="仿宋" w:hAnsi="仿宋" w:eastAsia="仿宋"/>
          <w:color w:val="000000" w:themeColor="text1"/>
          <w:highlight w:val="none"/>
          <w:lang w:val="zh-CN" w:eastAsia="zh-CN" w:bidi="zh-CN"/>
          <w14:textFill>
            <w14:solidFill>
              <w14:schemeClr w14:val="tx1"/>
            </w14:solidFill>
          </w14:textFill>
        </w:rPr>
        <w:t>）承包人应</w:t>
      </w:r>
      <w:r>
        <w:rPr>
          <w:rFonts w:hint="eastAsia" w:ascii="仿宋" w:hAnsi="仿宋" w:eastAsia="仿宋"/>
          <w:color w:val="000000" w:themeColor="text1"/>
          <w:highlight w:val="none"/>
          <w:lang w:eastAsia="zh-CN" w:bidi="zh-CN"/>
          <w14:textFill>
            <w14:solidFill>
              <w14:schemeClr w14:val="tx1"/>
            </w14:solidFill>
          </w14:textFill>
        </w:rPr>
        <w:t>根据项目特点</w:t>
      </w:r>
      <w:r>
        <w:rPr>
          <w:rFonts w:hint="eastAsia" w:ascii="仿宋" w:hAnsi="仿宋" w:eastAsia="仿宋"/>
          <w:color w:val="000000" w:themeColor="text1"/>
          <w:highlight w:val="none"/>
          <w:lang w:val="zh-CN" w:eastAsia="zh-CN" w:bidi="zh-CN"/>
          <w14:textFill>
            <w14:solidFill>
              <w14:schemeClr w14:val="tx1"/>
            </w14:solidFill>
          </w14:textFill>
        </w:rPr>
        <w:t>设置质量样板展示区、安全体验区，</w:t>
      </w:r>
      <w:r>
        <w:rPr>
          <w:rFonts w:hint="eastAsia" w:ascii="仿宋" w:hAnsi="仿宋" w:eastAsia="仿宋"/>
          <w:color w:val="000000" w:themeColor="text1"/>
          <w:highlight w:val="none"/>
          <w:lang w:eastAsia="zh-CN" w:bidi="zh-CN"/>
          <w14:textFill>
            <w14:solidFill>
              <w14:schemeClr w14:val="tx1"/>
            </w14:solidFill>
          </w14:textFill>
        </w:rPr>
        <w:t>为满足迎检要求</w:t>
      </w:r>
      <w:r>
        <w:rPr>
          <w:rFonts w:hint="eastAsia" w:ascii="仿宋" w:hAnsi="仿宋" w:eastAsia="仿宋"/>
          <w:color w:val="000000" w:themeColor="text1"/>
          <w:highlight w:val="none"/>
          <w:lang w:val="zh-CN" w:eastAsia="zh-CN" w:bidi="zh-CN"/>
          <w14:textFill>
            <w14:solidFill>
              <w14:schemeClr w14:val="tx1"/>
            </w14:solidFill>
          </w14:textFill>
        </w:rPr>
        <w:t>设置固定式展板框架（数量不少于</w:t>
      </w:r>
      <w:r>
        <w:rPr>
          <w:rFonts w:hint="eastAsia" w:ascii="仿宋" w:hAnsi="仿宋" w:eastAsia="仿宋"/>
          <w:color w:val="000000" w:themeColor="text1"/>
          <w:highlight w:val="none"/>
          <w:lang w:eastAsia="zh-CN" w:bidi="zh-CN"/>
          <w14:textFill>
            <w14:solidFill>
              <w14:schemeClr w14:val="tx1"/>
            </w14:solidFill>
          </w14:textFill>
        </w:rPr>
        <w:t>6</w:t>
      </w:r>
      <w:r>
        <w:rPr>
          <w:rFonts w:hint="eastAsia" w:ascii="仿宋" w:hAnsi="仿宋" w:eastAsia="仿宋"/>
          <w:color w:val="000000" w:themeColor="text1"/>
          <w:highlight w:val="none"/>
          <w:lang w:val="zh-CN" w:eastAsia="zh-CN" w:bidi="zh-CN"/>
          <w14:textFill>
            <w14:solidFill>
              <w14:schemeClr w14:val="tx1"/>
            </w14:solidFill>
          </w14:textFill>
        </w:rPr>
        <w:t>块，尺寸总高105cm，总宽132cm，展板内容尺寸100*126cm，</w:t>
      </w:r>
      <w:r>
        <w:rPr>
          <w:rFonts w:hint="eastAsia" w:ascii="仿宋" w:hAnsi="仿宋" w:eastAsia="仿宋"/>
          <w:color w:val="000000" w:themeColor="text1"/>
          <w:highlight w:val="none"/>
          <w:lang w:eastAsia="zh-CN" w:bidi="zh-CN"/>
          <w14:textFill>
            <w14:solidFill>
              <w14:schemeClr w14:val="tx1"/>
            </w14:solidFill>
          </w14:textFill>
        </w:rPr>
        <w:t>型材</w:t>
      </w:r>
      <w:r>
        <w:rPr>
          <w:rFonts w:hint="eastAsia" w:ascii="仿宋" w:hAnsi="仿宋" w:eastAsia="仿宋"/>
          <w:color w:val="000000" w:themeColor="text1"/>
          <w:highlight w:val="none"/>
          <w:lang w:val="zh-CN" w:eastAsia="zh-CN" w:bidi="zh-CN"/>
          <w14:textFill>
            <w14:solidFill>
              <w14:schemeClr w14:val="tx1"/>
            </w14:solidFill>
          </w14:textFill>
        </w:rPr>
        <w:t>材质</w:t>
      </w:r>
      <w:r>
        <w:rPr>
          <w:rFonts w:hint="eastAsia" w:ascii="仿宋" w:hAnsi="仿宋" w:eastAsia="仿宋"/>
          <w:color w:val="000000" w:themeColor="text1"/>
          <w:highlight w:val="none"/>
          <w:lang w:eastAsia="zh-CN" w:bidi="zh-CN"/>
          <w14:textFill>
            <w14:solidFill>
              <w14:schemeClr w14:val="tx1"/>
            </w14:solidFill>
          </w14:textFill>
        </w:rPr>
        <w:t>为不低于1mm的</w:t>
      </w:r>
      <w:r>
        <w:rPr>
          <w:rFonts w:hint="eastAsia" w:ascii="仿宋" w:hAnsi="仿宋" w:eastAsia="仿宋"/>
          <w:color w:val="000000" w:themeColor="text1"/>
          <w:highlight w:val="none"/>
          <w:lang w:val="zh-CN" w:eastAsia="zh-CN" w:bidi="zh-CN"/>
          <w14:textFill>
            <w14:solidFill>
              <w14:schemeClr w14:val="tx1"/>
            </w14:solidFill>
          </w14:textFill>
        </w:rPr>
        <w:t>不锈钢）。</w:t>
      </w:r>
    </w:p>
    <w:p w14:paraId="2DA6918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23.3 承包人实施工作</w:t>
      </w:r>
    </w:p>
    <w:p w14:paraId="6A28FE1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承包人提供施工所需勘察资料、设计文件、建筑信息模型（BIM）、劳务、工程材料、工程设备、施工设备和其他物品的约定：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承包人不提供勘察资料、建筑信息模型（BIM），其他</w:t>
      </w:r>
      <w:r>
        <w:rPr>
          <w:rFonts w:ascii="仿宋" w:hAnsi="仿宋" w:eastAsia="仿宋" w:cs="仿宋"/>
          <w:color w:val="000000" w:themeColor="text1"/>
          <w:highlight w:val="none"/>
          <w:u w:val="single"/>
          <w:lang w:eastAsia="zh-CN"/>
          <w14:textFill>
            <w14:solidFill>
              <w14:schemeClr w14:val="tx1"/>
            </w14:solidFill>
          </w14:textFill>
        </w:rPr>
        <w:t>按通用条款第23.3款约定执行</w:t>
      </w:r>
      <w:r>
        <w:rPr>
          <w:rFonts w:hint="eastAsia" w:ascii="仿宋" w:hAnsi="仿宋" w:eastAsia="仿宋" w:cs="仿宋"/>
          <w:color w:val="000000" w:themeColor="text1"/>
          <w:highlight w:val="none"/>
          <w:u w:val="single"/>
          <w:lang w:eastAsia="zh-CN"/>
          <w14:textFill>
            <w14:solidFill>
              <w14:schemeClr w14:val="tx1"/>
            </w14:solidFill>
          </w14:textFill>
        </w:rPr>
        <w:t>。</w:t>
      </w:r>
    </w:p>
    <w:p w14:paraId="41A8BEB4">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36" w:name="_Toc7605"/>
      <w:bookmarkStart w:id="637" w:name="_Toc149731562"/>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24.  现场管理人员任命和更换</w:t>
      </w:r>
      <w:bookmarkEnd w:id="636"/>
      <w:bookmarkEnd w:id="637"/>
    </w:p>
    <w:p w14:paraId="01A8CD0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38" w:name="OLE_LINK13"/>
      <w:bookmarkStart w:id="639" w:name="OLE_LINK12"/>
      <w:r>
        <w:rPr>
          <w:rFonts w:hint="eastAsia" w:ascii="仿宋" w:hAnsi="仿宋" w:eastAsia="仿宋" w:cs="仿宋"/>
          <w:color w:val="000000" w:themeColor="text1"/>
          <w:highlight w:val="none"/>
          <w:lang w:eastAsia="zh-CN"/>
          <w14:textFill>
            <w14:solidFill>
              <w14:schemeClr w14:val="tx1"/>
            </w14:solidFill>
          </w14:textFill>
        </w:rPr>
        <w:t>24.1发包人现场管理人员任命和更换</w:t>
      </w:r>
    </w:p>
    <w:p w14:paraId="43CDF33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发包人现场管理人员任命和更换的约定：</w:t>
      </w:r>
      <w:r>
        <w:rPr>
          <w:rFonts w:hint="eastAsia" w:ascii="仿宋" w:hAnsi="仿宋" w:eastAsia="仿宋" w:cs="仿宋"/>
          <w:color w:val="000000" w:themeColor="text1"/>
          <w:highlight w:val="none"/>
          <w:u w:val="single"/>
          <w:lang w:eastAsia="zh-CN"/>
          <w14:textFill>
            <w14:solidFill>
              <w14:schemeClr w14:val="tx1"/>
            </w14:solidFill>
          </w14:textFill>
        </w:rPr>
        <w:t>按通用条款第24.1款执行。</w:t>
      </w:r>
    </w:p>
    <w:p w14:paraId="4EF73F0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24.2 设计指挥长、施工指挥长、项目负责人、设计负责人、施工负责人及专业负责人任命和更换及履职</w:t>
      </w:r>
    </w:p>
    <w:p w14:paraId="7E398C2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olor w:val="000000" w:themeColor="text1"/>
          <w:highlight w:val="none"/>
          <w:lang w:eastAsia="zh-CN"/>
          <w14:textFill>
            <w14:solidFill>
              <w14:schemeClr w14:val="tx1"/>
            </w14:solidFill>
          </w14:textFill>
        </w:rPr>
        <w:t>承包人应向发包人提交</w:t>
      </w:r>
      <w:r>
        <w:rPr>
          <w:rFonts w:hint="eastAsia" w:ascii="仿宋" w:hAnsi="仿宋" w:eastAsia="仿宋" w:cs="仿宋"/>
          <w:color w:val="000000" w:themeColor="text1"/>
          <w:highlight w:val="none"/>
          <w:lang w:eastAsia="zh-CN"/>
          <w14:textFill>
            <w14:solidFill>
              <w14:schemeClr w14:val="tx1"/>
            </w14:solidFill>
          </w14:textFill>
        </w:rPr>
        <w:t>设计指挥长、施工指挥长、项目负责人、设计负责人、施工负责人及专业负责人</w:t>
      </w:r>
      <w:r>
        <w:rPr>
          <w:rFonts w:hint="eastAsia" w:ascii="仿宋" w:hAnsi="仿宋" w:eastAsia="仿宋"/>
          <w:color w:val="000000" w:themeColor="text1"/>
          <w:highlight w:val="none"/>
          <w:lang w:eastAsia="zh-CN"/>
          <w14:textFill>
            <w14:solidFill>
              <w14:schemeClr w14:val="tx1"/>
            </w14:solidFill>
          </w14:textFill>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000000" w:themeColor="text1"/>
          <w:highlight w:val="none"/>
          <w:lang w:eastAsia="zh-CN"/>
          <w14:textFill>
            <w14:solidFill>
              <w14:schemeClr w14:val="tx1"/>
            </w14:solidFill>
          </w14:textFill>
        </w:rPr>
        <w:t>承包人</w:t>
      </w:r>
      <w:r>
        <w:rPr>
          <w:rFonts w:hint="eastAsia" w:ascii="仿宋" w:hAnsi="仿宋" w:eastAsia="仿宋"/>
          <w:color w:val="000000" w:themeColor="text1"/>
          <w:highlight w:val="none"/>
          <w:lang w:eastAsia="zh-CN"/>
          <w14:textFill>
            <w14:solidFill>
              <w14:schemeClr w14:val="tx1"/>
            </w14:solidFill>
          </w14:textFill>
        </w:rPr>
        <w:t>需承担</w:t>
      </w:r>
      <w:r>
        <w:rPr>
          <w:rFonts w:ascii="仿宋" w:hAnsi="仿宋" w:eastAsia="仿宋"/>
          <w:color w:val="000000" w:themeColor="text1"/>
          <w:highlight w:val="none"/>
          <w:lang w:eastAsia="zh-CN"/>
          <w14:textFill>
            <w14:solidFill>
              <w14:schemeClr w14:val="tx1"/>
            </w14:solidFill>
          </w14:textFill>
        </w:rPr>
        <w:t>违约责任：</w:t>
      </w:r>
      <w:r>
        <w:rPr>
          <w:rFonts w:hint="eastAsia" w:ascii="仿宋" w:hAnsi="仿宋" w:eastAsia="仿宋"/>
          <w:color w:val="000000" w:themeColor="text1"/>
          <w:highlight w:val="none"/>
          <w:u w:val="single"/>
          <w:lang w:eastAsia="zh-CN"/>
          <w14:textFill>
            <w14:solidFill>
              <w14:schemeClr w14:val="tx1"/>
            </w14:solidFill>
          </w14:textFill>
        </w:rPr>
        <w:t>详见专用条款第</w:t>
      </w:r>
      <w:r>
        <w:rPr>
          <w:rFonts w:ascii="仿宋" w:hAnsi="仿宋" w:eastAsia="仿宋"/>
          <w:color w:val="000000" w:themeColor="text1"/>
          <w:highlight w:val="none"/>
          <w:u w:val="single"/>
          <w:lang w:eastAsia="zh-CN"/>
          <w14:textFill>
            <w14:solidFill>
              <w14:schemeClr w14:val="tx1"/>
            </w14:solidFill>
          </w14:textFill>
        </w:rPr>
        <w:t>95.</w:t>
      </w:r>
      <w:r>
        <w:rPr>
          <w:rFonts w:hint="eastAsia" w:ascii="仿宋" w:hAnsi="仿宋" w:eastAsia="仿宋"/>
          <w:color w:val="000000" w:themeColor="text1"/>
          <w:highlight w:val="none"/>
          <w:u w:val="single"/>
          <w:lang w:eastAsia="zh-CN"/>
          <w14:textFill>
            <w14:solidFill>
              <w14:schemeClr w14:val="tx1"/>
            </w14:solidFill>
          </w14:textFill>
        </w:rPr>
        <w:t>2</w:t>
      </w:r>
      <w:r>
        <w:rPr>
          <w:rFonts w:ascii="仿宋" w:hAnsi="仿宋" w:eastAsia="仿宋"/>
          <w:color w:val="000000" w:themeColor="text1"/>
          <w:highlight w:val="none"/>
          <w:u w:val="single"/>
          <w:lang w:eastAsia="zh-CN"/>
          <w14:textFill>
            <w14:solidFill>
              <w14:schemeClr w14:val="tx1"/>
            </w14:solidFill>
          </w14:textFill>
        </w:rPr>
        <w:t>款</w:t>
      </w:r>
      <w:r>
        <w:rPr>
          <w:rFonts w:hint="eastAsia" w:ascii="仿宋" w:hAnsi="仿宋" w:eastAsia="仿宋"/>
          <w:color w:val="000000" w:themeColor="text1"/>
          <w:highlight w:val="none"/>
          <w:lang w:eastAsia="zh-CN"/>
          <w14:textFill>
            <w14:solidFill>
              <w14:schemeClr w14:val="tx1"/>
            </w14:solidFill>
          </w14:textFill>
        </w:rPr>
        <w:t>。</w:t>
      </w:r>
    </w:p>
    <w:p w14:paraId="00C30FF0">
      <w:pPr>
        <w:widowControl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项目负责人、施工负责人必须全职在现场办公，不得兼职或者擅自离岗。本工程严格执行签到制度。因特殊情况需短暂离岗的，应当事先通知监理工程师，并取得发包人的书面批准，且须妥善安排工作交接。</w:t>
      </w:r>
    </w:p>
    <w:p w14:paraId="56471439">
      <w:pPr>
        <w:widowControl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3）本工程</w:t>
      </w:r>
      <w:r>
        <w:rPr>
          <w:rFonts w:hint="eastAsia" w:ascii="仿宋" w:hAnsi="仿宋" w:eastAsia="仿宋" w:cs="宋体"/>
          <w:snapToGrid w:val="0"/>
          <w:color w:val="000000" w:themeColor="text1"/>
          <w:highlight w:val="none"/>
          <w:lang w:eastAsia="zh-CN"/>
          <w14:textFill>
            <w14:solidFill>
              <w14:schemeClr w14:val="tx1"/>
            </w14:solidFill>
          </w14:textFill>
        </w:rPr>
        <w:t>施工负责人、施工技术负责人</w:t>
      </w:r>
      <w:r>
        <w:rPr>
          <w:rFonts w:ascii="仿宋" w:hAnsi="仿宋" w:eastAsia="仿宋"/>
          <w:color w:val="000000" w:themeColor="text1"/>
          <w:highlight w:val="none"/>
          <w:lang w:eastAsia="zh-CN"/>
          <w14:textFill>
            <w14:solidFill>
              <w14:schemeClr w14:val="tx1"/>
            </w14:solidFill>
          </w14:textFill>
        </w:rPr>
        <w:t>项目设计负责人和专业设计人员</w:t>
      </w:r>
      <w:r>
        <w:rPr>
          <w:rFonts w:hint="eastAsia" w:ascii="仿宋" w:hAnsi="仿宋" w:eastAsia="仿宋" w:cs="宋体"/>
          <w:snapToGrid w:val="0"/>
          <w:color w:val="000000" w:themeColor="text1"/>
          <w:highlight w:val="none"/>
          <w:lang w:eastAsia="zh-CN"/>
          <w14:textFill>
            <w14:solidFill>
              <w14:schemeClr w14:val="tx1"/>
            </w14:solidFill>
          </w14:textFill>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000000" w:themeColor="text1"/>
          <w:highlight w:val="none"/>
          <w:lang w:eastAsia="zh-CN"/>
          <w14:textFill>
            <w14:solidFill>
              <w14:schemeClr w14:val="tx1"/>
            </w14:solidFill>
          </w14:textFill>
        </w:rPr>
        <w:t>设计负责人、</w:t>
      </w:r>
      <w:r>
        <w:rPr>
          <w:rFonts w:hint="eastAsia" w:ascii="仿宋" w:hAnsi="仿宋" w:eastAsia="仿宋" w:cs="宋体"/>
          <w:snapToGrid w:val="0"/>
          <w:color w:val="000000" w:themeColor="text1"/>
          <w:highlight w:val="none"/>
          <w:lang w:eastAsia="zh-CN"/>
          <w14:textFill>
            <w14:solidFill>
              <w14:schemeClr w14:val="tx1"/>
            </w14:solidFill>
          </w14:textFill>
        </w:rPr>
        <w:t>安全负责人、质量负责人、</w:t>
      </w:r>
      <w:r>
        <w:rPr>
          <w:rFonts w:ascii="仿宋" w:hAnsi="仿宋" w:eastAsia="仿宋"/>
          <w:color w:val="000000" w:themeColor="text1"/>
          <w:highlight w:val="none"/>
          <w:lang w:eastAsia="zh-CN"/>
          <w14:textFill>
            <w14:solidFill>
              <w14:schemeClr w14:val="tx1"/>
            </w14:solidFill>
          </w14:textFill>
        </w:rPr>
        <w:t>专业设计人员</w:t>
      </w:r>
      <w:r>
        <w:rPr>
          <w:rFonts w:hint="eastAsia" w:ascii="仿宋" w:hAnsi="仿宋" w:eastAsia="仿宋" w:cs="宋体"/>
          <w:snapToGrid w:val="0"/>
          <w:color w:val="000000" w:themeColor="text1"/>
          <w:highlight w:val="none"/>
          <w:lang w:eastAsia="zh-CN"/>
          <w14:textFill>
            <w14:solidFill>
              <w14:schemeClr w14:val="tx1"/>
            </w14:solidFill>
          </w14:textFill>
        </w:rPr>
        <w:t>和五大员上岗应有企业承包人授权书，且应具备法定程序认可的上岗证件及相应等级职称证明；其余主要管理人员要有类似工程的管理经验。（注：人员要求具体以招标文件、承包人的投标文件为准。）</w:t>
      </w:r>
    </w:p>
    <w:p w14:paraId="7FDFA4B9">
      <w:pPr>
        <w:widowControl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4）现场管理机构各部主要组织管理人员在开工前必须全部到位，并接受总监理工程师和发包人代表的查验。</w:t>
      </w:r>
      <w:r>
        <w:rPr>
          <w:rFonts w:hint="eastAsia" w:ascii="仿宋" w:hAnsi="仿宋" w:eastAsia="仿宋" w:cs="宋体"/>
          <w:snapToGrid w:val="0"/>
          <w:color w:val="000000" w:themeColor="text1"/>
          <w:highlight w:val="none"/>
          <w:lang w:eastAsia="zh-CN"/>
          <w14:textFill>
            <w14:solidFill>
              <w14:schemeClr w14:val="tx1"/>
            </w14:solidFill>
          </w14:textFill>
        </w:rPr>
        <w:t>承包人委派的现场管理机构各部主要组织管理人员不得有兼职情况存在，并需接受监理单位的监督。</w:t>
      </w:r>
    </w:p>
    <w:p w14:paraId="41BF469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（5）</w:t>
      </w:r>
      <w:r>
        <w:rPr>
          <w:rFonts w:hint="eastAsia" w:ascii="仿宋" w:hAnsi="仿宋" w:eastAsia="仿宋"/>
          <w:color w:val="000000" w:themeColor="text1"/>
          <w:highlight w:val="none"/>
          <w:lang w:eastAsia="zh-CN"/>
          <w14:textFill>
            <w14:solidFill>
              <w14:schemeClr w14:val="tx1"/>
            </w14:solidFill>
          </w14:textFill>
        </w:rPr>
        <w:t>关键人员更换</w:t>
      </w:r>
    </w:p>
    <w:p w14:paraId="6203F295">
      <w:pPr>
        <w:spacing w:line="360" w:lineRule="auto"/>
        <w:ind w:firstLine="566" w:firstLineChars="236"/>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1）承包人擅自更换</w:t>
      </w:r>
      <w:r>
        <w:rPr>
          <w:rFonts w:hint="eastAsia" w:ascii="仿宋" w:hAnsi="仿宋" w:eastAsia="仿宋"/>
          <w:color w:val="000000" w:themeColor="text1"/>
          <w:highlight w:val="none"/>
          <w:lang w:eastAsia="zh-CN"/>
          <w14:textFill>
            <w14:solidFill>
              <w14:schemeClr w14:val="tx1"/>
            </w14:solidFill>
          </w14:textFill>
        </w:rPr>
        <w:t>关键人员</w:t>
      </w:r>
      <w:r>
        <w:rPr>
          <w:rFonts w:ascii="仿宋" w:hAnsi="仿宋" w:eastAsia="仿宋"/>
          <w:color w:val="000000" w:themeColor="text1"/>
          <w:highlight w:val="none"/>
          <w:lang w:eastAsia="zh-CN"/>
          <w14:textFill>
            <w14:solidFill>
              <w14:schemeClr w14:val="tx1"/>
            </w14:solidFill>
          </w14:textFill>
        </w:rPr>
        <w:t>的违约责任：</w:t>
      </w:r>
      <w:r>
        <w:rPr>
          <w:rFonts w:hint="eastAsia" w:ascii="仿宋" w:hAnsi="仿宋" w:eastAsia="仿宋"/>
          <w:color w:val="000000" w:themeColor="text1"/>
          <w:highlight w:val="none"/>
          <w:u w:val="single"/>
          <w:lang w:eastAsia="zh-CN"/>
          <w14:textFill>
            <w14:solidFill>
              <w14:schemeClr w14:val="tx1"/>
            </w14:solidFill>
          </w14:textFill>
        </w:rPr>
        <w:t>详见专用条款第</w:t>
      </w:r>
      <w:r>
        <w:rPr>
          <w:rFonts w:ascii="仿宋" w:hAnsi="仿宋" w:eastAsia="仿宋"/>
          <w:color w:val="000000" w:themeColor="text1"/>
          <w:highlight w:val="none"/>
          <w:u w:val="single"/>
          <w:lang w:eastAsia="zh-CN"/>
          <w14:textFill>
            <w14:solidFill>
              <w14:schemeClr w14:val="tx1"/>
            </w14:solidFill>
          </w14:textFill>
        </w:rPr>
        <w:t>95.</w:t>
      </w:r>
      <w:r>
        <w:rPr>
          <w:rFonts w:hint="eastAsia" w:ascii="仿宋" w:hAnsi="仿宋" w:eastAsia="仿宋"/>
          <w:color w:val="000000" w:themeColor="text1"/>
          <w:highlight w:val="none"/>
          <w:u w:val="single"/>
          <w:lang w:eastAsia="zh-CN"/>
          <w14:textFill>
            <w14:solidFill>
              <w14:schemeClr w14:val="tx1"/>
            </w14:solidFill>
          </w14:textFill>
        </w:rPr>
        <w:t>2</w:t>
      </w:r>
      <w:r>
        <w:rPr>
          <w:rFonts w:ascii="仿宋" w:hAnsi="仿宋" w:eastAsia="仿宋"/>
          <w:color w:val="000000" w:themeColor="text1"/>
          <w:highlight w:val="none"/>
          <w:u w:val="single"/>
          <w:lang w:eastAsia="zh-CN"/>
          <w14:textFill>
            <w14:solidFill>
              <w14:schemeClr w14:val="tx1"/>
            </w14:solidFill>
          </w14:textFill>
        </w:rPr>
        <w:t>款。</w:t>
      </w:r>
    </w:p>
    <w:p w14:paraId="4C7E3544">
      <w:pPr>
        <w:spacing w:line="360" w:lineRule="auto"/>
        <w:ind w:firstLine="566" w:firstLineChars="236"/>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2）承包人无正当理由拒绝撤换</w:t>
      </w:r>
      <w:r>
        <w:rPr>
          <w:rFonts w:hint="eastAsia" w:ascii="仿宋" w:hAnsi="仿宋" w:eastAsia="仿宋"/>
          <w:color w:val="000000" w:themeColor="text1"/>
          <w:highlight w:val="none"/>
          <w:lang w:eastAsia="zh-CN"/>
          <w14:textFill>
            <w14:solidFill>
              <w14:schemeClr w14:val="tx1"/>
            </w14:solidFill>
          </w14:textFill>
        </w:rPr>
        <w:t>关键人员</w:t>
      </w:r>
      <w:r>
        <w:rPr>
          <w:rFonts w:ascii="仿宋" w:hAnsi="仿宋" w:eastAsia="仿宋"/>
          <w:color w:val="000000" w:themeColor="text1"/>
          <w:highlight w:val="none"/>
          <w:lang w:eastAsia="zh-CN"/>
          <w14:textFill>
            <w14:solidFill>
              <w14:schemeClr w14:val="tx1"/>
            </w14:solidFill>
          </w14:textFill>
        </w:rPr>
        <w:t>的违约责任：</w:t>
      </w:r>
      <w:r>
        <w:rPr>
          <w:rFonts w:hint="eastAsia" w:ascii="仿宋" w:hAnsi="仿宋" w:eastAsia="仿宋"/>
          <w:color w:val="000000" w:themeColor="text1"/>
          <w:highlight w:val="none"/>
          <w:u w:val="single"/>
          <w:lang w:eastAsia="zh-CN"/>
          <w14:textFill>
            <w14:solidFill>
              <w14:schemeClr w14:val="tx1"/>
            </w14:solidFill>
          </w14:textFill>
        </w:rPr>
        <w:t>详见专用条款第</w:t>
      </w:r>
      <w:r>
        <w:rPr>
          <w:rFonts w:ascii="仿宋" w:hAnsi="仿宋" w:eastAsia="仿宋"/>
          <w:color w:val="000000" w:themeColor="text1"/>
          <w:highlight w:val="none"/>
          <w:u w:val="single"/>
          <w:lang w:eastAsia="zh-CN"/>
          <w14:textFill>
            <w14:solidFill>
              <w14:schemeClr w14:val="tx1"/>
            </w14:solidFill>
          </w14:textFill>
        </w:rPr>
        <w:t>95.</w:t>
      </w:r>
      <w:r>
        <w:rPr>
          <w:rFonts w:hint="eastAsia" w:ascii="仿宋" w:hAnsi="仿宋" w:eastAsia="仿宋"/>
          <w:color w:val="000000" w:themeColor="text1"/>
          <w:highlight w:val="none"/>
          <w:u w:val="single"/>
          <w:lang w:eastAsia="zh-CN"/>
          <w14:textFill>
            <w14:solidFill>
              <w14:schemeClr w14:val="tx1"/>
            </w14:solidFill>
          </w14:textFill>
        </w:rPr>
        <w:t>2</w:t>
      </w:r>
      <w:r>
        <w:rPr>
          <w:rFonts w:ascii="仿宋" w:hAnsi="仿宋" w:eastAsia="仿宋"/>
          <w:color w:val="000000" w:themeColor="text1"/>
          <w:highlight w:val="none"/>
          <w:u w:val="single"/>
          <w:lang w:eastAsia="zh-CN"/>
          <w14:textFill>
            <w14:solidFill>
              <w14:schemeClr w14:val="tx1"/>
            </w14:solidFill>
          </w14:textFill>
        </w:rPr>
        <w:t>款。</w:t>
      </w:r>
    </w:p>
    <w:p w14:paraId="20CE4434">
      <w:pPr>
        <w:widowControl w:val="0"/>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Pr>
          <w:rFonts w:hint="eastAsia" w:ascii="仿宋" w:hAnsi="仿宋" w:eastAsia="仿宋" w:cs="宋体"/>
          <w:snapToGrid w:val="0"/>
          <w:color w:val="000000" w:themeColor="text1"/>
          <w:highlight w:val="none"/>
          <w:lang w:eastAsia="zh-CN"/>
          <w14:textFill>
            <w14:solidFill>
              <w14:schemeClr w14:val="tx1"/>
            </w14:solidFill>
          </w14:textFill>
        </w:rPr>
        <w:t>（更换人数不得超过投标文件中人数的50%，如果超过更换人数的50%，再更换人员即使发包人同意，后续更换人员按擅自更换人员条款处罚）</w:t>
      </w:r>
      <w:r>
        <w:rPr>
          <w:rFonts w:ascii="仿宋" w:hAnsi="仿宋" w:eastAsia="仿宋" w:cs="宋体"/>
          <w:snapToGrid w:val="0"/>
          <w:color w:val="000000" w:themeColor="text1"/>
          <w:highlight w:val="none"/>
          <w:lang w:eastAsia="zh-CN"/>
          <w14:textFill>
            <w14:solidFill>
              <w14:schemeClr w14:val="tx1"/>
            </w14:solidFill>
          </w14:textFill>
        </w:rPr>
        <w:t>。承包人必须保证后任人员的资质、职称、实际工作能力不低于前任人员的素质。</w:t>
      </w:r>
      <w:r>
        <w:rPr>
          <w:rFonts w:hint="eastAsia" w:ascii="仿宋" w:hAnsi="仿宋" w:eastAsia="仿宋" w:cs="宋体"/>
          <w:snapToGrid w:val="0"/>
          <w:color w:val="000000" w:themeColor="text1"/>
          <w:highlight w:val="none"/>
          <w:lang w:eastAsia="zh-CN"/>
          <w14:textFill>
            <w14:solidFill>
              <w14:schemeClr w14:val="tx1"/>
            </w14:solidFill>
          </w14:textFill>
        </w:rPr>
        <w:t>更换人员必须履行建设行政主管部门规定的人员变更手续，后任人员继续行使前任的职权，履行前任的义务。</w:t>
      </w:r>
    </w:p>
    <w:p w14:paraId="241B31D8">
      <w:pPr>
        <w:widowControl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发包人有权要求承包人承担一般违约责任处罚</w:t>
      </w:r>
      <w:r>
        <w:rPr>
          <w:rFonts w:ascii="仿宋" w:hAnsi="仿宋" w:eastAsia="仿宋" w:cs="宋体"/>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次</w:t>
      </w:r>
      <w:r>
        <w:rPr>
          <w:rFonts w:ascii="仿宋" w:hAnsi="仿宋" w:eastAsia="仿宋" w:cs="宋体"/>
          <w:snapToGrid w:val="0"/>
          <w:color w:val="000000" w:themeColor="text1"/>
          <w:highlight w:val="none"/>
          <w:lang w:eastAsia="zh-CN"/>
          <w14:textFill>
            <w14:solidFill>
              <w14:schemeClr w14:val="tx1"/>
            </w14:solidFill>
          </w14:textFill>
        </w:rPr>
        <w:t>。</w:t>
      </w:r>
    </w:p>
    <w:p w14:paraId="4253F2BA">
      <w:pPr>
        <w:widowControl w:val="0"/>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000000" w:themeColor="text1"/>
          <w:highlight w:val="none"/>
          <w:lang w:eastAsia="zh-CN"/>
          <w14:textFill>
            <w14:solidFill>
              <w14:schemeClr w14:val="tx1"/>
            </w14:solidFill>
          </w14:textFill>
        </w:rPr>
        <w:t>作出不予接受或认为整改效果不明显的通知之日起</w:t>
      </w:r>
      <w:r>
        <w:rPr>
          <w:rFonts w:ascii="仿宋" w:hAnsi="仿宋" w:eastAsia="仿宋" w:cs="宋体"/>
          <w:snapToGrid w:val="0"/>
          <w:color w:val="000000" w:themeColor="text1"/>
          <w:highlight w:val="none"/>
          <w:lang w:eastAsia="zh-CN"/>
          <w14:textFill>
            <w14:solidFill>
              <w14:schemeClr w14:val="tx1"/>
            </w14:solidFill>
          </w14:textFill>
        </w:rPr>
        <w:t>7天内无条件撤换，并按</w:t>
      </w:r>
      <w:r>
        <w:rPr>
          <w:rFonts w:hint="eastAsia" w:ascii="仿宋" w:hAnsi="仿宋" w:eastAsia="仿宋" w:cs="宋体"/>
          <w:snapToGrid w:val="0"/>
          <w:color w:val="000000" w:themeColor="text1"/>
          <w:highlight w:val="none"/>
          <w:lang w:eastAsia="zh-CN"/>
          <w14:textFill>
            <w14:solidFill>
              <w14:schemeClr w14:val="tx1"/>
            </w14:solidFill>
          </w14:textFill>
        </w:rPr>
        <w:t>专用条款</w:t>
      </w:r>
      <w:r>
        <w:rPr>
          <w:rFonts w:ascii="仿宋" w:hAnsi="仿宋" w:eastAsia="仿宋" w:cs="宋体"/>
          <w:snapToGrid w:val="0"/>
          <w:color w:val="000000" w:themeColor="text1"/>
          <w:highlight w:val="none"/>
          <w:lang w:eastAsia="zh-CN"/>
          <w14:textFill>
            <w14:solidFill>
              <w14:schemeClr w14:val="tx1"/>
            </w14:solidFill>
          </w14:textFill>
        </w:rPr>
        <w:t>第95.</w:t>
      </w:r>
      <w:r>
        <w:rPr>
          <w:rFonts w:hint="eastAsia" w:ascii="仿宋" w:hAnsi="仿宋" w:eastAsia="仿宋" w:cs="宋体"/>
          <w:snapToGrid w:val="0"/>
          <w:color w:val="000000" w:themeColor="text1"/>
          <w:highlight w:val="none"/>
          <w:lang w:eastAsia="zh-CN"/>
          <w14:textFill>
            <w14:solidFill>
              <w14:schemeClr w14:val="tx1"/>
            </w14:solidFill>
          </w14:textFill>
        </w:rPr>
        <w:t>2</w:t>
      </w:r>
      <w:r>
        <w:rPr>
          <w:rFonts w:ascii="仿宋" w:hAnsi="仿宋" w:eastAsia="仿宋" w:cs="宋体"/>
          <w:snapToGrid w:val="0"/>
          <w:color w:val="000000" w:themeColor="text1"/>
          <w:highlight w:val="none"/>
          <w:lang w:eastAsia="zh-CN"/>
          <w14:textFill>
            <w14:solidFill>
              <w14:schemeClr w14:val="tx1"/>
            </w14:solidFill>
          </w14:textFill>
        </w:rPr>
        <w:t>（3）款的约定承担违约责任。所调换来人员的资质、职称、实际工作能力不低于投标文件中所承诺人员的素质，否则，按</w:t>
      </w:r>
      <w:r>
        <w:rPr>
          <w:rFonts w:hint="eastAsia" w:ascii="仿宋" w:hAnsi="仿宋" w:eastAsia="仿宋" w:cs="宋体"/>
          <w:snapToGrid w:val="0"/>
          <w:color w:val="000000" w:themeColor="text1"/>
          <w:highlight w:val="none"/>
          <w:lang w:eastAsia="zh-CN"/>
          <w14:textFill>
            <w14:solidFill>
              <w14:schemeClr w14:val="tx1"/>
            </w14:solidFill>
          </w14:textFill>
        </w:rPr>
        <w:t>专用条款</w:t>
      </w:r>
      <w:r>
        <w:rPr>
          <w:rFonts w:ascii="仿宋" w:hAnsi="仿宋" w:eastAsia="仿宋" w:cs="宋体"/>
          <w:snapToGrid w:val="0"/>
          <w:color w:val="000000" w:themeColor="text1"/>
          <w:highlight w:val="none"/>
          <w:lang w:eastAsia="zh-CN"/>
          <w14:textFill>
            <w14:solidFill>
              <w14:schemeClr w14:val="tx1"/>
            </w14:solidFill>
          </w14:textFill>
        </w:rPr>
        <w:t>第95.</w:t>
      </w:r>
      <w:r>
        <w:rPr>
          <w:rFonts w:hint="eastAsia" w:ascii="仿宋" w:hAnsi="仿宋" w:eastAsia="仿宋" w:cs="宋体"/>
          <w:snapToGrid w:val="0"/>
          <w:color w:val="000000" w:themeColor="text1"/>
          <w:highlight w:val="none"/>
          <w:lang w:eastAsia="zh-CN"/>
          <w14:textFill>
            <w14:solidFill>
              <w14:schemeClr w14:val="tx1"/>
            </w14:solidFill>
          </w14:textFill>
        </w:rPr>
        <w:t>2</w:t>
      </w:r>
      <w:r>
        <w:rPr>
          <w:rFonts w:ascii="仿宋" w:hAnsi="仿宋" w:eastAsia="仿宋" w:cs="宋体"/>
          <w:snapToGrid w:val="0"/>
          <w:color w:val="000000" w:themeColor="text1"/>
          <w:highlight w:val="none"/>
          <w:lang w:eastAsia="zh-CN"/>
          <w14:textFill>
            <w14:solidFill>
              <w14:schemeClr w14:val="tx1"/>
            </w14:solidFill>
          </w14:textFill>
        </w:rPr>
        <w:t>（3）款的约定承担违反投标承诺的违约责任。</w:t>
      </w:r>
    </w:p>
    <w:p w14:paraId="29939972">
      <w:pPr>
        <w:widowControl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发包人要求承包人撤换不合格人员，如承包人既不立即撤换，也不在</w:t>
      </w:r>
      <w:r>
        <w:rPr>
          <w:rFonts w:ascii="仿宋" w:hAnsi="仿宋" w:eastAsia="仿宋" w:cs="宋体"/>
          <w:snapToGrid w:val="0"/>
          <w:color w:val="000000" w:themeColor="text1"/>
          <w:highlight w:val="none"/>
          <w:lang w:eastAsia="zh-CN"/>
          <w14:textFill>
            <w14:solidFill>
              <w14:schemeClr w14:val="tx1"/>
            </w14:solidFill>
          </w14:textFill>
        </w:rPr>
        <w:t>3天内提出整改意见，则视同拒绝执行发包人的指令，承包人需按</w:t>
      </w:r>
      <w:r>
        <w:rPr>
          <w:rFonts w:hint="eastAsia" w:ascii="仿宋" w:hAnsi="仿宋" w:eastAsia="仿宋" w:cs="宋体"/>
          <w:snapToGrid w:val="0"/>
          <w:color w:val="000000" w:themeColor="text1"/>
          <w:highlight w:val="none"/>
          <w:lang w:eastAsia="zh-CN"/>
          <w14:textFill>
            <w14:solidFill>
              <w14:schemeClr w14:val="tx1"/>
            </w14:solidFill>
          </w14:textFill>
        </w:rPr>
        <w:t>专用条款</w:t>
      </w:r>
      <w:r>
        <w:rPr>
          <w:rFonts w:ascii="仿宋" w:hAnsi="仿宋" w:eastAsia="仿宋" w:cs="宋体"/>
          <w:snapToGrid w:val="0"/>
          <w:color w:val="000000" w:themeColor="text1"/>
          <w:highlight w:val="none"/>
          <w:lang w:eastAsia="zh-CN"/>
          <w14:textFill>
            <w14:solidFill>
              <w14:schemeClr w14:val="tx1"/>
            </w14:solidFill>
          </w14:textFill>
        </w:rPr>
        <w:t>第95.</w:t>
      </w:r>
      <w:r>
        <w:rPr>
          <w:rFonts w:hint="eastAsia" w:ascii="仿宋" w:hAnsi="仿宋" w:eastAsia="仿宋" w:cs="宋体"/>
          <w:snapToGrid w:val="0"/>
          <w:color w:val="000000" w:themeColor="text1"/>
          <w:highlight w:val="none"/>
          <w:lang w:eastAsia="zh-CN"/>
          <w14:textFill>
            <w14:solidFill>
              <w14:schemeClr w14:val="tx1"/>
            </w14:solidFill>
          </w14:textFill>
        </w:rPr>
        <w:t>2</w:t>
      </w:r>
      <w:r>
        <w:rPr>
          <w:rFonts w:ascii="仿宋" w:hAnsi="仿宋" w:eastAsia="仿宋" w:cs="宋体"/>
          <w:snapToGrid w:val="0"/>
          <w:color w:val="000000" w:themeColor="text1"/>
          <w:highlight w:val="none"/>
          <w:lang w:eastAsia="zh-CN"/>
          <w14:textFill>
            <w14:solidFill>
              <w14:schemeClr w14:val="tx1"/>
            </w14:solidFill>
          </w14:textFill>
        </w:rPr>
        <w:t>（1）款的约定承担违约责任。</w:t>
      </w:r>
    </w:p>
    <w:p w14:paraId="1E727605">
      <w:pPr>
        <w:widowControl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发包人要求承包人以实际工作能力较强的人员调换实际工作能力较低的现场人员，或者承包人主动要求以实际工作能力较强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28265BD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（6） </w:t>
      </w:r>
      <w:r>
        <w:rPr>
          <w:rFonts w:hint="eastAsia" w:ascii="仿宋" w:hAnsi="仿宋" w:eastAsia="仿宋"/>
          <w:color w:val="000000" w:themeColor="text1"/>
          <w:highlight w:val="none"/>
          <w:lang w:eastAsia="zh-CN"/>
          <w14:textFill>
            <w14:solidFill>
              <w14:schemeClr w14:val="tx1"/>
            </w14:solidFill>
          </w14:textFill>
        </w:rPr>
        <w:t>现场管理关键人员在岗要求</w:t>
      </w:r>
    </w:p>
    <w:p w14:paraId="629EC9A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00AC125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7）现场开始施工至基坑回填完成期间，设计单位项目负责人必须每周完成一次巡场并向发包人提交巡场报告，项目岩土工程师、结构工程师驻场至基坑回填完成，驻场人员不可同时兼任其他项目的设计驻场工作，连续两个月缺勤率低于50%或有兼任情形则认定为空缺，发包人有权进行处罚。</w:t>
      </w:r>
    </w:p>
    <w:p w14:paraId="644896A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24.3设计顾问人代表、监理人代表、造价咨询人代表任命和撤回：</w:t>
      </w:r>
      <w:r>
        <w:rPr>
          <w:rFonts w:hint="eastAsia" w:ascii="仿宋" w:hAnsi="仿宋" w:eastAsia="仿宋" w:cs="仿宋"/>
          <w:color w:val="000000" w:themeColor="text1"/>
          <w:highlight w:val="none"/>
          <w:u w:val="single"/>
          <w:lang w:eastAsia="zh-CN"/>
          <w14:textFill>
            <w14:solidFill>
              <w14:schemeClr w14:val="tx1"/>
            </w14:solidFill>
          </w14:textFill>
        </w:rPr>
        <w:t>按各咨询服务合同的约定执行。</w:t>
      </w:r>
    </w:p>
    <w:bookmarkEnd w:id="638"/>
    <w:bookmarkEnd w:id="639"/>
    <w:p w14:paraId="4FC878F5">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40" w:name="_Toc30186"/>
      <w:bookmarkStart w:id="641" w:name="_Toc14973156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25.  发包人代表</w:t>
      </w:r>
      <w:bookmarkEnd w:id="640"/>
      <w:bookmarkEnd w:id="641"/>
    </w:p>
    <w:p w14:paraId="58D530B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25.1 发包人对其代表授权</w:t>
      </w:r>
    </w:p>
    <w:p w14:paraId="05BA8A9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发包人代表及其权力的限制</w:t>
      </w:r>
    </w:p>
    <w:p w14:paraId="606284F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①发包人任命（）为发包人代表，其通讯方式为</w:t>
      </w:r>
    </w:p>
    <w:p w14:paraId="3E94AD1C">
      <w:pPr>
        <w:spacing w:line="360" w:lineRule="auto"/>
        <w:ind w:left="120" w:firstLine="823" w:firstLineChars="343"/>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邮政编码：</w:t>
      </w:r>
    </w:p>
    <w:p w14:paraId="68C1E4C9">
      <w:pPr>
        <w:spacing w:line="360" w:lineRule="auto"/>
        <w:ind w:left="120" w:firstLine="823" w:firstLineChars="34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w:t>
      </w:r>
    </w:p>
    <w:p w14:paraId="7172D62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②发包人对发包人代表权力做如下限制：</w:t>
      </w:r>
      <w:r>
        <w:rPr>
          <w:rFonts w:hint="eastAsia" w:ascii="仿宋" w:hAnsi="仿宋" w:eastAsia="仿宋" w:cs="仿宋"/>
          <w:color w:val="000000" w:themeColor="text1"/>
          <w:highlight w:val="none"/>
          <w:u w:val="single"/>
          <w:lang w:eastAsia="zh-CN"/>
          <w14:textFill>
            <w14:solidFill>
              <w14:schemeClr w14:val="tx1"/>
            </w14:solidFill>
          </w14:textFill>
        </w:rPr>
        <w:t xml:space="preserve"> 涉及工期、质量标准、工程变更及造价调整事项，以发包人书面意见为准。 </w:t>
      </w:r>
    </w:p>
    <w:p w14:paraId="5D8E558E">
      <w:pPr>
        <w:pStyle w:val="5"/>
        <w:tabs>
          <w:tab w:val="left" w:pos="360"/>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42" w:name="_Toc22637"/>
      <w:bookmarkStart w:id="643" w:name="_Toc149731564"/>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26.  设计顾问人</w:t>
      </w:r>
      <w:bookmarkEnd w:id="642"/>
      <w:bookmarkEnd w:id="643"/>
    </w:p>
    <w:p w14:paraId="38751C3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26.1 发包人对设计顾问人授权</w:t>
      </w:r>
    </w:p>
    <w:p w14:paraId="7FC7B4C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负责合同工程的设计顾问人及任命的设计顾问人代表</w:t>
      </w:r>
    </w:p>
    <w:p w14:paraId="2B6F37D8">
      <w:pPr>
        <w:pStyle w:val="223"/>
        <w:numPr>
          <w:ilvl w:val="0"/>
          <w:numId w:val="37"/>
        </w:num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设计顾问人：</w:t>
      </w:r>
      <w:r>
        <w:rPr>
          <w:rFonts w:hint="eastAsia" w:ascii="仿宋" w:hAnsi="仿宋" w:eastAsia="仿宋" w:cs="仿宋"/>
          <w:color w:val="000000" w:themeColor="text1"/>
          <w:highlight w:val="none"/>
          <w:u w:val="single"/>
          <w:lang w:eastAsia="zh-CN"/>
          <w14:textFill>
            <w14:solidFill>
              <w14:schemeClr w14:val="tx1"/>
            </w14:solidFill>
          </w14:textFill>
        </w:rPr>
        <w:t>（即本项目设计咨询、施工图</w:t>
      </w:r>
      <w:r>
        <w:rPr>
          <w:rFonts w:hint="eastAsia" w:ascii="仿宋" w:hAnsi="仿宋" w:eastAsia="仿宋" w:cs="仿宋"/>
          <w:i/>
          <w:color w:val="000000" w:themeColor="text1"/>
          <w:highlight w:val="none"/>
          <w:u w:val="single"/>
          <w:lang w:eastAsia="zh-CN"/>
          <w14:textFill>
            <w14:solidFill>
              <w14:schemeClr w14:val="tx1"/>
            </w14:solidFill>
          </w14:textFill>
        </w:rPr>
        <w:t>审查及BIM咨询单位</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 xml:space="preserve"> 法定代表人：</w:t>
      </w:r>
    </w:p>
    <w:p w14:paraId="64BE358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②任命（               ）为设计顾问人代表，其通讯方式为</w:t>
      </w:r>
    </w:p>
    <w:p w14:paraId="70196B7D">
      <w:pPr>
        <w:spacing w:line="360" w:lineRule="auto"/>
        <w:ind w:left="120" w:firstLine="823" w:firstLineChars="343"/>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邮政编码：</w:t>
      </w:r>
    </w:p>
    <w:p w14:paraId="1A3D91A0">
      <w:pPr>
        <w:spacing w:line="360" w:lineRule="auto"/>
        <w:ind w:left="120" w:firstLine="823" w:firstLineChars="34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w:t>
      </w:r>
    </w:p>
    <w:p w14:paraId="47085A4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26.3 设计顾问人职权限制</w:t>
      </w:r>
    </w:p>
    <w:p w14:paraId="267D182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(8）需要发包人批准的其他事项：</w:t>
      </w:r>
      <w:r>
        <w:rPr>
          <w:rFonts w:hint="eastAsia" w:ascii="仿宋" w:hAnsi="仿宋" w:eastAsia="仿宋" w:cs="仿宋"/>
          <w:color w:val="000000" w:themeColor="text1"/>
          <w:highlight w:val="none"/>
          <w:u w:val="single"/>
          <w:lang w:eastAsia="zh-CN"/>
          <w14:textFill>
            <w14:solidFill>
              <w14:schemeClr w14:val="tx1"/>
            </w14:solidFill>
          </w14:textFill>
        </w:rPr>
        <w:t xml:space="preserve"> 涉及质量安全、规模、造价调整的事项。</w:t>
      </w:r>
    </w:p>
    <w:p w14:paraId="2813BA3A">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44" w:name="_Toc149731565"/>
      <w:bookmarkStart w:id="645" w:name="_Toc1451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27.  监理人</w:t>
      </w:r>
      <w:bookmarkEnd w:id="644"/>
      <w:bookmarkEnd w:id="645"/>
    </w:p>
    <w:p w14:paraId="17DC0FC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27.1 发包人对监理人授权</w:t>
      </w:r>
    </w:p>
    <w:p w14:paraId="7056DEF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负责合同工程的监理人及任命的监理人代表</w:t>
      </w:r>
    </w:p>
    <w:p w14:paraId="4FB3E1F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①监理人： 法定代表人：</w:t>
      </w:r>
    </w:p>
    <w:p w14:paraId="42F000D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②任命（               ）为监理人代表，其通讯方式为</w:t>
      </w:r>
    </w:p>
    <w:p w14:paraId="0C5C2E17">
      <w:pPr>
        <w:spacing w:line="360" w:lineRule="auto"/>
        <w:ind w:left="120" w:firstLine="823" w:firstLineChars="343"/>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邮政编码：</w:t>
      </w:r>
    </w:p>
    <w:p w14:paraId="4760EBDE">
      <w:pPr>
        <w:spacing w:line="360" w:lineRule="auto"/>
        <w:ind w:left="120" w:firstLine="823" w:firstLineChars="34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w:t>
      </w:r>
    </w:p>
    <w:p w14:paraId="6C45705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27.3 监理人职权限制</w:t>
      </w:r>
    </w:p>
    <w:p w14:paraId="3EF4ECB7">
      <w:pPr>
        <w:spacing w:line="360" w:lineRule="auto"/>
        <w:ind w:left="240" w:leftChars="100" w:firstLine="240" w:firstLineChars="1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(12）需要发包人批准的其他事项：</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（详见监理合同约定）</w:t>
      </w:r>
    </w:p>
    <w:p w14:paraId="5529FA3A">
      <w:p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双方协商一致，27.7款修改为：</w:t>
      </w:r>
    </w:p>
    <w:p w14:paraId="4671636E">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27.7</w:t>
      </w:r>
      <w:r>
        <w:rPr>
          <w:rFonts w:hint="eastAsia" w:ascii="仿宋" w:hAnsi="仿宋" w:eastAsia="仿宋" w:cs="宋体"/>
          <w:bCs/>
          <w:snapToGrid w:val="0"/>
          <w:color w:val="000000" w:themeColor="text1"/>
          <w:highlight w:val="none"/>
          <w:lang w:eastAsia="zh-CN"/>
          <w14:textFill>
            <w14:solidFill>
              <w14:schemeClr w14:val="tx1"/>
            </w14:solidFill>
          </w14:textFill>
        </w:rPr>
        <w:t>由于发包人或监理人未能按合同约定发出指示、指示延误或指示错误而导致承包人费用增加和（或）工期延误的，发包人应承担由此增加的费用和（或）工期延误。</w:t>
      </w:r>
      <w:r>
        <w:rPr>
          <w:rFonts w:ascii="仿宋" w:hAnsi="仿宋" w:eastAsia="仿宋" w:cs="宋体"/>
          <w:bCs/>
          <w:snapToGrid w:val="0"/>
          <w:color w:val="000000" w:themeColor="text1"/>
          <w:highlight w:val="none"/>
          <w:lang w:eastAsia="zh-CN"/>
          <w14:textFill>
            <w14:solidFill>
              <w14:schemeClr w14:val="tx1"/>
            </w14:solidFill>
          </w14:textFill>
        </w:rPr>
        <w:t>关键工期节点延误累计在30天内的，发包人不承担，相关的费用已包含在合同价中</w:t>
      </w:r>
      <w:r>
        <w:rPr>
          <w:rFonts w:hint="eastAsia" w:ascii="仿宋" w:hAnsi="仿宋" w:eastAsia="仿宋"/>
          <w:color w:val="000000" w:themeColor="text1"/>
          <w:highlight w:val="none"/>
          <w:lang w:eastAsia="zh-CN"/>
          <w14:textFill>
            <w14:solidFill>
              <w14:schemeClr w14:val="tx1"/>
            </w14:solidFill>
          </w14:textFill>
        </w:rPr>
        <w:t>。</w:t>
      </w:r>
    </w:p>
    <w:p w14:paraId="07003D12">
      <w:pPr>
        <w:spacing w:line="360" w:lineRule="auto"/>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双方协商一致，增加27.8、27.9款：</w:t>
      </w:r>
    </w:p>
    <w:p w14:paraId="2F33814E">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2</w:t>
      </w:r>
      <w:r>
        <w:rPr>
          <w:rFonts w:hint="eastAsia" w:ascii="仿宋" w:hAnsi="仿宋" w:eastAsia="仿宋" w:cs="宋体"/>
          <w:bCs/>
          <w:snapToGrid w:val="0"/>
          <w:color w:val="000000" w:themeColor="text1"/>
          <w:highlight w:val="none"/>
          <w:lang w:eastAsia="zh-CN"/>
          <w14:textFill>
            <w14:solidFill>
              <w14:schemeClr w14:val="tx1"/>
            </w14:solidFill>
          </w14:textFill>
        </w:rPr>
        <w:t>7</w:t>
      </w:r>
      <w:r>
        <w:rPr>
          <w:rFonts w:ascii="仿宋" w:hAnsi="仿宋" w:eastAsia="仿宋" w:cs="宋体"/>
          <w:bCs/>
          <w:snapToGrid w:val="0"/>
          <w:color w:val="000000" w:themeColor="text1"/>
          <w:highlight w:val="none"/>
          <w:lang w:eastAsia="zh-CN"/>
          <w14:textFill>
            <w14:solidFill>
              <w14:schemeClr w14:val="tx1"/>
            </w14:solidFill>
          </w14:textFill>
        </w:rPr>
        <w:t>.8除特别指明外，总监理工程师对承包人的任何工作、工程或其采用的材料和设备未提出否定意见的，不应视为已获批准，也不影响总监理工程师在以后拒绝该项工作、工程、材料设备的权利。</w:t>
      </w:r>
    </w:p>
    <w:p w14:paraId="65F455CA">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2</w:t>
      </w:r>
      <w:r>
        <w:rPr>
          <w:rFonts w:hint="eastAsia" w:ascii="仿宋" w:hAnsi="仿宋" w:eastAsia="仿宋" w:cs="宋体"/>
          <w:bCs/>
          <w:snapToGrid w:val="0"/>
          <w:color w:val="000000" w:themeColor="text1"/>
          <w:highlight w:val="none"/>
          <w:lang w:eastAsia="zh-CN"/>
          <w14:textFill>
            <w14:solidFill>
              <w14:schemeClr w14:val="tx1"/>
            </w14:solidFill>
          </w14:textFill>
        </w:rPr>
        <w:t>7</w:t>
      </w:r>
      <w:r>
        <w:rPr>
          <w:rFonts w:ascii="仿宋" w:hAnsi="仿宋" w:eastAsia="仿宋" w:cs="宋体"/>
          <w:bCs/>
          <w:snapToGrid w:val="0"/>
          <w:color w:val="000000" w:themeColor="text1"/>
          <w:highlight w:val="none"/>
          <w:lang w:eastAsia="zh-CN"/>
          <w14:textFill>
            <w14:solidFill>
              <w14:schemeClr w14:val="tx1"/>
            </w14:solidFill>
          </w14:textFill>
        </w:rPr>
        <w:t>.9总监理工程师的指令应该有总监理工程师的签字，并加盖监理单位驻施工场地机构印章。</w:t>
      </w:r>
    </w:p>
    <w:p w14:paraId="698C1905">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46" w:name="_Toc25835"/>
      <w:bookmarkStart w:id="647" w:name="_Toc149731566"/>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28.  造价咨询人</w:t>
      </w:r>
      <w:bookmarkEnd w:id="646"/>
      <w:bookmarkEnd w:id="647"/>
    </w:p>
    <w:p w14:paraId="3EA8D19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48" w:name="_Toc9789"/>
      <w:r>
        <w:rPr>
          <w:rFonts w:hint="eastAsia" w:ascii="仿宋" w:hAnsi="仿宋" w:eastAsia="仿宋" w:cs="仿宋"/>
          <w:color w:val="000000" w:themeColor="text1"/>
          <w:highlight w:val="none"/>
          <w:lang w:eastAsia="zh-CN"/>
          <w14:textFill>
            <w14:solidFill>
              <w14:schemeClr w14:val="tx1"/>
            </w14:solidFill>
          </w14:textFill>
        </w:rPr>
        <w:t>28.1 发包人对造价咨询人授权</w:t>
      </w:r>
      <w:bookmarkEnd w:id="648"/>
    </w:p>
    <w:p w14:paraId="6D7CB86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负责合同工程的造价咨询人及任命的造价咨询人代表</w:t>
      </w:r>
    </w:p>
    <w:p w14:paraId="64BC77D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①造价咨询人： 法定代表人：</w:t>
      </w:r>
    </w:p>
    <w:p w14:paraId="2D4DE37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②任命（              ）为造价咨询人代表，其通讯方式为</w:t>
      </w:r>
    </w:p>
    <w:p w14:paraId="201B67A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邮政编码：</w:t>
      </w:r>
    </w:p>
    <w:p w14:paraId="56653AD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w:t>
      </w:r>
    </w:p>
    <w:p w14:paraId="048EAED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49" w:name="_Toc22730"/>
      <w:r>
        <w:rPr>
          <w:rFonts w:hint="eastAsia" w:ascii="仿宋" w:hAnsi="仿宋" w:eastAsia="仿宋" w:cs="仿宋"/>
          <w:color w:val="000000" w:themeColor="text1"/>
          <w:highlight w:val="none"/>
          <w:lang w:eastAsia="zh-CN"/>
          <w14:textFill>
            <w14:solidFill>
              <w14:schemeClr w14:val="tx1"/>
            </w14:solidFill>
          </w14:textFill>
        </w:rPr>
        <w:t>28.3 造价咨询人职权限制</w:t>
      </w:r>
      <w:bookmarkEnd w:id="649"/>
    </w:p>
    <w:p w14:paraId="70D5F6B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（7）需要发包人批准的其他事项：</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（详见造价咨询合同约定） </w:t>
      </w:r>
    </w:p>
    <w:p w14:paraId="5B66ECC6">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29.  承包人代表及其专业负责人</w:t>
      </w:r>
    </w:p>
    <w:p w14:paraId="1696528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29.1 承包人对其代表授权</w:t>
      </w:r>
    </w:p>
    <w:p w14:paraId="1FE9D74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承包人代表（指挥长）：承包人任命（</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）为承包人设计指挥长，承包人任命（</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）为承包人施工指挥长，其通讯方式为</w:t>
      </w:r>
    </w:p>
    <w:p w14:paraId="68F4490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设计指挥长：</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7EA399D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通讯地址：     </w:t>
      </w:r>
    </w:p>
    <w:p w14:paraId="6552B62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邮政编码：    联系电话：    传真号码： </w:t>
      </w:r>
    </w:p>
    <w:p w14:paraId="31240F8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施工指挥长： </w:t>
      </w:r>
    </w:p>
    <w:p w14:paraId="4F7386F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通讯地址：   邮政编码： </w:t>
      </w:r>
    </w:p>
    <w:p w14:paraId="1E0D163C">
      <w:pPr>
        <w:spacing w:line="360" w:lineRule="auto"/>
        <w:ind w:firstLine="480" w:firstLineChars="200"/>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联系电话：     传真号码： </w:t>
      </w:r>
    </w:p>
    <w:p w14:paraId="771ABC3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勘察负责人：承包人任命（  ）为勘察负责人，其通讯方式为</w:t>
      </w:r>
    </w:p>
    <w:p w14:paraId="57B42BB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通讯地址：  邮政编码： </w:t>
      </w:r>
    </w:p>
    <w:p w14:paraId="35FE67F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联系电话：                      传真号码： </w:t>
      </w:r>
    </w:p>
    <w:p w14:paraId="7BE86AE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设计负责人：承包人任命（ ）为设计负责人，其通讯方式为</w:t>
      </w:r>
    </w:p>
    <w:p w14:paraId="1E5A859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通讯地址：   邮政编码： </w:t>
      </w:r>
    </w:p>
    <w:p w14:paraId="11C327E8">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联系电话：    传真号码： </w:t>
      </w:r>
    </w:p>
    <w:p w14:paraId="06DE980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BIM技术负责人：承包人任命（ ）为BIM技术负责人，其通讯方式为</w:t>
      </w:r>
    </w:p>
    <w:p w14:paraId="247BB0A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通讯地址：    邮政编码： </w:t>
      </w:r>
    </w:p>
    <w:p w14:paraId="38346AD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联系电话：   传真号码： </w:t>
      </w:r>
    </w:p>
    <w:p w14:paraId="4DF32C6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□设备及工器具购置负责人：承包人任命（              ）为设备及工器具购置负责人，其通讯方式为</w:t>
      </w:r>
    </w:p>
    <w:p w14:paraId="04FAEF5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邮政编码：</w:t>
      </w:r>
    </w:p>
    <w:p w14:paraId="29BBBAFD">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w:t>
      </w:r>
    </w:p>
    <w:p w14:paraId="2201371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施工负责人：承包人任命（   ）为施工负责人，其通讯方式为</w:t>
      </w:r>
    </w:p>
    <w:p w14:paraId="23ABCD5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通讯地址：   邮政编码： </w:t>
      </w:r>
    </w:p>
    <w:p w14:paraId="10F0735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传真号码：无</w:t>
      </w:r>
    </w:p>
    <w:p w14:paraId="7385C56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□其他工作负责人：承包人任命（          ）为其他工作负责人，其通讯方式为</w:t>
      </w:r>
    </w:p>
    <w:p w14:paraId="6DF37A8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通讯地址： 邮政编码：</w:t>
      </w:r>
    </w:p>
    <w:p w14:paraId="30B0732C">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传真号码：</w:t>
      </w:r>
    </w:p>
    <w:p w14:paraId="7C3F28A3">
      <w:pPr>
        <w:pStyle w:val="5"/>
        <w:tabs>
          <w:tab w:val="left" w:pos="420"/>
        </w:tabs>
        <w:spacing w:before="0" w:after="0" w:line="360" w:lineRule="auto"/>
        <w:rPr>
          <w:rFonts w:ascii="仿宋" w:hAnsi="仿宋" w:eastAsia="仿宋"/>
          <w:color w:val="000000" w:themeColor="text1"/>
          <w:highlight w:val="none"/>
          <w14:textFill>
            <w14:solidFill>
              <w14:schemeClr w14:val="tx1"/>
            </w14:solidFill>
          </w14:textFill>
        </w:rPr>
      </w:pPr>
      <w:bookmarkStart w:id="650" w:name="_Toc3039"/>
      <w:bookmarkStart w:id="651" w:name="_Toc149731567"/>
      <w:r>
        <w:rPr>
          <w:rFonts w:hint="eastAsia" w:ascii="仿宋" w:hAnsi="仿宋" w:eastAsia="仿宋" w:cs="仿宋"/>
          <w:b w:val="0"/>
          <w:bCs w:val="0"/>
          <w:color w:val="000000" w:themeColor="text1"/>
          <w:sz w:val="24"/>
          <w:szCs w:val="24"/>
          <w:highlight w:val="none"/>
          <w14:textFill>
            <w14:solidFill>
              <w14:schemeClr w14:val="tx1"/>
            </w14:solidFill>
          </w14:textFill>
        </w:rPr>
        <w:t>30.  指定分包人</w:t>
      </w:r>
      <w:bookmarkEnd w:id="650"/>
      <w:bookmarkEnd w:id="651"/>
    </w:p>
    <w:p w14:paraId="1E06E44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52" w:name="_Toc32745"/>
      <w:r>
        <w:rPr>
          <w:rFonts w:hint="eastAsia" w:ascii="仿宋" w:hAnsi="仿宋" w:eastAsia="仿宋" w:cs="仿宋"/>
          <w:color w:val="000000" w:themeColor="text1"/>
          <w:highlight w:val="none"/>
          <w:lang w:eastAsia="zh-CN"/>
          <w14:textFill>
            <w14:solidFill>
              <w14:schemeClr w14:val="tx1"/>
            </w14:solidFill>
          </w14:textFill>
        </w:rPr>
        <w:t>30.1 指定分包人工作</w:t>
      </w:r>
      <w:bookmarkEnd w:id="652"/>
    </w:p>
    <w:p w14:paraId="096F995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依法指定的分包人</w:t>
      </w:r>
    </w:p>
    <w:p w14:paraId="195943A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（1）实施、完成部分永久工程的分包人：</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1085B40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（2）提供工程材料和工程设备供货的分包人：</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7458B0F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（3）提供部分专业服务的分包人：</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0989923B">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53" w:name="_Toc7182"/>
      <w:bookmarkStart w:id="654" w:name="_Toc149731568"/>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32.  工程担保</w:t>
      </w:r>
      <w:bookmarkEnd w:id="653"/>
      <w:bookmarkEnd w:id="654"/>
    </w:p>
    <w:p w14:paraId="7DBB923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32.1 承包人提供履约担保的约定</w:t>
      </w:r>
    </w:p>
    <w:p w14:paraId="1FE504F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①履约担保的金额：中标价的10%，即为（大写）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（小写</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w:t>
      </w:r>
    </w:p>
    <w:p w14:paraId="2FFC98E7">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②提供履约担保的时间：</w:t>
      </w:r>
    </w:p>
    <w:p w14:paraId="0882A49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签订本合同时</w:t>
      </w:r>
    </w:p>
    <w:p w14:paraId="16F12A6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合同签订之日起30日内。</w:t>
      </w:r>
    </w:p>
    <w:p w14:paraId="3CF5247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③履约担保的形式</w:t>
      </w:r>
    </w:p>
    <w:p w14:paraId="23858C2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参照住房和城乡建设部印发的履约保函示范文本（独立保函）格式向发包人提交由在中华人民共和国注册的银行开出的《履约银行保函》原件，担保金额为中标价的10%。提供履约保函所发生的费用由承包人承担。</w:t>
      </w:r>
    </w:p>
    <w:p w14:paraId="555F801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32.2履约担保期限和退还</w:t>
      </w:r>
    </w:p>
    <w:p w14:paraId="4BC2328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履约担保期限应根据合同约定工期加2年作为履约保函的暂定时限。最终以竣工验收合格且承包人提交完整符合要求的竣工档案和完整的结算资料28天后作为保函失效时间。担保有效期满后，发包人应在收到承包人退保申请后的14 天内将此担保退还给承包人。</w:t>
      </w:r>
    </w:p>
    <w:p w14:paraId="7419FB2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55" w:name="_Toc7964"/>
      <w:r>
        <w:rPr>
          <w:rFonts w:hint="eastAsia" w:ascii="仿宋" w:hAnsi="仿宋" w:eastAsia="仿宋" w:cs="仿宋"/>
          <w:color w:val="000000" w:themeColor="text1"/>
          <w:highlight w:val="none"/>
          <w:lang w:eastAsia="zh-CN"/>
          <w14:textFill>
            <w14:solidFill>
              <w14:schemeClr w14:val="tx1"/>
            </w14:solidFill>
          </w14:textFill>
        </w:rPr>
        <w:t>32.4 发包人提供支付担保</w:t>
      </w:r>
      <w:bookmarkEnd w:id="655"/>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双方协商一致，本合同发包人无需提供支付担保。通用条款中的“支付担保”相关条款不适用于本工程。</w:t>
      </w:r>
    </w:p>
    <w:p w14:paraId="23C5D0C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32.8 约定担保事项</w:t>
      </w:r>
    </w:p>
    <w:p w14:paraId="76E73DA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担保内容、方式和责任等事项的约定：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详见住房和城乡建设部印发的履约保函示范文本（独立保函）。 </w:t>
      </w:r>
    </w:p>
    <w:p w14:paraId="2034337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双方协商一致，增加32.9-32.14款：</w:t>
      </w:r>
    </w:p>
    <w:p w14:paraId="0DA62389">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32.9</w:t>
      </w:r>
      <w:r>
        <w:rPr>
          <w:rFonts w:hint="eastAsia" w:ascii="仿宋" w:hAnsi="仿宋" w:eastAsia="仿宋" w:cs="宋体"/>
          <w:snapToGrid w:val="0"/>
          <w:color w:val="000000" w:themeColor="text1"/>
          <w:highlight w:val="none"/>
          <w:lang w:eastAsia="zh-CN"/>
          <w14:textFill>
            <w14:solidFill>
              <w14:schemeClr w14:val="tx1"/>
            </w14:solidFill>
          </w14:textFill>
        </w:rPr>
        <w:t>承包人提交的履约银行保函是对本合同约定的承包人的全部义务（包括但不限于承包人违约后应支付的违约金和赔偿金）的担保，承包人的任何一次不履行或不完全履行合同义务的行为，发包人均有权扣除保证金或向出函银行提出索赔。</w:t>
      </w:r>
    </w:p>
    <w:p w14:paraId="39ADFC10">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32.10当出现下列情形时，发包人有权启用履约担保：</w:t>
      </w:r>
    </w:p>
    <w:p w14:paraId="62ABBB9D">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1）因承包人原因导致本项目进度比约定的节点工期滞后30天以上或因承包人原因导致本合同被解除的；</w:t>
      </w:r>
    </w:p>
    <w:p w14:paraId="71497303">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2）因承包人原因，导致本项目或发包人受到影响或损失的；</w:t>
      </w:r>
    </w:p>
    <w:p w14:paraId="29CE3965">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3）因承包人违约计扣的违约金或赔偿金累计超过当期应付</w:t>
      </w:r>
      <w:r>
        <w:rPr>
          <w:rFonts w:hint="eastAsia" w:ascii="仿宋" w:hAnsi="仿宋" w:eastAsia="仿宋" w:cs="宋体"/>
          <w:snapToGrid w:val="0"/>
          <w:color w:val="000000" w:themeColor="text1"/>
          <w:highlight w:val="none"/>
          <w:lang w:eastAsia="zh-CN"/>
          <w14:textFill>
            <w14:solidFill>
              <w14:schemeClr w14:val="tx1"/>
            </w14:solidFill>
          </w14:textFill>
        </w:rPr>
        <w:t>进度款</w:t>
      </w:r>
      <w:r>
        <w:rPr>
          <w:rFonts w:ascii="仿宋" w:hAnsi="仿宋" w:eastAsia="仿宋" w:cs="宋体"/>
          <w:snapToGrid w:val="0"/>
          <w:color w:val="000000" w:themeColor="text1"/>
          <w:highlight w:val="none"/>
          <w:lang w:eastAsia="zh-CN"/>
          <w14:textFill>
            <w14:solidFill>
              <w14:schemeClr w14:val="tx1"/>
            </w14:solidFill>
          </w14:textFill>
        </w:rPr>
        <w:t>总额的；</w:t>
      </w:r>
    </w:p>
    <w:p w14:paraId="677CA28B">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4）发包人认为或本合同约定的其他部分或全部需要启动履约担保的情形；</w:t>
      </w:r>
    </w:p>
    <w:p w14:paraId="337499F2">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5）承包人在履行合同过程中，由于以上且不仅限于以上的违约行为，发包人进行违约处罚，承包人及承包人的履约担保方须无条件执行。</w:t>
      </w:r>
    </w:p>
    <w:p w14:paraId="1B429E86">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32.11承包人不履行或不完全履行合同义务的行为导致发包人通过履约银行保函向银行索赔履约银行保函金额的一部分或者全部的，承包人必须在发包人规定的时间内补充提交履约银行保函，使得本合同履行期间有效的履约银行保函金额等于承包人第一次提交的履约银行保函金额。如果承包人不按发包人的要求及时补充提交履约银行保函，则发包人有权单方面部分解除或解除本合同。</w:t>
      </w:r>
    </w:p>
    <w:p w14:paraId="65C84AB3">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32.12履约保函的保证范围为承包人按本合同的约定应履行的全部义务，履约保证期间从本合同生效之日起至履约保函退回之日。</w:t>
      </w:r>
    </w:p>
    <w:p w14:paraId="4FE6B4EE">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32.13在承包人按照合同要求实施和完成本合同工程之前，履约担保一直有效。如果履约保函因有效期届满，致使履约保函自动失效，而承包人尚未按合同要求实施和完成本合同工程的，承包人应在保函有效期满前3个月无条件办理保函续保，并向发包人提交同样格式且更新日期后的有效保函。否则发包人有权从</w:t>
      </w:r>
      <w:r>
        <w:rPr>
          <w:rFonts w:hint="eastAsia" w:ascii="仿宋" w:hAnsi="仿宋" w:eastAsia="仿宋" w:cs="宋体"/>
          <w:snapToGrid w:val="0"/>
          <w:color w:val="000000" w:themeColor="text1"/>
          <w:highlight w:val="none"/>
          <w:lang w:eastAsia="zh-CN"/>
          <w14:textFill>
            <w14:solidFill>
              <w14:schemeClr w14:val="tx1"/>
            </w14:solidFill>
          </w14:textFill>
        </w:rPr>
        <w:t>应付合同价款</w:t>
      </w:r>
      <w:r>
        <w:rPr>
          <w:rFonts w:ascii="仿宋" w:hAnsi="仿宋" w:eastAsia="仿宋" w:cs="宋体"/>
          <w:snapToGrid w:val="0"/>
          <w:color w:val="000000" w:themeColor="text1"/>
          <w:highlight w:val="none"/>
          <w:lang w:eastAsia="zh-CN"/>
          <w14:textFill>
            <w14:solidFill>
              <w14:schemeClr w14:val="tx1"/>
            </w14:solidFill>
          </w14:textFill>
        </w:rPr>
        <w:t>中扣除相应金额（签约合同价的10%），作为履约担保。</w:t>
      </w:r>
    </w:p>
    <w:p w14:paraId="60B7EA9F">
      <w:pPr>
        <w:autoSpaceDE w:val="0"/>
        <w:autoSpaceDN w:val="0"/>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32.14承包人如约履行合同义务和责任的，在</w:t>
      </w:r>
      <w:r>
        <w:rPr>
          <w:rFonts w:hint="eastAsia" w:ascii="仿宋" w:hAnsi="仿宋" w:eastAsia="仿宋" w:cs="宋体"/>
          <w:snapToGrid w:val="0"/>
          <w:color w:val="000000" w:themeColor="text1"/>
          <w:highlight w:val="none"/>
          <w:lang w:eastAsia="zh-CN"/>
          <w14:textFill>
            <w14:solidFill>
              <w14:schemeClr w14:val="tx1"/>
            </w14:solidFill>
          </w14:textFill>
        </w:rPr>
        <w:t>竣工验收合格且承包人提交完整符合要求的竣工档案和完整的结算资料</w:t>
      </w:r>
      <w:r>
        <w:rPr>
          <w:rFonts w:ascii="仿宋" w:hAnsi="仿宋" w:eastAsia="仿宋" w:cs="宋体"/>
          <w:snapToGrid w:val="0"/>
          <w:color w:val="000000" w:themeColor="text1"/>
          <w:highlight w:val="none"/>
          <w:lang w:eastAsia="zh-CN"/>
          <w14:textFill>
            <w14:solidFill>
              <w14:schemeClr w14:val="tx1"/>
            </w14:solidFill>
          </w14:textFill>
        </w:rPr>
        <w:t>后，承包人向发包人提出履约保函退还申请，发包人在</w:t>
      </w:r>
      <w:r>
        <w:rPr>
          <w:rFonts w:hint="eastAsia" w:ascii="仿宋" w:hAnsi="仿宋" w:eastAsia="仿宋" w:cs="宋体"/>
          <w:snapToGrid w:val="0"/>
          <w:color w:val="000000" w:themeColor="text1"/>
          <w:highlight w:val="none"/>
          <w:lang w:eastAsia="zh-CN"/>
          <w14:textFill>
            <w14:solidFill>
              <w14:schemeClr w14:val="tx1"/>
            </w14:solidFill>
          </w14:textFill>
        </w:rPr>
        <w:t>收到承包人退保申请后的14天内</w:t>
      </w:r>
      <w:r>
        <w:rPr>
          <w:rFonts w:ascii="仿宋" w:hAnsi="仿宋" w:eastAsia="仿宋" w:cs="宋体"/>
          <w:snapToGrid w:val="0"/>
          <w:color w:val="000000" w:themeColor="text1"/>
          <w:highlight w:val="none"/>
          <w:lang w:eastAsia="zh-CN"/>
          <w14:textFill>
            <w14:solidFill>
              <w14:schemeClr w14:val="tx1"/>
            </w14:solidFill>
          </w14:textFill>
        </w:rPr>
        <w:t>无息退回履约保函。如承包人违反本合同约定的任何义务，发包人有权根据履约保函申请获得承包人应向发包人支付的违约金或损失赔偿额，如有不足的，承包人应另行承担赔偿责任。</w:t>
      </w:r>
    </w:p>
    <w:p w14:paraId="0AB0BFA4">
      <w:pPr>
        <w:pStyle w:val="5"/>
        <w:numPr>
          <w:ilvl w:val="0"/>
          <w:numId w:val="38"/>
        </w:numPr>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56" w:name="_Toc149731569"/>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 xml:space="preserve"> </w:t>
      </w:r>
      <w:bookmarkStart w:id="657" w:name="_Toc1164"/>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发包人风险</w:t>
      </w:r>
      <w:bookmarkEnd w:id="656"/>
      <w:bookmarkEnd w:id="657"/>
    </w:p>
    <w:p w14:paraId="39B49CF1">
      <w:pPr>
        <w:spacing w:line="360" w:lineRule="auto"/>
        <w:ind w:firstLine="480" w:firstLineChars="200"/>
        <w:rPr>
          <w:rFonts w:ascii="仿宋" w:hAnsi="仿宋" w:eastAsia="仿宋" w:cs="仿宋"/>
          <w:bCs/>
          <w:color w:val="000000" w:themeColor="text1"/>
          <w:highlight w:val="none"/>
          <w:lang w:eastAsia="zh-CN"/>
          <w14:textFill>
            <w14:solidFill>
              <w14:schemeClr w14:val="tx1"/>
            </w14:solidFill>
          </w14:textFill>
        </w:rPr>
      </w:pPr>
      <w:r>
        <w:rPr>
          <w:rFonts w:hint="eastAsia" w:ascii="仿宋" w:hAnsi="仿宋" w:eastAsia="仿宋" w:cs="仿宋"/>
          <w:bCs/>
          <w:color w:val="000000" w:themeColor="text1"/>
          <w:highlight w:val="none"/>
          <w:lang w:eastAsia="zh-CN"/>
          <w14:textFill>
            <w14:solidFill>
              <w14:schemeClr w14:val="tx1"/>
            </w14:solidFill>
          </w14:textFill>
        </w:rPr>
        <w:t>33.2发包人风险</w:t>
      </w:r>
    </w:p>
    <w:p w14:paraId="60F5A363">
      <w:pPr>
        <w:spacing w:line="360" w:lineRule="auto"/>
        <w:ind w:firstLine="480" w:firstLineChars="200"/>
        <w:rPr>
          <w:rFonts w:ascii="仿宋" w:hAnsi="仿宋" w:eastAsia="仿宋" w:cs="仿宋"/>
          <w:bCs/>
          <w:color w:val="000000" w:themeColor="text1"/>
          <w:highlight w:val="none"/>
          <w:lang w:eastAsia="zh-CN"/>
          <w14:textFill>
            <w14:solidFill>
              <w14:schemeClr w14:val="tx1"/>
            </w14:solidFill>
          </w14:textFill>
        </w:rPr>
      </w:pPr>
      <w:r>
        <w:rPr>
          <w:rFonts w:hint="eastAsia" w:ascii="仿宋" w:hAnsi="仿宋" w:eastAsia="仿宋" w:cs="仿宋"/>
          <w:bCs/>
          <w:color w:val="000000" w:themeColor="text1"/>
          <w:highlight w:val="none"/>
          <w:lang w:eastAsia="zh-CN"/>
          <w14:textFill>
            <w14:solidFill>
              <w14:schemeClr w14:val="tx1"/>
            </w14:solidFill>
          </w14:textFill>
        </w:rPr>
        <w:t>（9）其他风险：</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4A8A0500">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58" w:name="_Toc18274"/>
      <w:bookmarkStart w:id="659" w:name="_Toc14973157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35.  不可抗力</w:t>
      </w:r>
      <w:bookmarkEnd w:id="658"/>
      <w:bookmarkEnd w:id="659"/>
    </w:p>
    <w:p w14:paraId="2BEEAA64">
      <w:pPr>
        <w:spacing w:line="360" w:lineRule="auto"/>
        <w:ind w:firstLine="480" w:firstLineChars="200"/>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Cs/>
          <w:color w:val="000000" w:themeColor="text1"/>
          <w:highlight w:val="none"/>
          <w:lang w:eastAsia="zh-CN"/>
          <w14:textFill>
            <w14:solidFill>
              <w14:schemeClr w14:val="tx1"/>
            </w14:solidFill>
          </w14:textFill>
        </w:rPr>
        <w:t>35.1</w:t>
      </w:r>
      <w:r>
        <w:rPr>
          <w:rFonts w:hint="eastAsia" w:ascii="仿宋" w:hAnsi="仿宋" w:eastAsia="仿宋" w:cs="仿宋"/>
          <w:color w:val="000000" w:themeColor="text1"/>
          <w:highlight w:val="none"/>
          <w:lang w:eastAsia="zh-CN"/>
          <w14:textFill>
            <w14:solidFill>
              <w14:schemeClr w14:val="tx1"/>
            </w14:solidFill>
          </w14:textFill>
        </w:rPr>
        <w:t>除通用条款约定的不可抗力事件之外，视为不可抗力的其他情形</w:t>
      </w:r>
      <w:r>
        <w:rPr>
          <w:rFonts w:hint="eastAsia" w:ascii="仿宋" w:hAnsi="仿宋" w:eastAsia="仿宋" w:cs="仿宋"/>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 xml:space="preserve">政府对本工程的政策变化、计划的调整，导致本工程不能如期进行，也属不可抗力的范围。 </w:t>
      </w:r>
    </w:p>
    <w:p w14:paraId="7E0B8C8D">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60" w:name="_Toc149731571"/>
      <w:bookmarkStart w:id="661" w:name="_Toc29604"/>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36.  保险</w:t>
      </w:r>
      <w:bookmarkEnd w:id="660"/>
      <w:bookmarkEnd w:id="661"/>
    </w:p>
    <w:p w14:paraId="1C1BEF5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36.1 发包人办理保险</w:t>
      </w:r>
    </w:p>
    <w:p w14:paraId="76B9A8A8">
      <w:pPr>
        <w:spacing w:line="360" w:lineRule="auto"/>
        <w:ind w:firstLine="468" w:firstLineChars="1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委托承包人办理保险的事项有：</w:t>
      </w:r>
    </w:p>
    <w:p w14:paraId="4B881CE2">
      <w:pPr>
        <w:spacing w:line="360" w:lineRule="auto"/>
        <w:ind w:firstLine="468" w:firstLineChars="1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通用条款第36.1款的第（1）项；</w:t>
      </w:r>
    </w:p>
    <w:p w14:paraId="3FC8DAA6">
      <w:pPr>
        <w:spacing w:line="360" w:lineRule="auto"/>
        <w:ind w:firstLine="468" w:firstLineChars="1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通用条款第36.1款的第（2）项；</w:t>
      </w:r>
    </w:p>
    <w:p w14:paraId="1778F643">
      <w:pPr>
        <w:spacing w:line="360" w:lineRule="auto"/>
        <w:ind w:firstLine="468" w:firstLineChars="1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通用条款第36.1款的第（3）项；</w:t>
      </w:r>
    </w:p>
    <w:p w14:paraId="168C27A8">
      <w:pPr>
        <w:spacing w:line="360" w:lineRule="auto"/>
        <w:ind w:firstLine="468" w:firstLineChars="1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通用条款第36.1款的第（4）项；</w:t>
      </w:r>
    </w:p>
    <w:p w14:paraId="19DA1E2B">
      <w:pPr>
        <w:spacing w:line="360" w:lineRule="auto"/>
        <w:ind w:firstLine="468" w:firstLineChars="1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通用条款第36.1款的第（5）项；</w:t>
      </w:r>
    </w:p>
    <w:p w14:paraId="5FC40BB2">
      <w:pPr>
        <w:spacing w:line="360" w:lineRule="auto"/>
        <w:ind w:firstLine="468" w:firstLineChars="1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关于安全生产责任险的约定：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由承包人按《广东省安全生产责任保险实施办法》进行投保，相关费用已含在合同价款中。</w:t>
      </w:r>
    </w:p>
    <w:p w14:paraId="7F018EB7">
      <w:pPr>
        <w:spacing w:line="360" w:lineRule="auto"/>
        <w:ind w:firstLine="468" w:firstLineChars="1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36.8 投保内容、保险金、保险期限和责任等事项的约定：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委托承包人办理及由承包人负责办理保险的事项，相关费用已含在合同价款中。 </w:t>
      </w:r>
    </w:p>
    <w:p w14:paraId="79CD07A0">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62" w:name="_Toc149731572"/>
      <w:bookmarkStart w:id="663" w:name="_Toc4994"/>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37.  工程勘察</w:t>
      </w:r>
      <w:bookmarkEnd w:id="662"/>
      <w:bookmarkEnd w:id="663"/>
    </w:p>
    <w:p w14:paraId="49AA7CC9">
      <w:pPr>
        <w:spacing w:line="360" w:lineRule="auto"/>
        <w:ind w:left="240" w:leftChars="100" w:firstLine="240"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37.1 对发包人要求和项目基础资料的核实</w:t>
      </w:r>
    </w:p>
    <w:p w14:paraId="2C82080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通用条款第37.1款约定。</w:t>
      </w:r>
    </w:p>
    <w:p w14:paraId="1379F82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另有约定：</w:t>
      </w:r>
      <w:r>
        <w:rPr>
          <w:rFonts w:hint="eastAsia" w:ascii="仿宋" w:hAnsi="仿宋" w:eastAsia="仿宋" w:cs="仿宋"/>
          <w:color w:val="000000" w:themeColor="text1"/>
          <w:highlight w:val="none"/>
          <w:u w:val="single"/>
          <w:lang w:eastAsia="zh-CN"/>
          <w14:textFill>
            <w14:solidFill>
              <w14:schemeClr w14:val="tx1"/>
            </w14:solidFill>
          </w14:textFill>
        </w:rPr>
        <w:t>本项目不涉及。</w:t>
      </w:r>
    </w:p>
    <w:p w14:paraId="4932290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37.2勘察实施方案与应急预案</w:t>
      </w:r>
    </w:p>
    <w:p w14:paraId="245C5C6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本项目不涉及。 </w:t>
      </w:r>
    </w:p>
    <w:p w14:paraId="06521FC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②提供数量：</w:t>
      </w:r>
      <w:r>
        <w:rPr>
          <w:rFonts w:hint="eastAsia" w:ascii="仿宋" w:hAnsi="仿宋" w:eastAsia="仿宋" w:cs="仿宋"/>
          <w:color w:val="000000" w:themeColor="text1"/>
          <w:highlight w:val="none"/>
          <w:u w:val="single"/>
          <w:lang w:eastAsia="zh-CN"/>
          <w14:textFill>
            <w14:solidFill>
              <w14:schemeClr w14:val="tx1"/>
            </w14:solidFill>
          </w14:textFill>
        </w:rPr>
        <w:t xml:space="preserve"> 本项目不涉及。</w:t>
      </w:r>
    </w:p>
    <w:p w14:paraId="179AFEC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37.3.4 </w:t>
      </w:r>
      <w:r>
        <w:rPr>
          <w:rFonts w:hint="eastAsia" w:ascii="仿宋" w:hAnsi="仿宋" w:eastAsia="仿宋" w:cs="仿宋"/>
          <w:color w:val="000000" w:themeColor="text1"/>
          <w:highlight w:val="none"/>
          <w:u w:val="single"/>
          <w:lang w:eastAsia="zh-CN"/>
          <w14:textFill>
            <w14:solidFill>
              <w14:schemeClr w14:val="tx1"/>
            </w14:solidFill>
          </w14:textFill>
        </w:rPr>
        <w:t>本项目不涉及。</w:t>
      </w:r>
    </w:p>
    <w:p w14:paraId="302BC838">
      <w:pPr>
        <w:spacing w:line="360" w:lineRule="auto"/>
        <w:ind w:firstLine="48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37.4 承包人提供勘察成果</w:t>
      </w:r>
    </w:p>
    <w:p w14:paraId="1AACD63A">
      <w:pPr>
        <w:numPr>
          <w:ilvl w:val="255"/>
          <w:numId w:val="0"/>
        </w:num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①提供时间：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 本项目不涉及。 </w:t>
      </w:r>
    </w:p>
    <w:p w14:paraId="73A3264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②提供方式：</w:t>
      </w:r>
      <w:r>
        <w:rPr>
          <w:rFonts w:hint="eastAsia" w:ascii="仿宋" w:hAnsi="仿宋" w:eastAsia="仿宋" w:cs="仿宋"/>
          <w:color w:val="000000" w:themeColor="text1"/>
          <w:highlight w:val="none"/>
          <w:u w:val="single"/>
          <w:lang w:eastAsia="zh-CN"/>
          <w14:textFill>
            <w14:solidFill>
              <w14:schemeClr w14:val="tx1"/>
            </w14:solidFill>
          </w14:textFill>
        </w:rPr>
        <w:t xml:space="preserve"> 本项目不涉及。 </w:t>
      </w:r>
    </w:p>
    <w:p w14:paraId="5500E01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③提供数量：</w:t>
      </w:r>
      <w:r>
        <w:rPr>
          <w:rFonts w:hint="eastAsia" w:ascii="仿宋" w:hAnsi="仿宋" w:eastAsia="仿宋" w:cs="仿宋"/>
          <w:color w:val="000000" w:themeColor="text1"/>
          <w:highlight w:val="none"/>
          <w:u w:val="single"/>
          <w:lang w:eastAsia="zh-CN"/>
          <w14:textFill>
            <w14:solidFill>
              <w14:schemeClr w14:val="tx1"/>
            </w14:solidFill>
          </w14:textFill>
        </w:rPr>
        <w:t>本项目不涉及。</w:t>
      </w:r>
    </w:p>
    <w:p w14:paraId="1DA0B755">
      <w:pPr>
        <w:pStyle w:val="5"/>
        <w:tabs>
          <w:tab w:val="left" w:pos="420"/>
        </w:tabs>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64" w:name="_Toc3204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38.  工程设计</w:t>
      </w:r>
      <w:bookmarkEnd w:id="664"/>
    </w:p>
    <w:p w14:paraId="39A5F27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38.1 对发包人要求和项目基础资料的核实</w:t>
      </w:r>
    </w:p>
    <w:p w14:paraId="2E53E77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通用条款第38.1款约定。</w:t>
      </w:r>
    </w:p>
    <w:p w14:paraId="63E2D1E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另有约定：</w:t>
      </w:r>
      <w:r>
        <w:rPr>
          <w:rFonts w:hint="eastAsia" w:ascii="仿宋" w:hAnsi="仿宋" w:eastAsia="仿宋" w:cs="仿宋"/>
          <w:color w:val="000000" w:themeColor="text1"/>
          <w:highlight w:val="none"/>
          <w:u w:val="single"/>
          <w:lang w:eastAsia="zh-CN"/>
          <w14:textFill>
            <w14:solidFill>
              <w14:schemeClr w14:val="tx1"/>
            </w14:solidFill>
          </w14:textFill>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0F9CAFA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38.2施工图设计实施方案</w:t>
      </w:r>
    </w:p>
    <w:p w14:paraId="090AFD0D">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宋体" w:hAnsi="宋体" w:cs="仿宋"/>
          <w:color w:val="000000" w:themeColor="text1"/>
          <w:highlight w:val="none"/>
          <w:lang w:eastAsia="zh-CN"/>
          <w14:textFill>
            <w14:solidFill>
              <w14:schemeClr w14:val="tx1"/>
            </w14:solidFill>
          </w14:textFill>
        </w:rPr>
        <w:t>①</w:t>
      </w:r>
      <w:r>
        <w:rPr>
          <w:rFonts w:hint="eastAsia" w:ascii="仿宋" w:hAnsi="仿宋" w:eastAsia="仿宋" w:cs="仿宋"/>
          <w:color w:val="000000" w:themeColor="text1"/>
          <w:highlight w:val="none"/>
          <w:lang w:eastAsia="zh-CN"/>
          <w14:textFill>
            <w14:solidFill>
              <w14:schemeClr w14:val="tx1"/>
            </w14:solidFill>
          </w14:textFill>
        </w:rPr>
        <w:t>提供时间：</w:t>
      </w:r>
      <w:r>
        <w:rPr>
          <w:rFonts w:hint="eastAsia" w:ascii="仿宋" w:hAnsi="仿宋" w:eastAsia="仿宋" w:cs="仿宋"/>
          <w:color w:val="000000" w:themeColor="text1"/>
          <w:highlight w:val="none"/>
          <w:u w:val="single"/>
          <w:lang w:eastAsia="zh-CN"/>
          <w14:textFill>
            <w14:solidFill>
              <w14:schemeClr w14:val="tx1"/>
            </w14:solidFill>
          </w14:textFill>
        </w:rPr>
        <w:t>设计工作开始3天前；</w:t>
      </w:r>
    </w:p>
    <w:p w14:paraId="059A805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②提供方式：</w:t>
      </w:r>
      <w:r>
        <w:rPr>
          <w:rFonts w:hint="eastAsia" w:ascii="仿宋" w:hAnsi="仿宋" w:eastAsia="仿宋" w:cs="仿宋"/>
          <w:color w:val="000000" w:themeColor="text1"/>
          <w:highlight w:val="none"/>
          <w:u w:val="single"/>
          <w:lang w:eastAsia="zh-CN"/>
          <w14:textFill>
            <w14:solidFill>
              <w14:schemeClr w14:val="tx1"/>
            </w14:solidFill>
          </w14:textFill>
        </w:rPr>
        <w:t>纸质文件及电子文件；</w:t>
      </w:r>
    </w:p>
    <w:p w14:paraId="133B42C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③提供数量：</w:t>
      </w:r>
      <w:r>
        <w:rPr>
          <w:rFonts w:hint="eastAsia" w:ascii="仿宋" w:hAnsi="仿宋" w:eastAsia="仿宋" w:cs="仿宋"/>
          <w:color w:val="000000" w:themeColor="text1"/>
          <w:highlight w:val="none"/>
          <w:u w:val="single"/>
          <w:lang w:eastAsia="zh-CN"/>
          <w14:textFill>
            <w14:solidFill>
              <w14:schemeClr w14:val="tx1"/>
            </w14:solidFill>
          </w14:textFill>
        </w:rPr>
        <w:t>纸质文件一式陆份，电子文件2份。</w:t>
      </w:r>
    </w:p>
    <w:p w14:paraId="637EBC9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38.3 设计实施</w:t>
      </w:r>
    </w:p>
    <w:p w14:paraId="1014D77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38.3.1 </w:t>
      </w:r>
      <w:r>
        <w:rPr>
          <w:rFonts w:ascii="仿宋" w:hAnsi="仿宋" w:eastAsia="仿宋"/>
          <w:color w:val="000000" w:themeColor="text1"/>
          <w:highlight w:val="none"/>
          <w:lang w:eastAsia="zh-CN"/>
          <w14:textFill>
            <w14:solidFill>
              <w14:schemeClr w14:val="tx1"/>
            </w14:solidFill>
          </w14:textFill>
        </w:rPr>
        <w:t>适用于发包人按单</w:t>
      </w:r>
      <w:r>
        <w:rPr>
          <w:rFonts w:hint="eastAsia" w:ascii="仿宋" w:hAnsi="仿宋" w:eastAsia="仿宋"/>
          <w:color w:val="000000" w:themeColor="text1"/>
          <w:highlight w:val="none"/>
          <w:lang w:eastAsia="zh-CN"/>
          <w14:textFill>
            <w14:solidFill>
              <w14:schemeClr w14:val="tx1"/>
            </w14:solidFill>
          </w14:textFill>
        </w:rPr>
        <w:t>项</w:t>
      </w:r>
      <w:r>
        <w:rPr>
          <w:rFonts w:ascii="仿宋" w:hAnsi="仿宋" w:eastAsia="仿宋"/>
          <w:color w:val="000000" w:themeColor="text1"/>
          <w:highlight w:val="none"/>
          <w:lang w:eastAsia="zh-CN"/>
          <w14:textFill>
            <w14:solidFill>
              <w14:schemeClr w14:val="tx1"/>
            </w14:solidFill>
          </w14:textFill>
        </w:rPr>
        <w:t>工程接收和（或）整个工程接收</w:t>
      </w:r>
      <w:r>
        <w:rPr>
          <w:rFonts w:hint="eastAsia" w:ascii="仿宋" w:hAnsi="仿宋" w:eastAsia="仿宋"/>
          <w:color w:val="000000" w:themeColor="text1"/>
          <w:highlight w:val="none"/>
          <w:lang w:eastAsia="zh-CN"/>
          <w14:textFill>
            <w14:solidFill>
              <w14:schemeClr w14:val="tx1"/>
            </w14:solidFill>
          </w14:textFill>
        </w:rPr>
        <w:t>的标准和规范：</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详见设计任务书。</w:t>
      </w:r>
    </w:p>
    <w:p w14:paraId="0A9A2947">
      <w:pPr>
        <w:spacing w:line="360" w:lineRule="auto"/>
        <w:ind w:firstLine="480" w:firstLineChars="200"/>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38.3.4 承包人的设计应满足生产或运营设备的工艺流程、配置要求，需要专利人、供应商或发包人提供资料的约定</w:t>
      </w:r>
      <w:r>
        <w:rPr>
          <w:rFonts w:hint="eastAsia" w:ascii="仿宋" w:hAnsi="仿宋" w:eastAsia="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 xml:space="preserve">（如有，另行通知） </w:t>
      </w:r>
    </w:p>
    <w:p w14:paraId="572E3BB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38.3.6 承包人的合理化建议被采纳，节约投资成本显著或预期产生显著的经济效益，发包人按以下约定给予承包人奖励：</w:t>
      </w:r>
    </w:p>
    <w:p w14:paraId="23B6D5A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优化设计降低造价奖励：</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382EEAD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其他合理化建议奖励：</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7AF31F8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双方协商一致，增加以下38.3.7-38.3.26款：</w:t>
      </w:r>
    </w:p>
    <w:p w14:paraId="5C0D627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38.3.7承包人应按照国家有关部门、行业工程建设标准规范中设计深度的规定，遵循限额设计原则开展工程设计。承包人的设计应做到功能合理、技术先进、质量可靠、施工安全、绿色环保、经济合理。</w:t>
      </w:r>
    </w:p>
    <w:p w14:paraId="0886988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38.3.8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000000" w:themeColor="text1"/>
          <w:highlight w:val="none"/>
          <w:lang w:eastAsia="zh-CN"/>
          <w14:textFill>
            <w14:solidFill>
              <w14:schemeClr w14:val="tx1"/>
            </w14:solidFill>
          </w14:textFill>
        </w:rPr>
        <w:t>查、工程验收等无风险的情况下，发包人可决定采用或不采用，决定采用时，作为变更处理。</w:t>
      </w:r>
    </w:p>
    <w:p w14:paraId="2E96B9E7">
      <w:pPr>
        <w:spacing w:line="360" w:lineRule="auto"/>
        <w:ind w:firstLine="424" w:firstLineChars="177"/>
        <w:rPr>
          <w:rFonts w:ascii="仿宋" w:hAnsi="仿宋" w:eastAsia="仿宋"/>
          <w:color w:val="000000" w:themeColor="text1"/>
          <w:highlight w:val="none"/>
          <w:u w:val="singl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38.3.9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6766AF9A">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38.3.10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696B9B3B">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38.3.11未经发包人书面同意，承包人不得对已批准的初步设计重大修改、增减或删除。</w:t>
      </w:r>
    </w:p>
    <w:p w14:paraId="602F230A">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38.3.12在设计及施工过程中，承包人应充分尊重和理解发包人对设计提出的书面意见与要求，如无充分的否定理由应尽快予以处理和实施。对合同没有约定的部分和没有描述的部分，双方应另行协商。</w:t>
      </w:r>
    </w:p>
    <w:p w14:paraId="0B601319">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38.3.13承包人应积极主动协助发包人进行与项目有关的内、外协调工作。积极协助发包人与规划、市政、交通、消防、建委、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7FC95F19">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6B524B0C">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承包人应负责协助完成各项施工图机构审查及行政审批工作，并承担主管部门审查过程中的相关费用（若有）和行政审查过程中的相关费用。</w:t>
      </w:r>
    </w:p>
    <w:p w14:paraId="4F160D0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38.3.14发包人可要求承包人对相关设计进行优化或承包人可自行进行优化设计，优化后的设计需通过发包人认可，发包人不再为此另行支付任何费用。</w:t>
      </w:r>
    </w:p>
    <w:p w14:paraId="1BFFE27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38.3.15为保证项目品质，承包人应严格按照招标技术要求、设计任务书等发包人的要求进行设计，不得擅自降低标准。承包人在设计阶段应随时与发包人进行沟通，确保项目的品质，充分体现发包人的意图。</w:t>
      </w:r>
    </w:p>
    <w:p w14:paraId="42A0169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38.3.16承包人的所有设计工作均要按发包人批准的限额设计指标要求进行设计。各专业工程的施工图预算不得超过发包人审批的各专业工程限额设计指标，若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1290A35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w:t>
      </w:r>
      <w:r>
        <w:rPr>
          <w:rFonts w:hint="eastAsia" w:ascii="仿宋" w:hAnsi="仿宋" w:eastAsia="仿宋"/>
          <w:color w:val="000000" w:themeColor="text1"/>
          <w:highlight w:val="none"/>
          <w:lang w:eastAsia="zh-CN"/>
          <w14:textFill>
            <w14:solidFill>
              <w14:schemeClr w14:val="tx1"/>
            </w14:solidFill>
          </w14:textFill>
        </w:rPr>
        <w:t>承包人应承诺有关设计的任何修改、变动或由于修改设计所引起的工艺、技术、材料、设备的变更均须经过发包人的同意。</w:t>
      </w:r>
    </w:p>
    <w:p w14:paraId="51D7D2D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w:t>
      </w:r>
      <w:r>
        <w:rPr>
          <w:rFonts w:hint="eastAsia" w:ascii="仿宋" w:hAnsi="仿宋" w:eastAsia="仿宋"/>
          <w:color w:val="000000" w:themeColor="text1"/>
          <w:highlight w:val="none"/>
          <w:lang w:eastAsia="zh-CN"/>
          <w14:textFill>
            <w14:solidFill>
              <w14:schemeClr w14:val="tx1"/>
            </w14:solidFill>
          </w14:textFill>
        </w:rPr>
        <w:t>承包人承诺在交付项目的部分或全部设计文件后，如有更好的新工艺、新技术、新材料、新设备等适用于本项目，将及时向发包人推荐并提供科学的评估。</w:t>
      </w:r>
    </w:p>
    <w:p w14:paraId="5FC07AD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76346F4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（4）对于超设计限额的，应在保证设计质量的前提下自行修改，如确实需要增加的，必须报发包人审查，取得发包人书面同意后，方可修正。</w:t>
      </w:r>
    </w:p>
    <w:p w14:paraId="549ED2D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6C0B2AF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38.3.17承包人提供的施工图设计说明应标明主要材料和设备的技术规格参数。设计材料选购及施工组织配合：</w:t>
      </w:r>
    </w:p>
    <w:p w14:paraId="037B392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w:t>
      </w:r>
      <w:r>
        <w:rPr>
          <w:rFonts w:hint="eastAsia" w:ascii="仿宋" w:hAnsi="仿宋" w:eastAsia="仿宋"/>
          <w:color w:val="000000" w:themeColor="text1"/>
          <w:highlight w:val="none"/>
          <w:lang w:eastAsia="zh-CN"/>
          <w14:textFill>
            <w14:solidFill>
              <w14:schemeClr w14:val="tx1"/>
            </w14:solidFill>
          </w14:textFill>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294CE36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w:t>
      </w:r>
      <w:r>
        <w:rPr>
          <w:rFonts w:hint="eastAsia" w:ascii="仿宋" w:hAnsi="仿宋" w:eastAsia="仿宋"/>
          <w:color w:val="000000" w:themeColor="text1"/>
          <w:highlight w:val="none"/>
          <w:lang w:eastAsia="zh-CN"/>
          <w14:textFill>
            <w14:solidFill>
              <w14:schemeClr w14:val="tx1"/>
            </w14:solidFill>
          </w14:textFill>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他性，承包人不得推荐或选用具有唯一知识产权特征的独家产品。如确有必要，承包人应提前取得发包人的书面认可。</w:t>
      </w:r>
    </w:p>
    <w:p w14:paraId="05BC32B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（3）协助发包人进行特定设备或材料的采购工作，对发包人所采购的设备、材料应进行技术复核，并对设备、材料的深化图纸予以确认。</w:t>
      </w:r>
    </w:p>
    <w:p w14:paraId="1FF289F2">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（4）承包人对上述条款提供的相应咨询及评估意见供发包人参考，决策权在发包人，但承包人应承担相应的责任。</w:t>
      </w:r>
    </w:p>
    <w:p w14:paraId="36A2DF3B">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（5）承包人需要对所有发出的图纸、资料进行审查，以控制设计产品的品质。</w:t>
      </w:r>
    </w:p>
    <w:p w14:paraId="215ABDDE">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（6）在外立面施工过程中，承包人承诺应按发包人要求委派承担本项目设计的专业设计负责人作为设计代表参加重要工程例会，参与材料选样工作，以控制立面效果。</w:t>
      </w:r>
    </w:p>
    <w:p w14:paraId="3132A28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38.3.18因承包人原因，造成施工图存在遗漏、错误和不足的，承包人应补充、修正和完善，由此产生的费用由承包人承担。因此对后续设计、采购、施工等造成的工期延误及费用增加由承包人承担。</w:t>
      </w:r>
    </w:p>
    <w:p w14:paraId="7E92B7D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38.3.19承包人应按发包人要求提供所有施工图excel版图纸目录。</w:t>
      </w:r>
    </w:p>
    <w:p w14:paraId="5DA38AE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38.3.20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000000" w:themeColor="text1"/>
          <w:highlight w:val="none"/>
          <w:lang w:eastAsia="zh-CN"/>
          <w14:textFill>
            <w14:solidFill>
              <w14:schemeClr w14:val="tx1"/>
            </w14:solidFill>
          </w14:textFill>
        </w:rPr>
        <w:t>并晒印蓝图。</w:t>
      </w:r>
    </w:p>
    <w:p w14:paraId="6615551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38.3.21深化设计作为施工图设计文件的一个部分，该部分不再另行计费。深化设计工作内容必须全部完成，满足施工需求并经发包人书面认可。</w:t>
      </w:r>
    </w:p>
    <w:p w14:paraId="5B6DB5D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38.3.22承包人未按照发包人要求在规定时间内提供经发包人认可，以及按规定需通过审查审批的所有专项设计最终成果，由此造成的一切责任和损失由承包人承担。</w:t>
      </w:r>
    </w:p>
    <w:p w14:paraId="1AE596D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38.3.23承包人应负责工程设计的组织、协调、进度控制等所有工作，并负责对该工程的所有设计工作进行审查，对所有相关设计文件的正确性承担责任。并按合同中对承包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000000" w:themeColor="text1"/>
          <w:highlight w:val="none"/>
          <w:lang w:eastAsia="zh-CN"/>
          <w14:textFill>
            <w14:solidFill>
              <w14:schemeClr w14:val="tx1"/>
            </w14:solidFill>
          </w14:textFill>
        </w:rPr>
        <w:t>人文件的有关要求，提供全部的设计文件最终版。承包人应负责协调并办理取得相关部门意见。</w:t>
      </w:r>
    </w:p>
    <w:p w14:paraId="74D9074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38.3.24设计变更</w:t>
      </w:r>
    </w:p>
    <w:p w14:paraId="44FA1A9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w:t>
      </w:r>
      <w:r>
        <w:rPr>
          <w:rFonts w:hint="eastAsia" w:ascii="仿宋" w:hAnsi="仿宋" w:eastAsia="仿宋"/>
          <w:color w:val="000000" w:themeColor="text1"/>
          <w:highlight w:val="none"/>
          <w:lang w:eastAsia="zh-CN"/>
          <w14:textFill>
            <w14:solidFill>
              <w14:schemeClr w14:val="tx1"/>
            </w14:solidFill>
          </w14:textFill>
        </w:rPr>
        <w:t>的</w:t>
      </w:r>
      <w:r>
        <w:rPr>
          <w:rFonts w:ascii="仿宋" w:hAnsi="仿宋" w:eastAsia="仿宋"/>
          <w:color w:val="000000" w:themeColor="text1"/>
          <w:highlight w:val="none"/>
          <w:lang w:eastAsia="zh-CN"/>
          <w14:textFill>
            <w14:solidFill>
              <w14:schemeClr w14:val="tx1"/>
            </w14:solidFill>
          </w14:textFill>
        </w:rPr>
        <w:t>修改时间。</w:t>
      </w:r>
    </w:p>
    <w:p w14:paraId="49DA27C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000000" w:themeColor="text1"/>
          <w:highlight w:val="none"/>
          <w:lang w:eastAsia="zh-CN"/>
          <w14:textFill>
            <w14:solidFill>
              <w14:schemeClr w14:val="tx1"/>
            </w14:solidFill>
          </w14:textFill>
        </w:rPr>
        <w:t>，并承担由此产生的一切责任</w:t>
      </w:r>
      <w:r>
        <w:rPr>
          <w:rFonts w:ascii="仿宋" w:hAnsi="仿宋" w:eastAsia="仿宋"/>
          <w:color w:val="000000" w:themeColor="text1"/>
          <w:highlight w:val="none"/>
          <w:lang w:eastAsia="zh-CN"/>
          <w14:textFill>
            <w14:solidFill>
              <w14:schemeClr w14:val="tx1"/>
            </w14:solidFill>
          </w14:textFill>
        </w:rPr>
        <w:t>。</w:t>
      </w:r>
    </w:p>
    <w:p w14:paraId="51350E3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（3）遇到国家设计规范发生修订与变更时，承包人依照新规范或修订后的规范进行必要的修改。</w:t>
      </w:r>
    </w:p>
    <w:p w14:paraId="7B6EC5F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（4）承包人应充分考虑中国现行的施工安装条件和水平、材料供应的条件，若由于设计自身过错导致无法施工或采购材料，承包人应无条件修改设计</w:t>
      </w:r>
      <w:r>
        <w:rPr>
          <w:rFonts w:hint="eastAsia" w:ascii="仿宋" w:hAnsi="仿宋" w:eastAsia="仿宋"/>
          <w:color w:val="000000" w:themeColor="text1"/>
          <w:highlight w:val="none"/>
          <w:lang w:eastAsia="zh-CN"/>
          <w14:textFill>
            <w14:solidFill>
              <w14:schemeClr w14:val="tx1"/>
            </w14:solidFill>
          </w14:textFill>
        </w:rPr>
        <w:t>，并承担由此产生的一切责任</w:t>
      </w:r>
      <w:r>
        <w:rPr>
          <w:rFonts w:ascii="仿宋" w:hAnsi="仿宋" w:eastAsia="仿宋"/>
          <w:color w:val="000000" w:themeColor="text1"/>
          <w:highlight w:val="none"/>
          <w:lang w:eastAsia="zh-CN"/>
          <w14:textFill>
            <w14:solidFill>
              <w14:schemeClr w14:val="tx1"/>
            </w14:solidFill>
          </w14:textFill>
        </w:rPr>
        <w:t>。</w:t>
      </w:r>
    </w:p>
    <w:p w14:paraId="63AD963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（5）承包人承诺在设计任务书原定范围内能够根据工程需要修改设计，对所承担项目设计的完整性负责，且修改设计完成时限应满足工程建设需要并符合本合同要求。</w:t>
      </w:r>
    </w:p>
    <w:p w14:paraId="1568444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38.3.25其他设计要求</w:t>
      </w:r>
    </w:p>
    <w:p w14:paraId="5C10F7A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（1）设计文件必须做到清晰、完整、尺寸齐全、准确，按国家有关对工程图纸绘制规格的要求进行，同类图纸规格统一。</w:t>
      </w:r>
    </w:p>
    <w:p w14:paraId="11FA2FB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2）承包人对本项目的设计进度、设计质量、施工服务等工作的完整性、连贯性和可靠性负责。</w:t>
      </w:r>
    </w:p>
    <w:p w14:paraId="46055C1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发包人要求承包人在设计过程中考虑工程实施时的实际可操作性。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000000" w:themeColor="text1"/>
          <w:highlight w:val="none"/>
          <w:lang w:eastAsia="zh-CN"/>
          <w14:textFill>
            <w14:solidFill>
              <w14:schemeClr w14:val="tx1"/>
            </w14:solidFill>
          </w14:textFill>
        </w:rPr>
        <w:t>由和可行的实施方案，报发包人同意后方可采用，否则，发包人有权要求承包人修改设计且无须另外支付费用。</w:t>
      </w:r>
    </w:p>
    <w:p w14:paraId="56AACBA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4</w:t>
      </w:r>
      <w:r>
        <w:rPr>
          <w:rFonts w:ascii="仿宋" w:hAnsi="仿宋" w:eastAsia="仿宋"/>
          <w:color w:val="000000" w:themeColor="text1"/>
          <w:highlight w:val="none"/>
          <w:lang w:eastAsia="zh-CN"/>
          <w14:textFill>
            <w14:solidFill>
              <w14:schemeClr w14:val="tx1"/>
            </w14:solidFill>
          </w14:textFill>
        </w:rPr>
        <w:t>）设备原则上要求所采用的设备和系统技术是成熟的，对于新技术、新成果的运用承包人必须有把握，并有相应的工程实践和实际应用经验供参考，且经发包人同意方可使用。</w:t>
      </w:r>
    </w:p>
    <w:p w14:paraId="7154863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5</w:t>
      </w: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000000" w:themeColor="text1"/>
          <w:highlight w:val="none"/>
          <w:lang w:eastAsia="zh-CN"/>
          <w14:textFill>
            <w14:solidFill>
              <w14:schemeClr w14:val="tx1"/>
            </w14:solidFill>
          </w14:textFill>
        </w:rPr>
        <w:t>1</w:t>
      </w:r>
      <w:r>
        <w:rPr>
          <w:rFonts w:hint="eastAsia" w:ascii="仿宋" w:hAnsi="仿宋" w:eastAsia="仿宋"/>
          <w:color w:val="000000" w:themeColor="text1"/>
          <w:highlight w:val="none"/>
          <w:lang w:eastAsia="zh-CN"/>
          <w14:textFill>
            <w14:solidFill>
              <w14:schemeClr w14:val="tx1"/>
            </w14:solidFill>
          </w14:textFill>
        </w:rPr>
        <w:t>次。</w:t>
      </w:r>
    </w:p>
    <w:p w14:paraId="52ADA1B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6</w:t>
      </w:r>
      <w:r>
        <w:rPr>
          <w:rFonts w:ascii="仿宋" w:hAnsi="仿宋" w:eastAsia="仿宋"/>
          <w:color w:val="000000" w:themeColor="text1"/>
          <w:highlight w:val="none"/>
          <w:lang w:eastAsia="zh-CN"/>
          <w14:textFill>
            <w14:solidFill>
              <w14:schemeClr w14:val="tx1"/>
            </w14:solidFill>
          </w14:textFill>
        </w:rPr>
        <w:t>）承包人应重视处理好投资、设计费和设计质量之间的关系，充分重视发挥承包人员在保证项目质量，投资控制方面的积极性。</w:t>
      </w:r>
    </w:p>
    <w:p w14:paraId="6A21595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eastAsia="zh-CN"/>
          <w14:textFill>
            <w14:solidFill>
              <w14:schemeClr w14:val="tx1"/>
            </w14:solidFill>
          </w14:textFill>
        </w:rPr>
        <w:t>7</w:t>
      </w:r>
      <w:r>
        <w:rPr>
          <w:rFonts w:ascii="仿宋" w:hAnsi="仿宋" w:eastAsia="仿宋"/>
          <w:color w:val="000000" w:themeColor="text1"/>
          <w:highlight w:val="none"/>
          <w:lang w:eastAsia="zh-CN"/>
          <w14:textFill>
            <w14:solidFill>
              <w14:schemeClr w14:val="tx1"/>
            </w14:solidFill>
          </w14:textFill>
        </w:rPr>
        <w:t>）承包人在施工图设计的时候应要求设计人员熟悉报价清单的项目特征描述，在保证功能造价的前提下尽量采用或者优于报价清单的相关内容。</w:t>
      </w:r>
    </w:p>
    <w:p w14:paraId="1C6E695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38.3.</w:t>
      </w:r>
      <w:r>
        <w:rPr>
          <w:rFonts w:hint="eastAsia" w:ascii="仿宋" w:hAnsi="仿宋" w:eastAsia="仿宋"/>
          <w:color w:val="000000" w:themeColor="text1"/>
          <w:highlight w:val="none"/>
          <w:lang w:eastAsia="zh-CN"/>
          <w14:textFill>
            <w14:solidFill>
              <w14:schemeClr w14:val="tx1"/>
            </w14:solidFill>
          </w14:textFill>
        </w:rPr>
        <w:t>26</w:t>
      </w:r>
      <w:r>
        <w:rPr>
          <w:rFonts w:ascii="仿宋" w:hAnsi="仿宋" w:eastAsia="仿宋"/>
          <w:bCs/>
          <w:snapToGrid w:val="0"/>
          <w:color w:val="000000" w:themeColor="text1"/>
          <w:highlight w:val="none"/>
          <w:lang w:eastAsia="zh-CN"/>
          <w14:textFill>
            <w14:solidFill>
              <w14:schemeClr w14:val="tx1"/>
            </w14:solidFill>
          </w14:textFill>
        </w:rPr>
        <w:t>承包人负责</w:t>
      </w:r>
      <w:r>
        <w:rPr>
          <w:rFonts w:hint="eastAsia" w:ascii="仿宋" w:hAnsi="仿宋" w:eastAsia="仿宋"/>
          <w:bCs/>
          <w:snapToGrid w:val="0"/>
          <w:color w:val="000000" w:themeColor="text1"/>
          <w:highlight w:val="none"/>
          <w:lang w:eastAsia="zh-CN"/>
          <w14:textFill>
            <w14:solidFill>
              <w14:schemeClr w14:val="tx1"/>
            </w14:solidFill>
          </w14:textFill>
        </w:rPr>
        <w:t>编制深基坑及管线位移等工程监测、检测方案和工程量清单</w:t>
      </w:r>
      <w:r>
        <w:rPr>
          <w:rFonts w:hint="eastAsia" w:ascii="仿宋" w:hAnsi="仿宋" w:eastAsia="仿宋"/>
          <w:color w:val="000000" w:themeColor="text1"/>
          <w:kern w:val="2"/>
          <w:highlight w:val="none"/>
          <w:lang w:eastAsia="zh-CN"/>
          <w14:textFill>
            <w14:solidFill>
              <w14:schemeClr w14:val="tx1"/>
            </w14:solidFill>
          </w14:textFill>
        </w:rPr>
        <w:t>。</w:t>
      </w:r>
    </w:p>
    <w:p w14:paraId="52CB90D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38.4 设计文件</w:t>
      </w:r>
    </w:p>
    <w:p w14:paraId="66811D7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38.4.1承包人向发包人提交设计文件的方式、数量和时间：</w:t>
      </w:r>
      <w:r>
        <w:rPr>
          <w:rFonts w:hint="eastAsia" w:ascii="仿宋" w:hAnsi="仿宋" w:eastAsia="仿宋" w:cs="仿宋"/>
          <w:color w:val="000000" w:themeColor="text1"/>
          <w:highlight w:val="none"/>
          <w:u w:val="single"/>
          <w:lang w:eastAsia="zh-CN"/>
          <w14:textFill>
            <w14:solidFill>
              <w14:schemeClr w14:val="tx1"/>
            </w14:solidFill>
          </w14:textFill>
        </w:rPr>
        <w:t>详见专用条款第7.2款。</w:t>
      </w:r>
    </w:p>
    <w:p w14:paraId="02552EE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38.5 装配式建筑</w:t>
      </w:r>
    </w:p>
    <w:p w14:paraId="18F47237">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本项目不涉及 。</w:t>
      </w:r>
    </w:p>
    <w:p w14:paraId="74CE60DA">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 设计审查</w:t>
      </w:r>
    </w:p>
    <w:p w14:paraId="2C6676DE">
      <w:pPr>
        <w:spacing w:line="360" w:lineRule="auto"/>
        <w:ind w:firstLine="424" w:firstLineChars="177"/>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38.6.1.1发包人对承包人设计文件审查的范围、内容的约定</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设计范围内所有专业工程的施工图及深化设计图纸。</w:t>
      </w:r>
    </w:p>
    <w:p w14:paraId="71EAFD3C">
      <w:pPr>
        <w:tabs>
          <w:tab w:val="left" w:pos="4970"/>
        </w:tabs>
        <w:spacing w:line="360" w:lineRule="auto"/>
        <w:ind w:firstLine="424" w:firstLineChars="177"/>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38.6.1.2发包人对承包人设计文件的审查期限</w:t>
      </w:r>
      <w:r>
        <w:rPr>
          <w:rFonts w:hint="eastAsia" w:ascii="仿宋" w:hAnsi="仿宋" w:eastAsia="仿宋" w:cs="仿宋"/>
          <w:color w:val="000000" w:themeColor="text1"/>
          <w:highlight w:val="none"/>
          <w:lang w:eastAsia="zh-CN"/>
          <w14:textFill>
            <w14:solidFill>
              <w14:schemeClr w14:val="tx1"/>
            </w14:solidFill>
          </w14:textFill>
        </w:rPr>
        <w:t>：</w:t>
      </w:r>
    </w:p>
    <w:p w14:paraId="5F01D7CA">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通用条款第38.6.1.2款约定；</w:t>
      </w:r>
    </w:p>
    <w:p w14:paraId="64C036EC">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另有约定：</w:t>
      </w:r>
    </w:p>
    <w:p w14:paraId="3D07F412">
      <w:pPr>
        <w:tabs>
          <w:tab w:val="left" w:pos="4970"/>
        </w:tabs>
        <w:spacing w:line="360" w:lineRule="auto"/>
        <w:ind w:firstLine="424" w:firstLineChars="177"/>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38.6.3.2发包人需要组织审查会议的，审查会议的审查形式和时间</w:t>
      </w:r>
      <w:r>
        <w:rPr>
          <w:rFonts w:hint="eastAsia" w:ascii="仿宋" w:hAnsi="仿宋" w:eastAsia="仿宋" w:cs="仿宋"/>
          <w:color w:val="000000" w:themeColor="text1"/>
          <w:highlight w:val="none"/>
          <w:lang w:eastAsia="zh-CN"/>
          <w14:textFill>
            <w14:solidFill>
              <w14:schemeClr w14:val="tx1"/>
            </w14:solidFill>
          </w14:textFill>
        </w:rPr>
        <w:t>：</w:t>
      </w:r>
    </w:p>
    <w:p w14:paraId="752B2570">
      <w:pPr>
        <w:spacing w:line="360" w:lineRule="auto"/>
        <w:ind w:firstLine="424" w:firstLineChars="177"/>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①审查形式：</w:t>
      </w:r>
      <w:r>
        <w:rPr>
          <w:rFonts w:hint="eastAsia" w:ascii="仿宋" w:hAnsi="仿宋" w:eastAsia="仿宋" w:cs="仿宋"/>
          <w:color w:val="000000" w:themeColor="text1"/>
          <w:highlight w:val="none"/>
          <w:u w:val="single"/>
          <w:lang w:eastAsia="zh-CN"/>
          <w14:textFill>
            <w14:solidFill>
              <w14:schemeClr w14:val="tx1"/>
            </w14:solidFill>
          </w14:textFill>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13481DCB">
      <w:pPr>
        <w:numPr>
          <w:ilvl w:val="255"/>
          <w:numId w:val="0"/>
        </w:num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②审查时间：</w:t>
      </w:r>
      <w:r>
        <w:rPr>
          <w:rFonts w:hint="eastAsia" w:ascii="仿宋" w:hAnsi="仿宋" w:eastAsia="仿宋" w:cs="仿宋"/>
          <w:color w:val="000000" w:themeColor="text1"/>
          <w:highlight w:val="none"/>
          <w:u w:val="single"/>
          <w:lang w:eastAsia="zh-CN"/>
          <w14:textFill>
            <w14:solidFill>
              <w14:schemeClr w14:val="tx1"/>
            </w14:solidFill>
          </w14:textFill>
        </w:rPr>
        <w:t xml:space="preserve">发包人可以跟进项目进度，分批、分专业组织审查工作；具体审查时间由承包人提出申请、发包人确认为准。 </w:t>
      </w:r>
    </w:p>
    <w:p w14:paraId="50ABC1FF">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65" w:name="_Toc149731573"/>
      <w:bookmarkStart w:id="666" w:name="_Toc32469"/>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39.  BIM技术应用及智能建造</w:t>
      </w:r>
      <w:bookmarkEnd w:id="665"/>
      <w:bookmarkEnd w:id="666"/>
    </w:p>
    <w:p w14:paraId="683E37E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本项目不涉及        </w:t>
      </w:r>
      <w:r>
        <w:rPr>
          <w:rFonts w:ascii="仿宋" w:hAnsi="仿宋" w:eastAsia="仿宋"/>
          <w:color w:val="000000" w:themeColor="text1"/>
          <w:highlight w:val="none"/>
          <w:lang w:eastAsia="zh-CN"/>
          <w14:textFill>
            <w14:solidFill>
              <w14:schemeClr w14:val="tx1"/>
            </w14:solidFill>
          </w14:textFill>
        </w:rPr>
        <w:t>。</w:t>
      </w:r>
    </w:p>
    <w:p w14:paraId="35F30104">
      <w:pPr>
        <w:pStyle w:val="40"/>
        <w:rPr>
          <w:color w:val="000000" w:themeColor="text1"/>
          <w:highlight w:val="none"/>
          <w:lang w:eastAsia="zh-CN"/>
          <w14:textFill>
            <w14:solidFill>
              <w14:schemeClr w14:val="tx1"/>
            </w14:solidFill>
          </w14:textFill>
        </w:rPr>
      </w:pPr>
    </w:p>
    <w:p w14:paraId="467AD277">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67" w:name="_Toc149731574"/>
      <w:bookmarkStart w:id="668" w:name="_Toc11928"/>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40.  进度计划和报告</w:t>
      </w:r>
      <w:bookmarkEnd w:id="667"/>
      <w:bookmarkEnd w:id="668"/>
    </w:p>
    <w:p w14:paraId="70E8FB2A">
      <w:pPr>
        <w:spacing w:line="360" w:lineRule="auto"/>
        <w:ind w:right="11" w:firstLine="424" w:firstLineChars="177"/>
        <w:rPr>
          <w:rFonts w:ascii="仿宋" w:hAnsi="仿宋" w:eastAsia="仿宋" w:cs="仿宋"/>
          <w:color w:val="000000" w:themeColor="text1"/>
          <w:highlight w:val="none"/>
          <w:lang w:eastAsia="zh-CN"/>
          <w14:textFill>
            <w14:solidFill>
              <w14:schemeClr w14:val="tx1"/>
            </w14:solidFill>
          </w14:textFill>
        </w:rPr>
      </w:pPr>
      <w:bookmarkStart w:id="669" w:name="_Toc9737"/>
      <w:r>
        <w:rPr>
          <w:rFonts w:hint="eastAsia" w:ascii="仿宋" w:hAnsi="仿宋" w:eastAsia="仿宋" w:cs="仿宋"/>
          <w:color w:val="000000" w:themeColor="text1"/>
          <w:highlight w:val="none"/>
          <w:lang w:eastAsia="zh-CN"/>
          <w14:textFill>
            <w14:solidFill>
              <w14:schemeClr w14:val="tx1"/>
            </w14:solidFill>
          </w14:textFill>
        </w:rPr>
        <w:t>40.3 提交工程进度报告和修订进度计划</w:t>
      </w:r>
      <w:bookmarkEnd w:id="669"/>
      <w:r>
        <w:rPr>
          <w:rFonts w:hint="eastAsia" w:ascii="仿宋" w:hAnsi="仿宋" w:eastAsia="仿宋" w:cs="仿宋"/>
          <w:color w:val="000000" w:themeColor="text1"/>
          <w:highlight w:val="none"/>
          <w:lang w:eastAsia="zh-CN"/>
          <w14:textFill>
            <w14:solidFill>
              <w14:schemeClr w14:val="tx1"/>
            </w14:solidFill>
          </w14:textFill>
        </w:rPr>
        <w:t>：</w:t>
      </w:r>
    </w:p>
    <w:p w14:paraId="34F87597">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除</w:t>
      </w:r>
      <w:r>
        <w:rPr>
          <w:rFonts w:hint="eastAsia" w:ascii="仿宋" w:hAnsi="仿宋" w:eastAsia="仿宋" w:cs="仿宋"/>
          <w:color w:val="000000" w:themeColor="text1"/>
          <w:highlight w:val="none"/>
          <w:u w:val="single"/>
          <w:lang w:eastAsia="zh-CN"/>
          <w14:textFill>
            <w14:solidFill>
              <w14:schemeClr w14:val="tx1"/>
            </w14:solidFill>
          </w14:textFill>
        </w:rPr>
        <w:t>按通用条款约定外，</w:t>
      </w:r>
      <w:r>
        <w:rPr>
          <w:rFonts w:hint="eastAsia" w:ascii="仿宋" w:hAnsi="仿宋" w:eastAsia="仿宋"/>
          <w:color w:val="000000" w:themeColor="text1"/>
          <w:highlight w:val="none"/>
          <w:lang w:eastAsia="zh-CN"/>
          <w14:textFill>
            <w14:solidFill>
              <w14:schemeClr w14:val="tx1"/>
            </w14:solidFill>
          </w14:textFill>
        </w:rPr>
        <w:t>进度报告的要求还包括：</w:t>
      </w:r>
      <w:r>
        <w:rPr>
          <w:rFonts w:hint="eastAsia" w:ascii="仿宋" w:hAnsi="仿宋" w:eastAsia="仿宋" w:cs="宋体"/>
          <w:bCs/>
          <w:snapToGrid w:val="0"/>
          <w:color w:val="000000" w:themeColor="text1"/>
          <w:highlight w:val="none"/>
          <w:lang w:eastAsia="zh-CN"/>
          <w14:textFill>
            <w14:solidFill>
              <w14:schemeClr w14:val="tx1"/>
            </w14:solidFill>
          </w14:textFill>
        </w:rPr>
        <w:t>承包人须于每月最后一日前向总监理工程师提供综合报表（内容包括但不限于如下计划、报表或报告），经总监理工程师审核，并报发包人批准后实施：</w:t>
      </w:r>
    </w:p>
    <w:p w14:paraId="3AC3FB19">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1）上月工程进度款《资金使用反馈表》（统计时段从</w:t>
      </w:r>
      <w:r>
        <w:rPr>
          <w:rFonts w:hint="eastAsia" w:ascii="仿宋" w:hAnsi="仿宋" w:eastAsia="仿宋" w:cs="宋体"/>
          <w:bCs/>
          <w:snapToGrid w:val="0"/>
          <w:color w:val="000000" w:themeColor="text1"/>
          <w:highlight w:val="none"/>
          <w:lang w:eastAsia="zh-CN"/>
          <w14:textFill>
            <w14:solidFill>
              <w14:schemeClr w14:val="tx1"/>
            </w14:solidFill>
          </w14:textFill>
        </w:rPr>
        <w:t>上上月</w:t>
      </w:r>
      <w:r>
        <w:rPr>
          <w:rFonts w:ascii="仿宋" w:hAnsi="仿宋" w:eastAsia="仿宋" w:cs="宋体"/>
          <w:bCs/>
          <w:snapToGrid w:val="0"/>
          <w:color w:val="000000" w:themeColor="text1"/>
          <w:highlight w:val="none"/>
          <w:lang w:eastAsia="zh-CN"/>
          <w14:textFill>
            <w14:solidFill>
              <w14:schemeClr w14:val="tx1"/>
            </w14:solidFill>
          </w14:textFill>
        </w:rPr>
        <w:t>25日至上月24日），并提交已支付分包及材料设备供货单位价款凭证复印件，由总监理工程师核实确认资金落实情况并报发包人，以保证承包人将工程进度款专用于本工程。</w:t>
      </w:r>
    </w:p>
    <w:p w14:paraId="0B84AE60">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2）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color w:val="000000" w:themeColor="text1"/>
          <w:highlight w:val="none"/>
          <w:lang w:eastAsia="zh-CN"/>
          <w14:textFill>
            <w14:solidFill>
              <w14:schemeClr w14:val="tx1"/>
            </w14:solidFill>
          </w14:textFill>
        </w:rPr>
        <w:t>其管理范围内各专业间的组织管理、协调、配合等方面情况及所出现问题的专项报告</w:t>
      </w:r>
      <w:r>
        <w:rPr>
          <w:rFonts w:hint="eastAsia" w:ascii="仿宋" w:hAnsi="仿宋" w:eastAsia="仿宋" w:cs="宋体"/>
          <w:bCs/>
          <w:snapToGrid w:val="0"/>
          <w:color w:val="000000" w:themeColor="text1"/>
          <w:highlight w:val="none"/>
          <w:lang w:eastAsia="zh-CN"/>
          <w14:textFill>
            <w14:solidFill>
              <w14:schemeClr w14:val="tx1"/>
            </w14:solidFill>
          </w14:textFill>
        </w:rPr>
        <w:t>（统计时段从上月</w:t>
      </w:r>
      <w:r>
        <w:rPr>
          <w:rFonts w:ascii="仿宋" w:hAnsi="仿宋" w:eastAsia="仿宋" w:cs="宋体"/>
          <w:bCs/>
          <w:snapToGrid w:val="0"/>
          <w:color w:val="000000" w:themeColor="text1"/>
          <w:highlight w:val="none"/>
          <w:lang w:eastAsia="zh-CN"/>
          <w14:textFill>
            <w14:solidFill>
              <w14:schemeClr w14:val="tx1"/>
            </w14:solidFill>
          </w14:textFill>
        </w:rPr>
        <w:t>25日至当月24日）。</w:t>
      </w:r>
    </w:p>
    <w:p w14:paraId="7C224681">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3）下月资金使用计划（包含安全措施费），下月施工进度计划，下月施工拟投入设备、劳动力计划（统计时段从本月25日至下月24日）。</w:t>
      </w:r>
    </w:p>
    <w:p w14:paraId="49F7B474">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所有计划、报表及报告的具体格式，应按照发包人信息采集办法要求，填报发包人工程管理系统可识别的电子文件。</w:t>
      </w:r>
    </w:p>
    <w:p w14:paraId="3ED2AE11">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70" w:name="_Toc149731575"/>
      <w:bookmarkStart w:id="671" w:name="_Toc28406"/>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41.  开始工作或开工</w:t>
      </w:r>
      <w:bookmarkEnd w:id="670"/>
      <w:bookmarkEnd w:id="671"/>
    </w:p>
    <w:p w14:paraId="336C998B">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41.2.1 开始工作：</w:t>
      </w:r>
      <w:r>
        <w:rPr>
          <w:rFonts w:hint="eastAsia" w:ascii="仿宋" w:hAnsi="仿宋" w:eastAsia="仿宋" w:cs="仿宋"/>
          <w:color w:val="000000" w:themeColor="text1"/>
          <w:highlight w:val="none"/>
          <w:u w:val="single"/>
          <w:lang w:eastAsia="zh-CN"/>
          <w14:textFill>
            <w14:solidFill>
              <w14:schemeClr w14:val="tx1"/>
            </w14:solidFill>
          </w14:textFill>
        </w:rPr>
        <w:t>设计开始工作时间，自合同生效之日起计。</w:t>
      </w:r>
    </w:p>
    <w:p w14:paraId="684B3B6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41.2.2 开工：</w:t>
      </w:r>
      <w:r>
        <w:rPr>
          <w:rFonts w:hint="eastAsia" w:ascii="仿宋" w:hAnsi="仿宋" w:eastAsia="仿宋" w:cs="仿宋"/>
          <w:color w:val="000000" w:themeColor="text1"/>
          <w:highlight w:val="none"/>
          <w:u w:val="single"/>
          <w:lang w:eastAsia="zh-CN"/>
          <w14:textFill>
            <w14:solidFill>
              <w14:schemeClr w14:val="tx1"/>
            </w14:solidFill>
          </w14:textFill>
        </w:rPr>
        <w:t>施工开工时间以监理人向承包人发出开工令为准。</w:t>
      </w:r>
    </w:p>
    <w:p w14:paraId="293259A0">
      <w:pPr>
        <w:spacing w:line="360" w:lineRule="auto"/>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双方协商一致，41.3款、41.4款修改为：</w:t>
      </w:r>
    </w:p>
    <w:p w14:paraId="0BA510FE">
      <w:pPr>
        <w:pStyle w:val="40"/>
        <w:adjustRightInd w:val="0"/>
        <w:snapToGrid w:val="0"/>
        <w:spacing w:line="360" w:lineRule="auto"/>
        <w:ind w:right="3" w:firstLine="480" w:firstLineChars="200"/>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41.3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000000" w:themeColor="text1"/>
          <w:sz w:val="24"/>
          <w:szCs w:val="24"/>
          <w:highlight w:val="none"/>
          <w:lang w:eastAsia="zh-CN"/>
          <w14:textFill>
            <w14:solidFill>
              <w14:schemeClr w14:val="tx1"/>
            </w14:solidFill>
          </w14:textFill>
        </w:rPr>
        <w:t>72</w:t>
      </w:r>
      <w:r>
        <w:rPr>
          <w:rFonts w:hint="eastAsia" w:ascii="仿宋" w:hAnsi="仿宋" w:eastAsia="仿宋" w:cs="仿宋"/>
          <w:color w:val="000000" w:themeColor="text1"/>
          <w:sz w:val="24"/>
          <w:szCs w:val="24"/>
          <w:highlight w:val="none"/>
          <w:lang w:eastAsia="zh-CN"/>
          <w14:textFill>
            <w14:solidFill>
              <w14:schemeClr w14:val="tx1"/>
            </w14:solidFill>
          </w14:textFill>
        </w:rPr>
        <w:t>小时内书面予以答复，否则视为同意。承包人没有合理理由而延期开始工作或开工的，由此造成的损失和延误的工期由承包人承担。</w:t>
      </w:r>
    </w:p>
    <w:p w14:paraId="568986C9">
      <w:pPr>
        <w:pStyle w:val="40"/>
        <w:adjustRightInd w:val="0"/>
        <w:snapToGrid w:val="0"/>
        <w:spacing w:line="360" w:lineRule="auto"/>
        <w:ind w:right="3" w:firstLine="480" w:firstLineChars="20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41.4因发包人的原因不能在第41</w:t>
      </w:r>
      <w:r>
        <w:rPr>
          <w:rFonts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款约定的时间内发出开始工作指令或开工令的，发包人或监理人应至少提前</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天以书面形式通知承包人推迟开始工作或开工。开始工作或开工日期相应顺延。发包人、设计顾问人或监理人未能提前</w:t>
      </w:r>
      <w:r>
        <w:rPr>
          <w:rFonts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lang w:eastAsia="zh-CN"/>
          <w14:textFill>
            <w14:solidFill>
              <w14:schemeClr w14:val="tx1"/>
            </w14:solidFill>
          </w14:textFill>
        </w:rPr>
        <w:t>天通知承包人推迟开工的，由此造成损失的扩大由发包人承担。</w:t>
      </w:r>
    </w:p>
    <w:p w14:paraId="7504B4C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p>
    <w:p w14:paraId="5098BF8A">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72" w:name="_Toc13589"/>
      <w:bookmarkStart w:id="673" w:name="_Toc149731576"/>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42.  暂停工作、暂停施工和复工</w:t>
      </w:r>
      <w:bookmarkEnd w:id="672"/>
      <w:bookmarkEnd w:id="673"/>
    </w:p>
    <w:p w14:paraId="0EF8EB46">
      <w:pPr>
        <w:spacing w:line="360" w:lineRule="auto"/>
        <w:ind w:left="240" w:leftChars="100" w:firstLine="240" w:firstLineChars="1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42.4 发包人、承包人原因和不可抗力因素造成暂停施工的责任</w:t>
      </w:r>
    </w:p>
    <w:p w14:paraId="7E66A39C">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（5）承包人原因造成暂停施工的其他原因：</w:t>
      </w:r>
      <w:r>
        <w:rPr>
          <w:rFonts w:hint="eastAsia" w:ascii="仿宋" w:hAnsi="仿宋" w:eastAsia="仿宋" w:cs="仿宋"/>
          <w:color w:val="000000" w:themeColor="text1"/>
          <w:highlight w:val="none"/>
          <w:u w:val="single"/>
          <w:lang w:eastAsia="zh-CN"/>
          <w14:textFill>
            <w14:solidFill>
              <w14:schemeClr w14:val="tx1"/>
            </w14:solidFill>
          </w14:textFill>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429F86F1">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1）拒绝监理等单位管理；</w:t>
      </w:r>
    </w:p>
    <w:p w14:paraId="7D089B59">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2）施工组织设计（方案）未获总监理工程师批准而进行施工；</w:t>
      </w:r>
    </w:p>
    <w:p w14:paraId="4E3C9054">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3）未经监理单位检验而进行下一道工序作业；</w:t>
      </w:r>
    </w:p>
    <w:p w14:paraId="0479CF0B">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4）擅自采用未经监理单位及发包人认可或批准的材料，或者使用的原材料、构配件不合格或未经检查确认，或者擅自采用未经认可的代用材料；</w:t>
      </w:r>
    </w:p>
    <w:p w14:paraId="50089B62">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5）擅自变更设计图纸的要求；</w:t>
      </w:r>
    </w:p>
    <w:p w14:paraId="753DD5E4">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6）转包工程；</w:t>
      </w:r>
    </w:p>
    <w:p w14:paraId="60437D1E">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7）擅自让未经发包人批准的分包单位进场作业；</w:t>
      </w:r>
    </w:p>
    <w:p w14:paraId="1823DA51">
      <w:pPr>
        <w:spacing w:line="360" w:lineRule="auto"/>
        <w:ind w:left="240" w:leftChars="100" w:firstLine="360" w:firstLineChars="1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8）存在安全隐患，未按监理单位要求及时进行整改；</w:t>
      </w:r>
    </w:p>
    <w:p w14:paraId="327B16EA">
      <w:pPr>
        <w:spacing w:line="360" w:lineRule="auto"/>
        <w:ind w:left="240" w:leftChars="100" w:firstLine="360" w:firstLineChars="15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9）未按双方约定的要求上报所需的资料。</w:t>
      </w:r>
    </w:p>
    <w:p w14:paraId="372ADF68">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74" w:name="_Toc10878"/>
      <w:bookmarkStart w:id="675" w:name="_Toc14973157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43.  工期和工期延误</w:t>
      </w:r>
      <w:bookmarkEnd w:id="674"/>
      <w:bookmarkEnd w:id="675"/>
    </w:p>
    <w:p w14:paraId="02C96EC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76" w:name="_Toc2299"/>
      <w:r>
        <w:rPr>
          <w:rFonts w:hint="eastAsia" w:ascii="仿宋" w:hAnsi="仿宋" w:eastAsia="仿宋" w:cs="仿宋"/>
          <w:color w:val="000000" w:themeColor="text1"/>
          <w:highlight w:val="none"/>
          <w:lang w:eastAsia="zh-CN"/>
          <w14:textFill>
            <w14:solidFill>
              <w14:schemeClr w14:val="tx1"/>
            </w14:solidFill>
          </w14:textFill>
        </w:rPr>
        <w:t>43.1 工期计算</w:t>
      </w:r>
      <w:bookmarkEnd w:id="676"/>
    </w:p>
    <w:p w14:paraId="04AC760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双方协商一致，本条修改为：</w:t>
      </w:r>
    </w:p>
    <w:p w14:paraId="6738D64A">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本合同工期详见协议书第七条。</w:t>
      </w:r>
    </w:p>
    <w:p w14:paraId="0A81CD5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43.2 工期约定的要求</w:t>
      </w:r>
    </w:p>
    <w:p w14:paraId="30B00FF9">
      <w:pPr>
        <w:spacing w:line="360" w:lineRule="auto"/>
        <w:ind w:right="11"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双方协商一致，本条款补充以下：</w:t>
      </w:r>
    </w:p>
    <w:p w14:paraId="6D619D38">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1）本工程工期分为关键节点工期和一般节点工期两类，承包人必须在施工组织设计文件中分专业详细区分和列明本工程</w:t>
      </w:r>
      <w:r>
        <w:rPr>
          <w:rFonts w:hint="eastAsia" w:ascii="仿宋" w:hAnsi="仿宋" w:eastAsia="仿宋" w:cs="宋体"/>
          <w:snapToGrid w:val="0"/>
          <w:color w:val="000000" w:themeColor="text1"/>
          <w:highlight w:val="none"/>
          <w:lang w:eastAsia="zh-CN"/>
          <w14:textFill>
            <w14:solidFill>
              <w14:schemeClr w14:val="tx1"/>
            </w14:solidFill>
          </w14:textFill>
        </w:rPr>
        <w:t>的关键节点工期和一般节点工期，并报总监理工程师和发包人批准后实施。</w:t>
      </w:r>
    </w:p>
    <w:p w14:paraId="54D95E69">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2）工期调整的原则：对于承包人原因造成的工期延误，工期一概不得顺延；对于非承包人原因造成的工期延误，执行本</w:t>
      </w:r>
      <w:r>
        <w:rPr>
          <w:rFonts w:hint="eastAsia" w:ascii="仿宋" w:hAnsi="仿宋" w:eastAsia="仿宋" w:cs="宋体"/>
          <w:snapToGrid w:val="0"/>
          <w:color w:val="000000" w:themeColor="text1"/>
          <w:highlight w:val="none"/>
          <w:lang w:eastAsia="zh-CN"/>
          <w14:textFill>
            <w14:solidFill>
              <w14:schemeClr w14:val="tx1"/>
            </w14:solidFill>
          </w14:textFill>
        </w:rPr>
        <w:t>专用条款</w:t>
      </w:r>
      <w:r>
        <w:rPr>
          <w:rFonts w:ascii="仿宋" w:hAnsi="仿宋" w:eastAsia="仿宋" w:cs="宋体"/>
          <w:snapToGrid w:val="0"/>
          <w:color w:val="000000" w:themeColor="text1"/>
          <w:highlight w:val="none"/>
          <w:lang w:eastAsia="zh-CN"/>
          <w14:textFill>
            <w14:solidFill>
              <w14:schemeClr w14:val="tx1"/>
            </w14:solidFill>
          </w14:textFill>
        </w:rPr>
        <w:t>第</w:t>
      </w:r>
      <w:r>
        <w:rPr>
          <w:rFonts w:ascii="仿宋" w:hAnsi="仿宋" w:eastAsia="仿宋" w:cs="宋体"/>
          <w:bCs/>
          <w:snapToGrid w:val="0"/>
          <w:color w:val="000000" w:themeColor="text1"/>
          <w:highlight w:val="none"/>
          <w:lang w:eastAsia="zh-CN"/>
          <w14:textFill>
            <w14:solidFill>
              <w14:schemeClr w14:val="tx1"/>
            </w14:solidFill>
          </w14:textFill>
        </w:rPr>
        <w:t>43.3</w:t>
      </w:r>
      <w:r>
        <w:rPr>
          <w:rFonts w:hint="eastAsia" w:ascii="仿宋" w:hAnsi="仿宋" w:eastAsia="仿宋" w:cs="宋体"/>
          <w:snapToGrid w:val="0"/>
          <w:color w:val="000000" w:themeColor="text1"/>
          <w:highlight w:val="none"/>
          <w:lang w:eastAsia="zh-CN"/>
          <w14:textFill>
            <w14:solidFill>
              <w14:schemeClr w14:val="tx1"/>
            </w14:solidFill>
          </w14:textFill>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3207BFBB">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color w:val="000000" w:themeColor="text1"/>
          <w:highlight w:val="none"/>
          <w:lang w:eastAsia="zh-CN"/>
          <w14:textFill>
            <w14:solidFill>
              <w14:schemeClr w14:val="tx1"/>
            </w14:solidFill>
          </w14:textFill>
        </w:rPr>
        <w:t>承包人必须按照调整后的总工期控制计划和关键节点工期计划执行。</w:t>
      </w:r>
    </w:p>
    <w:p w14:paraId="6E533DC0">
      <w:pPr>
        <w:spacing w:line="360" w:lineRule="auto"/>
        <w:ind w:right="11" w:firstLine="424" w:firstLineChars="177"/>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（3）合同中包括有多个单项工程的，各单项工程的工期约定：</w:t>
      </w:r>
      <w:r>
        <w:rPr>
          <w:rFonts w:hint="eastAsia" w:ascii="仿宋" w:hAnsi="仿宋" w:eastAsia="仿宋" w:cs="仿宋"/>
          <w:color w:val="000000" w:themeColor="text1"/>
          <w:highlight w:val="none"/>
          <w:u w:val="single"/>
          <w:lang w:eastAsia="zh-CN"/>
          <w14:textFill>
            <w14:solidFill>
              <w14:schemeClr w14:val="tx1"/>
            </w14:solidFill>
          </w14:textFill>
        </w:rPr>
        <w:t>（详见经监理人批准的施工组织设计）</w:t>
      </w:r>
    </w:p>
    <w:p w14:paraId="0A74E045">
      <w:pPr>
        <w:spacing w:line="360" w:lineRule="auto"/>
        <w:ind w:firstLine="424" w:firstLineChars="177"/>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43.3非承包人工期延误</w:t>
      </w:r>
    </w:p>
    <w:p w14:paraId="40CC71BC">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非承包人原因造成的工期延误，是指有确凿证据证实因下列原因而直接造成承包人的原定工期计划延误：</w:t>
      </w:r>
    </w:p>
    <w:p w14:paraId="7E341BC0">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1）不可抗力；</w:t>
      </w:r>
    </w:p>
    <w:p w14:paraId="30198884">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2）工程设计有重大变更或重大失误，并经总监理工程师确认会造成工期延误的；</w:t>
      </w:r>
    </w:p>
    <w:p w14:paraId="5E96FBDB">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3）发包人延期交付施工场地；</w:t>
      </w:r>
    </w:p>
    <w:p w14:paraId="6148DA79">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4）发包人</w:t>
      </w:r>
      <w:r>
        <w:rPr>
          <w:rFonts w:hint="eastAsia" w:ascii="仿宋" w:hAnsi="仿宋" w:eastAsia="仿宋" w:cs="宋体"/>
          <w:iCs/>
          <w:snapToGrid w:val="0"/>
          <w:color w:val="000000" w:themeColor="text1"/>
          <w:highlight w:val="none"/>
          <w:lang w:eastAsia="zh-CN"/>
          <w14:textFill>
            <w14:solidFill>
              <w14:schemeClr w14:val="tx1"/>
            </w14:solidFill>
          </w14:textFill>
        </w:rPr>
        <w:t>不按合同约定</w:t>
      </w:r>
      <w:r>
        <w:rPr>
          <w:rFonts w:hint="eastAsia" w:ascii="仿宋" w:hAnsi="仿宋" w:eastAsia="仿宋" w:cs="宋体"/>
          <w:snapToGrid w:val="0"/>
          <w:color w:val="000000" w:themeColor="text1"/>
          <w:highlight w:val="none"/>
          <w:lang w:eastAsia="zh-CN"/>
          <w14:textFill>
            <w14:solidFill>
              <w14:schemeClr w14:val="tx1"/>
            </w14:solidFill>
          </w14:textFill>
        </w:rPr>
        <w:t>支付工程款而影响工期进度，并经总监理工程师确认的；</w:t>
      </w:r>
    </w:p>
    <w:p w14:paraId="42F22C99">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5）发包人（或政府职能部门）指令（非承包人原因）引起的停工；</w:t>
      </w:r>
    </w:p>
    <w:p w14:paraId="5FA5BED9">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6）发包人其他违约行为造成工期延误并经总监理工程师确认的。</w:t>
      </w:r>
    </w:p>
    <w:p w14:paraId="74977FCB">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除上述原因之外，其他所有工期延误均为承包人原因造成的延误。</w:t>
      </w:r>
    </w:p>
    <w:p w14:paraId="730E7D56">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2）</w:t>
      </w:r>
      <w:r>
        <w:rPr>
          <w:rFonts w:hint="eastAsia" w:ascii="仿宋" w:hAnsi="仿宋" w:eastAsia="仿宋" w:cs="宋体"/>
          <w:snapToGrid w:val="0"/>
          <w:color w:val="000000" w:themeColor="text1"/>
          <w:highlight w:val="none"/>
          <w:lang w:eastAsia="zh-CN"/>
          <w14:textFill>
            <w14:solidFill>
              <w14:schemeClr w14:val="tx1"/>
            </w14:solidFill>
          </w14:textFill>
        </w:rPr>
        <w:t>因承包人原因造成的工期延误，工期一概不得顺延。承包人还应当按照专用条款第</w:t>
      </w:r>
      <w:r>
        <w:rPr>
          <w:rFonts w:ascii="仿宋" w:hAnsi="仿宋" w:eastAsia="仿宋" w:cs="宋体"/>
          <w:snapToGrid w:val="0"/>
          <w:color w:val="000000" w:themeColor="text1"/>
          <w:highlight w:val="none"/>
          <w:lang w:eastAsia="zh-CN"/>
          <w14:textFill>
            <w14:solidFill>
              <w14:schemeClr w14:val="tx1"/>
            </w14:solidFill>
          </w14:textFill>
        </w:rPr>
        <w:t>95.</w:t>
      </w:r>
      <w:r>
        <w:rPr>
          <w:rFonts w:hint="eastAsia" w:ascii="仿宋" w:hAnsi="仿宋" w:eastAsia="仿宋" w:cs="宋体"/>
          <w:snapToGrid w:val="0"/>
          <w:color w:val="000000" w:themeColor="text1"/>
          <w:highlight w:val="none"/>
          <w:lang w:eastAsia="zh-CN"/>
          <w14:textFill>
            <w14:solidFill>
              <w14:schemeClr w14:val="tx1"/>
            </w14:solidFill>
          </w14:textFill>
        </w:rPr>
        <w:t>3款的有关约定承担违约责任。</w:t>
      </w:r>
    </w:p>
    <w:p w14:paraId="0DEB5058">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3）因承包人对</w:t>
      </w:r>
      <w:r>
        <w:rPr>
          <w:rFonts w:hint="eastAsia" w:ascii="仿宋" w:hAnsi="仿宋" w:eastAsia="仿宋" w:cs="宋体"/>
          <w:bCs/>
          <w:snapToGrid w:val="0"/>
          <w:color w:val="000000" w:themeColor="text1"/>
          <w:highlight w:val="none"/>
          <w:lang w:eastAsia="zh-CN"/>
          <w14:textFill>
            <w14:solidFill>
              <w14:schemeClr w14:val="tx1"/>
            </w14:solidFill>
          </w14:textFill>
        </w:rPr>
        <w:t>现场组织管理不力或未能提供协调、配合服务，以致专业工程的进度影响工期，承包人不得以此为由提出延长工期的要求。</w:t>
      </w:r>
    </w:p>
    <w:p w14:paraId="1775FC70">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（4）</w:t>
      </w:r>
      <w:r>
        <w:rPr>
          <w:rFonts w:hint="eastAsia" w:ascii="仿宋" w:hAnsi="仿宋" w:eastAsia="仿宋" w:cs="宋体"/>
          <w:snapToGrid w:val="0"/>
          <w:color w:val="000000" w:themeColor="text1"/>
          <w:highlight w:val="none"/>
          <w:lang w:eastAsia="zh-CN"/>
          <w14:textFill>
            <w14:solidFill>
              <w14:schemeClr w14:val="tx1"/>
            </w14:solidFill>
          </w14:textFill>
        </w:rPr>
        <w:t>非因承包人原因造成关键节点工期延误，一次性延误不满10</w:t>
      </w:r>
      <w:r>
        <w:rPr>
          <w:rFonts w:ascii="仿宋" w:hAnsi="仿宋" w:eastAsia="仿宋" w:cs="宋体"/>
          <w:snapToGrid w:val="0"/>
          <w:color w:val="000000" w:themeColor="text1"/>
          <w:highlight w:val="none"/>
          <w:lang w:eastAsia="zh-CN"/>
          <w14:textFill>
            <w14:solidFill>
              <w14:schemeClr w14:val="tx1"/>
            </w14:solidFill>
          </w14:textFill>
        </w:rPr>
        <w:t>天的，工期不予顺延，由承包人采取措施自行消化；一次性延</w:t>
      </w:r>
      <w:r>
        <w:rPr>
          <w:rFonts w:hint="eastAsia" w:ascii="仿宋" w:hAnsi="仿宋" w:eastAsia="仿宋" w:cs="宋体"/>
          <w:iCs/>
          <w:snapToGrid w:val="0"/>
          <w:color w:val="000000" w:themeColor="text1"/>
          <w:highlight w:val="none"/>
          <w:lang w:eastAsia="zh-CN"/>
          <w14:textFill>
            <w14:solidFill>
              <w14:schemeClr w14:val="tx1"/>
            </w14:solidFill>
          </w14:textFill>
        </w:rPr>
        <w:t>误达到</w:t>
      </w:r>
      <w:r>
        <w:rPr>
          <w:rFonts w:ascii="仿宋" w:hAnsi="仿宋" w:eastAsia="仿宋" w:cs="宋体"/>
          <w:iCs/>
          <w:snapToGrid w:val="0"/>
          <w:color w:val="000000" w:themeColor="text1"/>
          <w:highlight w:val="none"/>
          <w:lang w:eastAsia="zh-CN"/>
          <w14:textFill>
            <w14:solidFill>
              <w14:schemeClr w14:val="tx1"/>
            </w14:solidFill>
          </w14:textFill>
        </w:rPr>
        <w:t>10天不满20天的</w:t>
      </w:r>
      <w:r>
        <w:rPr>
          <w:rFonts w:hint="eastAsia" w:ascii="仿宋" w:hAnsi="仿宋" w:eastAsia="仿宋" w:cs="宋体"/>
          <w:snapToGrid w:val="0"/>
          <w:color w:val="000000" w:themeColor="text1"/>
          <w:highlight w:val="none"/>
          <w:lang w:eastAsia="zh-CN"/>
          <w14:textFill>
            <w14:solidFill>
              <w14:schemeClr w14:val="tx1"/>
            </w14:solidFill>
          </w14:textFill>
        </w:rPr>
        <w:t>，该节点工期可顺延</w:t>
      </w:r>
      <w:r>
        <w:rPr>
          <w:rFonts w:ascii="仿宋" w:hAnsi="仿宋" w:eastAsia="仿宋" w:cs="宋体"/>
          <w:snapToGrid w:val="0"/>
          <w:color w:val="000000" w:themeColor="text1"/>
          <w:highlight w:val="none"/>
          <w:lang w:eastAsia="zh-CN"/>
          <w14:textFill>
            <w14:solidFill>
              <w14:schemeClr w14:val="tx1"/>
            </w14:solidFill>
          </w14:textFill>
        </w:rPr>
        <w:t>5天，承包人应采取措施在下一个节点工期内消化；一次</w:t>
      </w:r>
      <w:r>
        <w:rPr>
          <w:rFonts w:hint="eastAsia" w:ascii="仿宋" w:hAnsi="仿宋" w:eastAsia="仿宋" w:cs="宋体"/>
          <w:iCs/>
          <w:snapToGrid w:val="0"/>
          <w:color w:val="000000" w:themeColor="text1"/>
          <w:highlight w:val="none"/>
          <w:lang w:eastAsia="zh-CN"/>
          <w14:textFill>
            <w14:solidFill>
              <w14:schemeClr w14:val="tx1"/>
            </w14:solidFill>
          </w14:textFill>
        </w:rPr>
        <w:t>性延误达到</w:t>
      </w:r>
      <w:r>
        <w:rPr>
          <w:rFonts w:ascii="仿宋" w:hAnsi="仿宋" w:eastAsia="仿宋" w:cs="宋体"/>
          <w:iCs/>
          <w:snapToGrid w:val="0"/>
          <w:color w:val="000000" w:themeColor="text1"/>
          <w:highlight w:val="none"/>
          <w:lang w:eastAsia="zh-CN"/>
          <w14:textFill>
            <w14:solidFill>
              <w14:schemeClr w14:val="tx1"/>
            </w14:solidFill>
          </w14:textFill>
        </w:rPr>
        <w:t>20天不满30天的</w:t>
      </w:r>
      <w:r>
        <w:rPr>
          <w:rFonts w:hint="eastAsia" w:ascii="仿宋" w:hAnsi="仿宋" w:eastAsia="仿宋" w:cs="宋体"/>
          <w:snapToGrid w:val="0"/>
          <w:color w:val="000000" w:themeColor="text1"/>
          <w:highlight w:val="none"/>
          <w:lang w:eastAsia="zh-CN"/>
          <w14:textFill>
            <w14:solidFill>
              <w14:schemeClr w14:val="tx1"/>
            </w14:solidFill>
          </w14:textFill>
        </w:rPr>
        <w:t>，节点工期可顺延</w:t>
      </w:r>
      <w:r>
        <w:rPr>
          <w:rFonts w:ascii="仿宋" w:hAnsi="仿宋" w:eastAsia="仿宋" w:cs="宋体"/>
          <w:iCs/>
          <w:snapToGrid w:val="0"/>
          <w:color w:val="000000" w:themeColor="text1"/>
          <w:highlight w:val="none"/>
          <w:lang w:eastAsia="zh-CN"/>
          <w14:textFill>
            <w14:solidFill>
              <w14:schemeClr w14:val="tx1"/>
            </w14:solidFill>
          </w14:textFill>
        </w:rPr>
        <w:t>10</w:t>
      </w:r>
      <w:r>
        <w:rPr>
          <w:rFonts w:hint="eastAsia" w:ascii="仿宋" w:hAnsi="仿宋" w:eastAsia="仿宋" w:cs="宋体"/>
          <w:snapToGrid w:val="0"/>
          <w:color w:val="000000" w:themeColor="text1"/>
          <w:highlight w:val="none"/>
          <w:lang w:eastAsia="zh-CN"/>
          <w14:textFill>
            <w14:solidFill>
              <w14:schemeClr w14:val="tx1"/>
            </w14:solidFill>
          </w14:textFill>
        </w:rPr>
        <w:t>天，但承包人必须在总工期内采取措施消化被延误工期（此延误发生在最后一个节点工期内的除外）；一次性延误达到</w:t>
      </w:r>
      <w:r>
        <w:rPr>
          <w:rFonts w:ascii="仿宋" w:hAnsi="仿宋" w:eastAsia="仿宋" w:cs="宋体"/>
          <w:snapToGrid w:val="0"/>
          <w:color w:val="000000" w:themeColor="text1"/>
          <w:highlight w:val="none"/>
          <w:lang w:eastAsia="zh-CN"/>
          <w14:textFill>
            <w14:solidFill>
              <w14:schemeClr w14:val="tx1"/>
            </w14:solidFill>
          </w14:textFill>
        </w:rPr>
        <w:t>30天以上的，工期可以顺延15天（经发包人特别批准的除外）。</w:t>
      </w:r>
    </w:p>
    <w:p w14:paraId="24621E92">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color w:val="000000" w:themeColor="text1"/>
          <w:highlight w:val="none"/>
          <w:lang w:eastAsia="zh-CN"/>
          <w14:textFill>
            <w14:solidFill>
              <w14:schemeClr w14:val="tx1"/>
            </w14:solidFill>
          </w14:textFill>
        </w:rPr>
        <w:t>总监理工程师及</w:t>
      </w:r>
      <w:r>
        <w:rPr>
          <w:rFonts w:hint="eastAsia" w:ascii="仿宋" w:hAnsi="仿宋" w:eastAsia="仿宋" w:cs="宋体"/>
          <w:bCs/>
          <w:snapToGrid w:val="0"/>
          <w:color w:val="000000" w:themeColor="text1"/>
          <w:highlight w:val="none"/>
          <w:lang w:eastAsia="zh-CN"/>
          <w14:textFill>
            <w14:solidFill>
              <w14:schemeClr w14:val="tx1"/>
            </w14:solidFill>
          </w14:textFill>
        </w:rPr>
        <w:t>发包人提出书面报告及申请，</w:t>
      </w:r>
      <w:r>
        <w:rPr>
          <w:rFonts w:hint="eastAsia" w:ascii="仿宋" w:hAnsi="仿宋" w:eastAsia="仿宋" w:cs="宋体"/>
          <w:snapToGrid w:val="0"/>
          <w:color w:val="000000" w:themeColor="text1"/>
          <w:highlight w:val="none"/>
          <w:lang w:eastAsia="zh-CN"/>
          <w14:textFill>
            <w14:solidFill>
              <w14:schemeClr w14:val="tx1"/>
            </w14:solidFill>
          </w14:textFill>
        </w:rPr>
        <w:t>总监理工程师及</w:t>
      </w:r>
      <w:r>
        <w:rPr>
          <w:rFonts w:hint="eastAsia" w:ascii="仿宋" w:hAnsi="仿宋" w:eastAsia="仿宋" w:cs="宋体"/>
          <w:bCs/>
          <w:snapToGrid w:val="0"/>
          <w:color w:val="000000" w:themeColor="text1"/>
          <w:highlight w:val="none"/>
          <w:lang w:eastAsia="zh-CN"/>
          <w14:textFill>
            <w14:solidFill>
              <w14:schemeClr w14:val="tx1"/>
            </w14:solidFill>
          </w14:textFill>
        </w:rPr>
        <w:t>发包人按程序审批。</w:t>
      </w:r>
    </w:p>
    <w:p w14:paraId="633B7E42">
      <w:pPr>
        <w:spacing w:line="360" w:lineRule="auto"/>
        <w:ind w:firstLine="424" w:firstLineChars="177"/>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43.9 赶工措施费</w:t>
      </w:r>
      <w:r>
        <w:rPr>
          <w:rFonts w:hint="eastAsia" w:ascii="仿宋" w:hAnsi="仿宋" w:eastAsia="仿宋" w:cs="仿宋"/>
          <w:color w:val="000000" w:themeColor="text1"/>
          <w:highlight w:val="none"/>
          <w:u w:val="single"/>
          <w:lang w:eastAsia="zh-CN"/>
          <w14:textFill>
            <w14:solidFill>
              <w14:schemeClr w14:val="tx1"/>
            </w14:solidFill>
          </w14:textFill>
        </w:rPr>
        <w:t>：合同工期按《广东省建设工程施工工期定额（2022年）》规定及项目建设要求工期。由此导致增加的费用，须在综合考虑在报价中。赶工费不另行计算。</w:t>
      </w:r>
    </w:p>
    <w:p w14:paraId="7C67A528">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77" w:name="_Toc149731578"/>
      <w:bookmarkStart w:id="678" w:name="_Toc8722"/>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45.  竣工日期</w:t>
      </w:r>
      <w:bookmarkEnd w:id="677"/>
      <w:bookmarkEnd w:id="678"/>
    </w:p>
    <w:p w14:paraId="2F37E10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45.1 约定计划竣工日期</w:t>
      </w:r>
    </w:p>
    <w:p w14:paraId="0DC16A6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计划竣工日期：</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详见协议书第七条。 </w:t>
      </w:r>
    </w:p>
    <w:p w14:paraId="501B60C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双方协商一致，通用条款45.3款修改如下：</w:t>
      </w:r>
    </w:p>
    <w:p w14:paraId="455CCC6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45.3 延迟竣工的责任</w:t>
      </w:r>
    </w:p>
    <w:p w14:paraId="141B1711">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承包人必须采取一切有效措施保证按照合同协议书约定或者</w:t>
      </w:r>
      <w:r>
        <w:rPr>
          <w:rFonts w:hint="eastAsia" w:ascii="仿宋" w:hAnsi="仿宋" w:eastAsia="仿宋" w:cs="宋体"/>
          <w:bCs/>
          <w:snapToGrid w:val="0"/>
          <w:color w:val="000000" w:themeColor="text1"/>
          <w:highlight w:val="none"/>
          <w:lang w:eastAsia="zh-CN"/>
          <w14:textFill>
            <w14:solidFill>
              <w14:schemeClr w14:val="tx1"/>
            </w14:solidFill>
          </w14:textFill>
        </w:rPr>
        <w:t>发包人根据工程实施情况调整</w:t>
      </w:r>
      <w:r>
        <w:rPr>
          <w:rFonts w:hint="eastAsia" w:ascii="仿宋" w:hAnsi="仿宋" w:eastAsia="仿宋" w:cs="宋体"/>
          <w:snapToGrid w:val="0"/>
          <w:color w:val="000000" w:themeColor="text1"/>
          <w:highlight w:val="none"/>
          <w:lang w:eastAsia="zh-CN"/>
          <w14:textFill>
            <w14:solidFill>
              <w14:schemeClr w14:val="tx1"/>
            </w14:solidFill>
          </w14:textFill>
        </w:rPr>
        <w:t>的竣工日期竣工，不得延误，除非发生了以下情形：</w:t>
      </w:r>
    </w:p>
    <w:p w14:paraId="6E5093C1">
      <w:pPr>
        <w:spacing w:line="360" w:lineRule="auto"/>
        <w:ind w:left="461" w:right="11"/>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1）政府对本工程建设项目</w:t>
      </w:r>
      <w:r>
        <w:rPr>
          <w:rFonts w:hint="eastAsia" w:ascii="仿宋" w:hAnsi="仿宋" w:eastAsia="仿宋" w:cs="宋体"/>
          <w:snapToGrid w:val="0"/>
          <w:color w:val="000000" w:themeColor="text1"/>
          <w:highlight w:val="none"/>
          <w:lang w:eastAsia="zh-CN"/>
          <w14:textFill>
            <w14:solidFill>
              <w14:schemeClr w14:val="tx1"/>
            </w14:solidFill>
          </w14:textFill>
        </w:rPr>
        <w:t>作出停建、缓建的决定；</w:t>
      </w:r>
    </w:p>
    <w:p w14:paraId="2441563D">
      <w:pPr>
        <w:spacing w:line="360" w:lineRule="auto"/>
        <w:ind w:left="461" w:right="11"/>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2）重大设计变更导致本工程在规划、使用、功能方面有重大调整；</w:t>
      </w:r>
    </w:p>
    <w:p w14:paraId="79963733">
      <w:pPr>
        <w:spacing w:line="360" w:lineRule="auto"/>
        <w:ind w:left="461" w:right="11"/>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3）非因承包人原因造成关键节点工期延误达到30天以上；</w:t>
      </w:r>
    </w:p>
    <w:p w14:paraId="12D0A5F4">
      <w:pPr>
        <w:spacing w:line="360" w:lineRule="auto"/>
        <w:ind w:left="461" w:right="11"/>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4）其他非因承包人原因造成的竣工日期延误。</w:t>
      </w:r>
    </w:p>
    <w:p w14:paraId="697B3005">
      <w:pPr>
        <w:spacing w:line="360" w:lineRule="auto"/>
        <w:ind w:firstLine="480" w:firstLineChars="200"/>
        <w:jc w:val="both"/>
        <w:rPr>
          <w:rFonts w:ascii="仿宋" w:hAnsi="仿宋" w:eastAsia="仿宋"/>
          <w:cap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因承包人的原因导致实际竣工日期迟于计划竣工日期的，承包人应按照专用条款第</w:t>
      </w:r>
      <w:r>
        <w:rPr>
          <w:rFonts w:ascii="仿宋" w:hAnsi="仿宋" w:eastAsia="仿宋" w:cs="仿宋"/>
          <w:color w:val="000000" w:themeColor="text1"/>
          <w:highlight w:val="none"/>
          <w:lang w:eastAsia="zh-CN"/>
          <w14:textFill>
            <w14:solidFill>
              <w14:schemeClr w14:val="tx1"/>
            </w14:solidFill>
          </w14:textFill>
        </w:rPr>
        <w:t>95</w:t>
      </w:r>
      <w:r>
        <w:rPr>
          <w:rFonts w:hint="eastAsia" w:ascii="仿宋" w:hAnsi="仿宋" w:eastAsia="仿宋" w:cs="仿宋"/>
          <w:color w:val="000000" w:themeColor="text1"/>
          <w:highlight w:val="none"/>
          <w:lang w:eastAsia="zh-CN"/>
          <w14:textFill>
            <w14:solidFill>
              <w14:schemeClr w14:val="tx1"/>
            </w14:solidFill>
          </w14:textFill>
        </w:rPr>
        <w:t>款约定</w:t>
      </w:r>
      <w:r>
        <w:rPr>
          <w:rFonts w:hint="eastAsia" w:ascii="仿宋" w:hAnsi="仿宋" w:eastAsia="仿宋" w:cs="仿宋"/>
          <w:caps/>
          <w:color w:val="000000" w:themeColor="text1"/>
          <w:highlight w:val="none"/>
          <w:lang w:eastAsia="zh-CN"/>
          <w14:textFill>
            <w14:solidFill>
              <w14:schemeClr w14:val="tx1"/>
            </w14:solidFill>
          </w14:textFill>
        </w:rPr>
        <w:t>赔偿发包人由此造成的损失，并向发包人支付误期赔偿费。</w:t>
      </w:r>
    </w:p>
    <w:p w14:paraId="35EE1A5E">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79" w:name="_Toc149731579"/>
      <w:bookmarkStart w:id="680" w:name="_Toc2698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★49.  质量标准</w:t>
      </w:r>
      <w:bookmarkEnd w:id="679"/>
      <w:bookmarkEnd w:id="680"/>
    </w:p>
    <w:p w14:paraId="0A7646DE">
      <w:pPr>
        <w:spacing w:line="360" w:lineRule="auto"/>
        <w:ind w:firstLine="482"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★49</w:t>
      </w:r>
      <w:r>
        <w:rPr>
          <w:rFonts w:hint="eastAsia" w:ascii="仿宋" w:hAnsi="仿宋" w:eastAsia="仿宋" w:cs="仿宋"/>
          <w:color w:val="000000" w:themeColor="text1"/>
          <w:highlight w:val="none"/>
          <w:lang w:eastAsia="zh-CN"/>
          <w14:textFill>
            <w14:solidFill>
              <w14:schemeClr w14:val="tx1"/>
            </w14:solidFill>
          </w14:textFill>
        </w:rPr>
        <w:t>.1 约定工作质量或工程质量标准：</w:t>
      </w:r>
      <w:r>
        <w:rPr>
          <w:rFonts w:hint="eastAsia" w:ascii="仿宋" w:hAnsi="仿宋" w:eastAsia="仿宋" w:cs="仿宋"/>
          <w:color w:val="000000" w:themeColor="text1"/>
          <w:highlight w:val="none"/>
          <w:u w:val="single"/>
          <w:lang w:eastAsia="zh-CN"/>
          <w14:textFill>
            <w14:solidFill>
              <w14:schemeClr w14:val="tx1"/>
            </w14:solidFill>
          </w14:textFill>
        </w:rPr>
        <w:t>详见协议书第三条及发包人要求、设计和施工规范。</w:t>
      </w:r>
    </w:p>
    <w:p w14:paraId="7689676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49.3 质量保证体系</w:t>
      </w:r>
    </w:p>
    <w:p w14:paraId="1050891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双方协商一致，49.3款补充以下条款：</w:t>
      </w:r>
    </w:p>
    <w:p w14:paraId="7CA86436">
      <w:pPr>
        <w:spacing w:line="360" w:lineRule="auto"/>
        <w:ind w:firstLine="564" w:firstLineChars="235"/>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color w:val="000000" w:themeColor="text1"/>
          <w:highlight w:val="none"/>
          <w:lang w:eastAsia="zh-CN"/>
          <w14:textFill>
            <w14:solidFill>
              <w14:schemeClr w14:val="tx1"/>
            </w14:solidFill>
          </w14:textFill>
        </w:rPr>
        <w:t>之日起</w:t>
      </w:r>
      <w:r>
        <w:rPr>
          <w:rFonts w:ascii="仿宋" w:hAnsi="仿宋" w:eastAsia="仿宋" w:cs="宋体"/>
          <w:snapToGrid w:val="0"/>
          <w:color w:val="000000" w:themeColor="text1"/>
          <w:highlight w:val="none"/>
          <w:lang w:eastAsia="zh-CN"/>
          <w14:textFill>
            <w14:solidFill>
              <w14:schemeClr w14:val="tx1"/>
            </w14:solidFill>
          </w14:textFill>
        </w:rPr>
        <w:t>5天内将上述人员报总监理工程师备查。承包人还应建立并完善各项目质量管理检查制度及企业质量管理文件等。</w:t>
      </w:r>
      <w:r>
        <w:rPr>
          <w:rFonts w:hint="eastAsia" w:ascii="仿宋" w:hAnsi="仿宋" w:eastAsia="仿宋" w:cs="宋体"/>
          <w:bCs/>
          <w:snapToGrid w:val="0"/>
          <w:color w:val="000000" w:themeColor="text1"/>
          <w:highlight w:val="none"/>
          <w:lang w:eastAsia="zh-CN"/>
          <w14:textFill>
            <w14:solidFill>
              <w14:schemeClr w14:val="tx1"/>
            </w14:solidFill>
          </w14:textFill>
        </w:rPr>
        <w:t>同时，承包人应积极配合工程质量第三方检测工作，并积极采用新材料、新工艺、新技术。</w:t>
      </w:r>
    </w:p>
    <w:p w14:paraId="63196D8B">
      <w:pPr>
        <w:spacing w:line="360" w:lineRule="auto"/>
        <w:ind w:firstLine="564" w:firstLineChars="235"/>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4）承包人提交总监理工程师批准的施工组织设计或者施工方案必须附有完备的工程质量保证措施，包括：工程质量预控措施，</w:t>
      </w:r>
      <w:r>
        <w:rPr>
          <w:rFonts w:hint="eastAsia" w:ascii="仿宋" w:hAnsi="仿宋" w:eastAsia="仿宋" w:cs="宋体"/>
          <w:iCs/>
          <w:snapToGrid w:val="0"/>
          <w:color w:val="000000" w:themeColor="text1"/>
          <w:highlight w:val="none"/>
          <w:lang w:eastAsia="zh-CN"/>
          <w14:textFill>
            <w14:solidFill>
              <w14:schemeClr w14:val="tx1"/>
            </w14:solidFill>
          </w14:textFill>
        </w:rPr>
        <w:t>工序质量控制点，</w:t>
      </w:r>
      <w:r>
        <w:rPr>
          <w:rFonts w:hint="eastAsia" w:ascii="仿宋" w:hAnsi="仿宋" w:eastAsia="仿宋" w:cs="宋体"/>
          <w:snapToGrid w:val="0"/>
          <w:color w:val="000000" w:themeColor="text1"/>
          <w:highlight w:val="none"/>
          <w:lang w:eastAsia="zh-CN"/>
          <w14:textFill>
            <w14:solidFill>
              <w14:schemeClr w14:val="tx1"/>
            </w14:solidFill>
          </w14:textFill>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618C4622">
      <w:pPr>
        <w:spacing w:line="360" w:lineRule="auto"/>
        <w:ind w:firstLine="564" w:firstLineChars="235"/>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5）单项工程开工前，承包人必须按要求对职工分级进行技术交底，组织学习有关规程、标准、规范和工艺要求（规程包括但不限于施工企业标准和作业指导书），在施工中必须按规程及工艺进行操作。</w:t>
      </w:r>
    </w:p>
    <w:p w14:paraId="5D6B81FB">
      <w:pPr>
        <w:spacing w:line="360" w:lineRule="auto"/>
        <w:ind w:firstLine="564" w:firstLineChars="235"/>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6）单项工程和重要部位必须遵循先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color w:val="000000" w:themeColor="text1"/>
          <w:highlight w:val="none"/>
          <w:lang w:eastAsia="zh-CN"/>
          <w14:textFill>
            <w14:solidFill>
              <w14:schemeClr w14:val="tx1"/>
            </w14:solidFill>
          </w14:textFill>
        </w:rPr>
        <w:t>送总监理工程师审查批准后方可进行试验性施工，完工后由总监理工程师检验，符合要求后才能铺开施工或者批量生产。</w:t>
      </w:r>
    </w:p>
    <w:p w14:paraId="00666F27">
      <w:pPr>
        <w:spacing w:line="360" w:lineRule="auto"/>
        <w:ind w:firstLine="564" w:firstLineChars="235"/>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7）按照《广州市住房和城乡建设委员会关于加强房屋建筑和市政基础设施工程混凝土试件标准养护管理的通知》（穗建</w:t>
      </w:r>
      <w:r>
        <w:rPr>
          <w:rFonts w:hint="eastAsia" w:ascii="仿宋" w:hAnsi="仿宋" w:eastAsia="仿宋" w:cs="宋体"/>
          <w:snapToGrid w:val="0"/>
          <w:color w:val="000000" w:themeColor="text1"/>
          <w:highlight w:val="none"/>
          <w:lang w:eastAsia="zh-CN"/>
          <w14:textFill>
            <w14:solidFill>
              <w14:schemeClr w14:val="tx1"/>
            </w14:solidFill>
          </w14:textFill>
        </w:rPr>
        <w:t>规字〔</w:t>
      </w:r>
      <w:r>
        <w:rPr>
          <w:rFonts w:ascii="仿宋" w:hAnsi="仿宋" w:eastAsia="仿宋" w:cs="宋体"/>
          <w:snapToGrid w:val="0"/>
          <w:color w:val="000000" w:themeColor="text1"/>
          <w:highlight w:val="none"/>
          <w:lang w:eastAsia="zh-CN"/>
          <w14:textFill>
            <w14:solidFill>
              <w14:schemeClr w14:val="tx1"/>
            </w14:solidFill>
          </w14:textFill>
        </w:rPr>
        <w:t>2020〕29号），在建房屋建筑和市政基础设施工程，现场有混凝土结构施工部位的，必须在施工现场建立混凝土试件标准</w:t>
      </w:r>
      <w:r>
        <w:rPr>
          <w:rFonts w:hint="eastAsia" w:ascii="仿宋" w:hAnsi="仿宋" w:eastAsia="仿宋" w:cs="宋体"/>
          <w:snapToGrid w:val="0"/>
          <w:color w:val="000000" w:themeColor="text1"/>
          <w:highlight w:val="none"/>
          <w:lang w:eastAsia="zh-CN"/>
          <w14:textFill>
            <w14:solidFill>
              <w14:schemeClr w14:val="tx1"/>
            </w14:solidFill>
          </w14:textFill>
        </w:rPr>
        <w:t>养护室或放置标准养护箱。施工企业应建立施工现场混凝土标准养护试件管理制度，指定专人负责，建立混凝土试件管理台账，台账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74C2CD08">
      <w:pPr>
        <w:pStyle w:val="5"/>
        <w:tabs>
          <w:tab w:val="left" w:pos="420"/>
        </w:tabs>
        <w:spacing w:before="0" w:after="0" w:line="360" w:lineRule="auto"/>
        <w:ind w:left="576" w:hanging="576"/>
        <w:rPr>
          <w:rFonts w:ascii="仿宋" w:hAnsi="仿宋" w:eastAsia="仿宋"/>
          <w:b w:val="0"/>
          <w:bCs w:val="0"/>
          <w:color w:val="000000" w:themeColor="text1"/>
          <w:sz w:val="24"/>
          <w:szCs w:val="24"/>
          <w:highlight w:val="none"/>
          <w:lang w:eastAsia="zh-CN"/>
          <w14:textFill>
            <w14:solidFill>
              <w14:schemeClr w14:val="tx1"/>
            </w14:solidFill>
          </w14:textFill>
        </w:rPr>
      </w:pPr>
      <w:bookmarkStart w:id="681" w:name="_Toc149731580"/>
      <w:bookmarkStart w:id="682" w:name="_Toc2779"/>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★50.  工程质量创优</w:t>
      </w:r>
      <w:bookmarkEnd w:id="681"/>
      <w:bookmarkEnd w:id="682"/>
    </w:p>
    <w:p w14:paraId="7040B001">
      <w:pPr>
        <w:autoSpaceDE w:val="0"/>
        <w:autoSpaceDN w:val="0"/>
        <w:adjustRightInd w:val="0"/>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50.1发包人鼓励承包人实施工程质量创优，本工程的质量创优目标及评价标准为：</w:t>
      </w:r>
      <w:r>
        <w:rPr>
          <w:rFonts w:hint="eastAsia" w:ascii="仿宋" w:hAnsi="仿宋" w:eastAsia="仿宋" w:cs="仿宋"/>
          <w:color w:val="000000" w:themeColor="text1"/>
          <w:highlight w:val="none"/>
          <w:u w:val="single"/>
          <w:lang w:eastAsia="zh-CN"/>
          <w14:textFill>
            <w14:solidFill>
              <w14:schemeClr w14:val="tx1"/>
            </w14:solidFill>
          </w14:textFill>
        </w:rPr>
        <w:t>详见协议书第四条。</w:t>
      </w:r>
    </w:p>
    <w:p w14:paraId="7CAD0794">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83" w:name="_Toc20181"/>
      <w:bookmarkStart w:id="684" w:name="_Toc14973158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★52.  绿色施工安全防护</w:t>
      </w:r>
      <w:bookmarkEnd w:id="683"/>
      <w:bookmarkEnd w:id="684"/>
    </w:p>
    <w:p w14:paraId="1508A44A">
      <w:pPr>
        <w:spacing w:line="360" w:lineRule="auto"/>
        <w:ind w:firstLine="283" w:firstLineChars="118"/>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52.1绿色施工安全防护的要求</w:t>
      </w:r>
    </w:p>
    <w:p w14:paraId="0793778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□按通用条款的约定。</w:t>
      </w:r>
    </w:p>
    <w:p w14:paraId="3F5D95A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除按通用条款约定外，还应满足以下要求：</w:t>
      </w:r>
    </w:p>
    <w:p w14:paraId="04428A60">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（1）承包人应</w:t>
      </w:r>
      <w:r>
        <w:rPr>
          <w:rFonts w:hint="eastAsia" w:ascii="仿宋" w:hAnsi="仿宋" w:eastAsia="仿宋" w:cs="宋体"/>
          <w:snapToGrid w:val="0"/>
          <w:color w:val="000000" w:themeColor="text1"/>
          <w:highlight w:val="none"/>
          <w:lang w:eastAsia="zh-CN"/>
          <w14:textFill>
            <w14:solidFill>
              <w14:schemeClr w14:val="tx1"/>
            </w14:solidFill>
          </w14:textFill>
        </w:rPr>
        <w:t>明确扬尘污染防治责任，</w:t>
      </w:r>
      <w:r>
        <w:rPr>
          <w:rFonts w:hint="eastAsia" w:ascii="仿宋" w:hAnsi="仿宋" w:eastAsia="仿宋" w:cs="宋体"/>
          <w:bCs/>
          <w:snapToGrid w:val="0"/>
          <w:color w:val="000000" w:themeColor="text1"/>
          <w:highlight w:val="none"/>
          <w:lang w:eastAsia="zh-CN"/>
          <w14:textFill>
            <w14:solidFill>
              <w14:schemeClr w14:val="tx1"/>
            </w14:solidFill>
          </w14:textFill>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07C33788">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1）对施工现场实行封闭管理。城市范围内主要路段的施工工地应设置高度不小于2.5m的封闭围挡，一般路段的施工工地应设置高度不小于1.8m的封闭围挡。施工工地的封闭围挡应坚固、稳定、整洁、美观。</w:t>
      </w:r>
    </w:p>
    <w:p w14:paraId="673607CA">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2）加强物料管理。施工现场的建筑材料、构件、料具应按</w:t>
      </w:r>
      <w:r>
        <w:rPr>
          <w:rFonts w:hint="eastAsia" w:ascii="仿宋" w:hAnsi="仿宋" w:eastAsia="仿宋" w:cs="宋体"/>
          <w:bCs/>
          <w:snapToGrid w:val="0"/>
          <w:color w:val="000000" w:themeColor="text1"/>
          <w:highlight w:val="none"/>
          <w:lang w:eastAsia="zh-CN"/>
          <w14:textFill>
            <w14:solidFill>
              <w14:schemeClr w14:val="tx1"/>
            </w14:solidFill>
          </w14:textFill>
        </w:rPr>
        <w:t>总平面布置</w:t>
      </w:r>
      <w:r>
        <w:rPr>
          <w:rFonts w:ascii="仿宋" w:hAnsi="仿宋" w:eastAsia="仿宋" w:cs="宋体"/>
          <w:bCs/>
          <w:snapToGrid w:val="0"/>
          <w:color w:val="000000" w:themeColor="text1"/>
          <w:highlight w:val="none"/>
          <w:lang w:eastAsia="zh-CN"/>
          <w14:textFill>
            <w14:solidFill>
              <w14:schemeClr w14:val="tx1"/>
            </w14:solidFill>
          </w14:textFill>
        </w:rPr>
        <w:t>进行码放。在规定区域内的施工现场应使用预拌混凝土及预拌砂浆；采用现场搅拌混凝土或砂浆的场所应采取封闭、降尘、降噪措施；水泥和</w:t>
      </w:r>
      <w:r>
        <w:rPr>
          <w:rFonts w:hint="eastAsia" w:ascii="仿宋" w:hAnsi="仿宋" w:eastAsia="仿宋" w:cs="宋体"/>
          <w:bCs/>
          <w:snapToGrid w:val="0"/>
          <w:color w:val="000000" w:themeColor="text1"/>
          <w:highlight w:val="none"/>
          <w:lang w:eastAsia="zh-CN"/>
          <w14:textFill>
            <w14:solidFill>
              <w14:schemeClr w14:val="tx1"/>
            </w14:solidFill>
          </w14:textFill>
        </w:rPr>
        <w:t>其他</w:t>
      </w:r>
      <w:r>
        <w:rPr>
          <w:rFonts w:ascii="仿宋" w:hAnsi="仿宋" w:eastAsia="仿宋" w:cs="宋体"/>
          <w:bCs/>
          <w:snapToGrid w:val="0"/>
          <w:color w:val="000000" w:themeColor="text1"/>
          <w:highlight w:val="none"/>
          <w:lang w:eastAsia="zh-CN"/>
          <w14:textFill>
            <w14:solidFill>
              <w14:schemeClr w14:val="tx1"/>
            </w14:solidFill>
          </w14:textFill>
        </w:rPr>
        <w:t>易飞扬的细颗粒建筑材料应密闭存放或采取覆盖等措施。</w:t>
      </w:r>
    </w:p>
    <w:p w14:paraId="1ED5B0BE">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06EA3322">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61B8451D">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5）清运建筑垃圾。土方和建筑垃圾的运输应采用封闭式运输车辆或采取覆盖措施。建筑物内施工垃圾的清运，应采用器具或管道运输，严禁随意抛掷。施工现场严禁焚烧各类废弃物。</w:t>
      </w:r>
    </w:p>
    <w:p w14:paraId="7540585A">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408A6756">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承包人在钻冲孔桩、搅拌桩等施工过程中产生的泥浆，应按发包人要求处理，相关费用已含在合同价款中。对于承包人施工过程中造成的环境污染问题，经发包人或者总监理工程师指出后，承包人未能在</w:t>
      </w:r>
      <w:r>
        <w:rPr>
          <w:rFonts w:ascii="仿宋" w:hAnsi="仿宋" w:eastAsia="仿宋" w:cs="宋体"/>
          <w:snapToGrid w:val="0"/>
          <w:color w:val="000000" w:themeColor="text1"/>
          <w:highlight w:val="none"/>
          <w:lang w:eastAsia="zh-CN"/>
          <w14:textFill>
            <w14:solidFill>
              <w14:schemeClr w14:val="tx1"/>
            </w14:solidFill>
          </w14:textFill>
        </w:rPr>
        <w:t>24小时之内采取整治措施，或者所采取的整治措施未能有效消除污染的，发包人可以自行或者委托他人代为整治，由此所产生的一切损失、费用均由承包人承担。</w:t>
      </w:r>
    </w:p>
    <w:p w14:paraId="18AB24C9">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w:t>
      </w:r>
      <w:r>
        <w:rPr>
          <w:rFonts w:ascii="仿宋" w:hAnsi="仿宋" w:eastAsia="仿宋" w:cs="宋体"/>
          <w:snapToGrid w:val="0"/>
          <w:color w:val="000000" w:themeColor="text1"/>
          <w:highlight w:val="none"/>
          <w:lang w:eastAsia="zh-CN"/>
          <w14:textFill>
            <w14:solidFill>
              <w14:schemeClr w14:val="tx1"/>
            </w14:solidFill>
          </w14:textFill>
        </w:rPr>
        <w:t>95.</w:t>
      </w:r>
      <w:r>
        <w:rPr>
          <w:rFonts w:hint="eastAsia" w:ascii="仿宋" w:hAnsi="仿宋" w:eastAsia="仿宋" w:cs="宋体"/>
          <w:snapToGrid w:val="0"/>
          <w:color w:val="000000" w:themeColor="text1"/>
          <w:highlight w:val="none"/>
          <w:lang w:eastAsia="zh-CN"/>
          <w14:textFill>
            <w14:solidFill>
              <w14:schemeClr w14:val="tx1"/>
            </w14:solidFill>
          </w14:textFill>
        </w:rPr>
        <w:t>7</w:t>
      </w:r>
      <w:r>
        <w:rPr>
          <w:rFonts w:ascii="仿宋" w:hAnsi="仿宋" w:eastAsia="仿宋" w:cs="宋体"/>
          <w:snapToGrid w:val="0"/>
          <w:color w:val="000000" w:themeColor="text1"/>
          <w:highlight w:val="none"/>
          <w:lang w:eastAsia="zh-CN"/>
          <w14:textFill>
            <w14:solidFill>
              <w14:schemeClr w14:val="tx1"/>
            </w14:solidFill>
          </w14:textFill>
        </w:rPr>
        <w:t>款的约定承担相应的违约责任。</w:t>
      </w:r>
    </w:p>
    <w:p w14:paraId="78AF04FD">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color w:val="000000" w:themeColor="text1"/>
          <w:highlight w:val="none"/>
          <w:lang w:eastAsia="zh-CN"/>
          <w14:textFill>
            <w14:solidFill>
              <w14:schemeClr w14:val="tx1"/>
            </w14:solidFill>
          </w14:textFill>
        </w:rPr>
        <w:t>安全防护、文明施工费用按专用条款8.5.3的规定执行。</w:t>
      </w:r>
    </w:p>
    <w:p w14:paraId="6D5F532C">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在合同工期内，发包人、总监理工程师对承包人的安全文明施工及环境保护措施</w:t>
      </w:r>
      <w:r>
        <w:rPr>
          <w:rFonts w:hint="eastAsia" w:ascii="仿宋" w:hAnsi="仿宋" w:eastAsia="仿宋" w:cs="宋体"/>
          <w:snapToGrid w:val="0"/>
          <w:color w:val="000000" w:themeColor="text1"/>
          <w:highlight w:val="none"/>
          <w:lang w:eastAsia="zh-CN"/>
          <w14:textFill>
            <w14:solidFill>
              <w14:schemeClr w14:val="tx1"/>
            </w14:solidFill>
          </w14:textFill>
        </w:rPr>
        <w:t>进行定期检查，并按招标文件规定的项目和款项执行奖罚。</w:t>
      </w:r>
    </w:p>
    <w:p w14:paraId="7D06A32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按通用条款的约定以及以下文件规定：</w:t>
      </w:r>
    </w:p>
    <w:p w14:paraId="02AE568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①《保障农民工工资支付条例》（国务院令第7</w:t>
      </w:r>
      <w:r>
        <w:rPr>
          <w:rFonts w:ascii="仿宋" w:hAnsi="仿宋" w:eastAsia="仿宋" w:cs="仿宋"/>
          <w:color w:val="000000" w:themeColor="text1"/>
          <w:highlight w:val="none"/>
          <w:lang w:eastAsia="zh-CN"/>
          <w14:textFill>
            <w14:solidFill>
              <w14:schemeClr w14:val="tx1"/>
            </w14:solidFill>
          </w14:textFill>
        </w:rPr>
        <w:t>24</w:t>
      </w:r>
      <w:r>
        <w:rPr>
          <w:rFonts w:hint="eastAsia" w:ascii="仿宋" w:hAnsi="仿宋" w:eastAsia="仿宋" w:cs="仿宋"/>
          <w:color w:val="000000" w:themeColor="text1"/>
          <w:highlight w:val="none"/>
          <w:lang w:eastAsia="zh-CN"/>
          <w14:textFill>
            <w14:solidFill>
              <w14:schemeClr w14:val="tx1"/>
            </w14:solidFill>
          </w14:textFill>
        </w:rPr>
        <w:t>号）</w:t>
      </w:r>
    </w:p>
    <w:p w14:paraId="753B466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②《广东省住房和城乡建设厅关于印发房屋建筑和市政基础设施工程用工实名管理暂行办法的通知》（粤建规范〔2018〕1号）</w:t>
      </w:r>
    </w:p>
    <w:p w14:paraId="7E08957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2A5AE20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④《广州市住房和城乡建设局关于印发广州市建筑施工实名制管理办法的通知》（穗建规字〔2020〕37号）</w:t>
      </w:r>
    </w:p>
    <w:p w14:paraId="7B9EF53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⑤其他文件：</w:t>
      </w:r>
      <w:r>
        <w:rPr>
          <w:rFonts w:hint="eastAsia" w:ascii="仿宋" w:hAnsi="仿宋" w:eastAsia="仿宋" w:cs="仿宋"/>
          <w:color w:val="000000" w:themeColor="text1"/>
          <w:highlight w:val="none"/>
          <w:u w:val="single"/>
          <w:lang w:eastAsia="zh-CN"/>
          <w14:textFill>
            <w14:solidFill>
              <w14:schemeClr w14:val="tx1"/>
            </w14:solidFill>
          </w14:textFill>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 号）等文件要求，进行分包工程工人工资支付。</w:t>
      </w:r>
    </w:p>
    <w:p w14:paraId="1C335AA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p>
    <w:p w14:paraId="7928F6A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双方协商一致，本条增加52.2.1-52.2.2款：</w:t>
      </w:r>
    </w:p>
    <w:p w14:paraId="338B63E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52.2.1</w:t>
      </w:r>
      <w:r>
        <w:rPr>
          <w:rFonts w:hint="eastAsia" w:ascii="仿宋" w:hAnsi="仿宋" w:eastAsia="仿宋"/>
          <w:color w:val="000000" w:themeColor="text1"/>
          <w:highlight w:val="none"/>
          <w:lang w:eastAsia="zh-CN"/>
          <w14:textFill>
            <w14:solidFill>
              <w14:schemeClr w14:val="tx1"/>
            </w14:solidFill>
          </w14:textFill>
        </w:rPr>
        <w:t>合同当事人对建筑工人工资清偿事宜和违约责任的约定：</w:t>
      </w:r>
    </w:p>
    <w:p w14:paraId="0584328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3B92C22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2）承包人应每月编制农民工工资支付表，如实记录支付时间、支付对象、支付金额等工资支付情况，并于每月底提交</w:t>
      </w:r>
      <w:r>
        <w:rPr>
          <w:rFonts w:hint="eastAsia" w:ascii="仿宋" w:hAnsi="仿宋" w:eastAsia="仿宋"/>
          <w:color w:val="000000" w:themeColor="text1"/>
          <w:highlight w:val="none"/>
          <w:lang w:eastAsia="zh-CN"/>
          <w14:textFill>
            <w14:solidFill>
              <w14:schemeClr w14:val="tx1"/>
            </w14:solidFill>
          </w14:textFill>
        </w:rPr>
        <w:t>监理</w:t>
      </w:r>
      <w:r>
        <w:rPr>
          <w:rFonts w:ascii="仿宋" w:hAnsi="仿宋" w:eastAsia="仿宋"/>
          <w:color w:val="000000" w:themeColor="text1"/>
          <w:highlight w:val="none"/>
          <w:lang w:eastAsia="zh-CN"/>
          <w14:textFill>
            <w14:solidFill>
              <w14:schemeClr w14:val="tx1"/>
            </w14:solidFill>
          </w14:textFill>
        </w:rPr>
        <w:t>工程师备案，并在其现场管理机构办公场所显眼位置公示，接受监督。</w:t>
      </w:r>
    </w:p>
    <w:p w14:paraId="082E2D1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3）承包人应按上述</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1）、</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2）点要求对其专业分包或劳务分包单位工资支付进行监督，每月收集分包单位编制农民工工资支付表，并于每月底提交</w:t>
      </w:r>
      <w:r>
        <w:rPr>
          <w:rFonts w:hint="eastAsia" w:ascii="仿宋" w:hAnsi="仿宋" w:eastAsia="仿宋"/>
          <w:color w:val="000000" w:themeColor="text1"/>
          <w:highlight w:val="none"/>
          <w:lang w:eastAsia="zh-CN"/>
          <w14:textFill>
            <w14:solidFill>
              <w14:schemeClr w14:val="tx1"/>
            </w14:solidFill>
          </w14:textFill>
        </w:rPr>
        <w:t>监理</w:t>
      </w:r>
      <w:r>
        <w:rPr>
          <w:rFonts w:ascii="仿宋" w:hAnsi="仿宋" w:eastAsia="仿宋"/>
          <w:color w:val="000000" w:themeColor="text1"/>
          <w:highlight w:val="none"/>
          <w:lang w:eastAsia="zh-CN"/>
          <w14:textFill>
            <w14:solidFill>
              <w14:schemeClr w14:val="tx1"/>
            </w14:solidFill>
          </w14:textFill>
        </w:rPr>
        <w:t>工程师备案，督促其依法支付农民工工资。</w:t>
      </w:r>
    </w:p>
    <w:p w14:paraId="6E85125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021E646A">
      <w:pPr>
        <w:pStyle w:val="539"/>
        <w:spacing w:afterLines="0"/>
        <w:ind w:left="0" w:firstLine="424" w:firstLineChars="177"/>
        <w:rPr>
          <w:rFonts w:ascii="仿宋" w:hAnsi="仿宋" w:eastAsia="仿宋"/>
          <w:color w:val="000000" w:themeColor="text1"/>
          <w:szCs w:val="24"/>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52.2.</w:t>
      </w:r>
      <w:r>
        <w:rPr>
          <w:rFonts w:hint="eastAsia" w:ascii="仿宋" w:hAnsi="仿宋" w:eastAsia="仿宋"/>
          <w:color w:val="000000" w:themeColor="text1"/>
          <w:highlight w:val="none"/>
          <w14:textFill>
            <w14:solidFill>
              <w14:schemeClr w14:val="tx1"/>
            </w14:solidFill>
          </w14:textFill>
        </w:rPr>
        <w:t>2</w:t>
      </w:r>
      <w:r>
        <w:rPr>
          <w:rFonts w:hint="eastAsia" w:ascii="仿宋" w:hAnsi="仿宋" w:eastAsia="仿宋" w:cs="宋体"/>
          <w:iCs/>
          <w:snapToGrid w:val="0"/>
          <w:color w:val="000000" w:themeColor="text1"/>
          <w:kern w:val="0"/>
          <w:szCs w:val="24"/>
          <w:highlight w:val="none"/>
          <w14:textFill>
            <w14:solidFill>
              <w14:schemeClr w14:val="tx1"/>
            </w14:solidFill>
          </w14:textFill>
        </w:rPr>
        <w:t>用工实名管理</w:t>
      </w:r>
    </w:p>
    <w:p w14:paraId="62FED5E7">
      <w:pPr>
        <w:pStyle w:val="40"/>
        <w:spacing w:line="360" w:lineRule="auto"/>
        <w:ind w:firstLine="424" w:firstLineChars="177"/>
        <w:rPr>
          <w:rFonts w:ascii="仿宋" w:hAnsi="仿宋" w:eastAsia="仿宋"/>
          <w:b/>
          <w:iCs/>
          <w:snapToGrid w:val="0"/>
          <w:color w:val="000000" w:themeColor="text1"/>
          <w:sz w:val="24"/>
          <w:szCs w:val="24"/>
          <w:highlight w:val="none"/>
          <w:lang w:eastAsia="zh-CN"/>
          <w14:textFill>
            <w14:solidFill>
              <w14:schemeClr w14:val="tx1"/>
            </w14:solidFill>
          </w14:textFill>
        </w:rPr>
      </w:pP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1）承包人应利用信息技术手段，建立用工实名管理制度，对施工现场人员登记并进行监管，开展实名管理所</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需数据的提取、登记、审核、报送和档案管理等工作；</w:t>
      </w:r>
    </w:p>
    <w:p w14:paraId="6560DCE1">
      <w:pPr>
        <w:pStyle w:val="40"/>
        <w:spacing w:line="360" w:lineRule="auto"/>
        <w:ind w:firstLine="424" w:firstLineChars="177"/>
        <w:rPr>
          <w:rFonts w:ascii="仿宋" w:hAnsi="仿宋" w:eastAsia="仿宋"/>
          <w:bCs/>
          <w:iCs/>
          <w:snapToGrid w:val="0"/>
          <w:color w:val="000000" w:themeColor="text1"/>
          <w:sz w:val="24"/>
          <w:szCs w:val="24"/>
          <w:highlight w:val="none"/>
          <w:lang w:eastAsia="zh-CN"/>
          <w14:textFill>
            <w14:solidFill>
              <w14:schemeClr w14:val="tx1"/>
            </w14:solidFill>
          </w14:textFill>
        </w:rPr>
      </w:pP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2）在施工区域安装电子信息卡等门禁设施，用于施工现场人员的日常考勤和工作情况记录；</w:t>
      </w:r>
    </w:p>
    <w:p w14:paraId="50068C0A">
      <w:pPr>
        <w:pStyle w:val="40"/>
        <w:spacing w:line="360" w:lineRule="auto"/>
        <w:ind w:firstLine="424" w:firstLineChars="177"/>
        <w:rPr>
          <w:rFonts w:ascii="仿宋" w:hAnsi="仿宋" w:eastAsia="仿宋"/>
          <w:bCs/>
          <w:iCs/>
          <w:snapToGrid w:val="0"/>
          <w:color w:val="000000" w:themeColor="text1"/>
          <w:sz w:val="24"/>
          <w:szCs w:val="24"/>
          <w:highlight w:val="none"/>
          <w:lang w:eastAsia="zh-CN"/>
          <w14:textFill>
            <w14:solidFill>
              <w14:schemeClr w14:val="tx1"/>
            </w14:solidFill>
          </w14:textFill>
        </w:rPr>
      </w:pP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3）在项目现场设置公示牌，将每月考勤、工资支付等信息在公示牌上进行公示。</w:t>
      </w:r>
    </w:p>
    <w:p w14:paraId="26372F7B">
      <w:pPr>
        <w:pStyle w:val="40"/>
        <w:spacing w:line="360" w:lineRule="auto"/>
        <w:ind w:firstLine="424" w:firstLineChars="177"/>
        <w:rPr>
          <w:rFonts w:ascii="仿宋" w:hAnsi="仿宋" w:eastAsia="仿宋"/>
          <w:bCs/>
          <w:iCs/>
          <w:snapToGrid w:val="0"/>
          <w:color w:val="000000" w:themeColor="text1"/>
          <w:sz w:val="24"/>
          <w:szCs w:val="24"/>
          <w:highlight w:val="none"/>
          <w:lang w:eastAsia="zh-CN"/>
          <w14:textFill>
            <w14:solidFill>
              <w14:schemeClr w14:val="tx1"/>
            </w14:solidFill>
          </w14:textFill>
        </w:rPr>
      </w:pP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4）落实工程建设领域人工费用与其他工程款分账管理制度，设立工资支付专用账户，</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统一</w:t>
      </w:r>
      <w:r>
        <w:rPr>
          <w:rFonts w:ascii="仿宋" w:hAnsi="仿宋" w:eastAsia="仿宋"/>
          <w:bCs/>
          <w:iCs/>
          <w:snapToGrid w:val="0"/>
          <w:color w:val="000000" w:themeColor="text1"/>
          <w:sz w:val="24"/>
          <w:szCs w:val="24"/>
          <w:highlight w:val="none"/>
          <w:lang w:eastAsia="zh-CN"/>
          <w14:textFill>
            <w14:solidFill>
              <w14:schemeClr w14:val="tx1"/>
            </w14:solidFill>
          </w14:textFill>
        </w:rPr>
        <w:t>为已实名信息采集的施工现场人员办理银行卡，并通过银行卡足额发放工资；</w:t>
      </w:r>
    </w:p>
    <w:p w14:paraId="2E253EFA">
      <w:pPr>
        <w:pStyle w:val="40"/>
        <w:spacing w:line="360" w:lineRule="auto"/>
        <w:ind w:firstLine="424" w:firstLineChars="177"/>
        <w:rPr>
          <w:rFonts w:ascii="仿宋" w:hAnsi="仿宋" w:eastAsia="仿宋"/>
          <w:bCs/>
          <w:iCs/>
          <w:snapToGrid w:val="0"/>
          <w:color w:val="000000" w:themeColor="text1"/>
          <w:sz w:val="24"/>
          <w:szCs w:val="24"/>
          <w:highlight w:val="none"/>
          <w:lang w:eastAsia="zh-CN"/>
          <w14:textFill>
            <w14:solidFill>
              <w14:schemeClr w14:val="tx1"/>
            </w14:solidFill>
          </w14:textFill>
        </w:rPr>
      </w:pP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5）自行或提请银行将银行卡发放信息、工资支付信息归集后上传至实名监督系统，并</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向施工现场人员反馈其工资收入信息；</w:t>
      </w:r>
    </w:p>
    <w:p w14:paraId="65EDC69F">
      <w:pPr>
        <w:pStyle w:val="40"/>
        <w:spacing w:line="360" w:lineRule="auto"/>
        <w:ind w:firstLine="424" w:firstLineChars="177"/>
        <w:rPr>
          <w:rFonts w:ascii="仿宋" w:hAnsi="仿宋" w:eastAsia="仿宋"/>
          <w:bCs/>
          <w:iCs/>
          <w:snapToGrid w:val="0"/>
          <w:color w:val="000000" w:themeColor="text1"/>
          <w:sz w:val="24"/>
          <w:szCs w:val="24"/>
          <w:highlight w:val="none"/>
          <w:lang w:eastAsia="zh-CN"/>
          <w14:textFill>
            <w14:solidFill>
              <w14:schemeClr w14:val="tx1"/>
            </w14:solidFill>
          </w14:textFill>
        </w:rPr>
      </w:pP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 xml:space="preserve">6）承包人用工实名制应符合《住房城乡建设部 </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人力资源社会保障部关于印发建筑工人实名制管理办法（试行）的通知》（建市〔</w:t>
      </w:r>
      <w:r>
        <w:rPr>
          <w:rFonts w:ascii="仿宋" w:hAnsi="仿宋" w:eastAsia="仿宋"/>
          <w:bCs/>
          <w:iCs/>
          <w:snapToGrid w:val="0"/>
          <w:color w:val="000000" w:themeColor="text1"/>
          <w:sz w:val="24"/>
          <w:szCs w:val="24"/>
          <w:highlight w:val="none"/>
          <w:lang w:eastAsia="zh-CN"/>
          <w14:textFill>
            <w14:solidFill>
              <w14:schemeClr w14:val="tx1"/>
            </w14:solidFill>
          </w14:textFill>
        </w:rPr>
        <w:t>2019〕18号）、《广州市住房和城乡建设委员会关于转发</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w:t>
      </w:r>
      <w:r>
        <w:rPr>
          <w:rFonts w:ascii="仿宋" w:hAnsi="仿宋" w:eastAsia="仿宋"/>
          <w:bCs/>
          <w:iCs/>
          <w:snapToGrid w:val="0"/>
          <w:color w:val="000000" w:themeColor="text1"/>
          <w:sz w:val="24"/>
          <w:szCs w:val="24"/>
          <w:highlight w:val="none"/>
          <w:lang w:eastAsia="zh-CN"/>
          <w14:textFill>
            <w14:solidFill>
              <w14:schemeClr w14:val="tx1"/>
            </w14:solidFill>
          </w14:textFill>
        </w:rPr>
        <w:t>广东省住房和城乡建设厅关于房屋建筑和市政基础设施工程用工实名管理暂行办法</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〉的通知》</w:t>
      </w:r>
      <w:r>
        <w:rPr>
          <w:rFonts w:ascii="仿宋" w:hAnsi="仿宋" w:eastAsia="仿宋"/>
          <w:bCs/>
          <w:iCs/>
          <w:snapToGrid w:val="0"/>
          <w:color w:val="000000" w:themeColor="text1"/>
          <w:sz w:val="24"/>
          <w:szCs w:val="24"/>
          <w:highlight w:val="none"/>
          <w:lang w:eastAsia="zh-CN"/>
          <w14:textFill>
            <w14:solidFill>
              <w14:schemeClr w14:val="tx1"/>
            </w14:solidFill>
          </w14:textFill>
        </w:rPr>
        <w:t>（</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穗建筑〔</w:t>
      </w:r>
      <w:r>
        <w:rPr>
          <w:rFonts w:ascii="仿宋" w:hAnsi="仿宋" w:eastAsia="仿宋"/>
          <w:bCs/>
          <w:iCs/>
          <w:snapToGrid w:val="0"/>
          <w:color w:val="000000" w:themeColor="text1"/>
          <w:sz w:val="24"/>
          <w:szCs w:val="24"/>
          <w:highlight w:val="none"/>
          <w:lang w:eastAsia="zh-CN"/>
          <w14:textFill>
            <w14:solidFill>
              <w14:schemeClr w14:val="tx1"/>
            </w14:solidFill>
          </w14:textFill>
        </w:rPr>
        <w:t>2018〕981号）、《广州市住房和城乡建设局关于</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印发广州市建筑施工实名制管理办法的通知》（穗建规字〔</w:t>
      </w:r>
      <w:r>
        <w:rPr>
          <w:rFonts w:ascii="仿宋" w:hAnsi="仿宋" w:eastAsia="仿宋"/>
          <w:bCs/>
          <w:iCs/>
          <w:snapToGrid w:val="0"/>
          <w:color w:val="000000" w:themeColor="text1"/>
          <w:sz w:val="24"/>
          <w:szCs w:val="24"/>
          <w:highlight w:val="none"/>
          <w:lang w:eastAsia="zh-CN"/>
          <w14:textFill>
            <w14:solidFill>
              <w14:schemeClr w14:val="tx1"/>
            </w14:solidFill>
          </w14:textFill>
        </w:rPr>
        <w:t>2020〕18号）</w:t>
      </w:r>
      <w:r>
        <w:rPr>
          <w:rFonts w:hint="eastAsia" w:ascii="仿宋" w:hAnsi="仿宋" w:eastAsia="仿宋"/>
          <w:bCs/>
          <w:iCs/>
          <w:snapToGrid w:val="0"/>
          <w:color w:val="000000" w:themeColor="text1"/>
          <w:sz w:val="24"/>
          <w:szCs w:val="24"/>
          <w:highlight w:val="none"/>
          <w:lang w:eastAsia="zh-CN"/>
          <w14:textFill>
            <w14:solidFill>
              <w14:schemeClr w14:val="tx1"/>
            </w14:solidFill>
          </w14:textFill>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color w:val="000000" w:themeColor="text1"/>
          <w:sz w:val="24"/>
          <w:szCs w:val="24"/>
          <w:highlight w:val="none"/>
          <w:lang w:eastAsia="zh-CN"/>
          <w14:textFill>
            <w14:solidFill>
              <w14:schemeClr w14:val="tx1"/>
            </w14:solidFill>
          </w14:textFill>
        </w:rPr>
        <w:t>等政策文件的要求。</w:t>
      </w:r>
    </w:p>
    <w:p w14:paraId="6DE9BEB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52.3发包人责任</w:t>
      </w:r>
    </w:p>
    <w:p w14:paraId="3B4757F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双方协商一致，52.3款修改为如下：</w:t>
      </w:r>
    </w:p>
    <w:p w14:paraId="3B066996">
      <w:pPr>
        <w:adjustRightInd w:val="0"/>
        <w:snapToGrid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在合同工程实施期间，发包人承担下列责任：</w:t>
      </w:r>
    </w:p>
    <w:p w14:paraId="000D6495">
      <w:pPr>
        <w:adjustRightInd w:val="0"/>
        <w:snapToGrid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lang w:eastAsia="zh-CN"/>
          <w14:textFill>
            <w14:solidFill>
              <w14:schemeClr w14:val="tx1"/>
            </w14:solidFill>
          </w14:textFill>
        </w:rPr>
        <w:t>）发包人应配合承包人做好绿色施工安全防护工作，定期对其现场机构全部人员进行绿色施工安全防护教育和培训。</w:t>
      </w:r>
    </w:p>
    <w:p w14:paraId="1CD84760">
      <w:pPr>
        <w:adjustRightInd w:val="0"/>
        <w:snapToGrid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）发包人应对其现场机构全部人员的安全事故承担责任，但由于承包人原因造成发包人人员安全事故的，应由承包人承担责任。</w:t>
      </w:r>
    </w:p>
    <w:p w14:paraId="3036FDE7">
      <w:pPr>
        <w:adjustRightInd w:val="0"/>
        <w:snapToGrid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w:t>
      </w: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）发包人有下列行为之一或由于发包人原因造成安全事故的，由发包人承担责任，由此增加的费用和延误的工期由发包人承担。</w:t>
      </w:r>
    </w:p>
    <w:p w14:paraId="48B747BB">
      <w:pPr>
        <w:tabs>
          <w:tab w:val="left" w:pos="1980"/>
        </w:tabs>
        <w:adjustRightInd w:val="0"/>
        <w:snapToGrid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①要求承包人违反绿色施工安全防护操作规程施工的；</w:t>
      </w:r>
    </w:p>
    <w:p w14:paraId="3A47AF58">
      <w:pPr>
        <w:tabs>
          <w:tab w:val="left" w:pos="1980"/>
        </w:tabs>
        <w:adjustRightInd w:val="0"/>
        <w:snapToGrid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②对承包人提出不符合国家、省有关绿色施工安全防护法律和强制性标准规定要求的；</w:t>
      </w:r>
    </w:p>
    <w:p w14:paraId="6B1E97B6">
      <w:pPr>
        <w:tabs>
          <w:tab w:val="left" w:pos="1980"/>
        </w:tabs>
        <w:adjustRightInd w:val="0"/>
        <w:snapToGrid w:val="0"/>
        <w:spacing w:line="360" w:lineRule="auto"/>
        <w:ind w:firstLine="480" w:firstLineChars="200"/>
        <w:jc w:val="both"/>
        <w:rPr>
          <w:rFonts w:ascii="仿宋" w:hAnsi="仿宋" w:eastAsia="仿宋" w:cs="仿宋"/>
          <w:color w:val="000000" w:themeColor="text1"/>
          <w:highlight w:val="none"/>
          <w:lang w:eastAsia="zh-CN"/>
          <w14:textFill>
            <w14:solidFill>
              <w14:schemeClr w14:val="tx1"/>
            </w14:solidFill>
          </w14:textFill>
        </w:rPr>
      </w:pPr>
      <w:r>
        <w:rPr>
          <w:rFonts w:hint="eastAsia" w:ascii="宋体" w:hAnsi="宋体" w:cs="仿宋"/>
          <w:color w:val="000000" w:themeColor="text1"/>
          <w:highlight w:val="none"/>
          <w:lang w:eastAsia="zh-CN"/>
          <w14:textFill>
            <w14:solidFill>
              <w14:schemeClr w14:val="tx1"/>
            </w14:solidFill>
          </w14:textFill>
        </w:rPr>
        <w:t>③</w:t>
      </w:r>
      <w:r>
        <w:rPr>
          <w:rFonts w:hint="eastAsia" w:ascii="仿宋" w:hAnsi="仿宋" w:eastAsia="仿宋" w:cs="仿宋"/>
          <w:color w:val="000000" w:themeColor="text1"/>
          <w:highlight w:val="none"/>
          <w:lang w:eastAsia="zh-CN"/>
          <w14:textFill>
            <w14:solidFill>
              <w14:schemeClr w14:val="tx1"/>
            </w14:solidFill>
          </w14:textFill>
        </w:rPr>
        <w:t>明示或暗示承包人购买、租赁、使用不符合安全施工要求的安全防护用具、施工机具的。</w:t>
      </w:r>
    </w:p>
    <w:p w14:paraId="0FAF0BA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52.4承包人责任</w:t>
      </w:r>
    </w:p>
    <w:p w14:paraId="495F5DF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双方协商一致，本条增加以下条款：</w:t>
      </w:r>
    </w:p>
    <w:p w14:paraId="6AA57598">
      <w:pPr>
        <w:spacing w:line="360" w:lineRule="auto"/>
        <w:ind w:right="11"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w:t>
      </w:r>
      <w:r>
        <w:rPr>
          <w:rFonts w:ascii="仿宋" w:hAnsi="仿宋" w:eastAsia="仿宋" w:cs="宋体"/>
          <w:snapToGrid w:val="0"/>
          <w:color w:val="000000" w:themeColor="text1"/>
          <w:highlight w:val="none"/>
          <w:lang w:eastAsia="zh-CN"/>
          <w14:textFill>
            <w14:solidFill>
              <w14:schemeClr w14:val="tx1"/>
            </w14:solidFill>
          </w14:textFill>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color w:val="000000" w:themeColor="text1"/>
          <w:highlight w:val="none"/>
          <w:lang w:eastAsia="zh-CN"/>
          <w14:textFill>
            <w14:solidFill>
              <w14:schemeClr w14:val="tx1"/>
            </w14:solidFill>
          </w14:textFill>
        </w:rPr>
        <w:t>作出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689D3B62">
      <w:pPr>
        <w:spacing w:line="360" w:lineRule="auto"/>
        <w:ind w:right="11"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9）网络视频监控要求（</w:t>
      </w:r>
      <w:r>
        <w:rPr>
          <w:rFonts w:hint="eastAsia" w:ascii="仿宋" w:hAnsi="仿宋" w:eastAsia="仿宋" w:cs="宋体"/>
          <w:b/>
          <w:bCs/>
          <w:snapToGrid w:val="0"/>
          <w:color w:val="000000" w:themeColor="text1"/>
          <w:highlight w:val="none"/>
          <w:bdr w:val="single" w:color="auto" w:sz="4" w:space="0"/>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 xml:space="preserve"> 需满足</w:t>
      </w:r>
      <w:r>
        <w:rPr>
          <w:rFonts w:hint="eastAsia" w:ascii="仿宋" w:hAnsi="仿宋" w:eastAsia="仿宋" w:cs="宋体"/>
          <w:iCs/>
          <w:snapToGrid w:val="0"/>
          <w:color w:val="000000" w:themeColor="text1"/>
          <w:highlight w:val="none"/>
          <w:lang w:eastAsia="zh-CN"/>
          <w14:textFill>
            <w14:solidFill>
              <w14:schemeClr w14:val="tx1"/>
            </w14:solidFill>
          </w14:textFill>
        </w:rPr>
        <w:t>广州市住房和城乡建设局</w:t>
      </w:r>
      <w:r>
        <w:rPr>
          <w:rFonts w:hint="eastAsia" w:ascii="仿宋" w:hAnsi="仿宋" w:eastAsia="仿宋" w:cs="宋体"/>
          <w:snapToGrid w:val="0"/>
          <w:color w:val="000000" w:themeColor="text1"/>
          <w:highlight w:val="none"/>
          <w:lang w:eastAsia="zh-CN"/>
          <w14:textFill>
            <w14:solidFill>
              <w14:schemeClr w14:val="tx1"/>
            </w14:solidFill>
          </w14:textFill>
        </w:rPr>
        <w:t>要求的视频监控</w:t>
      </w:r>
      <w:r>
        <w:rPr>
          <w:rFonts w:hint="eastAsia" w:ascii="仿宋" w:hAnsi="仿宋" w:eastAsia="仿宋" w:cs="宋体"/>
          <w:b/>
          <w:bCs/>
          <w:snapToGrid w:val="0"/>
          <w:color w:val="000000" w:themeColor="text1"/>
          <w:highlight w:val="none"/>
          <w:bdr w:val="single" w:color="auto" w:sz="4" w:space="0"/>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 xml:space="preserve"> 及需满足发包人调度使用的远程工地视频监控系统）</w:t>
      </w:r>
    </w:p>
    <w:p w14:paraId="72FBFF68">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1）承包人必须遵照《广州市住房和城乡建设委员会关于建设工地纳入视频监控的通知》（</w:t>
      </w:r>
      <w:r>
        <w:rPr>
          <w:rFonts w:hint="eastAsia" w:ascii="仿宋" w:hAnsi="仿宋" w:eastAsia="仿宋" w:cs="宋体"/>
          <w:bCs/>
          <w:iCs/>
          <w:snapToGrid w:val="0"/>
          <w:color w:val="000000" w:themeColor="text1"/>
          <w:highlight w:val="none"/>
          <w:lang w:eastAsia="zh-CN"/>
          <w14:textFill>
            <w14:solidFill>
              <w14:schemeClr w14:val="tx1"/>
            </w14:solidFill>
          </w14:textFill>
        </w:rPr>
        <w:t>穗建质〔</w:t>
      </w:r>
      <w:r>
        <w:rPr>
          <w:rFonts w:ascii="仿宋" w:hAnsi="仿宋" w:eastAsia="仿宋" w:cs="宋体"/>
          <w:bCs/>
          <w:iCs/>
          <w:snapToGrid w:val="0"/>
          <w:color w:val="000000" w:themeColor="text1"/>
          <w:highlight w:val="none"/>
          <w:lang w:eastAsia="zh-CN"/>
          <w14:textFill>
            <w14:solidFill>
              <w14:schemeClr w14:val="tx1"/>
            </w14:solidFill>
          </w14:textFill>
        </w:rPr>
        <w:t>2017〕1166号），《广州市住房和城乡建设委员会关于印发广州市建设工程视频监控工作要求及管理指引的通知》（</w:t>
      </w:r>
      <w:r>
        <w:rPr>
          <w:rFonts w:hint="eastAsia" w:ascii="仿宋" w:hAnsi="仿宋" w:eastAsia="仿宋" w:cs="宋体"/>
          <w:bCs/>
          <w:iCs/>
          <w:snapToGrid w:val="0"/>
          <w:color w:val="000000" w:themeColor="text1"/>
          <w:highlight w:val="none"/>
          <w:lang w:eastAsia="zh-CN"/>
          <w14:textFill>
            <w14:solidFill>
              <w14:schemeClr w14:val="tx1"/>
            </w14:solidFill>
          </w14:textFill>
        </w:rPr>
        <w:t>穗建质〔</w:t>
      </w:r>
      <w:r>
        <w:rPr>
          <w:rFonts w:ascii="仿宋" w:hAnsi="仿宋" w:eastAsia="仿宋" w:cs="宋体"/>
          <w:bCs/>
          <w:iCs/>
          <w:snapToGrid w:val="0"/>
          <w:color w:val="000000" w:themeColor="text1"/>
          <w:highlight w:val="none"/>
          <w:lang w:eastAsia="zh-CN"/>
          <w14:textFill>
            <w14:solidFill>
              <w14:schemeClr w14:val="tx1"/>
            </w14:solidFill>
          </w14:textFill>
        </w:rPr>
        <w:t>2018〕2078号）的要求，建立满足隐蔽工程和关键工序质量监控、安全文明施工监控、验收监控等需要的视频监控系统（以通过发包人验收为准）。</w:t>
      </w:r>
    </w:p>
    <w:p w14:paraId="48822CB2">
      <w:pPr>
        <w:spacing w:line="360" w:lineRule="auto"/>
        <w:ind w:right="11" w:firstLine="566" w:firstLineChars="236"/>
        <w:rPr>
          <w:rFonts w:ascii="仿宋" w:hAnsi="仿宋" w:eastAsia="仿宋" w:cs="宋体"/>
          <w:bCs/>
          <w:iCs/>
          <w:snapToGrid w:val="0"/>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2）施工现场视频监控的部位应当覆盖以下基本部位：大门及围墙、临时用电设施、深基坑等。</w:t>
      </w:r>
    </w:p>
    <w:p w14:paraId="44F98281">
      <w:pPr>
        <w:spacing w:line="360" w:lineRule="auto"/>
        <w:ind w:right="11" w:firstLine="566" w:firstLineChars="236"/>
        <w:rPr>
          <w:rFonts w:ascii="仿宋" w:hAnsi="仿宋" w:eastAsia="仿宋"/>
          <w:color w:val="000000" w:themeColor="text1"/>
          <w:highlight w:val="none"/>
          <w:lang w:eastAsia="zh-CN"/>
          <w14:textFill>
            <w14:solidFill>
              <w14:schemeClr w14:val="tx1"/>
            </w14:solidFill>
          </w14:textFill>
        </w:rPr>
      </w:pPr>
      <w:r>
        <w:rPr>
          <w:rFonts w:ascii="仿宋" w:hAnsi="仿宋" w:eastAsia="仿宋" w:cs="宋体"/>
          <w:bCs/>
          <w:iCs/>
          <w:snapToGrid w:val="0"/>
          <w:color w:val="000000" w:themeColor="text1"/>
          <w:highlight w:val="none"/>
          <w:lang w:eastAsia="zh-CN"/>
          <w14:textFill>
            <w14:solidFill>
              <w14:schemeClr w14:val="tx1"/>
            </w14:solidFill>
          </w14:textFill>
        </w:rPr>
        <w:t>3）承包人应建立视频监控系统资料的收集、查阅、检索等档案系统，并安排专人负责。</w:t>
      </w:r>
    </w:p>
    <w:p w14:paraId="3310608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52.6 治安管理</w:t>
      </w:r>
    </w:p>
    <w:p w14:paraId="1654412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按通用条款的约定。</w:t>
      </w:r>
    </w:p>
    <w:p w14:paraId="3954901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C29C10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52.8 发包人鼓励创建文明工地，创文明工地目标：</w:t>
      </w:r>
      <w:r>
        <w:rPr>
          <w:rFonts w:hint="eastAsia" w:ascii="仿宋" w:hAnsi="仿宋" w:eastAsia="仿宋" w:cs="仿宋"/>
          <w:color w:val="000000" w:themeColor="text1"/>
          <w:highlight w:val="none"/>
          <w:u w:val="single"/>
          <w:lang w:eastAsia="zh-CN"/>
          <w14:textFill>
            <w14:solidFill>
              <w14:schemeClr w14:val="tx1"/>
            </w14:solidFill>
          </w14:textFill>
        </w:rPr>
        <w:t>详见协议书第五条。</w:t>
      </w:r>
    </w:p>
    <w:p w14:paraId="68DE826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52.9特别安全生产事项</w:t>
      </w:r>
    </w:p>
    <w:p w14:paraId="3B3E96FE">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危险性较大分部分项专项工程施工技术措施标准、要求：</w:t>
      </w:r>
      <w:r>
        <w:rPr>
          <w:rFonts w:hint="eastAsia" w:ascii="仿宋" w:hAnsi="仿宋" w:eastAsia="仿宋" w:cs="仿宋"/>
          <w:color w:val="000000" w:themeColor="text1"/>
          <w:highlight w:val="none"/>
          <w:u w:val="single"/>
          <w:lang w:eastAsia="zh-CN"/>
          <w14:textFill>
            <w14:solidFill>
              <w14:schemeClr w14:val="tx1"/>
            </w14:solidFill>
          </w14:textFill>
        </w:rPr>
        <w:t>由承包人在施工组织设计中编列</w:t>
      </w:r>
      <w:r>
        <w:rPr>
          <w:rFonts w:hint="eastAsia" w:ascii="仿宋" w:hAnsi="仿宋" w:eastAsia="仿宋" w:cs="仿宋"/>
          <w:color w:val="000000" w:themeColor="text1"/>
          <w:highlight w:val="none"/>
          <w:lang w:eastAsia="zh-CN"/>
          <w14:textFill>
            <w14:solidFill>
              <w14:schemeClr w14:val="tx1"/>
            </w14:solidFill>
          </w14:textFill>
        </w:rPr>
        <w:t>；</w:t>
      </w:r>
    </w:p>
    <w:p w14:paraId="6B3370BA">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危险性较大分部分项专项工程施工技术措施费：</w:t>
      </w:r>
      <w:r>
        <w:rPr>
          <w:rFonts w:hint="eastAsia" w:ascii="仿宋" w:hAnsi="仿宋" w:eastAsia="仿宋" w:cs="仿宋"/>
          <w:color w:val="000000" w:themeColor="text1"/>
          <w:highlight w:val="none"/>
          <w:u w:val="single"/>
          <w:lang w:eastAsia="zh-CN"/>
          <w14:textFill>
            <w14:solidFill>
              <w14:schemeClr w14:val="tx1"/>
            </w14:solidFill>
          </w14:textFill>
        </w:rPr>
        <w:t>已含在合同价款中</w:t>
      </w:r>
      <w:r>
        <w:rPr>
          <w:rFonts w:hint="eastAsia" w:ascii="仿宋" w:hAnsi="仿宋" w:eastAsia="仿宋" w:cs="仿宋"/>
          <w:color w:val="000000" w:themeColor="text1"/>
          <w:highlight w:val="none"/>
          <w:lang w:eastAsia="zh-CN"/>
          <w14:textFill>
            <w14:solidFill>
              <w14:schemeClr w14:val="tx1"/>
            </w14:solidFill>
          </w14:textFill>
        </w:rPr>
        <w:t>。</w:t>
      </w:r>
    </w:p>
    <w:p w14:paraId="2F788356">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85" w:name="_Toc7641"/>
      <w:bookmarkStart w:id="686" w:name="_Toc149731582"/>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53.  测量放线</w:t>
      </w:r>
      <w:bookmarkEnd w:id="685"/>
      <w:bookmarkEnd w:id="686"/>
    </w:p>
    <w:p w14:paraId="3D53462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53.1 测设施工控制网</w:t>
      </w:r>
    </w:p>
    <w:p w14:paraId="3EB6D35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承包人提交施工控制网资料的时间：</w:t>
      </w:r>
      <w:r>
        <w:rPr>
          <w:rFonts w:hint="eastAsia" w:ascii="仿宋" w:hAnsi="仿宋" w:eastAsia="仿宋" w:cs="仿宋"/>
          <w:color w:val="000000" w:themeColor="text1"/>
          <w:highlight w:val="none"/>
          <w:u w:val="single"/>
          <w:lang w:eastAsia="zh-CN"/>
          <w14:textFill>
            <w14:solidFill>
              <w14:schemeClr w14:val="tx1"/>
            </w14:solidFill>
          </w14:textFill>
        </w:rPr>
        <w:t>监理人发出开工令后10天内。</w:t>
      </w:r>
    </w:p>
    <w:p w14:paraId="06D722B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53.4 施工控制网（点）管理与使用</w:t>
      </w:r>
    </w:p>
    <w:p w14:paraId="065B024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测量放线误差的约定：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按设计及施工规范要求执行。</w:t>
      </w:r>
    </w:p>
    <w:p w14:paraId="6C73EC35">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87" w:name="_Toc149731583"/>
      <w:bookmarkStart w:id="688" w:name="_Toc2563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55.  发包人供应工程材料和工程设备</w:t>
      </w:r>
      <w:bookmarkEnd w:id="687"/>
      <w:bookmarkEnd w:id="688"/>
    </w:p>
    <w:p w14:paraId="36399BD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55.1 约定供应的工程材料和工程设备</w:t>
      </w:r>
    </w:p>
    <w:p w14:paraId="5B1CB19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发包人不供应工程材料和工程设备，本条不适用。</w:t>
      </w:r>
    </w:p>
    <w:p w14:paraId="76D4EA6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发包人供应工程材料和工程设备的，应与承包人约定“发包人供应工程材料和工程设备一览表”，作为本合同的附件。</w:t>
      </w:r>
    </w:p>
    <w:p w14:paraId="6132673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发包人保留对材料设备进行集中采购（“建设单位采购”、“建设单位+承包人联合采购”、“承包人自行采购”等模式采购）的权利，承包人承诺无条件配合，相关材料保管费、卸车费及现场转运费承包人已综合考虑至相应项目的投标报价中。</w:t>
      </w:r>
    </w:p>
    <w:p w14:paraId="65AF4A9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55.5 发包人交货的日期要求</w:t>
      </w:r>
    </w:p>
    <w:p w14:paraId="10CCEB2E">
      <w:pPr>
        <w:spacing w:line="360" w:lineRule="auto"/>
        <w:ind w:firstLine="480" w:firstLineChars="200"/>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供应工程材料和工程设备的，承包人应根据合同工程进度计划向监理人提交发包人交货的日期计划（计划到场时间为一个时间段）。经合同双方当事人商定交货日期后，发包人应准时向承包人供应工程材料和工程设备；超出计划允许时间段，发包人应承担由此增加的费用和（或）延误的工期，并向承包人支付合理利润。</w:t>
      </w:r>
    </w:p>
    <w:p w14:paraId="20670E44">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689" w:name="_Toc10926"/>
      <w:bookmarkStart w:id="690" w:name="_Toc149731584"/>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56.  承包人购置设备及工器具、采购工程材料和工程设备</w:t>
      </w:r>
      <w:bookmarkEnd w:id="689"/>
      <w:bookmarkEnd w:id="690"/>
    </w:p>
    <w:p w14:paraId="2C9B164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56.1 承包人购置设备及工器具</w:t>
      </w:r>
    </w:p>
    <w:p w14:paraId="54B277E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发包人不委托承包人购置设备及工器具，本条不适用。</w:t>
      </w:r>
    </w:p>
    <w:p w14:paraId="5DAE0DF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发包人委托承包人购置设备及工器具</w:t>
      </w:r>
    </w:p>
    <w:p w14:paraId="795B8A88">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①具体内容：</w:t>
      </w:r>
    </w:p>
    <w:p w14:paraId="47DE8BA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②购置清单（详见合同附件）：</w:t>
      </w:r>
    </w:p>
    <w:p w14:paraId="3F9F5BA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③购置要求（详见发包人要求）：</w:t>
      </w:r>
    </w:p>
    <w:p w14:paraId="5F8C1066">
      <w:pPr>
        <w:spacing w:line="360" w:lineRule="auto"/>
        <w:ind w:left="240" w:leftChars="100" w:firstLine="240" w:firstLineChars="1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56.2 承包人采购工程材料和工程设备</w:t>
      </w:r>
    </w:p>
    <w:p w14:paraId="1B5E072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按通用条款约定，由承包人负责运输和保管。</w:t>
      </w:r>
    </w:p>
    <w:p w14:paraId="014429F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运输和保管另作约定：</w:t>
      </w:r>
    </w:p>
    <w:p w14:paraId="2F0A0228">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采购方式另作约定：</w:t>
      </w:r>
    </w:p>
    <w:p w14:paraId="2E0178D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双方协商一致，补充以下条款：</w:t>
      </w:r>
    </w:p>
    <w:p w14:paraId="0984EFCA">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w:t>
      </w:r>
      <w:r>
        <w:rPr>
          <w:rFonts w:ascii="仿宋" w:hAnsi="仿宋" w:eastAsia="仿宋"/>
          <w:snapToGrid w:val="0"/>
          <w:color w:val="000000" w:themeColor="text1"/>
          <w:sz w:val="24"/>
          <w:szCs w:val="24"/>
          <w:highlight w:val="none"/>
          <w:lang w:eastAsia="zh-CN"/>
          <w14:textFill>
            <w14:solidFill>
              <w14:schemeClr w14:val="tx1"/>
            </w14:solidFill>
          </w14:textFill>
        </w:rPr>
        <w:t>1）招标文件已列明推荐品牌的材料设备</w:t>
      </w:r>
    </w:p>
    <w:p w14:paraId="4BEFCBE5">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①承包人必须在满足或优于招标文件（包括招标文件各专业主要设备材料技术参数）、招标图纸和相关规范要求的条件下，材料设备品牌选择范围应等同或相当于《主要设备材料推荐品牌表》（招标文件有规定推荐品牌系列范围的承包人须明确其相应品牌的档次、系列）；承包人可以填报其中的一种或多种推荐品牌，但承包人在中标后选用推荐品牌中的任一品牌，均不予调整其投标价。</w:t>
      </w:r>
    </w:p>
    <w:p w14:paraId="496DF887">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1AE43D98">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③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411BAEEF">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w:t>
      </w:r>
      <w:r>
        <w:rPr>
          <w:rFonts w:ascii="仿宋" w:hAnsi="仿宋" w:eastAsia="仿宋"/>
          <w:snapToGrid w:val="0"/>
          <w:color w:val="000000" w:themeColor="text1"/>
          <w:sz w:val="24"/>
          <w:szCs w:val="24"/>
          <w:highlight w:val="none"/>
          <w:lang w:eastAsia="zh-CN"/>
          <w14:textFill>
            <w14:solidFill>
              <w14:schemeClr w14:val="tx1"/>
            </w14:solidFill>
          </w14:textFill>
        </w:rPr>
        <w:t>2）招标文件未列明推荐品牌的材料设备</w:t>
      </w:r>
    </w:p>
    <w:p w14:paraId="5E12E1EF">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①招标文件未列明推荐供货厂家的，承包人必须注明所选用材料设备的品牌、产地、规格、等级，如未列明，则按发包人的要求采购，且发包人保留调整其材料价格的权利。</w:t>
      </w:r>
    </w:p>
    <w:p w14:paraId="1572893C">
      <w:pPr>
        <w:pStyle w:val="40"/>
        <w:spacing w:line="360" w:lineRule="auto"/>
        <w:ind w:firstLine="480" w:firstLineChars="200"/>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66077C7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3）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14:paraId="483FC25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4）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51106CC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（5）材料设备采购的变更</w:t>
      </w:r>
    </w:p>
    <w:p w14:paraId="7E293BC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①</w:t>
      </w:r>
      <w:r>
        <w:rPr>
          <w:rFonts w:ascii="仿宋" w:hAnsi="仿宋" w:eastAsia="仿宋"/>
          <w:color w:val="000000" w:themeColor="text1"/>
          <w:highlight w:val="none"/>
          <w:lang w:eastAsia="zh-CN"/>
          <w14:textFill>
            <w14:solidFill>
              <w14:schemeClr w14:val="tx1"/>
            </w14:solidFill>
          </w14:textFill>
        </w:rPr>
        <w:t>在工程施工过程中，根据工程的具体情况，从有利于保证工程质量、进度和投资控制角度考虑，发包人有权对相应材料设备的采购供应方式进行适当的变更（如改为甲供或甲招乙供），承包人在接到发包人的变更通知后，接受发包人对材料设备采购供应方式的变更并予以积极配合。</w:t>
      </w:r>
    </w:p>
    <w:p w14:paraId="0EE7DB7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②</w:t>
      </w:r>
      <w:r>
        <w:rPr>
          <w:rFonts w:ascii="仿宋" w:hAnsi="仿宋" w:eastAsia="仿宋"/>
          <w:color w:val="000000" w:themeColor="text1"/>
          <w:highlight w:val="none"/>
          <w:lang w:eastAsia="zh-CN"/>
          <w14:textFill>
            <w14:solidFill>
              <w14:schemeClr w14:val="tx1"/>
            </w14:solidFill>
          </w14:textFill>
        </w:rPr>
        <w:t>出于为保证本工程的整体质量和效果等特殊原因，发包人决定将某种材料设备的供货方式由乙供改为甲供或甲招乙供时，承包人应</w:t>
      </w:r>
      <w:r>
        <w:rPr>
          <w:rFonts w:hint="eastAsia" w:ascii="仿宋" w:hAnsi="仿宋" w:eastAsia="仿宋"/>
          <w:color w:val="000000" w:themeColor="text1"/>
          <w:highlight w:val="none"/>
          <w:lang w:eastAsia="zh-CN"/>
          <w14:textFill>
            <w14:solidFill>
              <w14:schemeClr w14:val="tx1"/>
            </w14:solidFill>
          </w14:textFill>
        </w:rPr>
        <w:t>至少</w:t>
      </w:r>
      <w:r>
        <w:rPr>
          <w:rFonts w:ascii="仿宋" w:hAnsi="仿宋" w:eastAsia="仿宋"/>
          <w:color w:val="000000" w:themeColor="text1"/>
          <w:highlight w:val="none"/>
          <w:lang w:eastAsia="zh-CN"/>
          <w14:textFill>
            <w14:solidFill>
              <w14:schemeClr w14:val="tx1"/>
            </w14:solidFill>
          </w14:textFill>
        </w:rPr>
        <w:t>提前30</w:t>
      </w:r>
      <w:r>
        <w:rPr>
          <w:rFonts w:hint="eastAsia" w:ascii="仿宋" w:hAnsi="仿宋" w:eastAsia="仿宋"/>
          <w:color w:val="000000" w:themeColor="text1"/>
          <w:highlight w:val="none"/>
          <w:lang w:eastAsia="zh-CN"/>
          <w14:textFill>
            <w14:solidFill>
              <w14:schemeClr w14:val="tx1"/>
            </w14:solidFill>
          </w14:textFill>
        </w:rPr>
        <w:t>天</w:t>
      </w:r>
      <w:r>
        <w:rPr>
          <w:rFonts w:ascii="仿宋" w:hAnsi="仿宋" w:eastAsia="仿宋"/>
          <w:color w:val="000000" w:themeColor="text1"/>
          <w:highlight w:val="none"/>
          <w:lang w:eastAsia="zh-CN"/>
          <w14:textFill>
            <w14:solidFill>
              <w14:schemeClr w14:val="tx1"/>
            </w14:solidFill>
          </w14:textFill>
        </w:rPr>
        <w:t>做好材料到货及使用时间计划给发包人，</w:t>
      </w:r>
      <w:r>
        <w:rPr>
          <w:rFonts w:hint="eastAsia" w:ascii="仿宋" w:hAnsi="仿宋" w:eastAsia="仿宋"/>
          <w:color w:val="000000" w:themeColor="text1"/>
          <w:highlight w:val="none"/>
          <w:lang w:eastAsia="zh-CN"/>
          <w14:textFill>
            <w14:solidFill>
              <w14:schemeClr w14:val="tx1"/>
            </w14:solidFill>
          </w14:textFill>
        </w:rPr>
        <w:t>否则由承包人承担未能及时供货的相关损失</w:t>
      </w:r>
      <w:r>
        <w:rPr>
          <w:rFonts w:ascii="仿宋" w:hAnsi="仿宋" w:eastAsia="仿宋"/>
          <w:color w:val="000000" w:themeColor="text1"/>
          <w:highlight w:val="none"/>
          <w:lang w:eastAsia="zh-CN"/>
          <w14:textFill>
            <w14:solidFill>
              <w14:schemeClr w14:val="tx1"/>
            </w14:solidFill>
          </w14:textFill>
        </w:rPr>
        <w:t>。发包人根据材料到货及使用时间计划确定购买时间后将书面通知承包人。</w:t>
      </w:r>
      <w:r>
        <w:rPr>
          <w:rFonts w:hint="eastAsia" w:ascii="仿宋" w:hAnsi="仿宋" w:eastAsia="仿宋"/>
          <w:color w:val="000000" w:themeColor="text1"/>
          <w:highlight w:val="none"/>
          <w:lang w:eastAsia="zh-CN"/>
          <w14:textFill>
            <w14:solidFill>
              <w14:schemeClr w14:val="tx1"/>
            </w14:solidFill>
          </w14:textFill>
        </w:rPr>
        <w:t>若上述甲供或甲招乙供材料设备款不需要承包人支付时，</w:t>
      </w:r>
      <w:r>
        <w:rPr>
          <w:rFonts w:ascii="仿宋" w:hAnsi="仿宋" w:eastAsia="仿宋"/>
          <w:color w:val="000000" w:themeColor="text1"/>
          <w:highlight w:val="none"/>
          <w:lang w:eastAsia="zh-CN"/>
          <w14:textFill>
            <w14:solidFill>
              <w14:schemeClr w14:val="tx1"/>
            </w14:solidFill>
          </w14:textFill>
        </w:rPr>
        <w:t>发包人将以设计图纸结算用量（含定额规定的损耗）乘以</w:t>
      </w:r>
      <w:r>
        <w:rPr>
          <w:rFonts w:hint="eastAsia" w:ascii="仿宋" w:hAnsi="仿宋" w:eastAsia="仿宋"/>
          <w:color w:val="000000" w:themeColor="text1"/>
          <w:highlight w:val="none"/>
          <w:lang w:eastAsia="zh-CN"/>
          <w14:textFill>
            <w14:solidFill>
              <w14:schemeClr w14:val="tx1"/>
            </w14:solidFill>
          </w14:textFill>
        </w:rPr>
        <w:t>合同</w:t>
      </w:r>
      <w:r>
        <w:rPr>
          <w:rFonts w:ascii="仿宋" w:hAnsi="仿宋" w:eastAsia="仿宋"/>
          <w:color w:val="000000" w:themeColor="text1"/>
          <w:highlight w:val="none"/>
          <w:lang w:eastAsia="zh-CN"/>
          <w14:textFill>
            <w14:solidFill>
              <w14:schemeClr w14:val="tx1"/>
            </w14:solidFill>
          </w14:textFill>
        </w:rPr>
        <w:t>中的相应材料设备价格后从工程结算款中扣除相应的材料设备价款及其相关取费</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若实际供应的甲供材料设备数量超出按图纸计算用量（含定额规定的损耗）的差异部分则从承包人的工程结算款中扣除</w:t>
      </w:r>
      <w:r>
        <w:rPr>
          <w:rFonts w:hint="eastAsia" w:ascii="仿宋" w:hAnsi="仿宋" w:eastAsia="仿宋"/>
          <w:color w:val="000000" w:themeColor="text1"/>
          <w:highlight w:val="none"/>
          <w:lang w:eastAsia="zh-CN"/>
          <w14:textFill>
            <w14:solidFill>
              <w14:schemeClr w14:val="tx1"/>
            </w14:solidFill>
          </w14:textFill>
        </w:rPr>
        <w:t>，</w:t>
      </w:r>
      <w:r>
        <w:rPr>
          <w:rFonts w:ascii="仿宋" w:hAnsi="仿宋" w:eastAsia="仿宋"/>
          <w:color w:val="000000" w:themeColor="text1"/>
          <w:highlight w:val="none"/>
          <w:lang w:eastAsia="zh-CN"/>
          <w14:textFill>
            <w14:solidFill>
              <w14:schemeClr w14:val="tx1"/>
            </w14:solidFill>
          </w14:textFill>
        </w:rPr>
        <w:t>如不由承包人安装，安装费也相应扣除。</w:t>
      </w:r>
    </w:p>
    <w:p w14:paraId="6FDB8D3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56.3 承包人供货与清点要求</w:t>
      </w:r>
    </w:p>
    <w:p w14:paraId="54C481A4">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承包人供货清点要求：</w:t>
      </w:r>
      <w:r>
        <w:rPr>
          <w:rFonts w:hint="eastAsia" w:ascii="仿宋" w:hAnsi="仿宋" w:eastAsia="仿宋" w:cs="仿宋"/>
          <w:color w:val="000000" w:themeColor="text1"/>
          <w:highlight w:val="none"/>
          <w:u w:val="single"/>
          <w:lang w:eastAsia="zh-CN"/>
          <w14:textFill>
            <w14:solidFill>
              <w14:schemeClr w14:val="tx1"/>
            </w14:solidFill>
          </w14:textFill>
        </w:rPr>
        <w:t xml:space="preserve"> （按通用条款要求执行）    </w:t>
      </w:r>
    </w:p>
    <w:p w14:paraId="11AE5FB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双方协商一致，56.5款补充以下约定： </w:t>
      </w:r>
    </w:p>
    <w:p w14:paraId="699A17D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691" w:name="_Toc29009"/>
      <w:r>
        <w:rPr>
          <w:rFonts w:hint="eastAsia" w:ascii="仿宋" w:hAnsi="仿宋" w:eastAsia="仿宋"/>
          <w:color w:val="000000" w:themeColor="text1"/>
          <w:highlight w:val="none"/>
          <w:lang w:eastAsia="zh-CN"/>
          <w14:textFill>
            <w14:solidFill>
              <w14:schemeClr w14:val="tx1"/>
            </w14:solidFill>
          </w14:textFill>
        </w:rPr>
        <w:t>监理人</w:t>
      </w:r>
      <w:r>
        <w:rPr>
          <w:rFonts w:ascii="仿宋" w:hAnsi="仿宋" w:eastAsia="仿宋"/>
          <w:color w:val="000000" w:themeColor="text1"/>
          <w:highlight w:val="none"/>
          <w:lang w:eastAsia="zh-CN"/>
          <w14:textFill>
            <w14:solidFill>
              <w14:schemeClr w14:val="tx1"/>
            </w14:solidFill>
          </w14:textFill>
        </w:rPr>
        <w:t>对承包人采购的工程材料、设备及采用的工艺的查验，</w:t>
      </w:r>
      <w:r>
        <w:rPr>
          <w:rFonts w:hint="eastAsia" w:ascii="仿宋" w:hAnsi="仿宋" w:eastAsia="仿宋"/>
          <w:color w:val="000000" w:themeColor="text1"/>
          <w:highlight w:val="none"/>
          <w:lang w:eastAsia="zh-CN"/>
          <w14:textFill>
            <w14:solidFill>
              <w14:schemeClr w14:val="tx1"/>
            </w14:solidFill>
          </w14:textFill>
        </w:rPr>
        <w:t>具体工作包括但不限于以下：</w:t>
      </w:r>
    </w:p>
    <w:p w14:paraId="579072D5">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color w:val="000000" w:themeColor="text1"/>
          <w:highlight w:val="none"/>
          <w:lang w:eastAsia="zh-CN"/>
          <w14:textFill>
            <w14:solidFill>
              <w14:schemeClr w14:val="tx1"/>
            </w14:solidFill>
          </w14:textFill>
        </w:rPr>
        <w:t>工场地进行检验或试验，并应提供一切正常需要的手段，在材料、设备及工艺用于工程之前提供样品、样件，按照总监理工程师的选择和要求进行检验或试验。</w:t>
      </w:r>
    </w:p>
    <w:p w14:paraId="5B924146">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2）总监理工程师有权在施工场地、库房以及为工程生产、加工、制配材料、设备的地点（无论这些地点是否属于承包人管辖）检查和</w:t>
      </w:r>
      <w:r>
        <w:rPr>
          <w:rFonts w:hint="eastAsia" w:ascii="仿宋" w:hAnsi="仿宋" w:eastAsia="仿宋" w:cs="宋体"/>
          <w:snapToGrid w:val="0"/>
          <w:color w:val="000000" w:themeColor="text1"/>
          <w:highlight w:val="none"/>
          <w:lang w:eastAsia="zh-CN"/>
          <w14:textFill>
            <w14:solidFill>
              <w14:schemeClr w14:val="tx1"/>
            </w14:solidFill>
          </w14:textFill>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14DF09DA">
      <w:pPr>
        <w:spacing w:line="360" w:lineRule="auto"/>
        <w:ind w:right="11"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发包人和总监理工程师认为有必要的，有权对已检查、检验过的材料、设备进行重复检查、检验，承包人应遵照执行。重复检查、检验的程序和内容适用前述约定。</w:t>
      </w:r>
    </w:p>
    <w:p w14:paraId="4B89A77E">
      <w:pPr>
        <w:spacing w:line="360" w:lineRule="auto"/>
        <w:ind w:firstLine="480" w:firstLineChars="200"/>
        <w:rPr>
          <w:rFonts w:ascii="仿宋" w:hAnsi="仿宋" w:eastAsia="仿宋" w:cs="宋体"/>
          <w:i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3）</w:t>
      </w:r>
      <w:r>
        <w:rPr>
          <w:rFonts w:hint="eastAsia" w:ascii="仿宋" w:hAnsi="仿宋" w:eastAsia="仿宋" w:cs="宋体"/>
          <w:snapToGrid w:val="0"/>
          <w:color w:val="000000" w:themeColor="text1"/>
          <w:highlight w:val="none"/>
          <w:lang w:eastAsia="zh-CN"/>
          <w14:textFill>
            <w14:solidFill>
              <w14:schemeClr w14:val="tx1"/>
            </w14:solidFill>
          </w14:textFill>
        </w:rPr>
        <w:t>在施工过程中，总监理工程师有权随时对工程材料、设备的使用进行抽查。抽查范围、比例、数量、批次及检查深度可比国家</w:t>
      </w:r>
      <w:r>
        <w:rPr>
          <w:rFonts w:hint="eastAsia" w:ascii="仿宋" w:hAnsi="仿宋" w:eastAsia="仿宋" w:cs="宋体"/>
          <w:iCs/>
          <w:snapToGrid w:val="0"/>
          <w:color w:val="000000" w:themeColor="text1"/>
          <w:highlight w:val="none"/>
          <w:lang w:eastAsia="zh-CN"/>
          <w14:textFill>
            <w14:solidFill>
              <w14:schemeClr w14:val="tx1"/>
            </w14:solidFill>
          </w14:textFill>
        </w:rPr>
        <w:t>现行施工质量验收规范和</w:t>
      </w:r>
      <w:r>
        <w:rPr>
          <w:rFonts w:hint="eastAsia" w:ascii="仿宋" w:hAnsi="仿宋" w:eastAsia="仿宋" w:cs="宋体"/>
          <w:snapToGrid w:val="0"/>
          <w:color w:val="000000" w:themeColor="text1"/>
          <w:highlight w:val="none"/>
          <w:lang w:eastAsia="zh-CN"/>
          <w14:textFill>
            <w14:solidFill>
              <w14:schemeClr w14:val="tx1"/>
            </w14:solidFill>
          </w14:textFill>
        </w:rPr>
        <w:t>相关规定有所提高。</w:t>
      </w:r>
    </w:p>
    <w:p w14:paraId="7AEB688F">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工程材料、设备的质量依据下列顺序之标准认定（排序在前者优先）：</w:t>
      </w:r>
    </w:p>
    <w:p w14:paraId="34172358">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1）本工程设计图纸规定的设计标准和发包人制定的材料标准及技术要求[不符合下列第4）</w:t>
      </w:r>
      <w:r>
        <w:rPr>
          <w:rFonts w:hint="eastAsia" w:ascii="仿宋" w:hAnsi="仿宋" w:eastAsia="仿宋" w:cs="宋体"/>
          <w:snapToGrid w:val="0"/>
          <w:color w:val="000000" w:themeColor="text1"/>
          <w:highlight w:val="none"/>
          <w:lang w:eastAsia="zh-CN"/>
          <w14:textFill>
            <w14:solidFill>
              <w14:schemeClr w14:val="tx1"/>
            </w14:solidFill>
          </w14:textFill>
        </w:rPr>
        <w:t>项标准要求的除外</w:t>
      </w:r>
      <w:r>
        <w:rPr>
          <w:rFonts w:ascii="仿宋" w:hAnsi="仿宋" w:eastAsia="仿宋" w:cs="宋体"/>
          <w:snapToGrid w:val="0"/>
          <w:color w:val="000000" w:themeColor="text1"/>
          <w:highlight w:val="none"/>
          <w:lang w:eastAsia="zh-CN"/>
          <w14:textFill>
            <w14:solidFill>
              <w14:schemeClr w14:val="tx1"/>
            </w14:solidFill>
          </w14:textFill>
        </w:rPr>
        <w:t>]；</w:t>
      </w:r>
    </w:p>
    <w:p w14:paraId="76B3C84C">
      <w:pPr>
        <w:spacing w:line="360" w:lineRule="auto"/>
        <w:ind w:firstLine="480" w:firstLineChars="200"/>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2）招投标时确定的规格、技术指标、质量标准、品牌等</w:t>
      </w:r>
      <w:r>
        <w:rPr>
          <w:rFonts w:ascii="仿宋" w:hAnsi="仿宋" w:eastAsia="仿宋" w:cs="宋体"/>
          <w:snapToGrid w:val="0"/>
          <w:color w:val="000000" w:themeColor="text1"/>
          <w:highlight w:val="none"/>
          <w:lang w:eastAsia="zh-CN"/>
          <w14:textFill>
            <w14:solidFill>
              <w14:schemeClr w14:val="tx1"/>
            </w14:solidFill>
          </w14:textFill>
        </w:rPr>
        <w:t>[不符合下列第4）</w:t>
      </w:r>
      <w:r>
        <w:rPr>
          <w:rFonts w:hint="eastAsia" w:ascii="仿宋" w:hAnsi="仿宋" w:eastAsia="仿宋" w:cs="宋体"/>
          <w:snapToGrid w:val="0"/>
          <w:color w:val="000000" w:themeColor="text1"/>
          <w:highlight w:val="none"/>
          <w:lang w:eastAsia="zh-CN"/>
          <w14:textFill>
            <w14:solidFill>
              <w14:schemeClr w14:val="tx1"/>
            </w14:solidFill>
          </w14:textFill>
        </w:rPr>
        <w:t>项标准要求的除外</w:t>
      </w:r>
      <w:r>
        <w:rPr>
          <w:rFonts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iCs/>
          <w:snapToGrid w:val="0"/>
          <w:color w:val="000000" w:themeColor="text1"/>
          <w:highlight w:val="none"/>
          <w:lang w:eastAsia="zh-CN"/>
          <w14:textFill>
            <w14:solidFill>
              <w14:schemeClr w14:val="tx1"/>
            </w14:solidFill>
          </w14:textFill>
        </w:rPr>
        <w:t>；</w:t>
      </w:r>
    </w:p>
    <w:p w14:paraId="6A1809F0">
      <w:pPr>
        <w:spacing w:line="360" w:lineRule="auto"/>
        <w:ind w:firstLine="480" w:firstLineChars="200"/>
        <w:rPr>
          <w:rFonts w:ascii="仿宋" w:hAnsi="仿宋" w:eastAsia="仿宋" w:cs="宋体"/>
          <w:iCs/>
          <w:snapToGrid w:val="0"/>
          <w:color w:val="000000" w:themeColor="text1"/>
          <w:highlight w:val="none"/>
          <w:lang w:eastAsia="zh-CN"/>
          <w14:textFill>
            <w14:solidFill>
              <w14:schemeClr w14:val="tx1"/>
            </w14:solidFill>
          </w14:textFill>
        </w:rPr>
      </w:pPr>
      <w:r>
        <w:rPr>
          <w:rFonts w:ascii="仿宋" w:hAnsi="仿宋" w:eastAsia="仿宋" w:cs="宋体"/>
          <w:iCs/>
          <w:snapToGrid w:val="0"/>
          <w:color w:val="000000" w:themeColor="text1"/>
          <w:highlight w:val="none"/>
          <w:lang w:eastAsia="zh-CN"/>
          <w14:textFill>
            <w14:solidFill>
              <w14:schemeClr w14:val="tx1"/>
            </w14:solidFill>
          </w14:textFill>
        </w:rPr>
        <w:t>3）经监理单位、承包人、发包人共同认定的产品封样、样板</w:t>
      </w:r>
      <w:r>
        <w:rPr>
          <w:rFonts w:ascii="仿宋" w:hAnsi="仿宋" w:eastAsia="仿宋" w:cs="宋体"/>
          <w:snapToGrid w:val="0"/>
          <w:color w:val="000000" w:themeColor="text1"/>
          <w:highlight w:val="none"/>
          <w:lang w:eastAsia="zh-CN"/>
          <w14:textFill>
            <w14:solidFill>
              <w14:schemeClr w14:val="tx1"/>
            </w14:solidFill>
          </w14:textFill>
        </w:rPr>
        <w:t>[不符合下列第4）</w:t>
      </w:r>
      <w:r>
        <w:rPr>
          <w:rFonts w:hint="eastAsia" w:ascii="仿宋" w:hAnsi="仿宋" w:eastAsia="仿宋" w:cs="宋体"/>
          <w:snapToGrid w:val="0"/>
          <w:color w:val="000000" w:themeColor="text1"/>
          <w:highlight w:val="none"/>
          <w:lang w:eastAsia="zh-CN"/>
          <w14:textFill>
            <w14:solidFill>
              <w14:schemeClr w14:val="tx1"/>
            </w14:solidFill>
          </w14:textFill>
        </w:rPr>
        <w:t>项标准要求的除外</w:t>
      </w:r>
      <w:r>
        <w:rPr>
          <w:rFonts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iCs/>
          <w:snapToGrid w:val="0"/>
          <w:color w:val="000000" w:themeColor="text1"/>
          <w:highlight w:val="none"/>
          <w:lang w:eastAsia="zh-CN"/>
          <w14:textFill>
            <w14:solidFill>
              <w14:schemeClr w14:val="tx1"/>
            </w14:solidFill>
          </w14:textFill>
        </w:rPr>
        <w:t>；</w:t>
      </w:r>
    </w:p>
    <w:p w14:paraId="37421F9E">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4）国家或行业强制执行的技术标准、技术规范。</w:t>
      </w:r>
    </w:p>
    <w:p w14:paraId="7EC3CBA8">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color w:val="000000" w:themeColor="text1"/>
          <w:highlight w:val="none"/>
          <w:lang w:eastAsia="zh-CN"/>
          <w14:textFill>
            <w14:solidFill>
              <w14:schemeClr w14:val="tx1"/>
            </w14:solidFill>
          </w14:textFill>
        </w:rPr>
        <w:t>GB50411-2019）、</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广东省建筑节能与绿色建筑工程施工质量验收规范</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DBJ15-65-2021</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color w:val="000000" w:themeColor="text1"/>
          <w:highlight w:val="none"/>
          <w:lang w:eastAsia="zh-CN"/>
          <w14:textFill>
            <w14:solidFill>
              <w14:schemeClr w14:val="tx1"/>
            </w14:solidFill>
          </w14:textFill>
        </w:rPr>
        <w:t>专用条款</w:t>
      </w:r>
      <w:r>
        <w:rPr>
          <w:rFonts w:ascii="仿宋" w:hAnsi="仿宋" w:eastAsia="仿宋" w:cs="宋体"/>
          <w:snapToGrid w:val="0"/>
          <w:color w:val="000000" w:themeColor="text1"/>
          <w:highlight w:val="none"/>
          <w:lang w:eastAsia="zh-CN"/>
          <w14:textFill>
            <w14:solidFill>
              <w14:schemeClr w14:val="tx1"/>
            </w14:solidFill>
          </w14:textFill>
        </w:rPr>
        <w:t>第95.</w:t>
      </w:r>
      <w:r>
        <w:rPr>
          <w:rFonts w:hint="eastAsia" w:ascii="仿宋" w:hAnsi="仿宋" w:eastAsia="仿宋" w:cs="宋体"/>
          <w:snapToGrid w:val="0"/>
          <w:color w:val="000000" w:themeColor="text1"/>
          <w:highlight w:val="none"/>
          <w:lang w:eastAsia="zh-CN"/>
          <w14:textFill>
            <w14:solidFill>
              <w14:schemeClr w14:val="tx1"/>
            </w14:solidFill>
          </w14:textFill>
        </w:rPr>
        <w:t>4（</w:t>
      </w:r>
      <w:r>
        <w:rPr>
          <w:rFonts w:ascii="仿宋" w:hAnsi="仿宋" w:eastAsia="仿宋" w:cs="宋体"/>
          <w:snapToGrid w:val="0"/>
          <w:color w:val="000000" w:themeColor="text1"/>
          <w:highlight w:val="none"/>
          <w:lang w:eastAsia="zh-CN"/>
          <w14:textFill>
            <w14:solidFill>
              <w14:schemeClr w14:val="tx1"/>
            </w14:solidFill>
          </w14:textFill>
        </w:rPr>
        <w:t>1）款的约定承担违约责任。</w:t>
      </w:r>
    </w:p>
    <w:p w14:paraId="3868F560">
      <w:pPr>
        <w:spacing w:line="360" w:lineRule="auto"/>
        <w:ind w:right="11"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iCs/>
          <w:snapToGrid w:val="0"/>
          <w:color w:val="000000" w:themeColor="text1"/>
          <w:highlight w:val="none"/>
          <w:lang w:eastAsia="zh-CN"/>
          <w14:textFill>
            <w14:solidFill>
              <w14:schemeClr w14:val="tx1"/>
            </w14:solidFill>
          </w14:textFill>
        </w:rPr>
        <w:t>（</w:t>
      </w:r>
      <w:r>
        <w:rPr>
          <w:rFonts w:ascii="仿宋" w:hAnsi="仿宋" w:eastAsia="仿宋" w:cs="宋体"/>
          <w:iCs/>
          <w:snapToGrid w:val="0"/>
          <w:color w:val="000000" w:themeColor="text1"/>
          <w:highlight w:val="none"/>
          <w:lang w:eastAsia="zh-CN"/>
          <w14:textFill>
            <w14:solidFill>
              <w14:schemeClr w14:val="tx1"/>
            </w14:solidFill>
          </w14:textFill>
        </w:rPr>
        <w:t>4）总监理工程师或发包人或相关职能部门对材料、设备或工程进行检查、检验的费用由发包人负担。如果检测不合格，总监理工程师或发包人或相关职能部门要求进</w:t>
      </w:r>
      <w:r>
        <w:rPr>
          <w:rFonts w:hint="eastAsia" w:ascii="仿宋" w:hAnsi="仿宋" w:eastAsia="仿宋" w:cs="宋体"/>
          <w:snapToGrid w:val="0"/>
          <w:color w:val="000000" w:themeColor="text1"/>
          <w:highlight w:val="none"/>
          <w:lang w:eastAsia="zh-CN"/>
          <w14:textFill>
            <w14:solidFill>
              <w14:schemeClr w14:val="tx1"/>
            </w14:solidFill>
          </w14:textFill>
        </w:rPr>
        <w:t>行</w:t>
      </w:r>
      <w:r>
        <w:rPr>
          <w:rFonts w:hint="eastAsia" w:ascii="仿宋" w:hAnsi="仿宋" w:eastAsia="仿宋" w:cs="宋体"/>
          <w:bCs/>
          <w:snapToGrid w:val="0"/>
          <w:color w:val="000000" w:themeColor="text1"/>
          <w:highlight w:val="none"/>
          <w:lang w:eastAsia="zh-CN"/>
          <w14:textFill>
            <w14:solidFill>
              <w14:schemeClr w14:val="tx1"/>
            </w14:solidFill>
          </w14:textFill>
        </w:rPr>
        <w:t>重复检查、检验的，费用由承包人承担。</w:t>
      </w:r>
    </w:p>
    <w:p w14:paraId="2D9A3BC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56.9 禁止指定采购工程材料和工程设备</w:t>
      </w:r>
      <w:bookmarkEnd w:id="691"/>
    </w:p>
    <w:p w14:paraId="10F3AA8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发包人依法指定的生产厂家和供应商：</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6EE15B6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发包人要求的主要工程材料和工程设备质量标准、质量等级：</w:t>
      </w:r>
      <w:r>
        <w:rPr>
          <w:rFonts w:hint="eastAsia" w:ascii="仿宋" w:hAnsi="仿宋" w:eastAsia="仿宋" w:cs="仿宋"/>
          <w:color w:val="000000" w:themeColor="text1"/>
          <w:highlight w:val="none"/>
          <w:u w:val="single"/>
          <w:lang w:eastAsia="zh-CN"/>
          <w14:textFill>
            <w14:solidFill>
              <w14:schemeClr w14:val="tx1"/>
            </w14:solidFill>
          </w14:textFill>
        </w:rPr>
        <w:t xml:space="preserve">详见《主要材料设备推荐品牌表》 </w:t>
      </w:r>
    </w:p>
    <w:p w14:paraId="567C42E7">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92" w:name="_Toc12410"/>
      <w:bookmarkStart w:id="693" w:name="_Toc149731585"/>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57.  设备及工器具的验收、工程材料和工程设备的检验试验</w:t>
      </w:r>
      <w:bookmarkEnd w:id="692"/>
      <w:bookmarkEnd w:id="693"/>
    </w:p>
    <w:p w14:paraId="781F72A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57.1设备及工器具的验收</w:t>
      </w:r>
    </w:p>
    <w:p w14:paraId="697E6F9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发包人不委托承包人购置设备及工器具，本条不适用。</w:t>
      </w:r>
    </w:p>
    <w:p w14:paraId="328C0F0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发包人委托承包人购置设备及工器具</w:t>
      </w:r>
    </w:p>
    <w:p w14:paraId="4229869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按通用条款约定。</w:t>
      </w:r>
    </w:p>
    <w:p w14:paraId="4E1C284A">
      <w:pPr>
        <w:spacing w:line="360" w:lineRule="auto"/>
        <w:ind w:firstLine="480" w:firstLineChars="200"/>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另作约定：</w:t>
      </w:r>
    </w:p>
    <w:p w14:paraId="294280E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57.3工程</w:t>
      </w:r>
      <w:r>
        <w:rPr>
          <w:rFonts w:hint="eastAsia" w:ascii="仿宋" w:hAnsi="仿宋" w:eastAsia="仿宋" w:cs="仿宋"/>
          <w:bCs/>
          <w:color w:val="000000" w:themeColor="text1"/>
          <w:highlight w:val="none"/>
          <w:lang w:eastAsia="zh-CN"/>
          <w14:textFill>
            <w14:solidFill>
              <w14:schemeClr w14:val="tx1"/>
            </w14:solidFill>
          </w14:textFill>
        </w:rPr>
        <w:t>材料和工程设备的见证取样与不见证取样检验试验</w:t>
      </w:r>
    </w:p>
    <w:p w14:paraId="775774C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见证取样检验试验的工程材料和工程设备约定：</w:t>
      </w:r>
    </w:p>
    <w:p w14:paraId="71280135">
      <w:pPr>
        <w:numPr>
          <w:ilvl w:val="255"/>
          <w:numId w:val="0"/>
        </w:num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①种类：</w:t>
      </w:r>
      <w:r>
        <w:rPr>
          <w:rFonts w:hint="eastAsia" w:ascii="仿宋" w:hAnsi="仿宋" w:eastAsia="仿宋" w:cs="仿宋"/>
          <w:color w:val="000000" w:themeColor="text1"/>
          <w:highlight w:val="none"/>
          <w:u w:val="single"/>
          <w:lang w:eastAsia="zh-CN"/>
          <w14:textFill>
            <w14:solidFill>
              <w14:schemeClr w14:val="tx1"/>
            </w14:solidFill>
          </w14:textFill>
        </w:rPr>
        <w:t>按现行政策规定执行。</w:t>
      </w:r>
    </w:p>
    <w:p w14:paraId="26C34577">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②检测机构：</w:t>
      </w:r>
      <w:r>
        <w:rPr>
          <w:rFonts w:hint="eastAsia" w:ascii="仿宋" w:hAnsi="仿宋" w:eastAsia="仿宋" w:cs="仿宋"/>
          <w:color w:val="000000" w:themeColor="text1"/>
          <w:highlight w:val="none"/>
          <w:u w:val="single"/>
          <w:lang w:eastAsia="zh-CN"/>
          <w14:textFill>
            <w14:solidFill>
              <w14:schemeClr w14:val="tx1"/>
            </w14:solidFill>
          </w14:textFill>
        </w:rPr>
        <w:t xml:space="preserve"> （发包人依法委托检测机构后，另行通知承包人。） </w:t>
      </w:r>
    </w:p>
    <w:p w14:paraId="2C4CBFC5">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94" w:name="_Toc25040"/>
      <w:bookmarkStart w:id="695" w:name="_Toc149731586"/>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58.  施工设备和临时设施</w:t>
      </w:r>
      <w:bookmarkEnd w:id="694"/>
      <w:bookmarkEnd w:id="695"/>
    </w:p>
    <w:p w14:paraId="1765C4B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58.1 承包人配置的施工设备和临时设施</w:t>
      </w:r>
    </w:p>
    <w:p w14:paraId="3638FD7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按通用条款约定，承包人承担修建临时设施的费用。</w:t>
      </w:r>
    </w:p>
    <w:p w14:paraId="435FCB2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p>
    <w:p w14:paraId="4D00FDE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（1）承包人应按合同工程进度计划的要求，及时配置施工设备和修建临时设施，并自行承担修建临时设施的费用。</w:t>
      </w:r>
    </w:p>
    <w:p w14:paraId="3A19F20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需要临时占地的，应由承包人办理申请手续并承担相应费用，相关费用已含在投标报价中；由承包人应合理考虑施工现场平面布置图，后期因临时设施（包含办公用房、道路等）多次搬迁而产生的费用，由承包人承担，相关费用已含在投标报价中。</w:t>
      </w:r>
    </w:p>
    <w:p w14:paraId="1067696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（3）进入施工场地的承包人施工设备，需经监理人核查后才能投入使用。承包人更换合同约定范围施工设备的，应经监理人同意并由其报发包人批准后方可实施。</w:t>
      </w:r>
    </w:p>
    <w:p w14:paraId="6A42C93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（4）施工水电费（包括承包人管理范围内的专业单位、分包单位的水电费）由承包人向有关部门缴纳，发包人协助办理相关手续，承包人不得向发包人委托的专业单位、分包单位收取费用。</w:t>
      </w:r>
    </w:p>
    <w:p w14:paraId="1F2D288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696" w:name="_Toc31018"/>
      <w:r>
        <w:rPr>
          <w:rFonts w:hint="eastAsia" w:ascii="仿宋" w:hAnsi="仿宋" w:eastAsia="仿宋" w:cs="仿宋"/>
          <w:color w:val="000000" w:themeColor="text1"/>
          <w:highlight w:val="none"/>
          <w:lang w:eastAsia="zh-CN"/>
          <w14:textFill>
            <w14:solidFill>
              <w14:schemeClr w14:val="tx1"/>
            </w14:solidFill>
          </w14:textFill>
        </w:rPr>
        <w:t>58.2 发包人提供的施工设备和临时设施</w:t>
      </w:r>
      <w:bookmarkEnd w:id="696"/>
    </w:p>
    <w:p w14:paraId="22799B9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发包人提供施工设备和临时设施的约定：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2E51C432">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697" w:name="_Toc22734"/>
      <w:bookmarkStart w:id="698" w:name="_Toc149731587"/>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60.  隐蔽工程和中间验收</w:t>
      </w:r>
      <w:bookmarkEnd w:id="697"/>
      <w:bookmarkEnd w:id="698"/>
    </w:p>
    <w:p w14:paraId="11E086B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60.1 隐蔽工程或中间验收的通知</w:t>
      </w:r>
    </w:p>
    <w:p w14:paraId="6D9BBD3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隐蔽工程或中间验收部位未经专业监理工程师验收合格，不得隐蔽或继续施工，否则该部分工程被视为不合格，由此所产生的返工费用由承包人承担。</w:t>
      </w:r>
    </w:p>
    <w:p w14:paraId="0AB6D86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中间验收的部位有：</w:t>
      </w:r>
      <w:r>
        <w:rPr>
          <w:rFonts w:hint="eastAsia" w:ascii="仿宋" w:hAnsi="仿宋" w:eastAsia="仿宋" w:cs="仿宋"/>
          <w:color w:val="000000" w:themeColor="text1"/>
          <w:highlight w:val="none"/>
          <w:u w:val="single"/>
          <w:lang w:eastAsia="zh-CN"/>
          <w14:textFill>
            <w14:solidFill>
              <w14:schemeClr w14:val="tx1"/>
            </w14:solidFill>
          </w14:textFill>
        </w:rPr>
        <w:t>按《建设工程中间验收监督管理规定》（穗建监字〔2009〕64号）文件执行。</w:t>
      </w:r>
    </w:p>
    <w:p w14:paraId="2399816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双方协商一致，本条补充以下条款：</w:t>
      </w:r>
    </w:p>
    <w:p w14:paraId="5305070E">
      <w:pPr>
        <w:spacing w:line="360" w:lineRule="auto"/>
        <w:ind w:right="11"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承包人不得委托专业分包或劳务分包管理人员代为验收，监理工程师发现可不承认其完成自检，并可拒绝验收，</w:t>
      </w:r>
      <w:r>
        <w:rPr>
          <w:rFonts w:hint="eastAsia" w:ascii="仿宋" w:hAnsi="仿宋" w:eastAsia="仿宋"/>
          <w:color w:val="000000" w:themeColor="text1"/>
          <w:highlight w:val="none"/>
          <w:lang w:eastAsia="zh-CN"/>
          <w14:textFill>
            <w14:solidFill>
              <w14:schemeClr w14:val="tx1"/>
            </w14:solidFill>
          </w14:textFill>
        </w:rPr>
        <w:t>由此增加的费用和（或）延误的工期由承包人承担</w:t>
      </w:r>
      <w:r>
        <w:rPr>
          <w:rFonts w:hint="eastAsia" w:ascii="仿宋" w:hAnsi="仿宋" w:eastAsia="仿宋" w:cs="宋体"/>
          <w:snapToGrid w:val="0"/>
          <w:color w:val="000000" w:themeColor="text1"/>
          <w:highlight w:val="none"/>
          <w:lang w:eastAsia="zh-CN"/>
          <w14:textFill>
            <w14:solidFill>
              <w14:schemeClr w14:val="tx1"/>
            </w14:solidFill>
          </w14:textFill>
        </w:rPr>
        <w:t>。</w:t>
      </w:r>
    </w:p>
    <w:p w14:paraId="02EC935C">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699" w:name="_Toc149731588"/>
      <w:bookmarkStart w:id="700" w:name="_Toc647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62. 工程试车</w:t>
      </w:r>
      <w:bookmarkEnd w:id="699"/>
      <w:bookmarkEnd w:id="700"/>
    </w:p>
    <w:p w14:paraId="48DDD9C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62.1 试车内容</w:t>
      </w:r>
    </w:p>
    <w:p w14:paraId="01F8B1B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不需要试车的，本条不适用。</w:t>
      </w:r>
    </w:p>
    <w:p w14:paraId="3CC58A3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需要试车的，试车的内容和要求：</w:t>
      </w:r>
    </w:p>
    <w:p w14:paraId="01548C06">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01" w:name="_Toc21553"/>
      <w:bookmarkStart w:id="702" w:name="_Toc149731589"/>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★63. 工程变更</w:t>
      </w:r>
      <w:bookmarkEnd w:id="701"/>
      <w:bookmarkEnd w:id="702"/>
    </w:p>
    <w:p w14:paraId="238C681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双方协商一致，通用条款第63.2款修改如下：</w:t>
      </w:r>
    </w:p>
    <w:p w14:paraId="5C82371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根据</w:t>
      </w:r>
      <w:r>
        <w:rPr>
          <w:rFonts w:hint="eastAsia" w:ascii="仿宋" w:hAnsi="仿宋" w:eastAsia="仿宋"/>
          <w:color w:val="000000" w:themeColor="text1"/>
          <w:highlight w:val="none"/>
          <w:lang w:eastAsia="zh-CN"/>
          <w14:textFill>
            <w14:solidFill>
              <w14:schemeClr w14:val="tx1"/>
            </w14:solidFill>
          </w14:textFill>
        </w:rPr>
        <w:t>发包人的相关规定执行</w:t>
      </w:r>
      <w:r>
        <w:rPr>
          <w:rFonts w:hint="eastAsia" w:ascii="仿宋" w:hAnsi="仿宋" w:eastAsia="仿宋" w:cs="仿宋"/>
          <w:color w:val="000000" w:themeColor="text1"/>
          <w:highlight w:val="none"/>
          <w:lang w:eastAsia="zh-CN"/>
          <w14:textFill>
            <w14:solidFill>
              <w14:schemeClr w14:val="tx1"/>
            </w14:solidFill>
          </w14:textFill>
        </w:rPr>
        <w:t>，工程变更指在建设项目实施过程中，因政策调整、施工条件、技术条件、工程现场实际情况等因素变化，依据合同约定及相关主管部门文件规定等原因，对项目功能定位、建设规模、建构筑物结构、技术标准、设计方案、工艺工法等进行的调整。</w:t>
      </w:r>
    </w:p>
    <w:p w14:paraId="0A89231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03" w:name="_Toc287"/>
      <w:r>
        <w:rPr>
          <w:rFonts w:hint="eastAsia" w:ascii="仿宋" w:hAnsi="仿宋" w:eastAsia="仿宋" w:cs="仿宋"/>
          <w:color w:val="000000" w:themeColor="text1"/>
          <w:highlight w:val="none"/>
          <w:lang w:eastAsia="zh-CN"/>
          <w14:textFill>
            <w14:solidFill>
              <w14:schemeClr w14:val="tx1"/>
            </w14:solidFill>
          </w14:textFill>
        </w:rPr>
        <w:t>63.4 承包人提出工程变更建议</w:t>
      </w:r>
      <w:bookmarkEnd w:id="703"/>
    </w:p>
    <w:p w14:paraId="4A134F4B">
      <w:pPr>
        <w:spacing w:line="360" w:lineRule="auto"/>
        <w:ind w:firstLine="120" w:firstLineChars="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发包人采纳承包人建议带来利益的计奖方法：</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61D5BD5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63.5 承包人提出工程变更建议</w:t>
      </w:r>
    </w:p>
    <w:p w14:paraId="5FCDD5A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双方协商一致，63.5款增加以下约定：</w:t>
      </w:r>
    </w:p>
    <w:p w14:paraId="768A24BB">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以下工程变更由承包人自行承担变更增加费用，工期也不予顺延：</w:t>
      </w:r>
    </w:p>
    <w:p w14:paraId="2CB01B90">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（1）因承包人自身的设计、采购、施工、预算编制质量、竣工试验、竣工后试验存在的缺陷，由承包人自费修正、调整和完善等问题所导致的变更，</w:t>
      </w:r>
      <w:r>
        <w:rPr>
          <w:rFonts w:ascii="仿宋" w:hAnsi="仿宋" w:eastAsia="仿宋"/>
          <w:color w:val="000000" w:themeColor="text1"/>
          <w:highlight w:val="none"/>
          <w:u w:val="single"/>
          <w:lang w:eastAsia="zh-CN"/>
          <w14:textFill>
            <w14:solidFill>
              <w14:schemeClr w14:val="tx1"/>
            </w14:solidFill>
          </w14:textFill>
        </w:rPr>
        <w:t>如费用增加的结算时不予增加费用，费用减少的，结算时按实结算</w:t>
      </w:r>
      <w:r>
        <w:rPr>
          <w:rFonts w:hint="eastAsia" w:ascii="仿宋" w:hAnsi="仿宋" w:eastAsia="仿宋"/>
          <w:color w:val="000000" w:themeColor="text1"/>
          <w:highlight w:val="none"/>
          <w:u w:val="single"/>
          <w:lang w:eastAsia="zh-CN"/>
          <w14:textFill>
            <w14:solidFill>
              <w14:schemeClr w14:val="tx1"/>
            </w14:solidFill>
          </w14:textFill>
        </w:rPr>
        <w:t>，其他设计变更指令，按合同约定的变更结算原则计算</w:t>
      </w:r>
      <w:r>
        <w:rPr>
          <w:rFonts w:ascii="仿宋" w:hAnsi="仿宋" w:eastAsia="仿宋"/>
          <w:color w:val="000000" w:themeColor="text1"/>
          <w:highlight w:val="none"/>
          <w:u w:val="single"/>
          <w:lang w:eastAsia="zh-CN"/>
          <w14:textFill>
            <w14:solidFill>
              <w14:schemeClr w14:val="tx1"/>
            </w14:solidFill>
          </w14:textFill>
        </w:rPr>
        <w:t>。</w:t>
      </w:r>
    </w:p>
    <w:p w14:paraId="7B1E2013">
      <w:pPr>
        <w:spacing w:line="360" w:lineRule="auto"/>
        <w:ind w:firstLine="566" w:firstLineChars="236"/>
        <w:rPr>
          <w:rFonts w:ascii="仿宋" w:hAnsi="仿宋" w:eastAsia="仿宋"/>
          <w:color w:val="000000" w:themeColor="text1"/>
          <w:highlight w:val="none"/>
          <w:u w:val="single"/>
          <w:lang w:eastAsia="zh-CN"/>
          <w14:textFill>
            <w14:solidFill>
              <w14:schemeClr w14:val="tx1"/>
            </w14:solidFill>
          </w14:textFill>
        </w:rPr>
      </w:pPr>
      <w:r>
        <w:rPr>
          <w:rFonts w:ascii="仿宋" w:hAnsi="仿宋" w:eastAsia="仿宋"/>
          <w:color w:val="000000" w:themeColor="text1"/>
          <w:highlight w:val="none"/>
          <w:u w:val="single"/>
          <w:lang w:eastAsia="zh-CN"/>
          <w14:textFill>
            <w14:solidFill>
              <w14:schemeClr w14:val="tx1"/>
            </w14:solidFill>
          </w14:textFill>
        </w:rPr>
        <w:t>（2）设计质量造成的工程变更，包括</w:t>
      </w:r>
      <w:r>
        <w:rPr>
          <w:rFonts w:hint="eastAsia" w:ascii="仿宋" w:hAnsi="仿宋" w:eastAsia="仿宋"/>
          <w:color w:val="000000" w:themeColor="text1"/>
          <w:highlight w:val="none"/>
          <w:u w:val="single"/>
          <w:lang w:eastAsia="zh-CN"/>
          <w14:textFill>
            <w14:solidFill>
              <w14:schemeClr w14:val="tx1"/>
            </w14:solidFill>
          </w14:textFill>
        </w:rPr>
        <w:t>但不限于</w:t>
      </w:r>
      <w:r>
        <w:rPr>
          <w:rFonts w:ascii="仿宋" w:hAnsi="仿宋" w:eastAsia="仿宋"/>
          <w:color w:val="000000" w:themeColor="text1"/>
          <w:highlight w:val="none"/>
          <w:u w:val="single"/>
          <w:lang w:eastAsia="zh-CN"/>
          <w14:textFill>
            <w14:solidFill>
              <w14:schemeClr w14:val="tx1"/>
            </w14:solidFill>
          </w14:textFill>
        </w:rPr>
        <w:t>设计成果不完善、设计图纸不准确、设计文件有错误、设计图纸不详细等；</w:t>
      </w:r>
    </w:p>
    <w:p w14:paraId="4DC18505">
      <w:pPr>
        <w:spacing w:line="360" w:lineRule="auto"/>
        <w:ind w:firstLine="566" w:firstLineChars="236"/>
        <w:rPr>
          <w:rFonts w:ascii="仿宋" w:hAnsi="仿宋" w:eastAsia="仿宋"/>
          <w:color w:val="000000" w:themeColor="text1"/>
          <w:highlight w:val="none"/>
          <w:u w:val="single"/>
          <w:lang w:eastAsia="zh-CN"/>
          <w14:textFill>
            <w14:solidFill>
              <w14:schemeClr w14:val="tx1"/>
            </w14:solidFill>
          </w14:textFill>
        </w:rPr>
      </w:pPr>
      <w:r>
        <w:rPr>
          <w:rFonts w:ascii="仿宋" w:hAnsi="仿宋" w:eastAsia="仿宋"/>
          <w:color w:val="000000" w:themeColor="text1"/>
          <w:highlight w:val="none"/>
          <w:u w:val="single"/>
          <w:lang w:eastAsia="zh-CN"/>
          <w14:textFill>
            <w14:solidFill>
              <w14:schemeClr w14:val="tx1"/>
            </w14:solidFill>
          </w14:textFill>
        </w:rPr>
        <w:t>（3）预算编制质量，包括</w:t>
      </w:r>
      <w:r>
        <w:rPr>
          <w:rFonts w:hint="eastAsia" w:ascii="仿宋" w:hAnsi="仿宋" w:eastAsia="仿宋"/>
          <w:color w:val="000000" w:themeColor="text1"/>
          <w:highlight w:val="none"/>
          <w:u w:val="single"/>
          <w:lang w:eastAsia="zh-CN"/>
          <w14:textFill>
            <w14:solidFill>
              <w14:schemeClr w14:val="tx1"/>
            </w14:solidFill>
          </w14:textFill>
        </w:rPr>
        <w:t>但不限于</w:t>
      </w:r>
      <w:r>
        <w:rPr>
          <w:rFonts w:ascii="仿宋" w:hAnsi="仿宋" w:eastAsia="仿宋"/>
          <w:color w:val="000000" w:themeColor="text1"/>
          <w:highlight w:val="none"/>
          <w:u w:val="single"/>
          <w:lang w:eastAsia="zh-CN"/>
          <w14:textFill>
            <w14:solidFill>
              <w14:schemeClr w14:val="tx1"/>
            </w14:solidFill>
          </w14:textFill>
        </w:rPr>
        <w:t>预算漏计、少算，综合单价、人工工日、机械台班及主材价格偏低，施工方案及施工措施不合理等情况。</w:t>
      </w:r>
    </w:p>
    <w:p w14:paraId="1418DE12">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ascii="仿宋" w:hAnsi="仿宋" w:eastAsia="仿宋"/>
          <w:color w:val="000000" w:themeColor="text1"/>
          <w:highlight w:val="none"/>
          <w:u w:val="single"/>
          <w:lang w:eastAsia="zh-CN"/>
          <w14:textFill>
            <w14:solidFill>
              <w14:schemeClr w14:val="tx1"/>
            </w14:solidFill>
          </w14:textFill>
        </w:rPr>
        <w:t>上述变更，如费用增加，发包人不另行增加费用；费用减少，结算时按实结算。</w:t>
      </w:r>
    </w:p>
    <w:p w14:paraId="190C166F">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olor w:val="000000" w:themeColor="text1"/>
          <w:highlight w:val="none"/>
          <w:u w:val="single"/>
          <w:lang w:eastAsia="zh-CN"/>
          <w14:textFill>
            <w14:solidFill>
              <w14:schemeClr w14:val="tx1"/>
            </w14:solidFill>
          </w14:textFill>
        </w:rPr>
        <w:t>双方协商一致，增加63.6款：</w:t>
      </w:r>
    </w:p>
    <w:p w14:paraId="7FC55525">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63.6变更审查和批准</w:t>
      </w:r>
    </w:p>
    <w:p w14:paraId="50606ED1">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ascii="仿宋" w:hAnsi="仿宋" w:eastAsia="仿宋"/>
          <w:color w:val="000000" w:themeColor="text1"/>
          <w:highlight w:val="none"/>
          <w:u w:val="single"/>
          <w:lang w:eastAsia="zh-CN"/>
          <w14:textFill>
            <w14:solidFill>
              <w14:schemeClr w14:val="tx1"/>
            </w14:solidFill>
          </w14:textFill>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1E8823DD">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04" w:name="_Toc10338"/>
      <w:bookmarkStart w:id="705" w:name="_Toc14973159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64. 竣工验收条件</w:t>
      </w:r>
      <w:bookmarkEnd w:id="704"/>
      <w:bookmarkEnd w:id="705"/>
    </w:p>
    <w:p w14:paraId="67D4AA4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64.1 竣工验收条件</w:t>
      </w:r>
    </w:p>
    <w:p w14:paraId="649458B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（6）竣工资料应当符合基本建设项目档案管理的要求：</w:t>
      </w:r>
    </w:p>
    <w:p w14:paraId="2A1BCA1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国家档案局、国家计委关于印发《基本建设项目档案资料管理暂行规定》的通知（国档发〔1988〕4号）；</w:t>
      </w:r>
    </w:p>
    <w:p w14:paraId="07254A0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广东省档案局实施《基本建设项目档案资料管理暂行规定》细则；</w:t>
      </w:r>
    </w:p>
    <w:p w14:paraId="3C9678D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其他约定： </w:t>
      </w:r>
      <w:r>
        <w:rPr>
          <w:rFonts w:hint="eastAsia" w:ascii="仿宋" w:hAnsi="仿宋" w:eastAsia="仿宋" w:cs="仿宋"/>
          <w:color w:val="000000" w:themeColor="text1"/>
          <w:highlight w:val="none"/>
          <w:u w:val="single"/>
          <w:lang w:eastAsia="zh-CN"/>
          <w14:textFill>
            <w14:solidFill>
              <w14:schemeClr w14:val="tx1"/>
            </w14:solidFill>
          </w14:textFill>
        </w:rPr>
        <w:t>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73A698B5">
      <w:pPr>
        <w:pStyle w:val="5"/>
        <w:tabs>
          <w:tab w:val="left" w:pos="420"/>
        </w:tabs>
        <w:spacing w:before="0" w:after="0" w:line="360" w:lineRule="auto"/>
        <w:rPr>
          <w:rFonts w:ascii="仿宋" w:hAnsi="仿宋" w:eastAsia="仿宋"/>
          <w:color w:val="000000" w:themeColor="text1"/>
          <w:highlight w:val="none"/>
          <w:lang w:eastAsia="zh-CN"/>
          <w14:textFill>
            <w14:solidFill>
              <w14:schemeClr w14:val="tx1"/>
            </w14:solidFill>
          </w14:textFill>
        </w:rPr>
      </w:pPr>
      <w:bookmarkStart w:id="706" w:name="_Toc28467"/>
      <w:bookmarkStart w:id="707" w:name="_Toc14973159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★65. 竣工验收</w:t>
      </w:r>
      <w:bookmarkEnd w:id="706"/>
      <w:bookmarkEnd w:id="707"/>
    </w:p>
    <w:p w14:paraId="593D5854">
      <w:pPr>
        <w:spacing w:line="360" w:lineRule="auto"/>
        <w:ind w:firstLine="482"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 xml:space="preserve"> 65.1 竣工验收标准</w:t>
      </w:r>
    </w:p>
    <w:p w14:paraId="21728308">
      <w:pPr>
        <w:spacing w:line="360" w:lineRule="auto"/>
        <w:ind w:firstLine="120" w:firstLineChars="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合同工程竣工验收标准：</w:t>
      </w:r>
      <w:r>
        <w:rPr>
          <w:rFonts w:hint="eastAsia" w:ascii="仿宋" w:hAnsi="仿宋" w:eastAsia="仿宋" w:cs="仿宋"/>
          <w:color w:val="000000" w:themeColor="text1"/>
          <w:highlight w:val="none"/>
          <w:u w:val="single"/>
          <w:lang w:eastAsia="zh-CN"/>
          <w14:textFill>
            <w14:solidFill>
              <w14:schemeClr w14:val="tx1"/>
            </w14:solidFill>
          </w14:textFill>
        </w:rPr>
        <w:t xml:space="preserve"> 按本合同项目勘察设计及施工规范要求执行。 </w:t>
      </w:r>
    </w:p>
    <w:p w14:paraId="41198EB1">
      <w:pPr>
        <w:spacing w:line="360" w:lineRule="auto"/>
        <w:ind w:firstLine="120" w:firstLineChars="5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65.6 接收工程</w:t>
      </w:r>
    </w:p>
    <w:p w14:paraId="0C83EC67">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双方协商一致，增加65.6.1款：</w:t>
      </w:r>
    </w:p>
    <w:p w14:paraId="3C10E590">
      <w:pPr>
        <w:spacing w:line="360" w:lineRule="auto"/>
        <w:ind w:right="11" w:firstLine="460" w:firstLineChars="19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65.6.1</w:t>
      </w:r>
      <w:r>
        <w:rPr>
          <w:rFonts w:ascii="仿宋" w:hAnsi="仿宋" w:eastAsia="仿宋" w:cs="宋体"/>
          <w:snapToGrid w:val="0"/>
          <w:color w:val="000000" w:themeColor="text1"/>
          <w:highlight w:val="none"/>
          <w:lang w:eastAsia="zh-CN"/>
          <w14:textFill>
            <w14:solidFill>
              <w14:schemeClr w14:val="tx1"/>
            </w14:solidFill>
          </w14:textFill>
        </w:rPr>
        <w:t>承包人应于工程竣工验收合格之日起</w:t>
      </w:r>
      <w:r>
        <w:rPr>
          <w:rFonts w:hint="eastAsia" w:ascii="仿宋" w:hAnsi="仿宋" w:eastAsia="仿宋" w:cs="宋体"/>
          <w:snapToGrid w:val="0"/>
          <w:color w:val="000000" w:themeColor="text1"/>
          <w:highlight w:val="none"/>
          <w:lang w:eastAsia="zh-CN"/>
          <w14:textFill>
            <w14:solidFill>
              <w14:schemeClr w14:val="tx1"/>
            </w14:solidFill>
          </w14:textFill>
        </w:rPr>
        <w:t>30</w:t>
      </w:r>
      <w:r>
        <w:rPr>
          <w:rFonts w:ascii="仿宋" w:hAnsi="仿宋" w:eastAsia="仿宋" w:cs="宋体"/>
          <w:snapToGrid w:val="0"/>
          <w:color w:val="000000" w:themeColor="text1"/>
          <w:highlight w:val="none"/>
          <w:lang w:eastAsia="zh-CN"/>
          <w14:textFill>
            <w14:solidFill>
              <w14:schemeClr w14:val="tx1"/>
            </w14:solidFill>
          </w14:textFill>
        </w:rPr>
        <w:t>天内按要求提供相关资料，整理汇</w:t>
      </w:r>
      <w:r>
        <w:rPr>
          <w:rFonts w:hint="eastAsia" w:ascii="仿宋" w:hAnsi="仿宋" w:eastAsia="仿宋" w:cs="宋体"/>
          <w:snapToGrid w:val="0"/>
          <w:color w:val="000000" w:themeColor="text1"/>
          <w:highlight w:val="none"/>
          <w:lang w:eastAsia="zh-CN"/>
          <w14:textFill>
            <w14:solidFill>
              <w14:schemeClr w14:val="tx1"/>
            </w14:solidFill>
          </w14:textFill>
        </w:rPr>
        <w:t>总，将档案移交后续施工单位，并配合后续施工单位完成竣工档案资料移交等工作。</w:t>
      </w:r>
    </w:p>
    <w:p w14:paraId="6F439D5A">
      <w:pPr>
        <w:spacing w:line="360" w:lineRule="auto"/>
        <w:ind w:firstLine="482"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65.8 单项工程和工程部位验收</w:t>
      </w:r>
    </w:p>
    <w:p w14:paraId="0FF86FF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合同工程无单项工程、无工程部位提前验收的，本款不适用。</w:t>
      </w:r>
    </w:p>
    <w:p w14:paraId="48EB604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合同工程单项工程或工程部位需提前验收的，各单项工程或工程部位的名称、竣工验收时间和范围如下：</w:t>
      </w:r>
    </w:p>
    <w:p w14:paraId="08D90A3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①（名称）工程或部位，竣工验收时间为，其范围包括：</w:t>
      </w:r>
    </w:p>
    <w:p w14:paraId="096A917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②（名称）工程或部位，竣工验收时间为  ，其范围包括：</w:t>
      </w:r>
    </w:p>
    <w:p w14:paraId="585B4AC3">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65.9 施工期运行</w:t>
      </w:r>
    </w:p>
    <w:p w14:paraId="414FEE1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合同工程无单项工程、无工程部位在施工期运行的，本款不适用。</w:t>
      </w:r>
    </w:p>
    <w:p w14:paraId="326D944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合同工程单项工程或工程部位需在施工期运行的，各单项工程或工程部位的名称、运行时间如下：</w:t>
      </w:r>
    </w:p>
    <w:p w14:paraId="30DDB91D">
      <w:pPr>
        <w:pStyle w:val="223"/>
        <w:numPr>
          <w:ilvl w:val="0"/>
          <w:numId w:val="39"/>
        </w:numPr>
        <w:spacing w:line="360" w:lineRule="auto"/>
        <w:ind w:left="0"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（名称）工程或部位，运行时间为；</w:t>
      </w:r>
    </w:p>
    <w:p w14:paraId="45136128">
      <w:pPr>
        <w:pStyle w:val="223"/>
        <w:spacing w:line="360" w:lineRule="auto"/>
        <w:ind w:left="0"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 （名称）工程或部位，运行时间为。</w:t>
      </w:r>
    </w:p>
    <w:p w14:paraId="13830A4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08" w:name="_Toc18461"/>
      <w:r>
        <w:rPr>
          <w:rFonts w:hint="eastAsia" w:ascii="仿宋" w:hAnsi="仿宋" w:eastAsia="仿宋" w:cs="仿宋"/>
          <w:color w:val="000000" w:themeColor="text1"/>
          <w:highlight w:val="none"/>
          <w:lang w:eastAsia="zh-CN"/>
          <w14:textFill>
            <w14:solidFill>
              <w14:schemeClr w14:val="tx1"/>
            </w14:solidFill>
          </w14:textFill>
        </w:rPr>
        <w:t>65.10 竣工清场</w:t>
      </w:r>
      <w:bookmarkEnd w:id="708"/>
    </w:p>
    <w:p w14:paraId="252E425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按通用条款约定。</w:t>
      </w:r>
    </w:p>
    <w:p w14:paraId="7AB33FA4">
      <w:pPr>
        <w:widowControl w:val="0"/>
        <w:spacing w:line="360" w:lineRule="auto"/>
        <w:ind w:firstLine="480" w:firstLineChars="200"/>
        <w:jc w:val="both"/>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p>
    <w:p w14:paraId="499D8072">
      <w:pPr>
        <w:widowControl w:val="0"/>
        <w:spacing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w:t>
      </w:r>
      <w:r>
        <w:rPr>
          <w:rFonts w:hint="eastAsia" w:ascii="仿宋" w:hAnsi="仿宋" w:eastAsia="仿宋" w:cs="仿宋"/>
          <w:color w:val="000000" w:themeColor="text1"/>
          <w:highlight w:val="none"/>
          <w:u w:val="single"/>
          <w:lang w:eastAsia="zh-CN"/>
          <w14:textFill>
            <w14:solidFill>
              <w14:schemeClr w14:val="tx1"/>
            </w14:solidFill>
          </w14:textFill>
        </w:rPr>
        <w:t>除按通用条款约定执行外，还须符合工完场清要求，费用由承包人承担。</w:t>
      </w:r>
    </w:p>
    <w:p w14:paraId="3A5577A5">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（2）</w:t>
      </w:r>
      <w:r>
        <w:rPr>
          <w:rFonts w:hint="eastAsia" w:ascii="仿宋" w:hAnsi="仿宋" w:eastAsia="仿宋" w:cs="宋体"/>
          <w:snapToGrid w:val="0"/>
          <w:color w:val="000000" w:themeColor="text1"/>
          <w:highlight w:val="none"/>
          <w:lang w:eastAsia="zh-CN"/>
          <w14:textFill>
            <w14:solidFill>
              <w14:schemeClr w14:val="tx1"/>
            </w14:solidFill>
          </w14:textFill>
        </w:rPr>
        <w:t>承包人必须在工程竣工初验之日起30天内或发包人规定的时间内（发包人将提前通知承包人），无条件清退所有施工场地。拒不清退的，发包人有权要求承包人承担1次较大违约责任处罚，发包人还有权暂停计价支付、工程结算等工作，并由承包人承担由此而产生的一切后果（包括发包人因此而被第三方索赔所产生的损失）。</w:t>
      </w:r>
    </w:p>
    <w:p w14:paraId="7BDBD3CC">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对于临时房屋及设施，发包人认为有必要保留的，承包人在清退场地时应无条件保持完好并移交给发包人使用，并不得提出任何费用要求及其他要求。</w:t>
      </w:r>
    </w:p>
    <w:p w14:paraId="3B5937A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65.11施工队伍的撤离</w:t>
      </w:r>
    </w:p>
    <w:p w14:paraId="68B946A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按通用条款约定，承包人的人员和施工设备全部撤离施工现场。</w:t>
      </w:r>
    </w:p>
    <w:p w14:paraId="26D862F7">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56595F97">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09" w:name="_Toc149731592"/>
      <w:bookmarkStart w:id="710" w:name="_Toc666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66.  缺陷责任与质量保修</w:t>
      </w:r>
      <w:bookmarkEnd w:id="709"/>
      <w:bookmarkEnd w:id="710"/>
    </w:p>
    <w:p w14:paraId="3DB51718">
      <w:pPr>
        <w:spacing w:line="360" w:lineRule="auto"/>
        <w:ind w:firstLine="480"/>
        <w:rPr>
          <w:rFonts w:ascii="仿宋" w:hAnsi="仿宋" w:eastAsia="仿宋" w:cs="仿宋"/>
          <w:color w:val="000000" w:themeColor="text1"/>
          <w:highlight w:val="none"/>
          <w:u w:val="single"/>
          <w:lang w:eastAsia="zh-CN"/>
          <w14:textFill>
            <w14:solidFill>
              <w14:schemeClr w14:val="tx1"/>
            </w14:solidFill>
          </w14:textFill>
        </w:rPr>
      </w:pPr>
      <w:bookmarkStart w:id="711" w:name="_Toc23091"/>
      <w:r>
        <w:rPr>
          <w:rFonts w:hint="eastAsia" w:ascii="仿宋" w:hAnsi="仿宋" w:eastAsia="仿宋" w:cs="仿宋"/>
          <w:color w:val="000000" w:themeColor="text1"/>
          <w:highlight w:val="none"/>
          <w:u w:val="single"/>
          <w:lang w:eastAsia="zh-CN"/>
          <w14:textFill>
            <w14:solidFill>
              <w14:schemeClr w14:val="tx1"/>
            </w14:solidFill>
          </w14:textFill>
        </w:rPr>
        <w:t>本合同项目</w:t>
      </w:r>
      <w:bookmarkEnd w:id="711"/>
      <w:r>
        <w:rPr>
          <w:rFonts w:hint="eastAsia" w:ascii="仿宋" w:hAnsi="仿宋" w:eastAsia="仿宋" w:cs="仿宋"/>
          <w:color w:val="000000" w:themeColor="text1"/>
          <w:highlight w:val="none"/>
          <w:lang w:eastAsia="zh-CN"/>
          <w14:textFill>
            <w14:solidFill>
              <w14:schemeClr w14:val="tx1"/>
            </w14:solidFill>
          </w14:textFill>
        </w:rPr>
        <w:t>不涉及。</w:t>
      </w:r>
    </w:p>
    <w:p w14:paraId="6743DB7E">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12" w:name="_Toc32622"/>
      <w:bookmarkStart w:id="713" w:name="_Toc14973159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68.联合体牵头人项目管理费</w:t>
      </w:r>
      <w:bookmarkEnd w:id="712"/>
      <w:bookmarkEnd w:id="713"/>
    </w:p>
    <w:p w14:paraId="3148609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承包人为非联合体的，本条不适用。</w:t>
      </w:r>
    </w:p>
    <w:p w14:paraId="40AD74D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承包人为联合体的，牵头人项目管理费的约定：</w:t>
      </w:r>
    </w:p>
    <w:p w14:paraId="59673D1B">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①联合体牵头人项目管理费的金额，按本合同协议书约定的金额执行</w:t>
      </w:r>
      <w:r>
        <w:rPr>
          <w:rFonts w:ascii="仿宋" w:hAnsi="仿宋" w:eastAsia="仿宋" w:cs="仿宋"/>
          <w:color w:val="000000" w:themeColor="text1"/>
          <w:highlight w:val="none"/>
          <w:lang w:eastAsia="zh-CN"/>
          <w14:textFill>
            <w14:solidFill>
              <w14:schemeClr w14:val="tx1"/>
            </w14:solidFill>
          </w14:textFill>
        </w:rPr>
        <w:t>。</w:t>
      </w:r>
    </w:p>
    <w:p w14:paraId="68A02413">
      <w:pPr>
        <w:numPr>
          <w:ilvl w:val="255"/>
          <w:numId w:val="0"/>
        </w:num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②发包人向承包人支付牵头人项目管理费的时间、比例：</w:t>
      </w:r>
    </w:p>
    <w:p w14:paraId="6294E2FD">
      <w:pPr>
        <w:numPr>
          <w:ilvl w:val="255"/>
          <w:numId w:val="0"/>
        </w:num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③牵头人及其授权的承包人代表不作为或存在过错，发包人有权部分或全部扣除该费用，扣除金额或比例：</w:t>
      </w:r>
    </w:p>
    <w:p w14:paraId="04D4E7F2">
      <w:pPr>
        <w:spacing w:line="360" w:lineRule="auto"/>
        <w:ind w:firstLine="480" w:firstLineChars="200"/>
        <w:rPr>
          <w:rFonts w:ascii="仿宋" w:hAnsi="仿宋" w:eastAsia="仿宋" w:cs="仿宋"/>
          <w:b/>
          <w:bCs/>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r>
        <w:rPr>
          <w:rFonts w:hint="eastAsia" w:ascii="仿宋" w:hAnsi="仿宋" w:eastAsia="仿宋" w:cs="仿宋"/>
          <w:color w:val="000000" w:themeColor="text1"/>
          <w:highlight w:val="none"/>
          <w:u w:val="single"/>
          <w:lang w:eastAsia="zh-CN"/>
          <w14:textFill>
            <w14:solidFill>
              <w14:schemeClr w14:val="tx1"/>
            </w14:solidFill>
          </w14:textFill>
        </w:rPr>
        <w:t>联合体牵头人项目管理费已包含在设计费中，不另外计取，合同金额不变。</w:t>
      </w:r>
    </w:p>
    <w:p w14:paraId="76D2CED5">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14" w:name="_Toc149731594"/>
      <w:bookmarkStart w:id="715" w:name="_Toc1293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★69. 合同价格的约定与调整</w:t>
      </w:r>
      <w:bookmarkEnd w:id="714"/>
      <w:bookmarkEnd w:id="715"/>
    </w:p>
    <w:p w14:paraId="1055A9C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69.2合同价格的形式</w:t>
      </w:r>
    </w:p>
    <w:p w14:paraId="415E2C0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总价合同。</w:t>
      </w:r>
    </w:p>
    <w:p w14:paraId="54CAE28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总价合同＋部分单价合同。其中，总价合同、单价合同的适用工程范围按专用条款第72款。</w:t>
      </w:r>
    </w:p>
    <w:p w14:paraId="066034ED">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详见专用条款第8款。  </w:t>
      </w:r>
    </w:p>
    <w:p w14:paraId="33DB153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69.3 合同价款的调整事项</w:t>
      </w:r>
    </w:p>
    <w:p w14:paraId="76C9531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（2）可调价变更的量化指标。</w:t>
      </w:r>
    </w:p>
    <w:p w14:paraId="24849196">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①相对于合同基础资料的重大调整量化指标：</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详见专用条款第7</w:t>
      </w:r>
      <w:r>
        <w:rPr>
          <w:rFonts w:ascii="仿宋" w:hAnsi="仿宋" w:eastAsia="仿宋" w:cs="仿宋"/>
          <w:color w:val="000000" w:themeColor="text1"/>
          <w:highlight w:val="none"/>
          <w:u w:val="single"/>
          <w:lang w:eastAsia="zh-CN"/>
          <w14:textFill>
            <w14:solidFill>
              <w14:schemeClr w14:val="tx1"/>
            </w14:solidFill>
          </w14:textFill>
        </w:rPr>
        <w:t>9</w:t>
      </w:r>
      <w:r>
        <w:rPr>
          <w:rFonts w:hint="eastAsia" w:ascii="仿宋" w:hAnsi="仿宋" w:eastAsia="仿宋" w:cs="仿宋"/>
          <w:color w:val="000000" w:themeColor="text1"/>
          <w:highlight w:val="none"/>
          <w:u w:val="single"/>
          <w:lang w:eastAsia="zh-CN"/>
          <w14:textFill>
            <w14:solidFill>
              <w14:schemeClr w14:val="tx1"/>
            </w14:solidFill>
          </w14:textFill>
        </w:rPr>
        <w:t>款</w:t>
      </w:r>
      <w:r>
        <w:rPr>
          <w:rFonts w:hint="eastAsia" w:ascii="仿宋" w:hAnsi="仿宋" w:eastAsia="仿宋" w:cs="仿宋"/>
          <w:color w:val="000000" w:themeColor="text1"/>
          <w:highlight w:val="none"/>
          <w:lang w:eastAsia="zh-CN"/>
          <w14:textFill>
            <w14:solidFill>
              <w14:schemeClr w14:val="tx1"/>
            </w14:solidFill>
          </w14:textFill>
        </w:rPr>
        <w:t>。</w:t>
      </w:r>
    </w:p>
    <w:p w14:paraId="0CD1FC3D">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②重大地质变化量化指标：</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详见专用条款第7</w:t>
      </w:r>
      <w:r>
        <w:rPr>
          <w:rFonts w:ascii="仿宋" w:hAnsi="仿宋" w:eastAsia="仿宋" w:cs="仿宋"/>
          <w:color w:val="000000" w:themeColor="text1"/>
          <w:highlight w:val="none"/>
          <w:u w:val="single"/>
          <w:lang w:eastAsia="zh-CN"/>
          <w14:textFill>
            <w14:solidFill>
              <w14:schemeClr w14:val="tx1"/>
            </w14:solidFill>
          </w14:textFill>
        </w:rPr>
        <w:t>9</w:t>
      </w:r>
      <w:r>
        <w:rPr>
          <w:rFonts w:hint="eastAsia" w:ascii="仿宋" w:hAnsi="仿宋" w:eastAsia="仿宋" w:cs="仿宋"/>
          <w:color w:val="000000" w:themeColor="text1"/>
          <w:highlight w:val="none"/>
          <w:u w:val="single"/>
          <w:lang w:eastAsia="zh-CN"/>
          <w14:textFill>
            <w14:solidFill>
              <w14:schemeClr w14:val="tx1"/>
            </w14:solidFill>
          </w14:textFill>
        </w:rPr>
        <w:t xml:space="preserve">款 </w:t>
      </w:r>
      <w:r>
        <w:rPr>
          <w:rFonts w:hint="eastAsia" w:ascii="仿宋" w:hAnsi="仿宋" w:eastAsia="仿宋" w:cs="仿宋"/>
          <w:color w:val="000000" w:themeColor="text1"/>
          <w:highlight w:val="none"/>
          <w:lang w:eastAsia="zh-CN"/>
          <w14:textFill>
            <w14:solidFill>
              <w14:schemeClr w14:val="tx1"/>
            </w14:solidFill>
          </w14:textFill>
        </w:rPr>
        <w:t>。</w:t>
      </w:r>
    </w:p>
    <w:p w14:paraId="6EC67458">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③不可抗力导致工程费增减额的承担比例：</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详见专用条款第7</w:t>
      </w:r>
      <w:r>
        <w:rPr>
          <w:rFonts w:ascii="仿宋" w:hAnsi="仿宋" w:eastAsia="仿宋" w:cs="仿宋"/>
          <w:color w:val="000000" w:themeColor="text1"/>
          <w:highlight w:val="none"/>
          <w:u w:val="single"/>
          <w:lang w:eastAsia="zh-CN"/>
          <w14:textFill>
            <w14:solidFill>
              <w14:schemeClr w14:val="tx1"/>
            </w14:solidFill>
          </w14:textFill>
        </w:rPr>
        <w:t>9</w:t>
      </w:r>
      <w:r>
        <w:rPr>
          <w:rFonts w:hint="eastAsia" w:ascii="仿宋" w:hAnsi="仿宋" w:eastAsia="仿宋" w:cs="仿宋"/>
          <w:color w:val="000000" w:themeColor="text1"/>
          <w:highlight w:val="none"/>
          <w:u w:val="single"/>
          <w:lang w:eastAsia="zh-CN"/>
          <w14:textFill>
            <w14:solidFill>
              <w14:schemeClr w14:val="tx1"/>
            </w14:solidFill>
          </w14:textFill>
        </w:rPr>
        <w:t xml:space="preserve">款 </w:t>
      </w:r>
      <w:r>
        <w:rPr>
          <w:rFonts w:hint="eastAsia" w:ascii="仿宋" w:hAnsi="仿宋" w:eastAsia="仿宋" w:cs="仿宋"/>
          <w:color w:val="000000" w:themeColor="text1"/>
          <w:highlight w:val="none"/>
          <w:lang w:eastAsia="zh-CN"/>
          <w14:textFill>
            <w14:solidFill>
              <w14:schemeClr w14:val="tx1"/>
            </w14:solidFill>
          </w14:textFill>
        </w:rPr>
        <w:t>。</w:t>
      </w:r>
    </w:p>
    <w:p w14:paraId="4E6A390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（6）其他调整事项： </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r>
        <w:rPr>
          <w:rFonts w:hint="eastAsia" w:ascii="仿宋" w:hAnsi="仿宋" w:eastAsia="仿宋" w:cs="仿宋"/>
          <w:color w:val="000000" w:themeColor="text1"/>
          <w:highlight w:val="none"/>
          <w:lang w:eastAsia="zh-CN"/>
          <w14:textFill>
            <w14:solidFill>
              <w14:schemeClr w14:val="tx1"/>
            </w14:solidFill>
          </w14:textFill>
        </w:rPr>
        <w:t>。</w:t>
      </w:r>
    </w:p>
    <w:p w14:paraId="5C1B5C8C">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16" w:name="_Toc149731595"/>
      <w:bookmarkStart w:id="717" w:name="_Toc28808"/>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★71. 工作量或工程量</w:t>
      </w:r>
      <w:bookmarkEnd w:id="716"/>
      <w:bookmarkEnd w:id="717"/>
    </w:p>
    <w:p w14:paraId="20BA42E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71.1 清单工程量包括的工作内容</w:t>
      </w:r>
    </w:p>
    <w:p w14:paraId="24A440F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按通用条款约定。</w:t>
      </w:r>
    </w:p>
    <w:p w14:paraId="4C5C7F3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合同价格清单详见承包人投标文件。 </w:t>
      </w:r>
    </w:p>
    <w:p w14:paraId="138A6CFB">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 计量和计价</w:t>
      </w:r>
    </w:p>
    <w:p w14:paraId="40838B8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72.1 计量和计价的依据</w:t>
      </w:r>
    </w:p>
    <w:p w14:paraId="118CE30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72.1.1 工程勘察费的计量规则与计价办法（</w:t>
      </w:r>
      <w:r>
        <w:rPr>
          <w:rFonts w:ascii="仿宋" w:hAnsi="仿宋" w:eastAsia="仿宋" w:cs="仿宋"/>
          <w:color w:val="000000" w:themeColor="text1"/>
          <w:highlight w:val="none"/>
          <w:lang w:eastAsia="zh-CN"/>
          <w14:textFill>
            <w14:solidFill>
              <w14:schemeClr w14:val="tx1"/>
            </w14:solidFill>
          </w14:textFill>
        </w:rPr>
        <w:t>应与第69条选择的合同价格形式对应</w:t>
      </w:r>
      <w:r>
        <w:rPr>
          <w:rFonts w:hint="eastAsia" w:ascii="仿宋" w:hAnsi="仿宋" w:eastAsia="仿宋" w:cs="仿宋"/>
          <w:color w:val="000000" w:themeColor="text1"/>
          <w:highlight w:val="none"/>
          <w:lang w:eastAsia="zh-CN"/>
          <w14:textFill>
            <w14:solidFill>
              <w14:schemeClr w14:val="tx1"/>
            </w14:solidFill>
          </w14:textFill>
        </w:rPr>
        <w:t>）</w:t>
      </w:r>
    </w:p>
    <w:p w14:paraId="64ED8E3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总价合同：</w:t>
      </w:r>
    </w:p>
    <w:p w14:paraId="08754FD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计量规则与计价办法：按协议书约定的价格总价包干，除合同约定允许调整的事项外，合同总价不予调整。</w:t>
      </w:r>
    </w:p>
    <w:p w14:paraId="1785852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结算价＝协议书约定的相应总价±合同约定的价格调整</w:t>
      </w:r>
    </w:p>
    <w:p w14:paraId="78515DD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□总价合同＋部分单价合同</w:t>
      </w:r>
    </w:p>
    <w:p w14:paraId="648AD26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①适用范围：总价合同的范围为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3CB7BC93">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单价合同的范围为：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6FCA1B7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②计量规则与计价办法：</w:t>
      </w:r>
    </w:p>
    <w:p w14:paraId="378D33D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采用总价合同的部分，按协议书约定的价格总价包干，除合同约定允许调整的事项外，合同总价不予调整。</w:t>
      </w:r>
    </w:p>
    <w:p w14:paraId="3F0AD08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采用单价合同的部分，按岩土工程勘察工作量（米）综合单价包干，除合同约定可以调整的事项外，工作量或工程量按实计算，综合</w:t>
      </w:r>
      <w:r>
        <w:rPr>
          <w:rFonts w:ascii="仿宋" w:hAnsi="仿宋" w:eastAsia="仿宋" w:cs="仿宋"/>
          <w:color w:val="000000" w:themeColor="text1"/>
          <w:highlight w:val="none"/>
          <w:lang w:eastAsia="zh-CN"/>
          <w14:textFill>
            <w14:solidFill>
              <w14:schemeClr w14:val="tx1"/>
            </w14:solidFill>
          </w14:textFill>
        </w:rPr>
        <w:t>单价不</w:t>
      </w:r>
      <w:r>
        <w:rPr>
          <w:rFonts w:hint="eastAsia" w:ascii="仿宋" w:hAnsi="仿宋" w:eastAsia="仿宋" w:cs="仿宋"/>
          <w:color w:val="000000" w:themeColor="text1"/>
          <w:highlight w:val="none"/>
          <w:lang w:eastAsia="zh-CN"/>
          <w14:textFill>
            <w14:solidFill>
              <w14:schemeClr w14:val="tx1"/>
            </w14:solidFill>
          </w14:textFill>
        </w:rPr>
        <w:t>予</w:t>
      </w:r>
      <w:r>
        <w:rPr>
          <w:rFonts w:ascii="仿宋" w:hAnsi="仿宋" w:eastAsia="仿宋" w:cs="仿宋"/>
          <w:color w:val="000000" w:themeColor="text1"/>
          <w:highlight w:val="none"/>
          <w:lang w:eastAsia="zh-CN"/>
          <w14:textFill>
            <w14:solidFill>
              <w14:schemeClr w14:val="tx1"/>
            </w14:solidFill>
          </w14:textFill>
        </w:rPr>
        <w:t>调整</w:t>
      </w:r>
      <w:r>
        <w:rPr>
          <w:rFonts w:hint="eastAsia" w:ascii="仿宋" w:hAnsi="仿宋" w:eastAsia="仿宋" w:cs="仿宋"/>
          <w:color w:val="000000" w:themeColor="text1"/>
          <w:highlight w:val="none"/>
          <w:lang w:eastAsia="zh-CN"/>
          <w14:textFill>
            <w14:solidFill>
              <w14:schemeClr w14:val="tx1"/>
            </w14:solidFill>
          </w14:textFill>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CEF2DA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结算价＝采用总价合同部分的结算价（A）+采用单价合同的部分的结算价（B）</w:t>
      </w:r>
    </w:p>
    <w:p w14:paraId="1EB637C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其中：A＝协议书约定的相应总价±合同约定的价格调整</w:t>
      </w:r>
    </w:p>
    <w:p w14:paraId="4F85BEC7">
      <w:pPr>
        <w:spacing w:line="360" w:lineRule="auto"/>
        <w:ind w:firstLine="600" w:firstLineChars="25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B＝中标综合单价×实际数量</w:t>
      </w:r>
    </w:p>
    <w:p w14:paraId="58F4C61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bookmarkStart w:id="718" w:name="_Toc16689"/>
      <w:r>
        <w:rPr>
          <w:rFonts w:hint="eastAsia" w:ascii="仿宋" w:hAnsi="仿宋" w:eastAsia="仿宋" w:cs="仿宋"/>
          <w:color w:val="000000" w:themeColor="text1"/>
          <w:highlight w:val="none"/>
          <w:u w:val="single"/>
          <w:lang w:eastAsia="zh-CN"/>
          <w14:textFill>
            <w14:solidFill>
              <w14:schemeClr w14:val="tx1"/>
            </w14:solidFill>
          </w14:textFill>
        </w:rPr>
        <w:t>本合同项目无工程勘察费。</w:t>
      </w:r>
    </w:p>
    <w:p w14:paraId="415F319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72.1.2 工程设计费的计量规则与计价办法</w:t>
      </w:r>
      <w:bookmarkEnd w:id="718"/>
    </w:p>
    <w:p w14:paraId="7BFF8A7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719" w:name="_Toc15361"/>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总价合同：</w:t>
      </w:r>
    </w:p>
    <w:p w14:paraId="7B84154D">
      <w:pPr>
        <w:spacing w:line="360" w:lineRule="auto"/>
        <w:ind w:firstLine="480" w:firstLineChars="200"/>
        <w:rPr>
          <w:rFonts w:ascii="宋体" w:hAnsi="宋体"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r>
        <w:rPr>
          <w:rFonts w:hint="eastAsia" w:ascii="仿宋" w:hAnsi="仿宋" w:eastAsia="仿宋" w:cs="仿宋"/>
          <w:bCs w:val="0"/>
          <w:snapToGrid/>
          <w:color w:val="000000" w:themeColor="text1"/>
          <w:sz w:val="24"/>
          <w:szCs w:val="24"/>
          <w:highlight w:val="none"/>
          <w:u w:val="single"/>
          <w:lang w:eastAsia="zh-CN"/>
          <w14:textFill>
            <w14:solidFill>
              <w14:schemeClr w14:val="tx1"/>
            </w14:solidFill>
          </w14:textFill>
        </w:rPr>
        <w:t>如果概算批复中的建筑安装工程费小于建筑安装工程费招标控制价时，工程设计费最终合同价按以下原则修正。工程设计费最终合同价=根据概算批复的建筑安装工程费*1（专业调整系数）*1.15（工程复杂程度调整系数）*1（附加调整系数）*</w:t>
      </w:r>
      <w:r>
        <w:rPr>
          <w:rFonts w:hint="eastAsia" w:ascii="仿宋" w:hAnsi="仿宋" w:eastAsia="仿宋" w:cs="仿宋"/>
          <w:bCs w:val="0"/>
          <w:snapToGrid/>
          <w:color w:val="000000" w:themeColor="text1"/>
          <w:sz w:val="24"/>
          <w:szCs w:val="24"/>
          <w:highlight w:val="none"/>
          <w:u w:val="single"/>
          <w:lang w:val="en-US" w:eastAsia="zh-CN"/>
          <w14:textFill>
            <w14:solidFill>
              <w14:schemeClr w14:val="tx1"/>
            </w14:solidFill>
          </w14:textFill>
        </w:rPr>
        <w:t>50%</w:t>
      </w:r>
      <w:r>
        <w:rPr>
          <w:rFonts w:hint="eastAsia" w:ascii="仿宋" w:hAnsi="仿宋" w:eastAsia="仿宋" w:cs="仿宋"/>
          <w:bCs w:val="0"/>
          <w:snapToGrid/>
          <w:color w:val="000000" w:themeColor="text1"/>
          <w:sz w:val="24"/>
          <w:szCs w:val="24"/>
          <w:highlight w:val="none"/>
          <w:u w:val="single"/>
          <w:lang w:eastAsia="zh-CN"/>
          <w14:textFill>
            <w14:solidFill>
              <w14:schemeClr w14:val="tx1"/>
            </w14:solidFill>
          </w14:textFill>
        </w:rPr>
        <w:t>（施工图设计费占比系数）*[1-40%（合同约定下浮率）]*[1-设计费投标下浮率]</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w:t>
      </w:r>
    </w:p>
    <w:p w14:paraId="1C2532C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72.1.3  BIM技术应用费的计量规则与计价办法</w:t>
      </w:r>
      <w:bookmarkEnd w:id="719"/>
    </w:p>
    <w:p w14:paraId="5A191B5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总价合同：按协议书约定的价格总价包干，除合同约定允许调整的事项外，总价不予调整。</w:t>
      </w:r>
    </w:p>
    <w:p w14:paraId="103A8A7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本合同项目无BIM技术应用费。</w:t>
      </w:r>
    </w:p>
    <w:p w14:paraId="30DD962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72.1.4 设备及工器具购置费的计量规则与计价办法：</w:t>
      </w:r>
      <w:r>
        <w:rPr>
          <w:rFonts w:hint="eastAsia" w:ascii="仿宋" w:hAnsi="仿宋" w:eastAsia="仿宋" w:cs="仿宋"/>
          <w:color w:val="000000" w:themeColor="text1"/>
          <w:highlight w:val="none"/>
          <w:u w:val="single"/>
          <w:lang w:eastAsia="zh-CN"/>
          <w14:textFill>
            <w14:solidFill>
              <w14:schemeClr w14:val="tx1"/>
            </w14:solidFill>
          </w14:textFill>
        </w:rPr>
        <w:t>本合同项目无设备及工器具购置费。</w:t>
      </w:r>
    </w:p>
    <w:p w14:paraId="3FD5F0C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720" w:name="_Toc24698"/>
      <w:r>
        <w:rPr>
          <w:rFonts w:hint="eastAsia" w:ascii="仿宋" w:hAnsi="仿宋" w:eastAsia="仿宋" w:cs="仿宋"/>
          <w:color w:val="000000" w:themeColor="text1"/>
          <w:highlight w:val="none"/>
          <w:lang w:eastAsia="zh-CN"/>
          <w14:textFill>
            <w14:solidFill>
              <w14:schemeClr w14:val="tx1"/>
            </w14:solidFill>
          </w14:textFill>
        </w:rPr>
        <w:t xml:space="preserve">72.1.5 </w:t>
      </w:r>
      <w:bookmarkStart w:id="721" w:name="OLE_LINK6"/>
      <w:bookmarkStart w:id="722" w:name="OLE_LINK5"/>
      <w:r>
        <w:rPr>
          <w:rFonts w:hint="eastAsia" w:ascii="仿宋" w:hAnsi="仿宋" w:eastAsia="仿宋" w:cs="仿宋"/>
          <w:color w:val="000000" w:themeColor="text1"/>
          <w:highlight w:val="none"/>
          <w:lang w:eastAsia="zh-CN"/>
          <w14:textFill>
            <w14:solidFill>
              <w14:schemeClr w14:val="tx1"/>
            </w14:solidFill>
          </w14:textFill>
        </w:rPr>
        <w:t>建筑安装工程费</w:t>
      </w:r>
      <w:bookmarkEnd w:id="721"/>
      <w:bookmarkEnd w:id="722"/>
      <w:r>
        <w:rPr>
          <w:rFonts w:hint="eastAsia" w:ascii="仿宋" w:hAnsi="仿宋" w:eastAsia="仿宋" w:cs="仿宋"/>
          <w:color w:val="000000" w:themeColor="text1"/>
          <w:highlight w:val="none"/>
          <w:lang w:eastAsia="zh-CN"/>
          <w14:textFill>
            <w14:solidFill>
              <w14:schemeClr w14:val="tx1"/>
            </w14:solidFill>
          </w14:textFill>
        </w:rPr>
        <w:t>的计量规则与计价办法</w:t>
      </w:r>
      <w:bookmarkEnd w:id="720"/>
    </w:p>
    <w:p w14:paraId="0D827B8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总价合同：</w:t>
      </w:r>
    </w:p>
    <w:p w14:paraId="61CA9CB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计量规则与计价办法：按协议书约定的价格总价包干，除合同约定允许调整的事项外，合同总价不予调整。</w:t>
      </w:r>
    </w:p>
    <w:p w14:paraId="34EB508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结算价＝协议书约定的相应总价±合同约定的价格调整－发包人批准的优化设计降低造价。</w:t>
      </w:r>
    </w:p>
    <w:p w14:paraId="427C42E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□总价合同＋部分单价合同</w:t>
      </w:r>
    </w:p>
    <w:p w14:paraId="341F49D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①适用范围：总价合同的范围为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2F5FD615">
      <w:pPr>
        <w:spacing w:line="360" w:lineRule="auto"/>
        <w:ind w:firstLine="1920" w:firstLineChars="8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单价合同的范围为： </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0AA4A07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②计量规则与计价办法：</w:t>
      </w:r>
    </w:p>
    <w:p w14:paraId="68AD085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采用总价合同的部分，按协议书约定的价格总价包干，除合同约定允许调整的事项外，合同总价不予调整。</w:t>
      </w:r>
    </w:p>
    <w:p w14:paraId="5124D46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采用单价合同的部分，按合同价格清单约定的综合单价包干，除合同约定可以调整的事项外，工作量或工程量按实计算，综合</w:t>
      </w:r>
      <w:r>
        <w:rPr>
          <w:rFonts w:ascii="仿宋" w:hAnsi="仿宋" w:eastAsia="仿宋" w:cs="仿宋"/>
          <w:color w:val="000000" w:themeColor="text1"/>
          <w:highlight w:val="none"/>
          <w:lang w:eastAsia="zh-CN"/>
          <w14:textFill>
            <w14:solidFill>
              <w14:schemeClr w14:val="tx1"/>
            </w14:solidFill>
          </w14:textFill>
        </w:rPr>
        <w:t>单价不</w:t>
      </w:r>
      <w:r>
        <w:rPr>
          <w:rFonts w:hint="eastAsia" w:ascii="仿宋" w:hAnsi="仿宋" w:eastAsia="仿宋" w:cs="仿宋"/>
          <w:color w:val="000000" w:themeColor="text1"/>
          <w:highlight w:val="none"/>
          <w:lang w:eastAsia="zh-CN"/>
          <w14:textFill>
            <w14:solidFill>
              <w14:schemeClr w14:val="tx1"/>
            </w14:solidFill>
          </w14:textFill>
        </w:rPr>
        <w:t>予</w:t>
      </w:r>
      <w:r>
        <w:rPr>
          <w:rFonts w:ascii="仿宋" w:hAnsi="仿宋" w:eastAsia="仿宋" w:cs="仿宋"/>
          <w:color w:val="000000" w:themeColor="text1"/>
          <w:highlight w:val="none"/>
          <w:lang w:eastAsia="zh-CN"/>
          <w14:textFill>
            <w14:solidFill>
              <w14:schemeClr w14:val="tx1"/>
            </w14:solidFill>
          </w14:textFill>
        </w:rPr>
        <w:t>调整</w:t>
      </w:r>
      <w:r>
        <w:rPr>
          <w:rFonts w:hint="eastAsia" w:ascii="仿宋" w:hAnsi="仿宋" w:eastAsia="仿宋" w:cs="仿宋"/>
          <w:color w:val="000000" w:themeColor="text1"/>
          <w:highlight w:val="none"/>
          <w:lang w:eastAsia="zh-CN"/>
          <w14:textFill>
            <w14:solidFill>
              <w14:schemeClr w14:val="tx1"/>
            </w14:solidFill>
          </w14:textFill>
        </w:rPr>
        <w:t>。</w:t>
      </w:r>
    </w:p>
    <w:p w14:paraId="0CF5707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结算价＝采用总价合同部分的结算价（A）+采用单价合同的部分的结算价（B）</w:t>
      </w:r>
    </w:p>
    <w:p w14:paraId="3EE8B1D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其中：A＝协议书约定的相应总价±合同约定的价格调整－发包人批准的优化设计降低造价</w:t>
      </w:r>
    </w:p>
    <w:p w14:paraId="7FFC584D">
      <w:pPr>
        <w:spacing w:line="360" w:lineRule="auto"/>
        <w:ind w:firstLine="1200" w:firstLineChars="5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B＝中标综合单价×实际数量±合同约定的价格调整</w:t>
      </w:r>
    </w:p>
    <w:p w14:paraId="0ED48D3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详见专用条款</w:t>
      </w:r>
      <w:r>
        <w:rPr>
          <w:rFonts w:ascii="仿宋" w:hAnsi="仿宋" w:eastAsia="仿宋" w:cs="仿宋"/>
          <w:color w:val="000000" w:themeColor="text1"/>
          <w:highlight w:val="none"/>
          <w:u w:val="single"/>
          <w:lang w:eastAsia="zh-CN"/>
          <w14:textFill>
            <w14:solidFill>
              <w14:schemeClr w14:val="tx1"/>
            </w14:solidFill>
          </w14:textFill>
        </w:rPr>
        <w:t>8.5</w:t>
      </w:r>
      <w:r>
        <w:rPr>
          <w:rFonts w:hint="eastAsia" w:ascii="仿宋" w:hAnsi="仿宋" w:eastAsia="仿宋" w:cs="仿宋"/>
          <w:color w:val="000000" w:themeColor="text1"/>
          <w:highlight w:val="none"/>
          <w:u w:val="single"/>
          <w:lang w:eastAsia="zh-CN"/>
          <w14:textFill>
            <w14:solidFill>
              <w14:schemeClr w14:val="tx1"/>
            </w14:solidFill>
          </w14:textFill>
        </w:rPr>
        <w:t>。</w:t>
      </w:r>
    </w:p>
    <w:p w14:paraId="0B39572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72.1.6 其他服务项目费用的计量规则与计价办法</w:t>
      </w:r>
    </w:p>
    <w:p w14:paraId="31D188E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 xml:space="preserve"> 按通用条款72.1.6约定。</w:t>
      </w:r>
    </w:p>
    <w:p w14:paraId="4E7CD011">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2546FC16">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★73.  暂列金额</w:t>
      </w:r>
    </w:p>
    <w:p w14:paraId="2F419EA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723" w:name="_Toc26979"/>
      <w:r>
        <w:rPr>
          <w:rFonts w:hint="eastAsia" w:ascii="仿宋" w:hAnsi="仿宋" w:eastAsia="仿宋" w:cs="仿宋"/>
          <w:color w:val="000000" w:themeColor="text1"/>
          <w:highlight w:val="none"/>
          <w:lang w:eastAsia="zh-CN"/>
          <w14:textFill>
            <w14:solidFill>
              <w14:schemeClr w14:val="tx1"/>
            </w14:solidFill>
          </w14:textFill>
        </w:rPr>
        <w:t>73.1 暂列金额的用途</w:t>
      </w:r>
      <w:bookmarkEnd w:id="723"/>
    </w:p>
    <w:p w14:paraId="03702B2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合同工程的暂列金额为 </w:t>
      </w:r>
      <w:r>
        <w:rPr>
          <w:rFonts w:hint="eastAsia" w:ascii="宋体" w:hAnsi="宋体" w:cs="宋体"/>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元。</w:t>
      </w:r>
    </w:p>
    <w:p w14:paraId="01348A1B">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24" w:name="_Toc149731596"/>
      <w:bookmarkStart w:id="725" w:name="_Toc27931"/>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★75.  暂估价</w:t>
      </w:r>
      <w:bookmarkEnd w:id="724"/>
      <w:bookmarkEnd w:id="725"/>
    </w:p>
    <w:p w14:paraId="57A2E8DA">
      <w:pPr>
        <w:spacing w:line="360" w:lineRule="auto"/>
        <w:ind w:left="240" w:leftChars="100" w:firstLine="241" w:firstLineChars="1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t>★75</w:t>
      </w:r>
      <w:r>
        <w:rPr>
          <w:rFonts w:hint="eastAsia" w:ascii="仿宋" w:hAnsi="仿宋" w:eastAsia="仿宋" w:cs="仿宋"/>
          <w:color w:val="000000" w:themeColor="text1"/>
          <w:highlight w:val="none"/>
          <w:lang w:eastAsia="zh-CN"/>
          <w14:textFill>
            <w14:solidFill>
              <w14:schemeClr w14:val="tx1"/>
            </w14:solidFill>
          </w14:textFill>
        </w:rPr>
        <w:t>.1 依法必须招标的工程材料、工程设备或专业工程暂估价的约定</w:t>
      </w:r>
    </w:p>
    <w:p w14:paraId="1FCBD222">
      <w:pPr>
        <w:spacing w:line="360" w:lineRule="auto"/>
        <w:ind w:left="240" w:leftChars="100" w:firstLine="240" w:firstLineChars="1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合同双方当事人的权利、义务</w:t>
      </w:r>
    </w:p>
    <w:p w14:paraId="6949269C">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□工程材料、工程设备：</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365B1AB8">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专业工程：</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601CDBD5">
      <w:pPr>
        <w:pStyle w:val="28"/>
        <w:spacing w:after="0" w:line="360" w:lineRule="auto"/>
        <w:ind w:firstLine="482" w:firstLineChars="200"/>
        <w:rPr>
          <w:rFonts w:ascii="仿宋" w:hAnsi="仿宋" w:eastAsia="仿宋" w:cs="仿宋"/>
          <w:color w:val="000000" w:themeColor="text1"/>
          <w:sz w:val="24"/>
          <w:szCs w:val="24"/>
          <w:highlight w:val="none"/>
          <w:lang w:eastAsia="zh-CN" w:bidi="en-US"/>
          <w14:textFill>
            <w14:solidFill>
              <w14:schemeClr w14:val="tx1"/>
            </w14:solidFill>
          </w14:textFill>
        </w:rPr>
      </w:pPr>
      <w:r>
        <w:rPr>
          <w:rFonts w:hint="eastAsia" w:ascii="仿宋" w:hAnsi="仿宋" w:eastAsia="仿宋" w:cs="仿宋"/>
          <w:b/>
          <w:bCs/>
          <w:color w:val="000000" w:themeColor="text1"/>
          <w:sz w:val="24"/>
          <w:szCs w:val="24"/>
          <w:highlight w:val="none"/>
          <w:lang w:eastAsia="zh-CN" w:bidi="en-US"/>
          <w14:textFill>
            <w14:solidFill>
              <w14:schemeClr w14:val="tx1"/>
            </w14:solidFill>
          </w14:textFill>
        </w:rPr>
        <w:t xml:space="preserve">75.3 </w:t>
      </w:r>
      <w:r>
        <w:rPr>
          <w:rFonts w:hint="eastAsia" w:ascii="仿宋" w:hAnsi="仿宋" w:eastAsia="仿宋" w:cs="仿宋"/>
          <w:color w:val="000000" w:themeColor="text1"/>
          <w:sz w:val="24"/>
          <w:szCs w:val="24"/>
          <w:highlight w:val="none"/>
          <w:lang w:eastAsia="zh-CN" w:bidi="en-US"/>
          <w14:textFill>
            <w14:solidFill>
              <w14:schemeClr w14:val="tx1"/>
            </w14:solidFill>
          </w14:textFill>
        </w:rPr>
        <w:t>依法不需要招标的专业工程暂估价的约定</w:t>
      </w:r>
    </w:p>
    <w:p w14:paraId="4E2A762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按通用条款约定，由造价咨询人与承包人确定。</w:t>
      </w:r>
    </w:p>
    <w:p w14:paraId="4E03DF6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059F6551">
      <w:pPr>
        <w:pStyle w:val="5"/>
        <w:tabs>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26" w:name="_Toc24107"/>
      <w:bookmarkStart w:id="727" w:name="_Toc14973159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★76.  提前竣工奖与误期赔偿费</w:t>
      </w:r>
      <w:bookmarkEnd w:id="726"/>
      <w:bookmarkEnd w:id="727"/>
    </w:p>
    <w:p w14:paraId="4EFE8C8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76.1 提前竣工奖</w:t>
      </w:r>
    </w:p>
    <w:p w14:paraId="1662B293">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①提前竣工奖额度</w:t>
      </w:r>
    </w:p>
    <w:p w14:paraId="63697177">
      <w:pPr>
        <w:spacing w:line="360" w:lineRule="auto"/>
        <w:ind w:firstLine="991" w:firstLineChars="41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未约定提前竣工奖的，本款不适用。</w:t>
      </w:r>
    </w:p>
    <w:p w14:paraId="5F32C7AF">
      <w:pPr>
        <w:spacing w:line="360" w:lineRule="auto"/>
        <w:ind w:firstLine="991" w:firstLineChars="41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约定提前竣工奖的，每日历天应奖额度为 元。</w:t>
      </w:r>
    </w:p>
    <w:p w14:paraId="3A235C2B">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②提前竣工奖的最高限额</w:t>
      </w:r>
    </w:p>
    <w:p w14:paraId="79939E0E">
      <w:pPr>
        <w:spacing w:line="360" w:lineRule="auto"/>
        <w:ind w:firstLine="991" w:firstLineChars="41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□按通用条款约定为合同价款的5%，即元。</w:t>
      </w:r>
    </w:p>
    <w:p w14:paraId="2F238762">
      <w:pPr>
        <w:spacing w:line="360" w:lineRule="auto"/>
        <w:ind w:firstLine="991" w:firstLineChars="41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010D7DAB">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76.2 误期赔偿费：</w:t>
      </w:r>
      <w:r>
        <w:rPr>
          <w:rFonts w:hint="eastAsia" w:ascii="仿宋" w:hAnsi="仿宋" w:eastAsia="仿宋" w:cs="仿宋"/>
          <w:color w:val="000000" w:themeColor="text1"/>
          <w:highlight w:val="none"/>
          <w:u w:val="single"/>
          <w:lang w:eastAsia="zh-CN"/>
          <w14:textFill>
            <w14:solidFill>
              <w14:schemeClr w14:val="tx1"/>
            </w14:solidFill>
          </w14:textFill>
        </w:rPr>
        <w:t>详见合同专用条款第95款。</w:t>
      </w:r>
    </w:p>
    <w:p w14:paraId="7D9AAC09">
      <w:pPr>
        <w:spacing w:line="360" w:lineRule="auto"/>
        <w:ind w:left="240" w:leftChars="100"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 每日历天应赔偿额度为元。</w:t>
      </w:r>
    </w:p>
    <w:p w14:paraId="31C6C7D6">
      <w:pPr>
        <w:spacing w:line="360" w:lineRule="auto"/>
        <w:ind w:left="240" w:leftChars="100"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 误期赔偿费的最高限额</w:t>
      </w:r>
    </w:p>
    <w:p w14:paraId="31ED37C8">
      <w:pPr>
        <w:spacing w:line="360" w:lineRule="auto"/>
        <w:ind w:left="240" w:leftChars="100" w:firstLine="720" w:firstLineChars="3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按通用条款约定为合同价款的5%，即元。</w:t>
      </w:r>
    </w:p>
    <w:p w14:paraId="7481C1BB">
      <w:pPr>
        <w:spacing w:line="360" w:lineRule="auto"/>
        <w:ind w:left="240" w:leftChars="100" w:firstLine="720" w:firstLineChars="3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30F2071D">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28" w:name="_Toc30356"/>
      <w:bookmarkStart w:id="729" w:name="_Toc149731598"/>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★77.  优质优价费用</w:t>
      </w:r>
      <w:bookmarkEnd w:id="728"/>
      <w:bookmarkEnd w:id="729"/>
    </w:p>
    <w:p w14:paraId="5007B7D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77.1优质优价费用的约定</w:t>
      </w:r>
    </w:p>
    <w:p w14:paraId="5324271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约定优质优价费用的，其计算方法：</w:t>
      </w:r>
      <w:r>
        <w:rPr>
          <w:rFonts w:hint="eastAsia" w:ascii="仿宋" w:hAnsi="仿宋" w:eastAsia="仿宋" w:cs="仿宋"/>
          <w:color w:val="000000" w:themeColor="text1"/>
          <w:highlight w:val="none"/>
          <w:u w:val="single"/>
          <w:lang w:eastAsia="zh-CN"/>
          <w14:textFill>
            <w14:solidFill>
              <w14:schemeClr w14:val="tx1"/>
            </w14:solidFill>
          </w14:textFill>
        </w:rPr>
        <w:t xml:space="preserve"> 本项目不涉及。   </w:t>
      </w:r>
    </w:p>
    <w:p w14:paraId="2CFD8157">
      <w:pPr>
        <w:spacing w:line="360" w:lineRule="auto"/>
        <w:ind w:left="480" w:left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77.2 优质优价费用计提与支付：</w:t>
      </w:r>
      <w:r>
        <w:rPr>
          <w:rFonts w:hint="eastAsia" w:ascii="仿宋" w:hAnsi="仿宋" w:eastAsia="仿宋" w:cs="仿宋"/>
          <w:color w:val="000000" w:themeColor="text1"/>
          <w:highlight w:val="none"/>
          <w:u w:val="single"/>
          <w:lang w:eastAsia="zh-CN"/>
          <w14:textFill>
            <w14:solidFill>
              <w14:schemeClr w14:val="tx1"/>
            </w14:solidFill>
          </w14:textFill>
        </w:rPr>
        <w:t>本项目不涉及。</w:t>
      </w:r>
    </w:p>
    <w:p w14:paraId="1457BF79">
      <w:pPr>
        <w:pStyle w:val="5"/>
        <w:tabs>
          <w:tab w:val="left" w:pos="420"/>
        </w:tabs>
        <w:spacing w:before="0" w:after="0" w:line="360" w:lineRule="auto"/>
        <w:rPr>
          <w:rFonts w:ascii="仿宋" w:hAnsi="仿宋" w:eastAsia="仿宋" w:cs="仿宋"/>
          <w:color w:val="000000" w:themeColor="text1"/>
          <w:sz w:val="24"/>
          <w:szCs w:val="24"/>
          <w:highlight w:val="none"/>
          <w:lang w:eastAsia="zh-CN"/>
          <w14:textFill>
            <w14:solidFill>
              <w14:schemeClr w14:val="tx1"/>
            </w14:solidFill>
          </w14:textFill>
        </w:rPr>
      </w:pPr>
      <w:bookmarkStart w:id="730" w:name="_Toc149731599"/>
      <w:bookmarkStart w:id="731" w:name="_Toc19132"/>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79.  可调价变更定价</w:t>
      </w:r>
      <w:bookmarkEnd w:id="730"/>
      <w:bookmarkEnd w:id="731"/>
    </w:p>
    <w:p w14:paraId="055948C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32" w:name="_Toc6987"/>
      <w:r>
        <w:rPr>
          <w:rFonts w:hint="eastAsia" w:ascii="仿宋" w:hAnsi="仿宋" w:eastAsia="仿宋" w:cs="仿宋"/>
          <w:color w:val="000000" w:themeColor="text1"/>
          <w:highlight w:val="none"/>
          <w:lang w:eastAsia="zh-CN"/>
          <w14:textFill>
            <w14:solidFill>
              <w14:schemeClr w14:val="tx1"/>
            </w14:solidFill>
          </w14:textFill>
        </w:rPr>
        <w:t>79.2 可调价变更工作项目的定价</w:t>
      </w:r>
      <w:bookmarkEnd w:id="732"/>
    </w:p>
    <w:p w14:paraId="4D496FC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□按通用条款第79.2款约定执行。</w:t>
      </w:r>
    </w:p>
    <w:p w14:paraId="1552FB32">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）合同中没有相同也没有类似清单项目的，其计价依据、计量规则和计价方法：</w:t>
      </w:r>
    </w:p>
    <w:p w14:paraId="2B7B59F9">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bookmarkStart w:id="733" w:name="_Toc20187"/>
      <w:r>
        <w:rPr>
          <w:rFonts w:hint="eastAsia" w:ascii="仿宋" w:hAnsi="仿宋" w:eastAsia="仿宋" w:cs="仿宋"/>
          <w:color w:val="000000" w:themeColor="text1"/>
          <w:highlight w:val="none"/>
          <w:lang w:eastAsia="zh-CN"/>
          <w14:textFill>
            <w14:solidFill>
              <w14:schemeClr w14:val="tx1"/>
            </w14:solidFill>
          </w14:textFill>
        </w:rPr>
        <w:t xml:space="preserve">(4）“类似清单项目”的认定原则： </w:t>
      </w:r>
    </w:p>
    <w:p w14:paraId="363770C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bookmarkEnd w:id="733"/>
      <w:r>
        <w:rPr>
          <w:rFonts w:hint="eastAsia" w:ascii="仿宋" w:hAnsi="仿宋" w:eastAsia="仿宋" w:cs="仿宋"/>
          <w:color w:val="000000" w:themeColor="text1"/>
          <w:highlight w:val="none"/>
          <w:u w:val="single"/>
          <w:lang w:eastAsia="zh-CN"/>
          <w14:textFill>
            <w14:solidFill>
              <w14:schemeClr w14:val="tx1"/>
            </w14:solidFill>
          </w14:textFill>
        </w:rPr>
        <w:t>详见专用条款第8款。</w:t>
      </w:r>
    </w:p>
    <w:p w14:paraId="07EDB16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34" w:name="_Toc11818"/>
      <w:r>
        <w:rPr>
          <w:rFonts w:hint="eastAsia" w:ascii="仿宋" w:hAnsi="仿宋" w:eastAsia="仿宋" w:cs="仿宋"/>
          <w:color w:val="000000" w:themeColor="text1"/>
          <w:highlight w:val="none"/>
          <w:lang w:eastAsia="zh-CN"/>
          <w14:textFill>
            <w14:solidFill>
              <w14:schemeClr w14:val="tx1"/>
            </w14:solidFill>
          </w14:textFill>
        </w:rPr>
        <w:t>79.3 可调价变更实体项目的定价</w:t>
      </w:r>
      <w:bookmarkEnd w:id="734"/>
    </w:p>
    <w:p w14:paraId="44BA5CC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□按通用条款第79.3款约定执行。</w:t>
      </w:r>
    </w:p>
    <w:p w14:paraId="3C8550C0">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ascii="仿宋" w:hAnsi="仿宋" w:eastAsia="仿宋" w:cs="仿宋"/>
          <w:color w:val="000000" w:themeColor="text1"/>
          <w:highlight w:val="none"/>
          <w:lang w:eastAsia="zh-CN"/>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）合同中没有相同也没有类似清单项目的，其计价依据、计量规则和计价方法：</w:t>
      </w:r>
    </w:p>
    <w:p w14:paraId="61779A28">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bookmarkStart w:id="735" w:name="_Toc9257"/>
      <w:r>
        <w:rPr>
          <w:rFonts w:hint="eastAsia" w:ascii="仿宋" w:hAnsi="仿宋" w:eastAsia="仿宋" w:cs="仿宋"/>
          <w:color w:val="000000" w:themeColor="text1"/>
          <w:highlight w:val="none"/>
          <w:lang w:eastAsia="zh-CN"/>
          <w14:textFill>
            <w14:solidFill>
              <w14:schemeClr w14:val="tx1"/>
            </w14:solidFill>
          </w14:textFill>
        </w:rPr>
        <w:t xml:space="preserve">(4）“类似清单项目”的认定原则： </w:t>
      </w:r>
    </w:p>
    <w:p w14:paraId="4461EA84">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bookmarkEnd w:id="735"/>
    </w:p>
    <w:p w14:paraId="7B6E98B3">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执行广州市建设工程造价管理站发布的合同基准期《广州地区建设工程常用材料税前综合价格》；如《广州地区建设工程常用材料税前综合价格》没有的材料价格，参考广州市工程造价行业协会发布的合同基准期《广州地区建设工程材料（设备）厂商价格信息》，其中土建工程下浮10%，机电安装工程下浮20%；如均没有时，由承包人根据发包人提供的材料品牌表选用报价并报发包人审定确认，发包人确认的材料单价与进场材料匹配的有效发票（监理单位和发包人确认）的材料单价对比，如发票价格高于发包人审定价，按发包人审定价进行计算。施工期间涉及材料价格调整的，按专用条款第82.3款相应执行。</w:t>
      </w:r>
    </w:p>
    <w:p w14:paraId="5CE5078F">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(2）中标的投标文件工程量清单中没有相同项目或类似项目的新增综合单价，按如下计价原则执行：</w:t>
      </w:r>
    </w:p>
    <w:p w14:paraId="595FCE97">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依据《建设工程工程量清单计价标准（GB/T 50500-2024）》、《广东省建设工程计价依据（2018）》，包括《广东省房屋建筑与装饰工程综合定额（2018）》《广东省通用安装工程综合定额（2018）》《广东省市政工程综合定额（2018）》《广东省园林绿化工程综合定额（2018）》《广东省建设工程施工机具台班费用编制规则（2018）》及本地区工程计价的有关规定，按清单计价法进行计价。人工、材料、机械价格对应执行广州市建设工程造价管理站发布的合同基准期《广州地区建设工程常用材料税前综合价格》；如无缺项部分可参考广州市工程造价行业协会发布的《广州地区建设工程材料（设备）厂商价格信息》，其中土建工程下浮10%，机电安装工程下浮20%计算。所有新增单价执行以上条款后结合税前下浮率5%作为新增综合单价。如遇定额中没有的工程项目，则由甲乙双方协商解决。施工期间涉及材料价格调整的，按专用条款第82.3款相应执行。</w:t>
      </w:r>
    </w:p>
    <w:p w14:paraId="4B85684C">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(3）变更项目确定后28天内，承包人未提交增加费用的估算及竣工日期延长的报告的，视为该项变更不涉及合同价格增加和竣工日期延长，发包人不再承担此项变更增加的任何费用及竣工日期延长的责任。 </w:t>
      </w:r>
    </w:p>
    <w:p w14:paraId="57FF0599">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36" w:name="_Toc12627"/>
      <w:r>
        <w:rPr>
          <w:rFonts w:hint="eastAsia" w:ascii="仿宋" w:hAnsi="仿宋" w:eastAsia="仿宋" w:cs="仿宋"/>
          <w:color w:val="000000" w:themeColor="text1"/>
          <w:highlight w:val="none"/>
          <w:lang w:eastAsia="zh-CN"/>
          <w14:textFill>
            <w14:solidFill>
              <w14:schemeClr w14:val="tx1"/>
            </w14:solidFill>
          </w14:textFill>
        </w:rPr>
        <w:t>79.4 可调价变更措施项目的定价</w:t>
      </w:r>
      <w:bookmarkEnd w:id="736"/>
    </w:p>
    <w:p w14:paraId="6D869E3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□按通用条款第79.4款约定执行。</w:t>
      </w:r>
    </w:p>
    <w:p w14:paraId="606F8EF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bookmarkStart w:id="737" w:name="_Toc31634"/>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bookmarkEnd w:id="737"/>
      <w:r>
        <w:rPr>
          <w:rFonts w:hint="eastAsia" w:ascii="仿宋" w:hAnsi="仿宋" w:eastAsia="仿宋" w:cs="仿宋"/>
          <w:color w:val="000000" w:themeColor="text1"/>
          <w:highlight w:val="none"/>
          <w:u w:val="single"/>
          <w:lang w:eastAsia="zh-CN"/>
          <w14:textFill>
            <w14:solidFill>
              <w14:schemeClr w14:val="tx1"/>
            </w14:solidFill>
          </w14:textFill>
        </w:rPr>
        <w:t>详见专用条款第8款。</w:t>
      </w:r>
    </w:p>
    <w:p w14:paraId="32CBCF54">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38" w:name="_Toc149731600"/>
      <w:bookmarkStart w:id="739" w:name="_Toc552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★81.  现场签证价格的确定</w:t>
      </w:r>
      <w:bookmarkEnd w:id="738"/>
      <w:bookmarkEnd w:id="739"/>
    </w:p>
    <w:p w14:paraId="4FDD953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81.3 现场签证报告的确认</w:t>
      </w:r>
    </w:p>
    <w:p w14:paraId="02B1642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提交现场签证报告的时间：</w:t>
      </w:r>
    </w:p>
    <w:p w14:paraId="6A5CD0F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按通用条款的约定的时间提交。</w:t>
      </w:r>
    </w:p>
    <w:p w14:paraId="05CA4E1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  </w:t>
      </w:r>
    </w:p>
    <w:p w14:paraId="3D215F41">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40" w:name="_Toc149731601"/>
      <w:bookmarkStart w:id="741" w:name="_Toc16606"/>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★82.  物价涨落的价格调整</w:t>
      </w:r>
      <w:bookmarkEnd w:id="740"/>
      <w:bookmarkEnd w:id="741"/>
    </w:p>
    <w:p w14:paraId="4450173B">
      <w:pPr>
        <w:spacing w:line="360" w:lineRule="auto"/>
        <w:ind w:firstLine="480" w:firstLineChars="200"/>
        <w:rPr>
          <w:rFonts w:ascii="仿宋" w:hAnsi="仿宋" w:eastAsia="仿宋"/>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82.1 物价涨落的价格调整</w:t>
      </w:r>
    </w:p>
    <w:p w14:paraId="4F980B5F">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□按通用条款第82.3款第1种方式对合同价格进行调整。</w:t>
      </w:r>
    </w:p>
    <w:p w14:paraId="16F92CA8">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按通用条款第82.3款第2种方式对合同价格进行调整。</w:t>
      </w:r>
    </w:p>
    <w:p w14:paraId="7032E725">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另作约定：</w:t>
      </w:r>
      <w:bookmarkStart w:id="742" w:name="_Toc16786"/>
      <w:r>
        <w:rPr>
          <w:rFonts w:hint="eastAsia" w:ascii="仿宋" w:hAnsi="仿宋" w:eastAsia="仿宋" w:cs="仿宋"/>
          <w:color w:val="000000" w:themeColor="text1"/>
          <w:highlight w:val="none"/>
          <w:u w:val="single"/>
          <w:lang w:eastAsia="zh-CN"/>
          <w14:textFill>
            <w14:solidFill>
              <w14:schemeClr w14:val="tx1"/>
            </w14:solidFill>
          </w14:textFill>
        </w:rPr>
        <w:t>承包人需每月随进度款申报完整的材料调差资料，发包人每半年对承包人申报的调差资料核算一次，核算完成并签订补充合同后随进度款进行支付，支付比例不超过核算金额的70%。</w:t>
      </w:r>
    </w:p>
    <w:p w14:paraId="6BDA668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82.2 人工费的调整方法</w:t>
      </w:r>
      <w:bookmarkEnd w:id="742"/>
    </w:p>
    <w:p w14:paraId="349C656B">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□按通用条款第82.2款约定进行调整。</w:t>
      </w:r>
    </w:p>
    <w:p w14:paraId="6EEB9701">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人工单价调整条件的约定：</w:t>
      </w:r>
      <w:r>
        <w:rPr>
          <w:rFonts w:hint="eastAsia" w:ascii="仿宋" w:hAnsi="仿宋" w:eastAsia="仿宋" w:cs="仿宋"/>
          <w:color w:val="000000" w:themeColor="text1"/>
          <w:highlight w:val="none"/>
          <w:u w:val="single"/>
          <w:lang w:eastAsia="zh-CN"/>
          <w14:textFill>
            <w14:solidFill>
              <w14:schemeClr w14:val="tx1"/>
            </w14:solidFill>
          </w14:textFill>
        </w:rPr>
        <w:t>人工单价不调整</w:t>
      </w:r>
      <w:r>
        <w:rPr>
          <w:rFonts w:hint="eastAsia" w:ascii="仿宋" w:hAnsi="仿宋" w:eastAsia="仿宋" w:cs="仿宋_GB2312"/>
          <w:color w:val="000000" w:themeColor="text1"/>
          <w:sz w:val="30"/>
          <w:szCs w:val="30"/>
          <w:highlight w:val="none"/>
          <w:lang w:eastAsia="zh-CN"/>
          <w14:textFill>
            <w14:solidFill>
              <w14:schemeClr w14:val="tx1"/>
            </w14:solidFill>
          </w14:textFill>
        </w:rPr>
        <w:t>。</w:t>
      </w:r>
    </w:p>
    <w:p w14:paraId="5F0CF91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82.3 承包人采购工程材料和工程设备的材料设备费、施工机具费调整方法</w:t>
      </w:r>
    </w:p>
    <w:p w14:paraId="0FBD181D">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□第1种方式：采用政府信息指导价进行价格调整。</w:t>
      </w:r>
    </w:p>
    <w:p w14:paraId="6452D6D1">
      <w:pPr>
        <w:spacing w:line="360" w:lineRule="auto"/>
        <w:ind w:firstLine="708" w:firstLineChars="295"/>
        <w:rPr>
          <w:rFonts w:ascii="仿宋" w:hAnsi="仿宋" w:eastAsia="仿宋"/>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（a）允许调整价格的工程材料品种：</w:t>
      </w:r>
    </w:p>
    <w:p w14:paraId="5907F84D">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（b）工程材料单价涨跌幅度：</w:t>
      </w:r>
    </w:p>
    <w:p w14:paraId="21CD7CCA">
      <w:pPr>
        <w:spacing w:line="360" w:lineRule="auto"/>
        <w:ind w:firstLine="991" w:firstLineChars="41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□合同履行期间工程材料、工程设备单价涨跌幅度按通用条款约定。</w:t>
      </w:r>
    </w:p>
    <w:p w14:paraId="63390A8D">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合同履行期间工程材料、工程设备单价涨跌幅度的约定：</w:t>
      </w:r>
    </w:p>
    <w:p w14:paraId="1E56B3C4">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（c）工程材料、工程设备基准价格：</w:t>
      </w:r>
    </w:p>
    <w:p w14:paraId="7F3B394C">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（d）工程材料、工程设备基准价格的计算依据、计算方式以及单价涨跌幅的确定方法：</w:t>
      </w:r>
    </w:p>
    <w:p w14:paraId="1E12034F">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（e）允许调整价格的施工机具品种：</w:t>
      </w:r>
    </w:p>
    <w:p w14:paraId="3415BA5A">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（f）可调整合同价格的施工机具台班单价变化幅度：</w:t>
      </w:r>
    </w:p>
    <w:p w14:paraId="409AE191">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（g）施工机具台班单价变化幅度、台班单价的计算依据、计算方式：</w:t>
      </w:r>
    </w:p>
    <w:p w14:paraId="10CC4D7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第2种方式：其他价格调整方式的约定：</w:t>
      </w:r>
      <w:r>
        <w:rPr>
          <w:rFonts w:hint="eastAsia" w:ascii="仿宋" w:hAnsi="仿宋" w:eastAsia="仿宋" w:cs="仿宋"/>
          <w:color w:val="000000" w:themeColor="text1"/>
          <w:highlight w:val="none"/>
          <w:u w:val="single"/>
          <w:lang w:eastAsia="zh-CN"/>
          <w14:textFill>
            <w14:solidFill>
              <w14:schemeClr w14:val="tx1"/>
            </w14:solidFill>
          </w14:textFill>
        </w:rPr>
        <w:t>如在施工期间内，材料市场价格发生异常变动情况时，合同价款的调整为：</w:t>
      </w:r>
    </w:p>
    <w:p w14:paraId="08C4CD9D">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调整的范围：只调整分部分项工程清单中的主要材料，包括水泥、砌块、商品（预拌）混凝土、沥青混凝土、商品（预拌）砂浆、钢筋、预应力管桩、电线、电缆。人工费及其他材料、机械、设备的价差均不予调整。</w:t>
      </w:r>
    </w:p>
    <w:p w14:paraId="0110AB6C">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2、调整计量支付和结算原则如下：上述主要材料单价上涨或下落幅度超过合同基准期（指递交投标文件截止日期前28日历天当天所在月的信息价）价格的5%（不含5%）时，由承包人承担涨落5%（含5%）以内的部分，涨幅超出5%（不含5%）的部分由发包人补偿给承包人，跌幅超过5%（不含5%）的部分由承包人退还给发包人。上述价格的调整范围以当期广州市政府造价管理部门发布的指导价为调整基准依据，没有发布指导价的材料不作调整。</w:t>
      </w:r>
    </w:p>
    <w:p w14:paraId="778D083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3、调价公式：</w:t>
      </w:r>
    </w:p>
    <w:p w14:paraId="78818989">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 ① 当（A-B）/B＞5%时，C=A-B*（1+5%），E=C*D</w:t>
      </w:r>
      <w:r>
        <w:rPr>
          <w:rFonts w:ascii="仿宋" w:hAnsi="仿宋" w:eastAsia="仿宋" w:cs="仿宋"/>
          <w:color w:val="000000" w:themeColor="text1"/>
          <w:highlight w:val="none"/>
          <w:u w:val="singl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（1</w:t>
      </w:r>
      <w:r>
        <w:rPr>
          <w:rFonts w:ascii="仿宋" w:hAnsi="仿宋" w:eastAsia="仿宋" w:cs="仿宋"/>
          <w:color w:val="000000" w:themeColor="text1"/>
          <w:highlight w:val="none"/>
          <w:u w:val="singl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F）</w:t>
      </w:r>
    </w:p>
    <w:p w14:paraId="1C864AE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 xml:space="preserve"> ②当（A-B）/B＜-5%时，C=A-B*（1-5%），E=C*D</w:t>
      </w:r>
      <w:r>
        <w:rPr>
          <w:rFonts w:ascii="仿宋" w:hAnsi="仿宋" w:eastAsia="仿宋" w:cs="仿宋"/>
          <w:color w:val="000000" w:themeColor="text1"/>
          <w:highlight w:val="none"/>
          <w:u w:val="singl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（1</w:t>
      </w:r>
      <w:r>
        <w:rPr>
          <w:rFonts w:ascii="仿宋" w:hAnsi="仿宋" w:eastAsia="仿宋" w:cs="仿宋"/>
          <w:color w:val="000000" w:themeColor="text1"/>
          <w:highlight w:val="none"/>
          <w:u w:val="single"/>
          <w:lang w:eastAsia="zh-CN"/>
          <w14:textFill>
            <w14:solidFill>
              <w14:schemeClr w14:val="tx1"/>
            </w14:solidFill>
          </w14:textFill>
        </w:rPr>
        <w:t>+</w:t>
      </w:r>
      <w:r>
        <w:rPr>
          <w:rFonts w:hint="eastAsia" w:ascii="仿宋" w:hAnsi="仿宋" w:eastAsia="仿宋" w:cs="仿宋"/>
          <w:color w:val="000000" w:themeColor="text1"/>
          <w:highlight w:val="none"/>
          <w:u w:val="single"/>
          <w:lang w:eastAsia="zh-CN"/>
          <w14:textFill>
            <w14:solidFill>
              <w14:schemeClr w14:val="tx1"/>
            </w14:solidFill>
          </w14:textFill>
        </w:rPr>
        <w:t>F）</w:t>
      </w:r>
    </w:p>
    <w:p w14:paraId="66F341D3">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A：广州市政府造价管理部门发布的施工当期指导价中的相应材料税前综合价格。</w:t>
      </w:r>
    </w:p>
    <w:p w14:paraId="1D311C5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B：广州市政府造价管理部门发布的合同基准期（指递交投标文件截止日期前28日历天当天所在月的信息价）指导价中的相应材料税前综合价格。</w:t>
      </w:r>
    </w:p>
    <w:p w14:paraId="0017E8AE">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C：材料可调整单价。</w:t>
      </w:r>
    </w:p>
    <w:p w14:paraId="304616DB">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D： 施工当期形象进度完成的工程量（以监理工程师及发包人确认工程量为准）所消耗（按投标文件消耗量，若与定额消耗量差异超过±5%，则超过±5%以外部分不予参与价差调整）的材料。</w:t>
      </w:r>
    </w:p>
    <w:p w14:paraId="0BE7998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E： 可调整的材料价差税前总价。调整的材料价差仅计取税金（按合同建筑安装工程费税率执行）。</w:t>
      </w:r>
    </w:p>
    <w:p w14:paraId="4EF928C8">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F：税率，按合同协议书第八款执行。</w:t>
      </w:r>
    </w:p>
    <w:p w14:paraId="479E539A">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4、因工期延误所产生上述的人工费、材料等价格要素变化，应界定发、承包双方责任后按以下原则处理：</w:t>
      </w:r>
    </w:p>
    <w:p w14:paraId="1FFA17B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1）由于承包人原因延误工期而遇价格涨跌的，延误期间的价格上涨费用由承包人自行承担，反之，因价格下降造成的价差则由发包人受益，发包人结算时扣回价差。</w:t>
      </w:r>
    </w:p>
    <w:p w14:paraId="586C4FA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2）非承包人原因延误工期而遇价格涨跌的，延误期间的价格上涨费用由发包人承担，价差计入工程造价；反之，因价格下降造成的价差，发包人在结算时扣回价差。</w:t>
      </w:r>
    </w:p>
    <w:p w14:paraId="4E38656D">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43" w:name="_Toc13958"/>
      <w:bookmarkStart w:id="744" w:name="_Toc149731602"/>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83. 支付事项</w:t>
      </w:r>
      <w:bookmarkEnd w:id="743"/>
      <w:bookmarkEnd w:id="744"/>
    </w:p>
    <w:p w14:paraId="6497E36F">
      <w:pPr>
        <w:spacing w:line="360" w:lineRule="auto"/>
        <w:ind w:firstLine="480" w:firstLineChars="200"/>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83.2 计算利息的利率</w:t>
      </w:r>
    </w:p>
    <w:p w14:paraId="31FCF53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bidi="ar-SA"/>
          <w14:textFill>
            <w14:solidFill>
              <w14:schemeClr w14:val="tx1"/>
            </w14:solidFill>
          </w14:textFill>
        </w:rPr>
        <w:t>全国银行间同业拆借中心公布的贷款市场报价利率（LPR）</w:t>
      </w:r>
    </w:p>
    <w:p w14:paraId="50570070">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不计取利息。 </w:t>
      </w:r>
    </w:p>
    <w:p w14:paraId="34B8A5E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双方协商一致，增加83.5、83.6款：</w:t>
      </w:r>
    </w:p>
    <w:p w14:paraId="2AC140E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83.5</w:t>
      </w:r>
      <w:r>
        <w:rPr>
          <w:rFonts w:ascii="仿宋" w:hAnsi="仿宋" w:eastAsia="仿宋" w:cs="仿宋"/>
          <w:color w:val="000000" w:themeColor="text1"/>
          <w:highlight w:val="none"/>
          <w:lang w:eastAsia="zh-CN"/>
          <w14:textFill>
            <w14:solidFill>
              <w14:schemeClr w14:val="tx1"/>
            </w14:solidFill>
          </w14:textFill>
        </w:rPr>
        <w:t>工程变更价款的支付</w:t>
      </w:r>
    </w:p>
    <w:p w14:paraId="52E370F3">
      <w:pPr>
        <w:spacing w:line="360" w:lineRule="auto"/>
        <w:ind w:firstLine="480" w:firstLineChars="200"/>
        <w:rPr>
          <w:rFonts w:ascii="仿宋" w:hAnsi="仿宋" w:eastAsia="仿宋" w:cs="宋体"/>
          <w:color w:val="000000" w:themeColor="text1"/>
          <w:highlight w:val="none"/>
          <w:lang w:eastAsia="zh-CN"/>
          <w14:textFill>
            <w14:solidFill>
              <w14:schemeClr w14:val="tx1"/>
            </w14:solidFill>
          </w14:textFill>
        </w:rPr>
      </w:pPr>
      <w:r>
        <w:rPr>
          <w:rFonts w:hint="eastAsia" w:ascii="仿宋" w:hAnsi="仿宋" w:eastAsia="仿宋" w:cs="宋体"/>
          <w:color w:val="000000" w:themeColor="text1"/>
          <w:highlight w:val="none"/>
          <w:lang w:eastAsia="zh-CN"/>
          <w14:textFill>
            <w14:solidFill>
              <w14:schemeClr w14:val="tx1"/>
            </w14:solidFill>
          </w14:textFill>
        </w:rPr>
        <w:t>（1）当工程变更、合同约定的材差调整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在竣工结算审定后支付。</w:t>
      </w:r>
    </w:p>
    <w:p w14:paraId="7A70F95C">
      <w:pPr>
        <w:spacing w:line="360" w:lineRule="auto"/>
        <w:ind w:firstLine="480" w:firstLineChars="200"/>
        <w:rPr>
          <w:rFonts w:ascii="仿宋" w:hAnsi="仿宋" w:eastAsia="仿宋" w:cs="宋体"/>
          <w:color w:val="000000" w:themeColor="text1"/>
          <w:highlight w:val="none"/>
          <w:lang w:eastAsia="zh-CN"/>
          <w14:textFill>
            <w14:solidFill>
              <w14:schemeClr w14:val="tx1"/>
            </w14:solidFill>
          </w14:textFill>
        </w:rPr>
      </w:pPr>
      <w:r>
        <w:rPr>
          <w:rFonts w:hint="eastAsia" w:ascii="仿宋" w:hAnsi="仿宋" w:eastAsia="仿宋" w:cs="宋体"/>
          <w:color w:val="000000" w:themeColor="text1"/>
          <w:highlight w:val="none"/>
          <w:lang w:eastAsia="zh-CN"/>
          <w14:textFill>
            <w14:solidFill>
              <w14:schemeClr w14:val="tx1"/>
            </w14:solidFill>
          </w14:textFill>
        </w:rPr>
        <w:t>（</w:t>
      </w:r>
      <w:r>
        <w:rPr>
          <w:rFonts w:ascii="仿宋" w:hAnsi="仿宋" w:eastAsia="仿宋" w:cs="宋体"/>
          <w:color w:val="000000" w:themeColor="text1"/>
          <w:highlight w:val="none"/>
          <w:lang w:eastAsia="zh-CN"/>
          <w14:textFill>
            <w14:solidFill>
              <w14:schemeClr w14:val="tx1"/>
            </w14:solidFill>
          </w14:textFill>
        </w:rPr>
        <w:t>2</w:t>
      </w:r>
      <w:r>
        <w:rPr>
          <w:rFonts w:hint="eastAsia" w:ascii="仿宋" w:hAnsi="仿宋" w:eastAsia="仿宋" w:cs="宋体"/>
          <w:color w:val="000000" w:themeColor="text1"/>
          <w:highlight w:val="none"/>
          <w:lang w:eastAsia="zh-CN"/>
          <w14:textFill>
            <w14:solidFill>
              <w14:schemeClr w14:val="tx1"/>
            </w14:solidFill>
          </w14:textFill>
        </w:rPr>
        <w:t>）本合同涉及的违约处罚，发包人可以选择在工程进度款或工程竣工结算时从应支付的价款中予以扣减，具体按发包人要求办理。</w:t>
      </w:r>
    </w:p>
    <w:p w14:paraId="5B1B2B84">
      <w:pPr>
        <w:spacing w:line="360" w:lineRule="auto"/>
        <w:ind w:firstLine="480" w:firstLineChars="200"/>
        <w:rPr>
          <w:rFonts w:ascii="仿宋" w:hAnsi="仿宋" w:eastAsia="仿宋" w:cs="仿宋"/>
          <w:strike/>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83.6支付的其他约定</w:t>
      </w:r>
    </w:p>
    <w:p w14:paraId="3C6152C7">
      <w:pPr>
        <w:spacing w:line="360" w:lineRule="auto"/>
        <w:ind w:firstLine="480" w:firstLineChars="200"/>
        <w:rPr>
          <w:rFonts w:ascii="仿宋" w:hAnsi="仿宋" w:eastAsia="仿宋" w:cs="宋体"/>
          <w:color w:val="000000" w:themeColor="text1"/>
          <w:highlight w:val="none"/>
          <w:lang w:eastAsia="zh-CN"/>
          <w14:textFill>
            <w14:solidFill>
              <w14:schemeClr w14:val="tx1"/>
            </w14:solidFill>
          </w14:textFill>
        </w:rPr>
      </w:pPr>
      <w:r>
        <w:rPr>
          <w:rFonts w:ascii="仿宋" w:hAnsi="仿宋" w:eastAsia="仿宋" w:cs="宋体"/>
          <w:color w:val="000000" w:themeColor="text1"/>
          <w:highlight w:val="none"/>
          <w:lang w:eastAsia="zh-CN"/>
          <w14:textFill>
            <w14:solidFill>
              <w14:schemeClr w14:val="tx1"/>
            </w14:solidFill>
          </w14:textFill>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7CB15E60">
      <w:pPr>
        <w:spacing w:line="360" w:lineRule="auto"/>
        <w:ind w:firstLine="480" w:firstLineChars="200"/>
        <w:rPr>
          <w:rFonts w:ascii="仿宋" w:hAnsi="仿宋" w:eastAsia="仿宋" w:cs="宋体"/>
          <w:color w:val="000000" w:themeColor="text1"/>
          <w:highlight w:val="none"/>
          <w:lang w:eastAsia="zh-CN"/>
          <w14:textFill>
            <w14:solidFill>
              <w14:schemeClr w14:val="tx1"/>
            </w14:solidFill>
          </w14:textFill>
        </w:rPr>
      </w:pPr>
      <w:r>
        <w:rPr>
          <w:rFonts w:ascii="仿宋" w:hAnsi="仿宋" w:eastAsia="仿宋" w:cs="宋体"/>
          <w:color w:val="000000" w:themeColor="text1"/>
          <w:highlight w:val="none"/>
          <w:lang w:eastAsia="zh-CN"/>
          <w14:textFill>
            <w14:solidFill>
              <w14:schemeClr w14:val="tx1"/>
            </w14:solidFill>
          </w14:textFill>
        </w:rPr>
        <w:t>（2）因承包人提供的发票不规范、不合法引发的税务及其他一切法律责任由承包人承担，且承包人还应向发包人承担赔偿责任，包括但不限于承担相关税款、滞纳金、罚款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color w:val="000000" w:themeColor="text1"/>
          <w:highlight w:val="none"/>
          <w:lang w:eastAsia="zh-CN"/>
          <w14:textFill>
            <w14:solidFill>
              <w14:schemeClr w14:val="tx1"/>
            </w14:solidFill>
          </w14:textFill>
        </w:rPr>
        <w:t>（本合同项所述“罚款”为含税金额）</w:t>
      </w:r>
      <w:r>
        <w:rPr>
          <w:rFonts w:ascii="仿宋" w:hAnsi="仿宋" w:eastAsia="仿宋" w:cs="宋体"/>
          <w:color w:val="000000" w:themeColor="text1"/>
          <w:highlight w:val="none"/>
          <w:lang w:eastAsia="zh-CN"/>
          <w14:textFill>
            <w14:solidFill>
              <w14:schemeClr w14:val="tx1"/>
            </w14:solidFill>
          </w14:textFill>
        </w:rPr>
        <w:t>及赔偿相关损失等。</w:t>
      </w:r>
    </w:p>
    <w:p w14:paraId="3B7E9105">
      <w:pPr>
        <w:spacing w:line="360" w:lineRule="auto"/>
        <w:ind w:firstLine="480" w:firstLineChars="200"/>
        <w:rPr>
          <w:rFonts w:ascii="仿宋" w:hAnsi="仿宋" w:eastAsia="仿宋" w:cs="宋体"/>
          <w:color w:val="000000" w:themeColor="text1"/>
          <w:highlight w:val="none"/>
          <w:lang w:eastAsia="zh-CN"/>
          <w14:textFill>
            <w14:solidFill>
              <w14:schemeClr w14:val="tx1"/>
            </w14:solidFill>
          </w14:textFill>
        </w:rPr>
      </w:pPr>
      <w:r>
        <w:rPr>
          <w:rFonts w:ascii="仿宋" w:hAnsi="仿宋" w:eastAsia="仿宋" w:cs="宋体"/>
          <w:color w:val="000000" w:themeColor="text1"/>
          <w:highlight w:val="none"/>
          <w:lang w:eastAsia="zh-CN"/>
          <w14:textFill>
            <w14:solidFill>
              <w14:schemeClr w14:val="tx1"/>
            </w14:solidFill>
          </w14:textFill>
        </w:rPr>
        <w:t>（3）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018E484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ascii="仿宋" w:hAnsi="仿宋" w:eastAsia="仿宋" w:cs="宋体"/>
          <w:color w:val="000000" w:themeColor="text1"/>
          <w:highlight w:val="none"/>
          <w:lang w:eastAsia="zh-CN"/>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合同履行期间，遇国家税收政策调整，按照国家政策相应执行。</w:t>
      </w:r>
    </w:p>
    <w:p w14:paraId="4A78A9DC">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45" w:name="_Toc24070"/>
      <w:bookmarkStart w:id="746" w:name="_Toc14973160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★84.  预付款</w:t>
      </w:r>
      <w:bookmarkEnd w:id="745"/>
      <w:bookmarkEnd w:id="746"/>
    </w:p>
    <w:p w14:paraId="1219286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84.1 预付款的约定及管理</w:t>
      </w:r>
    </w:p>
    <w:p w14:paraId="6A2ECCC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无预付款，本条不适用。</w:t>
      </w:r>
    </w:p>
    <w:p w14:paraId="2073E43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有预付款，其支付办法和抵扣方式，按专用条款第84.2款和第84.4款约定。</w:t>
      </w:r>
    </w:p>
    <w:p w14:paraId="1905C7C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p>
    <w:p w14:paraId="0DCCE114">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olor w:val="000000" w:themeColor="text1"/>
          <w:highlight w:val="none"/>
          <w:lang w:eastAsia="zh-CN"/>
          <w14:textFill>
            <w14:solidFill>
              <w14:schemeClr w14:val="tx1"/>
            </w14:solidFill>
          </w14:textFill>
        </w:rPr>
        <w:t>工程勘察费预付款支付比例：</w:t>
      </w:r>
    </w:p>
    <w:p w14:paraId="07E364F5">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olor w:val="000000" w:themeColor="text1"/>
          <w:highlight w:val="none"/>
          <w:lang w:eastAsia="zh-CN"/>
          <w14:textFill>
            <w14:solidFill>
              <w14:schemeClr w14:val="tx1"/>
            </w14:solidFill>
          </w14:textFill>
        </w:rPr>
        <w:t>工程设计费预付款支付比例：</w:t>
      </w:r>
    </w:p>
    <w:p w14:paraId="39A4B052">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olor w:val="000000" w:themeColor="text1"/>
          <w:highlight w:val="none"/>
          <w:lang w:eastAsia="zh-CN"/>
          <w14:textFill>
            <w14:solidFill>
              <w14:schemeClr w14:val="tx1"/>
            </w14:solidFill>
          </w14:textFill>
        </w:rPr>
        <w:t>BIM技术应用费预付款支付比例：</w:t>
      </w:r>
    </w:p>
    <w:p w14:paraId="7E0CFECB">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olor w:val="000000" w:themeColor="text1"/>
          <w:highlight w:val="none"/>
          <w:lang w:eastAsia="zh-CN"/>
          <w14:textFill>
            <w14:solidFill>
              <w14:schemeClr w14:val="tx1"/>
            </w14:solidFill>
          </w14:textFill>
        </w:rPr>
        <w:t>设备及工器具购置费预付款支付比例及金额：</w:t>
      </w:r>
    </w:p>
    <w:p w14:paraId="5397BD1D">
      <w:pPr>
        <w:pStyle w:val="71"/>
        <w:adjustRightInd w:val="0"/>
        <w:snapToGrid w:val="0"/>
        <w:spacing w:before="0" w:beforeAutospacing="0" w:after="0" w:afterAutospacing="0" w:line="360" w:lineRule="auto"/>
        <w:ind w:firstLine="849" w:firstLineChars="354"/>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olor w:val="000000" w:themeColor="text1"/>
          <w:highlight w:val="none"/>
          <w:lang w:eastAsia="zh-CN"/>
          <w14:textFill>
            <w14:solidFill>
              <w14:schemeClr w14:val="tx1"/>
            </w14:solidFill>
          </w14:textFill>
        </w:rPr>
        <w:t>建筑安装工程费</w:t>
      </w:r>
      <w:r>
        <w:rPr>
          <w:rFonts w:hint="eastAsia" w:ascii="仿宋" w:hAnsi="仿宋" w:eastAsia="仿宋" w:cs="仿宋"/>
          <w:color w:val="000000" w:themeColor="text1"/>
          <w:highlight w:val="none"/>
          <w:lang w:eastAsia="zh-CN"/>
          <w14:textFill>
            <w14:solidFill>
              <w14:schemeClr w14:val="tx1"/>
            </w14:solidFill>
          </w14:textFill>
        </w:rPr>
        <w:t>（扣除暂列金额、暂估价</w:t>
      </w:r>
      <w:r>
        <w:rPr>
          <w:rFonts w:hint="eastAsia" w:ascii="仿宋" w:hAnsi="仿宋" w:eastAsia="仿宋"/>
          <w:snapToGrid w:val="0"/>
          <w:color w:val="000000" w:themeColor="text1"/>
          <w:highlight w:val="none"/>
          <w:lang w:eastAsia="zh-CN"/>
          <w14:textFill>
            <w14:solidFill>
              <w14:schemeClr w14:val="tx1"/>
            </w14:solidFill>
          </w14:textFill>
        </w:rPr>
        <w:t>、工程优质费</w:t>
      </w:r>
      <w:r>
        <w:rPr>
          <w:rFonts w:hint="eastAsia" w:ascii="仿宋" w:hAnsi="仿宋" w:eastAsia="仿宋" w:cs="仿宋"/>
          <w:color w:val="000000" w:themeColor="text1"/>
          <w:highlight w:val="none"/>
          <w:lang w:eastAsia="zh-CN"/>
          <w14:textFill>
            <w14:solidFill>
              <w14:schemeClr w14:val="tx1"/>
            </w14:solidFill>
          </w14:textFill>
        </w:rPr>
        <w:t>、绿色安全防护措施费等）</w:t>
      </w:r>
      <w:r>
        <w:rPr>
          <w:rFonts w:hint="eastAsia" w:ascii="仿宋" w:hAnsi="仿宋" w:eastAsia="仿宋"/>
          <w:color w:val="000000" w:themeColor="text1"/>
          <w:highlight w:val="none"/>
          <w:lang w:eastAsia="zh-CN"/>
          <w14:textFill>
            <w14:solidFill>
              <w14:schemeClr w14:val="tx1"/>
            </w14:solidFill>
          </w14:textFill>
        </w:rPr>
        <w:t>预付款支付比例：</w:t>
      </w:r>
      <w:r>
        <w:rPr>
          <w:rFonts w:hint="eastAsia" w:ascii="仿宋" w:hAnsi="仿宋" w:eastAsia="仿宋" w:cs="仿宋"/>
          <w:color w:val="000000" w:themeColor="text1"/>
          <w:highlight w:val="none"/>
          <w:u w:val="single"/>
          <w:lang w:eastAsia="zh-CN"/>
          <w14:textFill>
            <w14:solidFill>
              <w14:schemeClr w14:val="tx1"/>
            </w14:solidFill>
          </w14:textFill>
        </w:rPr>
        <w:t>按签约合同价中建筑安装工程费的10%控付。</w:t>
      </w:r>
    </w:p>
    <w:p w14:paraId="7F3ED5AD">
      <w:pPr>
        <w:pStyle w:val="71"/>
        <w:adjustRightInd w:val="0"/>
        <w:snapToGrid w:val="0"/>
        <w:spacing w:before="0" w:beforeAutospacing="0" w:after="0" w:afterAutospacing="0" w:line="360" w:lineRule="auto"/>
        <w:ind w:firstLine="1132" w:firstLineChars="472"/>
        <w:rPr>
          <w:rFonts w:ascii="仿宋" w:hAnsi="仿宋" w:eastAsia="仿宋"/>
          <w:snapToGrid w:val="0"/>
          <w:color w:val="000000" w:themeColor="text1"/>
          <w:highlight w:val="none"/>
          <w:u w:val="single"/>
          <w:lang w:eastAsia="zh-CN"/>
          <w14:textFill>
            <w14:solidFill>
              <w14:schemeClr w14:val="tx1"/>
            </w14:solidFill>
          </w14:textFill>
        </w:rPr>
      </w:pPr>
      <w:r>
        <w:rPr>
          <w:rFonts w:ascii="仿宋" w:hAnsi="仿宋" w:eastAsia="仿宋"/>
          <w:snapToGrid w:val="0"/>
          <w:color w:val="000000" w:themeColor="text1"/>
          <w:highlight w:val="none"/>
          <w:lang w:eastAsia="zh-CN"/>
          <w14:textFill>
            <w14:solidFill>
              <w14:schemeClr w14:val="tx1"/>
            </w14:solidFill>
          </w14:textFill>
        </w:rPr>
        <w:t>（1）合同签订</w:t>
      </w:r>
      <w:r>
        <w:rPr>
          <w:rFonts w:hint="eastAsia" w:ascii="仿宋" w:hAnsi="仿宋" w:eastAsia="仿宋"/>
          <w:snapToGrid w:val="0"/>
          <w:color w:val="000000" w:themeColor="text1"/>
          <w:highlight w:val="none"/>
          <w:lang w:eastAsia="zh-CN"/>
          <w14:textFill>
            <w14:solidFill>
              <w14:schemeClr w14:val="tx1"/>
            </w14:solidFill>
          </w14:textFill>
        </w:rPr>
        <w:t>生效且</w:t>
      </w:r>
      <w:r>
        <w:rPr>
          <w:rFonts w:ascii="仿宋" w:hAnsi="仿宋" w:eastAsia="仿宋"/>
          <w:snapToGrid w:val="0"/>
          <w:color w:val="000000" w:themeColor="text1"/>
          <w:highlight w:val="none"/>
          <w:lang w:eastAsia="zh-CN"/>
          <w14:textFill>
            <w14:solidFill>
              <w14:schemeClr w14:val="tx1"/>
            </w14:solidFill>
          </w14:textFill>
        </w:rPr>
        <w:t>承包人提交履约</w:t>
      </w:r>
      <w:r>
        <w:rPr>
          <w:rFonts w:hint="eastAsia" w:ascii="仿宋" w:hAnsi="仿宋" w:eastAsia="仿宋"/>
          <w:snapToGrid w:val="0"/>
          <w:color w:val="000000" w:themeColor="text1"/>
          <w:highlight w:val="none"/>
          <w:lang w:val="en-US" w:eastAsia="zh-CN"/>
          <w14:textFill>
            <w14:solidFill>
              <w14:schemeClr w14:val="tx1"/>
            </w14:solidFill>
          </w14:textFill>
        </w:rPr>
        <w:t>担保</w:t>
      </w:r>
      <w:r>
        <w:rPr>
          <w:rFonts w:hint="eastAsia" w:ascii="仿宋" w:hAnsi="仿宋" w:eastAsia="仿宋"/>
          <w:snapToGrid w:val="0"/>
          <w:color w:val="000000" w:themeColor="text1"/>
          <w:highlight w:val="none"/>
          <w:lang w:eastAsia="zh-CN"/>
          <w14:textFill>
            <w14:solidFill>
              <w14:schemeClr w14:val="tx1"/>
            </w14:solidFill>
          </w14:textFill>
        </w:rPr>
        <w:t>后</w:t>
      </w:r>
      <w:r>
        <w:rPr>
          <w:rFonts w:ascii="仿宋" w:hAnsi="仿宋" w:eastAsia="仿宋"/>
          <w:snapToGrid w:val="0"/>
          <w:color w:val="000000" w:themeColor="text1"/>
          <w:highlight w:val="none"/>
          <w:lang w:eastAsia="zh-CN"/>
          <w14:textFill>
            <w14:solidFill>
              <w14:schemeClr w14:val="tx1"/>
            </w14:solidFill>
          </w14:textFill>
        </w:rPr>
        <w:t>，承包人提交工程预付款申请书，发包人在收到工程预付款申请书15个工作日内，结合现场实际情况及人员到位情况</w:t>
      </w:r>
      <w:r>
        <w:rPr>
          <w:rFonts w:hint="eastAsia" w:ascii="仿宋" w:hAnsi="仿宋" w:eastAsia="仿宋"/>
          <w:snapToGrid w:val="0"/>
          <w:color w:val="000000" w:themeColor="text1"/>
          <w:highlight w:val="none"/>
          <w:lang w:eastAsia="zh-CN"/>
          <w14:textFill>
            <w14:solidFill>
              <w14:schemeClr w14:val="tx1"/>
            </w14:solidFill>
          </w14:textFill>
        </w:rPr>
        <w:t>，</w:t>
      </w:r>
      <w:r>
        <w:rPr>
          <w:rFonts w:ascii="仿宋" w:hAnsi="仿宋" w:eastAsia="仿宋"/>
          <w:snapToGrid w:val="0"/>
          <w:color w:val="000000" w:themeColor="text1"/>
          <w:highlight w:val="none"/>
          <w:lang w:eastAsia="zh-CN"/>
          <w14:textFill>
            <w14:solidFill>
              <w14:schemeClr w14:val="tx1"/>
            </w14:solidFill>
          </w14:textFill>
        </w:rPr>
        <w:t>按照《广州市城建投资项目计划和资金管理工作指引（试行）》（</w:t>
      </w:r>
      <w:r>
        <w:rPr>
          <w:rFonts w:hint="eastAsia" w:ascii="仿宋" w:hAnsi="仿宋" w:eastAsia="仿宋"/>
          <w:snapToGrid w:val="0"/>
          <w:color w:val="000000" w:themeColor="text1"/>
          <w:highlight w:val="none"/>
          <w:lang w:eastAsia="zh-CN"/>
          <w14:textFill>
            <w14:solidFill>
              <w14:schemeClr w14:val="tx1"/>
            </w14:solidFill>
          </w14:textFill>
        </w:rPr>
        <w:t>穗建计〔2012〕686号</w:t>
      </w:r>
      <w:r>
        <w:rPr>
          <w:rFonts w:ascii="仿宋" w:hAnsi="仿宋" w:eastAsia="仿宋"/>
          <w:snapToGrid w:val="0"/>
          <w:color w:val="000000" w:themeColor="text1"/>
          <w:highlight w:val="none"/>
          <w:lang w:eastAsia="zh-CN"/>
          <w14:textFill>
            <w14:solidFill>
              <w14:schemeClr w14:val="tx1"/>
            </w14:solidFill>
          </w14:textFill>
        </w:rPr>
        <w:t>文）进行支付，如有新颁布相关规定或经相关部门批准，可对支付比例进行调整。承包人须在申请第一笔工程</w:t>
      </w:r>
      <w:r>
        <w:rPr>
          <w:rFonts w:hint="eastAsia" w:ascii="仿宋" w:hAnsi="仿宋" w:eastAsia="仿宋"/>
          <w:snapToGrid w:val="0"/>
          <w:color w:val="000000" w:themeColor="text1"/>
          <w:highlight w:val="none"/>
          <w:lang w:eastAsia="zh-CN"/>
          <w14:textFill>
            <w14:solidFill>
              <w14:schemeClr w14:val="tx1"/>
            </w14:solidFill>
          </w14:textFill>
        </w:rPr>
        <w:t>进度款前完成预付款的申领手续，否则视为放弃。（□</w:t>
      </w:r>
      <w:r>
        <w:rPr>
          <w:rFonts w:ascii="仿宋" w:hAnsi="仿宋" w:eastAsia="仿宋"/>
          <w:snapToGrid w:val="0"/>
          <w:color w:val="000000" w:themeColor="text1"/>
          <w:highlight w:val="none"/>
          <w:lang w:eastAsia="zh-CN"/>
          <w14:textFill>
            <w14:solidFill>
              <w14:schemeClr w14:val="tx1"/>
            </w14:solidFill>
          </w14:textFill>
        </w:rPr>
        <w:t xml:space="preserve"> 若有□ </w:t>
      </w:r>
      <w:r>
        <w:rPr>
          <w:rFonts w:hint="eastAsia" w:ascii="仿宋" w:hAnsi="仿宋" w:eastAsia="仿宋"/>
          <w:snapToGrid w:val="0"/>
          <w:color w:val="000000" w:themeColor="text1"/>
          <w:highlight w:val="none"/>
          <w:lang w:eastAsia="zh-CN"/>
          <w14:textFill>
            <w14:solidFill>
              <w14:schemeClr w14:val="tx1"/>
            </w14:solidFill>
          </w14:textFill>
        </w:rPr>
        <w:t>甲招乙供材料设备和□甲管乙供材料设备的，按分部分项工程量报价清单一定比例计算的工程预付款已包含甲招乙供材料设备和甲管乙供材料设备款，并须按本条第</w:t>
      </w:r>
      <w:r>
        <w:rPr>
          <w:rFonts w:ascii="仿宋" w:hAnsi="仿宋" w:eastAsia="仿宋"/>
          <w:color w:val="000000" w:themeColor="text1"/>
          <w:highlight w:val="none"/>
          <w:lang w:eastAsia="zh-CN"/>
          <w14:textFill>
            <w14:solidFill>
              <w14:schemeClr w14:val="tx1"/>
            </w14:solidFill>
          </w14:textFill>
        </w:rPr>
        <w:t>84.1（2）</w:t>
      </w:r>
      <w:r>
        <w:rPr>
          <w:rFonts w:hint="eastAsia" w:ascii="仿宋" w:hAnsi="仿宋" w:eastAsia="仿宋"/>
          <w:snapToGrid w:val="0"/>
          <w:color w:val="000000" w:themeColor="text1"/>
          <w:highlight w:val="none"/>
          <w:lang w:eastAsia="zh-CN"/>
          <w14:textFill>
            <w14:solidFill>
              <w14:schemeClr w14:val="tx1"/>
            </w14:solidFill>
          </w14:textFill>
        </w:rPr>
        <w:t>款及</w:t>
      </w:r>
      <w:r>
        <w:rPr>
          <w:rFonts w:ascii="仿宋" w:hAnsi="仿宋" w:eastAsia="仿宋"/>
          <w:color w:val="000000" w:themeColor="text1"/>
          <w:highlight w:val="none"/>
          <w:lang w:eastAsia="zh-CN"/>
          <w14:textFill>
            <w14:solidFill>
              <w14:schemeClr w14:val="tx1"/>
            </w14:solidFill>
          </w14:textFill>
        </w:rPr>
        <w:t>84.1（3）</w:t>
      </w:r>
      <w:r>
        <w:rPr>
          <w:rFonts w:hint="eastAsia" w:ascii="仿宋" w:hAnsi="仿宋" w:eastAsia="仿宋"/>
          <w:snapToGrid w:val="0"/>
          <w:color w:val="000000" w:themeColor="text1"/>
          <w:highlight w:val="none"/>
          <w:lang w:eastAsia="zh-CN"/>
          <w14:textFill>
            <w14:solidFill>
              <w14:schemeClr w14:val="tx1"/>
            </w14:solidFill>
          </w14:textFill>
        </w:rPr>
        <w:t>款的约定一并考虑执行）。</w:t>
      </w:r>
    </w:p>
    <w:p w14:paraId="28984D61">
      <w:pPr>
        <w:pStyle w:val="40"/>
        <w:spacing w:line="360" w:lineRule="auto"/>
        <w:ind w:firstLine="1132" w:firstLineChars="472"/>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支付给材料设备供应商，若承包人未按照甲招乙供合同要求支付预付款，发包人有权要求承包人承担1次一般违约责任处罚。</w:t>
      </w:r>
    </w:p>
    <w:p w14:paraId="75DD3BB5">
      <w:pPr>
        <w:pStyle w:val="40"/>
        <w:spacing w:line="360" w:lineRule="auto"/>
        <w:ind w:firstLine="1132" w:firstLineChars="472"/>
        <w:rPr>
          <w:rFonts w:ascii="仿宋" w:hAnsi="仿宋" w:eastAsia="仿宋"/>
          <w:snapToGrid w:val="0"/>
          <w:color w:val="000000" w:themeColor="text1"/>
          <w:sz w:val="24"/>
          <w:szCs w:val="24"/>
          <w:highlight w:val="none"/>
          <w:lang w:eastAsia="zh-CN"/>
          <w14:textFill>
            <w14:solidFill>
              <w14:schemeClr w14:val="tx1"/>
            </w14:solidFill>
          </w14:textFill>
        </w:rPr>
      </w:pPr>
      <w:r>
        <w:rPr>
          <w:rFonts w:hint="eastAsia" w:ascii="仿宋" w:hAnsi="仿宋" w:eastAsia="仿宋"/>
          <w:snapToGrid w:val="0"/>
          <w:color w:val="000000" w:themeColor="text1"/>
          <w:sz w:val="24"/>
          <w:szCs w:val="24"/>
          <w:highlight w:val="none"/>
          <w:lang w:eastAsia="zh-CN"/>
          <w14:textFill>
            <w14:solidFill>
              <w14:schemeClr w14:val="tx1"/>
            </w14:solidFill>
          </w14:textFill>
        </w:rPr>
        <w:t>（3）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434874CE">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其他费用预付</w:t>
      </w:r>
      <w:r>
        <w:rPr>
          <w:rFonts w:hint="eastAsia" w:ascii="仿宋" w:hAnsi="仿宋" w:eastAsia="仿宋"/>
          <w:color w:val="000000" w:themeColor="text1"/>
          <w:highlight w:val="none"/>
          <w:lang w:eastAsia="zh-CN"/>
          <w14:textFill>
            <w14:solidFill>
              <w14:schemeClr w14:val="tx1"/>
            </w14:solidFill>
          </w14:textFill>
        </w:rPr>
        <w:t>款支付比例及金额：</w:t>
      </w:r>
    </w:p>
    <w:p w14:paraId="4DB5EBF6">
      <w:pPr>
        <w:pStyle w:val="40"/>
        <w:adjustRightInd w:val="0"/>
        <w:snapToGrid w:val="0"/>
        <w:spacing w:line="360" w:lineRule="auto"/>
        <w:ind w:firstLine="480" w:firstLineChars="20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84.2 提交预付款支付申请期限：</w:t>
      </w:r>
    </w:p>
    <w:p w14:paraId="572A1023">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按通用条款第84.2款约定。</w:t>
      </w:r>
    </w:p>
    <w:p w14:paraId="03B9EB68">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另作约定：</w:t>
      </w:r>
      <w:r>
        <w:rPr>
          <w:rFonts w:hint="eastAsia" w:ascii="仿宋" w:hAnsi="仿宋" w:eastAsia="仿宋" w:cs="仿宋"/>
          <w:color w:val="000000" w:themeColor="text1"/>
          <w:highlight w:val="none"/>
          <w:u w:val="single"/>
          <w:lang w:eastAsia="zh-CN"/>
          <w14:textFill>
            <w14:solidFill>
              <w14:schemeClr w14:val="tx1"/>
            </w14:solidFill>
          </w14:textFill>
        </w:rPr>
        <w:t>本工程无需提供预付款保函，其余要求按通用条款第84.2款约定执行。</w:t>
      </w:r>
    </w:p>
    <w:p w14:paraId="0E889C59">
      <w:pPr>
        <w:spacing w:line="360" w:lineRule="auto"/>
        <w:ind w:left="480" w:left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84.4 建安工程费预付款的扣回</w:t>
      </w:r>
    </w:p>
    <w:p w14:paraId="29E2B236">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□按通用条款约定。</w:t>
      </w:r>
    </w:p>
    <w:p w14:paraId="78DB9E13">
      <w:pPr>
        <w:spacing w:line="360" w:lineRule="auto"/>
        <w:ind w:firstLine="849" w:firstLineChars="354"/>
        <w:rPr>
          <w:rFonts w:ascii="仿宋" w:hAnsi="仿宋" w:eastAsia="仿宋" w:cs="宋体"/>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其他抵扣方式：</w:t>
      </w:r>
      <w:r>
        <w:rPr>
          <w:rFonts w:hint="eastAsia" w:ascii="仿宋" w:hAnsi="仿宋" w:eastAsia="仿宋" w:cs="宋体"/>
          <w:color w:val="000000" w:themeColor="text1"/>
          <w:highlight w:val="none"/>
          <w:u w:val="single"/>
          <w:lang w:eastAsia="zh-CN"/>
          <w14:textFill>
            <w14:solidFill>
              <w14:schemeClr w14:val="tx1"/>
            </w14:solidFill>
          </w14:textFill>
        </w:rPr>
        <w:t>预付款按已完成的工程量，按比例扣回，扣回比例按《预付款扣回比例表》执行：</w:t>
      </w:r>
    </w:p>
    <w:p w14:paraId="1C4C44A7">
      <w:pPr>
        <w:spacing w:line="360" w:lineRule="auto"/>
        <w:ind w:right="11" w:firstLine="460" w:firstLineChars="192"/>
        <w:jc w:val="center"/>
        <w:rPr>
          <w:rFonts w:ascii="仿宋" w:hAnsi="仿宋" w:eastAsia="仿宋" w:cs="宋体"/>
          <w:snapToGrid w:val="0"/>
          <w:color w:val="000000" w:themeColor="text1"/>
          <w:highlight w:val="none"/>
          <w14:textFill>
            <w14:solidFill>
              <w14:schemeClr w14:val="tx1"/>
            </w14:solidFill>
          </w14:textFill>
        </w:rPr>
      </w:pPr>
      <w:r>
        <w:rPr>
          <w:rFonts w:hint="eastAsia" w:ascii="仿宋" w:hAnsi="仿宋" w:eastAsia="仿宋" w:cs="宋体"/>
          <w:snapToGrid w:val="0"/>
          <w:color w:val="000000" w:themeColor="text1"/>
          <w:highlight w:val="none"/>
          <w14:textFill>
            <w14:solidFill>
              <w14:schemeClr w14:val="tx1"/>
            </w14:solidFill>
          </w14:textFill>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57"/>
        <w:gridCol w:w="2762"/>
        <w:gridCol w:w="2268"/>
      </w:tblGrid>
      <w:tr w14:paraId="4EA24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vAlign w:val="center"/>
          </w:tcPr>
          <w:p w14:paraId="34F276FC">
            <w:pPr>
              <w:spacing w:line="360" w:lineRule="auto"/>
              <w:ind w:firstLine="420"/>
              <w:jc w:val="center"/>
              <w:rPr>
                <w:rFonts w:ascii="仿宋" w:hAnsi="仿宋" w:eastAsia="仿宋" w:cs="宋体"/>
                <w:color w:val="000000" w:themeColor="text1"/>
                <w:sz w:val="21"/>
                <w:szCs w:val="21"/>
                <w:highlight w:val="none"/>
                <w:lang w:eastAsia="zh-CN"/>
                <w14:textFill>
                  <w14:solidFill>
                    <w14:schemeClr w14:val="tx1"/>
                  </w14:solidFill>
                </w14:textFill>
              </w:rPr>
            </w:pPr>
            <w:r>
              <w:rPr>
                <w:rFonts w:hint="eastAsia" w:ascii="仿宋" w:hAnsi="仿宋" w:eastAsia="仿宋" w:cs="宋体"/>
                <w:color w:val="000000" w:themeColor="text1"/>
                <w:sz w:val="21"/>
                <w:szCs w:val="21"/>
                <w:highlight w:val="none"/>
                <w:lang w:eastAsia="zh-CN"/>
                <w14:textFill>
                  <w14:solidFill>
                    <w14:schemeClr w14:val="tx1"/>
                  </w14:solidFill>
                </w14:textFill>
              </w:rPr>
              <w:t>清单内已完成工作量与合同承包价（扣除了暂列金额）的比例（</w:t>
            </w:r>
            <w:r>
              <w:rPr>
                <w:rFonts w:ascii="仿宋" w:hAnsi="仿宋" w:eastAsia="仿宋" w:cs="宋体"/>
                <w:color w:val="000000" w:themeColor="text1"/>
                <w:sz w:val="21"/>
                <w:szCs w:val="21"/>
                <w:highlight w:val="none"/>
                <w:lang w:eastAsia="zh-CN"/>
                <w14:textFill>
                  <w14:solidFill>
                    <w14:schemeClr w14:val="tx1"/>
                  </w14:solidFill>
                </w14:textFill>
              </w:rPr>
              <w:t>a）</w:t>
            </w:r>
          </w:p>
        </w:tc>
        <w:tc>
          <w:tcPr>
            <w:tcW w:w="2762" w:type="dxa"/>
            <w:tcBorders>
              <w:top w:val="single" w:color="auto" w:sz="4" w:space="0"/>
              <w:left w:val="single" w:color="auto" w:sz="4" w:space="0"/>
              <w:bottom w:val="single" w:color="auto" w:sz="4" w:space="0"/>
              <w:right w:val="single" w:color="auto" w:sz="4" w:space="0"/>
            </w:tcBorders>
            <w:vAlign w:val="center"/>
          </w:tcPr>
          <w:p w14:paraId="54CB83DA">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hint="eastAsia" w:ascii="仿宋" w:hAnsi="仿宋" w:eastAsia="仿宋" w:cs="宋体"/>
                <w:color w:val="000000" w:themeColor="text1"/>
                <w:sz w:val="21"/>
                <w:szCs w:val="21"/>
                <w:highlight w:val="none"/>
                <w14:textFill>
                  <w14:solidFill>
                    <w14:schemeClr w14:val="tx1"/>
                  </w14:solidFill>
                </w14:textFill>
              </w:rPr>
              <w:t>扣回预付款的比例</w:t>
            </w:r>
          </w:p>
        </w:tc>
        <w:tc>
          <w:tcPr>
            <w:tcW w:w="2268" w:type="dxa"/>
            <w:tcBorders>
              <w:top w:val="single" w:color="auto" w:sz="4" w:space="0"/>
              <w:left w:val="single" w:color="auto" w:sz="4" w:space="0"/>
              <w:bottom w:val="single" w:color="auto" w:sz="4" w:space="0"/>
              <w:right w:val="single" w:color="auto" w:sz="4" w:space="0"/>
            </w:tcBorders>
            <w:vAlign w:val="center"/>
          </w:tcPr>
          <w:p w14:paraId="1E8E2806">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hint="eastAsia" w:ascii="仿宋" w:hAnsi="仿宋" w:eastAsia="仿宋" w:cs="宋体"/>
                <w:color w:val="000000" w:themeColor="text1"/>
                <w:sz w:val="21"/>
                <w:szCs w:val="21"/>
                <w:highlight w:val="none"/>
                <w14:textFill>
                  <w14:solidFill>
                    <w14:schemeClr w14:val="tx1"/>
                  </w14:solidFill>
                </w14:textFill>
              </w:rPr>
              <w:t>累计扣回比例</w:t>
            </w:r>
          </w:p>
        </w:tc>
      </w:tr>
      <w:tr w14:paraId="1A8A5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257" w:type="dxa"/>
            <w:tcBorders>
              <w:top w:val="single" w:color="auto" w:sz="4" w:space="0"/>
              <w:left w:val="single" w:color="auto" w:sz="4" w:space="0"/>
              <w:bottom w:val="single" w:color="auto" w:sz="4" w:space="0"/>
              <w:right w:val="single" w:color="auto" w:sz="4" w:space="0"/>
            </w:tcBorders>
          </w:tcPr>
          <w:p w14:paraId="41D46372">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10%≤a＜20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762" w:type="dxa"/>
            <w:tcBorders>
              <w:top w:val="single" w:color="auto" w:sz="4" w:space="0"/>
              <w:left w:val="single" w:color="auto" w:sz="4" w:space="0"/>
              <w:bottom w:val="single" w:color="auto" w:sz="4" w:space="0"/>
              <w:right w:val="single" w:color="auto" w:sz="4" w:space="0"/>
            </w:tcBorders>
          </w:tcPr>
          <w:p w14:paraId="0BF7F039">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10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268" w:type="dxa"/>
            <w:tcBorders>
              <w:top w:val="single" w:color="auto" w:sz="4" w:space="0"/>
              <w:left w:val="single" w:color="auto" w:sz="4" w:space="0"/>
              <w:bottom w:val="single" w:color="auto" w:sz="4" w:space="0"/>
              <w:right w:val="single" w:color="auto" w:sz="4" w:space="0"/>
            </w:tcBorders>
          </w:tcPr>
          <w:p w14:paraId="41C76C16">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10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r>
      <w:tr w14:paraId="1FAA2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tcPr>
          <w:p w14:paraId="48202DD6">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20%≤a＜40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762" w:type="dxa"/>
            <w:tcBorders>
              <w:top w:val="single" w:color="auto" w:sz="4" w:space="0"/>
              <w:left w:val="single" w:color="auto" w:sz="4" w:space="0"/>
              <w:bottom w:val="single" w:color="auto" w:sz="4" w:space="0"/>
              <w:right w:val="single" w:color="auto" w:sz="4" w:space="0"/>
            </w:tcBorders>
          </w:tcPr>
          <w:p w14:paraId="158B54D8">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20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268" w:type="dxa"/>
            <w:tcBorders>
              <w:top w:val="single" w:color="auto" w:sz="4" w:space="0"/>
              <w:left w:val="single" w:color="auto" w:sz="4" w:space="0"/>
              <w:bottom w:val="single" w:color="auto" w:sz="4" w:space="0"/>
              <w:right w:val="single" w:color="auto" w:sz="4" w:space="0"/>
            </w:tcBorders>
          </w:tcPr>
          <w:p w14:paraId="1D429DBD">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30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r>
      <w:tr w14:paraId="2025A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257" w:type="dxa"/>
            <w:tcBorders>
              <w:top w:val="single" w:color="auto" w:sz="4" w:space="0"/>
              <w:left w:val="single" w:color="auto" w:sz="4" w:space="0"/>
              <w:bottom w:val="single" w:color="auto" w:sz="4" w:space="0"/>
              <w:right w:val="single" w:color="auto" w:sz="4" w:space="0"/>
            </w:tcBorders>
          </w:tcPr>
          <w:p w14:paraId="5DF8F682">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40%≤a＜50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762" w:type="dxa"/>
            <w:tcBorders>
              <w:top w:val="single" w:color="auto" w:sz="4" w:space="0"/>
              <w:left w:val="single" w:color="auto" w:sz="4" w:space="0"/>
              <w:bottom w:val="single" w:color="auto" w:sz="4" w:space="0"/>
              <w:right w:val="single" w:color="auto" w:sz="4" w:space="0"/>
            </w:tcBorders>
          </w:tcPr>
          <w:p w14:paraId="3315CE6A">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30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268" w:type="dxa"/>
            <w:tcBorders>
              <w:top w:val="single" w:color="auto" w:sz="4" w:space="0"/>
              <w:left w:val="single" w:color="auto" w:sz="4" w:space="0"/>
              <w:bottom w:val="single" w:color="auto" w:sz="4" w:space="0"/>
              <w:right w:val="single" w:color="auto" w:sz="4" w:space="0"/>
            </w:tcBorders>
          </w:tcPr>
          <w:p w14:paraId="669C95A4">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60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r>
      <w:tr w14:paraId="5ADA4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257" w:type="dxa"/>
            <w:tcBorders>
              <w:top w:val="single" w:color="auto" w:sz="4" w:space="0"/>
              <w:left w:val="single" w:color="auto" w:sz="4" w:space="0"/>
              <w:bottom w:val="single" w:color="auto" w:sz="4" w:space="0"/>
              <w:right w:val="single" w:color="auto" w:sz="4" w:space="0"/>
            </w:tcBorders>
          </w:tcPr>
          <w:p w14:paraId="60505CF1">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50%≤a≤60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762" w:type="dxa"/>
            <w:tcBorders>
              <w:top w:val="single" w:color="auto" w:sz="4" w:space="0"/>
              <w:left w:val="single" w:color="auto" w:sz="4" w:space="0"/>
              <w:bottom w:val="single" w:color="auto" w:sz="4" w:space="0"/>
              <w:right w:val="single" w:color="auto" w:sz="4" w:space="0"/>
            </w:tcBorders>
          </w:tcPr>
          <w:p w14:paraId="060A6844">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40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c>
          <w:tcPr>
            <w:tcW w:w="2268" w:type="dxa"/>
            <w:tcBorders>
              <w:top w:val="single" w:color="auto" w:sz="4" w:space="0"/>
              <w:left w:val="single" w:color="auto" w:sz="4" w:space="0"/>
              <w:bottom w:val="single" w:color="auto" w:sz="4" w:space="0"/>
              <w:right w:val="single" w:color="auto" w:sz="4" w:space="0"/>
            </w:tcBorders>
          </w:tcPr>
          <w:p w14:paraId="584E9C98">
            <w:pPr>
              <w:spacing w:line="360" w:lineRule="auto"/>
              <w:ind w:firstLine="420"/>
              <w:jc w:val="center"/>
              <w:rPr>
                <w:rFonts w:ascii="仿宋" w:hAnsi="仿宋" w:eastAsia="仿宋" w:cs="宋体"/>
                <w:color w:val="000000" w:themeColor="text1"/>
                <w:sz w:val="21"/>
                <w:szCs w:val="21"/>
                <w:highlight w:val="none"/>
                <w14:textFill>
                  <w14:solidFill>
                    <w14:schemeClr w14:val="tx1"/>
                  </w14:solidFill>
                </w14:textFill>
              </w:rPr>
            </w:pPr>
            <w:r>
              <w:rPr>
                <w:rFonts w:ascii="仿宋" w:hAnsi="仿宋" w:eastAsia="仿宋" w:cs="宋体"/>
                <w:color w:val="000000" w:themeColor="text1"/>
                <w:sz w:val="21"/>
                <w:szCs w:val="21"/>
                <w:highlight w:val="none"/>
                <w14:textFill>
                  <w14:solidFill>
                    <w14:schemeClr w14:val="tx1"/>
                  </w14:solidFill>
                </w14:textFill>
              </w:rPr>
              <w:t>100</w:t>
            </w:r>
            <w:r>
              <w:rPr>
                <w:rFonts w:hint="eastAsia" w:ascii="仿宋" w:hAnsi="仿宋" w:eastAsia="仿宋" w:cs="宋体"/>
                <w:color w:val="000000" w:themeColor="text1"/>
                <w:sz w:val="21"/>
                <w:szCs w:val="21"/>
                <w:highlight w:val="none"/>
                <w:lang w:eastAsia="zh-CN"/>
                <w14:textFill>
                  <w14:solidFill>
                    <w14:schemeClr w14:val="tx1"/>
                  </w14:solidFill>
                </w14:textFill>
              </w:rPr>
              <w:t>%</w:t>
            </w:r>
          </w:p>
        </w:tc>
      </w:tr>
    </w:tbl>
    <w:p w14:paraId="03D3A9BD">
      <w:pPr>
        <w:pStyle w:val="76"/>
        <w:ind w:firstLine="240"/>
        <w:rPr>
          <w:color w:val="000000" w:themeColor="text1"/>
          <w:highlight w:val="none"/>
          <w:lang w:eastAsia="zh-CN"/>
          <w14:textFill>
            <w14:solidFill>
              <w14:schemeClr w14:val="tx1"/>
            </w14:solidFill>
          </w14:textFill>
        </w:rPr>
      </w:pPr>
    </w:p>
    <w:p w14:paraId="6A235E52">
      <w:pPr>
        <w:spacing w:line="360" w:lineRule="auto"/>
        <w:ind w:firstLine="849" w:firstLineChars="354"/>
        <w:rPr>
          <w:rFonts w:ascii="仿宋" w:hAnsi="仿宋" w:eastAsia="仿宋" w:cs="宋体"/>
          <w:color w:val="000000" w:themeColor="text1"/>
          <w:highlight w:val="none"/>
          <w:u w:val="single"/>
          <w:lang w:eastAsia="zh-CN"/>
          <w14:textFill>
            <w14:solidFill>
              <w14:schemeClr w14:val="tx1"/>
            </w14:solidFill>
          </w14:textFill>
        </w:rPr>
      </w:pPr>
      <w:r>
        <w:rPr>
          <w:rFonts w:hint="eastAsia" w:ascii="仿宋" w:hAnsi="仿宋" w:eastAsia="仿宋" w:cs="宋体"/>
          <w:color w:val="000000" w:themeColor="text1"/>
          <w:highlight w:val="none"/>
          <w:u w:val="single"/>
          <w:lang w:eastAsia="zh-CN"/>
          <w14:textFill>
            <w14:solidFill>
              <w14:schemeClr w14:val="tx1"/>
            </w14:solidFill>
          </w14:textFill>
        </w:rPr>
        <w:t>84.5 预付款保函的有效与退还，本条不适用。</w:t>
      </w:r>
    </w:p>
    <w:p w14:paraId="69E66580">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47" w:name="_Toc149731604"/>
      <w:bookmarkStart w:id="748" w:name="_Toc16522"/>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★85.  绿色施工安全防护费</w:t>
      </w:r>
      <w:bookmarkEnd w:id="747"/>
      <w:bookmarkEnd w:id="748"/>
    </w:p>
    <w:p w14:paraId="46D0C70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85.1 绿色施工安全防护费的内容、范围和金额</w:t>
      </w:r>
    </w:p>
    <w:p w14:paraId="5271189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49" w:name="_Toc6285"/>
      <w:r>
        <w:rPr>
          <w:rFonts w:hint="eastAsia" w:ascii="仿宋" w:hAnsi="仿宋" w:eastAsia="仿宋" w:cs="仿宋"/>
          <w:color w:val="000000" w:themeColor="text1"/>
          <w:highlight w:val="none"/>
          <w:lang w:eastAsia="zh-CN"/>
          <w14:textFill>
            <w14:solidFill>
              <w14:schemeClr w14:val="tx1"/>
            </w14:solidFill>
          </w14:textFill>
        </w:rPr>
        <w:t>①内容和范围</w:t>
      </w:r>
      <w:bookmarkEnd w:id="749"/>
    </w:p>
    <w:p w14:paraId="57C9FF2C">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按通用条款的约定，以现行省、市有关文件规定为准。</w:t>
      </w:r>
    </w:p>
    <w:p w14:paraId="7B4F2767">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26A7944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②绿色施工安全防护费的总金额为       元。</w:t>
      </w:r>
    </w:p>
    <w:p w14:paraId="05EF4294">
      <w:pPr>
        <w:spacing w:line="360" w:lineRule="auto"/>
        <w:ind w:left="480" w:left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85.2 支付申请的提交与核实</w:t>
      </w:r>
    </w:p>
    <w:p w14:paraId="46D9EDC0">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按通用条款的约定。</w:t>
      </w:r>
    </w:p>
    <w:p w14:paraId="3182AB41">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另作约定：</w:t>
      </w:r>
    </w:p>
    <w:p w14:paraId="7CF0A18B">
      <w:pPr>
        <w:spacing w:line="360" w:lineRule="auto"/>
        <w:ind w:left="480" w:left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85.3 费用支付</w:t>
      </w:r>
    </w:p>
    <w:p w14:paraId="367255E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绿色施工安全防护费的支付办法和抵扣方式：</w:t>
      </w:r>
    </w:p>
    <w:p w14:paraId="5B560A88">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□按通用条款的约定。</w:t>
      </w:r>
    </w:p>
    <w:p w14:paraId="0EDEE32B">
      <w:pPr>
        <w:spacing w:line="360" w:lineRule="auto"/>
        <w:ind w:firstLine="849" w:firstLineChars="354"/>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另作约定：</w:t>
      </w:r>
      <w:r>
        <w:rPr>
          <w:rFonts w:hint="eastAsia" w:ascii="仿宋" w:hAnsi="仿宋" w:eastAsia="仿宋" w:cs="仿宋"/>
          <w:color w:val="000000" w:themeColor="text1"/>
          <w:highlight w:val="none"/>
          <w:u w:val="single"/>
          <w:lang w:eastAsia="zh-CN"/>
          <w14:textFill>
            <w14:solidFill>
              <w14:schemeClr w14:val="tx1"/>
            </w14:solidFill>
          </w14:textFill>
        </w:rPr>
        <w:t>承包人应制定专项的安全</w:t>
      </w:r>
      <w:r>
        <w:rPr>
          <w:rFonts w:hint="eastAsia" w:ascii="仿宋" w:hAnsi="仿宋" w:eastAsia="仿宋" w:cs="仿宋"/>
          <w:color w:val="000000" w:themeColor="text1"/>
          <w:highlight w:val="none"/>
          <w:u w:val="single"/>
          <w:lang w:val="en-US" w:eastAsia="zh-CN"/>
          <w14:textFill>
            <w14:solidFill>
              <w14:schemeClr w14:val="tx1"/>
            </w14:solidFill>
          </w14:textFill>
        </w:rPr>
        <w:t>生产</w:t>
      </w:r>
      <w:r>
        <w:rPr>
          <w:rFonts w:hint="eastAsia" w:ascii="仿宋" w:hAnsi="仿宋" w:eastAsia="仿宋" w:cs="仿宋"/>
          <w:color w:val="000000" w:themeColor="text1"/>
          <w:highlight w:val="none"/>
          <w:u w:val="single"/>
          <w:lang w:eastAsia="zh-CN"/>
          <w14:textFill>
            <w14:solidFill>
              <w14:schemeClr w14:val="tx1"/>
            </w14:solidFill>
          </w14:textFill>
        </w:rPr>
        <w:t>措施费使用计划，经监理单位和发包人审查单位工程符合进场条件的，支付该单位工程相应费用总额的50%； 40%按工程施工进度比例计算，与进度款同期支付；剩余10%在工程竣工安全评价合格后支付。</w:t>
      </w:r>
    </w:p>
    <w:p w14:paraId="17BDA158">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u w:val="single"/>
          <w:lang w:eastAsia="zh-CN"/>
          <w14:textFill>
            <w14:solidFill>
              <w14:schemeClr w14:val="tx1"/>
            </w14:solidFill>
          </w14:textFill>
        </w:rPr>
        <w:t>安全</w:t>
      </w:r>
      <w:r>
        <w:rPr>
          <w:rFonts w:hint="eastAsia" w:ascii="仿宋" w:hAnsi="仿宋" w:eastAsia="仿宋" w:cs="仿宋"/>
          <w:color w:val="000000" w:themeColor="text1"/>
          <w:highlight w:val="none"/>
          <w:u w:val="single"/>
          <w:lang w:val="en-US" w:eastAsia="zh-CN"/>
          <w14:textFill>
            <w14:solidFill>
              <w14:schemeClr w14:val="tx1"/>
            </w14:solidFill>
          </w14:textFill>
        </w:rPr>
        <w:t>生产</w:t>
      </w:r>
      <w:r>
        <w:rPr>
          <w:rFonts w:hint="eastAsia" w:ascii="仿宋" w:hAnsi="仿宋" w:eastAsia="仿宋" w:cs="仿宋"/>
          <w:color w:val="000000" w:themeColor="text1"/>
          <w:highlight w:val="none"/>
          <w:u w:val="single"/>
          <w:lang w:eastAsia="zh-CN"/>
          <w14:textFill>
            <w14:solidFill>
              <w14:schemeClr w14:val="tx1"/>
            </w14:solidFill>
          </w14:textFill>
        </w:rPr>
        <w:t xml:space="preserve">措施费实行单列支付、专款专用。承包人应在财务账目中单独列项备查，不得挪作他用，否则发包人有权责令其限期改正；逾期未改正的，可以责令其暂停施工，由此增加的费用和（或）延误的工期由承包人承担。 </w:t>
      </w:r>
    </w:p>
    <w:p w14:paraId="60E373B3">
      <w:pPr>
        <w:spacing w:line="360" w:lineRule="auto"/>
        <w:ind w:left="480" w:leftChars="200"/>
        <w:rPr>
          <w:rFonts w:ascii="仿宋" w:hAnsi="仿宋" w:eastAsia="仿宋"/>
          <w:b/>
          <w:bCs/>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85.6 文明工地增加费</w:t>
      </w:r>
    </w:p>
    <w:p w14:paraId="10DA85DA">
      <w:pPr>
        <w:spacing w:line="360" w:lineRule="auto"/>
        <w:ind w:left="480" w:left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文明工地增加费的计算额度：</w:t>
      </w:r>
    </w:p>
    <w:p w14:paraId="2A4DBE49">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按通用条款约定计算。</w:t>
      </w:r>
    </w:p>
    <w:p w14:paraId="0389B1F1">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另作约定：</w:t>
      </w:r>
      <w:r>
        <w:rPr>
          <w:rFonts w:hint="eastAsia" w:ascii="仿宋" w:hAnsi="仿宋" w:eastAsia="仿宋" w:cs="仿宋"/>
          <w:color w:val="000000" w:themeColor="text1"/>
          <w:highlight w:val="none"/>
          <w:u w:val="single"/>
          <w:lang w:eastAsia="zh-CN"/>
          <w14:textFill>
            <w14:solidFill>
              <w14:schemeClr w14:val="tx1"/>
            </w14:solidFill>
          </w14:textFill>
        </w:rPr>
        <w:t>不额外增加费用。</w:t>
      </w:r>
    </w:p>
    <w:p w14:paraId="547C1F99">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50" w:name="_Toc30376"/>
      <w:bookmarkStart w:id="751" w:name="_Toc149731605"/>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★86.  进度款</w:t>
      </w:r>
      <w:bookmarkEnd w:id="750"/>
      <w:bookmarkEnd w:id="751"/>
    </w:p>
    <w:p w14:paraId="38D5218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86.1 约定支付期限和提交支付申请</w:t>
      </w:r>
    </w:p>
    <w:p w14:paraId="6372FB1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勘察</w:t>
      </w:r>
    </w:p>
    <w:p w14:paraId="4D16DDF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①支付期限、比例</w:t>
      </w:r>
    </w:p>
    <w:p w14:paraId="014F4E2A">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以月为支付周期，支付比例为本月已完工作或工程款的%。</w:t>
      </w:r>
    </w:p>
    <w:p w14:paraId="5A766285">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以季度为支付周期，支付比例为本季度已完成工作或工程款的%。</w:t>
      </w:r>
    </w:p>
    <w:p w14:paraId="0AAE6A2D">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以形象进度为支付周期，支付比例为本形象进度内已完工作或工程款的%或另行约定，具体约定如下：</w:t>
      </w:r>
    </w:p>
    <w:p w14:paraId="602C07D4">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 xml:space="preserve"> 其他方式：本项目不涉及</w:t>
      </w:r>
    </w:p>
    <w:p w14:paraId="143534C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p>
    <w:p w14:paraId="58373559">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设计</w:t>
      </w:r>
    </w:p>
    <w:p w14:paraId="59067CDC">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①支付期限、比例</w:t>
      </w:r>
    </w:p>
    <w:p w14:paraId="68F0E27B">
      <w:pPr>
        <w:spacing w:line="360" w:lineRule="auto"/>
        <w:ind w:firstLine="991" w:firstLineChars="413"/>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以月为支付周期，支付比例为本月已完工作或工程款的%。</w:t>
      </w:r>
    </w:p>
    <w:p w14:paraId="7C2D6B5C">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以季度为支付周期，支付比例为本季度已完成工作或工程款的%。</w:t>
      </w:r>
    </w:p>
    <w:p w14:paraId="757CB117">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以形象进度为支付周期，支付比例为本形象进度内已完工作或工程款的%或另行约定，具体约定如下：。</w:t>
      </w:r>
    </w:p>
    <w:p w14:paraId="4BA2A52F">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3DCE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39A7D038">
            <w:pPr>
              <w:jc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款项</w:t>
            </w:r>
          </w:p>
          <w:p w14:paraId="75EBCD81">
            <w:pPr>
              <w:jc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7237D3E8">
            <w:pPr>
              <w:jc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62C969D5">
            <w:pPr>
              <w:jc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63EE08A3">
            <w:pPr>
              <w:jc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累计完成工作量及支付比例</w:t>
            </w:r>
          </w:p>
        </w:tc>
      </w:tr>
      <w:tr w14:paraId="3E5D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D00BA74">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首期</w:t>
            </w:r>
            <w:r>
              <w:rPr>
                <w:rFonts w:hint="eastAsia" w:ascii="仿宋" w:hAnsi="仿宋" w:eastAsia="仿宋" w:cs="仿宋"/>
                <w:color w:val="000000" w:themeColor="text1"/>
                <w:sz w:val="21"/>
                <w:szCs w:val="21"/>
                <w:highlight w:val="none"/>
                <w14:textFill>
                  <w14:solidFill>
                    <w14:schemeClr w14:val="tx1"/>
                  </w14:solidFill>
                </w14:textFill>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0FFDC105">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合同签订，且限额设计工作方案通过发包人审批后</w:t>
            </w:r>
          </w:p>
        </w:tc>
        <w:tc>
          <w:tcPr>
            <w:tcW w:w="2320" w:type="dxa"/>
            <w:tcBorders>
              <w:top w:val="single" w:color="auto" w:sz="4" w:space="0"/>
              <w:left w:val="single" w:color="auto" w:sz="4" w:space="0"/>
              <w:bottom w:val="single" w:color="auto" w:sz="4" w:space="0"/>
              <w:right w:val="single" w:color="auto" w:sz="4" w:space="0"/>
            </w:tcBorders>
            <w:vAlign w:val="center"/>
          </w:tcPr>
          <w:p w14:paraId="14E29E3B">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支付设计费用的</w:t>
            </w:r>
            <w:r>
              <w:rPr>
                <w:rFonts w:ascii="仿宋" w:hAnsi="仿宋" w:eastAsia="仿宋" w:cs="仿宋"/>
                <w:color w:val="000000" w:themeColor="text1"/>
                <w:sz w:val="21"/>
                <w:szCs w:val="21"/>
                <w:highlight w:val="none"/>
                <w14:textFill>
                  <w14:solidFill>
                    <w14:schemeClr w14:val="tx1"/>
                  </w14:solidFill>
                </w14:textFill>
              </w:rPr>
              <w:t>10%</w:t>
            </w:r>
          </w:p>
        </w:tc>
        <w:tc>
          <w:tcPr>
            <w:tcW w:w="2719" w:type="dxa"/>
            <w:tcBorders>
              <w:top w:val="single" w:color="auto" w:sz="4" w:space="0"/>
              <w:left w:val="single" w:color="auto" w:sz="4" w:space="0"/>
              <w:bottom w:val="single" w:color="auto" w:sz="4" w:space="0"/>
              <w:right w:val="single" w:color="auto" w:sz="4" w:space="0"/>
            </w:tcBorders>
            <w:vAlign w:val="center"/>
          </w:tcPr>
          <w:p w14:paraId="54DD06DD">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累计支付至设计费用的</w:t>
            </w:r>
            <w:r>
              <w:rPr>
                <w:rFonts w:ascii="仿宋" w:hAnsi="仿宋" w:eastAsia="仿宋" w:cs="仿宋"/>
                <w:color w:val="000000" w:themeColor="text1"/>
                <w:sz w:val="21"/>
                <w:szCs w:val="21"/>
                <w:highlight w:val="none"/>
                <w:lang w:eastAsia="zh-CN"/>
                <w14:textFill>
                  <w14:solidFill>
                    <w14:schemeClr w14:val="tx1"/>
                  </w14:solidFill>
                </w14:textFill>
              </w:rPr>
              <w:t>10%</w:t>
            </w:r>
          </w:p>
        </w:tc>
      </w:tr>
      <w:tr w14:paraId="2CF0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697EAC8">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第</w:t>
            </w:r>
            <w:r>
              <w:rPr>
                <w:rFonts w:hint="eastAsia" w:ascii="仿宋" w:hAnsi="仿宋" w:eastAsia="仿宋" w:cs="仿宋"/>
                <w:color w:val="000000" w:themeColor="text1"/>
                <w:sz w:val="21"/>
                <w:szCs w:val="21"/>
                <w:highlight w:val="none"/>
                <w:lang w:eastAsia="zh-CN"/>
                <w14:textFill>
                  <w14:solidFill>
                    <w14:schemeClr w14:val="tx1"/>
                  </w14:solidFill>
                </w14:textFill>
              </w:rPr>
              <w:t>二</w:t>
            </w:r>
            <w:r>
              <w:rPr>
                <w:rFonts w:hint="eastAsia" w:ascii="仿宋" w:hAnsi="仿宋" w:eastAsia="仿宋" w:cs="仿宋"/>
                <w:color w:val="000000" w:themeColor="text1"/>
                <w:sz w:val="21"/>
                <w:szCs w:val="21"/>
                <w:highlight w:val="none"/>
                <w14:textFill>
                  <w14:solidFill>
                    <w14:schemeClr w14:val="tx1"/>
                  </w14:solidFill>
                </w14:textFill>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D16C38F">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4D593B09">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支付设计费用的</w:t>
            </w:r>
            <w:r>
              <w:rPr>
                <w:rFonts w:hint="eastAsia" w:ascii="仿宋" w:hAnsi="仿宋" w:eastAsia="仿宋" w:cs="仿宋"/>
                <w:color w:val="000000" w:themeColor="text1"/>
                <w:sz w:val="21"/>
                <w:szCs w:val="21"/>
                <w:highlight w:val="none"/>
                <w:lang w:eastAsia="zh-CN"/>
                <w14:textFill>
                  <w14:solidFill>
                    <w14:schemeClr w14:val="tx1"/>
                  </w14:solidFill>
                </w14:textFill>
              </w:rPr>
              <w:t>4</w:t>
            </w:r>
            <w:r>
              <w:rPr>
                <w:rFonts w:ascii="仿宋" w:hAnsi="仿宋" w:eastAsia="仿宋" w:cs="仿宋"/>
                <w:color w:val="000000" w:themeColor="text1"/>
                <w:sz w:val="21"/>
                <w:szCs w:val="21"/>
                <w:highlight w:val="none"/>
                <w14:textFill>
                  <w14:solidFill>
                    <w14:schemeClr w14:val="tx1"/>
                  </w14:solidFill>
                </w14:textFill>
              </w:rPr>
              <w:t>0%</w:t>
            </w:r>
          </w:p>
        </w:tc>
        <w:tc>
          <w:tcPr>
            <w:tcW w:w="2719" w:type="dxa"/>
            <w:tcBorders>
              <w:top w:val="single" w:color="auto" w:sz="4" w:space="0"/>
              <w:left w:val="single" w:color="auto" w:sz="4" w:space="0"/>
              <w:bottom w:val="single" w:color="auto" w:sz="4" w:space="0"/>
              <w:right w:val="single" w:color="auto" w:sz="4" w:space="0"/>
            </w:tcBorders>
            <w:vAlign w:val="center"/>
          </w:tcPr>
          <w:p w14:paraId="733AAC4C">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累计支付至设计费用的5</w:t>
            </w:r>
            <w:r>
              <w:rPr>
                <w:rFonts w:ascii="仿宋" w:hAnsi="仿宋" w:eastAsia="仿宋" w:cs="仿宋"/>
                <w:color w:val="000000" w:themeColor="text1"/>
                <w:sz w:val="21"/>
                <w:szCs w:val="21"/>
                <w:highlight w:val="none"/>
                <w:lang w:eastAsia="zh-CN"/>
                <w14:textFill>
                  <w14:solidFill>
                    <w14:schemeClr w14:val="tx1"/>
                  </w14:solidFill>
                </w14:textFill>
              </w:rPr>
              <w:t>0%</w:t>
            </w:r>
          </w:p>
        </w:tc>
      </w:tr>
      <w:tr w14:paraId="0917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CD8C224">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第三期</w:t>
            </w:r>
          </w:p>
        </w:tc>
        <w:tc>
          <w:tcPr>
            <w:tcW w:w="3260" w:type="dxa"/>
            <w:tcBorders>
              <w:top w:val="single" w:color="auto" w:sz="4" w:space="0"/>
              <w:left w:val="single" w:color="auto" w:sz="4" w:space="0"/>
              <w:bottom w:val="single" w:color="auto" w:sz="4" w:space="0"/>
              <w:right w:val="single" w:color="auto" w:sz="4" w:space="0"/>
            </w:tcBorders>
            <w:vAlign w:val="center"/>
          </w:tcPr>
          <w:p w14:paraId="129CA178">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完成基坑支护桩施工；</w:t>
            </w:r>
          </w:p>
        </w:tc>
        <w:tc>
          <w:tcPr>
            <w:tcW w:w="2320" w:type="dxa"/>
            <w:tcBorders>
              <w:top w:val="single" w:color="auto" w:sz="4" w:space="0"/>
              <w:left w:val="single" w:color="auto" w:sz="4" w:space="0"/>
              <w:bottom w:val="single" w:color="auto" w:sz="4" w:space="0"/>
              <w:right w:val="single" w:color="auto" w:sz="4" w:space="0"/>
            </w:tcBorders>
            <w:shd w:val="clear" w:color="auto" w:fill="auto"/>
            <w:vAlign w:val="center"/>
          </w:tcPr>
          <w:p w14:paraId="1DEB2986">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支付设计费用的</w:t>
            </w:r>
            <w:r>
              <w:rPr>
                <w:rFonts w:ascii="仿宋" w:hAnsi="仿宋" w:eastAsia="仿宋" w:cs="仿宋"/>
                <w:color w:val="000000" w:themeColor="text1"/>
                <w:sz w:val="21"/>
                <w:szCs w:val="21"/>
                <w:highlight w:val="none"/>
                <w14:textFill>
                  <w14:solidFill>
                    <w14:schemeClr w14:val="tx1"/>
                  </w14:solidFill>
                </w14:textFill>
              </w:rPr>
              <w:t>10%</w:t>
            </w:r>
          </w:p>
        </w:tc>
        <w:tc>
          <w:tcPr>
            <w:tcW w:w="2719" w:type="dxa"/>
            <w:tcBorders>
              <w:top w:val="single" w:color="auto" w:sz="4" w:space="0"/>
              <w:left w:val="single" w:color="auto" w:sz="4" w:space="0"/>
              <w:bottom w:val="single" w:color="auto" w:sz="4" w:space="0"/>
              <w:right w:val="single" w:color="auto" w:sz="4" w:space="0"/>
            </w:tcBorders>
            <w:shd w:val="clear" w:color="auto" w:fill="auto"/>
            <w:vAlign w:val="center"/>
          </w:tcPr>
          <w:p w14:paraId="61A4C49B">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累计支付至设计费用的6</w:t>
            </w:r>
            <w:r>
              <w:rPr>
                <w:rFonts w:ascii="仿宋" w:hAnsi="仿宋" w:eastAsia="仿宋" w:cs="仿宋"/>
                <w:color w:val="000000" w:themeColor="text1"/>
                <w:sz w:val="21"/>
                <w:szCs w:val="21"/>
                <w:highlight w:val="none"/>
                <w:lang w:eastAsia="zh-CN"/>
                <w14:textFill>
                  <w14:solidFill>
                    <w14:schemeClr w14:val="tx1"/>
                  </w14:solidFill>
                </w14:textFill>
              </w:rPr>
              <w:t>0%</w:t>
            </w:r>
          </w:p>
        </w:tc>
      </w:tr>
      <w:tr w14:paraId="53B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0E6810E">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第</w:t>
            </w:r>
            <w:r>
              <w:rPr>
                <w:rFonts w:hint="eastAsia" w:ascii="仿宋" w:hAnsi="仿宋" w:eastAsia="仿宋" w:cs="仿宋"/>
                <w:color w:val="000000" w:themeColor="text1"/>
                <w:sz w:val="21"/>
                <w:szCs w:val="21"/>
                <w:highlight w:val="none"/>
                <w:lang w:eastAsia="zh-CN"/>
                <w14:textFill>
                  <w14:solidFill>
                    <w14:schemeClr w14:val="tx1"/>
                  </w14:solidFill>
                </w14:textFill>
              </w:rPr>
              <w:t>四</w:t>
            </w:r>
            <w:r>
              <w:rPr>
                <w:rFonts w:hint="eastAsia" w:ascii="仿宋" w:hAnsi="仿宋" w:eastAsia="仿宋" w:cs="仿宋"/>
                <w:color w:val="000000" w:themeColor="text1"/>
                <w:sz w:val="21"/>
                <w:szCs w:val="21"/>
                <w:highlight w:val="none"/>
                <w14:textFill>
                  <w14:solidFill>
                    <w14:schemeClr w14:val="tx1"/>
                  </w14:solidFill>
                </w14:textFill>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05F1ECDA">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完成土方开挖；</w:t>
            </w:r>
          </w:p>
        </w:tc>
        <w:tc>
          <w:tcPr>
            <w:tcW w:w="2320" w:type="dxa"/>
            <w:tcBorders>
              <w:top w:val="single" w:color="auto" w:sz="4" w:space="0"/>
              <w:left w:val="single" w:color="auto" w:sz="4" w:space="0"/>
              <w:bottom w:val="single" w:color="auto" w:sz="4" w:space="0"/>
              <w:right w:val="single" w:color="auto" w:sz="4" w:space="0"/>
            </w:tcBorders>
            <w:vAlign w:val="center"/>
          </w:tcPr>
          <w:p w14:paraId="2D1816DA">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支付设计费用的</w:t>
            </w:r>
            <w:r>
              <w:rPr>
                <w:rFonts w:ascii="仿宋" w:hAnsi="仿宋" w:eastAsia="仿宋" w:cs="仿宋"/>
                <w:color w:val="000000" w:themeColor="text1"/>
                <w:sz w:val="21"/>
                <w:szCs w:val="21"/>
                <w:highlight w:val="none"/>
                <w14:textFill>
                  <w14:solidFill>
                    <w14:schemeClr w14:val="tx1"/>
                  </w14:solidFill>
                </w14:textFill>
              </w:rPr>
              <w:t>10%</w:t>
            </w:r>
          </w:p>
        </w:tc>
        <w:tc>
          <w:tcPr>
            <w:tcW w:w="2719" w:type="dxa"/>
            <w:tcBorders>
              <w:top w:val="single" w:color="auto" w:sz="4" w:space="0"/>
              <w:left w:val="single" w:color="auto" w:sz="4" w:space="0"/>
              <w:bottom w:val="single" w:color="auto" w:sz="4" w:space="0"/>
              <w:right w:val="single" w:color="auto" w:sz="4" w:space="0"/>
            </w:tcBorders>
            <w:vAlign w:val="center"/>
          </w:tcPr>
          <w:p w14:paraId="103170C1">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累计支付至设计费用的</w:t>
            </w:r>
            <w:r>
              <w:rPr>
                <w:rFonts w:ascii="仿宋" w:hAnsi="仿宋" w:eastAsia="仿宋" w:cs="仿宋"/>
                <w:color w:val="000000" w:themeColor="text1"/>
                <w:sz w:val="21"/>
                <w:szCs w:val="21"/>
                <w:highlight w:val="none"/>
                <w:lang w:eastAsia="zh-CN"/>
                <w14:textFill>
                  <w14:solidFill>
                    <w14:schemeClr w14:val="tx1"/>
                  </w14:solidFill>
                </w14:textFill>
              </w:rPr>
              <w:t>70%</w:t>
            </w:r>
          </w:p>
        </w:tc>
      </w:tr>
      <w:tr w14:paraId="6B05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00C269E">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第</w:t>
            </w:r>
            <w:r>
              <w:rPr>
                <w:rFonts w:hint="eastAsia" w:ascii="仿宋" w:hAnsi="仿宋" w:eastAsia="仿宋" w:cs="仿宋"/>
                <w:color w:val="000000" w:themeColor="text1"/>
                <w:sz w:val="21"/>
                <w:szCs w:val="21"/>
                <w:highlight w:val="none"/>
                <w:lang w:eastAsia="zh-CN"/>
                <w14:textFill>
                  <w14:solidFill>
                    <w14:schemeClr w14:val="tx1"/>
                  </w14:solidFill>
                </w14:textFill>
              </w:rPr>
              <w:t>五</w:t>
            </w:r>
            <w:r>
              <w:rPr>
                <w:rFonts w:hint="eastAsia" w:ascii="仿宋" w:hAnsi="仿宋" w:eastAsia="仿宋" w:cs="仿宋"/>
                <w:color w:val="000000" w:themeColor="text1"/>
                <w:sz w:val="21"/>
                <w:szCs w:val="21"/>
                <w:highlight w:val="none"/>
                <w14:textFill>
                  <w14:solidFill>
                    <w14:schemeClr w14:val="tx1"/>
                  </w14:solidFill>
                </w14:textFill>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1D32614E">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承包人完成合同约定的全部工作，基坑工程验收合格后；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30CBA203">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支付设计费用的</w:t>
            </w:r>
            <w:r>
              <w:rPr>
                <w:rFonts w:ascii="仿宋" w:hAnsi="仿宋" w:eastAsia="仿宋" w:cs="仿宋"/>
                <w:color w:val="000000" w:themeColor="text1"/>
                <w:sz w:val="21"/>
                <w:szCs w:val="21"/>
                <w:highlight w:val="none"/>
                <w14:textFill>
                  <w14:solidFill>
                    <w14:schemeClr w14:val="tx1"/>
                  </w14:solidFill>
                </w14:textFill>
              </w:rPr>
              <w:t>10%</w:t>
            </w:r>
          </w:p>
        </w:tc>
        <w:tc>
          <w:tcPr>
            <w:tcW w:w="2719" w:type="dxa"/>
            <w:tcBorders>
              <w:top w:val="single" w:color="auto" w:sz="4" w:space="0"/>
              <w:left w:val="single" w:color="auto" w:sz="4" w:space="0"/>
              <w:bottom w:val="single" w:color="auto" w:sz="4" w:space="0"/>
              <w:right w:val="single" w:color="auto" w:sz="4" w:space="0"/>
            </w:tcBorders>
            <w:vAlign w:val="center"/>
          </w:tcPr>
          <w:p w14:paraId="0F131B2B">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累计支付至设计费用的</w:t>
            </w:r>
            <w:r>
              <w:rPr>
                <w:rFonts w:ascii="仿宋" w:hAnsi="仿宋" w:eastAsia="仿宋" w:cs="仿宋"/>
                <w:color w:val="000000" w:themeColor="text1"/>
                <w:sz w:val="21"/>
                <w:szCs w:val="21"/>
                <w:highlight w:val="none"/>
                <w:lang w:eastAsia="zh-CN"/>
                <w14:textFill>
                  <w14:solidFill>
                    <w14:schemeClr w14:val="tx1"/>
                  </w14:solidFill>
                </w14:textFill>
              </w:rPr>
              <w:t>80%</w:t>
            </w:r>
          </w:p>
        </w:tc>
      </w:tr>
      <w:tr w14:paraId="1A3F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FFEE2E8">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第</w:t>
            </w:r>
            <w:r>
              <w:rPr>
                <w:rFonts w:hint="eastAsia" w:ascii="仿宋" w:hAnsi="仿宋" w:eastAsia="仿宋" w:cs="仿宋"/>
                <w:color w:val="000000" w:themeColor="text1"/>
                <w:sz w:val="21"/>
                <w:szCs w:val="21"/>
                <w:highlight w:val="none"/>
                <w:lang w:eastAsia="zh-CN"/>
                <w14:textFill>
                  <w14:solidFill>
                    <w14:schemeClr w14:val="tx1"/>
                  </w14:solidFill>
                </w14:textFill>
              </w:rPr>
              <w:t>六</w:t>
            </w:r>
            <w:r>
              <w:rPr>
                <w:rFonts w:hint="eastAsia" w:ascii="仿宋" w:hAnsi="仿宋" w:eastAsia="仿宋" w:cs="仿宋"/>
                <w:color w:val="000000" w:themeColor="text1"/>
                <w:sz w:val="21"/>
                <w:szCs w:val="21"/>
                <w:highlight w:val="none"/>
                <w14:textFill>
                  <w14:solidFill>
                    <w14:schemeClr w14:val="tx1"/>
                  </w14:solidFill>
                </w14:textFill>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053BE6A">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本期支付为工程设计费绩效酬金，占工程设计费结算金额的</w:t>
            </w:r>
            <w:r>
              <w:rPr>
                <w:rFonts w:ascii="仿宋" w:hAnsi="仿宋" w:eastAsia="仿宋" w:cs="仿宋"/>
                <w:color w:val="000000" w:themeColor="text1"/>
                <w:sz w:val="21"/>
                <w:szCs w:val="21"/>
                <w:highlight w:val="none"/>
                <w:lang w:eastAsia="zh-CN"/>
                <w14:textFill>
                  <w14:solidFill>
                    <w14:schemeClr w14:val="tx1"/>
                  </w14:solidFill>
                </w14:textFill>
              </w:rPr>
              <w:t>20%，</w:t>
            </w:r>
            <w:r>
              <w:rPr>
                <w:rFonts w:hint="eastAsia" w:ascii="仿宋" w:hAnsi="仿宋" w:eastAsia="仿宋" w:cs="仿宋"/>
                <w:color w:val="000000" w:themeColor="text1"/>
                <w:sz w:val="21"/>
                <w:szCs w:val="21"/>
                <w:highlight w:val="none"/>
                <w:lang w:eastAsia="zh-CN"/>
                <w14:textFill>
                  <w14:solidFill>
                    <w14:schemeClr w14:val="tx1"/>
                  </w14:solidFill>
                </w14:textFill>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37BCC412">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支付设计费用的</w:t>
            </w:r>
            <w:r>
              <w:rPr>
                <w:rFonts w:ascii="仿宋" w:hAnsi="仿宋" w:eastAsia="仿宋" w:cs="仿宋"/>
                <w:color w:val="000000" w:themeColor="text1"/>
                <w:sz w:val="21"/>
                <w:szCs w:val="21"/>
                <w:highlight w:val="none"/>
                <w14:textFill>
                  <w14:solidFill>
                    <w14:schemeClr w14:val="tx1"/>
                  </w14:solidFill>
                </w14:textFill>
              </w:rPr>
              <w:t>20%</w:t>
            </w:r>
          </w:p>
        </w:tc>
        <w:tc>
          <w:tcPr>
            <w:tcW w:w="2719" w:type="dxa"/>
            <w:tcBorders>
              <w:top w:val="single" w:color="auto" w:sz="4" w:space="0"/>
              <w:left w:val="single" w:color="auto" w:sz="4" w:space="0"/>
              <w:bottom w:val="single" w:color="auto" w:sz="4" w:space="0"/>
              <w:right w:val="single" w:color="auto" w:sz="4" w:space="0"/>
            </w:tcBorders>
            <w:vAlign w:val="center"/>
          </w:tcPr>
          <w:p w14:paraId="5FBABF07">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累计支付至财政部门结算审定设计费用的</w:t>
            </w:r>
            <w:r>
              <w:rPr>
                <w:rFonts w:ascii="仿宋" w:hAnsi="仿宋" w:eastAsia="仿宋" w:cs="仿宋"/>
                <w:color w:val="000000" w:themeColor="text1"/>
                <w:sz w:val="21"/>
                <w:szCs w:val="21"/>
                <w:highlight w:val="none"/>
                <w:lang w:eastAsia="zh-CN"/>
                <w14:textFill>
                  <w14:solidFill>
                    <w14:schemeClr w14:val="tx1"/>
                  </w14:solidFill>
                </w14:textFill>
              </w:rPr>
              <w:t>100%</w:t>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r>
    </w:tbl>
    <w:p w14:paraId="0BE8C401">
      <w:pPr>
        <w:spacing w:line="360" w:lineRule="auto"/>
        <w:ind w:right="11" w:firstLine="1274" w:firstLineChars="53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设计费结算时，</w:t>
      </w:r>
      <w:r>
        <w:rPr>
          <w:rFonts w:hint="eastAsia" w:ascii="仿宋" w:hAnsi="仿宋" w:eastAsia="仿宋"/>
          <w:color w:val="000000" w:themeColor="text1"/>
          <w:kern w:val="2"/>
          <w:highlight w:val="none"/>
          <w:lang w:eastAsia="zh-CN"/>
          <w14:textFill>
            <w14:solidFill>
              <w14:schemeClr w14:val="tx1"/>
            </w14:solidFill>
          </w14:textFill>
        </w:rPr>
        <w:t>若承包人按合同约定完成全部工作内容，</w:t>
      </w:r>
      <w:r>
        <w:rPr>
          <w:rFonts w:hint="eastAsia" w:ascii="仿宋" w:hAnsi="仿宋" w:eastAsia="仿宋"/>
          <w:snapToGrid w:val="0"/>
          <w:color w:val="000000" w:themeColor="text1"/>
          <w:highlight w:val="none"/>
          <w:lang w:eastAsia="zh-CN"/>
          <w14:textFill>
            <w14:solidFill>
              <w14:schemeClr w14:val="tx1"/>
            </w14:solidFill>
          </w14:textFill>
        </w:rPr>
        <w:t>并</w:t>
      </w:r>
      <w:r>
        <w:rPr>
          <w:rFonts w:ascii="仿宋" w:hAnsi="仿宋" w:eastAsia="仿宋"/>
          <w:snapToGrid w:val="0"/>
          <w:color w:val="000000" w:themeColor="text1"/>
          <w:highlight w:val="none"/>
          <w:lang w:eastAsia="zh-CN"/>
          <w14:textFill>
            <w14:solidFill>
              <w14:schemeClr w14:val="tx1"/>
            </w14:solidFill>
          </w14:textFill>
        </w:rPr>
        <w:t>按规定提交</w:t>
      </w:r>
      <w:r>
        <w:rPr>
          <w:rFonts w:hint="eastAsia" w:ascii="仿宋" w:hAnsi="仿宋" w:eastAsia="仿宋"/>
          <w:snapToGrid w:val="0"/>
          <w:color w:val="000000" w:themeColor="text1"/>
          <w:highlight w:val="none"/>
          <w:lang w:eastAsia="zh-CN"/>
          <w14:textFill>
            <w14:solidFill>
              <w14:schemeClr w14:val="tx1"/>
            </w14:solidFill>
          </w14:textFill>
        </w:rPr>
        <w:t>全部</w:t>
      </w:r>
      <w:r>
        <w:rPr>
          <w:rFonts w:ascii="仿宋" w:hAnsi="仿宋" w:eastAsia="仿宋"/>
          <w:snapToGrid w:val="0"/>
          <w:color w:val="000000" w:themeColor="text1"/>
          <w:highlight w:val="none"/>
          <w:lang w:eastAsia="zh-CN"/>
          <w14:textFill>
            <w14:solidFill>
              <w14:schemeClr w14:val="tx1"/>
            </w14:solidFill>
          </w14:textFill>
        </w:rPr>
        <w:t>技术档案</w:t>
      </w:r>
      <w:r>
        <w:rPr>
          <w:rFonts w:hint="eastAsia" w:ascii="仿宋" w:hAnsi="仿宋" w:eastAsia="仿宋"/>
          <w:snapToGrid w:val="0"/>
          <w:color w:val="000000" w:themeColor="text1"/>
          <w:highlight w:val="none"/>
          <w:lang w:eastAsia="zh-CN"/>
          <w14:textFill>
            <w14:solidFill>
              <w14:schemeClr w14:val="tx1"/>
            </w14:solidFill>
          </w14:textFill>
        </w:rPr>
        <w:t>资料</w:t>
      </w:r>
      <w:r>
        <w:rPr>
          <w:rFonts w:hint="eastAsia" w:ascii="仿宋" w:hAnsi="仿宋" w:eastAsia="仿宋"/>
          <w:color w:val="000000" w:themeColor="text1"/>
          <w:kern w:val="2"/>
          <w:highlight w:val="none"/>
          <w:lang w:eastAsia="zh-CN"/>
          <w14:textFill>
            <w14:solidFill>
              <w14:schemeClr w14:val="tx1"/>
            </w14:solidFill>
          </w14:textFill>
        </w:rPr>
        <w:t>且经发包人合同服务评价（详见附件九</w:t>
      </w:r>
      <w:r>
        <w:rPr>
          <w:rFonts w:ascii="仿宋" w:hAnsi="仿宋" w:eastAsia="仿宋"/>
          <w:color w:val="000000" w:themeColor="text1"/>
          <w:kern w:val="2"/>
          <w:highlight w:val="none"/>
          <w:lang w:eastAsia="zh-CN"/>
          <w14:textFill>
            <w14:solidFill>
              <w14:schemeClr w14:val="tx1"/>
            </w14:solidFill>
          </w14:textFill>
        </w:rPr>
        <w:t>《设</w:t>
      </w:r>
      <w:r>
        <w:rPr>
          <w:rFonts w:hint="eastAsia" w:ascii="仿宋" w:hAnsi="仿宋" w:eastAsia="仿宋"/>
          <w:bCs/>
          <w:snapToGrid w:val="0"/>
          <w:color w:val="000000" w:themeColor="text1"/>
          <w:highlight w:val="none"/>
          <w:lang w:eastAsia="zh-CN"/>
          <w14:textFill>
            <w14:solidFill>
              <w14:schemeClr w14:val="tx1"/>
            </w14:solidFill>
          </w14:textFill>
        </w:rPr>
        <w:t>计工作考核评价表</w:t>
      </w:r>
      <w:r>
        <w:rPr>
          <w:rFonts w:hint="eastAsia" w:ascii="仿宋" w:hAnsi="仿宋" w:eastAsia="仿宋"/>
          <w:color w:val="000000" w:themeColor="text1"/>
          <w:kern w:val="2"/>
          <w:highlight w:val="none"/>
          <w:lang w:eastAsia="zh-CN"/>
          <w14:textFill>
            <w14:solidFill>
              <w14:schemeClr w14:val="tx1"/>
            </w14:solidFill>
          </w14:textFill>
        </w:rPr>
        <w:t>》）</w:t>
      </w:r>
      <w:r>
        <w:rPr>
          <w:rFonts w:hint="eastAsia" w:ascii="仿宋" w:hAnsi="仿宋" w:eastAsia="仿宋"/>
          <w:snapToGrid w:val="0"/>
          <w:color w:val="000000" w:themeColor="text1"/>
          <w:kern w:val="2"/>
          <w:highlight w:val="none"/>
          <w:lang w:eastAsia="zh-CN"/>
          <w14:textFill>
            <w14:solidFill>
              <w14:schemeClr w14:val="tx1"/>
            </w14:solidFill>
          </w14:textFill>
        </w:rPr>
        <w:t>得分在8</w:t>
      </w:r>
      <w:r>
        <w:rPr>
          <w:rFonts w:ascii="仿宋" w:hAnsi="仿宋" w:eastAsia="仿宋"/>
          <w:snapToGrid w:val="0"/>
          <w:color w:val="000000" w:themeColor="text1"/>
          <w:kern w:val="2"/>
          <w:highlight w:val="none"/>
          <w:lang w:eastAsia="zh-CN"/>
          <w14:textFill>
            <w14:solidFill>
              <w14:schemeClr w14:val="tx1"/>
            </w14:solidFill>
          </w14:textFill>
        </w:rPr>
        <w:t>0分或以上的，本项目设计费按设计结算价全额支付；</w:t>
      </w:r>
      <w:r>
        <w:rPr>
          <w:rFonts w:hint="eastAsia" w:ascii="仿宋" w:hAnsi="仿宋" w:eastAsia="仿宋"/>
          <w:color w:val="000000" w:themeColor="text1"/>
          <w:kern w:val="2"/>
          <w:highlight w:val="none"/>
          <w:lang w:eastAsia="zh-CN"/>
          <w14:textFill>
            <w14:solidFill>
              <w14:schemeClr w14:val="tx1"/>
            </w14:solidFill>
          </w14:textFill>
        </w:rPr>
        <w:t>合同服务评价</w:t>
      </w:r>
      <w:r>
        <w:rPr>
          <w:rFonts w:hint="eastAsia" w:ascii="仿宋" w:hAnsi="仿宋" w:eastAsia="仿宋"/>
          <w:snapToGrid w:val="0"/>
          <w:color w:val="000000" w:themeColor="text1"/>
          <w:kern w:val="2"/>
          <w:highlight w:val="none"/>
          <w:lang w:eastAsia="zh-CN"/>
          <w14:textFill>
            <w14:solidFill>
              <w14:schemeClr w14:val="tx1"/>
            </w14:solidFill>
          </w14:textFill>
        </w:rPr>
        <w:t>得分在8</w:t>
      </w:r>
      <w:r>
        <w:rPr>
          <w:rFonts w:ascii="仿宋" w:hAnsi="仿宋" w:eastAsia="仿宋"/>
          <w:snapToGrid w:val="0"/>
          <w:color w:val="000000" w:themeColor="text1"/>
          <w:kern w:val="2"/>
          <w:highlight w:val="none"/>
          <w:lang w:eastAsia="zh-CN"/>
          <w14:textFill>
            <w14:solidFill>
              <w14:schemeClr w14:val="tx1"/>
            </w14:solidFill>
          </w14:textFill>
        </w:rPr>
        <w:t>0分以下的，合同结算价=按全额计算的设计费结算价×[1-（</w:t>
      </w:r>
      <w:r>
        <w:rPr>
          <w:rFonts w:hint="eastAsia" w:ascii="仿宋" w:hAnsi="仿宋" w:eastAsia="仿宋"/>
          <w:snapToGrid w:val="0"/>
          <w:color w:val="000000" w:themeColor="text1"/>
          <w:kern w:val="2"/>
          <w:highlight w:val="none"/>
          <w:lang w:eastAsia="zh-CN"/>
          <w14:textFill>
            <w14:solidFill>
              <w14:schemeClr w14:val="tx1"/>
            </w14:solidFill>
          </w14:textFill>
        </w:rPr>
        <w:t>8</w:t>
      </w:r>
      <w:r>
        <w:rPr>
          <w:rFonts w:ascii="仿宋" w:hAnsi="仿宋" w:eastAsia="仿宋"/>
          <w:snapToGrid w:val="0"/>
          <w:color w:val="000000" w:themeColor="text1"/>
          <w:kern w:val="2"/>
          <w:highlight w:val="none"/>
          <w:lang w:eastAsia="zh-CN"/>
          <w14:textFill>
            <w14:solidFill>
              <w14:schemeClr w14:val="tx1"/>
            </w14:solidFill>
          </w14:textFill>
        </w:rPr>
        <w:t>0-项目评价得分）%]</w:t>
      </w:r>
      <w:r>
        <w:rPr>
          <w:rFonts w:hint="eastAsia" w:ascii="仿宋" w:hAnsi="仿宋" w:eastAsia="仿宋"/>
          <w:color w:val="000000" w:themeColor="text1"/>
          <w:kern w:val="2"/>
          <w:highlight w:val="none"/>
          <w:lang w:eastAsia="zh-CN"/>
          <w14:textFill>
            <w14:solidFill>
              <w14:schemeClr w14:val="tx1"/>
            </w14:solidFill>
          </w14:textFill>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7BB421D7">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②政府资金投资工程的支付期、支付办法：</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4883403F">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(11）本期间应支付或扣留（回）的其他款项：</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r>
        <w:rPr>
          <w:rFonts w:hint="eastAsia" w:ascii="仿宋" w:hAnsi="仿宋" w:eastAsia="仿宋" w:cs="仿宋"/>
          <w:color w:val="000000" w:themeColor="text1"/>
          <w:highlight w:val="none"/>
          <w:lang w:eastAsia="zh-CN"/>
          <w14:textFill>
            <w14:solidFill>
              <w14:schemeClr w14:val="tx1"/>
            </w14:solidFill>
          </w14:textFill>
        </w:rPr>
        <w:t>。</w:t>
      </w:r>
    </w:p>
    <w:p w14:paraId="6E449690">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施工</w:t>
      </w:r>
    </w:p>
    <w:p w14:paraId="5850FEC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①支付期限、比例</w:t>
      </w:r>
    </w:p>
    <w:p w14:paraId="364C25A3">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以月为支付周期，支付比例为本月已完工作或工程款的%。</w:t>
      </w:r>
    </w:p>
    <w:p w14:paraId="224CC146">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以季度为支付周期，支付比例为本季度已完成工作或工程款的%。</w:t>
      </w:r>
    </w:p>
    <w:p w14:paraId="759F52D9">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以形象进度为支付周期，支付比例为本形象进度内已完工作或工程款的%或另行约定，具体约定如下：。</w:t>
      </w:r>
    </w:p>
    <w:p w14:paraId="7C3A466A">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其它方式：</w:t>
      </w:r>
    </w:p>
    <w:p w14:paraId="62AC4CD0">
      <w:pPr>
        <w:spacing w:line="360" w:lineRule="auto"/>
        <w:ind w:right="11" w:firstLine="1132" w:firstLineChars="472"/>
        <w:rPr>
          <w:rFonts w:ascii="仿宋" w:hAnsi="仿宋" w:eastAsia="仿宋" w:cs="宋体"/>
          <w:bCs/>
          <w:snapToGrid w:val="0"/>
          <w:color w:val="000000" w:themeColor="text1"/>
          <w:highlight w:val="none"/>
          <w:lang w:val="zh-CN" w:eastAsia="zh-CN"/>
          <w14:textFill>
            <w14:solidFill>
              <w14:schemeClr w14:val="tx1"/>
            </w14:solidFill>
          </w14:textFill>
        </w:rPr>
      </w:pPr>
      <w:r>
        <w:rPr>
          <w:rFonts w:hint="eastAsia" w:ascii="仿宋" w:hAnsi="仿宋" w:eastAsia="仿宋" w:cs="宋体"/>
          <w:bCs/>
          <w:snapToGrid w:val="0"/>
          <w:color w:val="000000" w:themeColor="text1"/>
          <w:highlight w:val="none"/>
          <w:lang w:val="zh-CN" w:eastAsia="zh-CN"/>
          <w14:textFill>
            <w14:solidFill>
              <w14:schemeClr w14:val="tx1"/>
            </w14:solidFill>
          </w14:textFill>
        </w:rPr>
        <w:t>工程施工进度比例是指已完成的分部分项清单工程量总价对比</w:t>
      </w:r>
      <w:r>
        <w:rPr>
          <w:rFonts w:hint="eastAsia" w:ascii="仿宋" w:hAnsi="仿宋" w:eastAsia="仿宋" w:cs="宋体"/>
          <w:bCs/>
          <w:snapToGrid w:val="0"/>
          <w:color w:val="000000" w:themeColor="text1"/>
          <w:highlight w:val="none"/>
          <w:lang w:eastAsia="zh-CN"/>
          <w14:textFill>
            <w14:solidFill>
              <w14:schemeClr w14:val="tx1"/>
            </w14:solidFill>
          </w14:textFill>
        </w:rPr>
        <w:t>对应</w:t>
      </w:r>
      <w:r>
        <w:rPr>
          <w:rFonts w:hint="eastAsia" w:ascii="仿宋" w:hAnsi="仿宋" w:eastAsia="仿宋" w:cs="宋体"/>
          <w:bCs/>
          <w:snapToGrid w:val="0"/>
          <w:color w:val="000000" w:themeColor="text1"/>
          <w:highlight w:val="none"/>
          <w:lang w:val="zh-CN" w:eastAsia="zh-CN"/>
          <w14:textFill>
            <w14:solidFill>
              <w14:schemeClr w14:val="tx1"/>
            </w14:solidFill>
          </w14:textFill>
        </w:rPr>
        <w:t>项目的分部分项清单工程量总价的比例。本项目按照《广州市城建投资项目计划和资金管理工作指引（试行）》（穗建计〔2012〕686号</w:t>
      </w:r>
      <w:r>
        <w:rPr>
          <w:rFonts w:ascii="仿宋" w:hAnsi="仿宋" w:eastAsia="仿宋" w:cs="宋体"/>
          <w:bCs/>
          <w:snapToGrid w:val="0"/>
          <w:color w:val="000000" w:themeColor="text1"/>
          <w:highlight w:val="none"/>
          <w:lang w:val="zh-CN" w:eastAsia="zh-CN"/>
          <w14:textFill>
            <w14:solidFill>
              <w14:schemeClr w14:val="tx1"/>
            </w14:solidFill>
          </w14:textFill>
        </w:rPr>
        <w:t>文）进行支付，如有新颁布相关规定或经有关部门批准，可签订补充协议对支付比例进行调整。计量支付时，以合同</w:t>
      </w:r>
      <w:r>
        <w:rPr>
          <w:rFonts w:hint="eastAsia" w:ascii="仿宋" w:hAnsi="仿宋" w:eastAsia="仿宋" w:cs="宋体"/>
          <w:bCs/>
          <w:snapToGrid w:val="0"/>
          <w:color w:val="000000" w:themeColor="text1"/>
          <w:highlight w:val="none"/>
          <w:lang w:val="zh-CN" w:eastAsia="zh-CN"/>
          <w14:textFill>
            <w14:solidFill>
              <w14:schemeClr w14:val="tx1"/>
            </w14:solidFill>
          </w14:textFill>
        </w:rPr>
        <w:t>分部分项</w:t>
      </w:r>
      <w:r>
        <w:rPr>
          <w:rFonts w:ascii="仿宋" w:hAnsi="仿宋" w:eastAsia="仿宋" w:cs="宋体"/>
          <w:bCs/>
          <w:snapToGrid w:val="0"/>
          <w:color w:val="000000" w:themeColor="text1"/>
          <w:highlight w:val="none"/>
          <w:lang w:val="zh-CN" w:eastAsia="zh-CN"/>
          <w14:textFill>
            <w14:solidFill>
              <w14:schemeClr w14:val="tx1"/>
            </w14:solidFill>
          </w14:textFill>
        </w:rPr>
        <w:t>工程量清单中各子项的</w:t>
      </w:r>
      <w:r>
        <w:rPr>
          <w:rFonts w:hint="eastAsia" w:ascii="仿宋" w:hAnsi="仿宋" w:eastAsia="仿宋" w:cs="宋体"/>
          <w:bCs/>
          <w:snapToGrid w:val="0"/>
          <w:color w:val="000000" w:themeColor="text1"/>
          <w:highlight w:val="none"/>
          <w:lang w:val="zh-CN" w:eastAsia="zh-CN"/>
          <w14:textFill>
            <w14:solidFill>
              <w14:schemeClr w14:val="tx1"/>
            </w14:solidFill>
          </w14:textFill>
        </w:rPr>
        <w:t>工程量及综合单价作为计量支付的上限，如施工图预算经发包人批复后，对应的分部分项工程量清单作为计量支付的上限。</w:t>
      </w:r>
    </w:p>
    <w:p w14:paraId="070BAE98">
      <w:pPr>
        <w:spacing w:line="360" w:lineRule="auto"/>
        <w:ind w:right="11"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1）原则上按月支付，也可多月合并支付，但不得合并支付承包人未履行完毕部分。</w:t>
      </w:r>
    </w:p>
    <w:p w14:paraId="6635A754">
      <w:pPr>
        <w:spacing w:line="360" w:lineRule="auto"/>
        <w:ind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2）任何项目的计量与支付必须按合同约定的技术条件、发包人批准的施工图有关要求及规定完成，包括合同约定的与项目计量有关且必须完成的责任和义务。</w:t>
      </w:r>
    </w:p>
    <w:p w14:paraId="33611E81">
      <w:pPr>
        <w:spacing w:line="360" w:lineRule="auto"/>
        <w:ind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2FDBFE4D">
      <w:pPr>
        <w:spacing w:line="360" w:lineRule="auto"/>
        <w:ind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4）当月工程进度款计算公式：月工程款=当月完成的合同清单范围内的工程造价×80％-当月应扣款。</w:t>
      </w:r>
    </w:p>
    <w:p w14:paraId="25B795BC">
      <w:pPr>
        <w:autoSpaceDE w:val="0"/>
        <w:autoSpaceDN w:val="0"/>
        <w:spacing w:line="360" w:lineRule="auto"/>
        <w:ind w:right="11" w:firstLine="1132" w:firstLineChars="472"/>
        <w:rPr>
          <w:rFonts w:ascii="仿宋" w:hAnsi="仿宋" w:eastAsia="仿宋" w:cs="宋体"/>
          <w:color w:val="000000" w:themeColor="text1"/>
          <w:highlight w:val="none"/>
          <w:lang w:eastAsia="zh-CN"/>
          <w14:textFill>
            <w14:solidFill>
              <w14:schemeClr w14:val="tx1"/>
            </w14:solidFill>
          </w14:textFill>
        </w:rPr>
      </w:pPr>
      <w:r>
        <w:rPr>
          <w:rFonts w:hint="eastAsia" w:ascii="仿宋" w:hAnsi="仿宋" w:eastAsia="仿宋" w:cs="宋体"/>
          <w:color w:val="000000" w:themeColor="text1"/>
          <w:highlight w:val="none"/>
          <w:lang w:eastAsia="zh-CN"/>
          <w14:textFill>
            <w14:solidFill>
              <w14:schemeClr w14:val="tx1"/>
            </w14:solidFill>
          </w14:textFill>
        </w:rPr>
        <w:t>（</w:t>
      </w:r>
      <w:r>
        <w:rPr>
          <w:rFonts w:ascii="仿宋" w:hAnsi="仿宋" w:eastAsia="仿宋" w:cs="宋体"/>
          <w:color w:val="000000" w:themeColor="text1"/>
          <w:highlight w:val="none"/>
          <w:lang w:eastAsia="zh-CN"/>
          <w14:textFill>
            <w14:solidFill>
              <w14:schemeClr w14:val="tx1"/>
            </w14:solidFill>
          </w14:textFill>
        </w:rPr>
        <w:t>5）月实际完成的合同清单范围内的工程进度款以监理单位审核计量、第三</w:t>
      </w:r>
      <w:r>
        <w:rPr>
          <w:rFonts w:hint="eastAsia" w:ascii="仿宋" w:hAnsi="仿宋" w:eastAsia="仿宋" w:cs="宋体"/>
          <w:color w:val="000000" w:themeColor="text1"/>
          <w:highlight w:val="none"/>
          <w:lang w:eastAsia="zh-CN"/>
          <w14:textFill>
            <w14:solidFill>
              <w14:schemeClr w14:val="tx1"/>
            </w14:solidFill>
          </w14:textFill>
        </w:rPr>
        <w:t>方咨询审核计量和发包人审定确认为准，合同清单外新增加工程费用待工程结算后进行支付（补充合同约定除外），不与进度款同期支付，另有约定的除外。</w:t>
      </w:r>
    </w:p>
    <w:p w14:paraId="0EF804E6">
      <w:pPr>
        <w:autoSpaceDE w:val="0"/>
        <w:autoSpaceDN w:val="0"/>
        <w:spacing w:line="360" w:lineRule="auto"/>
        <w:ind w:right="11" w:firstLine="1132" w:firstLineChars="472"/>
        <w:rPr>
          <w:rFonts w:ascii="仿宋" w:hAnsi="仿宋" w:eastAsia="仿宋" w:cs="宋体"/>
          <w:color w:val="000000" w:themeColor="text1"/>
          <w:highlight w:val="none"/>
          <w:lang w:val="zh-CN" w:eastAsia="zh-CN"/>
          <w14:textFill>
            <w14:solidFill>
              <w14:schemeClr w14:val="tx1"/>
            </w14:solidFill>
          </w14:textFill>
        </w:rPr>
      </w:pPr>
      <w:r>
        <w:rPr>
          <w:rFonts w:hint="eastAsia" w:ascii="仿宋" w:hAnsi="仿宋" w:eastAsia="仿宋" w:cs="宋体"/>
          <w:color w:val="000000" w:themeColor="text1"/>
          <w:highlight w:val="none"/>
          <w:lang w:val="zh-CN" w:eastAsia="zh-CN"/>
          <w14:textFill>
            <w14:solidFill>
              <w14:schemeClr w14:val="tx1"/>
            </w14:solidFill>
          </w14:textFill>
        </w:rPr>
        <w:t>（</w:t>
      </w:r>
      <w:r>
        <w:rPr>
          <w:rFonts w:ascii="仿宋" w:hAnsi="仿宋" w:eastAsia="仿宋" w:cs="宋体"/>
          <w:color w:val="000000" w:themeColor="text1"/>
          <w:highlight w:val="none"/>
          <w:lang w:eastAsia="zh-CN"/>
          <w14:textFill>
            <w14:solidFill>
              <w14:schemeClr w14:val="tx1"/>
            </w14:solidFill>
          </w14:textFill>
        </w:rPr>
        <w:t>6</w:t>
      </w:r>
      <w:r>
        <w:rPr>
          <w:rFonts w:hint="eastAsia" w:ascii="仿宋" w:hAnsi="仿宋" w:eastAsia="仿宋" w:cs="宋体"/>
          <w:color w:val="000000" w:themeColor="text1"/>
          <w:highlight w:val="none"/>
          <w:lang w:val="zh-CN" w:eastAsia="zh-CN"/>
          <w14:textFill>
            <w14:solidFill>
              <w14:schemeClr w14:val="tx1"/>
            </w14:solidFill>
          </w14:textFill>
        </w:rPr>
        <w:t>）承包人完成建设工程</w:t>
      </w:r>
      <w:r>
        <w:rPr>
          <w:rFonts w:hint="eastAsia" w:ascii="仿宋" w:hAnsi="仿宋" w:eastAsia="仿宋" w:cs="宋体"/>
          <w:color w:val="000000" w:themeColor="text1"/>
          <w:highlight w:val="none"/>
          <w:lang w:eastAsia="zh-CN"/>
          <w14:textFill>
            <w14:solidFill>
              <w14:schemeClr w14:val="tx1"/>
            </w14:solidFill>
          </w14:textFill>
        </w:rPr>
        <w:t>完工</w:t>
      </w:r>
      <w:r>
        <w:rPr>
          <w:rFonts w:hint="eastAsia" w:ascii="仿宋" w:hAnsi="仿宋" w:eastAsia="仿宋" w:cs="宋体"/>
          <w:color w:val="000000" w:themeColor="text1"/>
          <w:highlight w:val="none"/>
          <w:lang w:val="zh-CN" w:eastAsia="zh-CN"/>
          <w14:textFill>
            <w14:solidFill>
              <w14:schemeClr w14:val="tx1"/>
            </w14:solidFill>
          </w14:textFill>
        </w:rPr>
        <w:t>验收且</w:t>
      </w:r>
      <w:r>
        <w:rPr>
          <w:rFonts w:hint="eastAsia" w:ascii="仿宋" w:hAnsi="仿宋" w:eastAsia="仿宋" w:cs="宋体"/>
          <w:color w:val="000000" w:themeColor="text1"/>
          <w:highlight w:val="none"/>
          <w:lang w:eastAsia="zh-CN"/>
          <w14:textFill>
            <w14:solidFill>
              <w14:schemeClr w14:val="tx1"/>
            </w14:solidFill>
          </w14:textFill>
        </w:rPr>
        <w:t>最后一个降水井封闭</w:t>
      </w:r>
      <w:r>
        <w:rPr>
          <w:rFonts w:hint="eastAsia" w:ascii="仿宋" w:hAnsi="仿宋" w:eastAsia="仿宋" w:cs="宋体"/>
          <w:color w:val="000000" w:themeColor="text1"/>
          <w:highlight w:val="none"/>
          <w:lang w:val="zh-CN" w:eastAsia="zh-CN"/>
          <w14:textFill>
            <w14:solidFill>
              <w14:schemeClr w14:val="tx1"/>
            </w14:solidFill>
          </w14:textFill>
        </w:rPr>
        <w:t>后，</w:t>
      </w:r>
      <w:r>
        <w:rPr>
          <w:rFonts w:hint="eastAsia" w:ascii="仿宋" w:hAnsi="仿宋" w:eastAsia="仿宋" w:cs="宋体"/>
          <w:color w:val="000000" w:themeColor="text1"/>
          <w:highlight w:val="none"/>
          <w:lang w:eastAsia="zh-CN"/>
          <w14:textFill>
            <w14:solidFill>
              <w14:schemeClr w14:val="tx1"/>
            </w14:solidFill>
          </w14:textFill>
        </w:rPr>
        <w:t>发包人累计支付至合同内完成工程量的</w:t>
      </w:r>
      <w:r>
        <w:rPr>
          <w:rFonts w:ascii="仿宋" w:hAnsi="仿宋" w:eastAsia="仿宋" w:cs="宋体"/>
          <w:color w:val="000000" w:themeColor="text1"/>
          <w:highlight w:val="none"/>
          <w:lang w:eastAsia="zh-CN"/>
          <w14:textFill>
            <w14:solidFill>
              <w14:schemeClr w14:val="tx1"/>
            </w14:solidFill>
          </w14:textFill>
        </w:rPr>
        <w:t>80%。</w:t>
      </w:r>
    </w:p>
    <w:p w14:paraId="5BE0967D">
      <w:pPr>
        <w:spacing w:line="360" w:lineRule="auto"/>
        <w:ind w:firstLine="1132" w:firstLineChars="472"/>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color w:val="000000" w:themeColor="text1"/>
          <w:highlight w:val="none"/>
          <w:lang w:eastAsia="zh-CN"/>
          <w14:textFill>
            <w14:solidFill>
              <w14:schemeClr w14:val="tx1"/>
            </w14:solidFill>
          </w14:textFill>
        </w:rPr>
        <w:t>（</w:t>
      </w:r>
      <w:r>
        <w:rPr>
          <w:rFonts w:ascii="仿宋" w:hAnsi="仿宋" w:eastAsia="仿宋" w:cs="宋体"/>
          <w:color w:val="000000" w:themeColor="text1"/>
          <w:highlight w:val="none"/>
          <w:lang w:eastAsia="zh-CN"/>
          <w14:textFill>
            <w14:solidFill>
              <w14:schemeClr w14:val="tx1"/>
            </w14:solidFill>
          </w14:textFill>
        </w:rPr>
        <w:t>7</w:t>
      </w:r>
      <w:r>
        <w:rPr>
          <w:rFonts w:hint="eastAsia" w:ascii="仿宋" w:hAnsi="仿宋" w:eastAsia="仿宋" w:cs="宋体"/>
          <w:color w:val="000000" w:themeColor="text1"/>
          <w:highlight w:val="none"/>
          <w:lang w:eastAsia="zh-CN"/>
          <w14:textFill>
            <w14:solidFill>
              <w14:schemeClr w14:val="tx1"/>
            </w14:solidFill>
          </w14:textFill>
        </w:rPr>
        <w:t>）本工程需取得完工验收报告后方可办理工程结算，当工程结算经发包人或发包人主管部门审核完成（内审）后，承包人提交请款资料，向发包人申请拨付至内审结算价的</w:t>
      </w:r>
      <w:r>
        <w:rPr>
          <w:rFonts w:ascii="仿宋" w:hAnsi="仿宋" w:eastAsia="仿宋" w:cs="宋体"/>
          <w:color w:val="000000" w:themeColor="text1"/>
          <w:highlight w:val="none"/>
          <w:lang w:eastAsia="zh-CN"/>
          <w14:textFill>
            <w14:solidFill>
              <w14:schemeClr w14:val="tx1"/>
            </w14:solidFill>
          </w14:textFill>
        </w:rPr>
        <w:t>90%。如工程已具备结算条件而因承包人原因两年内不结算的，监理单位与发包人有权根据已有工程资料送</w:t>
      </w:r>
      <w:r>
        <w:rPr>
          <w:rFonts w:hint="eastAsia" w:ascii="仿宋" w:hAnsi="仿宋" w:eastAsia="仿宋"/>
          <w:color w:val="000000" w:themeColor="text1"/>
          <w:highlight w:val="none"/>
          <w:lang w:eastAsia="zh-CN"/>
          <w14:textFill>
            <w14:solidFill>
              <w14:schemeClr w14:val="tx1"/>
            </w14:solidFill>
          </w14:textFill>
        </w:rPr>
        <w:t>有权</w:t>
      </w:r>
      <w:r>
        <w:rPr>
          <w:rFonts w:ascii="仿宋" w:hAnsi="仿宋" w:eastAsia="仿宋" w:cs="宋体"/>
          <w:color w:val="000000" w:themeColor="text1"/>
          <w:highlight w:val="none"/>
          <w:lang w:eastAsia="zh-CN"/>
          <w14:textFill>
            <w14:solidFill>
              <w14:schemeClr w14:val="tx1"/>
            </w14:solidFill>
          </w14:textFill>
        </w:rPr>
        <w:t>结算</w:t>
      </w:r>
      <w:r>
        <w:rPr>
          <w:rFonts w:hint="eastAsia" w:ascii="仿宋" w:hAnsi="仿宋" w:eastAsia="仿宋"/>
          <w:color w:val="000000" w:themeColor="text1"/>
          <w:highlight w:val="none"/>
          <w:lang w:eastAsia="zh-CN"/>
          <w14:textFill>
            <w14:solidFill>
              <w14:schemeClr w14:val="tx1"/>
            </w14:solidFill>
          </w14:textFill>
        </w:rPr>
        <w:t>终审部门</w:t>
      </w:r>
      <w:r>
        <w:rPr>
          <w:rFonts w:hint="eastAsia" w:ascii="仿宋" w:hAnsi="仿宋" w:eastAsia="仿宋" w:cs="宋体"/>
          <w:color w:val="000000" w:themeColor="text1"/>
          <w:highlight w:val="none"/>
          <w:lang w:eastAsia="zh-CN"/>
          <w14:textFill>
            <w14:solidFill>
              <w14:schemeClr w14:val="tx1"/>
            </w14:solidFill>
          </w14:textFill>
        </w:rPr>
        <w:t>办理</w:t>
      </w:r>
      <w:r>
        <w:rPr>
          <w:rFonts w:ascii="仿宋" w:hAnsi="仿宋" w:eastAsia="仿宋" w:cs="宋体"/>
          <w:color w:val="000000" w:themeColor="text1"/>
          <w:highlight w:val="none"/>
          <w:lang w:eastAsia="zh-CN"/>
          <w14:textFill>
            <w14:solidFill>
              <w14:schemeClr w14:val="tx1"/>
            </w14:solidFill>
          </w14:textFill>
        </w:rPr>
        <w:t>本项目结算。双方同意本工程以</w:t>
      </w:r>
      <w:r>
        <w:rPr>
          <w:rFonts w:hint="eastAsia" w:ascii="仿宋" w:hAnsi="仿宋" w:eastAsia="仿宋"/>
          <w:color w:val="000000" w:themeColor="text1"/>
          <w:highlight w:val="none"/>
          <w:lang w:eastAsia="zh-CN"/>
          <w14:textFill>
            <w14:solidFill>
              <w14:schemeClr w14:val="tx1"/>
            </w14:solidFill>
          </w14:textFill>
        </w:rPr>
        <w:t>有权</w:t>
      </w:r>
      <w:r>
        <w:rPr>
          <w:rFonts w:ascii="仿宋" w:hAnsi="仿宋" w:eastAsia="仿宋" w:cs="宋体"/>
          <w:color w:val="000000" w:themeColor="text1"/>
          <w:highlight w:val="none"/>
          <w:lang w:eastAsia="zh-CN"/>
          <w14:textFill>
            <w14:solidFill>
              <w14:schemeClr w14:val="tx1"/>
            </w14:solidFill>
          </w14:textFill>
        </w:rPr>
        <w:t>结算</w:t>
      </w:r>
      <w:r>
        <w:rPr>
          <w:rFonts w:hint="eastAsia" w:ascii="仿宋" w:hAnsi="仿宋" w:eastAsia="仿宋"/>
          <w:color w:val="000000" w:themeColor="text1"/>
          <w:highlight w:val="none"/>
          <w:lang w:eastAsia="zh-CN"/>
          <w14:textFill>
            <w14:solidFill>
              <w14:schemeClr w14:val="tx1"/>
            </w14:solidFill>
          </w14:textFill>
        </w:rPr>
        <w:t>终审部门</w:t>
      </w:r>
      <w:r>
        <w:rPr>
          <w:rFonts w:ascii="仿宋" w:hAnsi="仿宋" w:eastAsia="仿宋" w:cs="宋体"/>
          <w:color w:val="000000" w:themeColor="text1"/>
          <w:highlight w:val="none"/>
          <w:lang w:eastAsia="zh-CN"/>
          <w14:textFill>
            <w14:solidFill>
              <w14:schemeClr w14:val="tx1"/>
            </w14:solidFill>
          </w14:textFill>
        </w:rPr>
        <w:t>审</w:t>
      </w:r>
      <w:r>
        <w:rPr>
          <w:rFonts w:hint="eastAsia" w:ascii="仿宋" w:hAnsi="仿宋" w:eastAsia="仿宋"/>
          <w:color w:val="000000" w:themeColor="text1"/>
          <w:highlight w:val="none"/>
          <w:lang w:eastAsia="zh-CN"/>
          <w14:textFill>
            <w14:solidFill>
              <w14:schemeClr w14:val="tx1"/>
            </w14:solidFill>
          </w14:textFill>
        </w:rPr>
        <w:t>定</w:t>
      </w:r>
      <w:r>
        <w:rPr>
          <w:rFonts w:ascii="仿宋" w:hAnsi="仿宋" w:eastAsia="仿宋" w:cs="宋体"/>
          <w:color w:val="000000" w:themeColor="text1"/>
          <w:highlight w:val="none"/>
          <w:lang w:eastAsia="zh-CN"/>
          <w14:textFill>
            <w14:solidFill>
              <w14:schemeClr w14:val="tx1"/>
            </w14:solidFill>
          </w14:textFill>
        </w:rPr>
        <w:t>结果作为最终结算依据。</w:t>
      </w:r>
    </w:p>
    <w:p w14:paraId="51FA1652">
      <w:pPr>
        <w:autoSpaceDE w:val="0"/>
        <w:autoSpaceDN w:val="0"/>
        <w:spacing w:line="360" w:lineRule="auto"/>
        <w:ind w:right="11" w:firstLine="1132" w:firstLineChars="472"/>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8</w:t>
      </w:r>
      <w:r>
        <w:rPr>
          <w:rFonts w:hint="eastAsia" w:ascii="仿宋" w:hAnsi="仿宋" w:eastAsia="仿宋" w:cs="宋体"/>
          <w:snapToGrid w:val="0"/>
          <w:color w:val="000000" w:themeColor="text1"/>
          <w:highlight w:val="none"/>
          <w:lang w:eastAsia="zh-CN"/>
          <w14:textFill>
            <w14:solidFill>
              <w14:schemeClr w14:val="tx1"/>
            </w14:solidFill>
          </w14:textFill>
        </w:rPr>
        <w:t>）本合同工程结算经终审部门定审、承包人按专用条款第</w:t>
      </w:r>
      <w:r>
        <w:rPr>
          <w:rFonts w:ascii="仿宋" w:hAnsi="仿宋" w:eastAsia="仿宋" w:cs="宋体"/>
          <w:snapToGrid w:val="0"/>
          <w:color w:val="000000" w:themeColor="text1"/>
          <w:highlight w:val="none"/>
          <w:lang w:eastAsia="zh-CN"/>
          <w14:textFill>
            <w14:solidFill>
              <w14:schemeClr w14:val="tx1"/>
            </w14:solidFill>
          </w14:textFill>
        </w:rPr>
        <w:t>65.6款约定完整移交工程且不发生</w:t>
      </w:r>
      <w:r>
        <w:rPr>
          <w:rFonts w:hint="eastAsia" w:ascii="仿宋" w:hAnsi="仿宋" w:eastAsia="仿宋" w:cs="宋体"/>
          <w:snapToGrid w:val="0"/>
          <w:color w:val="000000" w:themeColor="text1"/>
          <w:highlight w:val="none"/>
          <w:lang w:val="zh-CN" w:eastAsia="zh-CN"/>
          <w14:textFill>
            <w14:solidFill>
              <w14:schemeClr w14:val="tx1"/>
            </w14:solidFill>
          </w14:textFill>
        </w:rPr>
        <w:t>专用条款</w:t>
      </w:r>
      <w:r>
        <w:rPr>
          <w:rFonts w:hint="eastAsia" w:ascii="仿宋" w:hAnsi="仿宋" w:eastAsia="仿宋" w:cs="宋体"/>
          <w:snapToGrid w:val="0"/>
          <w:color w:val="000000" w:themeColor="text1"/>
          <w:highlight w:val="none"/>
          <w:lang w:eastAsia="zh-CN"/>
          <w14:textFill>
            <w14:solidFill>
              <w14:schemeClr w14:val="tx1"/>
            </w14:solidFill>
          </w14:textFill>
        </w:rPr>
        <w:t>第</w:t>
      </w:r>
      <w:r>
        <w:rPr>
          <w:rFonts w:ascii="仿宋" w:hAnsi="仿宋" w:eastAsia="仿宋" w:cs="宋体"/>
          <w:snapToGrid w:val="0"/>
          <w:color w:val="000000" w:themeColor="text1"/>
          <w:highlight w:val="none"/>
          <w:lang w:eastAsia="zh-CN"/>
          <w14:textFill>
            <w14:solidFill>
              <w14:schemeClr w14:val="tx1"/>
            </w14:solidFill>
          </w14:textFill>
        </w:rPr>
        <w:t>95.</w:t>
      </w:r>
      <w:r>
        <w:rPr>
          <w:rFonts w:hint="eastAsia" w:ascii="仿宋" w:hAnsi="仿宋" w:eastAsia="仿宋" w:cs="宋体"/>
          <w:snapToGrid w:val="0"/>
          <w:color w:val="000000" w:themeColor="text1"/>
          <w:highlight w:val="none"/>
          <w:lang w:eastAsia="zh-CN"/>
          <w14:textFill>
            <w14:solidFill>
              <w14:schemeClr w14:val="tx1"/>
            </w14:solidFill>
          </w14:textFill>
        </w:rPr>
        <w:t>5（</w:t>
      </w:r>
      <w:r>
        <w:rPr>
          <w:rFonts w:ascii="仿宋" w:hAnsi="仿宋" w:eastAsia="仿宋" w:cs="宋体"/>
          <w:snapToGrid w:val="0"/>
          <w:color w:val="000000" w:themeColor="text1"/>
          <w:highlight w:val="none"/>
          <w:lang w:eastAsia="zh-CN"/>
          <w14:textFill>
            <w14:solidFill>
              <w14:schemeClr w14:val="tx1"/>
            </w14:solidFill>
          </w14:textFill>
        </w:rPr>
        <w:t>3）、（4）</w:t>
      </w:r>
      <w:r>
        <w:rPr>
          <w:rFonts w:ascii="仿宋" w:hAnsi="仿宋" w:eastAsia="仿宋" w:cs="宋体"/>
          <w:snapToGrid w:val="0"/>
          <w:color w:val="000000" w:themeColor="text1"/>
          <w:highlight w:val="none"/>
          <w:lang w:val="zh-CN" w:eastAsia="zh-CN"/>
          <w14:textFill>
            <w14:solidFill>
              <w14:schemeClr w14:val="tx1"/>
            </w14:solidFill>
          </w14:textFill>
        </w:rPr>
        <w:t>款</w:t>
      </w:r>
      <w:r>
        <w:rPr>
          <w:rFonts w:hint="eastAsia" w:ascii="仿宋" w:hAnsi="仿宋" w:eastAsia="仿宋" w:cs="宋体"/>
          <w:snapToGrid w:val="0"/>
          <w:color w:val="000000" w:themeColor="text1"/>
          <w:highlight w:val="none"/>
          <w:lang w:eastAsia="zh-CN"/>
          <w14:textFill>
            <w14:solidFill>
              <w14:schemeClr w14:val="tx1"/>
            </w14:solidFill>
          </w14:textFill>
        </w:rPr>
        <w:t>的违约情形的，发包人累计支付至</w:t>
      </w:r>
      <w:r>
        <w:rPr>
          <w:rFonts w:hint="eastAsia" w:ascii="仿宋" w:hAnsi="仿宋" w:eastAsia="仿宋" w:cs="宋体"/>
          <w:snapToGrid w:val="0"/>
          <w:color w:val="000000" w:themeColor="text1"/>
          <w:highlight w:val="none"/>
          <w:lang w:val="zh-CN" w:eastAsia="zh-CN"/>
          <w14:textFill>
            <w14:solidFill>
              <w14:schemeClr w14:val="tx1"/>
            </w14:solidFill>
          </w14:textFill>
        </w:rPr>
        <w:t>本合同结算定审金额</w:t>
      </w:r>
      <w:r>
        <w:rPr>
          <w:rFonts w:hint="eastAsia" w:ascii="仿宋" w:hAnsi="仿宋" w:eastAsia="仿宋" w:cs="宋体"/>
          <w:snapToGrid w:val="0"/>
          <w:color w:val="000000" w:themeColor="text1"/>
          <w:highlight w:val="none"/>
          <w:lang w:eastAsia="zh-CN"/>
          <w14:textFill>
            <w14:solidFill>
              <w14:schemeClr w14:val="tx1"/>
            </w14:solidFill>
          </w14:textFill>
        </w:rPr>
        <w:t>的</w:t>
      </w:r>
      <w:r>
        <w:rPr>
          <w:rFonts w:hint="eastAsia" w:ascii="仿宋" w:hAnsi="仿宋" w:eastAsia="仿宋" w:cs="宋体"/>
          <w:snapToGrid w:val="0"/>
          <w:color w:val="000000" w:themeColor="text1"/>
          <w:highlight w:val="none"/>
          <w:lang w:val="en-US" w:eastAsia="zh-CN"/>
          <w14:textFill>
            <w14:solidFill>
              <w14:schemeClr w14:val="tx1"/>
            </w14:solidFill>
          </w14:textFill>
        </w:rPr>
        <w:t>97</w:t>
      </w:r>
      <w:r>
        <w:rPr>
          <w:rFonts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留下本合同结算定审金额的</w:t>
      </w:r>
      <w:r>
        <w:rPr>
          <w:rFonts w:ascii="仿宋" w:hAnsi="仿宋" w:eastAsia="仿宋" w:cs="宋体"/>
          <w:snapToGrid w:val="0"/>
          <w:color w:val="000000" w:themeColor="text1"/>
          <w:highlight w:val="none"/>
          <w:lang w:eastAsia="zh-CN"/>
          <w14:textFill>
            <w14:solidFill>
              <w14:schemeClr w14:val="tx1"/>
            </w14:solidFill>
          </w14:textFill>
        </w:rPr>
        <w:t>3</w:t>
      </w:r>
      <w:r>
        <w:rPr>
          <w:rFonts w:ascii="仿宋" w:hAnsi="仿宋" w:eastAsia="仿宋" w:cs="宋体"/>
          <w:snapToGrid w:val="0"/>
          <w:color w:val="000000" w:themeColor="text1"/>
          <w:highlight w:val="none"/>
          <w:lang w:val="zh-CN" w:eastAsia="zh-CN"/>
          <w14:textFill>
            <w14:solidFill>
              <w14:schemeClr w14:val="tx1"/>
            </w14:solidFill>
          </w14:textFill>
        </w:rPr>
        <w:t>%作为工程质量保证金并按如下约定方式支付：</w:t>
      </w:r>
    </w:p>
    <w:p w14:paraId="02372AA0">
      <w:pPr>
        <w:autoSpaceDE w:val="0"/>
        <w:autoSpaceDN w:val="0"/>
        <w:spacing w:line="360" w:lineRule="auto"/>
        <w:ind w:right="11" w:firstLine="1132" w:firstLineChars="472"/>
        <w:rPr>
          <w:rFonts w:ascii="仿宋" w:hAnsi="仿宋" w:eastAsia="仿宋" w:cs="宋体"/>
          <w:snapToGrid w:val="0"/>
          <w:color w:val="000000" w:themeColor="text1"/>
          <w:highlight w:val="none"/>
          <w:lang w:val="zh-CN" w:eastAsia="zh-CN"/>
          <w14:textFill>
            <w14:solidFill>
              <w14:schemeClr w14:val="tx1"/>
            </w14:solidFill>
          </w14:textFill>
        </w:rPr>
      </w:pPr>
      <w:r>
        <w:rPr>
          <w:rFonts w:ascii="仿宋" w:hAnsi="仿宋" w:eastAsia="仿宋" w:cs="宋体"/>
          <w:snapToGrid w:val="0"/>
          <w:color w:val="000000" w:themeColor="text1"/>
          <w:highlight w:val="none"/>
          <w:lang w:val="zh-CN" w:eastAsia="zh-CN"/>
          <w14:textFill>
            <w14:solidFill>
              <w14:schemeClr w14:val="tx1"/>
            </w14:solidFill>
          </w14:textFill>
        </w:rPr>
        <w:t>1）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Pr>
          <w:rFonts w:hint="eastAsia" w:ascii="仿宋" w:hAnsi="仿宋" w:eastAsia="仿宋" w:cs="宋体"/>
          <w:snapToGrid w:val="0"/>
          <w:color w:val="000000" w:themeColor="text1"/>
          <w:highlight w:val="none"/>
          <w:lang w:val="zh-CN" w:eastAsia="zh-CN"/>
          <w14:textFill>
            <w14:solidFill>
              <w14:schemeClr w14:val="tx1"/>
            </w14:solidFill>
          </w14:textFill>
        </w:rPr>
        <w:t>承包人承担违约责任；承包人自行维修并承担相应费用后，不免除承担对工程损失的赔偿责任。相应违约责任处罚参照专用条款第66.9</w:t>
      </w:r>
      <w:r>
        <w:rPr>
          <w:rFonts w:hint="eastAsia" w:ascii="仿宋" w:hAnsi="仿宋" w:eastAsia="仿宋" w:cs="宋体"/>
          <w:snapToGrid w:val="0"/>
          <w:color w:val="000000" w:themeColor="text1"/>
          <w:highlight w:val="none"/>
          <w:lang w:eastAsia="zh-CN"/>
          <w14:textFill>
            <w14:solidFill>
              <w14:schemeClr w14:val="tx1"/>
            </w14:solidFill>
          </w14:textFill>
        </w:rPr>
        <w:t>款</w:t>
      </w:r>
      <w:r>
        <w:rPr>
          <w:rFonts w:hint="eastAsia" w:ascii="仿宋" w:hAnsi="仿宋" w:eastAsia="仿宋" w:cs="宋体"/>
          <w:snapToGrid w:val="0"/>
          <w:color w:val="000000" w:themeColor="text1"/>
          <w:highlight w:val="none"/>
          <w:lang w:val="zh-CN" w:eastAsia="zh-CN"/>
          <w14:textFill>
            <w14:solidFill>
              <w14:schemeClr w14:val="tx1"/>
            </w14:solidFill>
          </w14:textFill>
        </w:rPr>
        <w:t>处理。</w:t>
      </w:r>
    </w:p>
    <w:p w14:paraId="196ADFA5">
      <w:pPr>
        <w:autoSpaceDE w:val="0"/>
        <w:autoSpaceDN w:val="0"/>
        <w:spacing w:line="360" w:lineRule="auto"/>
        <w:ind w:right="11" w:firstLine="1132" w:firstLineChars="472"/>
        <w:rPr>
          <w:rFonts w:ascii="仿宋" w:hAnsi="仿宋" w:eastAsia="仿宋" w:cs="宋体"/>
          <w:snapToGrid w:val="0"/>
          <w:color w:val="000000" w:themeColor="text1"/>
          <w:highlight w:val="none"/>
          <w:lang w:val="zh-CN" w:eastAsia="zh-CN"/>
          <w14:textFill>
            <w14:solidFill>
              <w14:schemeClr w14:val="tx1"/>
            </w14:solidFill>
          </w14:textFill>
        </w:rPr>
      </w:pPr>
      <w:r>
        <w:rPr>
          <w:rFonts w:ascii="仿宋" w:hAnsi="仿宋" w:eastAsia="仿宋" w:cs="宋体"/>
          <w:snapToGrid w:val="0"/>
          <w:color w:val="000000" w:themeColor="text1"/>
          <w:highlight w:val="none"/>
          <w:lang w:val="zh-CN" w:eastAsia="zh-CN"/>
          <w14:textFill>
            <w14:solidFill>
              <w14:schemeClr w14:val="tx1"/>
            </w14:solidFill>
          </w14:textFill>
        </w:rPr>
        <w:t>2）工程竣工验收合格且缺陷责任期满后，</w:t>
      </w:r>
      <w:r>
        <w:rPr>
          <w:rFonts w:hint="eastAsia" w:ascii="仿宋" w:hAnsi="仿宋" w:eastAsia="仿宋" w:cs="宋体"/>
          <w:snapToGrid w:val="0"/>
          <w:color w:val="000000" w:themeColor="text1"/>
          <w:highlight w:val="none"/>
          <w:lang w:eastAsia="zh-CN"/>
          <w14:textFill>
            <w14:solidFill>
              <w14:schemeClr w14:val="tx1"/>
            </w14:solidFill>
          </w14:textFill>
        </w:rPr>
        <w:t>如承包人</w:t>
      </w:r>
      <w:r>
        <w:rPr>
          <w:rFonts w:hint="eastAsia" w:ascii="仿宋" w:hAnsi="仿宋" w:eastAsia="仿宋" w:cs="宋体"/>
          <w:snapToGrid w:val="0"/>
          <w:color w:val="000000" w:themeColor="text1"/>
          <w:highlight w:val="none"/>
          <w:lang w:val="zh-CN" w:eastAsia="zh-CN"/>
          <w14:textFill>
            <w14:solidFill>
              <w14:schemeClr w14:val="tx1"/>
            </w14:solidFill>
          </w14:textFill>
        </w:rPr>
        <w:t>在工程缺陷责任期内未出现违约情形，发包人应在收到承包人的款项申请手续且扣除应扣款项后三十天内将本合同结算审定金额的</w:t>
      </w:r>
      <w:r>
        <w:rPr>
          <w:rFonts w:ascii="仿宋" w:hAnsi="仿宋" w:eastAsia="仿宋" w:cs="宋体"/>
          <w:snapToGrid w:val="0"/>
          <w:color w:val="000000" w:themeColor="text1"/>
          <w:highlight w:val="none"/>
          <w:lang w:val="zh-CN" w:eastAsia="zh-CN"/>
          <w14:textFill>
            <w14:solidFill>
              <w14:schemeClr w14:val="tx1"/>
            </w14:solidFill>
          </w14:textFill>
        </w:rPr>
        <w:t>3%无息支付给承包人。</w:t>
      </w:r>
    </w:p>
    <w:p w14:paraId="3412742B">
      <w:pPr>
        <w:autoSpaceDE w:val="0"/>
        <w:autoSpaceDN w:val="0"/>
        <w:spacing w:line="360" w:lineRule="auto"/>
        <w:ind w:right="11" w:firstLine="1132" w:firstLineChars="472"/>
        <w:rPr>
          <w:rFonts w:ascii="仿宋" w:hAnsi="仿宋" w:eastAsia="仿宋" w:cs="宋体"/>
          <w:snapToGrid w:val="0"/>
          <w:color w:val="000000" w:themeColor="text1"/>
          <w:highlight w:val="none"/>
          <w:lang w:val="zh-CN" w:eastAsia="zh-CN"/>
          <w14:textFill>
            <w14:solidFill>
              <w14:schemeClr w14:val="tx1"/>
            </w14:solidFill>
          </w14:textFill>
        </w:rPr>
      </w:pPr>
      <w:r>
        <w:rPr>
          <w:rFonts w:ascii="仿宋" w:hAnsi="仿宋" w:eastAsia="仿宋" w:cs="宋体"/>
          <w:snapToGrid w:val="0"/>
          <w:color w:val="000000" w:themeColor="text1"/>
          <w:highlight w:val="none"/>
          <w:lang w:val="zh-CN" w:eastAsia="zh-CN"/>
          <w14:textFill>
            <w14:solidFill>
              <w14:schemeClr w14:val="tx1"/>
            </w14:solidFill>
          </w14:textFill>
        </w:rPr>
        <w:t>3）</w:t>
      </w:r>
      <w:r>
        <w:rPr>
          <w:rFonts w:hint="eastAsia" w:ascii="仿宋" w:hAnsi="仿宋" w:eastAsia="仿宋" w:cs="宋体"/>
          <w:snapToGrid w:val="0"/>
          <w:color w:val="000000" w:themeColor="text1"/>
          <w:highlight w:val="none"/>
          <w:lang w:val="zh-CN" w:eastAsia="zh-CN"/>
          <w14:textFill>
            <w14:solidFill>
              <w14:schemeClr w14:val="tx1"/>
            </w14:solidFill>
          </w14:textFill>
        </w:rPr>
        <w:t>工程优质费（</w:t>
      </w:r>
      <w:r>
        <w:rPr>
          <w:rFonts w:hint="eastAsia" w:ascii="仿宋" w:hAnsi="仿宋" w:eastAsia="仿宋" w:cs="宋体"/>
          <w:snapToGrid w:val="0"/>
          <w:color w:val="000000" w:themeColor="text1"/>
          <w:highlight w:val="none"/>
          <w:lang w:eastAsia="zh-CN"/>
          <w14:textFill>
            <w14:solidFill>
              <w14:schemeClr w14:val="tx1"/>
            </w14:solidFill>
          </w14:textFill>
        </w:rPr>
        <w:t>国家级)</w:t>
      </w:r>
      <w:r>
        <w:rPr>
          <w:rFonts w:hint="eastAsia" w:ascii="仿宋" w:hAnsi="仿宋" w:eastAsia="仿宋" w:cs="宋体"/>
          <w:snapToGrid w:val="0"/>
          <w:color w:val="000000" w:themeColor="text1"/>
          <w:highlight w:val="none"/>
          <w:lang w:val="zh-CN" w:eastAsia="zh-CN"/>
          <w14:textFill>
            <w14:solidFill>
              <w14:schemeClr w14:val="tx1"/>
            </w14:solidFill>
          </w14:textFill>
        </w:rPr>
        <w:t>支付：</w:t>
      </w:r>
      <w:r>
        <w:rPr>
          <w:rFonts w:ascii="仿宋" w:hAnsi="仿宋" w:eastAsia="仿宋" w:cs="宋体"/>
          <w:snapToGrid w:val="0"/>
          <w:color w:val="000000" w:themeColor="text1"/>
          <w:highlight w:val="none"/>
          <w:lang w:val="zh-CN" w:eastAsia="zh-CN"/>
          <w14:textFill>
            <w14:solidFill>
              <w14:schemeClr w14:val="tx1"/>
            </w14:solidFill>
          </w14:textFill>
        </w:rPr>
        <w:t>本工程</w:t>
      </w:r>
      <w:r>
        <w:rPr>
          <w:rFonts w:hint="eastAsia" w:ascii="仿宋" w:hAnsi="仿宋" w:eastAsia="仿宋"/>
          <w:bCs/>
          <w:snapToGrid w:val="0"/>
          <w:color w:val="000000" w:themeColor="text1"/>
          <w:highlight w:val="none"/>
          <w:lang w:eastAsia="zh-CN"/>
          <w14:textFill>
            <w14:solidFill>
              <w14:schemeClr w14:val="tx1"/>
            </w14:solidFill>
          </w14:textFill>
        </w:rPr>
        <w:t>取得合同约定的</w:t>
      </w:r>
      <w:r>
        <w:rPr>
          <w:rFonts w:hint="eastAsia" w:ascii="仿宋" w:hAnsi="仿宋" w:eastAsia="仿宋" w:cs="宋体"/>
          <w:snapToGrid w:val="0"/>
          <w:color w:val="000000" w:themeColor="text1"/>
          <w:highlight w:val="none"/>
          <w:lang w:eastAsia="zh-CN"/>
          <w14:textFill>
            <w14:solidFill>
              <w14:schemeClr w14:val="tx1"/>
            </w14:solidFill>
          </w14:textFill>
        </w:rPr>
        <w:t>一项国家级工程质量奖项</w:t>
      </w:r>
      <w:r>
        <w:rPr>
          <w:rFonts w:hint="eastAsia" w:ascii="仿宋" w:hAnsi="仿宋" w:eastAsia="仿宋" w:cs="宋体"/>
          <w:snapToGrid w:val="0"/>
          <w:color w:val="000000" w:themeColor="text1"/>
          <w:highlight w:val="none"/>
          <w:lang w:val="zh-CN" w:eastAsia="zh-CN"/>
          <w14:textFill>
            <w14:solidFill>
              <w14:schemeClr w14:val="tx1"/>
            </w14:solidFill>
          </w14:textFill>
        </w:rPr>
        <w:t>，发包人</w:t>
      </w:r>
      <w:r>
        <w:rPr>
          <w:rFonts w:hint="eastAsia" w:ascii="仿宋" w:hAnsi="仿宋" w:eastAsia="仿宋" w:cs="宋体"/>
          <w:snapToGrid w:val="0"/>
          <w:color w:val="000000" w:themeColor="text1"/>
          <w:highlight w:val="none"/>
          <w:lang w:eastAsia="zh-CN"/>
          <w14:textFill>
            <w14:solidFill>
              <w14:schemeClr w14:val="tx1"/>
            </w14:solidFill>
          </w14:textFill>
        </w:rPr>
        <w:t>支付相应的</w:t>
      </w:r>
      <w:r>
        <w:rPr>
          <w:rFonts w:hint="eastAsia" w:ascii="仿宋" w:hAnsi="仿宋" w:eastAsia="仿宋" w:cs="宋体"/>
          <w:snapToGrid w:val="0"/>
          <w:color w:val="000000" w:themeColor="text1"/>
          <w:highlight w:val="none"/>
          <w:lang w:val="zh-CN" w:eastAsia="zh-CN"/>
          <w14:textFill>
            <w14:solidFill>
              <w14:schemeClr w14:val="tx1"/>
            </w14:solidFill>
          </w14:textFill>
        </w:rPr>
        <w:t>工程优质费。工程优质费计入竣工结算文件中，与竣工结算款一并支付。超过竣工结算时间后获得的，发包人有权不予支付。</w:t>
      </w:r>
    </w:p>
    <w:p w14:paraId="42FF5B14">
      <w:pPr>
        <w:autoSpaceDE w:val="0"/>
        <w:autoSpaceDN w:val="0"/>
        <w:spacing w:line="360" w:lineRule="auto"/>
        <w:ind w:right="11"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4</w:t>
      </w:r>
      <w:r>
        <w:rPr>
          <w:rFonts w:hint="eastAsia" w:ascii="仿宋" w:hAnsi="仿宋" w:eastAsia="仿宋" w:cs="宋体"/>
          <w:snapToGrid w:val="0"/>
          <w:color w:val="000000" w:themeColor="text1"/>
          <w:highlight w:val="none"/>
          <w:lang w:eastAsia="zh-CN"/>
          <w14:textFill>
            <w14:solidFill>
              <w14:schemeClr w14:val="tx1"/>
            </w14:solidFill>
          </w14:textFill>
        </w:rPr>
        <w:t>）结清工程尾款不豁免承包人继续按照本合同（含合同附件）约定应承担的保修责任。</w:t>
      </w:r>
    </w:p>
    <w:p w14:paraId="5955F6B7">
      <w:pPr>
        <w:spacing w:line="360" w:lineRule="auto"/>
        <w:ind w:right="11"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9</w:t>
      </w:r>
      <w:r>
        <w:rPr>
          <w:rFonts w:hint="eastAsia" w:ascii="仿宋" w:hAnsi="仿宋" w:eastAsia="仿宋" w:cs="宋体"/>
          <w:snapToGrid w:val="0"/>
          <w:color w:val="000000" w:themeColor="text1"/>
          <w:highlight w:val="none"/>
          <w:lang w:eastAsia="zh-CN"/>
          <w14:textFill>
            <w14:solidFill>
              <w14:schemeClr w14:val="tx1"/>
            </w14:solidFill>
          </w14:textFill>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51E6AC43">
      <w:pPr>
        <w:spacing w:line="360" w:lineRule="auto"/>
        <w:ind w:right="11" w:firstLine="1132" w:firstLineChars="472"/>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10</w:t>
      </w:r>
      <w:r>
        <w:rPr>
          <w:rFonts w:hint="eastAsia" w:ascii="仿宋" w:hAnsi="仿宋" w:eastAsia="仿宋" w:cs="宋体"/>
          <w:snapToGrid w:val="0"/>
          <w:color w:val="000000" w:themeColor="text1"/>
          <w:highlight w:val="none"/>
          <w:lang w:eastAsia="zh-CN"/>
          <w14:textFill>
            <w14:solidFill>
              <w14:schemeClr w14:val="tx1"/>
            </w14:solidFill>
          </w14:textFill>
        </w:rPr>
        <w:t>）发包人有权对工程进度付款进行修正：若发包人在对以往历次已签发的进度付款证书进行汇总和复核中发现错或重复的，发包人有权予以修正，应在下期进度付款中扣除或要求承包人足额返还。</w:t>
      </w:r>
    </w:p>
    <w:p w14:paraId="196B61C1">
      <w:pPr>
        <w:pStyle w:val="71"/>
        <w:adjustRightInd w:val="0"/>
        <w:snapToGrid w:val="0"/>
        <w:spacing w:before="0" w:beforeAutospacing="0" w:after="0" w:afterAutospacing="0" w:line="360" w:lineRule="auto"/>
        <w:ind w:firstLine="1132" w:firstLineChars="472"/>
        <w:rPr>
          <w:rFonts w:ascii="仿宋" w:hAnsi="仿宋" w:eastAsia="仿宋"/>
          <w:bCs/>
          <w:color w:val="000000" w:themeColor="text1"/>
          <w:highlight w:val="none"/>
          <w:lang w:eastAsia="zh-CN"/>
          <w14:textFill>
            <w14:solidFill>
              <w14:schemeClr w14:val="tx1"/>
            </w14:solidFill>
          </w14:textFill>
        </w:rPr>
      </w:pPr>
      <w:r>
        <w:rPr>
          <w:rFonts w:hint="eastAsia" w:ascii="仿宋" w:hAnsi="仿宋" w:eastAsia="仿宋"/>
          <w:bCs/>
          <w:color w:val="000000" w:themeColor="text1"/>
          <w:highlight w:val="none"/>
          <w:lang w:eastAsia="zh-CN"/>
          <w14:textFill>
            <w14:solidFill>
              <w14:schemeClr w14:val="tx1"/>
            </w14:solidFill>
          </w14:textFill>
        </w:rPr>
        <w:t>（</w:t>
      </w:r>
      <w:r>
        <w:rPr>
          <w:rFonts w:ascii="仿宋" w:hAnsi="仿宋" w:eastAsia="仿宋"/>
          <w:bCs/>
          <w:color w:val="000000" w:themeColor="text1"/>
          <w:highlight w:val="none"/>
          <w:lang w:eastAsia="zh-CN"/>
          <w14:textFill>
            <w14:solidFill>
              <w14:schemeClr w14:val="tx1"/>
            </w14:solidFill>
          </w14:textFill>
        </w:rPr>
        <w:t>1</w:t>
      </w:r>
      <w:r>
        <w:rPr>
          <w:rFonts w:hint="eastAsia" w:ascii="仿宋" w:hAnsi="仿宋" w:eastAsia="仿宋"/>
          <w:bCs/>
          <w:color w:val="000000" w:themeColor="text1"/>
          <w:highlight w:val="none"/>
          <w:lang w:val="en-US" w:eastAsia="zh-CN"/>
          <w14:textFill>
            <w14:solidFill>
              <w14:schemeClr w14:val="tx1"/>
            </w14:solidFill>
          </w14:textFill>
        </w:rPr>
        <w:t>1</w:t>
      </w:r>
      <w:r>
        <w:rPr>
          <w:rFonts w:hint="eastAsia" w:ascii="仿宋" w:hAnsi="仿宋" w:eastAsia="仿宋"/>
          <w:bCs/>
          <w:color w:val="000000" w:themeColor="text1"/>
          <w:highlight w:val="none"/>
          <w:lang w:eastAsia="zh-CN"/>
          <w14:textFill>
            <w14:solidFill>
              <w14:schemeClr w14:val="tx1"/>
            </w14:solidFill>
          </w14:textFill>
        </w:rPr>
        <w:t>）措施项目费及其他项目费的支付方式</w:t>
      </w:r>
    </w:p>
    <w:p w14:paraId="4791F3AB">
      <w:pPr>
        <w:spacing w:line="360" w:lineRule="auto"/>
        <w:ind w:right="11" w:firstLine="1132" w:firstLineChars="472"/>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bCs/>
          <w:color w:val="000000" w:themeColor="text1"/>
          <w:highlight w:val="none"/>
          <w:lang w:eastAsia="zh-CN"/>
          <w14:textFill>
            <w14:solidFill>
              <w14:schemeClr w14:val="tx1"/>
            </w14:solidFill>
          </w14:textFill>
        </w:rPr>
        <w:t>合价包干部分按工程施工进度比例计算，与进度款按比例一并按月支付；综合单价</w:t>
      </w:r>
      <w:r>
        <w:rPr>
          <w:rFonts w:hint="eastAsia" w:ascii="仿宋" w:hAnsi="仿宋" w:eastAsia="仿宋" w:cs="宋体"/>
          <w:bCs/>
          <w:snapToGrid w:val="0"/>
          <w:color w:val="000000" w:themeColor="text1"/>
          <w:highlight w:val="none"/>
          <w:lang w:eastAsia="zh-CN"/>
          <w14:textFill>
            <w14:solidFill>
              <w14:schemeClr w14:val="tx1"/>
            </w14:solidFill>
          </w14:textFill>
        </w:rPr>
        <w:t>包干部分按施工进度计量，与进度款按比例一并按月支付。</w:t>
      </w:r>
    </w:p>
    <w:p w14:paraId="453DB6B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②政府资金投资工程的支付期、支付办法：</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6B96A0C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(11）本期间应支付或扣留（回）的其他款项：</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r>
        <w:rPr>
          <w:rFonts w:hint="eastAsia" w:ascii="仿宋" w:hAnsi="仿宋" w:eastAsia="仿宋" w:cs="仿宋"/>
          <w:color w:val="000000" w:themeColor="text1"/>
          <w:highlight w:val="none"/>
          <w:lang w:eastAsia="zh-CN"/>
          <w14:textFill>
            <w14:solidFill>
              <w14:schemeClr w14:val="tx1"/>
            </w14:solidFill>
          </w14:textFill>
        </w:rPr>
        <w:t>。</w:t>
      </w:r>
    </w:p>
    <w:p w14:paraId="0CA2010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BIM技术应用</w:t>
      </w:r>
    </w:p>
    <w:p w14:paraId="3E0D44A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①支付期限、比例</w:t>
      </w:r>
    </w:p>
    <w:p w14:paraId="1E0E8FFC">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以月为支付周期，支付比例为本月已完工作或工程款的%。</w:t>
      </w:r>
    </w:p>
    <w:p w14:paraId="2FB67291">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以季度为支付周期，支付比例为本季度已完成工作或工程款的%。</w:t>
      </w:r>
    </w:p>
    <w:p w14:paraId="0555EB1D">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以形象进度为支付周期，支付比例为本形象进度内已完工作或工程款的%或另行约定，具体约定如下：。</w:t>
      </w:r>
    </w:p>
    <w:p w14:paraId="4C29611F">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其他方式： 本合同项目不涉及。</w:t>
      </w:r>
    </w:p>
    <w:p w14:paraId="6A7FB4D5">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②政府资金投资工程的支付期、支付办法：</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52B64FE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设备及工器具购置</w:t>
      </w:r>
    </w:p>
    <w:p w14:paraId="3723D47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①支付期限、比例</w:t>
      </w:r>
    </w:p>
    <w:p w14:paraId="7499BB21">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以月为支付周期，支付比例为本月已完工作或工程款的%。</w:t>
      </w:r>
    </w:p>
    <w:p w14:paraId="48ACD726">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以季度为支付周期，支付比例为本季度已完成工作或工程款的%。</w:t>
      </w:r>
    </w:p>
    <w:p w14:paraId="29C6B7E1">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以形象进度为支付周期，支付比例为本形象进度内已完工作或工程款的%或另行约定，具体约定如下：。</w:t>
      </w:r>
    </w:p>
    <w:p w14:paraId="4788FBDE">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其它方式：。</w:t>
      </w:r>
    </w:p>
    <w:p w14:paraId="6D335846">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②政府资金投资工程的支付期、支付办法：</w:t>
      </w:r>
    </w:p>
    <w:p w14:paraId="3C303D6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其他</w:t>
      </w:r>
    </w:p>
    <w:p w14:paraId="21B143F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①支付期限、比例</w:t>
      </w:r>
    </w:p>
    <w:p w14:paraId="2889D5AB">
      <w:pPr>
        <w:spacing w:line="360" w:lineRule="auto"/>
        <w:ind w:firstLine="849" w:firstLineChars="354"/>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以月为支付周期，支付比例为本月已完工作或工程款的%。</w:t>
      </w:r>
    </w:p>
    <w:p w14:paraId="4AD6C0A9">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以季度为支付周期，支付比例为本季度已完成工作或工程款的%。</w:t>
      </w:r>
    </w:p>
    <w:p w14:paraId="2BA9EE6F">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以形象进度为支付周期，支付比例为本形象进度内已完工作或工程款的%或另行约定，具体约定如下：。</w:t>
      </w:r>
    </w:p>
    <w:p w14:paraId="312CE667">
      <w:pPr>
        <w:spacing w:line="360" w:lineRule="auto"/>
        <w:ind w:firstLine="849" w:firstLineChars="354"/>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其它方式：。</w:t>
      </w:r>
    </w:p>
    <w:p w14:paraId="228FBB3C">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②政府资金投资工程的支付期、支付办法：</w:t>
      </w:r>
    </w:p>
    <w:p w14:paraId="740F969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86.2 期中支付的最低限额为：</w:t>
      </w:r>
    </w:p>
    <w:p w14:paraId="1510D422">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52" w:name="_Toc149731606"/>
      <w:bookmarkStart w:id="753" w:name="_Toc1670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★87. 竣工结算</w:t>
      </w:r>
      <w:bookmarkEnd w:id="752"/>
      <w:bookmarkEnd w:id="753"/>
    </w:p>
    <w:p w14:paraId="41A6D586">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87.1 约定结算程序和时限</w:t>
      </w:r>
    </w:p>
    <w:p w14:paraId="385A3FD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①竣工结算的程序和时限：</w:t>
      </w:r>
    </w:p>
    <w:p w14:paraId="7950AE04">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按通用条款的约定办理。</w:t>
      </w:r>
    </w:p>
    <w:p w14:paraId="2730BA27">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另作约定：。          </w:t>
      </w:r>
    </w:p>
    <w:p w14:paraId="136236D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②过程结算约定</w:t>
      </w:r>
    </w:p>
    <w:p w14:paraId="39DDE929">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□（a）工程勘察费结算的程序：</w:t>
      </w:r>
    </w:p>
    <w:p w14:paraId="11469FB1">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过程结算支付时限与支付比例：</w:t>
      </w:r>
    </w:p>
    <w:p w14:paraId="5D68FBF3">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采用过程结算方法时结算价款的编制与核对：</w:t>
      </w:r>
    </w:p>
    <w:p w14:paraId="1F969164">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□（b）工程设计费结算的程序：</w:t>
      </w:r>
    </w:p>
    <w:p w14:paraId="6E546352">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过程结算支付时限：</w:t>
      </w:r>
    </w:p>
    <w:p w14:paraId="36733142">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采用过程结算方法时结算价款的编制与核对：</w:t>
      </w:r>
    </w:p>
    <w:p w14:paraId="7C357D2D">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□（c）BIM技术应用费结算的程序：</w:t>
      </w:r>
    </w:p>
    <w:p w14:paraId="2B101D2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过程结算支付时限：</w:t>
      </w:r>
    </w:p>
    <w:p w14:paraId="243A8FDF">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采用过程结算方法时结算价款的编制与核对：</w:t>
      </w:r>
    </w:p>
    <w:p w14:paraId="75AE34C7">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□（d）设备及工器具购置费结算的程序：</w:t>
      </w:r>
    </w:p>
    <w:p w14:paraId="372B9D2C">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过程结算支付时限：</w:t>
      </w:r>
    </w:p>
    <w:p w14:paraId="1F396399">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采用过程结算方法时结算价款的编制与核对：</w:t>
      </w:r>
    </w:p>
    <w:p w14:paraId="77AEAA6A">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□（e）建筑安装工程费结算的程序：</w:t>
      </w:r>
    </w:p>
    <w:p w14:paraId="02CC8971">
      <w:pPr>
        <w:spacing w:line="360" w:lineRule="auto"/>
        <w:ind w:firstLine="991" w:firstLineChars="413"/>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一、施工过程结算的程序：</w:t>
      </w:r>
    </w:p>
    <w:p w14:paraId="7BC15AEF">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二、施工过程结算节点的约定：</w:t>
      </w:r>
    </w:p>
    <w:p w14:paraId="43CA8D72">
      <w:pPr>
        <w:spacing w:line="360" w:lineRule="auto"/>
        <w:ind w:firstLine="1274" w:firstLineChars="531"/>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□工程分标段施工的，以标段完成作为施工过程结算节点：</w:t>
      </w:r>
    </w:p>
    <w:p w14:paraId="4CA11A51">
      <w:pPr>
        <w:spacing w:line="360" w:lineRule="auto"/>
        <w:ind w:firstLine="1274" w:firstLineChars="531"/>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□合同工程包括有多个单项工程、单位工程，以单项工程、单位工程竣工作为施工过程结算节点，具体节点为：。</w:t>
      </w:r>
    </w:p>
    <w:p w14:paraId="5B7B6F57">
      <w:pPr>
        <w:spacing w:line="360" w:lineRule="auto"/>
        <w:ind w:firstLine="1274" w:firstLineChars="53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□规模较大且计划工期超过一年的单项工程，以年度内完成的形象进度节点或时间（季、年等）作为施工过程结算节点，具体节点为：。</w:t>
      </w:r>
    </w:p>
    <w:p w14:paraId="296B353F">
      <w:pPr>
        <w:spacing w:line="360" w:lineRule="auto"/>
        <w:ind w:firstLine="1274" w:firstLineChars="53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□以完成合同约定的专业工程或附属工程作为施工过程结算节点，具体节点为：。</w:t>
      </w:r>
    </w:p>
    <w:p w14:paraId="10E68729">
      <w:pPr>
        <w:spacing w:line="360" w:lineRule="auto"/>
        <w:ind w:firstLine="1274" w:firstLineChars="531"/>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□其他：。</w:t>
      </w:r>
    </w:p>
    <w:p w14:paraId="76DBD821">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三、施工过程结算价款的编制与核对：</w:t>
      </w:r>
    </w:p>
    <w:p w14:paraId="6AFF5895">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四、采用施工过程结算方法时竣工结算价款的编制与核对：</w:t>
      </w:r>
    </w:p>
    <w:p w14:paraId="60F629DD">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五、施工过程结算支付时限：</w:t>
      </w:r>
    </w:p>
    <w:p w14:paraId="5EB0E61D">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六、施工过程结算的其他约定：。</w:t>
      </w:r>
    </w:p>
    <w:p w14:paraId="4378D6C7">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□（f）其他项目结算的程序：</w:t>
      </w:r>
    </w:p>
    <w:p w14:paraId="0DD46DE2">
      <w:pPr>
        <w:spacing w:line="360" w:lineRule="auto"/>
        <w:ind w:firstLine="991" w:firstLineChars="413"/>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过程结算支付时限：</w:t>
      </w:r>
    </w:p>
    <w:p w14:paraId="2988258F">
      <w:pPr>
        <w:spacing w:line="360" w:lineRule="auto"/>
        <w:ind w:firstLine="991" w:firstLineChars="413"/>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采用过程结算方法时结算价款的编制与核对：</w:t>
      </w:r>
    </w:p>
    <w:p w14:paraId="6715AA1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87.2 递交结算文件及其限制</w:t>
      </w:r>
    </w:p>
    <w:p w14:paraId="452B886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①竣工结算文件清单：</w:t>
      </w:r>
    </w:p>
    <w:p w14:paraId="321CB2E8">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勘察服务费结算书</w:t>
      </w:r>
    </w:p>
    <w:p w14:paraId="12083FCE">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设计服务费结算书</w:t>
      </w:r>
    </w:p>
    <w:p w14:paraId="61848D49">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□设备及工</w:t>
      </w:r>
      <w:r>
        <w:rPr>
          <w:rFonts w:ascii="仿宋" w:hAnsi="仿宋" w:eastAsia="仿宋" w:cs="仿宋"/>
          <w:color w:val="000000" w:themeColor="text1"/>
          <w:highlight w:val="none"/>
          <w:lang w:eastAsia="zh-CN"/>
          <w14:textFill>
            <w14:solidFill>
              <w14:schemeClr w14:val="tx1"/>
            </w14:solidFill>
          </w14:textFill>
        </w:rPr>
        <w:t>器具</w:t>
      </w:r>
      <w:r>
        <w:rPr>
          <w:rFonts w:hint="eastAsia" w:ascii="仿宋" w:hAnsi="仿宋" w:eastAsia="仿宋" w:cs="仿宋"/>
          <w:color w:val="000000" w:themeColor="text1"/>
          <w:highlight w:val="none"/>
          <w:lang w:eastAsia="zh-CN"/>
          <w14:textFill>
            <w14:solidFill>
              <w14:schemeClr w14:val="tx1"/>
            </w14:solidFill>
          </w14:textFill>
        </w:rPr>
        <w:t>购置费结算书（如果有）</w:t>
      </w:r>
    </w:p>
    <w:p w14:paraId="352D265A">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BIM技术应用费结算书</w:t>
      </w:r>
    </w:p>
    <w:p w14:paraId="202515B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建筑安装工程费结算书</w:t>
      </w:r>
    </w:p>
    <w:p w14:paraId="49BE470C">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其他：</w:t>
      </w:r>
    </w:p>
    <w:p w14:paraId="23B87B1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②竣工结算需要提供的其他资料</w:t>
      </w:r>
    </w:p>
    <w:p w14:paraId="7756F220">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（1）工程量计算书</w:t>
      </w:r>
    </w:p>
    <w:p w14:paraId="5D93AE7C">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（2）钢筋抽料表（如果有）</w:t>
      </w:r>
    </w:p>
    <w:p w14:paraId="0599A471">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（3）本合同</w:t>
      </w:r>
    </w:p>
    <w:p w14:paraId="72462AE9">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（4）工程竣工图</w:t>
      </w:r>
    </w:p>
    <w:p w14:paraId="08E91EC4">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（5）工作成果验收确认或工程完工验收资料</w:t>
      </w:r>
    </w:p>
    <w:p w14:paraId="724DEAE4">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（6）图纸会审记录</w:t>
      </w:r>
    </w:p>
    <w:p w14:paraId="323914AE">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（7）设计变更单</w:t>
      </w:r>
    </w:p>
    <w:p w14:paraId="52DB27C2">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（8）工程洽商记录</w:t>
      </w:r>
    </w:p>
    <w:p w14:paraId="3C91216E">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（9）监理人通知或发包人工作指令、开工令</w:t>
      </w:r>
    </w:p>
    <w:p w14:paraId="26BC5EA4">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（10）会议纪要</w:t>
      </w:r>
    </w:p>
    <w:p w14:paraId="23877FB7">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（11）现场签证单</w:t>
      </w:r>
    </w:p>
    <w:p w14:paraId="203B438F">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（12）工程材料、工程设备单价呈批审核单</w:t>
      </w:r>
    </w:p>
    <w:p w14:paraId="1C9B81A5">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（13）综合单价呈批审核单</w:t>
      </w:r>
    </w:p>
    <w:p w14:paraId="14C94F5E">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（14）招标文件、答疑纪要</w:t>
      </w:r>
    </w:p>
    <w:p w14:paraId="09F6740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（15）投标文件（含经济标软件版）、中标通知书</w:t>
      </w:r>
    </w:p>
    <w:p w14:paraId="4ECD46AB">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（16）发包人供应工程材料收货验收签收单</w:t>
      </w:r>
    </w:p>
    <w:p w14:paraId="341CF513">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（17）工期履行审核表</w:t>
      </w:r>
    </w:p>
    <w:p w14:paraId="55F2A368">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（18）移交资料签收表</w:t>
      </w:r>
    </w:p>
    <w:p w14:paraId="5873ADE3">
      <w:pPr>
        <w:spacing w:line="360" w:lineRule="auto"/>
        <w:ind w:firstLine="708" w:firstLineChars="295"/>
        <w:rPr>
          <w:rFonts w:ascii="仿宋" w:hAnsi="仿宋" w:eastAsia="仿宋"/>
          <w:color w:val="000000" w:themeColor="text1"/>
          <w:sz w:val="30"/>
          <w:szCs w:val="30"/>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（19）其他有关资料：</w:t>
      </w:r>
      <w:r>
        <w:rPr>
          <w:rFonts w:hint="eastAsia" w:ascii="仿宋" w:hAnsi="仿宋" w:eastAsia="仿宋" w:cs="仿宋"/>
          <w:color w:val="000000" w:themeColor="text1"/>
          <w:highlight w:val="none"/>
          <w:u w:val="single"/>
          <w:lang w:eastAsia="zh-CN"/>
          <w14:textFill>
            <w14:solidFill>
              <w14:schemeClr w14:val="tx1"/>
            </w14:solidFill>
          </w14:textFill>
        </w:rPr>
        <w:t xml:space="preserve"> 按财政部门结算资料要求。  </w:t>
      </w:r>
    </w:p>
    <w:p w14:paraId="68E2C6E3">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54" w:name="_Toc18625"/>
      <w:bookmarkStart w:id="755" w:name="_Toc149731607"/>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★88.  结算款</w:t>
      </w:r>
      <w:bookmarkEnd w:id="754"/>
      <w:bookmarkEnd w:id="755"/>
    </w:p>
    <w:p w14:paraId="5EF4E21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88.1 提交竣工支付申请</w:t>
      </w:r>
    </w:p>
    <w:p w14:paraId="7393185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①竣工支付时限</w:t>
      </w:r>
    </w:p>
    <w:p w14:paraId="6D1AEA4C">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按通用条款的约定，在造价咨询人签发竣工结算支付证书后的28天内。</w:t>
      </w:r>
    </w:p>
    <w:p w14:paraId="3C9B5421">
      <w:pPr>
        <w:spacing w:line="360" w:lineRule="auto"/>
        <w:ind w:firstLine="708" w:firstLineChars="295"/>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另有约定：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按财政部门结算支付要求执行 </w:t>
      </w:r>
      <w:r>
        <w:rPr>
          <w:rFonts w:hint="eastAsia" w:ascii="仿宋" w:hAnsi="仿宋" w:eastAsia="仿宋" w:cs="仿宋"/>
          <w:color w:val="000000" w:themeColor="text1"/>
          <w:highlight w:val="none"/>
          <w:lang w:eastAsia="zh-CN"/>
          <w14:textFill>
            <w14:solidFill>
              <w14:schemeClr w14:val="tx1"/>
            </w14:solidFill>
          </w14:textFill>
        </w:rPr>
        <w:t>。</w:t>
      </w:r>
    </w:p>
    <w:p w14:paraId="2DF74CD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56" w:name="_Toc25969"/>
      <w:r>
        <w:rPr>
          <w:rFonts w:hint="eastAsia" w:ascii="仿宋" w:hAnsi="仿宋" w:eastAsia="仿宋" w:cs="仿宋"/>
          <w:color w:val="000000" w:themeColor="text1"/>
          <w:highlight w:val="none"/>
          <w:lang w:eastAsia="zh-CN"/>
          <w14:textFill>
            <w14:solidFill>
              <w14:schemeClr w14:val="tx1"/>
            </w14:solidFill>
          </w14:textFill>
        </w:rPr>
        <w:t>②政府资金投资工程的支付期、支付办法</w:t>
      </w:r>
      <w:bookmarkEnd w:id="756"/>
    </w:p>
    <w:p w14:paraId="034B4EDD">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按通用条款的约定。</w:t>
      </w:r>
    </w:p>
    <w:p w14:paraId="7B1D32B2">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另有约定：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按财政部门结算支付要求执行 </w:t>
      </w:r>
      <w:r>
        <w:rPr>
          <w:rFonts w:hint="eastAsia" w:ascii="仿宋" w:hAnsi="仿宋" w:eastAsia="仿宋" w:cs="仿宋"/>
          <w:color w:val="000000" w:themeColor="text1"/>
          <w:highlight w:val="none"/>
          <w:lang w:eastAsia="zh-CN"/>
          <w14:textFill>
            <w14:solidFill>
              <w14:schemeClr w14:val="tx1"/>
            </w14:solidFill>
          </w14:textFill>
        </w:rPr>
        <w:t>。</w:t>
      </w:r>
    </w:p>
    <w:p w14:paraId="2A2EE2A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③实施过程结算的，其竣工结算支付方法：</w:t>
      </w:r>
    </w:p>
    <w:p w14:paraId="63B93718">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57" w:name="_Toc12747"/>
      <w:bookmarkStart w:id="758" w:name="_Toc149731608"/>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★89.  质量保证金</w:t>
      </w:r>
      <w:bookmarkEnd w:id="757"/>
      <w:bookmarkEnd w:id="758"/>
    </w:p>
    <w:p w14:paraId="5383702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89.2 质量保证金的约定与扣留</w:t>
      </w:r>
    </w:p>
    <w:p w14:paraId="7473741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89.2.1质量保证金预留方式</w:t>
      </w:r>
    </w:p>
    <w:p w14:paraId="0C399F54">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由承包人提交质量保证金银行保函；</w:t>
      </w:r>
    </w:p>
    <w:p w14:paraId="19A20E7E">
      <w:pPr>
        <w:pStyle w:val="40"/>
        <w:widowControl w:val="0"/>
        <w:adjustRightInd w:val="0"/>
        <w:snapToGrid w:val="0"/>
        <w:spacing w:line="360" w:lineRule="auto"/>
        <w:ind w:firstLine="708" w:firstLineChars="295"/>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sym w:font="Wingdings 2" w:char="00A3"/>
      </w:r>
      <w:r>
        <w:rPr>
          <w:rFonts w:hint="eastAsia" w:ascii="仿宋" w:hAnsi="仿宋" w:eastAsia="仿宋" w:cs="仿宋"/>
          <w:color w:val="000000" w:themeColor="text1"/>
          <w:sz w:val="24"/>
          <w:szCs w:val="24"/>
          <w:highlight w:val="none"/>
          <w:lang w:eastAsia="zh-CN"/>
          <w14:textFill>
            <w14:solidFill>
              <w14:schemeClr w14:val="tx1"/>
            </w14:solidFill>
          </w14:textFill>
        </w:rPr>
        <w:t>由承包人提交质量保证金担保公司担保；</w:t>
      </w:r>
    </w:p>
    <w:p w14:paraId="7912BB5B">
      <w:pPr>
        <w:pStyle w:val="40"/>
        <w:widowControl w:val="0"/>
        <w:adjustRightInd w:val="0"/>
        <w:snapToGrid w:val="0"/>
        <w:spacing w:line="360" w:lineRule="auto"/>
        <w:ind w:firstLine="708" w:firstLineChars="295"/>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□由承包人提交质量保证金保证保险；</w:t>
      </w:r>
    </w:p>
    <w:p w14:paraId="5EAA8C1E">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bookmarkStart w:id="759" w:name="_Hlk149724182"/>
      <w:r>
        <w:rPr>
          <w:rFonts w:hint="eastAsia" w:ascii="仿宋" w:hAnsi="仿宋" w:eastAsia="仿宋" w:cs="仿宋"/>
          <w:color w:val="000000" w:themeColor="text1"/>
          <w:highlight w:val="none"/>
          <w:lang w:eastAsia="zh-CN"/>
          <w14:textFill>
            <w14:solidFill>
              <w14:schemeClr w14:val="tx1"/>
            </w14:solidFill>
          </w14:textFill>
        </w:rPr>
        <w:t>□</w:t>
      </w:r>
      <w:bookmarkEnd w:id="759"/>
      <w:r>
        <w:rPr>
          <w:rFonts w:hint="eastAsia" w:ascii="仿宋" w:hAnsi="仿宋" w:eastAsia="仿宋" w:cs="仿宋"/>
          <w:color w:val="000000" w:themeColor="text1"/>
          <w:highlight w:val="none"/>
          <w:lang w:eastAsia="zh-CN"/>
          <w14:textFill>
            <w14:solidFill>
              <w14:schemeClr w14:val="tx1"/>
            </w14:solidFill>
          </w14:textFill>
        </w:rPr>
        <w:t>由发包人在支付工程进度款或结算款时逐次扣留，直到扣留的质量保证金总额达到专用条款约定的金额为止；</w:t>
      </w:r>
    </w:p>
    <w:p w14:paraId="4FCE30B1">
      <w:pPr>
        <w:pStyle w:val="40"/>
        <w:widowControl w:val="0"/>
        <w:adjustRightInd w:val="0"/>
        <w:snapToGrid w:val="0"/>
        <w:spacing w:line="360" w:lineRule="auto"/>
        <w:ind w:firstLine="708" w:firstLineChars="295"/>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□由发包人选择在工程竣工结算时一次性扣留相应比例的工程款；</w:t>
      </w:r>
    </w:p>
    <w:p w14:paraId="342ECF51">
      <w:pPr>
        <w:pStyle w:val="40"/>
        <w:widowControl w:val="0"/>
        <w:adjustRightInd w:val="0"/>
        <w:snapToGrid w:val="0"/>
        <w:spacing w:line="360" w:lineRule="auto"/>
        <w:ind w:firstLine="708" w:firstLineChars="295"/>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□双方约定的其他方式：</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02D4282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89.2.2质量保证金金额的约定：</w:t>
      </w:r>
    </w:p>
    <w:p w14:paraId="20160058">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52"/>
      </w:r>
      <w:r>
        <w:rPr>
          <w:rFonts w:hint="eastAsia" w:ascii="仿宋" w:hAnsi="仿宋" w:eastAsia="仿宋" w:cs="仿宋"/>
          <w:color w:val="000000" w:themeColor="text1"/>
          <w:highlight w:val="none"/>
          <w:lang w:eastAsia="zh-CN"/>
          <w14:textFill>
            <w14:solidFill>
              <w14:schemeClr w14:val="tx1"/>
            </w14:solidFill>
          </w14:textFill>
        </w:rPr>
        <w:t>按通用条款约定为合同价格中建筑安装工程费、设备及工器具购置费（如果有）部分结算总额的3%，即 元。</w:t>
      </w:r>
    </w:p>
    <w:p w14:paraId="0717FA14">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□另有约定：</w:t>
      </w:r>
      <w:r>
        <w:rPr>
          <w:rFonts w:hint="eastAsia" w:ascii="仿宋" w:hAnsi="仿宋" w:eastAsia="仿宋" w:cs="仿宋"/>
          <w:color w:val="000000" w:themeColor="text1"/>
          <w:highlight w:val="none"/>
          <w:lang w:val="en-US"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w:t>
      </w:r>
    </w:p>
    <w:p w14:paraId="3DE18E08">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89.3 质量保证金的返还</w:t>
      </w:r>
    </w:p>
    <w:p w14:paraId="1112AEA9">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逾期返还质量保证金的计息标准：</w:t>
      </w:r>
    </w:p>
    <w:p w14:paraId="14C35680">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中国人民银行公布的同期贷款利率；</w:t>
      </w:r>
    </w:p>
    <w:p w14:paraId="24DA1C75">
      <w:pPr>
        <w:spacing w:line="360" w:lineRule="auto"/>
        <w:ind w:firstLine="708" w:firstLineChars="295"/>
        <w:rPr>
          <w:rFonts w:ascii="仿宋" w:hAnsi="仿宋" w:eastAsia="仿宋" w:cs="仿宋"/>
          <w:color w:val="000000" w:themeColor="text1"/>
          <w:highlight w:val="none"/>
          <w:lang w:eastAsia="zh-CN" w:bidi="ar-SA"/>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bidi="ar-SA"/>
          <w14:textFill>
            <w14:solidFill>
              <w14:schemeClr w14:val="tx1"/>
            </w14:solidFill>
          </w14:textFill>
        </w:rPr>
        <w:t>全国银行间同业拆借中心公布的贷款市场报价利率（LPR）；</w:t>
      </w:r>
    </w:p>
    <w:p w14:paraId="5E827192">
      <w:pPr>
        <w:spacing w:line="360" w:lineRule="auto"/>
        <w:ind w:firstLine="708" w:firstLineChars="295"/>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另有约定：</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ascii="仿宋" w:hAnsi="仿宋" w:eastAsia="仿宋" w:cs="仿宋"/>
          <w:color w:val="000000" w:themeColor="text1"/>
          <w:highlight w:val="none"/>
          <w:u w:val="single"/>
          <w:lang w:eastAsia="zh-CN"/>
          <w14:textFill>
            <w14:solidFill>
              <w14:schemeClr w14:val="tx1"/>
            </w14:solidFill>
          </w14:textFill>
        </w:rPr>
        <w:t>不计算利息</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p>
    <w:p w14:paraId="4D4BC94D">
      <w:pPr>
        <w:pStyle w:val="5"/>
        <w:tabs>
          <w:tab w:val="left" w:pos="420"/>
        </w:tabs>
        <w:spacing w:before="0" w:after="0" w:line="360" w:lineRule="auto"/>
        <w:rPr>
          <w:rFonts w:ascii="仿宋" w:hAnsi="仿宋" w:eastAsia="仿宋" w:cs="仿宋"/>
          <w:color w:val="000000" w:themeColor="text1"/>
          <w:sz w:val="24"/>
          <w:szCs w:val="24"/>
          <w:highlight w:val="none"/>
          <w:lang w:eastAsia="zh-CN"/>
          <w14:textFill>
            <w14:solidFill>
              <w14:schemeClr w14:val="tx1"/>
            </w14:solidFill>
          </w14:textFill>
        </w:rPr>
      </w:pPr>
      <w:bookmarkStart w:id="760" w:name="_Toc149731609"/>
      <w:bookmarkStart w:id="761" w:name="_Toc6095"/>
      <w:r>
        <w:rPr>
          <w:rFonts w:hint="eastAsia" w:ascii="仿宋" w:hAnsi="仿宋" w:eastAsia="仿宋" w:cs="仿宋"/>
          <w:color w:val="000000" w:themeColor="text1"/>
          <w:sz w:val="24"/>
          <w:szCs w:val="24"/>
          <w:highlight w:val="none"/>
          <w:lang w:eastAsia="zh-CN"/>
          <w14:textFill>
            <w14:solidFill>
              <w14:schemeClr w14:val="tx1"/>
            </w14:solidFill>
          </w14:textFill>
        </w:rPr>
        <w:t>90.  最终清算款</w:t>
      </w:r>
      <w:bookmarkEnd w:id="760"/>
      <w:bookmarkEnd w:id="761"/>
    </w:p>
    <w:p w14:paraId="6F7671F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bookmarkStart w:id="762" w:name="_Toc901"/>
      <w:r>
        <w:rPr>
          <w:rFonts w:hint="eastAsia" w:ascii="仿宋" w:hAnsi="仿宋" w:eastAsia="仿宋" w:cs="仿宋"/>
          <w:color w:val="000000" w:themeColor="text1"/>
          <w:highlight w:val="none"/>
          <w:lang w:eastAsia="zh-CN"/>
          <w14:textFill>
            <w14:solidFill>
              <w14:schemeClr w14:val="tx1"/>
            </w14:solidFill>
          </w14:textFill>
        </w:rPr>
        <w:t>90.1 提交最终清算支付申请</w:t>
      </w:r>
      <w:bookmarkEnd w:id="762"/>
    </w:p>
    <w:p w14:paraId="2DFE7575">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1、最终清算支付申请：</w:t>
      </w:r>
      <w:r>
        <w:rPr>
          <w:rFonts w:hint="eastAsia" w:ascii="仿宋" w:hAnsi="仿宋" w:eastAsia="仿宋" w:cs="仿宋"/>
          <w:color w:val="000000" w:themeColor="text1"/>
          <w:highlight w:val="none"/>
          <w:u w:val="single"/>
          <w:lang w:eastAsia="zh-CN"/>
          <w14:textFill>
            <w14:solidFill>
              <w14:schemeClr w14:val="tx1"/>
            </w14:solidFill>
          </w14:textFill>
        </w:rPr>
        <w:t xml:space="preserve">按财政部门结算支付要求执行 </w:t>
      </w:r>
      <w:r>
        <w:rPr>
          <w:rFonts w:hint="eastAsia" w:ascii="仿宋" w:hAnsi="仿宋" w:eastAsia="仿宋" w:cs="仿宋"/>
          <w:color w:val="000000" w:themeColor="text1"/>
          <w:highlight w:val="none"/>
          <w:lang w:eastAsia="zh-CN"/>
          <w14:textFill>
            <w14:solidFill>
              <w14:schemeClr w14:val="tx1"/>
            </w14:solidFill>
          </w14:textFill>
        </w:rPr>
        <w:t>。</w:t>
      </w:r>
    </w:p>
    <w:p w14:paraId="15ECDEDA">
      <w:pPr>
        <w:spacing w:line="360" w:lineRule="auto"/>
        <w:ind w:firstLine="708" w:firstLineChars="295"/>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2、最终清算支付时限：</w:t>
      </w:r>
      <w:r>
        <w:rPr>
          <w:rFonts w:hint="eastAsia" w:ascii="仿宋" w:hAnsi="仿宋" w:eastAsia="仿宋" w:cs="仿宋"/>
          <w:color w:val="000000" w:themeColor="text1"/>
          <w:highlight w:val="none"/>
          <w:u w:val="single"/>
          <w:lang w:eastAsia="zh-CN"/>
          <w14:textFill>
            <w14:solidFill>
              <w14:schemeClr w14:val="tx1"/>
            </w14:solidFill>
          </w14:textFill>
        </w:rPr>
        <w:t xml:space="preserve">按财政部门结算支付要求执行 </w:t>
      </w:r>
      <w:r>
        <w:rPr>
          <w:rFonts w:hint="eastAsia" w:ascii="仿宋" w:hAnsi="仿宋" w:eastAsia="仿宋" w:cs="仿宋"/>
          <w:color w:val="000000" w:themeColor="text1"/>
          <w:highlight w:val="none"/>
          <w:lang w:eastAsia="zh-CN"/>
          <w14:textFill>
            <w14:solidFill>
              <w14:schemeClr w14:val="tx1"/>
            </w14:solidFill>
          </w14:textFill>
        </w:rPr>
        <w:t>。</w:t>
      </w:r>
    </w:p>
    <w:p w14:paraId="3B2E0067">
      <w:pPr>
        <w:pStyle w:val="5"/>
        <w:tabs>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63" w:name="_Toc25417"/>
      <w:bookmarkStart w:id="764" w:name="_Toc149731610"/>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91.  合同争议</w:t>
      </w:r>
      <w:bookmarkEnd w:id="763"/>
      <w:bookmarkEnd w:id="764"/>
    </w:p>
    <w:p w14:paraId="6ED2338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91.4 调解或认定</w:t>
      </w:r>
    </w:p>
    <w:p w14:paraId="110FA028">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争议调解或认定机构：</w:t>
      </w:r>
    </w:p>
    <w:p w14:paraId="1F7FD76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按通用条款的约定。</w:t>
      </w:r>
    </w:p>
    <w:p w14:paraId="06775F17">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sym w:font="Wingdings 2" w:char="00A3"/>
      </w:r>
      <w:r>
        <w:rPr>
          <w:rFonts w:hint="eastAsia" w:ascii="仿宋" w:hAnsi="仿宋" w:eastAsia="仿宋" w:cs="仿宋"/>
          <w:color w:val="000000" w:themeColor="text1"/>
          <w:highlight w:val="none"/>
          <w:lang w:eastAsia="zh-CN"/>
          <w14:textFill>
            <w14:solidFill>
              <w14:schemeClr w14:val="tx1"/>
            </w14:solidFill>
          </w14:textFill>
        </w:rPr>
        <w:t xml:space="preserve"> 另有约定：</w:t>
      </w:r>
    </w:p>
    <w:p w14:paraId="2C87B293">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65" w:name="_Toc27460"/>
      <w:r>
        <w:rPr>
          <w:rFonts w:hint="eastAsia" w:ascii="仿宋" w:hAnsi="仿宋" w:eastAsia="仿宋" w:cs="仿宋"/>
          <w:color w:val="000000" w:themeColor="text1"/>
          <w:highlight w:val="none"/>
          <w:lang w:eastAsia="zh-CN"/>
          <w14:textFill>
            <w14:solidFill>
              <w14:schemeClr w14:val="tx1"/>
            </w14:solidFill>
          </w14:textFill>
        </w:rPr>
        <w:t>91.6 仲裁或诉讼</w:t>
      </w:r>
      <w:bookmarkEnd w:id="765"/>
    </w:p>
    <w:p w14:paraId="6CDA743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解决争议的方式：</w:t>
      </w:r>
    </w:p>
    <w:p w14:paraId="13AA22E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□向约定的仲裁委员会申请仲裁，约定的仲裁委员会为：</w:t>
      </w:r>
    </w:p>
    <w:p w14:paraId="0109AA33">
      <w:pPr>
        <w:spacing w:line="360" w:lineRule="auto"/>
        <w:ind w:firstLine="48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向工程所在地有管辖权的人民法院提起诉讼。</w:t>
      </w:r>
    </w:p>
    <w:p w14:paraId="6AD3156E">
      <w:pPr>
        <w:pStyle w:val="5"/>
        <w:tabs>
          <w:tab w:val="left" w:pos="360"/>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66" w:name="_Toc149731611"/>
      <w:bookmarkStart w:id="767" w:name="_Toc959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92.  合同解除</w:t>
      </w:r>
      <w:bookmarkEnd w:id="766"/>
      <w:bookmarkEnd w:id="767"/>
    </w:p>
    <w:p w14:paraId="3EEA11ED">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92.3 因承包人的原因解除</w:t>
      </w:r>
    </w:p>
    <w:p w14:paraId="34BE84F2">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承包人有下列情形之一者，发包人可以解除合同：</w:t>
      </w:r>
    </w:p>
    <w:p w14:paraId="0BFEF53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（4）承包人拖延完工且能偿付的误期赔偿费最高限额为元。</w:t>
      </w:r>
    </w:p>
    <w:p w14:paraId="4F11BC0F">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（13）承包人严重违反合同的其他违约行为：</w:t>
      </w:r>
      <w:r>
        <w:rPr>
          <w:rFonts w:hint="eastAsia" w:ascii="仿宋" w:hAnsi="仿宋" w:eastAsia="仿宋" w:cs="仿宋"/>
          <w:color w:val="000000" w:themeColor="text1"/>
          <w:highlight w:val="none"/>
          <w:u w:val="single"/>
          <w:lang w:eastAsia="zh-CN"/>
          <w14:textFill>
            <w14:solidFill>
              <w14:schemeClr w14:val="tx1"/>
            </w14:solidFill>
          </w14:textFill>
        </w:rPr>
        <w:t xml:space="preserve"> 详见合同专用条款第95条</w:t>
      </w:r>
      <w:r>
        <w:rPr>
          <w:rFonts w:hint="eastAsia" w:ascii="仿宋" w:hAnsi="仿宋" w:eastAsia="仿宋" w:cs="仿宋"/>
          <w:color w:val="000000" w:themeColor="text1"/>
          <w:highlight w:val="none"/>
          <w:lang w:eastAsia="zh-CN"/>
          <w14:textFill>
            <w14:solidFill>
              <w14:schemeClr w14:val="tx1"/>
            </w14:solidFill>
          </w14:textFill>
        </w:rPr>
        <w:t xml:space="preserve"> 。</w:t>
      </w:r>
    </w:p>
    <w:p w14:paraId="76686210">
      <w:pPr>
        <w:widowControl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92.4  发包人有下列情形之一者，承包人可以解除合同：</w:t>
      </w:r>
    </w:p>
    <w:p w14:paraId="1D86FF1E">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（9）发包人严重违反合同的其他违约行为：</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r>
        <w:rPr>
          <w:rFonts w:hint="eastAsia" w:ascii="仿宋" w:hAnsi="仿宋" w:eastAsia="仿宋" w:cs="仿宋"/>
          <w:color w:val="000000" w:themeColor="text1"/>
          <w:highlight w:val="none"/>
          <w:lang w:eastAsia="zh-CN"/>
          <w14:textFill>
            <w14:solidFill>
              <w14:schemeClr w14:val="tx1"/>
            </w14:solidFill>
          </w14:textFill>
        </w:rPr>
        <w:t xml:space="preserve"> 。</w:t>
      </w:r>
    </w:p>
    <w:p w14:paraId="5EF5ECC0">
      <w:pPr>
        <w:pStyle w:val="5"/>
        <w:tabs>
          <w:tab w:val="left" w:pos="360"/>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68" w:name="_Toc149731612"/>
      <w:bookmarkStart w:id="769" w:name="_Toc22908"/>
      <w:r>
        <w:rPr>
          <w:rFonts w:hint="eastAsia" w:ascii="仿宋" w:hAnsi="仿宋" w:eastAsia="仿宋" w:cs="仿宋"/>
          <w:bCs w:val="0"/>
          <w:color w:val="000000" w:themeColor="text1"/>
          <w:sz w:val="24"/>
          <w:szCs w:val="24"/>
          <w:highlight w:val="none"/>
          <w:lang w:eastAsia="zh-CN"/>
          <w14:textFill>
            <w14:solidFill>
              <w14:schemeClr w14:val="tx1"/>
            </w14:solidFill>
          </w14:textFill>
        </w:rPr>
        <w:t>★95</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承包人违约</w:t>
      </w:r>
      <w:bookmarkEnd w:id="768"/>
      <w:bookmarkEnd w:id="769"/>
    </w:p>
    <w:p w14:paraId="1B886D33">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95.</w:t>
      </w:r>
      <w:r>
        <w:rPr>
          <w:rFonts w:hint="eastAsia" w:ascii="仿宋" w:hAnsi="仿宋" w:eastAsia="仿宋" w:cs="宋体"/>
          <w:snapToGrid w:val="0"/>
          <w:color w:val="000000" w:themeColor="text1"/>
          <w:highlight w:val="none"/>
          <w:lang w:eastAsia="zh-CN"/>
          <w14:textFill>
            <w14:solidFill>
              <w14:schemeClr w14:val="tx1"/>
            </w14:solidFill>
          </w14:textFill>
        </w:rPr>
        <w:t>1设计成果文件方面的违约责任</w:t>
      </w:r>
    </w:p>
    <w:p w14:paraId="5BD20322">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22CF25BE">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本合同履行期间，承包人的设计质量不符合合同约定或者设计成果文件出现遗漏、错误的，承包人应在发包人规定的期限内对设计成果文件及时进行补充、修改、完善，同时向发包人赔偿所有损失；因此造成设计成果文件逾期交付的，按专用条款第95.1款第（1）项的约定处理。</w:t>
      </w:r>
    </w:p>
    <w:p w14:paraId="7FE79D32">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（3）承包人提交的设计成果文件如有违反国家相关强制性规定的，每发生1处，发包人有权要求承包人承担较大违约责任处罚1次。</w:t>
      </w:r>
    </w:p>
    <w:p w14:paraId="738689B0">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次。</w:t>
      </w:r>
    </w:p>
    <w:p w14:paraId="0B5D0EF7">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0C13CE1C">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6ED6BA5F">
      <w:pPr>
        <w:spacing w:line="360" w:lineRule="auto"/>
        <w:ind w:right="11" w:firstLine="426"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2</w:t>
      </w:r>
      <w:r>
        <w:rPr>
          <w:rFonts w:hint="eastAsia" w:ascii="仿宋" w:hAnsi="仿宋" w:eastAsia="仿宋" w:cs="宋体"/>
          <w:snapToGrid w:val="0"/>
          <w:color w:val="000000" w:themeColor="text1"/>
          <w:highlight w:val="none"/>
          <w:lang w:eastAsia="zh-CN"/>
          <w14:textFill>
            <w14:solidFill>
              <w14:schemeClr w14:val="tx1"/>
            </w14:solidFill>
          </w14:textFill>
        </w:rPr>
        <w:t>组织管理方面的违约责任</w:t>
      </w:r>
    </w:p>
    <w:p w14:paraId="3EB8C32D">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（1）承包人违反专用条款总则（补充）第2条、第5条的约定，不服从发包人及监理单位的管理，对发包人、监理单位的指令和书面通知公开或变相拒不执行的，发包人有权要求承包人承担一般违约责任处罚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次。给发包人造成损失的，承包人应赔偿发包人的全部损失。</w:t>
      </w:r>
    </w:p>
    <w:p w14:paraId="51246825">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（2）承包人不遵守发包人所制订的各项制度、规定的，由承包人按所触犯制度、规定的有关规定承担违约责任。所触犯制度、规定没有明确规定的，发包人有权要求承包人承担一般违约责任处罚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次。给发包人造成损失的，承包人应赔偿发包人的全部损失。</w:t>
      </w:r>
    </w:p>
    <w:p w14:paraId="7CBC2243">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次。给发包人造成损失的，承包人应赔偿发包人的全部损失。</w:t>
      </w:r>
    </w:p>
    <w:p w14:paraId="587B67D6">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114B748E">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如承包人违背投标承诺，除按上述约定承担违约责任之外，还应按以下约定的金额向发包人支付违约金：</w:t>
      </w:r>
    </w:p>
    <w:p w14:paraId="16C33013">
      <w:pPr>
        <w:pStyle w:val="223"/>
        <w:numPr>
          <w:ilvl w:val="0"/>
          <w:numId w:val="40"/>
        </w:numPr>
        <w:spacing w:line="360" w:lineRule="auto"/>
        <w:ind w:left="0" w:firstLine="425"/>
        <w:rPr>
          <w:rFonts w:ascii="仿宋" w:hAnsi="仿宋" w:eastAsia="仿宋"/>
          <w:bCs/>
          <w:snapToGrid w:val="0"/>
          <w:color w:val="000000" w:themeColor="text1"/>
          <w:highlight w:val="none"/>
          <w:lang w:eastAsia="zh-CN"/>
          <w14:textFill>
            <w14:solidFill>
              <w14:schemeClr w14:val="tx1"/>
            </w14:solidFill>
          </w14:textFill>
        </w:rPr>
      </w:pPr>
      <w:r>
        <w:rPr>
          <w:rFonts w:hint="eastAsia" w:ascii="仿宋" w:hAnsi="仿宋" w:eastAsia="仿宋"/>
          <w:bCs/>
          <w:snapToGrid w:val="0"/>
          <w:color w:val="000000" w:themeColor="text1"/>
          <w:highlight w:val="none"/>
          <w:lang w:eastAsia="zh-CN"/>
          <w14:textFill>
            <w14:solidFill>
              <w14:schemeClr w14:val="tx1"/>
            </w14:solidFill>
          </w14:textFill>
        </w:rPr>
        <w:t>未经发包人同意，承包人私自更换人员的，承包人须按下表支付违约金：</w:t>
      </w:r>
    </w:p>
    <w:tbl>
      <w:tblPr>
        <w:tblStyle w:val="78"/>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1A5C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3" w:type="dxa"/>
            <w:vAlign w:val="center"/>
          </w:tcPr>
          <w:p w14:paraId="5917FD20">
            <w:pPr>
              <w:jc w:val="center"/>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序号</w:t>
            </w:r>
          </w:p>
        </w:tc>
        <w:tc>
          <w:tcPr>
            <w:tcW w:w="1984" w:type="dxa"/>
            <w:vAlign w:val="center"/>
          </w:tcPr>
          <w:p w14:paraId="0856A59F">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承诺项目</w:t>
            </w:r>
          </w:p>
        </w:tc>
        <w:tc>
          <w:tcPr>
            <w:tcW w:w="3253" w:type="dxa"/>
            <w:vAlign w:val="center"/>
          </w:tcPr>
          <w:p w14:paraId="7F1C74F0">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违约说明</w:t>
            </w:r>
          </w:p>
        </w:tc>
        <w:tc>
          <w:tcPr>
            <w:tcW w:w="3780" w:type="dxa"/>
            <w:gridSpan w:val="3"/>
            <w:vAlign w:val="center"/>
          </w:tcPr>
          <w:p w14:paraId="01BF1387">
            <w:pPr>
              <w:ind w:firstLine="420"/>
              <w:jc w:val="center"/>
              <w:rPr>
                <w:rFonts w:ascii="仿宋" w:hAnsi="仿宋" w:eastAsia="仿宋" w:cs="宋体"/>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承包人承诺的违约金额（元</w:t>
            </w:r>
            <w:r>
              <w:rPr>
                <w:rFonts w:ascii="仿宋" w:hAnsi="仿宋" w:eastAsia="仿宋" w:cs="宋体"/>
                <w:snapToGrid w:val="0"/>
                <w:color w:val="000000" w:themeColor="text1"/>
                <w:sz w:val="21"/>
                <w:szCs w:val="21"/>
                <w:highlight w:val="none"/>
                <w:lang w:eastAsia="zh-CN"/>
                <w14:textFill>
                  <w14:solidFill>
                    <w14:schemeClr w14:val="tx1"/>
                  </w14:solidFill>
                </w14:textFill>
              </w:rPr>
              <w:t>/人次）</w:t>
            </w:r>
          </w:p>
        </w:tc>
      </w:tr>
      <w:tr w14:paraId="5614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74DA339C">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r>
              <w:rPr>
                <w:rFonts w:ascii="仿宋" w:hAnsi="仿宋" w:eastAsia="仿宋" w:cs="宋体"/>
                <w:snapToGrid w:val="0"/>
                <w:color w:val="000000" w:themeColor="text1"/>
                <w:sz w:val="21"/>
                <w:szCs w:val="21"/>
                <w:highlight w:val="none"/>
                <w14:textFill>
                  <w14:solidFill>
                    <w14:schemeClr w14:val="tx1"/>
                  </w14:solidFill>
                </w14:textFill>
              </w:rPr>
              <w:t>1</w:t>
            </w:r>
          </w:p>
        </w:tc>
        <w:tc>
          <w:tcPr>
            <w:tcW w:w="1984" w:type="dxa"/>
            <w:vMerge w:val="restart"/>
            <w:vAlign w:val="center"/>
          </w:tcPr>
          <w:p w14:paraId="71FAEA0B">
            <w:pPr>
              <w:ind w:left="316" w:hanging="316" w:hangingChars="150"/>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总承包管理部</w:t>
            </w:r>
          </w:p>
        </w:tc>
        <w:tc>
          <w:tcPr>
            <w:tcW w:w="3253" w:type="dxa"/>
            <w:vAlign w:val="center"/>
          </w:tcPr>
          <w:p w14:paraId="41F1AA4C">
            <w:pPr>
              <w:widowControl w:val="0"/>
              <w:rPr>
                <w:rFonts w:ascii="仿宋" w:hAnsi="仿宋" w:eastAsia="仿宋" w:cs="宋体"/>
                <w:snapToGrid w:val="0"/>
                <w:color w:val="000000" w:themeColor="text1"/>
                <w:kern w:val="2"/>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更换项目指挥长或副指挥长或项目经理或空缺</w:t>
            </w:r>
          </w:p>
        </w:tc>
        <w:tc>
          <w:tcPr>
            <w:tcW w:w="1260" w:type="dxa"/>
            <w:vAlign w:val="center"/>
          </w:tcPr>
          <w:p w14:paraId="6F1EFAA7">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c>
          <w:tcPr>
            <w:tcW w:w="1260" w:type="dxa"/>
            <w:vAlign w:val="center"/>
          </w:tcPr>
          <w:p w14:paraId="1282B8BB">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3BF58C51">
            <w:pPr>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4</w:t>
            </w:r>
            <w:r>
              <w:rPr>
                <w:rFonts w:ascii="仿宋" w:hAnsi="仿宋" w:eastAsia="仿宋" w:cs="宋体"/>
                <w:snapToGrid w:val="0"/>
                <w:color w:val="000000" w:themeColor="text1"/>
                <w:sz w:val="21"/>
                <w:szCs w:val="21"/>
                <w:highlight w:val="none"/>
                <w14:textFill>
                  <w14:solidFill>
                    <w14:schemeClr w14:val="tx1"/>
                  </w14:solidFill>
                </w14:textFill>
              </w:rPr>
              <w:t>00000</w:t>
            </w:r>
          </w:p>
        </w:tc>
      </w:tr>
      <w:tr w14:paraId="2202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75A11CBF">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40D8CCDD">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58380F54">
            <w:pPr>
              <w:widowControl w:val="0"/>
              <w:rPr>
                <w:rFonts w:ascii="仿宋" w:hAnsi="仿宋" w:eastAsia="仿宋" w:cs="宋体"/>
                <w:snapToGrid w:val="0"/>
                <w:color w:val="000000" w:themeColor="text1"/>
                <w:kern w:val="2"/>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更换项目技术负责人或空缺</w:t>
            </w:r>
          </w:p>
        </w:tc>
        <w:tc>
          <w:tcPr>
            <w:tcW w:w="1260" w:type="dxa"/>
            <w:vAlign w:val="center"/>
          </w:tcPr>
          <w:p w14:paraId="79B0E992">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75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12FD8100">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125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224A9353">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w:t>
            </w:r>
            <w:r>
              <w:rPr>
                <w:rFonts w:ascii="仿宋" w:hAnsi="仿宋" w:eastAsia="仿宋" w:cs="宋体"/>
                <w:snapToGrid w:val="0"/>
                <w:color w:val="000000" w:themeColor="text1"/>
                <w:sz w:val="21"/>
                <w:szCs w:val="21"/>
                <w:highlight w:val="none"/>
                <w14:textFill>
                  <w14:solidFill>
                    <w14:schemeClr w14:val="tx1"/>
                  </w14:solidFill>
                </w14:textFill>
              </w:rPr>
              <w:t>00000</w:t>
            </w:r>
          </w:p>
        </w:tc>
      </w:tr>
      <w:tr w14:paraId="070A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5A83C682">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0C6345B1">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57755052">
            <w:pPr>
              <w:widowControl w:val="0"/>
              <w:rPr>
                <w:rFonts w:ascii="仿宋" w:hAnsi="仿宋" w:eastAsia="仿宋" w:cs="宋体"/>
                <w:snapToGrid w:val="0"/>
                <w:color w:val="000000" w:themeColor="text1"/>
                <w:kern w:val="2"/>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更换专职安全员或其他人或空缺</w:t>
            </w:r>
          </w:p>
        </w:tc>
        <w:tc>
          <w:tcPr>
            <w:tcW w:w="1260" w:type="dxa"/>
            <w:vAlign w:val="center"/>
          </w:tcPr>
          <w:p w14:paraId="4A973C65">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26F4CA08">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17F7587F">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r>
      <w:tr w14:paraId="23B8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3" w:type="dxa"/>
            <w:vMerge w:val="restart"/>
            <w:vAlign w:val="center"/>
          </w:tcPr>
          <w:p w14:paraId="3FADAA50">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r>
              <w:rPr>
                <w:rFonts w:ascii="仿宋" w:hAnsi="仿宋" w:eastAsia="仿宋" w:cs="宋体"/>
                <w:snapToGrid w:val="0"/>
                <w:color w:val="000000" w:themeColor="text1"/>
                <w:sz w:val="21"/>
                <w:szCs w:val="21"/>
                <w:highlight w:val="none"/>
                <w14:textFill>
                  <w14:solidFill>
                    <w14:schemeClr w14:val="tx1"/>
                  </w14:solidFill>
                </w14:textFill>
              </w:rPr>
              <w:t>2</w:t>
            </w:r>
          </w:p>
        </w:tc>
        <w:tc>
          <w:tcPr>
            <w:tcW w:w="1984" w:type="dxa"/>
            <w:vMerge w:val="restart"/>
            <w:vAlign w:val="center"/>
          </w:tcPr>
          <w:p w14:paraId="046B911D">
            <w:pPr>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hint="eastAsia" w:ascii="仿宋" w:hAnsi="仿宋" w:eastAsia="仿宋" w:cs="宋体"/>
                <w:snapToGrid w:val="0"/>
                <w:color w:val="000000" w:themeColor="text1"/>
                <w:sz w:val="21"/>
                <w:szCs w:val="21"/>
                <w:highlight w:val="none"/>
                <w14:textFill>
                  <w14:solidFill>
                    <w14:schemeClr w14:val="tx1"/>
                  </w14:solidFill>
                </w14:textFill>
              </w:rPr>
              <w:t>施工项目部</w:t>
            </w:r>
          </w:p>
        </w:tc>
        <w:tc>
          <w:tcPr>
            <w:tcW w:w="3253" w:type="dxa"/>
            <w:vAlign w:val="center"/>
          </w:tcPr>
          <w:p w14:paraId="2DAAB50B">
            <w:pPr>
              <w:rPr>
                <w:rFonts w:ascii="仿宋" w:hAnsi="仿宋" w:eastAsia="仿宋" w:cs="宋体"/>
                <w:dstrike/>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更换施工负责人或空缺</w:t>
            </w:r>
          </w:p>
        </w:tc>
        <w:tc>
          <w:tcPr>
            <w:tcW w:w="1260" w:type="dxa"/>
            <w:vAlign w:val="center"/>
          </w:tcPr>
          <w:p w14:paraId="08F0209F">
            <w:pPr>
              <w:rPr>
                <w:rFonts w:ascii="仿宋" w:hAnsi="仿宋" w:eastAsia="仿宋" w:cs="宋体"/>
                <w:dstrike/>
                <w:snapToGrid w:val="0"/>
                <w:color w:val="000000" w:themeColor="text1"/>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c>
          <w:tcPr>
            <w:tcW w:w="1260" w:type="dxa"/>
            <w:vAlign w:val="center"/>
          </w:tcPr>
          <w:p w14:paraId="7F201B05">
            <w:pPr>
              <w:rPr>
                <w:rFonts w:ascii="仿宋" w:hAnsi="仿宋" w:eastAsia="仿宋" w:cs="宋体"/>
                <w:dstrike/>
                <w:snapToGrid w:val="0"/>
                <w:color w:val="000000" w:themeColor="text1"/>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0DB995EA">
            <w:pPr>
              <w:rPr>
                <w:rFonts w:ascii="仿宋" w:hAnsi="仿宋" w:eastAsia="仿宋" w:cs="宋体"/>
                <w:dstrike/>
                <w:snapToGrid w:val="0"/>
                <w:color w:val="000000" w:themeColor="text1"/>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25</w:t>
            </w:r>
            <w:r>
              <w:rPr>
                <w:rFonts w:ascii="仿宋" w:hAnsi="仿宋" w:eastAsia="仿宋" w:cs="宋体"/>
                <w:snapToGrid w:val="0"/>
                <w:color w:val="000000" w:themeColor="text1"/>
                <w:sz w:val="21"/>
                <w:szCs w:val="21"/>
                <w:highlight w:val="none"/>
                <w14:textFill>
                  <w14:solidFill>
                    <w14:schemeClr w14:val="tx1"/>
                  </w14:solidFill>
                </w14:textFill>
              </w:rPr>
              <w:t>0000</w:t>
            </w:r>
          </w:p>
        </w:tc>
      </w:tr>
      <w:tr w14:paraId="0099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A28769D">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4D5B2B3E">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3D96CAEE">
            <w:pPr>
              <w:widowControl w:val="0"/>
              <w:rPr>
                <w:rFonts w:ascii="仿宋" w:hAnsi="仿宋" w:eastAsia="仿宋" w:cs="宋体"/>
                <w:snapToGrid w:val="0"/>
                <w:color w:val="000000" w:themeColor="text1"/>
                <w:kern w:val="2"/>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更换项目副经理或空缺</w:t>
            </w:r>
          </w:p>
        </w:tc>
        <w:tc>
          <w:tcPr>
            <w:tcW w:w="1260" w:type="dxa"/>
            <w:vAlign w:val="center"/>
          </w:tcPr>
          <w:p w14:paraId="5CF3EB65">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75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149A60DA">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125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018258E6">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175</w:t>
            </w:r>
            <w:r>
              <w:rPr>
                <w:rFonts w:ascii="仿宋" w:hAnsi="仿宋" w:eastAsia="仿宋" w:cs="宋体"/>
                <w:snapToGrid w:val="0"/>
                <w:color w:val="000000" w:themeColor="text1"/>
                <w:sz w:val="21"/>
                <w:szCs w:val="21"/>
                <w:highlight w:val="none"/>
                <w14:textFill>
                  <w14:solidFill>
                    <w14:schemeClr w14:val="tx1"/>
                  </w14:solidFill>
                </w14:textFill>
              </w:rPr>
              <w:t>000</w:t>
            </w:r>
          </w:p>
        </w:tc>
      </w:tr>
      <w:tr w14:paraId="676C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FF583A8">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58C8876D">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2000456A">
            <w:pPr>
              <w:widowControl w:val="0"/>
              <w:rPr>
                <w:rFonts w:ascii="仿宋" w:hAnsi="仿宋" w:eastAsia="仿宋" w:cs="宋体"/>
                <w:snapToGrid w:val="0"/>
                <w:color w:val="000000" w:themeColor="text1"/>
                <w:kern w:val="2"/>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更换安全员或其他人或空缺</w:t>
            </w:r>
          </w:p>
        </w:tc>
        <w:tc>
          <w:tcPr>
            <w:tcW w:w="1260" w:type="dxa"/>
            <w:vAlign w:val="center"/>
          </w:tcPr>
          <w:p w14:paraId="4573C960">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060147DD">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7A2E908B">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r>
      <w:tr w14:paraId="2E59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3BD12CE0">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r>
              <w:rPr>
                <w:rFonts w:ascii="仿宋" w:hAnsi="仿宋" w:eastAsia="仿宋" w:cs="宋体"/>
                <w:snapToGrid w:val="0"/>
                <w:color w:val="000000" w:themeColor="text1"/>
                <w:sz w:val="21"/>
                <w:szCs w:val="21"/>
                <w:highlight w:val="none"/>
                <w14:textFill>
                  <w14:solidFill>
                    <w14:schemeClr w14:val="tx1"/>
                  </w14:solidFill>
                </w14:textFill>
              </w:rPr>
              <w:t>3</w:t>
            </w:r>
          </w:p>
        </w:tc>
        <w:tc>
          <w:tcPr>
            <w:tcW w:w="1984" w:type="dxa"/>
            <w:vMerge w:val="restart"/>
            <w:vAlign w:val="center"/>
          </w:tcPr>
          <w:p w14:paraId="62B3723A">
            <w:pPr>
              <w:ind w:left="316" w:hanging="316" w:hangingChars="150"/>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驻场设计部</w:t>
            </w:r>
          </w:p>
        </w:tc>
        <w:tc>
          <w:tcPr>
            <w:tcW w:w="3253" w:type="dxa"/>
            <w:vAlign w:val="center"/>
          </w:tcPr>
          <w:p w14:paraId="193207A5">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更换部门经理或空缺</w:t>
            </w:r>
          </w:p>
        </w:tc>
        <w:tc>
          <w:tcPr>
            <w:tcW w:w="1260" w:type="dxa"/>
            <w:vAlign w:val="center"/>
          </w:tcPr>
          <w:p w14:paraId="2F5BFFFC">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75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7778457A">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125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5C0E5ED7">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175</w:t>
            </w:r>
            <w:r>
              <w:rPr>
                <w:rFonts w:ascii="仿宋" w:hAnsi="仿宋" w:eastAsia="仿宋" w:cs="宋体"/>
                <w:snapToGrid w:val="0"/>
                <w:color w:val="000000" w:themeColor="text1"/>
                <w:sz w:val="21"/>
                <w:szCs w:val="21"/>
                <w:highlight w:val="none"/>
                <w14:textFill>
                  <w14:solidFill>
                    <w14:schemeClr w14:val="tx1"/>
                  </w14:solidFill>
                </w14:textFill>
              </w:rPr>
              <w:t>000</w:t>
            </w:r>
          </w:p>
        </w:tc>
      </w:tr>
      <w:tr w14:paraId="0E59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33B7E310">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308EBD65">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6F04AAB3">
            <w:pPr>
              <w:widowControl w:val="0"/>
              <w:rPr>
                <w:rFonts w:ascii="仿宋" w:hAnsi="仿宋" w:eastAsia="仿宋" w:cs="宋体"/>
                <w:snapToGrid w:val="0"/>
                <w:color w:val="000000" w:themeColor="text1"/>
                <w:kern w:val="2"/>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更换技术负责人或空缺</w:t>
            </w:r>
          </w:p>
        </w:tc>
        <w:tc>
          <w:tcPr>
            <w:tcW w:w="1260" w:type="dxa"/>
            <w:vAlign w:val="center"/>
          </w:tcPr>
          <w:p w14:paraId="21157B28">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5022772F">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c>
          <w:tcPr>
            <w:tcW w:w="1260" w:type="dxa"/>
            <w:vAlign w:val="center"/>
          </w:tcPr>
          <w:p w14:paraId="5543351E">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15</w:t>
            </w:r>
            <w:r>
              <w:rPr>
                <w:rFonts w:ascii="仿宋" w:hAnsi="仿宋" w:eastAsia="仿宋" w:cs="宋体"/>
                <w:snapToGrid w:val="0"/>
                <w:color w:val="000000" w:themeColor="text1"/>
                <w:sz w:val="21"/>
                <w:szCs w:val="21"/>
                <w:highlight w:val="none"/>
                <w14:textFill>
                  <w14:solidFill>
                    <w14:schemeClr w14:val="tx1"/>
                  </w14:solidFill>
                </w14:textFill>
              </w:rPr>
              <w:t>0000</w:t>
            </w:r>
          </w:p>
        </w:tc>
      </w:tr>
      <w:tr w14:paraId="7B81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F856CA9">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5CA6548D">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74069829">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更换其他人</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或空缺</w:t>
            </w:r>
          </w:p>
        </w:tc>
        <w:tc>
          <w:tcPr>
            <w:tcW w:w="1260" w:type="dxa"/>
            <w:vAlign w:val="center"/>
          </w:tcPr>
          <w:p w14:paraId="3C084F29">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25</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25D1B1E3">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78A20AB5">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r>
      <w:tr w14:paraId="7E50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3AAD34C1">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r>
              <w:rPr>
                <w:rFonts w:ascii="仿宋" w:hAnsi="仿宋" w:eastAsia="仿宋" w:cs="宋体"/>
                <w:snapToGrid w:val="0"/>
                <w:color w:val="000000" w:themeColor="text1"/>
                <w:sz w:val="21"/>
                <w:szCs w:val="21"/>
                <w:highlight w:val="none"/>
                <w14:textFill>
                  <w14:solidFill>
                    <w14:schemeClr w14:val="tx1"/>
                  </w14:solidFill>
                </w14:textFill>
              </w:rPr>
              <w:t>4</w:t>
            </w:r>
          </w:p>
        </w:tc>
        <w:tc>
          <w:tcPr>
            <w:tcW w:w="1984" w:type="dxa"/>
            <w:vMerge w:val="restart"/>
            <w:vAlign w:val="center"/>
          </w:tcPr>
          <w:p w14:paraId="21CD9BDE">
            <w:pPr>
              <w:rPr>
                <w:rFonts w:ascii="仿宋" w:hAnsi="仿宋" w:eastAsia="仿宋" w:cs="宋体"/>
                <w:snapToGrid w:val="0"/>
                <w:color w:val="000000" w:themeColor="text1"/>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hint="eastAsia" w:ascii="仿宋" w:hAnsi="仿宋" w:eastAsia="仿宋" w:cs="宋体"/>
                <w:snapToGrid w:val="0"/>
                <w:color w:val="000000" w:themeColor="text1"/>
                <w:sz w:val="21"/>
                <w:szCs w:val="21"/>
                <w:highlight w:val="none"/>
                <w14:textFill>
                  <w14:solidFill>
                    <w14:schemeClr w14:val="tx1"/>
                  </w14:solidFill>
                </w14:textFill>
              </w:rPr>
              <w:t>材料管理部</w:t>
            </w:r>
          </w:p>
        </w:tc>
        <w:tc>
          <w:tcPr>
            <w:tcW w:w="3253" w:type="dxa"/>
            <w:vAlign w:val="center"/>
          </w:tcPr>
          <w:p w14:paraId="67E15FA0">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更换部门经理或空缺</w:t>
            </w:r>
          </w:p>
        </w:tc>
        <w:tc>
          <w:tcPr>
            <w:tcW w:w="1260" w:type="dxa"/>
            <w:vAlign w:val="center"/>
          </w:tcPr>
          <w:p w14:paraId="4C1E5E02">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50</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4409473F">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100</w:t>
            </w:r>
            <w:r>
              <w:rPr>
                <w:rFonts w:ascii="仿宋" w:hAnsi="仿宋" w:eastAsia="仿宋" w:cs="宋体"/>
                <w:snapToGrid w:val="0"/>
                <w:color w:val="000000" w:themeColor="text1"/>
                <w:sz w:val="21"/>
                <w:szCs w:val="21"/>
                <w:highlight w:val="none"/>
                <w14:textFill>
                  <w14:solidFill>
                    <w14:schemeClr w14:val="tx1"/>
                  </w14:solidFill>
                </w14:textFill>
              </w:rPr>
              <w:t>000</w:t>
            </w:r>
          </w:p>
        </w:tc>
        <w:tc>
          <w:tcPr>
            <w:tcW w:w="1260" w:type="dxa"/>
            <w:vAlign w:val="center"/>
          </w:tcPr>
          <w:p w14:paraId="32FF1188">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50000</w:t>
            </w:r>
          </w:p>
        </w:tc>
      </w:tr>
      <w:tr w14:paraId="492E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B85C409">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05BE6CF5">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7566A4D4">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snapToGrid w:val="0"/>
                <w:color w:val="000000" w:themeColor="text1"/>
                <w:sz w:val="21"/>
                <w:szCs w:val="21"/>
                <w:highlight w:val="none"/>
                <w14:textFill>
                  <w14:solidFill>
                    <w14:schemeClr w14:val="tx1"/>
                  </w14:solidFill>
                </w14:textFill>
              </w:rPr>
              <w:t>更换其他人</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或空缺</w:t>
            </w:r>
          </w:p>
        </w:tc>
        <w:tc>
          <w:tcPr>
            <w:tcW w:w="1260" w:type="dxa"/>
            <w:vAlign w:val="center"/>
          </w:tcPr>
          <w:p w14:paraId="7DCE5132">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lang w:eastAsia="zh-CN"/>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6F0DF8DA">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4</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0610AF9F">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6</w:t>
            </w:r>
            <w:r>
              <w:rPr>
                <w:rFonts w:ascii="仿宋" w:hAnsi="仿宋" w:eastAsia="仿宋" w:cs="宋体"/>
                <w:snapToGrid w:val="0"/>
                <w:color w:val="000000" w:themeColor="text1"/>
                <w:sz w:val="21"/>
                <w:szCs w:val="21"/>
                <w:highlight w:val="none"/>
                <w14:textFill>
                  <w14:solidFill>
                    <w14:schemeClr w14:val="tx1"/>
                  </w14:solidFill>
                </w14:textFill>
              </w:rPr>
              <w:t>0000</w:t>
            </w:r>
          </w:p>
        </w:tc>
      </w:tr>
      <w:tr w14:paraId="572C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07BFF2B3">
            <w:pPr>
              <w:ind w:firstLine="420"/>
              <w:jc w:val="center"/>
              <w:rPr>
                <w:rFonts w:ascii="仿宋" w:hAnsi="仿宋" w:eastAsia="仿宋" w:cs="宋体"/>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p>
        </w:tc>
        <w:tc>
          <w:tcPr>
            <w:tcW w:w="1984" w:type="dxa"/>
            <w:vMerge w:val="restart"/>
            <w:vAlign w:val="center"/>
          </w:tcPr>
          <w:p w14:paraId="69CE70F3">
            <w:pPr>
              <w:rPr>
                <w:rFonts w:ascii="仿宋" w:hAnsi="仿宋" w:eastAsia="仿宋" w:cs="宋体"/>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设计人员</w:t>
            </w:r>
          </w:p>
        </w:tc>
        <w:tc>
          <w:tcPr>
            <w:tcW w:w="3253" w:type="dxa"/>
            <w:vAlign w:val="center"/>
          </w:tcPr>
          <w:p w14:paraId="2FD015C3">
            <w:pPr>
              <w:widowControl w:val="0"/>
              <w:rPr>
                <w:rFonts w:ascii="仿宋" w:hAnsi="仿宋" w:eastAsia="仿宋" w:cs="宋体"/>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更换项目设计总负责人或驻场设计代表总负责人或空缺</w:t>
            </w:r>
          </w:p>
        </w:tc>
        <w:tc>
          <w:tcPr>
            <w:tcW w:w="1260" w:type="dxa"/>
            <w:vAlign w:val="center"/>
          </w:tcPr>
          <w:p w14:paraId="5CDF9A80">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1</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0</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09371757">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2</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0</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21871B3B">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350000</w:t>
            </w:r>
          </w:p>
        </w:tc>
      </w:tr>
      <w:tr w14:paraId="69DD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5DE655C5">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68754486">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75D2C056">
            <w:pPr>
              <w:widowControl w:val="0"/>
              <w:rPr>
                <w:rFonts w:ascii="仿宋" w:hAnsi="仿宋" w:eastAsia="仿宋" w:cs="宋体"/>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更换专业设计负责人或空缺</w:t>
            </w:r>
          </w:p>
        </w:tc>
        <w:tc>
          <w:tcPr>
            <w:tcW w:w="1260" w:type="dxa"/>
            <w:vAlign w:val="center"/>
          </w:tcPr>
          <w:p w14:paraId="3129A685">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25E5F8C9">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00000</w:t>
            </w:r>
          </w:p>
        </w:tc>
        <w:tc>
          <w:tcPr>
            <w:tcW w:w="1260" w:type="dxa"/>
            <w:vAlign w:val="center"/>
          </w:tcPr>
          <w:p w14:paraId="028600E7">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15</w:t>
            </w:r>
            <w:r>
              <w:rPr>
                <w:rFonts w:ascii="仿宋" w:hAnsi="仿宋" w:eastAsia="仿宋" w:cs="宋体"/>
                <w:snapToGrid w:val="0"/>
                <w:color w:val="000000" w:themeColor="text1"/>
                <w:sz w:val="21"/>
                <w:szCs w:val="21"/>
                <w:highlight w:val="none"/>
                <w14:textFill>
                  <w14:solidFill>
                    <w14:schemeClr w14:val="tx1"/>
                  </w14:solidFill>
                </w14:textFill>
              </w:rPr>
              <w:t>0000</w:t>
            </w:r>
          </w:p>
        </w:tc>
      </w:tr>
      <w:tr w14:paraId="3DAC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B181AE6">
            <w:pPr>
              <w:ind w:firstLine="420"/>
              <w:jc w:val="center"/>
              <w:rPr>
                <w:rFonts w:ascii="仿宋" w:hAnsi="仿宋" w:eastAsia="仿宋" w:cs="宋体"/>
                <w:snapToGrid w:val="0"/>
                <w:color w:val="000000" w:themeColor="text1"/>
                <w:sz w:val="21"/>
                <w:szCs w:val="21"/>
                <w:highlight w:val="none"/>
                <w14:textFill>
                  <w14:solidFill>
                    <w14:schemeClr w14:val="tx1"/>
                  </w14:solidFill>
                </w14:textFill>
              </w:rPr>
            </w:pPr>
          </w:p>
        </w:tc>
        <w:tc>
          <w:tcPr>
            <w:tcW w:w="1984" w:type="dxa"/>
            <w:vMerge w:val="continue"/>
            <w:vAlign w:val="center"/>
          </w:tcPr>
          <w:p w14:paraId="16CCCBB7">
            <w:pPr>
              <w:ind w:firstLine="420"/>
              <w:rPr>
                <w:rFonts w:ascii="仿宋" w:hAnsi="仿宋" w:eastAsia="仿宋" w:cs="宋体"/>
                <w:snapToGrid w:val="0"/>
                <w:color w:val="000000" w:themeColor="text1"/>
                <w:sz w:val="21"/>
                <w:szCs w:val="21"/>
                <w:highlight w:val="none"/>
                <w14:textFill>
                  <w14:solidFill>
                    <w14:schemeClr w14:val="tx1"/>
                  </w14:solidFill>
                </w14:textFill>
              </w:rPr>
            </w:pPr>
          </w:p>
        </w:tc>
        <w:tc>
          <w:tcPr>
            <w:tcW w:w="3253" w:type="dxa"/>
            <w:vAlign w:val="center"/>
          </w:tcPr>
          <w:p w14:paraId="49AFDD28">
            <w:pPr>
              <w:widowControl w:val="0"/>
              <w:rPr>
                <w:rFonts w:ascii="仿宋" w:hAnsi="仿宋" w:eastAsia="仿宋" w:cs="宋体"/>
                <w:snapToGrid w:val="0"/>
                <w:color w:val="000000" w:themeColor="text1"/>
                <w:sz w:val="21"/>
                <w:szCs w:val="21"/>
                <w:highlight w:val="none"/>
                <w:lang w:eastAsia="zh-CN"/>
                <w14:textFill>
                  <w14:solidFill>
                    <w14:schemeClr w14:val="tx1"/>
                  </w14:solidFill>
                </w14:textFill>
              </w:rPr>
            </w:pP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更换一般设计人员或空缺</w:t>
            </w:r>
          </w:p>
        </w:tc>
        <w:tc>
          <w:tcPr>
            <w:tcW w:w="1260" w:type="dxa"/>
            <w:vAlign w:val="center"/>
          </w:tcPr>
          <w:p w14:paraId="7AC431C7">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bCs/>
                <w:snapToGrid w:val="0"/>
                <w:color w:val="000000" w:themeColor="text1"/>
                <w:sz w:val="21"/>
                <w:szCs w:val="21"/>
                <w:highlight w:val="none"/>
                <w:bdr w:val="single" w:color="auto" w:sz="4" w:space="0"/>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1</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53B68EDC">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2</w:t>
            </w:r>
            <w:r>
              <w:rPr>
                <w:rFonts w:ascii="仿宋" w:hAnsi="仿宋" w:eastAsia="仿宋" w:cs="宋体"/>
                <w:snapToGrid w:val="0"/>
                <w:color w:val="000000" w:themeColor="text1"/>
                <w:sz w:val="21"/>
                <w:szCs w:val="21"/>
                <w:highlight w:val="none"/>
                <w14:textFill>
                  <w14:solidFill>
                    <w14:schemeClr w14:val="tx1"/>
                  </w14:solidFill>
                </w14:textFill>
              </w:rPr>
              <w:t>0000</w:t>
            </w:r>
          </w:p>
        </w:tc>
        <w:tc>
          <w:tcPr>
            <w:tcW w:w="1260" w:type="dxa"/>
            <w:vAlign w:val="center"/>
          </w:tcPr>
          <w:p w14:paraId="1D937999">
            <w:pPr>
              <w:widowControl w:val="0"/>
              <w:rPr>
                <w:rFonts w:ascii="仿宋" w:hAnsi="仿宋" w:eastAsia="仿宋" w:cs="宋体"/>
                <w:snapToGrid w:val="0"/>
                <w:color w:val="000000" w:themeColor="text1"/>
                <w:kern w:val="2"/>
                <w:sz w:val="21"/>
                <w:szCs w:val="21"/>
                <w:highlight w:val="none"/>
                <w14:textFill>
                  <w14:solidFill>
                    <w14:schemeClr w14:val="tx1"/>
                  </w14:solidFill>
                </w14:textFill>
              </w:rPr>
            </w:pPr>
            <w:r>
              <w:rPr>
                <w:rFonts w:hint="eastAsia" w:ascii="仿宋" w:hAnsi="仿宋" w:eastAsia="仿宋" w:cs="宋体"/>
                <w:b/>
                <w:snapToGrid w:val="0"/>
                <w:color w:val="000000" w:themeColor="text1"/>
                <w:sz w:val="21"/>
                <w:szCs w:val="21"/>
                <w:highlight w:val="none"/>
                <w14:textFill>
                  <w14:solidFill>
                    <w14:schemeClr w14:val="tx1"/>
                  </w14:solidFill>
                </w14:textFill>
              </w:rPr>
              <w:t>□</w:t>
            </w:r>
            <w:r>
              <w:rPr>
                <w:rFonts w:ascii="仿宋" w:hAnsi="仿宋" w:eastAsia="仿宋" w:cs="宋体"/>
                <w:snapToGrid w:val="0"/>
                <w:color w:val="000000" w:themeColor="text1"/>
                <w:sz w:val="21"/>
                <w:szCs w:val="21"/>
                <w:highlight w:val="none"/>
                <w14:textFill>
                  <w14:solidFill>
                    <w14:schemeClr w14:val="tx1"/>
                  </w14:solidFill>
                </w14:textFill>
              </w:rPr>
              <w:t xml:space="preserve"> </w:t>
            </w:r>
            <w:r>
              <w:rPr>
                <w:rFonts w:hint="eastAsia" w:ascii="仿宋" w:hAnsi="仿宋" w:eastAsia="仿宋" w:cs="宋体"/>
                <w:snapToGrid w:val="0"/>
                <w:color w:val="000000" w:themeColor="text1"/>
                <w:sz w:val="21"/>
                <w:szCs w:val="21"/>
                <w:highlight w:val="none"/>
                <w:lang w:eastAsia="zh-CN"/>
                <w14:textFill>
                  <w14:solidFill>
                    <w14:schemeClr w14:val="tx1"/>
                  </w14:solidFill>
                </w14:textFill>
              </w:rPr>
              <w:t>5</w:t>
            </w:r>
            <w:r>
              <w:rPr>
                <w:rFonts w:ascii="仿宋" w:hAnsi="仿宋" w:eastAsia="仿宋" w:cs="宋体"/>
                <w:snapToGrid w:val="0"/>
                <w:color w:val="000000" w:themeColor="text1"/>
                <w:sz w:val="21"/>
                <w:szCs w:val="21"/>
                <w:highlight w:val="none"/>
                <w14:textFill>
                  <w14:solidFill>
                    <w14:schemeClr w14:val="tx1"/>
                  </w14:solidFill>
                </w14:textFill>
              </w:rPr>
              <w:t>0000</w:t>
            </w:r>
          </w:p>
        </w:tc>
      </w:tr>
    </w:tbl>
    <w:p w14:paraId="211F6DF6">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4）经发包人或监理单位抽查发现承包人未按规定办理用工实名制的</w:t>
      </w: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发包人有权要求承包人承担一般违约责任处罚1次。</w:t>
      </w:r>
    </w:p>
    <w:p w14:paraId="4DCA2AAB">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5</w:t>
      </w:r>
      <w:r>
        <w:rPr>
          <w:rFonts w:hint="eastAsia" w:ascii="仿宋" w:hAnsi="仿宋" w:eastAsia="仿宋" w:cs="宋体"/>
          <w:bCs/>
          <w:snapToGrid w:val="0"/>
          <w:color w:val="000000" w:themeColor="text1"/>
          <w:highlight w:val="none"/>
          <w:lang w:eastAsia="zh-CN"/>
          <w14:textFill>
            <w14:solidFill>
              <w14:schemeClr w14:val="tx1"/>
            </w14:solidFill>
          </w14:textFill>
        </w:rPr>
        <w:t>）承包人在发包人组织的考评中不合格的，必须按照考评通报的要求限期改正，</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发包人有权要求承包人</w:t>
      </w:r>
      <w:r>
        <w:rPr>
          <w:rFonts w:hint="eastAsia" w:ascii="仿宋" w:hAnsi="仿宋" w:eastAsia="仿宋" w:cs="宋体"/>
          <w:bCs/>
          <w:snapToGrid w:val="0"/>
          <w:color w:val="000000" w:themeColor="text1"/>
          <w:highlight w:val="none"/>
          <w:lang w:eastAsia="zh-CN"/>
          <w14:textFill>
            <w14:solidFill>
              <w14:schemeClr w14:val="tx1"/>
            </w14:solidFill>
          </w14:textFill>
        </w:rPr>
        <w:t>承担</w:t>
      </w:r>
      <w:r>
        <w:rPr>
          <w:rFonts w:ascii="仿宋" w:hAnsi="仿宋" w:eastAsia="仿宋" w:cs="宋体"/>
          <w:bCs/>
          <w:snapToGrid w:val="0"/>
          <w:color w:val="000000" w:themeColor="text1"/>
          <w:highlight w:val="none"/>
          <w:lang w:eastAsia="zh-CN"/>
          <w14:textFill>
            <w14:solidFill>
              <w14:schemeClr w14:val="tx1"/>
            </w14:solidFill>
          </w14:textFill>
        </w:rPr>
        <w:t>1次一般违约责任处罚</w:t>
      </w:r>
      <w:r>
        <w:rPr>
          <w:rFonts w:hint="eastAsia" w:ascii="仿宋" w:hAnsi="仿宋" w:eastAsia="仿宋" w:cs="宋体"/>
          <w:bCs/>
          <w:snapToGrid w:val="0"/>
          <w:color w:val="000000" w:themeColor="text1"/>
          <w:highlight w:val="none"/>
          <w:lang w:eastAsia="zh-CN"/>
          <w14:textFill>
            <w14:solidFill>
              <w14:schemeClr w14:val="tx1"/>
            </w14:solidFill>
          </w14:textFill>
        </w:rPr>
        <w:t>。</w:t>
      </w:r>
    </w:p>
    <w:p w14:paraId="5FD3B3B7">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57A26C44">
      <w:pPr>
        <w:spacing w:line="360" w:lineRule="auto"/>
        <w:ind w:right="11" w:firstLine="424" w:firstLineChars="177"/>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（7）</w:t>
      </w:r>
      <w:r>
        <w:rPr>
          <w:rFonts w:hint="eastAsia" w:ascii="仿宋" w:hAnsi="仿宋" w:eastAsia="仿宋"/>
          <w:snapToGrid w:val="0"/>
          <w:color w:val="000000" w:themeColor="text1"/>
          <w:highlight w:val="none"/>
          <w:lang w:eastAsia="zh-CN"/>
          <w14:textFill>
            <w14:solidFill>
              <w14:schemeClr w14:val="tx1"/>
            </w14:solidFill>
          </w14:textFill>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0D203F0E">
      <w:pPr>
        <w:spacing w:line="360" w:lineRule="auto"/>
        <w:ind w:right="11" w:firstLine="424" w:firstLineChars="177"/>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（8）承包人单方面终止或解除本合同的，应参照合同专用条款1.10.9款承担违约责任并向发包人赔偿损失。</w:t>
      </w:r>
    </w:p>
    <w:p w14:paraId="291FA11A">
      <w:pPr>
        <w:spacing w:line="360" w:lineRule="auto"/>
        <w:ind w:right="11" w:firstLine="424" w:firstLineChars="177"/>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snapToGrid w:val="0"/>
          <w:color w:val="000000" w:themeColor="text1"/>
          <w:highlight w:val="none"/>
          <w:lang w:eastAsia="zh-CN"/>
          <w14:textFill>
            <w14:solidFill>
              <w14:schemeClr w14:val="tx1"/>
            </w14:solidFill>
          </w14:textFill>
        </w:rPr>
        <w:t>（9）对于发包人通知承包人（包括承包人分包单位）参加的会议，应参会人员未经发包人同意自行缺席的，发包人进行警告，警告3人次后仍缺席的，承包人承担1次一般违约责任处罚。</w:t>
      </w:r>
    </w:p>
    <w:p w14:paraId="3D7431F2">
      <w:pPr>
        <w:spacing w:line="360" w:lineRule="auto"/>
        <w:ind w:right="11" w:firstLine="426"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3</w:t>
      </w:r>
      <w:r>
        <w:rPr>
          <w:rFonts w:hint="eastAsia" w:ascii="仿宋" w:hAnsi="仿宋" w:eastAsia="仿宋" w:cs="宋体"/>
          <w:snapToGrid w:val="0"/>
          <w:color w:val="000000" w:themeColor="text1"/>
          <w:highlight w:val="none"/>
          <w:lang w:eastAsia="zh-CN"/>
          <w14:textFill>
            <w14:solidFill>
              <w14:schemeClr w14:val="tx1"/>
            </w14:solidFill>
          </w14:textFill>
        </w:rPr>
        <w:t>工期延误方面的违约责任</w:t>
      </w:r>
    </w:p>
    <w:p w14:paraId="2DACE00A">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因承包人原因导致未按合同协议书第七条约定而延期开工、关键工期节点/竣工交付延期的，每逾期10天承包人须承担1次较大违约责任处罚。逾期30天以上的，发包人有权要求承包人承担根本违约责任。</w:t>
      </w:r>
    </w:p>
    <w:p w14:paraId="5C1BB247">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w:t>
      </w:r>
      <w:r>
        <w:rPr>
          <w:rFonts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eastAsia="zh-CN"/>
          <w14:textFill>
            <w14:solidFill>
              <w14:schemeClr w14:val="tx1"/>
            </w14:solidFill>
          </w14:textFill>
        </w:rPr>
        <w:t>因承包人原因导致未按通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2D93350C">
      <w:pPr>
        <w:spacing w:line="360" w:lineRule="auto"/>
        <w:ind w:right="11" w:firstLine="426" w:firstLineChars="177"/>
        <w:rPr>
          <w:rFonts w:ascii="仿宋" w:hAnsi="仿宋" w:eastAsia="仿宋" w:cs="宋体"/>
          <w:b/>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4材料设备管理方面的违约责任</w:t>
      </w:r>
    </w:p>
    <w:p w14:paraId="0366CC61">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发包人（包括发包人委托的材料设备检验机构）或总监理工程师抽查承包人的工程材料设备（主要为：□甲招乙供材料设备□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19BB4F80">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1）单宗或批次价值不到5万元的材料设备抽检不合格的，每发生3例，</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w:t>
      </w:r>
      <w:r>
        <w:rPr>
          <w:rFonts w:ascii="仿宋" w:hAnsi="仿宋" w:eastAsia="仿宋" w:cs="宋体"/>
          <w:bCs/>
          <w:snapToGrid w:val="0"/>
          <w:color w:val="000000" w:themeColor="text1"/>
          <w:highlight w:val="none"/>
          <w:lang w:eastAsia="zh-CN"/>
          <w14:textFill>
            <w14:solidFill>
              <w14:schemeClr w14:val="tx1"/>
            </w14:solidFill>
          </w14:textFill>
        </w:rPr>
        <w:t>承包人承担1次一般违约责任处罚。</w:t>
      </w:r>
    </w:p>
    <w:p w14:paraId="41E5A60F">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2）单宗或批次价值达到5万元不到10万元的材料设备抽检不合格的，每发生1例，</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w:t>
      </w:r>
      <w:r>
        <w:rPr>
          <w:rFonts w:ascii="仿宋" w:hAnsi="仿宋" w:eastAsia="仿宋" w:cs="宋体"/>
          <w:bCs/>
          <w:snapToGrid w:val="0"/>
          <w:color w:val="000000" w:themeColor="text1"/>
          <w:highlight w:val="none"/>
          <w:lang w:eastAsia="zh-CN"/>
          <w14:textFill>
            <w14:solidFill>
              <w14:schemeClr w14:val="tx1"/>
            </w14:solidFill>
          </w14:textFill>
        </w:rPr>
        <w:t>承包人承担1次一般违约责任处罚。</w:t>
      </w:r>
    </w:p>
    <w:p w14:paraId="22206F02">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3）单宗或批次价值达到10万元不到50万元的材料设备抽检不合格的，每发生1例，</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w:t>
      </w:r>
      <w:r>
        <w:rPr>
          <w:rFonts w:ascii="仿宋" w:hAnsi="仿宋" w:eastAsia="仿宋" w:cs="宋体"/>
          <w:bCs/>
          <w:snapToGrid w:val="0"/>
          <w:color w:val="000000" w:themeColor="text1"/>
          <w:highlight w:val="none"/>
          <w:lang w:eastAsia="zh-CN"/>
          <w14:textFill>
            <w14:solidFill>
              <w14:schemeClr w14:val="tx1"/>
            </w14:solidFill>
          </w14:textFill>
        </w:rPr>
        <w:t>承包人承担1次较大违约责任处罚。</w:t>
      </w:r>
    </w:p>
    <w:p w14:paraId="514F663C">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4）单宗或批次价值达到50万元以上的材料设备抽检不合格的，每发生1例。发包人有权要求承包人承担1次严重违约责任处罚。</w:t>
      </w:r>
    </w:p>
    <w:p w14:paraId="6E11E2B6">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3F3354EE">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2F4E0F32">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4）承包人使用的设备材料应按不低于发包人要求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60A9B7BF">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w:t>
      </w:r>
      <w:r>
        <w:rPr>
          <w:rFonts w:hint="eastAsia" w:ascii="仿宋" w:hAnsi="仿宋" w:eastAsia="仿宋" w:cs="宋体"/>
          <w:bCs/>
          <w:snapToGrid w:val="0"/>
          <w:color w:val="000000" w:themeColor="text1"/>
          <w:highlight w:val="none"/>
          <w:lang w:eastAsia="zh-CN"/>
          <w14:textFill>
            <w14:solidFill>
              <w14:schemeClr w14:val="tx1"/>
            </w14:solidFill>
          </w14:textFill>
        </w:rPr>
        <w:t>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69FAF845">
      <w:pPr>
        <w:spacing w:line="360" w:lineRule="auto"/>
        <w:ind w:right="11" w:firstLine="424" w:firstLineChars="177"/>
        <w:rPr>
          <w:rFonts w:ascii="仿宋" w:hAnsi="仿宋" w:eastAsia="仿宋"/>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5C135FC2">
      <w:pPr>
        <w:spacing w:line="360" w:lineRule="auto"/>
        <w:ind w:firstLine="482" w:firstLineChars="200"/>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5</w:t>
      </w:r>
      <w:r>
        <w:rPr>
          <w:rFonts w:hint="eastAsia" w:ascii="仿宋" w:hAnsi="仿宋" w:eastAsia="仿宋" w:cs="宋体"/>
          <w:snapToGrid w:val="0"/>
          <w:color w:val="000000" w:themeColor="text1"/>
          <w:highlight w:val="none"/>
          <w:lang w:eastAsia="zh-CN"/>
          <w14:textFill>
            <w14:solidFill>
              <w14:schemeClr w14:val="tx1"/>
            </w14:solidFill>
          </w14:textFill>
        </w:rPr>
        <w:t>工程质量方面的违约责任</w:t>
      </w:r>
    </w:p>
    <w:p w14:paraId="6E4D7682">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2CC83BAF">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2）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18A67621">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450E8364">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（4）由于承包人的原因发生工程质量事故的，承担一次严重违约责任处罚1次，承包人应全额赔偿发包人的损失并承担相关法律责任。</w:t>
      </w:r>
    </w:p>
    <w:p w14:paraId="58D35E08">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（5）除上述约定之外，发包人、监理单位在施工过程中检查发现质量隐患、质量问题，或承包人未按发包人的要求及时整改、整改不到位，发包人有权要求承包人承担一般违约责任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次，给发包人造成损失的，承包人应赔偿发包人的全部损失。</w:t>
      </w:r>
    </w:p>
    <w:p w14:paraId="3FCB366B">
      <w:pPr>
        <w:spacing w:line="360" w:lineRule="auto"/>
        <w:ind w:firstLine="480" w:firstLineChars="20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6）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次。</w:t>
      </w:r>
    </w:p>
    <w:p w14:paraId="71F374B8">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color w:val="000000" w:themeColor="text1"/>
          <w:highlight w:val="none"/>
          <w:lang w:eastAsia="zh-CN"/>
          <w14:textFill>
            <w14:solidFill>
              <w14:schemeClr w14:val="tx1"/>
            </w14:solidFill>
          </w14:textFill>
        </w:rPr>
        <w:t>1</w:t>
      </w:r>
      <w:r>
        <w:rPr>
          <w:rFonts w:hint="eastAsia" w:ascii="仿宋" w:hAnsi="仿宋" w:eastAsia="仿宋" w:cs="宋体"/>
          <w:snapToGrid w:val="0"/>
          <w:color w:val="000000" w:themeColor="text1"/>
          <w:highlight w:val="none"/>
          <w:lang w:eastAsia="zh-CN"/>
          <w14:textFill>
            <w14:solidFill>
              <w14:schemeClr w14:val="tx1"/>
            </w14:solidFill>
          </w14:textFill>
        </w:rPr>
        <w:t>次。若发包人拒不整改的或多次整改仍不到位的，发包人有权指定其他人员维修，费用按实际发生费用从承包人质保金中扣除，并赔偿由此引起的所有损失。</w:t>
      </w:r>
    </w:p>
    <w:p w14:paraId="23D1AC7C">
      <w:pPr>
        <w:spacing w:line="360" w:lineRule="auto"/>
        <w:ind w:firstLine="482" w:firstLineChars="200"/>
        <w:rPr>
          <w:rFonts w:ascii="仿宋" w:hAnsi="仿宋" w:eastAsia="仿宋" w:cs="宋体"/>
          <w:b/>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6安全生产方面的违约责任</w:t>
      </w:r>
    </w:p>
    <w:p w14:paraId="3DD2CB6B">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5AD28E74">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w:t>
      </w:r>
      <w:r>
        <w:rPr>
          <w:rFonts w:ascii="仿宋" w:hAnsi="仿宋" w:eastAsia="仿宋" w:cs="宋体"/>
          <w:bCs/>
          <w:snapToGrid w:val="0"/>
          <w:color w:val="000000" w:themeColor="text1"/>
          <w:highlight w:val="none"/>
          <w:lang w:eastAsia="zh-CN"/>
          <w14:textFill>
            <w14:solidFill>
              <w14:schemeClr w14:val="tx1"/>
            </w14:solidFill>
          </w14:textFill>
        </w:rPr>
        <w:t>）承包人因自身原因造成安全事故的，除按国家规定由主管部门处罚外，承包人必须依照下列约定承担违约责任：</w:t>
      </w:r>
    </w:p>
    <w:p w14:paraId="5AAFD606">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1）发生特别重大事故，发包人有权要求承包人承担根本违约责任处罚，给发包人造成损失的，承包人应赔偿发包人的全部损失。</w:t>
      </w:r>
    </w:p>
    <w:p w14:paraId="26B294E0">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2）发生重大事故，发包人有权要求承包人承担根本违约责任处罚，给发包人造成损失的，承包人应赔偿发包人的全部损失。</w:t>
      </w:r>
    </w:p>
    <w:p w14:paraId="2C06100C">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3）发生较大事故，发包人有权要求承包人承担严重违约责任处罚，给发包人造成损失的，承包人应赔偿发包人的全部损失。</w:t>
      </w:r>
    </w:p>
    <w:p w14:paraId="7FA25873">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ascii="仿宋" w:hAnsi="仿宋" w:eastAsia="仿宋" w:cs="宋体"/>
          <w:bCs/>
          <w:snapToGrid w:val="0"/>
          <w:color w:val="000000" w:themeColor="text1"/>
          <w:highlight w:val="none"/>
          <w:lang w:eastAsia="zh-CN"/>
          <w14:textFill>
            <w14:solidFill>
              <w14:schemeClr w14:val="tx1"/>
            </w14:solidFill>
          </w14:textFill>
        </w:rPr>
        <w:t>4）发生一般事故，发包人有权要求承包人承担严重违约责任处罚，给发包人造成损失的，承包人应赔偿发包人的全部损失。</w:t>
      </w:r>
    </w:p>
    <w:p w14:paraId="1228278B">
      <w:pPr>
        <w:spacing w:line="360" w:lineRule="auto"/>
        <w:ind w:firstLine="480" w:firstLineChars="200"/>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（3</w:t>
      </w:r>
      <w:r>
        <w:rPr>
          <w:rFonts w:ascii="仿宋" w:hAnsi="仿宋" w:eastAsia="仿宋" w:cs="宋体"/>
          <w:bCs/>
          <w:snapToGrid w:val="0"/>
          <w:color w:val="000000" w:themeColor="text1"/>
          <w:highlight w:val="none"/>
          <w:lang w:eastAsia="zh-CN"/>
          <w14:textFill>
            <w14:solidFill>
              <w14:schemeClr w14:val="tx1"/>
            </w14:solidFill>
          </w14:textFill>
        </w:rPr>
        <w:t>）除上述约定之外，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2981CB66">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4）基坑支护和高大支模施工时，若出现因承包人原因造成的基坑支护和高大支模、主体沉降监测异常（或达到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7364E1F7">
      <w:pPr>
        <w:spacing w:line="360" w:lineRule="auto"/>
        <w:ind w:firstLine="426" w:firstLineChars="177"/>
        <w:rPr>
          <w:rFonts w:ascii="仿宋" w:hAnsi="仿宋" w:eastAsia="仿宋" w:cs="宋体"/>
          <w:b/>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7文明施工、环境保护方面的违约责任</w:t>
      </w:r>
    </w:p>
    <w:p w14:paraId="003DBFBD">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1）发包人、监理工程师，对承包人文明施工措施进行对照检查。经检查发现承包人因自身原因未能落实的，</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w:t>
      </w:r>
      <w:r>
        <w:rPr>
          <w:rFonts w:ascii="仿宋" w:hAnsi="仿宋" w:eastAsia="仿宋" w:cs="宋体"/>
          <w:bCs/>
          <w:snapToGrid w:val="0"/>
          <w:color w:val="000000" w:themeColor="text1"/>
          <w:highlight w:val="none"/>
          <w:lang w:eastAsia="zh-CN"/>
          <w14:textFill>
            <w14:solidFill>
              <w14:schemeClr w14:val="tx1"/>
            </w14:solidFill>
          </w14:textFill>
        </w:rPr>
        <w:t>承包人承担1次一般违约责任处罚，并限期改正；</w:t>
      </w:r>
    </w:p>
    <w:p w14:paraId="5BF164A4">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56AEBD26">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（3）本项目工程竣工验收后如未获合同约定的安全文明施工管理目标及创优要求，承包人须承担一次严重违约责任处罚</w:t>
      </w:r>
    </w:p>
    <w:p w14:paraId="089B2D4E">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4）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4425BC4A">
      <w:pPr>
        <w:spacing w:line="360" w:lineRule="auto"/>
        <w:ind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76B52A23">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（6）未按照合同相关规定执行，出现文明施工和环境保护落实不到位的情况，在收到书面通知后，2天内未整改完成并征得发包人批复同意的，承包人须承担一般违约责任处罚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w:t>
      </w:r>
    </w:p>
    <w:p w14:paraId="1F1E76F4">
      <w:pPr>
        <w:spacing w:line="360" w:lineRule="auto"/>
        <w:ind w:right="11" w:firstLine="426" w:firstLineChars="177"/>
        <w:rPr>
          <w:rFonts w:ascii="仿宋" w:hAnsi="仿宋" w:eastAsia="仿宋" w:cs="宋体"/>
          <w:b/>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8工程转包、分包方面的违约责任</w:t>
      </w:r>
    </w:p>
    <w:p w14:paraId="6EC63A64">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（1）违法分包，是指在分包过程中的违法行为，包括以下几种情形：</w:t>
      </w:r>
    </w:p>
    <w:p w14:paraId="45BB00AB">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1）承包人将建设工程分包给不具备相应资质条件的单位的；</w:t>
      </w:r>
    </w:p>
    <w:p w14:paraId="32158128">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2）合同中未有约定，又未经发包人认可，承包人将其承包的部分建设工程交由其他单位完成的；</w:t>
      </w:r>
    </w:p>
    <w:p w14:paraId="7E08979F">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3）承包人将建设工程主体结构的施工分包给其他单位的；</w:t>
      </w:r>
    </w:p>
    <w:p w14:paraId="2AADA287">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4）分包单位将其承包的建设工程再分包的。</w:t>
      </w:r>
    </w:p>
    <w:p w14:paraId="6240E0F2">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（2）承包单位承包建设工程后，不履行合同约定的责任和义务，将其承包的全部建设工程转给第三人或者将其承包的全部工程肢解以后以分包的名义分别转给第三人承包的行为</w:t>
      </w:r>
    </w:p>
    <w:p w14:paraId="6E027DD3">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70A206A7">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4）承包人未经发包人同意擅自更换投标时填报或经发包人审核后认可的专业分包单位，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12E63061">
      <w:pPr>
        <w:spacing w:line="360" w:lineRule="auto"/>
        <w:ind w:right="11" w:firstLine="426" w:firstLineChars="177"/>
        <w:rPr>
          <w:rFonts w:ascii="仿宋" w:hAnsi="仿宋" w:eastAsia="仿宋" w:cs="宋体"/>
          <w:b/>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9农民工工资支付方面的违约责任</w:t>
      </w:r>
    </w:p>
    <w:p w14:paraId="23DAA885">
      <w:pPr>
        <w:spacing w:line="360" w:lineRule="auto"/>
        <w:ind w:right="11" w:firstLine="424"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 xml:space="preserve">1）承包人违反约定，被农民工投诉或上访属实的，承包人必须在 3 </w:t>
      </w:r>
      <w:r>
        <w:rPr>
          <w:rFonts w:hint="eastAsia" w:ascii="仿宋" w:hAnsi="仿宋" w:eastAsia="仿宋" w:cs="宋体"/>
          <w:bCs/>
          <w:snapToGrid w:val="0"/>
          <w:color w:val="000000" w:themeColor="text1"/>
          <w:highlight w:val="none"/>
          <w:lang w:eastAsia="zh-CN"/>
          <w14:textFill>
            <w14:solidFill>
              <w14:schemeClr w14:val="tx1"/>
            </w14:solidFill>
          </w14:textFill>
        </w:rPr>
        <w:t>天内发放拖欠的款项。若继续拖延被投诉</w:t>
      </w:r>
      <w:r>
        <w:rPr>
          <w:rFonts w:ascii="仿宋" w:hAnsi="仿宋" w:eastAsia="仿宋" w:cs="宋体"/>
          <w:bCs/>
          <w:snapToGrid w:val="0"/>
          <w:color w:val="000000" w:themeColor="text1"/>
          <w:highlight w:val="none"/>
          <w:lang w:eastAsia="zh-CN"/>
          <w14:textFill>
            <w14:solidFill>
              <w14:schemeClr w14:val="tx1"/>
            </w14:solidFill>
          </w14:textFill>
        </w:rPr>
        <w:t xml:space="preserve"> 2 </w:t>
      </w:r>
      <w:r>
        <w:rPr>
          <w:rFonts w:hint="eastAsia" w:ascii="仿宋" w:hAnsi="仿宋" w:eastAsia="仿宋" w:cs="宋体"/>
          <w:bCs/>
          <w:snapToGrid w:val="0"/>
          <w:color w:val="000000" w:themeColor="text1"/>
          <w:highlight w:val="none"/>
          <w:lang w:eastAsia="zh-CN"/>
          <w14:textFill>
            <w14:solidFill>
              <w14:schemeClr w14:val="tx1"/>
            </w14:solidFill>
          </w14:textFill>
        </w:rPr>
        <w:t>次及以上，经查实，承包人必须承担</w:t>
      </w:r>
      <w:r>
        <w:rPr>
          <w:rFonts w:ascii="仿宋" w:hAnsi="仿宋" w:eastAsia="仿宋" w:cs="宋体"/>
          <w:bCs/>
          <w:snapToGrid w:val="0"/>
          <w:color w:val="000000" w:themeColor="text1"/>
          <w:highlight w:val="none"/>
          <w:lang w:eastAsia="zh-CN"/>
          <w14:textFill>
            <w14:solidFill>
              <w14:schemeClr w14:val="tx1"/>
            </w14:solidFill>
          </w14:textFill>
        </w:rPr>
        <w:t xml:space="preserve"> 1 </w:t>
      </w:r>
      <w:r>
        <w:rPr>
          <w:rFonts w:hint="eastAsia" w:ascii="仿宋" w:hAnsi="仿宋" w:eastAsia="仿宋" w:cs="宋体"/>
          <w:bCs/>
          <w:snapToGrid w:val="0"/>
          <w:color w:val="000000" w:themeColor="text1"/>
          <w:highlight w:val="none"/>
          <w:lang w:eastAsia="zh-CN"/>
          <w14:textFill>
            <w14:solidFill>
              <w14:schemeClr w14:val="tx1"/>
            </w14:solidFill>
          </w14:textFill>
        </w:rPr>
        <w:t>次较大违约责任处罚。若仍然不予整改并发放拖欠的款项，使农民工采取停工、集聚围阻发包人办公地点甚至政府办公部门、阻塞交通要道、围堵或破坏、拆除已移交发包人的工程等过激行动的，承包人必须承担</w:t>
      </w:r>
      <w:r>
        <w:rPr>
          <w:rFonts w:ascii="仿宋" w:hAnsi="仿宋" w:eastAsia="仿宋" w:cs="宋体"/>
          <w:bCs/>
          <w:snapToGrid w:val="0"/>
          <w:color w:val="000000" w:themeColor="text1"/>
          <w:highlight w:val="none"/>
          <w:lang w:eastAsia="zh-CN"/>
          <w14:textFill>
            <w14:solidFill>
              <w14:schemeClr w14:val="tx1"/>
            </w14:solidFill>
          </w14:textFill>
        </w:rPr>
        <w:t>1次严重违约责任处罚，并立即采取切实有效措施予以整改；拒不采取切实有效措施整改的，或整改效果不明显的，发包人有权部分或全部解除合同。</w:t>
      </w:r>
    </w:p>
    <w:p w14:paraId="167FC166">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bCs/>
          <w:snapToGrid w:val="0"/>
          <w:color w:val="000000" w:themeColor="text1"/>
          <w:highlight w:val="none"/>
          <w:lang w:eastAsia="zh-CN"/>
          <w14:textFill>
            <w14:solidFill>
              <w14:schemeClr w14:val="tx1"/>
            </w14:solidFill>
          </w14:textFill>
        </w:rPr>
        <w:t>（</w:t>
      </w:r>
      <w:r>
        <w:rPr>
          <w:rFonts w:ascii="仿宋" w:hAnsi="仿宋" w:eastAsia="仿宋" w:cs="宋体"/>
          <w:bCs/>
          <w:snapToGrid w:val="0"/>
          <w:color w:val="000000" w:themeColor="text1"/>
          <w:highlight w:val="none"/>
          <w:lang w:eastAsia="zh-CN"/>
          <w14:textFill>
            <w14:solidFill>
              <w14:schemeClr w14:val="tx1"/>
            </w14:solidFill>
          </w14:textFill>
        </w:rPr>
        <w:t>2）由于承包人或其管理的分包单位（包括施工专业分包、供货分包及劳务分包单位等）拖欠农民工工资致使发包人被投诉或起诉并被判令先行垫付农民工工资的，承包人承担1</w:t>
      </w:r>
      <w:r>
        <w:rPr>
          <w:rFonts w:hint="eastAsia" w:ascii="仿宋" w:hAnsi="仿宋" w:eastAsia="仿宋" w:cs="宋体"/>
          <w:bCs/>
          <w:snapToGrid w:val="0"/>
          <w:color w:val="000000" w:themeColor="text1"/>
          <w:highlight w:val="none"/>
          <w:lang w:eastAsia="zh-CN"/>
          <w14:textFill>
            <w14:solidFill>
              <w14:schemeClr w14:val="tx1"/>
            </w14:solidFill>
          </w14:textFill>
        </w:rPr>
        <w:t>次较大违约责任处罚。</w:t>
      </w:r>
    </w:p>
    <w:p w14:paraId="3E2B19AE">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 xml:space="preserve">3）因承包人违约导致发包人暂停支付工程款时，承包人不得以此为理由拖欠农民工工资，在发包人和承包人就暂停支付工程款问题解决之前，承包人有义务先行支付其所属工人工资。 </w:t>
      </w:r>
    </w:p>
    <w:p w14:paraId="168507D3">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4）承包人不按合同及有关规定按时、足额支付分包单位合同价款及民工工资致使民工集体上访、集聚围阻而造成社会不良影响的，发包人将</w:t>
      </w:r>
      <w:r>
        <w:rPr>
          <w:rFonts w:hint="eastAsia" w:ascii="仿宋" w:hAnsi="仿宋" w:eastAsia="仿宋" w:cs="宋体"/>
          <w:snapToGrid w:val="0"/>
          <w:color w:val="000000" w:themeColor="text1"/>
          <w:highlight w:val="none"/>
          <w:lang w:eastAsia="zh-CN"/>
          <w14:textFill>
            <w14:solidFill>
              <w14:schemeClr w14:val="tx1"/>
            </w14:solidFill>
          </w14:textFill>
        </w:rPr>
        <w:t>有权</w:t>
      </w:r>
      <w:r>
        <w:rPr>
          <w:rFonts w:ascii="仿宋" w:hAnsi="仿宋" w:eastAsia="仿宋" w:cs="宋体"/>
          <w:snapToGrid w:val="0"/>
          <w:color w:val="000000" w:themeColor="text1"/>
          <w:highlight w:val="none"/>
          <w:lang w:eastAsia="zh-CN"/>
          <w14:textFill>
            <w14:solidFill>
              <w14:schemeClr w14:val="tx1"/>
            </w14:solidFill>
          </w14:textFill>
        </w:rPr>
        <w:t>终止与承包人的合同，并上报省、市主管部门建议取消其参加广州地区省、市重大项目的投标资格，并由发包人予以公告。如属恶意煽动并造成社会不良影响的，发包人将提请司法部门追究其法律责任。</w:t>
      </w:r>
    </w:p>
    <w:p w14:paraId="0889D471">
      <w:pPr>
        <w:spacing w:line="360" w:lineRule="auto"/>
        <w:ind w:right="11"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95.10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2AA79BAA">
      <w:pPr>
        <w:spacing w:line="360" w:lineRule="auto"/>
        <w:ind w:right="11" w:firstLine="426" w:firstLineChars="177"/>
        <w:rPr>
          <w:rFonts w:ascii="仿宋" w:hAnsi="仿宋" w:eastAsia="仿宋" w:cs="宋体"/>
          <w:b/>
          <w:snapToGrid w:val="0"/>
          <w:color w:val="000000" w:themeColor="text1"/>
          <w:highlight w:val="none"/>
          <w:lang w:eastAsia="zh-CN"/>
          <w14:textFill>
            <w14:solidFill>
              <w14:schemeClr w14:val="tx1"/>
            </w14:solidFill>
          </w14:textFill>
        </w:rPr>
      </w:pPr>
      <w:r>
        <w:rPr>
          <w:rFonts w:ascii="仿宋" w:hAnsi="仿宋" w:eastAsia="仿宋" w:cs="宋体"/>
          <w:b/>
          <w:snapToGrid w:val="0"/>
          <w:color w:val="000000" w:themeColor="text1"/>
          <w:highlight w:val="none"/>
          <w:lang w:eastAsia="zh-CN"/>
          <w14:textFill>
            <w14:solidFill>
              <w14:schemeClr w14:val="tx1"/>
            </w14:solidFill>
          </w14:textFill>
        </w:rPr>
        <w:t>95.</w:t>
      </w:r>
      <w:r>
        <w:rPr>
          <w:rFonts w:hint="eastAsia" w:ascii="仿宋" w:hAnsi="仿宋" w:eastAsia="仿宋" w:cs="宋体"/>
          <w:b/>
          <w:snapToGrid w:val="0"/>
          <w:color w:val="000000" w:themeColor="text1"/>
          <w:highlight w:val="none"/>
          <w:lang w:eastAsia="zh-CN"/>
          <w14:textFill>
            <w14:solidFill>
              <w14:schemeClr w14:val="tx1"/>
            </w14:solidFill>
          </w14:textFill>
        </w:rPr>
        <w:t>11</w:t>
      </w:r>
      <w:r>
        <w:rPr>
          <w:rFonts w:hint="eastAsia" w:ascii="仿宋" w:hAnsi="仿宋" w:eastAsia="仿宋" w:cs="宋体"/>
          <w:bCs/>
          <w:snapToGrid w:val="0"/>
          <w:color w:val="000000" w:themeColor="text1"/>
          <w:highlight w:val="none"/>
          <w:lang w:eastAsia="zh-CN"/>
          <w14:textFill>
            <w14:solidFill>
              <w14:schemeClr w14:val="tx1"/>
            </w14:solidFill>
          </w14:textFill>
        </w:rPr>
        <w:t>承包人提供的施工图预算经过发包人或造价咨询单位审核后确定误差超过±</w:t>
      </w:r>
      <w:r>
        <w:rPr>
          <w:rFonts w:ascii="仿宋" w:hAnsi="仿宋" w:eastAsia="仿宋" w:cs="宋体"/>
          <w:bCs/>
          <w:snapToGrid w:val="0"/>
          <w:color w:val="000000" w:themeColor="text1"/>
          <w:highlight w:val="none"/>
          <w:lang w:eastAsia="zh-CN"/>
          <w14:textFill>
            <w14:solidFill>
              <w14:schemeClr w14:val="tx1"/>
            </w14:solidFill>
          </w14:textFill>
        </w:rPr>
        <w:t>10%（不含±10%）的，</w:t>
      </w:r>
      <w:r>
        <w:rPr>
          <w:rFonts w:hint="eastAsia" w:ascii="仿宋" w:hAnsi="仿宋" w:eastAsia="仿宋" w:cs="宋体"/>
          <w:snapToGrid w:val="0"/>
          <w:color w:val="000000" w:themeColor="text1"/>
          <w:highlight w:val="none"/>
          <w:lang w:eastAsia="zh-CN"/>
          <w14:textFill>
            <w14:solidFill>
              <w14:schemeClr w14:val="tx1"/>
            </w14:solidFill>
          </w14:textFill>
        </w:rPr>
        <w:t>发包人有权要求</w:t>
      </w:r>
      <w:r>
        <w:rPr>
          <w:rFonts w:ascii="仿宋" w:hAnsi="仿宋" w:eastAsia="仿宋" w:cs="宋体"/>
          <w:bCs/>
          <w:snapToGrid w:val="0"/>
          <w:color w:val="000000" w:themeColor="text1"/>
          <w:highlight w:val="none"/>
          <w:lang w:eastAsia="zh-CN"/>
          <w14:textFill>
            <w14:solidFill>
              <w14:schemeClr w14:val="tx1"/>
            </w14:solidFill>
          </w14:textFill>
        </w:rPr>
        <w:t>承包人承担严重违约责任处罚1次。</w:t>
      </w:r>
      <w:r>
        <w:rPr>
          <w:rFonts w:hint="eastAsia" w:ascii="仿宋" w:hAnsi="仿宋" w:eastAsia="仿宋" w:cs="宋体"/>
          <w:bCs/>
          <w:snapToGrid w:val="0"/>
          <w:color w:val="000000" w:themeColor="text1"/>
          <w:highlight w:val="none"/>
          <w:lang w:eastAsia="zh-CN"/>
          <w14:textFill>
            <w14:solidFill>
              <w14:schemeClr w14:val="tx1"/>
            </w14:solidFill>
          </w14:textFill>
        </w:rPr>
        <w:t>承包人未按发包人要求按时申报及核对施工图预算且无正当理由的，发包人有权要求承包人承担一般违约责任处罚1次；逾期超过1个月的，发包人有权要求承包人承担较大违约责任处罚1次。</w:t>
      </w:r>
    </w:p>
    <w:p w14:paraId="7B0B8D77">
      <w:pPr>
        <w:spacing w:line="360" w:lineRule="auto"/>
        <w:ind w:right="11" w:firstLine="426" w:firstLineChars="177"/>
        <w:rPr>
          <w:rFonts w:ascii="仿宋" w:hAnsi="仿宋" w:eastAsia="仿宋" w:cs="宋体"/>
          <w:bCs/>
          <w:snapToGrid w:val="0"/>
          <w:color w:val="000000" w:themeColor="text1"/>
          <w:highlight w:val="none"/>
          <w:lang w:eastAsia="zh-CN"/>
          <w14:textFill>
            <w14:solidFill>
              <w14:schemeClr w14:val="tx1"/>
            </w14:solidFill>
          </w14:textFill>
        </w:rPr>
      </w:pPr>
      <w:r>
        <w:rPr>
          <w:rFonts w:hint="eastAsia" w:ascii="仿宋" w:hAnsi="仿宋" w:eastAsia="仿宋" w:cs="宋体"/>
          <w:b/>
          <w:snapToGrid w:val="0"/>
          <w:color w:val="000000" w:themeColor="text1"/>
          <w:highlight w:val="none"/>
          <w:lang w:eastAsia="zh-CN"/>
          <w14:textFill>
            <w14:solidFill>
              <w14:schemeClr w14:val="tx1"/>
            </w14:solidFill>
          </w14:textFill>
        </w:rPr>
        <w:t>95.12</w:t>
      </w:r>
      <w:r>
        <w:rPr>
          <w:rFonts w:hint="eastAsia" w:ascii="仿宋" w:hAnsi="仿宋" w:eastAsia="仿宋" w:cs="宋体"/>
          <w:bCs/>
          <w:snapToGrid w:val="0"/>
          <w:color w:val="000000" w:themeColor="text1"/>
          <w:highlight w:val="none"/>
          <w:lang w:eastAsia="zh-CN"/>
          <w14:textFill>
            <w14:solidFill>
              <w14:schemeClr w14:val="tx1"/>
            </w14:solidFill>
          </w14:textFill>
        </w:rPr>
        <w:t>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color w:val="000000" w:themeColor="text1"/>
          <w:highlight w:val="none"/>
          <w:lang w:eastAsia="zh-CN"/>
          <w14:textFill>
            <w14:solidFill>
              <w14:schemeClr w14:val="tx1"/>
            </w14:solidFill>
          </w14:textFill>
        </w:rPr>
        <w:t>1</w:t>
      </w:r>
      <w:r>
        <w:rPr>
          <w:rFonts w:hint="eastAsia" w:ascii="仿宋" w:hAnsi="仿宋" w:eastAsia="仿宋" w:cs="宋体"/>
          <w:bCs/>
          <w:snapToGrid w:val="0"/>
          <w:color w:val="000000" w:themeColor="text1"/>
          <w:highlight w:val="none"/>
          <w:lang w:eastAsia="zh-CN"/>
          <w14:textFill>
            <w14:solidFill>
              <w14:schemeClr w14:val="tx1"/>
            </w14:solidFill>
          </w14:textFill>
        </w:rPr>
        <w:t>次，给发包人造成损失的，承包人应赔偿发包人的全部损失。</w:t>
      </w:r>
    </w:p>
    <w:p w14:paraId="053EFDBA">
      <w:pPr>
        <w:spacing w:line="360" w:lineRule="auto"/>
        <w:ind w:firstLine="424" w:firstLineChars="177"/>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95.15承包人违约责任的认定方式、送达程序及违约金的处理</w:t>
      </w:r>
    </w:p>
    <w:p w14:paraId="5C9886D6">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1）认定方式：以发包人发出的通知、通报、会议纪要等书面文件确定的内容为准。</w:t>
      </w:r>
    </w:p>
    <w:p w14:paraId="62799768">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2）送达程序：发包人以下列方式之一将书面违约处理决定送达承包人：</w:t>
      </w:r>
    </w:p>
    <w:p w14:paraId="6DB25E8C">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1）承包人现场管理机构工作人员签收。</w:t>
      </w:r>
    </w:p>
    <w:p w14:paraId="6EE22508">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2）承包人其他工作人员签收。</w:t>
      </w:r>
    </w:p>
    <w:p w14:paraId="74B38DA1">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s="宋体"/>
          <w:snapToGrid w:val="0"/>
          <w:color w:val="000000" w:themeColor="text1"/>
          <w:highlight w:val="none"/>
          <w:lang w:eastAsia="zh-CN"/>
          <w14:textFill>
            <w14:solidFill>
              <w14:schemeClr w14:val="tx1"/>
            </w14:solidFill>
          </w14:textFill>
        </w:rPr>
        <w:t>3）发包人邮寄送达。</w:t>
      </w:r>
    </w:p>
    <w:p w14:paraId="274D3EB8">
      <w:pPr>
        <w:spacing w:line="360" w:lineRule="auto"/>
        <w:ind w:firstLine="424" w:firstLineChars="177"/>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3）发包人以书面形式</w:t>
      </w:r>
      <w:r>
        <w:rPr>
          <w:rFonts w:hint="eastAsia" w:ascii="仿宋" w:hAnsi="仿宋" w:eastAsia="仿宋" w:cs="宋体"/>
          <w:snapToGrid w:val="0"/>
          <w:color w:val="000000" w:themeColor="text1"/>
          <w:highlight w:val="none"/>
          <w:lang w:eastAsia="zh-CN"/>
          <w14:textFill>
            <w14:solidFill>
              <w14:schemeClr w14:val="tx1"/>
            </w14:solidFill>
          </w14:textFill>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000000" w:themeColor="text1"/>
          <w:highlight w:val="none"/>
          <w:lang w:eastAsia="zh-CN"/>
          <w14:textFill>
            <w14:solidFill>
              <w14:schemeClr w14:val="tx1"/>
            </w14:solidFill>
          </w14:textFill>
        </w:rPr>
        <w:t>3天内以书面形式向发包人提出异议并附上有关证据</w:t>
      </w:r>
      <w:r>
        <w:rPr>
          <w:rFonts w:hint="eastAsia" w:ascii="仿宋" w:hAnsi="仿宋" w:eastAsia="仿宋" w:cs="宋体"/>
          <w:snapToGrid w:val="0"/>
          <w:color w:val="000000" w:themeColor="text1"/>
          <w:highlight w:val="none"/>
          <w:lang w:eastAsia="zh-CN"/>
          <w14:textFill>
            <w14:solidFill>
              <w14:schemeClr w14:val="tx1"/>
            </w14:solidFill>
          </w14:textFill>
        </w:rPr>
        <w:t>，否则视为无异议</w:t>
      </w:r>
      <w:r>
        <w:rPr>
          <w:rFonts w:ascii="仿宋" w:hAnsi="仿宋" w:eastAsia="仿宋" w:cs="宋体"/>
          <w:snapToGrid w:val="0"/>
          <w:color w:val="000000" w:themeColor="text1"/>
          <w:highlight w:val="none"/>
          <w:lang w:eastAsia="zh-CN"/>
          <w14:textFill>
            <w14:solidFill>
              <w14:schemeClr w14:val="tx1"/>
            </w14:solidFill>
          </w14:textFill>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000000" w:themeColor="text1"/>
          <w:highlight w:val="none"/>
          <w:lang w:eastAsia="zh-CN"/>
          <w14:textFill>
            <w14:solidFill>
              <w14:schemeClr w14:val="tx1"/>
            </w14:solidFill>
          </w14:textFill>
        </w:rPr>
        <w:t>作出书面决定并通知承包人。在异议审核期间，承包人须正常开展工作，不得以审核未确定为由拖延或者中止工程设计或施工。</w:t>
      </w:r>
    </w:p>
    <w:p w14:paraId="596BDB9B">
      <w:pPr>
        <w:spacing w:line="360" w:lineRule="auto"/>
        <w:ind w:firstLine="424" w:firstLineChars="177"/>
        <w:rPr>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（4）</w:t>
      </w:r>
      <w:r>
        <w:rPr>
          <w:rFonts w:hint="eastAsia" w:ascii="仿宋" w:hAnsi="仿宋" w:eastAsia="仿宋"/>
          <w:color w:val="000000" w:themeColor="text1"/>
          <w:highlight w:val="none"/>
          <w:lang w:eastAsia="zh-CN"/>
          <w14:textFill>
            <w14:solidFill>
              <w14:schemeClr w14:val="tx1"/>
            </w14:solidFill>
          </w14:textFill>
        </w:rPr>
        <w:t>承包人在本合同（包括合同文件）及合同附件项下所承担违约责任（包括但不限于违约金、赔偿金、扣（罚）款、处罚、赔偿损失等），累计总额以承包人按本合同约定可收取的合同价款为限。</w:t>
      </w:r>
    </w:p>
    <w:p w14:paraId="19D49D15">
      <w:pPr>
        <w:pStyle w:val="5"/>
        <w:tabs>
          <w:tab w:val="left" w:pos="360"/>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70" w:name="_Toc149731613"/>
      <w:bookmarkStart w:id="771" w:name="_Toc21614"/>
      <w:r>
        <w:rPr>
          <w:rFonts w:hint="eastAsia" w:ascii="仿宋" w:hAnsi="仿宋" w:eastAsia="仿宋" w:cs="仿宋"/>
          <w:bCs w:val="0"/>
          <w:color w:val="000000" w:themeColor="text1"/>
          <w:sz w:val="24"/>
          <w:szCs w:val="24"/>
          <w:highlight w:val="none"/>
          <w:lang w:eastAsia="zh-CN"/>
          <w14:textFill>
            <w14:solidFill>
              <w14:schemeClr w14:val="tx1"/>
            </w14:solidFill>
          </w14:textFill>
        </w:rPr>
        <w:t>★96</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发包人违约</w:t>
      </w:r>
      <w:bookmarkEnd w:id="770"/>
      <w:bookmarkEnd w:id="771"/>
    </w:p>
    <w:p w14:paraId="0C9AE4F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96.1 发包人违约的情形</w:t>
      </w:r>
    </w:p>
    <w:p w14:paraId="2D4E3291">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发包人违约的其他情形</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2BF6BAEB">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96.3 发包人违约的责任</w:t>
      </w:r>
    </w:p>
    <w:p w14:paraId="336DA5D5">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发包人违约责任的承担方式和计算方法：</w:t>
      </w:r>
      <w:r>
        <w:rPr>
          <w:rFonts w:hint="eastAsia" w:ascii="仿宋" w:hAnsi="仿宋" w:eastAsia="仿宋" w:cs="仿宋"/>
          <w:color w:val="000000" w:themeColor="text1"/>
          <w:highlight w:val="none"/>
          <w:u w:val="single"/>
          <w:lang w:eastAsia="zh-CN"/>
          <w14:textFill>
            <w14:solidFill>
              <w14:schemeClr w14:val="tx1"/>
            </w14:solidFill>
          </w14:textFill>
        </w:rPr>
        <w:t xml:space="preserve">    /   </w:t>
      </w:r>
    </w:p>
    <w:p w14:paraId="107FBBC4">
      <w:pPr>
        <w:pStyle w:val="5"/>
        <w:tabs>
          <w:tab w:val="left" w:pos="360"/>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72" w:name="_Toc19096"/>
      <w:bookmarkStart w:id="773" w:name="_Toc149731614"/>
      <w:bookmarkStart w:id="774" w:name="_Toc47694453"/>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99.  保密要求</w:t>
      </w:r>
      <w:bookmarkEnd w:id="772"/>
      <w:bookmarkEnd w:id="773"/>
      <w:bookmarkEnd w:id="774"/>
    </w:p>
    <w:p w14:paraId="0F530A73">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99.1 提供保密信息和履行保密义务</w:t>
      </w:r>
    </w:p>
    <w:p w14:paraId="7FC492C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提供保密信息的期限：按照</w:t>
      </w:r>
      <w:r>
        <w:rPr>
          <w:rFonts w:hint="eastAsia" w:ascii="仿宋" w:hAnsi="仿宋" w:eastAsia="仿宋" w:cs="仿宋"/>
          <w:color w:val="000000" w:themeColor="text1"/>
          <w:highlight w:val="none"/>
          <w:u w:val="single"/>
          <w:lang w:eastAsia="zh-CN"/>
          <w14:textFill>
            <w14:solidFill>
              <w14:schemeClr w14:val="tx1"/>
            </w14:solidFill>
          </w14:textFill>
        </w:rPr>
        <w:t>《中华人民共和国保守国家秘密法》执行。</w:t>
      </w:r>
    </w:p>
    <w:p w14:paraId="333EB9B3">
      <w:pPr>
        <w:pStyle w:val="5"/>
        <w:tabs>
          <w:tab w:val="left" w:pos="360"/>
          <w:tab w:val="left" w:pos="420"/>
        </w:tabs>
        <w:spacing w:before="0" w:after="0" w:line="360" w:lineRule="auto"/>
        <w:rPr>
          <w:rFonts w:ascii="仿宋" w:hAnsi="仿宋" w:eastAsia="仿宋"/>
          <w:b w:val="0"/>
          <w:bCs w:val="0"/>
          <w:color w:val="000000" w:themeColor="text1"/>
          <w:sz w:val="24"/>
          <w:szCs w:val="24"/>
          <w:highlight w:val="none"/>
          <w:lang w:eastAsia="zh-CN"/>
          <w14:textFill>
            <w14:solidFill>
              <w14:schemeClr w14:val="tx1"/>
            </w14:solidFill>
          </w14:textFill>
        </w:rPr>
      </w:pPr>
      <w:bookmarkStart w:id="775" w:name="_Toc28486"/>
      <w:bookmarkStart w:id="776" w:name="_Toc149731615"/>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102.  合同份数</w:t>
      </w:r>
      <w:bookmarkEnd w:id="775"/>
      <w:bookmarkEnd w:id="776"/>
    </w:p>
    <w:p w14:paraId="0866DBE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102.1 约定提供合同文件</w:t>
      </w:r>
    </w:p>
    <w:p w14:paraId="6D0DDDA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提供合同文本：</w:t>
      </w:r>
    </w:p>
    <w:p w14:paraId="47FDB2E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sym w:font="Wingdings 2" w:char="F052"/>
      </w:r>
      <w:r>
        <w:rPr>
          <w:rFonts w:hint="eastAsia" w:ascii="仿宋" w:hAnsi="仿宋" w:eastAsia="仿宋" w:cs="仿宋"/>
          <w:color w:val="000000" w:themeColor="text1"/>
          <w:highlight w:val="none"/>
          <w:lang w:eastAsia="zh-CN"/>
          <w14:textFill>
            <w14:solidFill>
              <w14:schemeClr w14:val="tx1"/>
            </w14:solidFill>
          </w14:textFill>
        </w:rPr>
        <w:t xml:space="preserve"> 按通用条款的约定，由发包人向承包人提供。</w:t>
      </w:r>
    </w:p>
    <w:p w14:paraId="6AC604CA">
      <w:pPr>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另有约定：</w:t>
      </w:r>
    </w:p>
    <w:p w14:paraId="49B2994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bookmarkStart w:id="777" w:name="_Toc7412"/>
      <w:r>
        <w:rPr>
          <w:rFonts w:hint="eastAsia" w:ascii="仿宋" w:hAnsi="仿宋" w:eastAsia="仿宋" w:cs="仿宋"/>
          <w:color w:val="000000" w:themeColor="text1"/>
          <w:highlight w:val="none"/>
          <w:lang w:eastAsia="zh-CN"/>
          <w14:textFill>
            <w14:solidFill>
              <w14:schemeClr w14:val="tx1"/>
            </w14:solidFill>
          </w14:textFill>
        </w:rPr>
        <w:t>102.2 正副本效力</w:t>
      </w:r>
      <w:bookmarkEnd w:id="777"/>
    </w:p>
    <w:p w14:paraId="63AF98E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合同的份数</w:t>
      </w:r>
      <w:r>
        <w:rPr>
          <w:rFonts w:hint="eastAsia" w:ascii="仿宋" w:hAnsi="仿宋" w:eastAsia="仿宋" w:cs="仿宋"/>
          <w:color w:val="000000" w:themeColor="text1"/>
          <w:highlight w:val="none"/>
          <w:u w:val="single"/>
          <w:lang w:eastAsia="zh-CN"/>
          <w14:textFill>
            <w14:solidFill>
              <w14:schemeClr w14:val="tx1"/>
            </w14:solidFill>
          </w14:textFill>
        </w:rPr>
        <w:t>：详见协议书。</w:t>
      </w:r>
    </w:p>
    <w:p w14:paraId="6289BAC5">
      <w:pPr>
        <w:pStyle w:val="5"/>
        <w:tabs>
          <w:tab w:val="left" w:pos="360"/>
          <w:tab w:val="left" w:pos="420"/>
        </w:tabs>
        <w:spacing w:before="0" w:after="0" w:line="360" w:lineRule="auto"/>
        <w:rPr>
          <w:rFonts w:ascii="仿宋" w:hAnsi="仿宋" w:eastAsia="仿宋" w:cs="仿宋"/>
          <w:b w:val="0"/>
          <w:bCs w:val="0"/>
          <w:color w:val="000000" w:themeColor="text1"/>
          <w:sz w:val="24"/>
          <w:szCs w:val="24"/>
          <w:highlight w:val="none"/>
          <w:lang w:eastAsia="zh-CN"/>
          <w14:textFill>
            <w14:solidFill>
              <w14:schemeClr w14:val="tx1"/>
            </w14:solidFill>
          </w14:textFill>
        </w:rPr>
      </w:pPr>
      <w:bookmarkStart w:id="778" w:name="_Toc149731616"/>
      <w:bookmarkStart w:id="779" w:name="_Toc30505"/>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103合同管理</w:t>
      </w:r>
      <w:bookmarkEnd w:id="778"/>
      <w:bookmarkEnd w:id="779"/>
    </w:p>
    <w:p w14:paraId="58CF0423">
      <w:pPr>
        <w:spacing w:line="360" w:lineRule="auto"/>
        <w:ind w:firstLine="566" w:firstLineChars="236"/>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双方协商一致，增加103.2款：</w:t>
      </w:r>
    </w:p>
    <w:p w14:paraId="18DE9420">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103.2 </w:t>
      </w:r>
      <w:r>
        <w:rPr>
          <w:rFonts w:hint="eastAsia" w:ascii="仿宋" w:hAnsi="仿宋" w:eastAsia="仿宋" w:cs="宋体"/>
          <w:snapToGrid w:val="0"/>
          <w:color w:val="000000" w:themeColor="text1"/>
          <w:highlight w:val="none"/>
          <w:lang w:eastAsia="zh-CN"/>
          <w14:textFill>
            <w14:solidFill>
              <w14:schemeClr w14:val="tx1"/>
            </w14:solidFill>
          </w14:textFill>
        </w:rPr>
        <w:t>当发生下列情况之一时，双方应在事件发生后三个月内签订补充合同（协议），双方另有约定的除外：</w:t>
      </w:r>
    </w:p>
    <w:p w14:paraId="2DE54833">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1）发包人根据合同协议书第</w:t>
      </w:r>
      <w:r>
        <w:rPr>
          <w:rFonts w:hint="eastAsia" w:ascii="仿宋" w:hAnsi="仿宋" w:eastAsia="仿宋" w:cs="宋体"/>
          <w:snapToGrid w:val="0"/>
          <w:color w:val="000000" w:themeColor="text1"/>
          <w:highlight w:val="none"/>
          <w:lang w:eastAsia="zh-CN"/>
          <w14:textFill>
            <w14:solidFill>
              <w14:schemeClr w14:val="tx1"/>
            </w14:solidFill>
          </w14:textFill>
        </w:rPr>
        <w:t>七</w:t>
      </w:r>
      <w:r>
        <w:rPr>
          <w:rFonts w:ascii="仿宋" w:hAnsi="仿宋" w:eastAsia="仿宋" w:cs="宋体"/>
          <w:snapToGrid w:val="0"/>
          <w:color w:val="000000" w:themeColor="text1"/>
          <w:highlight w:val="none"/>
          <w:lang w:eastAsia="zh-CN"/>
          <w14:textFill>
            <w14:solidFill>
              <w14:schemeClr w14:val="tx1"/>
            </w14:solidFill>
          </w14:textFill>
        </w:rPr>
        <w:t>条的约定调整合同工期；</w:t>
      </w:r>
    </w:p>
    <w:p w14:paraId="500F8553">
      <w:pPr>
        <w:spacing w:line="360" w:lineRule="auto"/>
        <w:ind w:right="11"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2）发包人根据合同协议书第</w:t>
      </w:r>
      <w:r>
        <w:rPr>
          <w:rFonts w:hint="eastAsia" w:ascii="仿宋" w:hAnsi="仿宋" w:eastAsia="仿宋" w:cs="宋体"/>
          <w:snapToGrid w:val="0"/>
          <w:color w:val="000000" w:themeColor="text1"/>
          <w:highlight w:val="none"/>
          <w:lang w:eastAsia="zh-CN"/>
          <w14:textFill>
            <w14:solidFill>
              <w14:schemeClr w14:val="tx1"/>
            </w14:solidFill>
          </w14:textFill>
        </w:rPr>
        <w:t>二</w:t>
      </w:r>
      <w:r>
        <w:rPr>
          <w:rFonts w:ascii="仿宋" w:hAnsi="仿宋" w:eastAsia="仿宋" w:cs="宋体"/>
          <w:snapToGrid w:val="0"/>
          <w:color w:val="000000" w:themeColor="text1"/>
          <w:highlight w:val="none"/>
          <w:lang w:eastAsia="zh-CN"/>
          <w14:textFill>
            <w14:solidFill>
              <w14:schemeClr w14:val="tx1"/>
            </w14:solidFill>
          </w14:textFill>
        </w:rPr>
        <w:t>条的约定调整承包范围、或发生设计变更、工程签证等情况导致</w:t>
      </w:r>
      <w:r>
        <w:rPr>
          <w:rFonts w:hint="eastAsia" w:ascii="仿宋" w:hAnsi="仿宋" w:eastAsia="仿宋" w:cs="宋体"/>
          <w:bCs/>
          <w:snapToGrid w:val="0"/>
          <w:color w:val="000000" w:themeColor="text1"/>
          <w:highlight w:val="none"/>
          <w:lang w:val="zh-CN" w:eastAsia="zh-CN"/>
          <w14:textFill>
            <w14:solidFill>
              <w14:schemeClr w14:val="tx1"/>
            </w14:solidFill>
          </w14:textFill>
        </w:rPr>
        <w:t>本合同承包范围内的总金额</w:t>
      </w:r>
      <w:r>
        <w:rPr>
          <w:rFonts w:hint="eastAsia" w:ascii="仿宋" w:hAnsi="仿宋" w:eastAsia="仿宋" w:cs="宋体"/>
          <w:snapToGrid w:val="0"/>
          <w:color w:val="000000" w:themeColor="text1"/>
          <w:highlight w:val="none"/>
          <w:lang w:eastAsia="zh-CN"/>
          <w14:textFill>
            <w14:solidFill>
              <w14:schemeClr w14:val="tx1"/>
            </w14:solidFill>
          </w14:textFill>
        </w:rPr>
        <w:t>超过本合同价款；</w:t>
      </w:r>
    </w:p>
    <w:p w14:paraId="7E7A8ED9">
      <w:pPr>
        <w:spacing w:line="360" w:lineRule="auto"/>
        <w:ind w:firstLine="566" w:firstLineChars="236"/>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ascii="仿宋" w:hAnsi="仿宋" w:eastAsia="仿宋" w:cs="宋体"/>
          <w:snapToGrid w:val="0"/>
          <w:color w:val="000000" w:themeColor="text1"/>
          <w:highlight w:val="none"/>
          <w:lang w:eastAsia="zh-CN"/>
          <w14:textFill>
            <w14:solidFill>
              <w14:schemeClr w14:val="tx1"/>
            </w14:solidFill>
          </w14:textFill>
        </w:rPr>
        <w:t>3）发包人、承包人双方认为需要签订补充合同（协议）的其他情形。</w:t>
      </w:r>
    </w:p>
    <w:p w14:paraId="3EC728E5">
      <w:pPr>
        <w:rPr>
          <w:color w:val="000000" w:themeColor="text1"/>
          <w:highlight w:val="none"/>
          <w:lang w:eastAsia="zh-CN"/>
          <w14:textFill>
            <w14:solidFill>
              <w14:schemeClr w14:val="tx1"/>
            </w14:solidFill>
          </w14:textFill>
        </w:rPr>
      </w:pPr>
    </w:p>
    <w:p w14:paraId="7978C203">
      <w:pPr>
        <w:ind w:firstLine="3296"/>
        <w:rPr>
          <w:color w:val="000000" w:themeColor="text1"/>
          <w:highlight w:val="none"/>
          <w:lang w:eastAsia="zh-CN"/>
          <w14:textFill>
            <w14:solidFill>
              <w14:schemeClr w14:val="tx1"/>
            </w14:solidFill>
          </w14:textFill>
        </w:rPr>
      </w:pPr>
    </w:p>
    <w:p w14:paraId="28B7F1B7">
      <w:pPr>
        <w:ind w:firstLine="3296"/>
        <w:rPr>
          <w:color w:val="000000" w:themeColor="text1"/>
          <w:highlight w:val="none"/>
          <w:lang w:eastAsia="zh-CN"/>
          <w14:textFill>
            <w14:solidFill>
              <w14:schemeClr w14:val="tx1"/>
            </w14:solidFill>
          </w14:textFill>
        </w:rPr>
      </w:pPr>
    </w:p>
    <w:p w14:paraId="60E273C5">
      <w:pPr>
        <w:rPr>
          <w:color w:val="000000" w:themeColor="text1"/>
          <w:highlight w:val="none"/>
          <w:lang w:eastAsia="zh-CN"/>
          <w14:textFill>
            <w14:solidFill>
              <w14:schemeClr w14:val="tx1"/>
            </w14:solidFill>
          </w14:textFill>
        </w:rPr>
        <w:sectPr>
          <w:endnotePr>
            <w:numFmt w:val="decimal"/>
          </w:endnotePr>
          <w:pgSz w:w="11906" w:h="16838"/>
          <w:pgMar w:top="1440" w:right="1440" w:bottom="1440" w:left="1440" w:header="0" w:footer="567" w:gutter="0"/>
          <w:cols w:space="720" w:num="1"/>
        </w:sectPr>
      </w:pPr>
    </w:p>
    <w:p w14:paraId="04A3630E">
      <w:pPr>
        <w:pStyle w:val="4"/>
        <w:tabs>
          <w:tab w:val="left" w:pos="420"/>
        </w:tabs>
        <w:jc w:val="center"/>
        <w:rPr>
          <w:rFonts w:hAnsi="宋体"/>
          <w:b w:val="0"/>
          <w:bCs w:val="0"/>
          <w:color w:val="000000" w:themeColor="text1"/>
          <w:sz w:val="36"/>
          <w:szCs w:val="36"/>
          <w:highlight w:val="none"/>
          <w:lang w:eastAsia="zh-CN"/>
          <w14:textFill>
            <w14:solidFill>
              <w14:schemeClr w14:val="tx1"/>
            </w14:solidFill>
          </w14:textFill>
        </w:rPr>
      </w:pPr>
      <w:bookmarkStart w:id="780" w:name="_Toc7019"/>
      <w:bookmarkStart w:id="781" w:name="_Toc149731617"/>
      <w:r>
        <w:rPr>
          <w:rFonts w:hint="eastAsia" w:hAnsi="宋体"/>
          <w:b w:val="0"/>
          <w:bCs w:val="0"/>
          <w:color w:val="000000" w:themeColor="text1"/>
          <w:sz w:val="36"/>
          <w:szCs w:val="36"/>
          <w:highlight w:val="none"/>
          <w:lang w:eastAsia="zh-CN"/>
          <w14:textFill>
            <w14:solidFill>
              <w14:schemeClr w14:val="tx1"/>
            </w14:solidFill>
          </w14:textFill>
        </w:rPr>
        <w:t>第四部分  附件与格式</w:t>
      </w:r>
      <w:bookmarkEnd w:id="780"/>
      <w:bookmarkEnd w:id="781"/>
    </w:p>
    <w:p w14:paraId="0B1BC5D0">
      <w:pPr>
        <w:spacing w:line="360" w:lineRule="auto"/>
        <w:rPr>
          <w:rFonts w:ascii="宋体"/>
          <w:b/>
          <w:bCs/>
          <w:color w:val="000000" w:themeColor="text1"/>
          <w:highlight w:val="none"/>
          <w:lang w:eastAsia="zh-CN"/>
          <w14:textFill>
            <w14:solidFill>
              <w14:schemeClr w14:val="tx1"/>
            </w14:solidFill>
          </w14:textFill>
        </w:rPr>
      </w:pPr>
    </w:p>
    <w:p w14:paraId="4380791B">
      <w:pPr>
        <w:rPr>
          <w:rFonts w:ascii="仿宋" w:hAnsi="仿宋" w:eastAsia="仿宋" w:cs="仿宋"/>
          <w:b/>
          <w:bCs/>
          <w:color w:val="000000" w:themeColor="text1"/>
          <w:highlight w:val="none"/>
          <w:lang w:eastAsia="zh-CN"/>
          <w14:textFill>
            <w14:solidFill>
              <w14:schemeClr w14:val="tx1"/>
            </w14:solidFill>
          </w14:textFill>
        </w:rPr>
      </w:pPr>
      <w:r>
        <w:rPr>
          <w:rFonts w:hint="eastAsia" w:ascii="仿宋" w:hAnsi="仿宋" w:eastAsia="仿宋" w:cs="仿宋"/>
          <w:b/>
          <w:bCs/>
          <w:color w:val="000000" w:themeColor="text1"/>
          <w:highlight w:val="none"/>
          <w:lang w:eastAsia="zh-CN"/>
          <w14:textFill>
            <w14:solidFill>
              <w14:schemeClr w14:val="tx1"/>
            </w14:solidFill>
          </w14:textFill>
        </w:rPr>
        <w:br w:type="page"/>
      </w:r>
    </w:p>
    <w:p w14:paraId="32B2D1A8">
      <w:pPr>
        <w:spacing w:line="360" w:lineRule="auto"/>
        <w:outlineLvl w:val="1"/>
        <w:rPr>
          <w:rFonts w:ascii="仿宋" w:hAnsi="仿宋" w:eastAsia="仿宋"/>
          <w:color w:val="000000" w:themeColor="text1"/>
          <w:highlight w:val="none"/>
          <w:lang w:eastAsia="zh-CN"/>
          <w14:textFill>
            <w14:solidFill>
              <w14:schemeClr w14:val="tx1"/>
            </w14:solidFill>
          </w14:textFill>
        </w:rPr>
      </w:pPr>
      <w:bookmarkStart w:id="782" w:name="_Toc148188662"/>
      <w:bookmarkStart w:id="783" w:name="_Toc149731618"/>
      <w:bookmarkStart w:id="784" w:name="_Toc25039"/>
      <w:r>
        <w:rPr>
          <w:rFonts w:hint="eastAsia" w:ascii="仿宋" w:hAnsi="仿宋" w:eastAsia="仿宋" w:cs="仿宋"/>
          <w:b/>
          <w:bCs/>
          <w:color w:val="000000" w:themeColor="text1"/>
          <w:highlight w:val="none"/>
          <w:lang w:eastAsia="zh-CN"/>
          <w14:textFill>
            <w14:solidFill>
              <w14:schemeClr w14:val="tx1"/>
            </w14:solidFill>
          </w14:textFill>
        </w:rPr>
        <w:t>附件一：联合体承包协议书</w:t>
      </w:r>
      <w:bookmarkEnd w:id="782"/>
      <w:bookmarkEnd w:id="783"/>
      <w:bookmarkEnd w:id="784"/>
    </w:p>
    <w:p w14:paraId="2AC3D29B">
      <w:pPr>
        <w:pStyle w:val="40"/>
        <w:rPr>
          <w:color w:val="000000" w:themeColor="text1"/>
          <w:highlight w:val="none"/>
          <w:lang w:eastAsia="zh-CN"/>
          <w14:textFill>
            <w14:solidFill>
              <w14:schemeClr w14:val="tx1"/>
            </w14:solidFill>
          </w14:textFill>
        </w:rPr>
        <w:sectPr>
          <w:endnotePr>
            <w:numFmt w:val="decimal"/>
          </w:endnotePr>
          <w:pgSz w:w="11906" w:h="16838"/>
          <w:pgMar w:top="1440" w:right="1440" w:bottom="1440" w:left="1440" w:header="0" w:footer="0" w:gutter="0"/>
          <w:cols w:space="720" w:num="1"/>
        </w:sectPr>
      </w:pPr>
    </w:p>
    <w:p w14:paraId="5E872454">
      <w:pPr>
        <w:spacing w:after="156" w:line="360" w:lineRule="auto"/>
        <w:outlineLvl w:val="1"/>
        <w:rPr>
          <w:rFonts w:ascii="仿宋" w:hAnsi="仿宋" w:eastAsia="仿宋" w:cs="仿宋"/>
          <w:b/>
          <w:color w:val="000000" w:themeColor="text1"/>
          <w:highlight w:val="none"/>
          <w:lang w:eastAsia="zh-CN"/>
          <w14:textFill>
            <w14:solidFill>
              <w14:schemeClr w14:val="tx1"/>
            </w14:solidFill>
          </w14:textFill>
        </w:rPr>
      </w:pPr>
      <w:bookmarkStart w:id="785" w:name="_Toc148188663"/>
      <w:bookmarkStart w:id="786" w:name="_Toc149731619"/>
      <w:bookmarkStart w:id="787" w:name="_Toc88"/>
      <w:r>
        <w:rPr>
          <w:rFonts w:hint="eastAsia" w:ascii="仿宋" w:hAnsi="仿宋" w:eastAsia="仿宋" w:cs="仿宋"/>
          <w:b/>
          <w:bCs/>
          <w:color w:val="000000" w:themeColor="text1"/>
          <w:highlight w:val="none"/>
          <w:lang w:eastAsia="zh-CN"/>
          <w14:textFill>
            <w14:solidFill>
              <w14:schemeClr w14:val="tx1"/>
            </w14:solidFill>
          </w14:textFill>
        </w:rPr>
        <w:t>附件二</w:t>
      </w:r>
      <w:bookmarkEnd w:id="785"/>
      <w:bookmarkEnd w:id="786"/>
      <w:bookmarkEnd w:id="787"/>
    </w:p>
    <w:p w14:paraId="01899884">
      <w:pPr>
        <w:spacing w:after="156"/>
        <w:jc w:val="center"/>
        <w:rPr>
          <w:rFonts w:ascii="仿宋" w:hAnsi="仿宋" w:eastAsia="仿宋"/>
          <w:b/>
          <w:bCs/>
          <w:color w:val="000000" w:themeColor="text1"/>
          <w:sz w:val="32"/>
          <w:szCs w:val="32"/>
          <w:highlight w:val="none"/>
          <w:lang w:eastAsia="zh-CN"/>
          <w14:textFill>
            <w14:solidFill>
              <w14:schemeClr w14:val="tx1"/>
            </w14:solidFill>
          </w14:textFill>
        </w:rPr>
      </w:pPr>
      <w:r>
        <w:rPr>
          <w:rFonts w:hint="eastAsia" w:ascii="仿宋" w:hAnsi="仿宋" w:eastAsia="仿宋"/>
          <w:b/>
          <w:bCs/>
          <w:color w:val="000000" w:themeColor="text1"/>
          <w:sz w:val="32"/>
          <w:szCs w:val="32"/>
          <w:highlight w:val="none"/>
          <w:lang w:eastAsia="zh-CN"/>
          <w14:textFill>
            <w14:solidFill>
              <w14:schemeClr w14:val="tx1"/>
            </w14:solidFill>
          </w14:textFill>
        </w:rPr>
        <w:t>联合体主办方责任承诺书</w:t>
      </w:r>
    </w:p>
    <w:p w14:paraId="16ACA5F2">
      <w:pPr>
        <w:spacing w:before="120" w:beforeLines="50" w:after="156"/>
        <w:ind w:firstLine="482"/>
        <w:rPr>
          <w:rFonts w:ascii="仿宋" w:hAnsi="仿宋" w:eastAsia="仿宋"/>
          <w:b/>
          <w:bCs/>
          <w:color w:val="000000" w:themeColor="text1"/>
          <w:szCs w:val="28"/>
          <w:highlight w:val="none"/>
          <w:lang w:eastAsia="zh-CN"/>
          <w14:textFill>
            <w14:solidFill>
              <w14:schemeClr w14:val="tx1"/>
            </w14:solidFill>
          </w14:textFill>
        </w:rPr>
      </w:pPr>
    </w:p>
    <w:p w14:paraId="7866EBE9">
      <w:pPr>
        <w:spacing w:before="120" w:beforeLines="50" w:after="156"/>
        <w:ind w:firstLine="482"/>
        <w:rPr>
          <w:rFonts w:ascii="仿宋" w:hAnsi="仿宋" w:eastAsia="仿宋"/>
          <w:b/>
          <w:bCs/>
          <w:color w:val="000000" w:themeColor="text1"/>
          <w:szCs w:val="28"/>
          <w:highlight w:val="none"/>
          <w:lang w:eastAsia="zh-CN"/>
          <w14:textFill>
            <w14:solidFill>
              <w14:schemeClr w14:val="tx1"/>
            </w14:solidFill>
          </w14:textFill>
        </w:rPr>
      </w:pPr>
      <w:r>
        <w:rPr>
          <w:rFonts w:hint="eastAsia" w:ascii="仿宋" w:hAnsi="仿宋" w:eastAsia="仿宋"/>
          <w:b/>
          <w:bCs/>
          <w:color w:val="000000" w:themeColor="text1"/>
          <w:szCs w:val="28"/>
          <w:highlight w:val="none"/>
          <w:lang w:eastAsia="zh-CN"/>
          <w14:textFill>
            <w14:solidFill>
              <w14:schemeClr w14:val="tx1"/>
            </w14:solidFill>
          </w14:textFill>
        </w:rPr>
        <w:t>致：广州新中轴海珠片区城市更新有限公司</w:t>
      </w:r>
    </w:p>
    <w:p w14:paraId="1F753B6D">
      <w:pPr>
        <w:spacing w:after="156"/>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我司已充分阅读了招标文件及合同条款，我司作为联合体的主办方，我司承诺：</w:t>
      </w:r>
    </w:p>
    <w:p w14:paraId="6F758482">
      <w:pPr>
        <w:pStyle w:val="2"/>
        <w:widowControl w:val="0"/>
        <w:numPr>
          <w:ilvl w:val="0"/>
          <w:numId w:val="41"/>
        </w:numPr>
        <w:spacing w:afterLines="50" w:line="360" w:lineRule="auto"/>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对本合同项目的设计、施工进度、质量、安全、投资控制、管理等进行全面协调管理工作。</w:t>
      </w:r>
    </w:p>
    <w:p w14:paraId="0A696D1C">
      <w:pPr>
        <w:pStyle w:val="2"/>
        <w:widowControl w:val="0"/>
        <w:numPr>
          <w:ilvl w:val="0"/>
          <w:numId w:val="41"/>
        </w:numPr>
        <w:spacing w:afterLines="50" w:line="360" w:lineRule="auto"/>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我司按联合体共同投标协议书的约定，承担主办方的责任</w:t>
      </w:r>
      <w:r>
        <w:rPr>
          <w:rFonts w:ascii="仿宋" w:hAnsi="仿宋" w:eastAsia="仿宋"/>
          <w:color w:val="000000" w:themeColor="text1"/>
          <w:highlight w:val="none"/>
          <w:lang w:eastAsia="zh-CN"/>
          <w14:textFill>
            <w14:solidFill>
              <w14:schemeClr w14:val="tx1"/>
            </w14:solidFill>
          </w14:textFill>
        </w:rPr>
        <w:t>。</w:t>
      </w:r>
    </w:p>
    <w:p w14:paraId="098B84A5">
      <w:pPr>
        <w:pStyle w:val="2"/>
        <w:widowControl w:val="0"/>
        <w:numPr>
          <w:ilvl w:val="0"/>
          <w:numId w:val="41"/>
        </w:numPr>
        <w:spacing w:afterLines="50" w:line="360" w:lineRule="auto"/>
        <w:ind w:left="482"/>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无条件接受发包人、监理的检查、考核。</w:t>
      </w:r>
    </w:p>
    <w:p w14:paraId="486C6DA1">
      <w:pPr>
        <w:pStyle w:val="223"/>
        <w:numPr>
          <w:ilvl w:val="0"/>
          <w:numId w:val="41"/>
        </w:numPr>
        <w:tabs>
          <w:tab w:val="left" w:pos="993"/>
        </w:tabs>
        <w:adjustRightInd w:val="0"/>
        <w:snapToGrid w:val="0"/>
        <w:spacing w:after="120" w:afterLines="50" w:line="360" w:lineRule="auto"/>
        <w:ind w:right="11"/>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若未能实现上述承诺，</w:t>
      </w:r>
      <w:r>
        <w:rPr>
          <w:rFonts w:hint="eastAsia" w:ascii="仿宋" w:hAnsi="仿宋" w:eastAsia="仿宋"/>
          <w:color w:val="000000" w:themeColor="text1"/>
          <w:highlight w:val="none"/>
          <w:lang w:eastAsia="zh-CN"/>
          <w14:textFill>
            <w14:solidFill>
              <w14:schemeClr w14:val="tx1"/>
            </w14:solidFill>
          </w14:textFill>
        </w:rPr>
        <w:t>导致出现严重违约责任的，我司承担连带责任。</w:t>
      </w:r>
    </w:p>
    <w:p w14:paraId="02B6A278">
      <w:pPr>
        <w:pStyle w:val="2"/>
        <w:spacing w:after="156"/>
        <w:rPr>
          <w:rFonts w:ascii="仿宋" w:hAnsi="仿宋" w:eastAsia="仿宋"/>
          <w:color w:val="000000" w:themeColor="text1"/>
          <w:highlight w:val="none"/>
          <w:lang w:eastAsia="zh-CN"/>
          <w14:textFill>
            <w14:solidFill>
              <w14:schemeClr w14:val="tx1"/>
            </w14:solidFill>
          </w14:textFill>
        </w:rPr>
      </w:pPr>
    </w:p>
    <w:p w14:paraId="33837511">
      <w:pPr>
        <w:pStyle w:val="2"/>
        <w:spacing w:after="156"/>
        <w:rPr>
          <w:rFonts w:ascii="仿宋" w:hAnsi="仿宋" w:eastAsia="仿宋"/>
          <w:color w:val="000000" w:themeColor="text1"/>
          <w:highlight w:val="none"/>
          <w:lang w:eastAsia="zh-CN"/>
          <w14:textFill>
            <w14:solidFill>
              <w14:schemeClr w14:val="tx1"/>
            </w14:solidFill>
          </w14:textFill>
        </w:rPr>
      </w:pPr>
    </w:p>
    <w:p w14:paraId="552ECBBE">
      <w:pPr>
        <w:spacing w:after="156"/>
        <w:jc w:val="cente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单位名称（盖公章）：</w:t>
      </w:r>
    </w:p>
    <w:p w14:paraId="7F4B1C33">
      <w:pPr>
        <w:spacing w:after="156"/>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法定代表人（签</w:t>
      </w:r>
      <w:r>
        <w:rPr>
          <w:rFonts w:hint="eastAsia" w:ascii="仿宋" w:hAnsi="仿宋" w:eastAsia="仿宋"/>
          <w:color w:val="000000" w:themeColor="text1"/>
          <w:highlight w:val="none"/>
          <w:lang w:eastAsia="zh-CN"/>
          <w14:textFill>
            <w14:solidFill>
              <w14:schemeClr w14:val="tx1"/>
            </w14:solidFill>
          </w14:textFill>
        </w:rPr>
        <w:t>章</w:t>
      </w:r>
      <w:r>
        <w:rPr>
          <w:rFonts w:ascii="仿宋" w:hAnsi="仿宋" w:eastAsia="仿宋"/>
          <w:color w:val="000000" w:themeColor="text1"/>
          <w:highlight w:val="none"/>
          <w:lang w:eastAsia="zh-CN"/>
          <w14:textFill>
            <w14:solidFill>
              <w14:schemeClr w14:val="tx1"/>
            </w14:solidFill>
          </w14:textFill>
        </w:rPr>
        <w:t xml:space="preserve">）：    </w:t>
      </w:r>
    </w:p>
    <w:p w14:paraId="7F85CB1B">
      <w:pPr>
        <w:spacing w:after="156"/>
        <w:ind w:firstLine="240" w:firstLineChars="100"/>
        <w:jc w:val="both"/>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w:t>
      </w:r>
      <w:r>
        <w:rPr>
          <w:rFonts w:hint="eastAsia" w:ascii="仿宋" w:hAnsi="仿宋" w:eastAsia="仿宋"/>
          <w:color w:val="000000" w:themeColor="text1"/>
          <w:highlight w:val="none"/>
          <w:lang w:eastAsia="zh-CN"/>
          <w14:textFill>
            <w14:solidFill>
              <w14:schemeClr w14:val="tx1"/>
            </w14:solidFill>
          </w14:textFill>
        </w:rPr>
        <w:t xml:space="preserve">             </w:t>
      </w:r>
      <w:r>
        <w:rPr>
          <w:rFonts w:ascii="仿宋" w:hAnsi="仿宋" w:eastAsia="仿宋"/>
          <w:color w:val="000000" w:themeColor="text1"/>
          <w:highlight w:val="none"/>
          <w:lang w:eastAsia="zh-CN"/>
          <w14:textFill>
            <w14:solidFill>
              <w14:schemeClr w14:val="tx1"/>
            </w14:solidFill>
          </w14:textFill>
        </w:rPr>
        <w:t>日期：   年   月   日</w:t>
      </w:r>
    </w:p>
    <w:p w14:paraId="4ACDD14E">
      <w:pPr>
        <w:rPr>
          <w:rFonts w:ascii="仿宋" w:hAnsi="仿宋" w:eastAsia="仿宋" w:cs="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br w:type="page"/>
      </w:r>
    </w:p>
    <w:p w14:paraId="54E378F9">
      <w:pPr>
        <w:spacing w:line="360" w:lineRule="auto"/>
        <w:outlineLvl w:val="1"/>
        <w:rPr>
          <w:rFonts w:ascii="仿宋" w:hAnsi="仿宋" w:eastAsia="仿宋" w:cs="仿宋"/>
          <w:b/>
          <w:color w:val="000000" w:themeColor="text1"/>
          <w:highlight w:val="none"/>
          <w:lang w:eastAsia="zh-CN"/>
          <w14:textFill>
            <w14:solidFill>
              <w14:schemeClr w14:val="tx1"/>
            </w14:solidFill>
          </w14:textFill>
        </w:rPr>
      </w:pPr>
      <w:bookmarkStart w:id="788" w:name="_Toc148188665"/>
      <w:bookmarkStart w:id="789" w:name="_Toc149731620"/>
      <w:bookmarkStart w:id="790" w:name="_Toc28174"/>
      <w:r>
        <w:rPr>
          <w:rFonts w:hint="eastAsia" w:ascii="仿宋" w:hAnsi="仿宋" w:eastAsia="仿宋" w:cs="仿宋"/>
          <w:b/>
          <w:bCs/>
          <w:color w:val="000000" w:themeColor="text1"/>
          <w:highlight w:val="none"/>
          <w:lang w:eastAsia="zh-CN"/>
          <w14:textFill>
            <w14:solidFill>
              <w14:schemeClr w14:val="tx1"/>
            </w14:solidFill>
          </w14:textFill>
        </w:rPr>
        <w:t>附件</w:t>
      </w:r>
      <w:bookmarkEnd w:id="788"/>
      <w:r>
        <w:rPr>
          <w:rFonts w:hint="eastAsia" w:ascii="仿宋" w:hAnsi="仿宋" w:eastAsia="仿宋" w:cs="仿宋"/>
          <w:b/>
          <w:bCs/>
          <w:color w:val="000000" w:themeColor="text1"/>
          <w:highlight w:val="none"/>
          <w:lang w:eastAsia="zh-CN"/>
          <w14:textFill>
            <w14:solidFill>
              <w14:schemeClr w14:val="tx1"/>
            </w14:solidFill>
          </w14:textFill>
        </w:rPr>
        <w:t>三</w:t>
      </w:r>
      <w:bookmarkEnd w:id="789"/>
      <w:bookmarkEnd w:id="790"/>
      <w:bookmarkStart w:id="791" w:name="_Toc149731621"/>
      <w:bookmarkStart w:id="792" w:name="_Toc11690"/>
      <w:bookmarkStart w:id="793" w:name="_Toc148188666"/>
      <w:r>
        <w:rPr>
          <w:rFonts w:hint="eastAsia" w:ascii="仿宋" w:hAnsi="仿宋" w:eastAsia="仿宋" w:cs="仿宋"/>
          <w:b/>
          <w:bCs/>
          <w:color w:val="000000" w:themeColor="text1"/>
          <w:highlight w:val="none"/>
          <w:lang w:eastAsia="zh-CN"/>
          <w14:textFill>
            <w14:solidFill>
              <w14:schemeClr w14:val="tx1"/>
            </w14:solidFill>
          </w14:textFill>
        </w:rPr>
        <w:t>：工程质量终身责任承诺书（含法定代表人授权书）</w:t>
      </w:r>
      <w:bookmarkEnd w:id="791"/>
      <w:bookmarkEnd w:id="792"/>
      <w:bookmarkEnd w:id="793"/>
    </w:p>
    <w:p w14:paraId="35A4C7EB">
      <w:pPr>
        <w:spacing w:after="156" w:line="400" w:lineRule="exact"/>
        <w:jc w:val="center"/>
        <w:rPr>
          <w:rFonts w:ascii="仿宋" w:hAnsi="仿宋" w:eastAsia="仿宋"/>
          <w:b/>
          <w:color w:val="000000" w:themeColor="text1"/>
          <w:highlight w:val="none"/>
          <w:lang w:eastAsia="zh-CN"/>
          <w14:textFill>
            <w14:solidFill>
              <w14:schemeClr w14:val="tx1"/>
            </w14:solidFill>
          </w14:textFill>
        </w:rPr>
      </w:pPr>
      <w:r>
        <w:rPr>
          <w:rFonts w:hint="eastAsia" w:ascii="仿宋" w:hAnsi="仿宋" w:eastAsia="仿宋"/>
          <w:b/>
          <w:color w:val="000000" w:themeColor="text1"/>
          <w:sz w:val="32"/>
          <w:szCs w:val="32"/>
          <w:highlight w:val="none"/>
          <w:lang w:eastAsia="zh-CN"/>
          <w14:textFill>
            <w14:solidFill>
              <w14:schemeClr w14:val="tx1"/>
            </w14:solidFill>
          </w14:textFill>
        </w:rPr>
        <w:t>法定代表人授权书</w:t>
      </w:r>
    </w:p>
    <w:p w14:paraId="0D964596">
      <w:pPr>
        <w:spacing w:after="156" w:line="400" w:lineRule="exact"/>
        <w:ind w:firstLine="482"/>
        <w:jc w:val="center"/>
        <w:rPr>
          <w:rFonts w:ascii="仿宋" w:hAnsi="仿宋" w:eastAsia="仿宋"/>
          <w:b/>
          <w:color w:val="000000" w:themeColor="text1"/>
          <w:highlight w:val="none"/>
          <w:lang w:eastAsia="zh-CN"/>
          <w14:textFill>
            <w14:solidFill>
              <w14:schemeClr w14:val="tx1"/>
            </w14:solidFill>
          </w14:textFill>
        </w:rPr>
      </w:pPr>
    </w:p>
    <w:p w14:paraId="58F83C58">
      <w:pPr>
        <w:spacing w:after="156"/>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兹授权我单位</w:t>
      </w:r>
      <w:r>
        <w:rPr>
          <w:rFonts w:hint="eastAsia" w:ascii="仿宋" w:hAnsi="仿宋" w:eastAsia="仿宋"/>
          <w:color w:val="000000" w:themeColor="text1"/>
          <w:highlight w:val="none"/>
          <w:u w:val="single"/>
          <w:lang w:eastAsia="zh-CN"/>
          <w14:textFill>
            <w14:solidFill>
              <w14:schemeClr w14:val="tx1"/>
            </w14:solidFill>
          </w14:textFill>
        </w:rPr>
        <w:t xml:space="preserve">     </w:t>
      </w:r>
      <w:r>
        <w:rPr>
          <w:rFonts w:hint="eastAsia" w:ascii="仿宋" w:hAnsi="仿宋" w:eastAsia="仿宋"/>
          <w:color w:val="000000" w:themeColor="text1"/>
          <w:highlight w:val="none"/>
          <w:lang w:eastAsia="zh-CN"/>
          <w14:textFill>
            <w14:solidFill>
              <w14:schemeClr w14:val="tx1"/>
            </w14:solidFill>
          </w14:textFill>
        </w:rPr>
        <w:t>担任工程项目的施工项目负责人，负责该工程项目的施工工作实施组织管理，依据国家有关法律法规及标准规范履行职责，并依法对设计使用年限内的工程质量承担相应终身责任。</w:t>
      </w:r>
    </w:p>
    <w:p w14:paraId="462FE64B">
      <w:pPr>
        <w:spacing w:after="156"/>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本授权书自授权之日起生效。</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190"/>
        <w:gridCol w:w="1905"/>
        <w:gridCol w:w="2733"/>
      </w:tblGrid>
      <w:tr w14:paraId="1731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36A29B6C">
            <w:pPr>
              <w:spacing w:after="156"/>
              <w:ind w:firstLine="482"/>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b/>
                <w:bCs/>
                <w:color w:val="000000" w:themeColor="text1"/>
                <w:highlight w:val="none"/>
                <w14:textFill>
                  <w14:solidFill>
                    <w14:schemeClr w14:val="tx1"/>
                  </w14:solidFill>
                </w14:textFill>
              </w:rPr>
              <w:t>被授权人基本情况</w:t>
            </w:r>
          </w:p>
        </w:tc>
      </w:tr>
      <w:tr w14:paraId="6ED0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57580D40">
            <w:pPr>
              <w:spacing w:after="156"/>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姓名</w:t>
            </w:r>
          </w:p>
        </w:tc>
        <w:tc>
          <w:tcPr>
            <w:tcW w:w="2190" w:type="dxa"/>
            <w:vAlign w:val="center"/>
          </w:tcPr>
          <w:p w14:paraId="68013ADF">
            <w:pPr>
              <w:spacing w:after="156"/>
              <w:jc w:val="center"/>
              <w:rPr>
                <w:rFonts w:ascii="仿宋" w:hAnsi="仿宋" w:eastAsia="仿宋"/>
                <w:color w:val="000000" w:themeColor="text1"/>
                <w:highlight w:val="none"/>
                <w14:textFill>
                  <w14:solidFill>
                    <w14:schemeClr w14:val="tx1"/>
                  </w14:solidFill>
                </w14:textFill>
              </w:rPr>
            </w:pPr>
          </w:p>
        </w:tc>
        <w:tc>
          <w:tcPr>
            <w:tcW w:w="1905" w:type="dxa"/>
            <w:vAlign w:val="center"/>
          </w:tcPr>
          <w:p w14:paraId="123C6910">
            <w:pPr>
              <w:spacing w:after="156"/>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身份证号</w:t>
            </w:r>
          </w:p>
        </w:tc>
        <w:tc>
          <w:tcPr>
            <w:tcW w:w="2733" w:type="dxa"/>
            <w:vAlign w:val="center"/>
          </w:tcPr>
          <w:p w14:paraId="32973B71">
            <w:pPr>
              <w:spacing w:after="156"/>
              <w:jc w:val="center"/>
              <w:rPr>
                <w:rFonts w:ascii="仿宋" w:hAnsi="仿宋" w:eastAsia="仿宋"/>
                <w:color w:val="000000" w:themeColor="text1"/>
                <w:highlight w:val="none"/>
                <w:lang w:eastAsia="zh-CN"/>
                <w14:textFill>
                  <w14:solidFill>
                    <w14:schemeClr w14:val="tx1"/>
                  </w14:solidFill>
                </w14:textFill>
              </w:rPr>
            </w:pPr>
          </w:p>
        </w:tc>
      </w:tr>
      <w:tr w14:paraId="11DE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44535F21">
            <w:pPr>
              <w:spacing w:after="156"/>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注册执业资格</w:t>
            </w:r>
          </w:p>
        </w:tc>
        <w:tc>
          <w:tcPr>
            <w:tcW w:w="2190" w:type="dxa"/>
            <w:vAlign w:val="center"/>
          </w:tcPr>
          <w:p w14:paraId="4D755B6A">
            <w:pPr>
              <w:spacing w:after="156"/>
              <w:jc w:val="center"/>
              <w:rPr>
                <w:rFonts w:ascii="仿宋" w:hAnsi="仿宋" w:eastAsia="仿宋"/>
                <w:color w:val="000000" w:themeColor="text1"/>
                <w:highlight w:val="none"/>
                <w14:textFill>
                  <w14:solidFill>
                    <w14:schemeClr w14:val="tx1"/>
                  </w14:solidFill>
                </w14:textFill>
              </w:rPr>
            </w:pPr>
          </w:p>
        </w:tc>
        <w:tc>
          <w:tcPr>
            <w:tcW w:w="1905" w:type="dxa"/>
            <w:vAlign w:val="center"/>
          </w:tcPr>
          <w:p w14:paraId="2A40D6F6">
            <w:pPr>
              <w:spacing w:after="156"/>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注册执业证号</w:t>
            </w:r>
          </w:p>
        </w:tc>
        <w:tc>
          <w:tcPr>
            <w:tcW w:w="2733" w:type="dxa"/>
            <w:vAlign w:val="center"/>
          </w:tcPr>
          <w:p w14:paraId="148372F6">
            <w:pPr>
              <w:spacing w:after="156"/>
              <w:jc w:val="center"/>
              <w:rPr>
                <w:rFonts w:ascii="仿宋" w:hAnsi="仿宋" w:eastAsia="仿宋"/>
                <w:color w:val="000000" w:themeColor="text1"/>
                <w:highlight w:val="none"/>
                <w14:textFill>
                  <w14:solidFill>
                    <w14:schemeClr w14:val="tx1"/>
                  </w14:solidFill>
                </w14:textFill>
              </w:rPr>
            </w:pPr>
          </w:p>
        </w:tc>
      </w:tr>
      <w:tr w14:paraId="240D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0DDE4BC5">
            <w:pPr>
              <w:spacing w:after="156"/>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 xml:space="preserve">                              被授权人签字：</w:t>
            </w:r>
          </w:p>
        </w:tc>
      </w:tr>
    </w:tbl>
    <w:p w14:paraId="361614E6">
      <w:pPr>
        <w:rPr>
          <w:rFonts w:ascii="仿宋" w:hAnsi="仿宋" w:eastAsia="仿宋" w:cs="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br w:type="page"/>
      </w:r>
    </w:p>
    <w:p w14:paraId="082C8BE2">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794" w:name="_Toc26258"/>
      <w:bookmarkStart w:id="795" w:name="_Toc149731622"/>
      <w:bookmarkStart w:id="796" w:name="_Toc148188667"/>
      <w:r>
        <w:rPr>
          <w:rFonts w:hint="eastAsia" w:ascii="仿宋" w:hAnsi="仿宋" w:eastAsia="仿宋" w:cs="仿宋"/>
          <w:b/>
          <w:bCs/>
          <w:color w:val="000000" w:themeColor="text1"/>
          <w:highlight w:val="none"/>
          <w:lang w:eastAsia="zh-CN"/>
          <w14:textFill>
            <w14:solidFill>
              <w14:schemeClr w14:val="tx1"/>
            </w14:solidFill>
          </w14:textFill>
        </w:rPr>
        <w:t>附件</w:t>
      </w:r>
      <w:bookmarkEnd w:id="794"/>
      <w:bookmarkEnd w:id="795"/>
      <w:bookmarkEnd w:id="796"/>
      <w:r>
        <w:rPr>
          <w:rFonts w:hint="eastAsia" w:ascii="仿宋" w:hAnsi="仿宋" w:eastAsia="仿宋" w:cs="仿宋"/>
          <w:b/>
          <w:bCs/>
          <w:color w:val="000000" w:themeColor="text1"/>
          <w:highlight w:val="none"/>
          <w:lang w:eastAsia="zh-CN"/>
          <w14:textFill>
            <w14:solidFill>
              <w14:schemeClr w14:val="tx1"/>
            </w14:solidFill>
          </w14:textFill>
        </w:rPr>
        <w:t>四</w:t>
      </w:r>
    </w:p>
    <w:p w14:paraId="2FFF05CA">
      <w:pPr>
        <w:spacing w:line="360" w:lineRule="auto"/>
        <w:rPr>
          <w:rFonts w:ascii="仿宋" w:hAnsi="仿宋" w:eastAsia="仿宋"/>
          <w:color w:val="000000" w:themeColor="text1"/>
          <w:highlight w:val="none"/>
          <w:lang w:eastAsia="zh-CN"/>
          <w14:textFill>
            <w14:solidFill>
              <w14:schemeClr w14:val="tx1"/>
            </w14:solidFill>
          </w14:textFill>
        </w:rPr>
      </w:pPr>
    </w:p>
    <w:p w14:paraId="658DE20F">
      <w:pPr>
        <w:pStyle w:val="20"/>
        <w:spacing w:after="120"/>
        <w:ind w:firstLine="883"/>
        <w:jc w:val="center"/>
        <w:rPr>
          <w:rFonts w:ascii="仿宋" w:hAnsi="仿宋" w:eastAsia="仿宋" w:cs="宋体"/>
          <w:b/>
          <w:snapToGrid w:val="0"/>
          <w:color w:val="000000" w:themeColor="text1"/>
          <w:sz w:val="44"/>
          <w:szCs w:val="44"/>
          <w:highlight w:val="none"/>
          <w:lang w:eastAsia="zh-CN"/>
          <w14:textFill>
            <w14:solidFill>
              <w14:schemeClr w14:val="tx1"/>
            </w14:solidFill>
          </w14:textFill>
        </w:rPr>
      </w:pPr>
      <w:r>
        <w:rPr>
          <w:rFonts w:hint="eastAsia" w:ascii="仿宋" w:hAnsi="仿宋" w:eastAsia="仿宋" w:cs="宋体"/>
          <w:b/>
          <w:snapToGrid w:val="0"/>
          <w:color w:val="000000" w:themeColor="text1"/>
          <w:sz w:val="44"/>
          <w:szCs w:val="44"/>
          <w:highlight w:val="none"/>
          <w:lang w:eastAsia="zh-CN"/>
          <w14:textFill>
            <w14:solidFill>
              <w14:schemeClr w14:val="tx1"/>
            </w14:solidFill>
          </w14:textFill>
        </w:rPr>
        <w:t>安全生产合同</w:t>
      </w:r>
    </w:p>
    <w:p w14:paraId="0F2644D3">
      <w:pPr>
        <w:spacing w:after="120"/>
        <w:ind w:firstLine="482"/>
        <w:rPr>
          <w:rFonts w:ascii="仿宋" w:hAnsi="仿宋" w:eastAsia="仿宋" w:cs="宋体"/>
          <w:b/>
          <w:color w:val="000000" w:themeColor="text1"/>
          <w:highlight w:val="none"/>
          <w:lang w:eastAsia="zh-CN"/>
          <w14:textFill>
            <w14:solidFill>
              <w14:schemeClr w14:val="tx1"/>
            </w14:solidFill>
          </w14:textFill>
        </w:rPr>
      </w:pPr>
      <w:r>
        <w:rPr>
          <w:rFonts w:hint="eastAsia" w:ascii="仿宋" w:hAnsi="仿宋" w:eastAsia="仿宋" w:cs="宋体"/>
          <w:b/>
          <w:color w:val="000000" w:themeColor="text1"/>
          <w:highlight w:val="none"/>
          <w:lang w:eastAsia="zh-CN"/>
          <w14:textFill>
            <w14:solidFill>
              <w14:schemeClr w14:val="tx1"/>
            </w14:solidFill>
          </w14:textFill>
        </w:rPr>
        <w:t>发包人（发包人）：广州新中轴海珠片区城市更新有限公司</w:t>
      </w:r>
    </w:p>
    <w:p w14:paraId="4A2B114B">
      <w:pPr>
        <w:spacing w:after="120"/>
        <w:ind w:firstLine="482"/>
        <w:rPr>
          <w:rFonts w:ascii="仿宋" w:hAnsi="仿宋" w:eastAsia="仿宋" w:cs="宋体"/>
          <w:b/>
          <w:color w:val="000000" w:themeColor="text1"/>
          <w:highlight w:val="none"/>
          <w:lang w:eastAsia="zh-CN"/>
          <w14:textFill>
            <w14:solidFill>
              <w14:schemeClr w14:val="tx1"/>
            </w14:solidFill>
          </w14:textFill>
        </w:rPr>
      </w:pPr>
      <w:r>
        <w:rPr>
          <w:rFonts w:hint="eastAsia" w:ascii="仿宋" w:hAnsi="仿宋" w:eastAsia="仿宋" w:cs="宋体"/>
          <w:b/>
          <w:color w:val="000000" w:themeColor="text1"/>
          <w:highlight w:val="none"/>
          <w:lang w:eastAsia="zh-CN"/>
          <w14:textFill>
            <w14:solidFill>
              <w14:schemeClr w14:val="tx1"/>
            </w14:solidFill>
          </w14:textFill>
        </w:rPr>
        <w:t>承包人（承包人）：</w:t>
      </w:r>
    </w:p>
    <w:p w14:paraId="71433E63">
      <w:pPr>
        <w:autoSpaceDE w:val="0"/>
        <w:autoSpaceDN w:val="0"/>
        <w:spacing w:after="120"/>
        <w:ind w:right="11" w:firstLine="480" w:firstLineChars="20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为确保</w:t>
      </w:r>
      <w:r>
        <w:rPr>
          <w:rFonts w:hint="eastAsia" w:ascii="仿宋" w:hAnsi="仿宋" w:eastAsia="仿宋" w:cs="仿宋"/>
          <w:color w:val="000000" w:themeColor="text1"/>
          <w:highlight w:val="none"/>
          <w:u w:val="single"/>
          <w:lang w:eastAsia="zh-CN"/>
          <w14:textFill>
            <w14:solidFill>
              <w14:schemeClr w14:val="tx1"/>
            </w14:solidFill>
          </w14:textFill>
        </w:rPr>
        <w:t>广州市海珠区三滘村城中村改造项目</w:t>
      </w:r>
      <w:r>
        <w:rPr>
          <w:rFonts w:hint="eastAsia" w:ascii="仿宋" w:hAnsi="仿宋" w:eastAsia="仿宋" w:cs="仿宋"/>
          <w:color w:val="000000" w:themeColor="text1"/>
          <w:highlight w:val="none"/>
          <w:u w:val="single"/>
          <w:lang w:val="en-US" w:eastAsia="zh-CN"/>
          <w14:textFill>
            <w14:solidFill>
              <w14:schemeClr w14:val="tx1"/>
            </w14:solidFill>
          </w14:textFill>
        </w:rPr>
        <w:t>启动区</w:t>
      </w:r>
      <w:r>
        <w:rPr>
          <w:rFonts w:hint="eastAsia" w:ascii="仿宋" w:hAnsi="仿宋" w:eastAsia="仿宋" w:cs="仿宋"/>
          <w:color w:val="000000" w:themeColor="text1"/>
          <w:highlight w:val="none"/>
          <w:u w:val="single"/>
          <w:lang w:eastAsia="zh-CN"/>
          <w14:textFill>
            <w14:solidFill>
              <w14:schemeClr w14:val="tx1"/>
            </w14:solidFill>
          </w14:textFill>
        </w:rPr>
        <w:t>S4地块</w:t>
      </w:r>
      <w:r>
        <w:rPr>
          <w:rFonts w:hint="eastAsia" w:ascii="仿宋" w:hAnsi="仿宋" w:eastAsia="仿宋" w:cs="仿宋"/>
          <w:color w:val="000000" w:themeColor="text1"/>
          <w:highlight w:val="none"/>
          <w:u w:val="single"/>
          <w:lang w:val="en-US" w:eastAsia="zh-CN"/>
          <w14:textFill>
            <w14:solidFill>
              <w14:schemeClr w14:val="tx1"/>
            </w14:solidFill>
          </w14:textFill>
        </w:rPr>
        <w:t>复建安置房建设项目</w:t>
      </w:r>
      <w:r>
        <w:rPr>
          <w:rFonts w:hint="eastAsia" w:ascii="仿宋" w:hAnsi="仿宋" w:eastAsia="仿宋" w:cs="仿宋"/>
          <w:color w:val="000000" w:themeColor="text1"/>
          <w:highlight w:val="none"/>
          <w:u w:val="single"/>
          <w:lang w:eastAsia="zh-CN"/>
          <w14:textFill>
            <w14:solidFill>
              <w14:schemeClr w14:val="tx1"/>
            </w14:solidFill>
          </w14:textFill>
        </w:rPr>
        <w:t>基坑支护及土石方工程设计施工总承包</w:t>
      </w:r>
      <w:r>
        <w:rPr>
          <w:rFonts w:hint="eastAsia" w:ascii="仿宋" w:hAnsi="仿宋" w:eastAsia="仿宋" w:cs="宋体"/>
          <w:snapToGrid w:val="0"/>
          <w:color w:val="000000" w:themeColor="text1"/>
          <w:highlight w:val="none"/>
          <w:lang w:val="zh-CN" w:eastAsia="zh-CN"/>
          <w14:textFill>
            <w14:solidFill>
              <w14:schemeClr w14:val="tx1"/>
            </w14:solidFill>
          </w14:textFill>
        </w:rPr>
        <w:t>实施过程中的安全，发包人</w:t>
      </w:r>
      <w:r>
        <w:rPr>
          <w:rFonts w:hint="eastAsia" w:ascii="仿宋" w:hAnsi="仿宋" w:eastAsia="仿宋" w:cs="宋体"/>
          <w:b/>
          <w:color w:val="000000" w:themeColor="text1"/>
          <w:highlight w:val="none"/>
          <w:lang w:eastAsia="zh-CN"/>
          <w14:textFill>
            <w14:solidFill>
              <w14:schemeClr w14:val="tx1"/>
            </w14:solidFill>
          </w14:textFill>
        </w:rPr>
        <w:t>广州新中轴海珠片区城市更新有限公司</w:t>
      </w:r>
      <w:r>
        <w:rPr>
          <w:rFonts w:hint="eastAsia" w:ascii="仿宋" w:hAnsi="仿宋" w:eastAsia="仿宋" w:cs="宋体"/>
          <w:snapToGrid w:val="0"/>
          <w:color w:val="000000" w:themeColor="text1"/>
          <w:highlight w:val="none"/>
          <w:lang w:val="zh-CN" w:eastAsia="zh-CN"/>
          <w14:textFill>
            <w14:solidFill>
              <w14:schemeClr w14:val="tx1"/>
            </w14:solidFill>
          </w14:textFill>
        </w:rPr>
        <w:t>（以下称发包人）与承包人（以下称承包人），特签订本安全生产合同，明确双方职责。</w:t>
      </w:r>
    </w:p>
    <w:p w14:paraId="3BBD5B7E">
      <w:pPr>
        <w:tabs>
          <w:tab w:val="left" w:pos="480"/>
        </w:tabs>
        <w:autoSpaceDE w:val="0"/>
        <w:autoSpaceDN w:val="0"/>
        <w:spacing w:after="120"/>
        <w:ind w:firstLine="482"/>
        <w:rPr>
          <w:rFonts w:ascii="仿宋" w:hAnsi="仿宋" w:eastAsia="仿宋" w:cs="宋体"/>
          <w:b/>
          <w:snapToGrid w:val="0"/>
          <w:color w:val="000000" w:themeColor="text1"/>
          <w:highlight w:val="none"/>
          <w:lang w:val="zh-CN" w:eastAsia="zh-CN"/>
          <w14:textFill>
            <w14:solidFill>
              <w14:schemeClr w14:val="tx1"/>
            </w14:solidFill>
          </w14:textFill>
        </w:rPr>
      </w:pPr>
      <w:r>
        <w:rPr>
          <w:rFonts w:hint="eastAsia" w:ascii="仿宋" w:hAnsi="仿宋" w:eastAsia="仿宋" w:cs="宋体"/>
          <w:b/>
          <w:snapToGrid w:val="0"/>
          <w:color w:val="000000" w:themeColor="text1"/>
          <w:highlight w:val="none"/>
          <w:lang w:val="zh-CN" w:eastAsia="zh-CN"/>
          <w14:textFill>
            <w14:solidFill>
              <w14:schemeClr w14:val="tx1"/>
            </w14:solidFill>
          </w14:textFill>
        </w:rPr>
        <w:t>一、发包人职责</w:t>
      </w:r>
    </w:p>
    <w:p w14:paraId="6A6BD09B">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（一）认真履行《建设工程安全生产管理条例》规定的安全责任及执行工程承包合同中的有关安全条款。</w:t>
      </w:r>
    </w:p>
    <w:p w14:paraId="452EB05C">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（二）重要的安全设施必须坚持与主体工程“三同时”的原则，即：同时设计、审批；同时施工；同时验收，投入使用。</w:t>
      </w:r>
    </w:p>
    <w:p w14:paraId="2B30A266">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（三）定期召开安全生产会议，指出施工现场存在的安全隐患，及时传达上级关于安全文明施工的要求。</w:t>
      </w:r>
    </w:p>
    <w:p w14:paraId="03D2E8E4">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（四）组织对承包人施工现场安全生产检查，监督承包人及时排除各种安全隐患。</w:t>
      </w:r>
    </w:p>
    <w:p w14:paraId="4D3D3165">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（五）协助与促进承包人创建“广州市安全文明施工样板工地”。</w:t>
      </w:r>
    </w:p>
    <w:p w14:paraId="3F9CBCDE">
      <w:pPr>
        <w:autoSpaceDE w:val="0"/>
        <w:autoSpaceDN w:val="0"/>
        <w:spacing w:after="120"/>
        <w:ind w:firstLine="482"/>
        <w:rPr>
          <w:rFonts w:ascii="仿宋" w:hAnsi="仿宋" w:eastAsia="仿宋" w:cs="宋体"/>
          <w:b/>
          <w:snapToGrid w:val="0"/>
          <w:color w:val="000000" w:themeColor="text1"/>
          <w:highlight w:val="none"/>
          <w:lang w:val="zh-CN" w:eastAsia="zh-CN"/>
          <w14:textFill>
            <w14:solidFill>
              <w14:schemeClr w14:val="tx1"/>
            </w14:solidFill>
          </w14:textFill>
        </w:rPr>
      </w:pPr>
      <w:r>
        <w:rPr>
          <w:rFonts w:hint="eastAsia" w:ascii="仿宋" w:hAnsi="仿宋" w:eastAsia="仿宋" w:cs="宋体"/>
          <w:b/>
          <w:snapToGrid w:val="0"/>
          <w:color w:val="000000" w:themeColor="text1"/>
          <w:highlight w:val="none"/>
          <w:lang w:val="zh-CN" w:eastAsia="zh-CN"/>
          <w14:textFill>
            <w14:solidFill>
              <w14:schemeClr w14:val="tx1"/>
            </w14:solidFill>
          </w14:textFill>
        </w:rPr>
        <w:t>二、承包人职责</w:t>
      </w:r>
    </w:p>
    <w:p w14:paraId="7B066DEE">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（一）认真履行《建设工程安全生产管理条例》规定的安全责任及执行工程承包合同中的有关安全条款。</w:t>
      </w:r>
    </w:p>
    <w:p w14:paraId="40B44922">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（二）坚持</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安全</w:t>
      </w:r>
      <w:r>
        <w:rPr>
          <w:rFonts w:hint="eastAsia" w:ascii="仿宋" w:hAnsi="仿宋" w:eastAsia="仿宋" w:cs="宋体"/>
          <w:snapToGrid w:val="0"/>
          <w:color w:val="000000" w:themeColor="text1"/>
          <w:highlight w:val="none"/>
          <w:lang w:eastAsia="zh-CN"/>
          <w14:textFill>
            <w14:solidFill>
              <w14:schemeClr w14:val="tx1"/>
            </w14:solidFill>
          </w14:textFill>
        </w:rPr>
        <w:t>第一</w:t>
      </w:r>
      <w:r>
        <w:rPr>
          <w:rFonts w:hint="eastAsia" w:ascii="仿宋" w:hAnsi="仿宋" w:eastAsia="仿宋" w:cs="宋体"/>
          <w:snapToGrid w:val="0"/>
          <w:color w:val="000000" w:themeColor="text1"/>
          <w:highlight w:val="none"/>
          <w:lang w:val="zh-CN" w:eastAsia="zh-CN"/>
          <w14:textFill>
            <w14:solidFill>
              <w14:schemeClr w14:val="tx1"/>
            </w14:solidFill>
          </w14:textFill>
        </w:rPr>
        <w:t>、预防为主</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和</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管生产必须管安全</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5F6678FD">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（三）建立</w:t>
      </w:r>
      <w:r>
        <w:rPr>
          <w:rFonts w:hint="eastAsia" w:ascii="仿宋" w:hAnsi="仿宋" w:eastAsia="仿宋" w:cs="宋体"/>
          <w:snapToGrid w:val="0"/>
          <w:color w:val="000000" w:themeColor="text1"/>
          <w:highlight w:val="none"/>
          <w:lang w:eastAsia="zh-CN"/>
          <w14:textFill>
            <w14:solidFill>
              <w14:schemeClr w14:val="tx1"/>
            </w14:solidFill>
          </w14:textFill>
        </w:rPr>
        <w:t>安全生产</w:t>
      </w:r>
      <w:r>
        <w:rPr>
          <w:rFonts w:hint="eastAsia" w:ascii="仿宋" w:hAnsi="仿宋" w:eastAsia="仿宋" w:cs="宋体"/>
          <w:snapToGrid w:val="0"/>
          <w:color w:val="000000" w:themeColor="text1"/>
          <w:highlight w:val="none"/>
          <w:lang w:val="zh-CN" w:eastAsia="zh-CN"/>
          <w14:textFill>
            <w14:solidFill>
              <w14:schemeClr w14:val="tx1"/>
            </w14:solidFill>
          </w14:textFill>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793C615E">
      <w:pPr>
        <w:autoSpaceDE w:val="0"/>
        <w:autoSpaceDN w:val="0"/>
        <w:spacing w:after="120"/>
        <w:rPr>
          <w:rFonts w:ascii="仿宋" w:hAnsi="仿宋" w:eastAsia="仿宋" w:cs="宋体"/>
          <w:snapToGrid w:val="0"/>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（四）</w:t>
      </w:r>
      <w:r>
        <w:rPr>
          <w:rFonts w:hint="eastAsia" w:ascii="仿宋" w:hAnsi="仿宋" w:eastAsia="仿宋" w:cs="宋体"/>
          <w:snapToGrid w:val="0"/>
          <w:color w:val="000000" w:themeColor="text1"/>
          <w:highlight w:val="none"/>
          <w:lang w:eastAsia="zh-CN"/>
          <w14:textFill>
            <w14:solidFill>
              <w14:schemeClr w14:val="tx1"/>
            </w14:solidFill>
          </w14:textFill>
        </w:rPr>
        <w:t>有责任采取各种合理的预防措施，防止其员工发生各种违法、违禁、暴力或妨碍治安的行为。</w:t>
      </w:r>
    </w:p>
    <w:p w14:paraId="1C703CBA">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eastAsia="zh-CN"/>
          <w14:textFill>
            <w14:solidFill>
              <w14:schemeClr w14:val="tx1"/>
            </w14:solidFill>
          </w14:textFill>
        </w:rPr>
        <w:t>（五）参加施工的人员，必须接受安全技术教育，熟知和遵守所在岗位（工种）的各项安全技术操作规程，定期进行安全技术考核。</w:t>
      </w:r>
      <w:r>
        <w:rPr>
          <w:rFonts w:hint="eastAsia" w:ascii="仿宋" w:hAnsi="仿宋" w:eastAsia="仿宋" w:cs="宋体"/>
          <w:snapToGrid w:val="0"/>
          <w:color w:val="000000" w:themeColor="text1"/>
          <w:highlight w:val="none"/>
          <w:lang w:val="zh-CN" w:eastAsia="zh-CN"/>
          <w14:textFill>
            <w14:solidFill>
              <w14:schemeClr w14:val="tx1"/>
            </w14:solidFill>
          </w14:textFill>
        </w:rPr>
        <w:t>对于从事施工用电、脚手架搭设、电焊与切割、塔吊安装拆除等特种作业人员，必须取得省级建设行政主管部门核发/认可的特种作业人员操作证，方可进行作业，施工现场如出现特种行业无证上岗时，承包人必须承担责任。</w:t>
      </w:r>
    </w:p>
    <w:p w14:paraId="18D65C80">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（六）对于</w:t>
      </w:r>
      <w:r>
        <w:rPr>
          <w:rFonts w:hint="eastAsia" w:ascii="仿宋" w:hAnsi="仿宋" w:eastAsia="仿宋" w:cs="宋体"/>
          <w:snapToGrid w:val="0"/>
          <w:color w:val="000000" w:themeColor="text1"/>
          <w:highlight w:val="none"/>
          <w:lang w:eastAsia="zh-CN"/>
          <w14:textFill>
            <w14:solidFill>
              <w14:schemeClr w14:val="tx1"/>
            </w14:solidFill>
          </w14:textFill>
        </w:rPr>
        <w:t>易燃易爆</w:t>
      </w:r>
      <w:r>
        <w:rPr>
          <w:rFonts w:hint="eastAsia" w:ascii="仿宋" w:hAnsi="仿宋" w:eastAsia="仿宋" w:cs="宋体"/>
          <w:snapToGrid w:val="0"/>
          <w:color w:val="000000" w:themeColor="text1"/>
          <w:highlight w:val="none"/>
          <w:lang w:val="zh-CN" w:eastAsia="zh-CN"/>
          <w14:textFill>
            <w14:solidFill>
              <w14:schemeClr w14:val="tx1"/>
            </w14:solidFill>
          </w14:textFill>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72A7656D">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（七）</w:t>
      </w:r>
      <w:r>
        <w:rPr>
          <w:rFonts w:hint="eastAsia" w:ascii="仿宋" w:hAnsi="仿宋" w:eastAsia="仿宋" w:cs="宋体"/>
          <w:snapToGrid w:val="0"/>
          <w:color w:val="000000" w:themeColor="text1"/>
          <w:highlight w:val="none"/>
          <w:lang w:eastAsia="zh-CN"/>
          <w14:textFill>
            <w14:solidFill>
              <w14:schemeClr w14:val="tx1"/>
            </w14:solidFill>
          </w14:textFill>
        </w:rPr>
        <w:t>操作</w:t>
      </w:r>
      <w:r>
        <w:rPr>
          <w:rFonts w:hint="eastAsia" w:ascii="仿宋" w:hAnsi="仿宋" w:eastAsia="仿宋" w:cs="宋体"/>
          <w:snapToGrid w:val="0"/>
          <w:color w:val="000000" w:themeColor="text1"/>
          <w:highlight w:val="none"/>
          <w:lang w:val="zh-CN" w:eastAsia="zh-CN"/>
          <w14:textFill>
            <w14:solidFill>
              <w14:schemeClr w14:val="tx1"/>
            </w14:solidFill>
          </w14:textFill>
        </w:rPr>
        <w:t>人员上岗，必须按规定穿戴安全帽等防护用品。项目经理和专职安全员应随时检查劳动防护用品的穿戴情况，不按规定穿戴防护用品的人员不得上岗。</w:t>
      </w:r>
    </w:p>
    <w:p w14:paraId="1AEAF904">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（八）所有施工</w:t>
      </w:r>
      <w:r>
        <w:rPr>
          <w:rFonts w:hint="eastAsia" w:ascii="仿宋" w:hAnsi="仿宋" w:eastAsia="仿宋" w:cs="宋体"/>
          <w:snapToGrid w:val="0"/>
          <w:color w:val="000000" w:themeColor="text1"/>
          <w:highlight w:val="none"/>
          <w:lang w:eastAsia="zh-CN"/>
          <w14:textFill>
            <w14:solidFill>
              <w14:schemeClr w14:val="tx1"/>
            </w14:solidFill>
          </w14:textFill>
        </w:rPr>
        <w:t>机具</w:t>
      </w:r>
      <w:r>
        <w:rPr>
          <w:rFonts w:hint="eastAsia" w:ascii="仿宋" w:hAnsi="仿宋" w:eastAsia="仿宋" w:cs="宋体"/>
          <w:snapToGrid w:val="0"/>
          <w:color w:val="000000" w:themeColor="text1"/>
          <w:highlight w:val="none"/>
          <w:lang w:val="zh-CN" w:eastAsia="zh-CN"/>
          <w14:textFill>
            <w14:solidFill>
              <w14:schemeClr w14:val="tx1"/>
            </w14:solidFill>
          </w14:textFill>
        </w:rPr>
        <w:t>设备和高处作业的设备均应定期检查，并有安全员的签名记录，保证其经常处于完好状态，不合格的机具、设备和劳动保护用品严禁使用。</w:t>
      </w:r>
    </w:p>
    <w:p w14:paraId="435FD004">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（九）施工中采用新技术、新工艺、新设备、新材料，必须制定相应的安全技术措施。施工现场必须按规定有针对性地悬挂安全标志牌。</w:t>
      </w:r>
    </w:p>
    <w:p w14:paraId="4DBC00D2">
      <w:pPr>
        <w:autoSpaceDE w:val="0"/>
        <w:autoSpaceDN w:val="0"/>
        <w:spacing w:after="120"/>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（十）承包人</w:t>
      </w:r>
      <w:r>
        <w:rPr>
          <w:rFonts w:hint="eastAsia" w:ascii="仿宋" w:hAnsi="仿宋" w:eastAsia="仿宋" w:cs="宋体"/>
          <w:snapToGrid w:val="0"/>
          <w:color w:val="000000" w:themeColor="text1"/>
          <w:highlight w:val="none"/>
          <w:lang w:eastAsia="zh-CN"/>
          <w14:textFill>
            <w14:solidFill>
              <w14:schemeClr w14:val="tx1"/>
            </w14:solidFill>
          </w14:textFill>
        </w:rPr>
        <w:t>必须</w:t>
      </w:r>
      <w:r>
        <w:rPr>
          <w:rFonts w:hint="eastAsia" w:ascii="仿宋" w:hAnsi="仿宋" w:eastAsia="仿宋" w:cs="宋体"/>
          <w:snapToGrid w:val="0"/>
          <w:color w:val="000000" w:themeColor="text1"/>
          <w:highlight w:val="none"/>
          <w:lang w:val="zh-CN" w:eastAsia="zh-CN"/>
          <w14:textFill>
            <w14:solidFill>
              <w14:schemeClr w14:val="tx1"/>
            </w14:solidFill>
          </w14:textFill>
        </w:rPr>
        <w:t>按照本工程项目特点，制定安全事故应急救援预案；如果发生安全事故，应按照《建设工程安全生产管理条例》的有关规定上报有关部门，并按照</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四不放过</w:t>
      </w:r>
      <w:r>
        <w:rPr>
          <w:rFonts w:hint="eastAsia" w:ascii="仿宋" w:hAnsi="仿宋" w:eastAsia="仿宋" w:cs="宋体"/>
          <w:snapToGrid w:val="0"/>
          <w:color w:val="000000" w:themeColor="text1"/>
          <w:highlight w:val="none"/>
          <w:lang w:eastAsia="zh-CN"/>
          <w14:textFill>
            <w14:solidFill>
              <w14:schemeClr w14:val="tx1"/>
            </w14:solidFill>
          </w14:textFill>
        </w:rPr>
        <w:t>”</w:t>
      </w:r>
      <w:r>
        <w:rPr>
          <w:rFonts w:hint="eastAsia" w:ascii="仿宋" w:hAnsi="仿宋" w:eastAsia="仿宋" w:cs="宋体"/>
          <w:snapToGrid w:val="0"/>
          <w:color w:val="000000" w:themeColor="text1"/>
          <w:highlight w:val="none"/>
          <w:lang w:val="zh-CN" w:eastAsia="zh-CN"/>
          <w14:textFill>
            <w14:solidFill>
              <w14:schemeClr w14:val="tx1"/>
            </w14:solidFill>
          </w14:textFill>
        </w:rPr>
        <w:t>的原则调查处理。</w:t>
      </w:r>
    </w:p>
    <w:p w14:paraId="40784A30">
      <w:pPr>
        <w:autoSpaceDE w:val="0"/>
        <w:autoSpaceDN w:val="0"/>
        <w:spacing w:after="120" w:line="276" w:lineRule="auto"/>
        <w:ind w:firstLine="482"/>
        <w:rPr>
          <w:rFonts w:ascii="仿宋" w:hAnsi="仿宋" w:eastAsia="仿宋" w:cs="宋体"/>
          <w:b/>
          <w:snapToGrid w:val="0"/>
          <w:color w:val="000000" w:themeColor="text1"/>
          <w:highlight w:val="none"/>
          <w:lang w:val="zh-CN" w:eastAsia="zh-CN"/>
          <w14:textFill>
            <w14:solidFill>
              <w14:schemeClr w14:val="tx1"/>
            </w14:solidFill>
          </w14:textFill>
        </w:rPr>
      </w:pPr>
      <w:r>
        <w:rPr>
          <w:rFonts w:hint="eastAsia" w:ascii="仿宋" w:hAnsi="仿宋" w:eastAsia="仿宋" w:cs="宋体"/>
          <w:b/>
          <w:snapToGrid w:val="0"/>
          <w:color w:val="000000" w:themeColor="text1"/>
          <w:highlight w:val="none"/>
          <w:lang w:val="zh-CN" w:eastAsia="zh-CN"/>
          <w14:textFill>
            <w14:solidFill>
              <w14:schemeClr w14:val="tx1"/>
            </w14:solidFill>
          </w14:textFill>
        </w:rPr>
        <w:t>三、违约责任</w:t>
      </w:r>
    </w:p>
    <w:p w14:paraId="61C2DB5E">
      <w:pPr>
        <w:autoSpaceDE w:val="0"/>
        <w:autoSpaceDN w:val="0"/>
        <w:spacing w:after="120" w:line="276" w:lineRule="auto"/>
        <w:rPr>
          <w:rFonts w:ascii="仿宋" w:hAnsi="仿宋" w:eastAsia="仿宋" w:cs="宋体"/>
          <w:snapToGrid w:val="0"/>
          <w:color w:val="000000" w:themeColor="text1"/>
          <w:highlight w:val="none"/>
          <w:lang w:val="zh-CN"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如因发包人或承包人失职违约，将依据《建设工程安全生产管理条例》、合同及有关规定追究责任。</w:t>
      </w:r>
    </w:p>
    <w:p w14:paraId="0B668D61">
      <w:pPr>
        <w:spacing w:after="120" w:line="276" w:lineRule="auto"/>
        <w:rPr>
          <w:rFonts w:ascii="仿宋" w:hAnsi="仿宋" w:eastAsia="仿宋" w:cs="宋体"/>
          <w:b/>
          <w:bCs/>
          <w:color w:val="000000" w:themeColor="text1"/>
          <w:highlight w:val="none"/>
          <w:lang w:eastAsia="zh-CN"/>
          <w14:textFill>
            <w14:solidFill>
              <w14:schemeClr w14:val="tx1"/>
            </w14:solidFill>
          </w14:textFill>
        </w:rPr>
      </w:pPr>
      <w:r>
        <w:rPr>
          <w:rFonts w:hint="eastAsia" w:ascii="仿宋" w:hAnsi="仿宋" w:eastAsia="仿宋" w:cs="宋体"/>
          <w:snapToGrid w:val="0"/>
          <w:color w:val="000000" w:themeColor="text1"/>
          <w:highlight w:val="none"/>
          <w:lang w:val="zh-CN" w:eastAsia="zh-CN"/>
          <w14:textFill>
            <w14:solidFill>
              <w14:schemeClr w14:val="tx1"/>
            </w14:solidFill>
          </w14:textFill>
        </w:rPr>
        <w:t>本安全生产合同由双方</w:t>
      </w:r>
      <w:r>
        <w:rPr>
          <w:rFonts w:hint="eastAsia" w:ascii="仿宋" w:hAnsi="仿宋" w:eastAsia="仿宋" w:cs="宋体"/>
          <w:snapToGrid w:val="0"/>
          <w:color w:val="000000" w:themeColor="text1"/>
          <w:highlight w:val="none"/>
          <w:lang w:eastAsia="zh-CN"/>
          <w14:textFill>
            <w14:solidFill>
              <w14:schemeClr w14:val="tx1"/>
            </w14:solidFill>
          </w14:textFill>
        </w:rPr>
        <w:t>法定代表人（或委托代理人）签字并加盖公章</w:t>
      </w:r>
      <w:r>
        <w:rPr>
          <w:rFonts w:hint="eastAsia" w:ascii="仿宋" w:hAnsi="仿宋" w:eastAsia="仿宋" w:cs="宋体"/>
          <w:snapToGrid w:val="0"/>
          <w:color w:val="000000" w:themeColor="text1"/>
          <w:highlight w:val="none"/>
          <w:lang w:val="zh-CN" w:eastAsia="zh-CN"/>
          <w14:textFill>
            <w14:solidFill>
              <w14:schemeClr w14:val="tx1"/>
            </w14:solidFill>
          </w14:textFill>
        </w:rPr>
        <w:t>后生效。工程竣工验收合格后失效。</w:t>
      </w:r>
    </w:p>
    <w:p w14:paraId="784A68C0">
      <w:pPr>
        <w:pStyle w:val="76"/>
        <w:ind w:firstLine="241"/>
        <w:rPr>
          <w:rFonts w:ascii="仿宋" w:hAnsi="仿宋" w:eastAsia="仿宋" w:cs="宋体"/>
          <w:b/>
          <w:bCs/>
          <w:color w:val="000000" w:themeColor="text1"/>
          <w:highlight w:val="none"/>
          <w:lang w:eastAsia="zh-CN"/>
          <w14:textFill>
            <w14:solidFill>
              <w14:schemeClr w14:val="tx1"/>
            </w14:solidFill>
          </w14:textFill>
        </w:rPr>
      </w:pPr>
    </w:p>
    <w:p w14:paraId="59A17586">
      <w:pPr>
        <w:pStyle w:val="76"/>
        <w:ind w:firstLine="241"/>
        <w:rPr>
          <w:rFonts w:ascii="仿宋" w:hAnsi="仿宋" w:eastAsia="仿宋" w:cs="宋体"/>
          <w:b/>
          <w:bCs/>
          <w:color w:val="000000" w:themeColor="text1"/>
          <w:highlight w:val="none"/>
          <w:lang w:eastAsia="zh-CN"/>
          <w14:textFill>
            <w14:solidFill>
              <w14:schemeClr w14:val="tx1"/>
            </w14:solidFill>
          </w14:textFill>
        </w:rPr>
      </w:pPr>
    </w:p>
    <w:p w14:paraId="2226858D">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snapToGrid w:val="0"/>
          <w:color w:val="000000" w:themeColor="text1"/>
          <w:highlight w:val="none"/>
          <w:lang w:eastAsia="zh-CN"/>
          <w14:textFill>
            <w14:solidFill>
              <w14:schemeClr w14:val="tx1"/>
            </w14:solidFill>
          </w14:textFill>
        </w:rPr>
        <w:t>发包人：                              承包人：（</w:t>
      </w:r>
      <w:r>
        <w:rPr>
          <w:rFonts w:hint="eastAsia" w:ascii="仿宋" w:hAnsi="仿宋" w:eastAsia="仿宋" w:cs="仿宋"/>
          <w:color w:val="000000" w:themeColor="text1"/>
          <w:highlight w:val="none"/>
          <w:lang w:eastAsia="zh-CN"/>
          <w14:textFill>
            <w14:solidFill>
              <w14:schemeClr w14:val="tx1"/>
            </w14:solidFill>
          </w14:textFill>
        </w:rPr>
        <w:t>牵头单位全称</w:t>
      </w:r>
      <w:r>
        <w:rPr>
          <w:rFonts w:hint="eastAsia" w:ascii="仿宋" w:hAnsi="仿宋" w:eastAsia="仿宋" w:cs="仿宋"/>
          <w:snapToGrid w:val="0"/>
          <w:color w:val="000000" w:themeColor="text1"/>
          <w:highlight w:val="none"/>
          <w:lang w:eastAsia="zh-CN"/>
          <w14:textFill>
            <w14:solidFill>
              <w14:schemeClr w14:val="tx1"/>
            </w14:solidFill>
          </w14:textFill>
        </w:rPr>
        <w:t>）</w:t>
      </w:r>
    </w:p>
    <w:p w14:paraId="3ADE2CF8">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snapToGrid w:val="0"/>
          <w:color w:val="000000" w:themeColor="text1"/>
          <w:highlight w:val="none"/>
          <w:lang w:eastAsia="zh-CN"/>
          <w14:textFill>
            <w14:solidFill>
              <w14:schemeClr w14:val="tx1"/>
            </w14:solidFill>
          </w14:textFill>
        </w:rPr>
        <w:t xml:space="preserve">广州新中轴海珠片区城市更新有限公司    </w:t>
      </w:r>
    </w:p>
    <w:p w14:paraId="786FE927">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snapToGrid w:val="0"/>
          <w:color w:val="000000" w:themeColor="text1"/>
          <w:highlight w:val="none"/>
          <w:lang w:eastAsia="zh-CN"/>
          <w14:textFill>
            <w14:solidFill>
              <w14:schemeClr w14:val="tx1"/>
            </w14:solidFill>
          </w14:textFill>
        </w:rPr>
        <w:t>法定代表人：                          法定代表人：</w:t>
      </w:r>
    </w:p>
    <w:p w14:paraId="78506CCF">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授权代表</w:t>
      </w:r>
      <w:r>
        <w:rPr>
          <w:rFonts w:hint="eastAsia" w:ascii="仿宋" w:hAnsi="仿宋" w:eastAsia="仿宋" w:cs="仿宋"/>
          <w:snapToGrid w:val="0"/>
          <w:color w:val="000000" w:themeColor="text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授权代表</w:t>
      </w:r>
      <w:r>
        <w:rPr>
          <w:rFonts w:hint="eastAsia" w:ascii="仿宋" w:hAnsi="仿宋" w:eastAsia="仿宋" w:cs="仿宋"/>
          <w:snapToGrid w:val="0"/>
          <w:color w:val="000000" w:themeColor="text1"/>
          <w:highlight w:val="none"/>
          <w:lang w:eastAsia="zh-CN"/>
          <w14:textFill>
            <w14:solidFill>
              <w14:schemeClr w14:val="tx1"/>
            </w14:solidFill>
          </w14:textFill>
        </w:rPr>
        <w:t>：</w:t>
      </w:r>
    </w:p>
    <w:p w14:paraId="406B33EA">
      <w:pPr>
        <w:spacing w:after="120"/>
        <w:ind w:right="11"/>
        <w:rPr>
          <w:rFonts w:ascii="仿宋" w:hAnsi="仿宋" w:eastAsia="仿宋"/>
          <w:color w:val="000000" w:themeColor="text1"/>
          <w:highlight w:val="none"/>
          <w:lang w:eastAsia="zh-CN"/>
          <w14:textFill>
            <w14:solidFill>
              <w14:schemeClr w14:val="tx1"/>
            </w14:solidFill>
          </w14:textFill>
        </w:rPr>
      </w:pPr>
    </w:p>
    <w:p w14:paraId="6BB37571">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snapToGrid w:val="0"/>
          <w:color w:val="000000" w:themeColor="text1"/>
          <w:highlight w:val="none"/>
          <w:lang w:eastAsia="zh-CN"/>
          <w14:textFill>
            <w14:solidFill>
              <w14:schemeClr w14:val="tx1"/>
            </w14:solidFill>
          </w14:textFill>
        </w:rPr>
        <w:t>承包人：（</w:t>
      </w:r>
      <w:r>
        <w:rPr>
          <w:rFonts w:hint="eastAsia" w:ascii="仿宋" w:hAnsi="仿宋" w:eastAsia="仿宋" w:cs="仿宋"/>
          <w:color w:val="000000" w:themeColor="text1"/>
          <w:highlight w:val="none"/>
          <w:lang w:eastAsia="zh-CN"/>
          <w14:textFill>
            <w14:solidFill>
              <w14:schemeClr w14:val="tx1"/>
            </w14:solidFill>
          </w14:textFill>
        </w:rPr>
        <w:t>成员单位全称</w:t>
      </w:r>
      <w:r>
        <w:rPr>
          <w:rFonts w:hint="eastAsia" w:ascii="仿宋" w:hAnsi="仿宋" w:eastAsia="仿宋" w:cs="仿宋"/>
          <w:snapToGrid w:val="0"/>
          <w:color w:val="000000" w:themeColor="text1"/>
          <w:highlight w:val="none"/>
          <w:lang w:eastAsia="zh-CN"/>
          <w14:textFill>
            <w14:solidFill>
              <w14:schemeClr w14:val="tx1"/>
            </w14:solidFill>
          </w14:textFill>
        </w:rPr>
        <w:t>）              承包人：</w:t>
      </w:r>
      <w:r>
        <w:rPr>
          <w:rFonts w:hint="eastAsia" w:ascii="仿宋" w:hAnsi="仿宋" w:eastAsia="仿宋" w:cs="仿宋"/>
          <w:color w:val="000000" w:themeColor="text1"/>
          <w:highlight w:val="none"/>
          <w:lang w:eastAsia="zh-CN"/>
          <w14:textFill>
            <w14:solidFill>
              <w14:schemeClr w14:val="tx1"/>
            </w14:solidFill>
          </w14:textFill>
        </w:rPr>
        <w:t>(成员单位全称）</w:t>
      </w:r>
    </w:p>
    <w:p w14:paraId="5EAD5D4B">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p>
    <w:p w14:paraId="3BE10028">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snapToGrid w:val="0"/>
          <w:color w:val="000000" w:themeColor="text1"/>
          <w:highlight w:val="none"/>
          <w:lang w:eastAsia="zh-CN"/>
          <w14:textFill>
            <w14:solidFill>
              <w14:schemeClr w14:val="tx1"/>
            </w14:solidFill>
          </w14:textFill>
        </w:rPr>
        <w:t>法定代表人：                          法定代表人：</w:t>
      </w:r>
    </w:p>
    <w:p w14:paraId="41CFC650">
      <w:pPr>
        <w:adjustRightInd w:val="0"/>
        <w:snapToGrid w:val="0"/>
        <w:spacing w:line="360" w:lineRule="auto"/>
        <w:rPr>
          <w:rFonts w:ascii="仿宋" w:hAnsi="仿宋" w:eastAsia="仿宋" w:cs="仿宋"/>
          <w:snapToGrid w:val="0"/>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授权代表</w:t>
      </w:r>
      <w:r>
        <w:rPr>
          <w:rFonts w:hint="eastAsia" w:ascii="仿宋" w:hAnsi="仿宋" w:eastAsia="仿宋" w:cs="仿宋"/>
          <w:snapToGrid w:val="0"/>
          <w:color w:val="000000" w:themeColor="text1"/>
          <w:highlight w:val="none"/>
          <w:lang w:eastAsia="zh-CN"/>
          <w14:textFill>
            <w14:solidFill>
              <w14:schemeClr w14:val="tx1"/>
            </w14:solidFill>
          </w14:textFill>
        </w:rPr>
        <w:t xml:space="preserve">：                            </w:t>
      </w:r>
      <w:r>
        <w:rPr>
          <w:rFonts w:hint="eastAsia" w:ascii="仿宋" w:hAnsi="仿宋" w:eastAsia="仿宋" w:cs="仿宋"/>
          <w:color w:val="000000" w:themeColor="text1"/>
          <w:highlight w:val="none"/>
          <w:lang w:eastAsia="zh-CN"/>
          <w14:textFill>
            <w14:solidFill>
              <w14:schemeClr w14:val="tx1"/>
            </w14:solidFill>
          </w14:textFill>
        </w:rPr>
        <w:t>授权代表</w:t>
      </w:r>
      <w:r>
        <w:rPr>
          <w:rFonts w:hint="eastAsia" w:ascii="仿宋" w:hAnsi="仿宋" w:eastAsia="仿宋" w:cs="仿宋"/>
          <w:snapToGrid w:val="0"/>
          <w:color w:val="000000" w:themeColor="text1"/>
          <w:highlight w:val="none"/>
          <w:lang w:eastAsia="zh-CN"/>
          <w14:textFill>
            <w14:solidFill>
              <w14:schemeClr w14:val="tx1"/>
            </w14:solidFill>
          </w14:textFill>
        </w:rPr>
        <w:t>：</w:t>
      </w:r>
    </w:p>
    <w:p w14:paraId="5AF7C55A">
      <w:pPr>
        <w:pStyle w:val="40"/>
        <w:rPr>
          <w:color w:val="000000" w:themeColor="text1"/>
          <w:highlight w:val="none"/>
          <w:lang w:eastAsia="zh-CN"/>
          <w14:textFill>
            <w14:solidFill>
              <w14:schemeClr w14:val="tx1"/>
            </w14:solidFill>
          </w14:textFill>
        </w:rPr>
      </w:pPr>
    </w:p>
    <w:p w14:paraId="6E5AE2D0">
      <w:pPr>
        <w:rPr>
          <w:color w:val="000000" w:themeColor="text1"/>
          <w:highlight w:val="none"/>
          <w:lang w:eastAsia="zh-CN"/>
          <w14:textFill>
            <w14:solidFill>
              <w14:schemeClr w14:val="tx1"/>
            </w14:solidFill>
          </w14:textFill>
        </w:rPr>
      </w:pPr>
    </w:p>
    <w:p w14:paraId="2FBC2C97">
      <w:pPr>
        <w:pStyle w:val="40"/>
        <w:rPr>
          <w:color w:val="000000" w:themeColor="text1"/>
          <w:highlight w:val="none"/>
          <w:lang w:eastAsia="zh-CN"/>
          <w14:textFill>
            <w14:solidFill>
              <w14:schemeClr w14:val="tx1"/>
            </w14:solidFill>
          </w14:textFill>
        </w:rPr>
      </w:pPr>
    </w:p>
    <w:p w14:paraId="61076D67">
      <w:pPr>
        <w:rPr>
          <w:color w:val="000000" w:themeColor="text1"/>
          <w:highlight w:val="none"/>
          <w:lang w:eastAsia="zh-CN"/>
          <w14:textFill>
            <w14:solidFill>
              <w14:schemeClr w14:val="tx1"/>
            </w14:solidFill>
          </w14:textFill>
        </w:rPr>
      </w:pPr>
    </w:p>
    <w:p w14:paraId="74FCEC5F">
      <w:pPr>
        <w:pStyle w:val="40"/>
        <w:rPr>
          <w:color w:val="000000" w:themeColor="text1"/>
          <w:highlight w:val="none"/>
          <w:lang w:eastAsia="zh-CN"/>
          <w14:textFill>
            <w14:solidFill>
              <w14:schemeClr w14:val="tx1"/>
            </w14:solidFill>
          </w14:textFill>
        </w:rPr>
      </w:pPr>
    </w:p>
    <w:p w14:paraId="2604DE31">
      <w:pP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br w:type="page"/>
      </w:r>
    </w:p>
    <w:p w14:paraId="23CCC403">
      <w:pPr>
        <w:spacing w:line="360" w:lineRule="auto"/>
        <w:outlineLvl w:val="1"/>
        <w:rPr>
          <w:rFonts w:ascii="仿宋" w:hAnsi="仿宋" w:eastAsia="仿宋"/>
          <w:b/>
          <w:bCs/>
          <w:color w:val="000000" w:themeColor="text1"/>
          <w:highlight w:val="none"/>
          <w:lang w:eastAsia="zh-CN"/>
          <w14:textFill>
            <w14:solidFill>
              <w14:schemeClr w14:val="tx1"/>
            </w14:solidFill>
          </w14:textFill>
        </w:rPr>
      </w:pPr>
      <w:bookmarkStart w:id="797" w:name="_Toc148188668"/>
      <w:bookmarkStart w:id="798" w:name="_Toc149731623"/>
      <w:bookmarkStart w:id="799" w:name="_Toc24276"/>
      <w:r>
        <w:rPr>
          <w:rFonts w:hint="eastAsia" w:ascii="仿宋" w:hAnsi="仿宋" w:eastAsia="仿宋"/>
          <w:b/>
          <w:bCs/>
          <w:color w:val="000000" w:themeColor="text1"/>
          <w:highlight w:val="none"/>
          <w:lang w:eastAsia="zh-CN"/>
          <w14:textFill>
            <w14:solidFill>
              <w14:schemeClr w14:val="tx1"/>
            </w14:solidFill>
          </w14:textFill>
        </w:rPr>
        <w:t>附件五：</w:t>
      </w:r>
      <w:bookmarkEnd w:id="797"/>
      <w:bookmarkEnd w:id="798"/>
      <w:bookmarkEnd w:id="799"/>
    </w:p>
    <w:p w14:paraId="01886223">
      <w:pPr>
        <w:spacing w:line="360" w:lineRule="auto"/>
        <w:jc w:val="center"/>
        <w:rPr>
          <w:rFonts w:ascii="仿宋" w:hAnsi="仿宋" w:eastAsia="仿宋"/>
          <w:b/>
          <w:bCs/>
          <w:color w:val="000000" w:themeColor="text1"/>
          <w:sz w:val="36"/>
          <w:szCs w:val="36"/>
          <w:highlight w:val="none"/>
          <w:lang w:eastAsia="zh-CN"/>
          <w14:textFill>
            <w14:solidFill>
              <w14:schemeClr w14:val="tx1"/>
            </w14:solidFill>
          </w14:textFill>
        </w:rPr>
      </w:pPr>
      <w:r>
        <w:rPr>
          <w:rFonts w:hint="eastAsia" w:ascii="仿宋" w:hAnsi="仿宋" w:eastAsia="仿宋" w:cs="仿宋"/>
          <w:b/>
          <w:bCs/>
          <w:color w:val="000000" w:themeColor="text1"/>
          <w:sz w:val="36"/>
          <w:szCs w:val="36"/>
          <w:highlight w:val="none"/>
          <w:lang w:eastAsia="zh-CN"/>
          <w14:textFill>
            <w14:solidFill>
              <w14:schemeClr w14:val="tx1"/>
            </w14:solidFill>
          </w14:textFill>
        </w:rPr>
        <w:t>廉 政 合 同</w:t>
      </w:r>
    </w:p>
    <w:p w14:paraId="68299149">
      <w:pPr>
        <w:spacing w:line="360" w:lineRule="auto"/>
        <w:rPr>
          <w:rFonts w:ascii="仿宋" w:hAnsi="仿宋" w:eastAsia="仿宋"/>
          <w:color w:val="000000" w:themeColor="text1"/>
          <w:highlight w:val="none"/>
          <w:lang w:eastAsia="zh-CN"/>
          <w14:textFill>
            <w14:solidFill>
              <w14:schemeClr w14:val="tx1"/>
            </w14:solidFill>
          </w14:textFill>
        </w:rPr>
      </w:pPr>
    </w:p>
    <w:p w14:paraId="1DB77CAF">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发包人</w:t>
      </w:r>
      <w:r>
        <w:rPr>
          <w:rFonts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（全称）</w:t>
      </w:r>
      <w:r>
        <w:rPr>
          <w:rFonts w:hint="eastAsia" w:ascii="仿宋" w:hAnsi="仿宋" w:eastAsia="仿宋" w:cs="仿宋"/>
          <w:snapToGrid w:val="0"/>
          <w:color w:val="000000" w:themeColor="text1"/>
          <w:highlight w:val="none"/>
          <w:lang w:eastAsia="zh-CN"/>
          <w14:textFill>
            <w14:solidFill>
              <w14:schemeClr w14:val="tx1"/>
            </w14:solidFill>
          </w14:textFill>
        </w:rPr>
        <w:t>广州新中轴海珠片区城市更新有限公司</w:t>
      </w:r>
    </w:p>
    <w:p w14:paraId="2336F861">
      <w:p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承包人（承包人为联合体时）：</w:t>
      </w:r>
    </w:p>
    <w:p w14:paraId="0EE35A90">
      <w:pPr>
        <w:spacing w:line="360" w:lineRule="auto"/>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(牵头单位全称）:</w:t>
      </w:r>
    </w:p>
    <w:p w14:paraId="4315F811">
      <w:pPr>
        <w:spacing w:after="120"/>
        <w:ind w:left="1920" w:hanging="1920" w:hangingChars="800"/>
        <w:rPr>
          <w:rFonts w:ascii="仿宋" w:hAnsi="仿宋" w:eastAsia="仿宋" w:cs="宋体"/>
          <w:b/>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(成员单位全称）：</w:t>
      </w:r>
    </w:p>
    <w:p w14:paraId="3CDA6F08">
      <w:pPr>
        <w:spacing w:line="360" w:lineRule="auto"/>
        <w:rPr>
          <w:rFonts w:ascii="仿宋" w:hAnsi="仿宋" w:eastAsia="仿宋" w:cs="仿宋"/>
          <w:color w:val="000000" w:themeColor="text1"/>
          <w:highlight w:val="none"/>
          <w:lang w:eastAsia="zh-CN"/>
          <w14:textFill>
            <w14:solidFill>
              <w14:schemeClr w14:val="tx1"/>
            </w14:solidFill>
          </w14:textFill>
        </w:rPr>
      </w:pPr>
    </w:p>
    <w:p w14:paraId="22E24AF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val="zh-CN" w:eastAsia="zh-CN"/>
          <w14:textFill>
            <w14:solidFill>
              <w14:schemeClr w14:val="tx1"/>
            </w14:solidFill>
          </w14:textFill>
        </w:rPr>
        <w:t>根据国家、省、市有关廉政建设的规定，为做好合同工程的廉政建设，保证工程质量与施工安全，提高建设资金的有效使用和投资效益，合同双方当事人就加强合同工程的廉政建设，订立本合同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000000" w:themeColor="text1"/>
          <w:highlight w:val="none"/>
          <w:lang w:eastAsia="zh-CN"/>
          <w14:textFill>
            <w14:solidFill>
              <w14:schemeClr w14:val="tx1"/>
            </w14:solidFill>
          </w14:textFill>
        </w:rPr>
        <w:t>。</w:t>
      </w:r>
    </w:p>
    <w:p w14:paraId="5E63B7E1">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1  双方权利和义务</w:t>
      </w:r>
    </w:p>
    <w:p w14:paraId="3292292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1.1  严格遵守国家、省有关法律法规的规定。</w:t>
      </w:r>
    </w:p>
    <w:p w14:paraId="2C408A2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1.2  严格执行合同工程一切合同文件，自觉按合同办事。</w:t>
      </w:r>
    </w:p>
    <w:p w14:paraId="4301496B">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1.3  </w:t>
      </w:r>
      <w:r>
        <w:rPr>
          <w:rFonts w:hint="eastAsia" w:ascii="仿宋" w:hAnsi="仿宋" w:eastAsia="仿宋" w:cs="仿宋"/>
          <w:color w:val="000000" w:themeColor="text1"/>
          <w:highlight w:val="none"/>
          <w:lang w:val="zh-CN" w:eastAsia="zh-CN"/>
          <w14:textFill>
            <w14:solidFill>
              <w14:schemeClr w14:val="tx1"/>
            </w14:solidFill>
          </w14:textFill>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000000" w:themeColor="text1"/>
          <w:highlight w:val="none"/>
          <w:lang w:eastAsia="zh-CN"/>
          <w14:textFill>
            <w14:solidFill>
              <w14:schemeClr w14:val="tx1"/>
            </w14:solidFill>
          </w14:textFill>
        </w:rPr>
        <w:t>。</w:t>
      </w:r>
    </w:p>
    <w:p w14:paraId="236A77BF">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1.4  建立健全廉政制度，开展廉政教育，设立廉政告示牌，公布举报电话，监督并认真查处违法违纪行为。</w:t>
      </w:r>
    </w:p>
    <w:p w14:paraId="4680A71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1.5  发现对方在业务活动中有违反廉政建设规定的行为，应及时给予提醒和纠正。</w:t>
      </w:r>
    </w:p>
    <w:p w14:paraId="5097DD6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1.6  发现对方严重违反合同的行为，有向其主管部门举报、建议给予处理并要求告知处理结果的权利。没有主管部门的，</w:t>
      </w:r>
      <w:r>
        <w:rPr>
          <w:rFonts w:hint="eastAsia" w:ascii="仿宋" w:hAnsi="仿宋" w:eastAsia="仿宋" w:cs="仿宋"/>
          <w:color w:val="000000" w:themeColor="text1"/>
          <w:highlight w:val="none"/>
          <w:lang w:val="zh-CN" w:eastAsia="zh-CN"/>
          <w14:textFill>
            <w14:solidFill>
              <w14:schemeClr w14:val="tx1"/>
            </w14:solidFill>
          </w14:textFill>
        </w:rPr>
        <w:t>可按本</w:t>
      </w:r>
      <w:r>
        <w:rPr>
          <w:rFonts w:hint="eastAsia" w:ascii="仿宋" w:hAnsi="仿宋" w:eastAsia="仿宋" w:cs="仿宋"/>
          <w:color w:val="000000" w:themeColor="text1"/>
          <w:highlight w:val="none"/>
          <w:lang w:eastAsia="zh-CN"/>
          <w14:textFill>
            <w14:solidFill>
              <w14:schemeClr w14:val="tx1"/>
            </w14:solidFill>
          </w14:textFill>
        </w:rPr>
        <w:t>工程总承包</w:t>
      </w:r>
      <w:r>
        <w:rPr>
          <w:rFonts w:hint="eastAsia" w:ascii="仿宋" w:hAnsi="仿宋" w:eastAsia="仿宋" w:cs="仿宋"/>
          <w:color w:val="000000" w:themeColor="text1"/>
          <w:highlight w:val="none"/>
          <w:lang w:val="zh-CN" w:eastAsia="zh-CN"/>
          <w14:textFill>
            <w14:solidFill>
              <w14:schemeClr w14:val="tx1"/>
            </w14:solidFill>
          </w14:textFill>
        </w:rPr>
        <w:t>合同第二部分《通用条款》第</w:t>
      </w:r>
      <w:r>
        <w:rPr>
          <w:rFonts w:hint="eastAsia" w:ascii="仿宋" w:hAnsi="仿宋" w:eastAsia="仿宋" w:cs="仿宋"/>
          <w:color w:val="000000" w:themeColor="text1"/>
          <w:highlight w:val="none"/>
          <w:lang w:eastAsia="zh-CN"/>
          <w14:textFill>
            <w14:solidFill>
              <w14:schemeClr w14:val="tx1"/>
            </w14:solidFill>
          </w14:textFill>
        </w:rPr>
        <w:t xml:space="preserve"> 101</w:t>
      </w:r>
      <w:r>
        <w:rPr>
          <w:rFonts w:hint="eastAsia" w:ascii="仿宋" w:hAnsi="仿宋" w:eastAsia="仿宋" w:cs="仿宋"/>
          <w:color w:val="000000" w:themeColor="text1"/>
          <w:highlight w:val="none"/>
          <w:lang w:val="zh-CN" w:eastAsia="zh-CN"/>
          <w14:textFill>
            <w14:solidFill>
              <w14:schemeClr w14:val="tx1"/>
            </w14:solidFill>
          </w14:textFill>
        </w:rPr>
        <w:t>条约定处理</w:t>
      </w:r>
      <w:r>
        <w:rPr>
          <w:rFonts w:hint="eastAsia" w:ascii="仿宋" w:hAnsi="仿宋" w:eastAsia="仿宋" w:cs="仿宋"/>
          <w:color w:val="000000" w:themeColor="text1"/>
          <w:highlight w:val="none"/>
          <w:lang w:eastAsia="zh-CN"/>
          <w14:textFill>
            <w14:solidFill>
              <w14:schemeClr w14:val="tx1"/>
            </w14:solidFill>
          </w14:textFill>
        </w:rPr>
        <w:t>。</w:t>
      </w:r>
    </w:p>
    <w:p w14:paraId="6D147D8B">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2  发包人义务</w:t>
      </w:r>
    </w:p>
    <w:p w14:paraId="46213D40">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2.1  发包人及其工作人员不得索要或接受承包人的礼金、有价证券和贵重物品，不得在承包人报销任何应由发包人或工作人员个人支付的费用等。</w:t>
      </w:r>
    </w:p>
    <w:p w14:paraId="04378E8E">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2.2  发包人及其工作人员不得参加承包人安排的宴请（工作餐除外）和娱乐活动；不得接受承包人提供的通讯工具、交通工具和高档办公用品等。</w:t>
      </w:r>
    </w:p>
    <w:p w14:paraId="626489F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2.3  发包人及其工作人员不得要求或者接受承包人为其住房装修、婚丧嫁娶活动、配偶子女的工作安排以及出国出境、旅游等提供方便等。</w:t>
      </w:r>
    </w:p>
    <w:p w14:paraId="460CD0C5">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2.4  </w:t>
      </w:r>
      <w:r>
        <w:rPr>
          <w:rFonts w:hint="eastAsia" w:ascii="仿宋" w:hAnsi="仿宋" w:eastAsia="仿宋" w:cs="仿宋"/>
          <w:color w:val="000000" w:themeColor="text1"/>
          <w:highlight w:val="none"/>
          <w:lang w:val="zh-CN" w:eastAsia="zh-CN"/>
          <w14:textFill>
            <w14:solidFill>
              <w14:schemeClr w14:val="tx1"/>
            </w14:solidFill>
          </w14:textFill>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000000" w:themeColor="text1"/>
          <w:highlight w:val="none"/>
          <w:lang w:eastAsia="zh-CN"/>
          <w14:textFill>
            <w14:solidFill>
              <w14:schemeClr w14:val="tx1"/>
            </w14:solidFill>
          </w14:textFill>
        </w:rPr>
        <w:t>。</w:t>
      </w:r>
    </w:p>
    <w:p w14:paraId="74B1F6D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2.5  </w:t>
      </w:r>
      <w:r>
        <w:rPr>
          <w:rFonts w:hint="eastAsia" w:ascii="仿宋" w:hAnsi="仿宋" w:eastAsia="仿宋" w:cs="仿宋"/>
          <w:color w:val="000000" w:themeColor="text1"/>
          <w:highlight w:val="none"/>
          <w:lang w:val="zh-CN" w:eastAsia="zh-CN"/>
          <w14:textFill>
            <w14:solidFill>
              <w14:schemeClr w14:val="tx1"/>
            </w14:solidFill>
          </w14:textFill>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000000" w:themeColor="text1"/>
          <w:highlight w:val="none"/>
          <w:lang w:eastAsia="zh-CN"/>
          <w14:textFill>
            <w14:solidFill>
              <w14:schemeClr w14:val="tx1"/>
            </w14:solidFill>
          </w14:textFill>
        </w:rPr>
        <w:t>。</w:t>
      </w:r>
    </w:p>
    <w:p w14:paraId="6A56CDA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2.6  </w:t>
      </w:r>
      <w:r>
        <w:rPr>
          <w:rFonts w:hint="eastAsia" w:ascii="仿宋" w:hAnsi="仿宋" w:eastAsia="仿宋" w:cs="仿宋"/>
          <w:color w:val="000000" w:themeColor="text1"/>
          <w:highlight w:val="none"/>
          <w:lang w:val="zh-CN" w:eastAsia="zh-CN"/>
          <w14:textFill>
            <w14:solidFill>
              <w14:schemeClr w14:val="tx1"/>
            </w14:solidFill>
          </w14:textFill>
        </w:rPr>
        <w:t>发包人及其工作人员（含其配偶、子女）不得从事与合同工程有关的工程材料和工程设备供应、工程分包、劳务等经济活动</w:t>
      </w:r>
      <w:r>
        <w:rPr>
          <w:rFonts w:hint="eastAsia" w:ascii="仿宋" w:hAnsi="仿宋" w:eastAsia="仿宋" w:cs="仿宋"/>
          <w:color w:val="000000" w:themeColor="text1"/>
          <w:highlight w:val="none"/>
          <w:lang w:eastAsia="zh-CN"/>
          <w14:textFill>
            <w14:solidFill>
              <w14:schemeClr w14:val="tx1"/>
            </w14:solidFill>
          </w14:textFill>
        </w:rPr>
        <w:t>。</w:t>
      </w:r>
    </w:p>
    <w:p w14:paraId="1F1C40C8">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3  承包人义务</w:t>
      </w:r>
    </w:p>
    <w:p w14:paraId="19EE0C94">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3.1  承包人不得以任何理由向发包人及其工作人员行贿或馈赠礼金、有价证券、贵重礼品。</w:t>
      </w:r>
    </w:p>
    <w:p w14:paraId="5C654E0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3.2  承包人不得以任何名义为发包人及其工作人员报销应由发包人或工作人员个人支付的任何费用。</w:t>
      </w:r>
    </w:p>
    <w:p w14:paraId="356F283A">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3.3  承包人不得以任何理由安排发包人及其工作人员参加宴请（工作餐除外）及娱乐活动。</w:t>
      </w:r>
    </w:p>
    <w:p w14:paraId="04671011">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3.4  承包人不得为发包人和个人购置或提供通讯工具、交通工具和高档办公用品等。</w:t>
      </w:r>
    </w:p>
    <w:p w14:paraId="00E00B3C">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3.5  </w:t>
      </w:r>
      <w:r>
        <w:rPr>
          <w:rFonts w:hint="eastAsia" w:ascii="仿宋" w:hAnsi="仿宋" w:eastAsia="仿宋" w:cs="仿宋"/>
          <w:color w:val="000000" w:themeColor="text1"/>
          <w:highlight w:val="none"/>
          <w:lang w:val="zh-CN" w:eastAsia="zh-CN"/>
          <w14:textFill>
            <w14:solidFill>
              <w14:schemeClr w14:val="tx1"/>
            </w14:solidFill>
          </w14:textFill>
        </w:rPr>
        <w:t>承包人不得为发包人及其工作人员的住房装修、婚丧嫁娶活动、配偶子女工作安排以及出国出境、旅游等提供方便。</w:t>
      </w:r>
    </w:p>
    <w:p w14:paraId="2E1BB2F9">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4  违约责任</w:t>
      </w:r>
    </w:p>
    <w:p w14:paraId="77ADBA72">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4.1  发包人及其工作人员违反本合同第1条和第2条约定，应依据有关规定给予廉政建设规定的处分；涉嫌犯罪的，移交司法机关追究刑事责任；给承包人造成经济损失的，应予赔偿。</w:t>
      </w:r>
    </w:p>
    <w:p w14:paraId="5ED69166">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4.2  </w:t>
      </w:r>
      <w:r>
        <w:rPr>
          <w:rFonts w:hint="eastAsia" w:ascii="仿宋" w:hAnsi="仿宋" w:eastAsia="仿宋" w:cs="仿宋"/>
          <w:color w:val="000000" w:themeColor="text1"/>
          <w:highlight w:val="none"/>
          <w:lang w:val="zh-CN" w:eastAsia="zh-CN"/>
          <w14:textFill>
            <w14:solidFill>
              <w14:schemeClr w14:val="tx1"/>
            </w14:solidFill>
          </w14:textFill>
        </w:rPr>
        <w:t>承包人及其工作人员违反本合同第</w:t>
      </w:r>
      <w:r>
        <w:rPr>
          <w:rFonts w:hint="eastAsia" w:ascii="仿宋" w:hAnsi="仿宋" w:eastAsia="仿宋" w:cs="仿宋"/>
          <w:color w:val="000000" w:themeColor="text1"/>
          <w:highlight w:val="none"/>
          <w:lang w:eastAsia="zh-CN"/>
          <w14:textFill>
            <w14:solidFill>
              <w14:schemeClr w14:val="tx1"/>
            </w14:solidFill>
          </w14:textFill>
        </w:rPr>
        <w:t xml:space="preserve"> 1 </w:t>
      </w:r>
      <w:r>
        <w:rPr>
          <w:rFonts w:hint="eastAsia" w:ascii="仿宋" w:hAnsi="仿宋" w:eastAsia="仿宋" w:cs="仿宋"/>
          <w:color w:val="000000" w:themeColor="text1"/>
          <w:highlight w:val="none"/>
          <w:lang w:val="zh-CN" w:eastAsia="zh-CN"/>
          <w14:textFill>
            <w14:solidFill>
              <w14:schemeClr w14:val="tx1"/>
            </w14:solidFill>
          </w14:textFill>
        </w:rPr>
        <w:t>条和第</w:t>
      </w:r>
      <w:r>
        <w:rPr>
          <w:rFonts w:hint="eastAsia" w:ascii="仿宋" w:hAnsi="仿宋" w:eastAsia="仿宋" w:cs="仿宋"/>
          <w:color w:val="000000" w:themeColor="text1"/>
          <w:highlight w:val="none"/>
          <w:lang w:eastAsia="zh-CN"/>
          <w14:textFill>
            <w14:solidFill>
              <w14:schemeClr w14:val="tx1"/>
            </w14:solidFill>
          </w14:textFill>
        </w:rPr>
        <w:t xml:space="preserve"> 3 </w:t>
      </w:r>
      <w:r>
        <w:rPr>
          <w:rFonts w:hint="eastAsia" w:ascii="仿宋" w:hAnsi="仿宋" w:eastAsia="仿宋" w:cs="仿宋"/>
          <w:color w:val="000000" w:themeColor="text1"/>
          <w:highlight w:val="none"/>
          <w:lang w:val="zh-CN" w:eastAsia="zh-CN"/>
          <w14:textFill>
            <w14:solidFill>
              <w14:schemeClr w14:val="tx1"/>
            </w14:solidFill>
          </w14:textFill>
        </w:rPr>
        <w:t>条约定，应按照廉政建设的有关规定给予处分；涉嫌犯罪的，移交司法机关追究刑事责任；给发包人造成损失的，应予赔偿。</w:t>
      </w:r>
    </w:p>
    <w:p w14:paraId="6894E087">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5  双方约定</w:t>
      </w:r>
    </w:p>
    <w:p w14:paraId="32767927">
      <w:pPr>
        <w:pStyle w:val="31"/>
        <w:spacing w:line="360" w:lineRule="auto"/>
        <w:ind w:firstLine="480" w:firstLineChars="200"/>
        <w:rPr>
          <w:rFonts w:ascii="仿宋" w:hAnsi="仿宋" w:eastAsia="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zh-CN" w:eastAsia="zh-CN"/>
          <w14:textFill>
            <w14:solidFill>
              <w14:schemeClr w14:val="tx1"/>
            </w14:solidFill>
          </w14:textFill>
        </w:rPr>
        <w:t>本合同由合同双方当事人或其主管部门负责监督执行</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0612AC68">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6  合同法律效力</w:t>
      </w:r>
    </w:p>
    <w:p w14:paraId="156CC017">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本合同作为</w:t>
      </w:r>
      <w:r>
        <w:rPr>
          <w:rFonts w:hint="eastAsia" w:ascii="仿宋" w:hAnsi="仿宋" w:eastAsia="仿宋" w:cs="仿宋"/>
          <w:color w:val="000000" w:themeColor="text1"/>
          <w:highlight w:val="none"/>
          <w:u w:val="single"/>
          <w:lang w:eastAsia="zh-CN"/>
          <w14:textFill>
            <w14:solidFill>
              <w14:schemeClr w14:val="tx1"/>
            </w14:solidFill>
          </w14:textFill>
        </w:rPr>
        <w:t>广州市海珠区三滘村城中村改造项目</w:t>
      </w:r>
      <w:r>
        <w:rPr>
          <w:rFonts w:hint="eastAsia" w:ascii="仿宋" w:hAnsi="仿宋" w:eastAsia="仿宋" w:cs="仿宋"/>
          <w:color w:val="000000" w:themeColor="text1"/>
          <w:highlight w:val="none"/>
          <w:u w:val="single"/>
          <w:lang w:val="en-US" w:eastAsia="zh-CN"/>
          <w14:textFill>
            <w14:solidFill>
              <w14:schemeClr w14:val="tx1"/>
            </w14:solidFill>
          </w14:textFill>
        </w:rPr>
        <w:t>启动区</w:t>
      </w:r>
      <w:r>
        <w:rPr>
          <w:rFonts w:hint="eastAsia" w:ascii="仿宋" w:hAnsi="仿宋" w:eastAsia="仿宋" w:cs="仿宋"/>
          <w:color w:val="000000" w:themeColor="text1"/>
          <w:highlight w:val="none"/>
          <w:u w:val="single"/>
          <w:lang w:eastAsia="zh-CN"/>
          <w14:textFill>
            <w14:solidFill>
              <w14:schemeClr w14:val="tx1"/>
            </w14:solidFill>
          </w14:textFill>
        </w:rPr>
        <w:t>S4地块</w:t>
      </w:r>
      <w:r>
        <w:rPr>
          <w:rFonts w:hint="eastAsia" w:ascii="仿宋" w:hAnsi="仿宋" w:eastAsia="仿宋" w:cs="仿宋"/>
          <w:color w:val="000000" w:themeColor="text1"/>
          <w:highlight w:val="none"/>
          <w:u w:val="single"/>
          <w:lang w:val="en-US" w:eastAsia="zh-CN"/>
          <w14:textFill>
            <w14:solidFill>
              <w14:schemeClr w14:val="tx1"/>
            </w14:solidFill>
          </w14:textFill>
        </w:rPr>
        <w:t>复建安置房建设项目</w:t>
      </w:r>
      <w:r>
        <w:rPr>
          <w:rFonts w:hint="eastAsia" w:ascii="仿宋" w:hAnsi="仿宋" w:eastAsia="仿宋" w:cs="仿宋"/>
          <w:color w:val="000000" w:themeColor="text1"/>
          <w:highlight w:val="none"/>
          <w:u w:val="single"/>
          <w:lang w:eastAsia="zh-CN"/>
          <w14:textFill>
            <w14:solidFill>
              <w14:schemeClr w14:val="tx1"/>
            </w14:solidFill>
          </w14:textFill>
        </w:rPr>
        <w:t>基坑支护及土石方工程设计施工总承包</w:t>
      </w:r>
      <w:r>
        <w:rPr>
          <w:rFonts w:hint="eastAsia" w:ascii="仿宋" w:hAnsi="仿宋" w:eastAsia="仿宋" w:cs="仿宋"/>
          <w:color w:val="000000" w:themeColor="text1"/>
          <w:highlight w:val="none"/>
          <w:lang w:eastAsia="zh-CN"/>
          <w14:textFill>
            <w14:solidFill>
              <w14:schemeClr w14:val="tx1"/>
            </w14:solidFill>
          </w14:textFill>
        </w:rPr>
        <w:t>（工程名称）工程总承包合同的附件，与工程总承包合同具有同等的法律效力。</w:t>
      </w:r>
    </w:p>
    <w:p w14:paraId="0811EF93">
      <w:pPr>
        <w:spacing w:line="360" w:lineRule="auto"/>
        <w:rPr>
          <w:rFonts w:ascii="仿宋" w:hAnsi="仿宋" w:eastAsia="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eastAsia="zh-CN"/>
          <w14:textFill>
            <w14:solidFill>
              <w14:schemeClr w14:val="tx1"/>
            </w14:solidFill>
          </w14:textFill>
        </w:rPr>
        <w:t>7  合同份数</w:t>
      </w:r>
    </w:p>
    <w:p w14:paraId="33209D3D">
      <w:pPr>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bCs/>
          <w:snapToGrid w:val="0"/>
          <w:color w:val="000000" w:themeColor="text1"/>
          <w:highlight w:val="none"/>
          <w:lang w:eastAsia="zh-CN"/>
          <w14:textFill>
            <w14:solidFill>
              <w14:schemeClr w14:val="tx1"/>
            </w14:solidFill>
          </w14:textFill>
        </w:rPr>
        <w:t>本合同正本一式</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份，各方执</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份；副本</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份，各方执</w:t>
      </w:r>
      <w:r>
        <w:rPr>
          <w:rFonts w:hint="eastAsia" w:ascii="仿宋" w:hAnsi="仿宋" w:eastAsia="仿宋" w:cs="仿宋"/>
          <w:bCs/>
          <w:snapToGrid w:val="0"/>
          <w:color w:val="000000" w:themeColor="text1"/>
          <w:highlight w:val="none"/>
          <w:u w:val="single"/>
          <w:lang w:eastAsia="zh-CN"/>
          <w14:textFill>
            <w14:solidFill>
              <w14:schemeClr w14:val="tx1"/>
            </w14:solidFill>
          </w14:textFill>
        </w:rPr>
        <w:t xml:space="preserve">     </w:t>
      </w:r>
      <w:r>
        <w:rPr>
          <w:rFonts w:hint="eastAsia" w:ascii="仿宋" w:hAnsi="仿宋" w:eastAsia="仿宋" w:cs="仿宋"/>
          <w:bCs/>
          <w:snapToGrid w:val="0"/>
          <w:color w:val="000000" w:themeColor="text1"/>
          <w:highlight w:val="none"/>
          <w:lang w:eastAsia="zh-CN"/>
          <w14:textFill>
            <w14:solidFill>
              <w14:schemeClr w14:val="tx1"/>
            </w14:solidFill>
          </w14:textFill>
        </w:rPr>
        <w:t>份</w:t>
      </w:r>
      <w:r>
        <w:rPr>
          <w:rFonts w:hint="eastAsia" w:ascii="仿宋" w:hAnsi="仿宋" w:eastAsia="仿宋" w:cs="仿宋"/>
          <w:color w:val="000000" w:themeColor="text1"/>
          <w:highlight w:val="none"/>
          <w:lang w:eastAsia="zh-CN"/>
          <w14:textFill>
            <w14:solidFill>
              <w14:schemeClr w14:val="tx1"/>
            </w14:solidFill>
          </w14:textFill>
        </w:rPr>
        <w:t>。合同正、副本具有同等法律效力，若合同副本与正本的表述不一致时，以合同正本为准。</w:t>
      </w:r>
    </w:p>
    <w:p w14:paraId="053D07E7">
      <w:pPr>
        <w:spacing w:line="360" w:lineRule="auto"/>
        <w:rPr>
          <w:rFonts w:ascii="仿宋" w:hAnsi="仿宋" w:eastAsia="仿宋"/>
          <w:color w:val="000000" w:themeColor="text1"/>
          <w:highlight w:val="none"/>
          <w:lang w:eastAsia="zh-CN"/>
          <w14:textFill>
            <w14:solidFill>
              <w14:schemeClr w14:val="tx1"/>
            </w14:solidFill>
          </w14:textFill>
        </w:rPr>
      </w:pPr>
    </w:p>
    <w:p w14:paraId="1164DB20">
      <w:pPr>
        <w:pStyle w:val="76"/>
        <w:ind w:firstLine="240"/>
        <w:rPr>
          <w:color w:val="000000" w:themeColor="text1"/>
          <w:highlight w:val="none"/>
          <w:lang w:eastAsia="zh-CN"/>
          <w14:textFill>
            <w14:solidFill>
              <w14:schemeClr w14:val="tx1"/>
            </w14:solidFill>
          </w14:textFill>
        </w:rPr>
      </w:pPr>
    </w:p>
    <w:p w14:paraId="6537028F">
      <w:pPr>
        <w:adjustRightInd w:val="0"/>
        <w:snapToGri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发 包 人：（盖章）                       承 包 人：（盖章）</w:t>
      </w:r>
    </w:p>
    <w:p w14:paraId="0A6A2109">
      <w:pPr>
        <w:adjustRightInd w:val="0"/>
        <w:snapToGrid w:val="0"/>
        <w:spacing w:line="360" w:lineRule="auto"/>
        <w:ind w:left="5280" w:leftChars="200" w:hanging="4800" w:hangingChars="20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snapToGrid w:val="0"/>
          <w:color w:val="000000" w:themeColor="text1"/>
          <w:highlight w:val="none"/>
          <w:lang w:eastAsia="zh-CN"/>
          <w14:textFill>
            <w14:solidFill>
              <w14:schemeClr w14:val="tx1"/>
            </w14:solidFill>
          </w14:textFill>
        </w:rPr>
        <w:t>广州新中轴海珠片区城市更新有限公司</w:t>
      </w:r>
      <w:r>
        <w:rPr>
          <w:rFonts w:hint="eastAsia" w:ascii="仿宋" w:hAnsi="仿宋" w:eastAsia="仿宋" w:cs="仿宋"/>
          <w:color w:val="000000" w:themeColor="text1"/>
          <w:highlight w:val="none"/>
          <w:lang w:eastAsia="zh-CN"/>
          <w14:textFill>
            <w14:solidFill>
              <w14:schemeClr w14:val="tx1"/>
            </w14:solidFill>
          </w14:textFill>
        </w:rPr>
        <w:t xml:space="preserve">   </w:t>
      </w:r>
    </w:p>
    <w:p w14:paraId="24821E21">
      <w:pPr>
        <w:adjustRightInd w:val="0"/>
        <w:snapToGri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法定代表人：（</w:t>
      </w:r>
      <w:r>
        <w:rPr>
          <w:rFonts w:ascii="仿宋" w:hAnsi="仿宋" w:eastAsia="仿宋"/>
          <w:color w:val="000000" w:themeColor="text1"/>
          <w:highlight w:val="none"/>
          <w:lang w:eastAsia="zh-CN"/>
          <w14:textFill>
            <w14:solidFill>
              <w14:schemeClr w14:val="tx1"/>
            </w14:solidFill>
          </w14:textFill>
        </w:rPr>
        <w:t>签</w:t>
      </w:r>
      <w:r>
        <w:rPr>
          <w:rFonts w:hint="eastAsia" w:ascii="仿宋" w:hAnsi="仿宋" w:eastAsia="仿宋"/>
          <w:color w:val="000000" w:themeColor="text1"/>
          <w:highlight w:val="none"/>
          <w:lang w:eastAsia="zh-CN"/>
          <w14:textFill>
            <w14:solidFill>
              <w14:schemeClr w14:val="tx1"/>
            </w14:solidFill>
          </w14:textFill>
        </w:rPr>
        <w:t>章</w:t>
      </w:r>
      <w:r>
        <w:rPr>
          <w:rFonts w:hint="eastAsia" w:ascii="仿宋" w:hAnsi="仿宋" w:eastAsia="仿宋" w:cs="仿宋"/>
          <w:color w:val="000000" w:themeColor="text1"/>
          <w:highlight w:val="none"/>
          <w:lang w:eastAsia="zh-CN"/>
          <w14:textFill>
            <w14:solidFill>
              <w14:schemeClr w14:val="tx1"/>
            </w14:solidFill>
          </w14:textFill>
        </w:rPr>
        <w:t>）                     法定代表人：（</w:t>
      </w:r>
      <w:r>
        <w:rPr>
          <w:rFonts w:ascii="仿宋" w:hAnsi="仿宋" w:eastAsia="仿宋"/>
          <w:color w:val="000000" w:themeColor="text1"/>
          <w:highlight w:val="none"/>
          <w:lang w:eastAsia="zh-CN"/>
          <w14:textFill>
            <w14:solidFill>
              <w14:schemeClr w14:val="tx1"/>
            </w14:solidFill>
          </w14:textFill>
        </w:rPr>
        <w:t>签</w:t>
      </w:r>
      <w:r>
        <w:rPr>
          <w:rFonts w:hint="eastAsia" w:ascii="仿宋" w:hAnsi="仿宋" w:eastAsia="仿宋"/>
          <w:color w:val="000000" w:themeColor="text1"/>
          <w:highlight w:val="none"/>
          <w:lang w:eastAsia="zh-CN"/>
          <w14:textFill>
            <w14:solidFill>
              <w14:schemeClr w14:val="tx1"/>
            </w14:solidFill>
          </w14:textFill>
        </w:rPr>
        <w:t>章</w:t>
      </w:r>
      <w:r>
        <w:rPr>
          <w:rFonts w:hint="eastAsia" w:ascii="仿宋" w:hAnsi="仿宋" w:eastAsia="仿宋" w:cs="仿宋"/>
          <w:color w:val="000000" w:themeColor="text1"/>
          <w:highlight w:val="none"/>
          <w:lang w:eastAsia="zh-CN"/>
          <w14:textFill>
            <w14:solidFill>
              <w14:schemeClr w14:val="tx1"/>
            </w14:solidFill>
          </w14:textFill>
        </w:rPr>
        <w:t>）</w:t>
      </w:r>
    </w:p>
    <w:p w14:paraId="2ECA92E2">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联系电话：</w:t>
      </w:r>
    </w:p>
    <w:p w14:paraId="2C71B91A">
      <w:pPr>
        <w:spacing w:line="360" w:lineRule="auto"/>
        <w:ind w:firstLine="480" w:firstLineChars="200"/>
        <w:rPr>
          <w:rFonts w:ascii="仿宋" w:hAnsi="仿宋" w:eastAsia="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上级部门：（盖章）                       上级部门：（盖章）</w:t>
      </w:r>
    </w:p>
    <w:p w14:paraId="21D6DB7C">
      <w:pPr>
        <w:adjustRightInd w:val="0"/>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2025年  月 日                           2025年  月 日</w:t>
      </w:r>
    </w:p>
    <w:p w14:paraId="4AAEF0FF">
      <w:pPr>
        <w:adjustRightInd w:val="0"/>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p>
    <w:p w14:paraId="34605562">
      <w:pPr>
        <w:adjustRightInd w:val="0"/>
        <w:snapToGri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承 包 人：（盖章）                      承 包 人：（盖章）</w:t>
      </w:r>
    </w:p>
    <w:p w14:paraId="6EB855E8">
      <w:pPr>
        <w:adjustRightInd w:val="0"/>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p>
    <w:p w14:paraId="30C4A629">
      <w:pPr>
        <w:adjustRightInd w:val="0"/>
        <w:snapToGrid w:val="0"/>
        <w:spacing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法定代表人：（</w:t>
      </w:r>
      <w:r>
        <w:rPr>
          <w:rFonts w:ascii="仿宋" w:hAnsi="仿宋" w:eastAsia="仿宋"/>
          <w:color w:val="000000" w:themeColor="text1"/>
          <w:highlight w:val="none"/>
          <w:lang w:eastAsia="zh-CN"/>
          <w14:textFill>
            <w14:solidFill>
              <w14:schemeClr w14:val="tx1"/>
            </w14:solidFill>
          </w14:textFill>
        </w:rPr>
        <w:t>签</w:t>
      </w:r>
      <w:r>
        <w:rPr>
          <w:rFonts w:hint="eastAsia" w:ascii="仿宋" w:hAnsi="仿宋" w:eastAsia="仿宋"/>
          <w:color w:val="000000" w:themeColor="text1"/>
          <w:highlight w:val="none"/>
          <w:lang w:eastAsia="zh-CN"/>
          <w14:textFill>
            <w14:solidFill>
              <w14:schemeClr w14:val="tx1"/>
            </w14:solidFill>
          </w14:textFill>
        </w:rPr>
        <w:t>章</w:t>
      </w:r>
      <w:r>
        <w:rPr>
          <w:rFonts w:hint="eastAsia" w:ascii="仿宋" w:hAnsi="仿宋" w:eastAsia="仿宋" w:cs="仿宋"/>
          <w:color w:val="000000" w:themeColor="text1"/>
          <w:highlight w:val="none"/>
          <w:lang w:eastAsia="zh-CN"/>
          <w14:textFill>
            <w14:solidFill>
              <w14:schemeClr w14:val="tx1"/>
            </w14:solidFill>
          </w14:textFill>
        </w:rPr>
        <w:t>）                    法定代表人：（</w:t>
      </w:r>
      <w:r>
        <w:rPr>
          <w:rFonts w:ascii="仿宋" w:hAnsi="仿宋" w:eastAsia="仿宋"/>
          <w:color w:val="000000" w:themeColor="text1"/>
          <w:highlight w:val="none"/>
          <w:lang w:eastAsia="zh-CN"/>
          <w14:textFill>
            <w14:solidFill>
              <w14:schemeClr w14:val="tx1"/>
            </w14:solidFill>
          </w14:textFill>
        </w:rPr>
        <w:t>签</w:t>
      </w:r>
      <w:r>
        <w:rPr>
          <w:rFonts w:hint="eastAsia" w:ascii="仿宋" w:hAnsi="仿宋" w:eastAsia="仿宋"/>
          <w:color w:val="000000" w:themeColor="text1"/>
          <w:highlight w:val="none"/>
          <w:lang w:eastAsia="zh-CN"/>
          <w14:textFill>
            <w14:solidFill>
              <w14:schemeClr w14:val="tx1"/>
            </w14:solidFill>
          </w14:textFill>
        </w:rPr>
        <w:t>章</w:t>
      </w:r>
      <w:r>
        <w:rPr>
          <w:rFonts w:hint="eastAsia" w:ascii="仿宋" w:hAnsi="仿宋" w:eastAsia="仿宋" w:cs="仿宋"/>
          <w:color w:val="000000" w:themeColor="text1"/>
          <w:highlight w:val="none"/>
          <w:lang w:eastAsia="zh-CN"/>
          <w14:textFill>
            <w14:solidFill>
              <w14:schemeClr w14:val="tx1"/>
            </w14:solidFill>
          </w14:textFill>
        </w:rPr>
        <w:t>）</w:t>
      </w:r>
    </w:p>
    <w:p w14:paraId="0327368F">
      <w:pPr>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联系电话：                              联系电话：</w:t>
      </w:r>
    </w:p>
    <w:p w14:paraId="1264C041">
      <w:pPr>
        <w:adjustRightInd w:val="0"/>
        <w:snapToGrid w:val="0"/>
        <w:spacing w:line="360" w:lineRule="auto"/>
        <w:ind w:firstLine="480" w:firstLineChars="200"/>
        <w:rPr>
          <w:rFonts w:ascii="仿宋" w:hAnsi="仿宋" w:eastAsia="仿宋" w:cs="仿宋"/>
          <w:color w:val="000000" w:themeColor="text1"/>
          <w:highlight w:val="none"/>
          <w:u w:val="singl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上级部门：（盖章）                     上级部门：（盖章）</w:t>
      </w:r>
    </w:p>
    <w:p w14:paraId="3E3028DA">
      <w:pPr>
        <w:adjustRightInd w:val="0"/>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2025年  月 日                         2025年  月 日</w:t>
      </w:r>
    </w:p>
    <w:p w14:paraId="589BF641">
      <w:pPr>
        <w:adjustRightInd w:val="0"/>
        <w:snapToGrid w:val="0"/>
        <w:spacing w:line="360" w:lineRule="auto"/>
        <w:ind w:firstLine="480" w:firstLineChars="200"/>
        <w:rPr>
          <w:rFonts w:ascii="仿宋" w:hAnsi="仿宋" w:eastAsia="仿宋" w:cs="仿宋"/>
          <w:color w:val="000000" w:themeColor="text1"/>
          <w:highlight w:val="none"/>
          <w:lang w:eastAsia="zh-CN"/>
          <w14:textFill>
            <w14:solidFill>
              <w14:schemeClr w14:val="tx1"/>
            </w14:solidFill>
          </w14:textFill>
        </w:rPr>
      </w:pPr>
    </w:p>
    <w:p w14:paraId="72430B41">
      <w:pPr>
        <w:rPr>
          <w:rFonts w:ascii="仿宋" w:hAnsi="仿宋" w:eastAsia="仿宋" w:cs="仿宋"/>
          <w:b/>
          <w:bCs/>
          <w:color w:val="000000" w:themeColor="text1"/>
          <w:highlight w:val="none"/>
          <w:lang w:eastAsia="zh-CN"/>
          <w14:textFill>
            <w14:solidFill>
              <w14:schemeClr w14:val="tx1"/>
            </w14:solidFill>
          </w14:textFill>
        </w:rPr>
      </w:pPr>
      <w:bookmarkStart w:id="800" w:name="_Toc149731624"/>
      <w:bookmarkStart w:id="801" w:name="_Toc148188669"/>
      <w:r>
        <w:rPr>
          <w:rFonts w:hint="eastAsia" w:ascii="仿宋" w:hAnsi="仿宋" w:eastAsia="仿宋" w:cs="仿宋"/>
          <w:b/>
          <w:bCs/>
          <w:color w:val="000000" w:themeColor="text1"/>
          <w:highlight w:val="none"/>
          <w:lang w:eastAsia="zh-CN"/>
          <w14:textFill>
            <w14:solidFill>
              <w14:schemeClr w14:val="tx1"/>
            </w14:solidFill>
          </w14:textFill>
        </w:rPr>
        <w:br w:type="page"/>
      </w:r>
    </w:p>
    <w:p w14:paraId="1113AF2F">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802" w:name="_Toc11921"/>
      <w:r>
        <w:rPr>
          <w:rFonts w:hint="eastAsia" w:ascii="仿宋" w:hAnsi="仿宋" w:eastAsia="仿宋" w:cs="仿宋"/>
          <w:b/>
          <w:bCs/>
          <w:color w:val="000000" w:themeColor="text1"/>
          <w:highlight w:val="none"/>
          <w:lang w:eastAsia="zh-CN"/>
          <w14:textFill>
            <w14:solidFill>
              <w14:schemeClr w14:val="tx1"/>
            </w14:solidFill>
          </w14:textFill>
        </w:rPr>
        <w:t>附件六：中标通知书</w:t>
      </w:r>
      <w:bookmarkEnd w:id="800"/>
      <w:bookmarkEnd w:id="802"/>
    </w:p>
    <w:p w14:paraId="3B344736">
      <w:pPr>
        <w:rPr>
          <w:rFonts w:ascii="仿宋" w:hAnsi="仿宋" w:eastAsia="仿宋" w:cs="仿宋"/>
          <w:b/>
          <w:bCs/>
          <w:color w:val="000000" w:themeColor="text1"/>
          <w:highlight w:val="none"/>
          <w:lang w:eastAsia="zh-CN"/>
          <w14:textFill>
            <w14:solidFill>
              <w14:schemeClr w14:val="tx1"/>
            </w14:solidFill>
          </w14:textFill>
        </w:rPr>
      </w:pPr>
      <w:r>
        <w:rPr>
          <w:rFonts w:ascii="仿宋" w:hAnsi="仿宋" w:eastAsia="仿宋" w:cs="仿宋"/>
          <w:b/>
          <w:bCs/>
          <w:color w:val="000000" w:themeColor="text1"/>
          <w:highlight w:val="none"/>
          <w:lang w:eastAsia="zh-CN"/>
          <w14:textFill>
            <w14:solidFill>
              <w14:schemeClr w14:val="tx1"/>
            </w14:solidFill>
          </w14:textFill>
        </w:rPr>
        <w:br w:type="page"/>
      </w:r>
    </w:p>
    <w:p w14:paraId="5F9CB1BD">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803" w:name="_Toc29056"/>
      <w:bookmarkStart w:id="804" w:name="_Toc149731625"/>
      <w:r>
        <w:rPr>
          <w:rFonts w:hint="eastAsia" w:ascii="仿宋" w:hAnsi="仿宋" w:eastAsia="仿宋" w:cs="仿宋"/>
          <w:b/>
          <w:bCs/>
          <w:color w:val="000000" w:themeColor="text1"/>
          <w:highlight w:val="none"/>
          <w:lang w:eastAsia="zh-CN"/>
          <w14:textFill>
            <w14:solidFill>
              <w14:schemeClr w14:val="tx1"/>
            </w14:solidFill>
          </w14:textFill>
        </w:rPr>
        <w:t>附件七：工程总承包承诺书</w:t>
      </w:r>
      <w:bookmarkEnd w:id="801"/>
      <w:bookmarkEnd w:id="803"/>
      <w:bookmarkEnd w:id="804"/>
    </w:p>
    <w:p w14:paraId="195B98AC">
      <w:pPr>
        <w:rPr>
          <w:rFonts w:ascii="仿宋" w:hAnsi="仿宋" w:eastAsia="仿宋"/>
          <w:b/>
          <w:color w:val="000000" w:themeColor="text1"/>
          <w:highlight w:val="none"/>
          <w:lang w:eastAsia="zh-CN"/>
          <w14:textFill>
            <w14:solidFill>
              <w14:schemeClr w14:val="tx1"/>
            </w14:solidFill>
          </w14:textFill>
        </w:rPr>
      </w:pPr>
    </w:p>
    <w:p w14:paraId="69FCBF5F">
      <w:pPr>
        <w:spacing w:after="156"/>
        <w:jc w:val="center"/>
        <w:rPr>
          <w:rFonts w:ascii="仿宋" w:hAnsi="仿宋" w:eastAsia="仿宋"/>
          <w:b/>
          <w:bCs/>
          <w:color w:val="000000" w:themeColor="text1"/>
          <w:sz w:val="32"/>
          <w:szCs w:val="32"/>
          <w:highlight w:val="none"/>
          <w:lang w:eastAsia="zh-CN"/>
          <w14:textFill>
            <w14:solidFill>
              <w14:schemeClr w14:val="tx1"/>
            </w14:solidFill>
          </w14:textFill>
        </w:rPr>
      </w:pPr>
      <w:r>
        <w:rPr>
          <w:rFonts w:hint="eastAsia" w:ascii="仿宋" w:hAnsi="仿宋" w:eastAsia="仿宋"/>
          <w:b/>
          <w:bCs/>
          <w:color w:val="000000" w:themeColor="text1"/>
          <w:sz w:val="32"/>
          <w:szCs w:val="32"/>
          <w:highlight w:val="none"/>
          <w:lang w:eastAsia="zh-CN"/>
          <w14:textFill>
            <w14:solidFill>
              <w14:schemeClr w14:val="tx1"/>
            </w14:solidFill>
          </w14:textFill>
        </w:rPr>
        <w:t>集中采购承诺书</w:t>
      </w:r>
    </w:p>
    <w:p w14:paraId="204684E4">
      <w:pPr>
        <w:spacing w:before="120" w:beforeLines="50" w:after="156"/>
        <w:ind w:firstLine="482"/>
        <w:rPr>
          <w:rFonts w:ascii="仿宋" w:hAnsi="仿宋" w:eastAsia="仿宋"/>
          <w:b/>
          <w:bCs/>
          <w:color w:val="000000" w:themeColor="text1"/>
          <w:szCs w:val="28"/>
          <w:highlight w:val="none"/>
          <w:lang w:eastAsia="zh-CN"/>
          <w14:textFill>
            <w14:solidFill>
              <w14:schemeClr w14:val="tx1"/>
            </w14:solidFill>
          </w14:textFill>
        </w:rPr>
      </w:pPr>
    </w:p>
    <w:p w14:paraId="4C64EF73">
      <w:pPr>
        <w:spacing w:before="120" w:line="360" w:lineRule="auto"/>
        <w:ind w:firstLine="482"/>
        <w:rPr>
          <w:rFonts w:ascii="仿宋" w:hAnsi="仿宋" w:eastAsia="仿宋"/>
          <w:b/>
          <w:bCs/>
          <w:color w:val="000000" w:themeColor="text1"/>
          <w:szCs w:val="28"/>
          <w:highlight w:val="none"/>
          <w:lang w:eastAsia="zh-CN"/>
          <w14:textFill>
            <w14:solidFill>
              <w14:schemeClr w14:val="tx1"/>
            </w14:solidFill>
          </w14:textFill>
        </w:rPr>
      </w:pPr>
      <w:r>
        <w:rPr>
          <w:rFonts w:hint="eastAsia" w:ascii="仿宋" w:hAnsi="仿宋" w:eastAsia="仿宋"/>
          <w:b/>
          <w:bCs/>
          <w:color w:val="000000" w:themeColor="text1"/>
          <w:szCs w:val="28"/>
          <w:highlight w:val="none"/>
          <w:lang w:eastAsia="zh-CN"/>
          <w14:textFill>
            <w14:solidFill>
              <w14:schemeClr w14:val="tx1"/>
            </w14:solidFill>
          </w14:textFill>
        </w:rPr>
        <w:t>致：广州新中轴海珠片区城市更新有限公司</w:t>
      </w:r>
    </w:p>
    <w:p w14:paraId="5742F9B3">
      <w:pPr>
        <w:pStyle w:val="2"/>
        <w:widowControl w:val="0"/>
        <w:spacing w:after="0" w:line="360" w:lineRule="auto"/>
        <w:ind w:firstLine="480" w:firstLineChars="200"/>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我司已充分阅读了招标文件及合同条款，并充分了解本工程将作为我市建筑业高质量发展理念的重要载体，保证按照规范、合同条款要求进行施工并积极配合本工程高质量发展的要求，我司承诺：</w:t>
      </w:r>
    </w:p>
    <w:p w14:paraId="3F722996">
      <w:pPr>
        <w:pStyle w:val="2"/>
        <w:widowControl w:val="0"/>
        <w:numPr>
          <w:ilvl w:val="0"/>
          <w:numId w:val="42"/>
        </w:numPr>
        <w:spacing w:after="0" w:line="360" w:lineRule="auto"/>
        <w:ind w:left="482"/>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在工程施工过程中，根据工程的具体情况，从有利于保证工程质量、进度和投资控制角度考虑，发包人有权对相应材料设备进行集中采购，我司承诺无条件接受并配合。</w:t>
      </w:r>
    </w:p>
    <w:p w14:paraId="19B22601">
      <w:pPr>
        <w:pStyle w:val="2"/>
        <w:widowControl w:val="0"/>
        <w:numPr>
          <w:ilvl w:val="0"/>
          <w:numId w:val="42"/>
        </w:numPr>
        <w:spacing w:after="0" w:line="360" w:lineRule="auto"/>
        <w:ind w:left="482"/>
        <w:jc w:val="both"/>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无条件接受发包人、监理的检查、考核。</w:t>
      </w:r>
    </w:p>
    <w:p w14:paraId="6268A4EA">
      <w:pPr>
        <w:pStyle w:val="2"/>
        <w:widowControl w:val="0"/>
        <w:spacing w:after="0" w:line="360" w:lineRule="auto"/>
        <w:ind w:firstLine="480" w:firstLineChars="200"/>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若未能实现上述承诺，在收到书面通知后，</w:t>
      </w:r>
      <w:r>
        <w:rPr>
          <w:rFonts w:ascii="仿宋" w:hAnsi="仿宋" w:eastAsia="仿宋"/>
          <w:color w:val="000000" w:themeColor="text1"/>
          <w:highlight w:val="none"/>
          <w:lang w:eastAsia="zh-CN"/>
          <w14:textFill>
            <w14:solidFill>
              <w14:schemeClr w14:val="tx1"/>
            </w14:solidFill>
          </w14:textFill>
        </w:rPr>
        <w:t>2天内整改并征得发包人批复同意。</w:t>
      </w:r>
    </w:p>
    <w:p w14:paraId="638B99D2">
      <w:pPr>
        <w:spacing w:line="360" w:lineRule="auto"/>
        <w:jc w:val="center"/>
        <w:rPr>
          <w:rFonts w:ascii="仿宋" w:hAnsi="仿宋" w:eastAsia="仿宋"/>
          <w:color w:val="000000" w:themeColor="text1"/>
          <w:highlight w:val="none"/>
          <w:lang w:eastAsia="zh-CN"/>
          <w14:textFill>
            <w14:solidFill>
              <w14:schemeClr w14:val="tx1"/>
            </w14:solidFill>
          </w14:textFill>
        </w:rPr>
      </w:pPr>
    </w:p>
    <w:p w14:paraId="7D98EDF1">
      <w:pPr>
        <w:spacing w:line="360" w:lineRule="auto"/>
        <w:jc w:val="cente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单位名称（盖公章）：    </w:t>
      </w:r>
    </w:p>
    <w:p w14:paraId="6EED42E4">
      <w:pPr>
        <w:spacing w:line="360" w:lineRule="auto"/>
        <w:jc w:val="cente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法定代表人（签</w:t>
      </w:r>
      <w:r>
        <w:rPr>
          <w:rFonts w:hint="eastAsia" w:ascii="仿宋" w:hAnsi="仿宋" w:eastAsia="仿宋"/>
          <w:color w:val="000000" w:themeColor="text1"/>
          <w:highlight w:val="none"/>
          <w:lang w:eastAsia="zh-CN"/>
          <w14:textFill>
            <w14:solidFill>
              <w14:schemeClr w14:val="tx1"/>
            </w14:solidFill>
          </w14:textFill>
        </w:rPr>
        <w:t>章</w:t>
      </w:r>
      <w:r>
        <w:rPr>
          <w:rFonts w:ascii="仿宋" w:hAnsi="仿宋" w:eastAsia="仿宋"/>
          <w:color w:val="000000" w:themeColor="text1"/>
          <w:highlight w:val="none"/>
          <w:lang w:eastAsia="zh-CN"/>
          <w14:textFill>
            <w14:solidFill>
              <w14:schemeClr w14:val="tx1"/>
            </w14:solidFill>
          </w14:textFill>
        </w:rPr>
        <w:t xml:space="preserve">）：    </w:t>
      </w:r>
    </w:p>
    <w:p w14:paraId="1F2C06E9">
      <w:pPr>
        <w:spacing w:line="360" w:lineRule="auto"/>
        <w:jc w:val="cente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日期：   年   月   日</w:t>
      </w:r>
    </w:p>
    <w:p w14:paraId="7711E9A4">
      <w:pPr>
        <w:spacing w:line="360" w:lineRule="auto"/>
        <w:ind w:firstLine="1440" w:firstLineChars="600"/>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w:t>
      </w:r>
    </w:p>
    <w:p w14:paraId="053D1FFC">
      <w:pPr>
        <w:spacing w:line="360" w:lineRule="auto"/>
        <w:ind w:firstLine="1440" w:firstLineChars="600"/>
        <w:rPr>
          <w:rFonts w:ascii="仿宋" w:hAnsi="仿宋" w:eastAsia="仿宋"/>
          <w:color w:val="000000" w:themeColor="text1"/>
          <w:highlight w:val="none"/>
          <w:lang w:eastAsia="zh-CN"/>
          <w14:textFill>
            <w14:solidFill>
              <w14:schemeClr w14:val="tx1"/>
            </w14:solidFill>
          </w14:textFill>
        </w:rPr>
      </w:pPr>
    </w:p>
    <w:p w14:paraId="1500AD23">
      <w:pPr>
        <w:spacing w:line="360" w:lineRule="auto"/>
        <w:jc w:val="cente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t xml:space="preserve">              日期：</w:t>
      </w:r>
      <w:r>
        <w:rPr>
          <w:rFonts w:hint="eastAsia" w:ascii="仿宋" w:hAnsi="仿宋" w:eastAsia="仿宋"/>
          <w:color w:val="000000" w:themeColor="text1"/>
          <w:highlight w:val="none"/>
          <w:lang w:eastAsia="zh-CN"/>
          <w14:textFill>
            <w14:solidFill>
              <w14:schemeClr w14:val="tx1"/>
            </w14:solidFill>
          </w14:textFill>
        </w:rPr>
        <w:t>2025</w:t>
      </w:r>
      <w:r>
        <w:rPr>
          <w:rFonts w:ascii="仿宋" w:hAnsi="仿宋" w:eastAsia="仿宋"/>
          <w:color w:val="000000" w:themeColor="text1"/>
          <w:highlight w:val="none"/>
          <w:lang w:eastAsia="zh-CN"/>
          <w14:textFill>
            <w14:solidFill>
              <w14:schemeClr w14:val="tx1"/>
            </w14:solidFill>
          </w14:textFill>
        </w:rPr>
        <w:t>年   月   日</w:t>
      </w:r>
    </w:p>
    <w:p w14:paraId="55FEE018">
      <w:pPr>
        <w:tabs>
          <w:tab w:val="left" w:pos="360"/>
        </w:tabs>
        <w:spacing w:after="156"/>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br w:type="page"/>
      </w:r>
    </w:p>
    <w:p w14:paraId="2DE7E464">
      <w:pPr>
        <w:spacing w:after="156" w:line="360" w:lineRule="auto"/>
        <w:outlineLvl w:val="1"/>
        <w:rPr>
          <w:rFonts w:ascii="仿宋" w:hAnsi="仿宋" w:eastAsia="仿宋" w:cs="仿宋"/>
          <w:b/>
          <w:snapToGrid w:val="0"/>
          <w:color w:val="000000" w:themeColor="text1"/>
          <w:highlight w:val="none"/>
          <w:lang w:eastAsia="zh-CN"/>
          <w14:textFill>
            <w14:solidFill>
              <w14:schemeClr w14:val="tx1"/>
            </w14:solidFill>
          </w14:textFill>
        </w:rPr>
      </w:pPr>
      <w:bookmarkStart w:id="805" w:name="_Toc148188675"/>
      <w:bookmarkStart w:id="806" w:name="_Toc149731626"/>
      <w:bookmarkStart w:id="807" w:name="_Toc16174"/>
      <w:r>
        <w:rPr>
          <w:rFonts w:hint="eastAsia" w:ascii="仿宋" w:hAnsi="仿宋" w:eastAsia="仿宋" w:cs="仿宋"/>
          <w:b/>
          <w:bCs/>
          <w:snapToGrid w:val="0"/>
          <w:color w:val="000000" w:themeColor="text1"/>
          <w:highlight w:val="none"/>
          <w:lang w:eastAsia="zh-CN"/>
          <w14:textFill>
            <w14:solidFill>
              <w14:schemeClr w14:val="tx1"/>
            </w14:solidFill>
          </w14:textFill>
        </w:rPr>
        <w:t>附件八：设计工作考核评分表</w:t>
      </w:r>
      <w:bookmarkEnd w:id="805"/>
      <w:bookmarkEnd w:id="806"/>
      <w:bookmarkEnd w:id="807"/>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2376"/>
        <w:gridCol w:w="709"/>
        <w:gridCol w:w="3435"/>
        <w:gridCol w:w="992"/>
        <w:gridCol w:w="931"/>
      </w:tblGrid>
      <w:tr w14:paraId="1ED5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12" w:space="0"/>
              <w:left w:val="single" w:color="auto" w:sz="12" w:space="0"/>
              <w:bottom w:val="single" w:color="auto" w:sz="4" w:space="0"/>
              <w:right w:val="single" w:color="auto" w:sz="4" w:space="0"/>
            </w:tcBorders>
            <w:vAlign w:val="center"/>
          </w:tcPr>
          <w:p w14:paraId="3431AAD8">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序号</w:t>
            </w:r>
          </w:p>
        </w:tc>
        <w:tc>
          <w:tcPr>
            <w:tcW w:w="636" w:type="dxa"/>
            <w:tcBorders>
              <w:top w:val="single" w:color="auto" w:sz="12" w:space="0"/>
              <w:left w:val="single" w:color="auto" w:sz="4" w:space="0"/>
              <w:bottom w:val="single" w:color="auto" w:sz="4" w:space="0"/>
              <w:right w:val="single" w:color="auto" w:sz="4" w:space="0"/>
            </w:tcBorders>
            <w:vAlign w:val="center"/>
          </w:tcPr>
          <w:p w14:paraId="7073E420">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评分项目</w:t>
            </w:r>
          </w:p>
        </w:tc>
        <w:tc>
          <w:tcPr>
            <w:tcW w:w="2376" w:type="dxa"/>
            <w:tcBorders>
              <w:top w:val="single" w:color="auto" w:sz="12" w:space="0"/>
              <w:left w:val="single" w:color="auto" w:sz="4" w:space="0"/>
              <w:bottom w:val="single" w:color="auto" w:sz="4" w:space="0"/>
              <w:right w:val="single" w:color="auto" w:sz="4" w:space="0"/>
            </w:tcBorders>
            <w:vAlign w:val="center"/>
          </w:tcPr>
          <w:p w14:paraId="2903A0A7">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考核内容</w:t>
            </w:r>
          </w:p>
        </w:tc>
        <w:tc>
          <w:tcPr>
            <w:tcW w:w="709" w:type="dxa"/>
            <w:tcBorders>
              <w:top w:val="single" w:color="auto" w:sz="12" w:space="0"/>
              <w:left w:val="single" w:color="auto" w:sz="4" w:space="0"/>
              <w:bottom w:val="nil"/>
              <w:right w:val="single" w:color="auto" w:sz="4" w:space="0"/>
            </w:tcBorders>
            <w:vAlign w:val="center"/>
          </w:tcPr>
          <w:p w14:paraId="0B36F86B">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分值</w:t>
            </w:r>
          </w:p>
        </w:tc>
        <w:tc>
          <w:tcPr>
            <w:tcW w:w="3435" w:type="dxa"/>
            <w:tcBorders>
              <w:top w:val="single" w:color="auto" w:sz="12" w:space="0"/>
              <w:left w:val="single" w:color="auto" w:sz="4" w:space="0"/>
              <w:bottom w:val="nil"/>
              <w:right w:val="single" w:color="auto" w:sz="4" w:space="0"/>
            </w:tcBorders>
            <w:vAlign w:val="center"/>
          </w:tcPr>
          <w:p w14:paraId="56E4DADD">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考核评分标准</w:t>
            </w:r>
          </w:p>
        </w:tc>
        <w:tc>
          <w:tcPr>
            <w:tcW w:w="992" w:type="dxa"/>
            <w:tcBorders>
              <w:top w:val="single" w:color="auto" w:sz="12" w:space="0"/>
              <w:left w:val="single" w:color="auto" w:sz="4" w:space="0"/>
              <w:bottom w:val="nil"/>
              <w:right w:val="single" w:color="auto" w:sz="4" w:space="0"/>
            </w:tcBorders>
            <w:vAlign w:val="center"/>
          </w:tcPr>
          <w:p w14:paraId="24AD40C1">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自评得分及说明</w:t>
            </w:r>
          </w:p>
        </w:tc>
        <w:tc>
          <w:tcPr>
            <w:tcW w:w="931" w:type="dxa"/>
            <w:tcBorders>
              <w:top w:val="single" w:color="auto" w:sz="12" w:space="0"/>
              <w:left w:val="single" w:color="auto" w:sz="4" w:space="0"/>
              <w:bottom w:val="single" w:color="auto" w:sz="4" w:space="0"/>
              <w:right w:val="single" w:color="auto" w:sz="12" w:space="0"/>
            </w:tcBorders>
            <w:vAlign w:val="center"/>
          </w:tcPr>
          <w:p w14:paraId="2599F83E">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考核小组评分</w:t>
            </w:r>
          </w:p>
        </w:tc>
      </w:tr>
      <w:tr w14:paraId="4C03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72DEAB75">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1</w:t>
            </w:r>
          </w:p>
        </w:tc>
        <w:tc>
          <w:tcPr>
            <w:tcW w:w="636" w:type="dxa"/>
            <w:tcBorders>
              <w:top w:val="single" w:color="auto" w:sz="4" w:space="0"/>
              <w:left w:val="single" w:color="auto" w:sz="4" w:space="0"/>
              <w:bottom w:val="single" w:color="auto" w:sz="4" w:space="0"/>
              <w:right w:val="single" w:color="auto" w:sz="4" w:space="0"/>
            </w:tcBorders>
            <w:vAlign w:val="center"/>
          </w:tcPr>
          <w:p w14:paraId="6364A442">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设计进度控制</w:t>
            </w:r>
          </w:p>
        </w:tc>
        <w:tc>
          <w:tcPr>
            <w:tcW w:w="2376" w:type="dxa"/>
            <w:tcBorders>
              <w:top w:val="single" w:color="auto" w:sz="4" w:space="0"/>
              <w:left w:val="single" w:color="auto" w:sz="4" w:space="0"/>
              <w:bottom w:val="single" w:color="auto" w:sz="4" w:space="0"/>
              <w:right w:val="single" w:color="auto" w:sz="4" w:space="0"/>
            </w:tcBorders>
          </w:tcPr>
          <w:p w14:paraId="26FE6274">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认真执行公司年度下达的工期计划及设计管理部安排的合同范围内的其它任务，制定详细的设计分解工期计划安排；按时提交设计成果文件；及时汇报设计情况，每月提交设计完成情况专题报告。</w:t>
            </w:r>
          </w:p>
        </w:tc>
        <w:tc>
          <w:tcPr>
            <w:tcW w:w="709" w:type="dxa"/>
            <w:tcBorders>
              <w:top w:val="single" w:color="auto" w:sz="4" w:space="0"/>
              <w:left w:val="single" w:color="auto" w:sz="4" w:space="0"/>
              <w:bottom w:val="single" w:color="auto" w:sz="4" w:space="0"/>
              <w:right w:val="single" w:color="auto" w:sz="4" w:space="0"/>
            </w:tcBorders>
          </w:tcPr>
          <w:p w14:paraId="0813B3E4">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76E8EAB2">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6080A9B2">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20</w:t>
            </w:r>
          </w:p>
          <w:p w14:paraId="42FAF565">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p w14:paraId="30A4F477">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4" w:space="0"/>
              <w:left w:val="single" w:color="auto" w:sz="4" w:space="0"/>
              <w:bottom w:val="single" w:color="auto" w:sz="4" w:space="0"/>
              <w:right w:val="single" w:color="auto" w:sz="4" w:space="0"/>
            </w:tcBorders>
          </w:tcPr>
          <w:p w14:paraId="43434BBA">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一个关键节点达不到目标工期，每滞后</w:t>
            </w:r>
            <w:r>
              <w:rPr>
                <w:rFonts w:ascii="仿宋" w:hAnsi="仿宋" w:eastAsia="仿宋"/>
                <w:color w:val="000000" w:themeColor="text1"/>
                <w:sz w:val="18"/>
                <w:szCs w:val="18"/>
                <w:highlight w:val="none"/>
                <w:lang w:eastAsia="zh-CN"/>
                <w14:textFill>
                  <w14:solidFill>
                    <w14:schemeClr w14:val="tx1"/>
                  </w14:solidFill>
                </w14:textFill>
              </w:rPr>
              <w:t>1天扣1分，</w:t>
            </w:r>
            <w:r>
              <w:rPr>
                <w:rFonts w:hint="eastAsia" w:ascii="仿宋" w:hAnsi="仿宋" w:eastAsia="仿宋"/>
                <w:color w:val="000000" w:themeColor="text1"/>
                <w:sz w:val="18"/>
                <w:szCs w:val="18"/>
                <w:highlight w:val="none"/>
                <w:lang w:eastAsia="zh-CN"/>
                <w14:textFill>
                  <w14:solidFill>
                    <w14:schemeClr w14:val="tx1"/>
                  </w14:solidFill>
                </w14:textFill>
              </w:rPr>
              <w:t>每关键节点拖延最多扣</w:t>
            </w:r>
            <w:r>
              <w:rPr>
                <w:rFonts w:ascii="仿宋" w:hAnsi="仿宋" w:eastAsia="仿宋"/>
                <w:color w:val="000000" w:themeColor="text1"/>
                <w:sz w:val="18"/>
                <w:szCs w:val="18"/>
                <w:highlight w:val="none"/>
                <w:lang w:eastAsia="zh-CN"/>
                <w14:textFill>
                  <w14:solidFill>
                    <w14:schemeClr w14:val="tx1"/>
                  </w14:solidFill>
                </w14:textFill>
              </w:rPr>
              <w:t>20分；分解工期计划不详细扣2分；不按时提交设计成果文件和专题报告每项扣5分；委托人对口管理专业工程师反映不满足要求，经确认属实的每次扣2分。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07BCF7E3">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12" w:space="0"/>
            </w:tcBorders>
          </w:tcPr>
          <w:p w14:paraId="777E86B8">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r>
      <w:tr w14:paraId="27F2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3264EC62">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2</w:t>
            </w:r>
          </w:p>
        </w:tc>
        <w:tc>
          <w:tcPr>
            <w:tcW w:w="636" w:type="dxa"/>
            <w:tcBorders>
              <w:top w:val="single" w:color="auto" w:sz="4" w:space="0"/>
              <w:left w:val="single" w:color="auto" w:sz="4" w:space="0"/>
              <w:bottom w:val="single" w:color="auto" w:sz="4" w:space="0"/>
              <w:right w:val="single" w:color="auto" w:sz="4" w:space="0"/>
            </w:tcBorders>
            <w:vAlign w:val="center"/>
          </w:tcPr>
          <w:p w14:paraId="64CD3794">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设计质量控制</w:t>
            </w:r>
          </w:p>
          <w:p w14:paraId="2FDA09A6">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2376" w:type="dxa"/>
            <w:tcBorders>
              <w:top w:val="single" w:color="auto" w:sz="4" w:space="0"/>
              <w:left w:val="single" w:color="auto" w:sz="4" w:space="0"/>
              <w:bottom w:val="single" w:color="auto" w:sz="4" w:space="0"/>
              <w:right w:val="single" w:color="auto" w:sz="4" w:space="0"/>
            </w:tcBorders>
          </w:tcPr>
          <w:p w14:paraId="5AB0F9D3">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color="auto" w:sz="4" w:space="0"/>
              <w:left w:val="single" w:color="auto" w:sz="4" w:space="0"/>
              <w:bottom w:val="single" w:color="auto" w:sz="4" w:space="0"/>
              <w:right w:val="single" w:color="auto" w:sz="4" w:space="0"/>
            </w:tcBorders>
          </w:tcPr>
          <w:p w14:paraId="526CE94B">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373ED3B0">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004BE0EE">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20</w:t>
            </w:r>
          </w:p>
          <w:p w14:paraId="7A00C3B4">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p w14:paraId="0A60C7E8">
            <w:pPr>
              <w:spacing w:after="156" w:line="240" w:lineRule="exact"/>
              <w:ind w:firstLine="360"/>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4" w:space="0"/>
              <w:left w:val="single" w:color="auto" w:sz="4" w:space="0"/>
              <w:bottom w:val="single" w:color="auto" w:sz="4" w:space="0"/>
              <w:right w:val="single" w:color="auto" w:sz="4" w:space="0"/>
            </w:tcBorders>
          </w:tcPr>
          <w:p w14:paraId="3DE1C65B">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因设计失误、漏项、接口处理不当或违反强制性规范造成设计返工、工期延误，每次扣</w:t>
            </w:r>
            <w:r>
              <w:rPr>
                <w:rFonts w:ascii="仿宋" w:hAnsi="仿宋" w:eastAsia="仿宋"/>
                <w:color w:val="000000" w:themeColor="text1"/>
                <w:sz w:val="18"/>
                <w:szCs w:val="18"/>
                <w:highlight w:val="none"/>
                <w:lang w:eastAsia="zh-CN"/>
                <w14:textFill>
                  <w14:solidFill>
                    <w14:schemeClr w14:val="tx1"/>
                  </w14:solidFill>
                </w14:textFill>
              </w:rPr>
              <w:t>2</w:t>
            </w:r>
            <w:r>
              <w:rPr>
                <w:rFonts w:hint="eastAsia" w:ascii="仿宋" w:hAnsi="仿宋" w:eastAsia="仿宋"/>
                <w:color w:val="000000" w:themeColor="text1"/>
                <w:sz w:val="18"/>
                <w:szCs w:val="18"/>
                <w:highlight w:val="none"/>
                <w:lang w:eastAsia="zh-CN"/>
                <w14:textFill>
                  <w14:solidFill>
                    <w14:schemeClr w14:val="tx1"/>
                  </w14:solidFill>
                </w14:textFill>
              </w:rPr>
              <w:t>～</w:t>
            </w:r>
            <w:r>
              <w:rPr>
                <w:rFonts w:ascii="仿宋" w:hAnsi="仿宋" w:eastAsia="仿宋"/>
                <w:color w:val="000000" w:themeColor="text1"/>
                <w:sz w:val="18"/>
                <w:szCs w:val="18"/>
                <w:highlight w:val="none"/>
                <w:lang w:eastAsia="zh-CN"/>
                <w14:textFill>
                  <w14:solidFill>
                    <w14:schemeClr w14:val="tx1"/>
                  </w14:solidFill>
                </w14:textFill>
              </w:rPr>
              <w:t>5分；委托人审查时发现设计质量低劣，属总体设计审查把关原因的，</w:t>
            </w:r>
            <w:r>
              <w:rPr>
                <w:rFonts w:hint="eastAsia" w:ascii="仿宋" w:hAnsi="仿宋" w:eastAsia="仿宋"/>
                <w:color w:val="000000" w:themeColor="text1"/>
                <w:sz w:val="18"/>
                <w:szCs w:val="18"/>
                <w:highlight w:val="none"/>
                <w:lang w:eastAsia="zh-CN"/>
                <w14:textFill>
                  <w14:solidFill>
                    <w14:schemeClr w14:val="tx1"/>
                  </w14:solidFill>
                </w14:textFill>
              </w:rPr>
              <w:t>视严重程度扣</w:t>
            </w:r>
            <w:r>
              <w:rPr>
                <w:rFonts w:ascii="仿宋" w:hAnsi="仿宋" w:eastAsia="仿宋"/>
                <w:color w:val="000000" w:themeColor="text1"/>
                <w:sz w:val="18"/>
                <w:szCs w:val="18"/>
                <w:highlight w:val="none"/>
                <w:lang w:eastAsia="zh-CN"/>
                <w14:textFill>
                  <w14:solidFill>
                    <w14:schemeClr w14:val="tx1"/>
                  </w14:solidFill>
                </w14:textFill>
              </w:rPr>
              <w:t>5</w:t>
            </w:r>
            <w:r>
              <w:rPr>
                <w:rFonts w:hint="eastAsia" w:ascii="仿宋" w:hAnsi="仿宋" w:eastAsia="仿宋"/>
                <w:color w:val="000000" w:themeColor="text1"/>
                <w:sz w:val="18"/>
                <w:szCs w:val="18"/>
                <w:highlight w:val="none"/>
                <w:lang w:eastAsia="zh-CN"/>
                <w14:textFill>
                  <w14:solidFill>
                    <w14:schemeClr w14:val="tx1"/>
                  </w14:solidFill>
                </w14:textFill>
              </w:rPr>
              <w:t>～</w:t>
            </w:r>
            <w:r>
              <w:rPr>
                <w:rFonts w:ascii="仿宋" w:hAnsi="仿宋" w:eastAsia="仿宋"/>
                <w:color w:val="000000" w:themeColor="text1"/>
                <w:sz w:val="18"/>
                <w:szCs w:val="18"/>
                <w:highlight w:val="none"/>
                <w:lang w:eastAsia="zh-CN"/>
                <w14:textFill>
                  <w14:solidFill>
                    <w14:schemeClr w14:val="tx1"/>
                  </w14:solidFill>
                </w14:textFill>
              </w:rPr>
              <w:t>10分。对设计问题</w:t>
            </w:r>
            <w:r>
              <w:rPr>
                <w:rFonts w:hint="eastAsia" w:ascii="仿宋" w:hAnsi="仿宋" w:eastAsia="仿宋"/>
                <w:color w:val="000000" w:themeColor="text1"/>
                <w:sz w:val="18"/>
                <w:szCs w:val="18"/>
                <w:highlight w:val="none"/>
                <w:lang w:eastAsia="zh-CN"/>
                <w14:textFill>
                  <w14:solidFill>
                    <w14:schemeClr w14:val="tx1"/>
                  </w14:solidFill>
                </w14:textFill>
              </w:rPr>
              <w:t>未总结的扣</w:t>
            </w:r>
            <w:r>
              <w:rPr>
                <w:rFonts w:ascii="仿宋" w:hAnsi="仿宋" w:eastAsia="仿宋"/>
                <w:color w:val="000000" w:themeColor="text1"/>
                <w:sz w:val="18"/>
                <w:szCs w:val="18"/>
                <w:highlight w:val="none"/>
                <w:lang w:eastAsia="zh-CN"/>
                <w14:textFill>
                  <w14:solidFill>
                    <w14:schemeClr w14:val="tx1"/>
                  </w14:solidFill>
                </w14:textFill>
              </w:rPr>
              <w:t>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198357F2">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12" w:space="0"/>
            </w:tcBorders>
          </w:tcPr>
          <w:p w14:paraId="5ED18BF2">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r>
      <w:tr w14:paraId="413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268BECB">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3</w:t>
            </w:r>
          </w:p>
        </w:tc>
        <w:tc>
          <w:tcPr>
            <w:tcW w:w="636" w:type="dxa"/>
            <w:tcBorders>
              <w:top w:val="single" w:color="auto" w:sz="4" w:space="0"/>
              <w:left w:val="single" w:color="auto" w:sz="4" w:space="0"/>
              <w:bottom w:val="single" w:color="auto" w:sz="4" w:space="0"/>
              <w:right w:val="single" w:color="auto" w:sz="4" w:space="0"/>
            </w:tcBorders>
            <w:vAlign w:val="center"/>
          </w:tcPr>
          <w:p w14:paraId="276C461E">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投资控制</w:t>
            </w:r>
          </w:p>
        </w:tc>
        <w:tc>
          <w:tcPr>
            <w:tcW w:w="2376" w:type="dxa"/>
            <w:tcBorders>
              <w:top w:val="single" w:color="auto" w:sz="4" w:space="0"/>
              <w:left w:val="single" w:color="auto" w:sz="4" w:space="0"/>
              <w:bottom w:val="single" w:color="auto" w:sz="4" w:space="0"/>
              <w:right w:val="single" w:color="auto" w:sz="4" w:space="0"/>
            </w:tcBorders>
          </w:tcPr>
          <w:p w14:paraId="7FCAB49A">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color="auto" w:sz="2" w:space="0"/>
              <w:left w:val="single" w:color="auto" w:sz="4" w:space="0"/>
              <w:bottom w:val="single" w:color="auto" w:sz="4" w:space="0"/>
              <w:right w:val="single" w:color="auto" w:sz="4" w:space="0"/>
            </w:tcBorders>
          </w:tcPr>
          <w:p w14:paraId="1E7F71A2">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1A3706BB">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4C09F439">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20</w:t>
            </w:r>
          </w:p>
          <w:p w14:paraId="34EB02B4">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p w14:paraId="36D37E9F">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2" w:space="0"/>
              <w:left w:val="single" w:color="auto" w:sz="4" w:space="0"/>
              <w:bottom w:val="single" w:color="auto" w:sz="4" w:space="0"/>
              <w:right w:val="single" w:color="auto" w:sz="4" w:space="0"/>
            </w:tcBorders>
          </w:tcPr>
          <w:p w14:paraId="6AAD5B52">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投资控制目标突破概算，不能说明其充足理由的，每项扣</w:t>
            </w:r>
            <w:r>
              <w:rPr>
                <w:rFonts w:ascii="仿宋" w:hAnsi="仿宋" w:eastAsia="仿宋"/>
                <w:color w:val="000000" w:themeColor="text1"/>
                <w:sz w:val="18"/>
                <w:szCs w:val="18"/>
                <w:highlight w:val="none"/>
                <w:lang w:eastAsia="zh-CN"/>
                <w14:textFill>
                  <w14:solidFill>
                    <w14:schemeClr w14:val="tx1"/>
                  </w14:solidFill>
                </w14:textFill>
              </w:rPr>
              <w:t>8分；施工图设计单项预算与初步设计单项概算出现增加的，</w:t>
            </w:r>
            <w:r>
              <w:rPr>
                <w:rFonts w:hint="eastAsia" w:ascii="仿宋" w:hAnsi="仿宋" w:eastAsia="仿宋"/>
                <w:color w:val="000000" w:themeColor="text1"/>
                <w:sz w:val="18"/>
                <w:szCs w:val="18"/>
                <w:highlight w:val="none"/>
                <w:lang w:eastAsia="zh-CN"/>
                <w14:textFill>
                  <w14:solidFill>
                    <w14:schemeClr w14:val="tx1"/>
                  </w14:solidFill>
                </w14:textFill>
              </w:rPr>
              <w:t>属设计原因的，每项扣</w:t>
            </w:r>
            <w:r>
              <w:rPr>
                <w:rFonts w:ascii="仿宋" w:hAnsi="仿宋" w:eastAsia="仿宋"/>
                <w:color w:val="000000" w:themeColor="text1"/>
                <w:sz w:val="18"/>
                <w:szCs w:val="18"/>
                <w:highlight w:val="none"/>
                <w:lang w:eastAsia="zh-CN"/>
                <w14:textFill>
                  <w14:solidFill>
                    <w14:schemeClr w14:val="tx1"/>
                  </w14:solidFill>
                </w14:textFill>
              </w:rPr>
              <w:t>5分；因设计失误、漏项、接口处理不当等原因造成设计变更的，每次扣2分；委托人对口管理专业工程师反映不满足要求，经确认属实的每次扣1分。</w:t>
            </w:r>
          </w:p>
        </w:tc>
        <w:tc>
          <w:tcPr>
            <w:tcW w:w="992" w:type="dxa"/>
            <w:tcBorders>
              <w:top w:val="single" w:color="auto" w:sz="2" w:space="0"/>
              <w:left w:val="single" w:color="auto" w:sz="4" w:space="0"/>
              <w:bottom w:val="single" w:color="auto" w:sz="4" w:space="0"/>
              <w:right w:val="single" w:color="auto" w:sz="4" w:space="0"/>
            </w:tcBorders>
          </w:tcPr>
          <w:p w14:paraId="17955686">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12" w:space="0"/>
            </w:tcBorders>
          </w:tcPr>
          <w:p w14:paraId="5724FE36">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r>
      <w:tr w14:paraId="4427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4E2211DF">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4</w:t>
            </w:r>
          </w:p>
        </w:tc>
        <w:tc>
          <w:tcPr>
            <w:tcW w:w="636" w:type="dxa"/>
            <w:tcBorders>
              <w:top w:val="single" w:color="auto" w:sz="4" w:space="0"/>
              <w:left w:val="single" w:color="auto" w:sz="4" w:space="0"/>
              <w:bottom w:val="single" w:color="auto" w:sz="4" w:space="0"/>
              <w:right w:val="single" w:color="auto" w:sz="4" w:space="0"/>
            </w:tcBorders>
            <w:vAlign w:val="center"/>
          </w:tcPr>
          <w:p w14:paraId="0C1464E4">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设计接口管理</w:t>
            </w:r>
          </w:p>
        </w:tc>
        <w:tc>
          <w:tcPr>
            <w:tcW w:w="2376" w:type="dxa"/>
            <w:tcBorders>
              <w:top w:val="single" w:color="auto" w:sz="4" w:space="0"/>
              <w:left w:val="single" w:color="auto" w:sz="4" w:space="0"/>
              <w:bottom w:val="single" w:color="auto" w:sz="4" w:space="0"/>
              <w:right w:val="single" w:color="auto" w:sz="4" w:space="0"/>
            </w:tcBorders>
          </w:tcPr>
          <w:p w14:paraId="056F403F">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制定严谨的设计会签制度，监督各分包设计单位执行接口管理规定，接口处理恰当，落实监理意见；经常组织设计接口协调会，发现接口问题及时解决。</w:t>
            </w:r>
          </w:p>
        </w:tc>
        <w:tc>
          <w:tcPr>
            <w:tcW w:w="709" w:type="dxa"/>
            <w:tcBorders>
              <w:top w:val="single" w:color="auto" w:sz="4" w:space="0"/>
              <w:left w:val="single" w:color="auto" w:sz="4" w:space="0"/>
              <w:bottom w:val="single" w:color="auto" w:sz="4" w:space="0"/>
              <w:right w:val="single" w:color="auto" w:sz="4" w:space="0"/>
            </w:tcBorders>
          </w:tcPr>
          <w:p w14:paraId="180053F5">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15</w:t>
            </w:r>
          </w:p>
          <w:p w14:paraId="5FA191C7">
            <w:pPr>
              <w:spacing w:after="156" w:line="240" w:lineRule="exact"/>
              <w:ind w:firstLine="360"/>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4" w:space="0"/>
              <w:left w:val="single" w:color="auto" w:sz="4" w:space="0"/>
              <w:bottom w:val="single" w:color="auto" w:sz="4" w:space="0"/>
              <w:right w:val="single" w:color="auto" w:sz="4" w:space="0"/>
            </w:tcBorders>
          </w:tcPr>
          <w:p w14:paraId="54626CD6">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关键接口处理不当，每项扣</w:t>
            </w:r>
            <w:r>
              <w:rPr>
                <w:rFonts w:ascii="仿宋" w:hAnsi="仿宋" w:eastAsia="仿宋"/>
                <w:color w:val="000000" w:themeColor="text1"/>
                <w:sz w:val="18"/>
                <w:szCs w:val="18"/>
                <w:highlight w:val="none"/>
                <w:lang w:eastAsia="zh-CN"/>
                <w14:textFill>
                  <w14:solidFill>
                    <w14:schemeClr w14:val="tx1"/>
                  </w14:solidFill>
                </w14:textFill>
              </w:rPr>
              <w:t>5分；一般接口处理不当，或漏项，或造成协调工作量大，每项扣3分，未执行设计监理或施工图审查单位意见且未说明原因的，每项扣2分，委托人、监理或分包设计院提醒后仍未协调的，每次扣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5EF63D02">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12" w:space="0"/>
            </w:tcBorders>
          </w:tcPr>
          <w:p w14:paraId="278F6BD1">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r>
      <w:tr w14:paraId="1549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0" w:type="dxa"/>
            <w:tcBorders>
              <w:top w:val="single" w:color="auto" w:sz="4" w:space="0"/>
              <w:left w:val="single" w:color="auto" w:sz="12" w:space="0"/>
              <w:bottom w:val="single" w:color="auto" w:sz="4" w:space="0"/>
              <w:right w:val="single" w:color="auto" w:sz="4" w:space="0"/>
            </w:tcBorders>
          </w:tcPr>
          <w:p w14:paraId="4AF90380">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4E082DE0">
            <w:pPr>
              <w:spacing w:after="156" w:line="240" w:lineRule="exact"/>
              <w:ind w:firstLine="360"/>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5</w:t>
            </w:r>
          </w:p>
        </w:tc>
        <w:tc>
          <w:tcPr>
            <w:tcW w:w="636" w:type="dxa"/>
            <w:tcBorders>
              <w:top w:val="single" w:color="auto" w:sz="4" w:space="0"/>
              <w:left w:val="single" w:color="auto" w:sz="4" w:space="0"/>
              <w:bottom w:val="single" w:color="auto" w:sz="4" w:space="0"/>
              <w:right w:val="single" w:color="auto" w:sz="4" w:space="0"/>
            </w:tcBorders>
            <w:vAlign w:val="center"/>
          </w:tcPr>
          <w:p w14:paraId="2AD4C531">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分包设计单位管理</w:t>
            </w:r>
          </w:p>
          <w:p w14:paraId="3F9DA1F9">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2376" w:type="dxa"/>
            <w:tcBorders>
              <w:top w:val="single" w:color="auto" w:sz="4" w:space="0"/>
              <w:left w:val="single" w:color="auto" w:sz="4" w:space="0"/>
              <w:bottom w:val="single" w:color="auto" w:sz="4" w:space="0"/>
              <w:right w:val="single" w:color="auto" w:sz="4" w:space="0"/>
            </w:tcBorders>
          </w:tcPr>
          <w:p w14:paraId="1D5B97A3">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加强分包设计单位的管理工作，定期巡检，组织对分包设计单位考核，坚持每半月设计例会制度，做好动态管理。</w:t>
            </w:r>
          </w:p>
        </w:tc>
        <w:tc>
          <w:tcPr>
            <w:tcW w:w="709" w:type="dxa"/>
            <w:tcBorders>
              <w:top w:val="single" w:color="auto" w:sz="4" w:space="0"/>
              <w:left w:val="single" w:color="auto" w:sz="4" w:space="0"/>
              <w:bottom w:val="single" w:color="auto" w:sz="4" w:space="0"/>
              <w:right w:val="single" w:color="auto" w:sz="4" w:space="0"/>
            </w:tcBorders>
          </w:tcPr>
          <w:p w14:paraId="5DD51B4F">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53859065">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10</w:t>
            </w:r>
          </w:p>
          <w:p w14:paraId="460165B5">
            <w:pPr>
              <w:spacing w:after="156" w:line="240" w:lineRule="exact"/>
              <w:ind w:firstLine="360"/>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4" w:space="0"/>
              <w:left w:val="single" w:color="auto" w:sz="4" w:space="0"/>
              <w:bottom w:val="single" w:color="auto" w:sz="4" w:space="0"/>
              <w:right w:val="single" w:color="auto" w:sz="4" w:space="0"/>
            </w:tcBorders>
          </w:tcPr>
          <w:p w14:paraId="3EA7A3A0">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疏于对分包设计单位管理，导致设计进度滞后和出现设计质量问题，扣</w:t>
            </w:r>
            <w:r>
              <w:rPr>
                <w:rFonts w:ascii="仿宋" w:hAnsi="仿宋" w:eastAsia="仿宋"/>
                <w:color w:val="000000" w:themeColor="text1"/>
                <w:sz w:val="18"/>
                <w:szCs w:val="18"/>
                <w:highlight w:val="none"/>
                <w:lang w:eastAsia="zh-CN"/>
                <w14:textFill>
                  <w14:solidFill>
                    <w14:schemeClr w14:val="tx1"/>
                  </w14:solidFill>
                </w14:textFill>
              </w:rPr>
              <w:t>2</w:t>
            </w:r>
            <w:r>
              <w:rPr>
                <w:rFonts w:hint="eastAsia" w:ascii="仿宋" w:hAnsi="仿宋" w:eastAsia="仿宋"/>
                <w:color w:val="000000" w:themeColor="text1"/>
                <w:sz w:val="18"/>
                <w:szCs w:val="18"/>
                <w:highlight w:val="none"/>
                <w:lang w:eastAsia="zh-CN"/>
                <w14:textFill>
                  <w14:solidFill>
                    <w14:schemeClr w14:val="tx1"/>
                  </w14:solidFill>
                </w14:textFill>
              </w:rPr>
              <w:t>～</w:t>
            </w:r>
            <w:r>
              <w:rPr>
                <w:rFonts w:ascii="仿宋" w:hAnsi="仿宋" w:eastAsia="仿宋"/>
                <w:color w:val="000000" w:themeColor="text1"/>
                <w:sz w:val="18"/>
                <w:szCs w:val="18"/>
                <w:highlight w:val="none"/>
                <w:lang w:eastAsia="zh-CN"/>
                <w14:textFill>
                  <w14:solidFill>
                    <w14:schemeClr w14:val="tx1"/>
                  </w14:solidFill>
                </w14:textFill>
              </w:rPr>
              <w:t xml:space="preserve">5分；每半月没有可支持理由，不召开设计例会的扣5分；委托人对口管理专业工程师反映不满足要求， </w:t>
            </w:r>
            <w:r>
              <w:rPr>
                <w:rFonts w:hint="eastAsia" w:ascii="仿宋" w:hAnsi="仿宋" w:eastAsia="仿宋"/>
                <w:color w:val="000000" w:themeColor="text1"/>
                <w:sz w:val="18"/>
                <w:szCs w:val="18"/>
                <w:highlight w:val="none"/>
                <w:lang w:eastAsia="zh-CN"/>
                <w14:textFill>
                  <w14:solidFill>
                    <w14:schemeClr w14:val="tx1"/>
                  </w14:solidFill>
                </w14:textFill>
              </w:rPr>
              <w:t>经确认属实的每次扣</w:t>
            </w:r>
            <w:r>
              <w:rPr>
                <w:rFonts w:ascii="仿宋" w:hAnsi="仿宋" w:eastAsia="仿宋"/>
                <w:color w:val="000000" w:themeColor="text1"/>
                <w:sz w:val="18"/>
                <w:szCs w:val="18"/>
                <w:highlight w:val="none"/>
                <w:lang w:eastAsia="zh-CN"/>
                <w14:textFill>
                  <w14:solidFill>
                    <w14:schemeClr w14:val="tx1"/>
                  </w14:solidFill>
                </w14:textFill>
              </w:rPr>
              <w:t>2分。</w:t>
            </w:r>
          </w:p>
        </w:tc>
        <w:tc>
          <w:tcPr>
            <w:tcW w:w="992" w:type="dxa"/>
            <w:tcBorders>
              <w:top w:val="single" w:color="auto" w:sz="4" w:space="0"/>
              <w:left w:val="single" w:color="auto" w:sz="4" w:space="0"/>
              <w:bottom w:val="single" w:color="auto" w:sz="4" w:space="0"/>
              <w:right w:val="single" w:color="auto" w:sz="4" w:space="0"/>
            </w:tcBorders>
          </w:tcPr>
          <w:p w14:paraId="403D06EB">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12" w:space="0"/>
            </w:tcBorders>
          </w:tcPr>
          <w:p w14:paraId="003F3E64">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r>
      <w:tr w14:paraId="55BC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336B7F7A">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6</w:t>
            </w:r>
          </w:p>
        </w:tc>
        <w:tc>
          <w:tcPr>
            <w:tcW w:w="636" w:type="dxa"/>
            <w:tcBorders>
              <w:top w:val="single" w:color="auto" w:sz="4" w:space="0"/>
              <w:left w:val="single" w:color="auto" w:sz="4" w:space="0"/>
              <w:bottom w:val="single" w:color="auto" w:sz="4" w:space="0"/>
              <w:right w:val="single" w:color="auto" w:sz="4" w:space="0"/>
            </w:tcBorders>
          </w:tcPr>
          <w:p w14:paraId="3E0643CB">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p w14:paraId="116391F3">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设计服务管理</w:t>
            </w:r>
          </w:p>
          <w:p w14:paraId="33E2CA88">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2376" w:type="dxa"/>
            <w:tcBorders>
              <w:top w:val="single" w:color="auto" w:sz="4" w:space="0"/>
              <w:left w:val="single" w:color="auto" w:sz="4" w:space="0"/>
              <w:bottom w:val="single" w:color="auto" w:sz="4" w:space="0"/>
              <w:right w:val="single" w:color="auto" w:sz="4" w:space="0"/>
            </w:tcBorders>
          </w:tcPr>
          <w:p w14:paraId="1E80802D">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严格按照合同约定配齐项目负责人、各专业负责人，各阶段现场设计总体、总包人员满足工作需要；协调规划、人防、消防、环保等报建工作，积极配合；人员到位及时，按时参加各类设计工作会议。</w:t>
            </w:r>
          </w:p>
        </w:tc>
        <w:tc>
          <w:tcPr>
            <w:tcW w:w="709" w:type="dxa"/>
            <w:tcBorders>
              <w:top w:val="single" w:color="auto" w:sz="4" w:space="0"/>
              <w:left w:val="single" w:color="auto" w:sz="4" w:space="0"/>
              <w:bottom w:val="single" w:color="auto" w:sz="4" w:space="0"/>
              <w:right w:val="single" w:color="auto" w:sz="4" w:space="0"/>
            </w:tcBorders>
          </w:tcPr>
          <w:p w14:paraId="42C1FDBD">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273008C3">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p w14:paraId="78CCF727">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15</w:t>
            </w:r>
          </w:p>
          <w:p w14:paraId="6A329CF5">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p w14:paraId="32BC64B5">
            <w:pPr>
              <w:spacing w:after="156" w:line="240" w:lineRule="exact"/>
              <w:ind w:firstLine="360"/>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4" w:space="0"/>
              <w:left w:val="single" w:color="auto" w:sz="4" w:space="0"/>
              <w:bottom w:val="single" w:color="auto" w:sz="4" w:space="0"/>
              <w:right w:val="single" w:color="auto" w:sz="4" w:space="0"/>
            </w:tcBorders>
          </w:tcPr>
          <w:p w14:paraId="00703758">
            <w:pPr>
              <w:spacing w:after="156" w:line="240" w:lineRule="exact"/>
              <w:ind w:firstLine="360"/>
              <w:rPr>
                <w:rFonts w:ascii="仿宋" w:hAnsi="仿宋" w:eastAsia="仿宋"/>
                <w:color w:val="000000" w:themeColor="text1"/>
                <w:sz w:val="18"/>
                <w:szCs w:val="18"/>
                <w:highlight w:val="none"/>
                <w:lang w:eastAsia="zh-CN"/>
                <w14:textFill>
                  <w14:solidFill>
                    <w14:schemeClr w14:val="tx1"/>
                  </w14:solidFill>
                </w14:textFill>
              </w:rPr>
            </w:pPr>
            <w:r>
              <w:rPr>
                <w:rFonts w:hint="eastAsia" w:ascii="仿宋" w:hAnsi="仿宋" w:eastAsia="仿宋"/>
                <w:color w:val="000000" w:themeColor="text1"/>
                <w:sz w:val="18"/>
                <w:szCs w:val="18"/>
                <w:highlight w:val="none"/>
                <w:lang w:eastAsia="zh-CN"/>
                <w14:textFill>
                  <w14:solidFill>
                    <w14:schemeClr w14:val="tx1"/>
                  </w14:solidFill>
                </w14:textFill>
              </w:rPr>
              <w:t>项目主要负责人长期不出席相关会议的扣</w:t>
            </w:r>
            <w:r>
              <w:rPr>
                <w:rFonts w:ascii="仿宋" w:hAnsi="仿宋" w:eastAsia="仿宋"/>
                <w:color w:val="000000" w:themeColor="text1"/>
                <w:sz w:val="18"/>
                <w:szCs w:val="18"/>
                <w:highlight w:val="none"/>
                <w:lang w:eastAsia="zh-CN"/>
                <w14:textFill>
                  <w14:solidFill>
                    <w14:schemeClr w14:val="tx1"/>
                  </w14:solidFill>
                </w14:textFill>
              </w:rPr>
              <w:t xml:space="preserve">3分；负责报建工作不得力，拖延时间的，每次扣2分；委托人组织专业设计审查时，相关专业负责人不到位的扣5分；委托人对口管理专业工程师反映不满足要求，经确认属实的每次扣2分。 </w:t>
            </w:r>
          </w:p>
        </w:tc>
        <w:tc>
          <w:tcPr>
            <w:tcW w:w="992" w:type="dxa"/>
            <w:tcBorders>
              <w:top w:val="single" w:color="auto" w:sz="4" w:space="0"/>
              <w:left w:val="single" w:color="auto" w:sz="4" w:space="0"/>
              <w:bottom w:val="single" w:color="auto" w:sz="4" w:space="0"/>
              <w:right w:val="single" w:color="auto" w:sz="4" w:space="0"/>
            </w:tcBorders>
          </w:tcPr>
          <w:p w14:paraId="6C07D84C">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c>
          <w:tcPr>
            <w:tcW w:w="931" w:type="dxa"/>
            <w:tcBorders>
              <w:top w:val="single" w:color="auto" w:sz="4" w:space="0"/>
              <w:left w:val="single" w:color="auto" w:sz="4" w:space="0"/>
              <w:bottom w:val="single" w:color="auto" w:sz="4" w:space="0"/>
              <w:right w:val="single" w:color="auto" w:sz="12" w:space="0"/>
            </w:tcBorders>
          </w:tcPr>
          <w:p w14:paraId="0401D7B2">
            <w:pPr>
              <w:spacing w:after="156" w:line="240" w:lineRule="exact"/>
              <w:ind w:firstLine="360"/>
              <w:jc w:val="center"/>
              <w:rPr>
                <w:rFonts w:ascii="仿宋" w:hAnsi="仿宋" w:eastAsia="仿宋"/>
                <w:color w:val="000000" w:themeColor="text1"/>
                <w:sz w:val="18"/>
                <w:szCs w:val="18"/>
                <w:highlight w:val="none"/>
                <w:lang w:eastAsia="zh-CN"/>
                <w14:textFill>
                  <w14:solidFill>
                    <w14:schemeClr w14:val="tx1"/>
                  </w14:solidFill>
                </w14:textFill>
              </w:rPr>
            </w:pPr>
          </w:p>
        </w:tc>
      </w:tr>
      <w:tr w14:paraId="5C65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4" w:space="0"/>
              <w:left w:val="single" w:color="auto" w:sz="12" w:space="0"/>
              <w:bottom w:val="single" w:color="auto" w:sz="12" w:space="0"/>
              <w:right w:val="single" w:color="auto" w:sz="4" w:space="0"/>
            </w:tcBorders>
            <w:vAlign w:val="center"/>
          </w:tcPr>
          <w:p w14:paraId="3B5C9F49">
            <w:pPr>
              <w:spacing w:after="156" w:line="240" w:lineRule="exact"/>
              <w:rPr>
                <w:rFonts w:ascii="仿宋" w:hAnsi="仿宋" w:eastAsia="仿宋"/>
                <w:color w:val="000000" w:themeColor="text1"/>
                <w:sz w:val="18"/>
                <w:szCs w:val="18"/>
                <w:highlight w:val="none"/>
                <w:lang w:eastAsia="zh-CN"/>
                <w14:textFill>
                  <w14:solidFill>
                    <w14:schemeClr w14:val="tx1"/>
                  </w14:solidFill>
                </w14:textFill>
              </w:rPr>
            </w:pPr>
          </w:p>
        </w:tc>
        <w:tc>
          <w:tcPr>
            <w:tcW w:w="636" w:type="dxa"/>
            <w:tcBorders>
              <w:top w:val="single" w:color="auto" w:sz="4" w:space="0"/>
              <w:left w:val="single" w:color="auto" w:sz="4" w:space="0"/>
              <w:bottom w:val="single" w:color="auto" w:sz="12" w:space="0"/>
              <w:right w:val="single" w:color="auto" w:sz="4" w:space="0"/>
            </w:tcBorders>
            <w:vAlign w:val="center"/>
          </w:tcPr>
          <w:p w14:paraId="6B577EAC">
            <w:pPr>
              <w:spacing w:after="156" w:line="240" w:lineRule="exact"/>
              <w:rPr>
                <w:rFonts w:ascii="仿宋" w:hAnsi="仿宋" w:eastAsia="仿宋"/>
                <w:color w:val="000000" w:themeColor="text1"/>
                <w:sz w:val="18"/>
                <w:szCs w:val="18"/>
                <w:highlight w:val="none"/>
                <w14:textFill>
                  <w14:solidFill>
                    <w14:schemeClr w14:val="tx1"/>
                  </w14:solidFill>
                </w14:textFill>
              </w:rPr>
            </w:pPr>
            <w:r>
              <w:rPr>
                <w:rFonts w:hint="eastAsia" w:ascii="仿宋" w:hAnsi="仿宋" w:eastAsia="仿宋"/>
                <w:color w:val="000000" w:themeColor="text1"/>
                <w:sz w:val="18"/>
                <w:szCs w:val="18"/>
                <w:highlight w:val="none"/>
                <w14:textFill>
                  <w14:solidFill>
                    <w14:schemeClr w14:val="tx1"/>
                  </w14:solidFill>
                </w14:textFill>
              </w:rPr>
              <w:t>总计</w:t>
            </w:r>
          </w:p>
        </w:tc>
        <w:tc>
          <w:tcPr>
            <w:tcW w:w="2376" w:type="dxa"/>
            <w:tcBorders>
              <w:top w:val="single" w:color="auto" w:sz="4" w:space="0"/>
              <w:left w:val="single" w:color="auto" w:sz="4" w:space="0"/>
              <w:bottom w:val="single" w:color="auto" w:sz="12" w:space="0"/>
              <w:right w:val="single" w:color="auto" w:sz="4" w:space="0"/>
            </w:tcBorders>
            <w:vAlign w:val="center"/>
          </w:tcPr>
          <w:p w14:paraId="16A36D72">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709" w:type="dxa"/>
            <w:tcBorders>
              <w:top w:val="single" w:color="auto" w:sz="4" w:space="0"/>
              <w:left w:val="single" w:color="auto" w:sz="4" w:space="0"/>
              <w:bottom w:val="single" w:color="auto" w:sz="12" w:space="0"/>
              <w:right w:val="single" w:color="auto" w:sz="4" w:space="0"/>
            </w:tcBorders>
            <w:vAlign w:val="center"/>
          </w:tcPr>
          <w:p w14:paraId="16AA63B1">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3435" w:type="dxa"/>
            <w:tcBorders>
              <w:top w:val="single" w:color="auto" w:sz="4" w:space="0"/>
              <w:left w:val="single" w:color="auto" w:sz="4" w:space="0"/>
              <w:bottom w:val="single" w:color="auto" w:sz="12" w:space="0"/>
              <w:right w:val="single" w:color="auto" w:sz="4" w:space="0"/>
            </w:tcBorders>
            <w:vAlign w:val="center"/>
          </w:tcPr>
          <w:p w14:paraId="21BF3666">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r>
              <w:rPr>
                <w:rFonts w:ascii="仿宋" w:hAnsi="仿宋" w:eastAsia="仿宋"/>
                <w:color w:val="000000" w:themeColor="text1"/>
                <w:sz w:val="18"/>
                <w:szCs w:val="18"/>
                <w:highlight w:val="none"/>
                <w14:textFill>
                  <w14:solidFill>
                    <w14:schemeClr w14:val="tx1"/>
                  </w14:solidFill>
                </w14:textFill>
              </w:rPr>
              <w:t>100</w:t>
            </w:r>
          </w:p>
        </w:tc>
        <w:tc>
          <w:tcPr>
            <w:tcW w:w="992" w:type="dxa"/>
            <w:tcBorders>
              <w:top w:val="single" w:color="auto" w:sz="4" w:space="0"/>
              <w:left w:val="single" w:color="auto" w:sz="4" w:space="0"/>
              <w:bottom w:val="single" w:color="auto" w:sz="12" w:space="0"/>
              <w:right w:val="single" w:color="auto" w:sz="4" w:space="0"/>
            </w:tcBorders>
            <w:vAlign w:val="center"/>
          </w:tcPr>
          <w:p w14:paraId="3F96AA44">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c>
          <w:tcPr>
            <w:tcW w:w="931" w:type="dxa"/>
            <w:tcBorders>
              <w:top w:val="single" w:color="auto" w:sz="4" w:space="0"/>
              <w:left w:val="single" w:color="auto" w:sz="4" w:space="0"/>
              <w:bottom w:val="single" w:color="auto" w:sz="12" w:space="0"/>
              <w:right w:val="single" w:color="auto" w:sz="12" w:space="0"/>
            </w:tcBorders>
            <w:vAlign w:val="center"/>
          </w:tcPr>
          <w:p w14:paraId="120EC9EC">
            <w:pPr>
              <w:spacing w:after="156" w:line="240" w:lineRule="exact"/>
              <w:ind w:firstLine="360"/>
              <w:jc w:val="center"/>
              <w:rPr>
                <w:rFonts w:ascii="仿宋" w:hAnsi="仿宋" w:eastAsia="仿宋"/>
                <w:color w:val="000000" w:themeColor="text1"/>
                <w:sz w:val="18"/>
                <w:szCs w:val="18"/>
                <w:highlight w:val="none"/>
                <w14:textFill>
                  <w14:solidFill>
                    <w14:schemeClr w14:val="tx1"/>
                  </w14:solidFill>
                </w14:textFill>
              </w:rPr>
            </w:pPr>
          </w:p>
        </w:tc>
      </w:tr>
    </w:tbl>
    <w:p w14:paraId="2F8A4AD7">
      <w:pPr>
        <w:spacing w:line="360" w:lineRule="auto"/>
        <w:ind w:firstLine="480" w:firstLineChars="200"/>
        <w:jc w:val="center"/>
        <w:rPr>
          <w:rFonts w:ascii="仿宋" w:hAnsi="仿宋" w:eastAsia="仿宋"/>
          <w:color w:val="000000" w:themeColor="text1"/>
          <w:highlight w:val="none"/>
          <w:lang w:eastAsia="zh-CN"/>
          <w14:textFill>
            <w14:solidFill>
              <w14:schemeClr w14:val="tx1"/>
            </w14:solidFill>
          </w14:textFill>
        </w:rPr>
      </w:pPr>
    </w:p>
    <w:p w14:paraId="6765DB37">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808" w:name="_Toc149731627"/>
      <w:bookmarkStart w:id="809" w:name="_Toc148188676"/>
      <w:bookmarkStart w:id="810" w:name="_Toc19423"/>
      <w:r>
        <w:rPr>
          <w:rFonts w:hint="eastAsia" w:ascii="仿宋" w:hAnsi="仿宋" w:eastAsia="仿宋" w:cs="仿宋"/>
          <w:b/>
          <w:bCs/>
          <w:color w:val="000000" w:themeColor="text1"/>
          <w:highlight w:val="none"/>
          <w:lang w:eastAsia="zh-CN"/>
          <w14:textFill>
            <w14:solidFill>
              <w14:schemeClr w14:val="tx1"/>
            </w14:solidFill>
          </w14:textFill>
        </w:rPr>
        <w:t>附件</w:t>
      </w:r>
      <w:bookmarkEnd w:id="808"/>
      <w:bookmarkEnd w:id="809"/>
      <w:bookmarkEnd w:id="810"/>
      <w:r>
        <w:rPr>
          <w:rFonts w:hint="eastAsia" w:ascii="仿宋" w:hAnsi="仿宋" w:eastAsia="仿宋" w:cs="仿宋"/>
          <w:b/>
          <w:bCs/>
          <w:color w:val="000000" w:themeColor="text1"/>
          <w:highlight w:val="none"/>
          <w:lang w:eastAsia="zh-CN"/>
          <w14:textFill>
            <w14:solidFill>
              <w14:schemeClr w14:val="tx1"/>
            </w14:solidFill>
          </w14:textFill>
        </w:rPr>
        <w:t>九</w:t>
      </w:r>
    </w:p>
    <w:p w14:paraId="4997C743">
      <w:pPr>
        <w:spacing w:line="360" w:lineRule="auto"/>
        <w:ind w:firstLine="542" w:firstLineChars="150"/>
        <w:jc w:val="center"/>
        <w:rPr>
          <w:rFonts w:ascii="仿宋" w:hAnsi="仿宋" w:eastAsia="仿宋"/>
          <w:b/>
          <w:color w:val="000000" w:themeColor="text1"/>
          <w:sz w:val="36"/>
          <w:szCs w:val="36"/>
          <w:highlight w:val="none"/>
          <w:lang w:eastAsia="zh-CN"/>
          <w14:textFill>
            <w14:solidFill>
              <w14:schemeClr w14:val="tx1"/>
            </w14:solidFill>
          </w14:textFill>
        </w:rPr>
      </w:pPr>
      <w:r>
        <w:rPr>
          <w:rFonts w:hint="eastAsia" w:ascii="仿宋" w:hAnsi="仿宋" w:eastAsia="仿宋"/>
          <w:b/>
          <w:color w:val="000000" w:themeColor="text1"/>
          <w:sz w:val="36"/>
          <w:szCs w:val="36"/>
          <w:highlight w:val="none"/>
          <w:lang w:eastAsia="zh-CN"/>
          <w14:textFill>
            <w14:solidFill>
              <w14:schemeClr w14:val="tx1"/>
            </w14:solidFill>
          </w14:textFill>
        </w:rPr>
        <w:t>发包人要求</w:t>
      </w:r>
    </w:p>
    <w:p w14:paraId="5EC43FF6">
      <w:pPr>
        <w:spacing w:line="360" w:lineRule="auto"/>
        <w:ind w:firstLine="480" w:firstLineChars="200"/>
        <w:jc w:val="center"/>
        <w:rPr>
          <w:rFonts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（另册）</w:t>
      </w:r>
    </w:p>
    <w:p w14:paraId="29D6AC6A">
      <w:pPr>
        <w:rPr>
          <w:rFonts w:ascii="仿宋" w:hAnsi="仿宋" w:eastAsia="仿宋"/>
          <w:color w:val="000000" w:themeColor="text1"/>
          <w:highlight w:val="none"/>
          <w:lang w:eastAsia="zh-CN"/>
          <w14:textFill>
            <w14:solidFill>
              <w14:schemeClr w14:val="tx1"/>
            </w14:solidFill>
          </w14:textFill>
        </w:rPr>
      </w:pPr>
      <w:r>
        <w:rPr>
          <w:rFonts w:ascii="仿宋" w:hAnsi="仿宋" w:eastAsia="仿宋"/>
          <w:color w:val="000000" w:themeColor="text1"/>
          <w:highlight w:val="none"/>
          <w:lang w:eastAsia="zh-CN"/>
          <w14:textFill>
            <w14:solidFill>
              <w14:schemeClr w14:val="tx1"/>
            </w14:solidFill>
          </w14:textFill>
        </w:rPr>
        <w:br w:type="page"/>
      </w:r>
    </w:p>
    <w:p w14:paraId="2BA13580">
      <w:pPr>
        <w:spacing w:line="360" w:lineRule="auto"/>
        <w:outlineLvl w:val="1"/>
        <w:rPr>
          <w:rFonts w:ascii="仿宋" w:hAnsi="仿宋" w:eastAsia="仿宋" w:cs="仿宋"/>
          <w:b/>
          <w:bCs/>
          <w:color w:val="000000" w:themeColor="text1"/>
          <w:highlight w:val="none"/>
          <w:lang w:eastAsia="zh-CN"/>
          <w14:textFill>
            <w14:solidFill>
              <w14:schemeClr w14:val="tx1"/>
            </w14:solidFill>
          </w14:textFill>
        </w:rPr>
      </w:pPr>
      <w:bookmarkStart w:id="811" w:name="_Toc149731628"/>
      <w:bookmarkStart w:id="812" w:name="_Toc22799"/>
      <w:bookmarkStart w:id="813" w:name="_Toc148188677"/>
      <w:r>
        <w:rPr>
          <w:rFonts w:hint="eastAsia" w:ascii="仿宋" w:hAnsi="仿宋" w:eastAsia="仿宋" w:cs="仿宋"/>
          <w:b/>
          <w:bCs/>
          <w:color w:val="000000" w:themeColor="text1"/>
          <w:highlight w:val="none"/>
          <w:lang w:eastAsia="zh-CN"/>
          <w14:textFill>
            <w14:solidFill>
              <w14:schemeClr w14:val="tx1"/>
            </w14:solidFill>
          </w14:textFill>
        </w:rPr>
        <w:t>附件十</w:t>
      </w:r>
      <w:bookmarkEnd w:id="811"/>
      <w:bookmarkEnd w:id="812"/>
      <w:bookmarkEnd w:id="813"/>
    </w:p>
    <w:p w14:paraId="628E44EB">
      <w:pPr>
        <w:spacing w:line="360" w:lineRule="auto"/>
        <w:jc w:val="center"/>
        <w:rPr>
          <w:rFonts w:ascii="仿宋" w:hAnsi="仿宋" w:eastAsia="仿宋" w:cs="仿宋"/>
          <w:b/>
          <w:bCs/>
          <w:color w:val="000000" w:themeColor="text1"/>
          <w:sz w:val="36"/>
          <w:szCs w:val="36"/>
          <w:highlight w:val="none"/>
          <w:lang w:eastAsia="zh-CN"/>
          <w14:textFill>
            <w14:solidFill>
              <w14:schemeClr w14:val="tx1"/>
            </w14:solidFill>
          </w14:textFill>
        </w:rPr>
      </w:pPr>
      <w:r>
        <w:rPr>
          <w:rFonts w:hint="eastAsia" w:ascii="仿宋" w:hAnsi="仿宋" w:eastAsia="仿宋" w:cs="仿宋"/>
          <w:b/>
          <w:bCs/>
          <w:color w:val="000000" w:themeColor="text1"/>
          <w:sz w:val="36"/>
          <w:szCs w:val="36"/>
          <w:highlight w:val="none"/>
          <w:lang w:eastAsia="zh-CN"/>
          <w14:textFill>
            <w14:solidFill>
              <w14:schemeClr w14:val="tx1"/>
            </w14:solidFill>
          </w14:textFill>
        </w:rPr>
        <w:t>项目基础资料</w:t>
      </w:r>
    </w:p>
    <w:p w14:paraId="06F6C7E9">
      <w:p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1.项目基础资料</w:t>
      </w:r>
    </w:p>
    <w:p w14:paraId="445FF5A2">
      <w:p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1.1工程可行性研究报告（含投资估算）；</w:t>
      </w:r>
    </w:p>
    <w:p w14:paraId="305F2656">
      <w:p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1.2初步设计文件（含概算）（若有）；</w:t>
      </w:r>
    </w:p>
    <w:p w14:paraId="4D4E8CF4">
      <w:pPr>
        <w:spacing w:line="360" w:lineRule="auto"/>
        <w:rPr>
          <w:rFonts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1.3项目初步勘察资料（若有）；</w:t>
      </w:r>
    </w:p>
    <w:p w14:paraId="59825311">
      <w:pPr>
        <w:rPr>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 xml:space="preserve">1.4其他。 </w:t>
      </w:r>
      <w:r>
        <w:rPr>
          <w:color w:val="000000" w:themeColor="text1"/>
          <w:highlight w:val="none"/>
          <w:lang w:eastAsia="zh-CN"/>
          <w14:textFill>
            <w14:solidFill>
              <w14:schemeClr w14:val="tx1"/>
            </w14:solidFill>
          </w14:textFill>
        </w:rPr>
        <w:br w:type="page"/>
      </w:r>
    </w:p>
    <w:p w14:paraId="77B998A0">
      <w:pPr>
        <w:rPr>
          <w:rFonts w:ascii="仿宋" w:hAnsi="仿宋" w:eastAsia="仿宋" w:cs="仿宋"/>
          <w:b/>
          <w:bCs/>
          <w:color w:val="000000" w:themeColor="text1"/>
          <w:highlight w:val="none"/>
          <w:lang w:eastAsia="zh-CN"/>
          <w14:textFill>
            <w14:solidFill>
              <w14:schemeClr w14:val="tx1"/>
            </w14:solidFill>
          </w14:textFill>
        </w:rPr>
      </w:pPr>
      <w:bookmarkStart w:id="814" w:name="_Toc149731632"/>
      <w:bookmarkStart w:id="815" w:name="_Toc148188680"/>
      <w:r>
        <w:rPr>
          <w:rFonts w:hint="eastAsia" w:ascii="仿宋" w:hAnsi="仿宋" w:eastAsia="仿宋" w:cs="仿宋"/>
          <w:b/>
          <w:bCs/>
          <w:color w:val="000000" w:themeColor="text1"/>
          <w:highlight w:val="none"/>
          <w:lang w:eastAsia="zh-CN"/>
          <w14:textFill>
            <w14:solidFill>
              <w14:schemeClr w14:val="tx1"/>
            </w14:solidFill>
          </w14:textFill>
        </w:rPr>
        <w:t>附件十一：工程总承包合同界面划分</w:t>
      </w:r>
      <w:bookmarkEnd w:id="814"/>
      <w:bookmarkEnd w:id="815"/>
    </w:p>
    <w:p w14:paraId="26213015">
      <w:pPr>
        <w:pStyle w:val="223"/>
        <w:spacing w:line="360" w:lineRule="auto"/>
        <w:ind w:left="960"/>
        <w:jc w:val="center"/>
        <w:rPr>
          <w:rFonts w:ascii="仿宋" w:hAnsi="仿宋" w:eastAsia="仿宋" w:cs="仿宋"/>
          <w:b/>
          <w:bCs/>
          <w:color w:val="000000" w:themeColor="text1"/>
          <w:sz w:val="21"/>
          <w:szCs w:val="21"/>
          <w:highlight w:val="none"/>
          <w:lang w:eastAsia="zh-CN" w:bidi="ar-SA"/>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工程总承包合同界面划分</w:t>
      </w:r>
    </w:p>
    <w:p w14:paraId="623E5624">
      <w:pPr>
        <w:spacing w:line="360" w:lineRule="auto"/>
        <w:jc w:val="center"/>
        <w:rPr>
          <w:rFonts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（工程总承包工作范围，参照原合同，增加以下内容）</w:t>
      </w:r>
    </w:p>
    <w:p w14:paraId="0C7B8BFB">
      <w:pPr>
        <w:spacing w:line="360" w:lineRule="auto"/>
        <w:rPr>
          <w:rFonts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基坑工程总承包单位与后续施工单位之间工作界面划分</w:t>
      </w:r>
    </w:p>
    <w:tbl>
      <w:tblPr>
        <w:tblStyle w:val="78"/>
        <w:tblW w:w="9144" w:type="dxa"/>
        <w:tblInd w:w="98" w:type="dxa"/>
        <w:tblLayout w:type="fixed"/>
        <w:tblCellMar>
          <w:top w:w="0" w:type="dxa"/>
          <w:left w:w="108" w:type="dxa"/>
          <w:bottom w:w="0" w:type="dxa"/>
          <w:right w:w="108" w:type="dxa"/>
        </w:tblCellMar>
      </w:tblPr>
      <w:tblGrid>
        <w:gridCol w:w="698"/>
        <w:gridCol w:w="798"/>
        <w:gridCol w:w="843"/>
        <w:gridCol w:w="3258"/>
        <w:gridCol w:w="3547"/>
      </w:tblGrid>
      <w:tr w14:paraId="0D5BAAA6">
        <w:tblPrEx>
          <w:tblCellMar>
            <w:top w:w="0" w:type="dxa"/>
            <w:left w:w="108" w:type="dxa"/>
            <w:bottom w:w="0" w:type="dxa"/>
            <w:right w:w="108" w:type="dxa"/>
          </w:tblCellMar>
        </w:tblPrEx>
        <w:trPr>
          <w:trHeight w:val="353" w:hRule="atLeast"/>
        </w:trPr>
        <w:tc>
          <w:tcPr>
            <w:tcW w:w="69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7AB5DB0C">
            <w:pPr>
              <w:jc w:val="center"/>
              <w:textAlignment w:val="center"/>
              <w:rPr>
                <w:rFonts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序号</w:t>
            </w:r>
          </w:p>
        </w:tc>
        <w:tc>
          <w:tcPr>
            <w:tcW w:w="79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DA14469">
            <w:pPr>
              <w:jc w:val="center"/>
              <w:textAlignment w:val="center"/>
              <w:rPr>
                <w:rFonts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合约分判名称</w:t>
            </w: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1ECA3D19">
            <w:pPr>
              <w:jc w:val="center"/>
              <w:textAlignment w:val="center"/>
              <w:rPr>
                <w:rFonts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分部分项工程名称</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4F96B076">
            <w:pPr>
              <w:jc w:val="center"/>
              <w:textAlignment w:val="center"/>
              <w:rPr>
                <w:rFonts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基坑工程总承包单位工作内容</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62FC8A8A">
            <w:pPr>
              <w:jc w:val="center"/>
              <w:textAlignment w:val="center"/>
              <w:rPr>
                <w:rFonts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基坑工程总承包单位与后续施工单位工作界面分判</w:t>
            </w:r>
          </w:p>
        </w:tc>
      </w:tr>
      <w:tr w14:paraId="01F8B2F5">
        <w:tblPrEx>
          <w:tblCellMar>
            <w:top w:w="0" w:type="dxa"/>
            <w:left w:w="108" w:type="dxa"/>
            <w:bottom w:w="0" w:type="dxa"/>
            <w:right w:w="108" w:type="dxa"/>
          </w:tblCellMar>
        </w:tblPrEx>
        <w:trPr>
          <w:trHeight w:val="37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10AE65F8">
            <w:pPr>
              <w:jc w:val="center"/>
              <w:rPr>
                <w:rFonts w:ascii="仿宋" w:hAnsi="仿宋" w:eastAsia="仿宋" w:cs="仿宋"/>
                <w:b/>
                <w:bCs/>
                <w:color w:val="000000" w:themeColor="text1"/>
                <w:sz w:val="21"/>
                <w:szCs w:val="21"/>
                <w:highlight w:val="none"/>
                <w:u w:val="singl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D8A8F66">
            <w:pPr>
              <w:jc w:val="center"/>
              <w:rPr>
                <w:rFonts w:ascii="仿宋" w:hAnsi="仿宋" w:eastAsia="仿宋" w:cs="仿宋"/>
                <w:b/>
                <w:bCs/>
                <w:color w:val="000000" w:themeColor="text1"/>
                <w:sz w:val="21"/>
                <w:szCs w:val="21"/>
                <w:highlight w:val="none"/>
                <w:u w:val="singl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7ABE74B">
            <w:pPr>
              <w:jc w:val="center"/>
              <w:rPr>
                <w:rFonts w:ascii="仿宋" w:hAnsi="仿宋" w:eastAsia="仿宋" w:cs="仿宋"/>
                <w:b/>
                <w:bCs/>
                <w:color w:val="000000" w:themeColor="text1"/>
                <w:sz w:val="21"/>
                <w:szCs w:val="21"/>
                <w:highlight w:val="none"/>
                <w:u w:val="singl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8D4D44E">
            <w:pPr>
              <w:jc w:val="center"/>
              <w:rPr>
                <w:rFonts w:ascii="仿宋" w:hAnsi="仿宋" w:eastAsia="仿宋" w:cs="仿宋"/>
                <w:b/>
                <w:bCs/>
                <w:color w:val="000000" w:themeColor="text1"/>
                <w:sz w:val="21"/>
                <w:szCs w:val="21"/>
                <w:highlight w:val="none"/>
                <w:u w:val="singl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57E186AE">
            <w:pPr>
              <w:jc w:val="center"/>
              <w:rPr>
                <w:rFonts w:ascii="仿宋" w:hAnsi="仿宋" w:eastAsia="仿宋" w:cs="仿宋"/>
                <w:b/>
                <w:bCs/>
                <w:color w:val="000000" w:themeColor="text1"/>
                <w:sz w:val="21"/>
                <w:szCs w:val="21"/>
                <w:highlight w:val="none"/>
                <w:u w:val="single"/>
                <w:lang w:eastAsia="zh-CN"/>
                <w14:textFill>
                  <w14:solidFill>
                    <w14:schemeClr w14:val="tx1"/>
                  </w14:solidFill>
                </w14:textFill>
              </w:rPr>
            </w:pPr>
          </w:p>
        </w:tc>
      </w:tr>
      <w:tr w14:paraId="45EFD634">
        <w:tblPrEx>
          <w:tblCellMar>
            <w:top w:w="0" w:type="dxa"/>
            <w:left w:w="108" w:type="dxa"/>
            <w:bottom w:w="0" w:type="dxa"/>
            <w:right w:w="108" w:type="dxa"/>
          </w:tblCellMar>
        </w:tblPrEx>
        <w:trPr>
          <w:trHeight w:val="353" w:hRule="atLeast"/>
        </w:trPr>
        <w:tc>
          <w:tcPr>
            <w:tcW w:w="9144" w:type="dxa"/>
            <w:gridSpan w:val="5"/>
            <w:tcBorders>
              <w:top w:val="single" w:color="1F2329" w:sz="4" w:space="0"/>
              <w:left w:val="single" w:color="1F2329" w:sz="4" w:space="0"/>
              <w:bottom w:val="single" w:color="1F2329" w:sz="4" w:space="0"/>
              <w:right w:val="single" w:color="1F2329" w:sz="4" w:space="0"/>
            </w:tcBorders>
            <w:shd w:val="clear" w:color="auto" w:fill="auto"/>
            <w:noWrap/>
            <w:vAlign w:val="center"/>
          </w:tcPr>
          <w:p w14:paraId="3CF60A24">
            <w:pPr>
              <w:rPr>
                <w:rFonts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1 临时工程</w:t>
            </w:r>
          </w:p>
        </w:tc>
      </w:tr>
      <w:tr w14:paraId="1720D563">
        <w:tblPrEx>
          <w:tblCellMar>
            <w:top w:w="0" w:type="dxa"/>
            <w:left w:w="108" w:type="dxa"/>
            <w:bottom w:w="0" w:type="dxa"/>
            <w:right w:w="108" w:type="dxa"/>
          </w:tblCellMar>
        </w:tblPrEx>
        <w:trPr>
          <w:trHeight w:val="530" w:hRule="atLeast"/>
        </w:trPr>
        <w:tc>
          <w:tcPr>
            <w:tcW w:w="69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1CF9728B">
            <w:pP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1</w:t>
            </w:r>
          </w:p>
        </w:tc>
        <w:tc>
          <w:tcPr>
            <w:tcW w:w="79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8ABF652">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临时工程</w:t>
            </w: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681567A0">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场地平整工程</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18355C0A">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包括但不限于以下：</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1、负责按场平方案进行土方开挖及外运；</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2、负责修建临时施工出入口的沉砂池（自行办理临排手续）、截水沟等，并负责自行购置临时出入口的冲洗设备且安装到位；完工后全部拆除恢复原状；</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3、负责自行解决临时施工用水、用电接驳；</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4、负责自行解决场平施工阶段临时施工出入口开口工作（含手续办理），并负责临时出入口围墙及大门（场平施工阶段）、临时出入口道路等的修建工作；围墙及大门无偿移交给后续施工单位；</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5、负责市政道路及施工区域的道路保护；</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6、负责城管等周边外围关系协调并确保场平工作顺利实施；</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7、连接红线外市政道路至红线内工地出入口的临时道路，包含道路施工中必要的土石方开挖、土石方回填、边坡支护、道路地基处理工作，负责向相关部门、单位缴纳市政占道费用、场地租赁、相关押金或保证金等；</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8、工程完成后，若发包人有需要，承包人需拆除所有临时道路及修复所有受影响的地方。</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5218A939">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1、基坑工程总承包单位在场地移交前负责承担、缴纳、支付连接红线外已有市政道路的临时道路场地租赁、占道费用、相关押金或保证金等费用，移交后由后续施工单位负责；</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2、基坑工程总承包单位完工退场移交前由基坑工程总承包单位负责日常维护、保洁、修缮、检修及沉渣等工作，移交后由后续施工单位负责日常维护、保洁、修缮、检修及后续的拆除清运等工作。</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3、后续施工单位进场后、基坑支护设计总承包单位场地移交前，基坑工程总承包单位向后续施工单位免费提供使用现有场地，后续施工单位需服从基坑工程总承包单位统一管理；</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对于基坑支护单位修建的临时道路，如后续施工单位进场后认为可以继续使用，基坑支护单位可针对此部分内容与其办理移交工作，如后续施工单位进场后认为不能使用，需基坑支护单位自行负责完成临时道路的破除以及清理所产生的垃圾。</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（注：具体移交时间由发包人根据现场施工情况进行确认）</w:t>
            </w:r>
          </w:p>
        </w:tc>
      </w:tr>
      <w:tr w14:paraId="4E530F52">
        <w:tblPrEx>
          <w:tblCellMar>
            <w:top w:w="0" w:type="dxa"/>
            <w:left w:w="108" w:type="dxa"/>
            <w:bottom w:w="0" w:type="dxa"/>
            <w:right w:w="108" w:type="dxa"/>
          </w:tblCellMar>
        </w:tblPrEx>
        <w:trPr>
          <w:trHeight w:val="72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1A6FD19">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E488285">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EC40B60">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1F51A4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2FEA6D6">
            <w:pPr>
              <w:rPr>
                <w:rFonts w:ascii="仿宋" w:hAnsi="仿宋" w:eastAsia="仿宋" w:cs="仿宋"/>
                <w:color w:val="000000" w:themeColor="text1"/>
                <w:sz w:val="21"/>
                <w:szCs w:val="21"/>
                <w:highlight w:val="none"/>
                <w:lang w:eastAsia="zh-CN"/>
                <w14:textFill>
                  <w14:solidFill>
                    <w14:schemeClr w14:val="tx1"/>
                  </w14:solidFill>
                </w14:textFill>
              </w:rPr>
            </w:pPr>
          </w:p>
        </w:tc>
      </w:tr>
      <w:tr w14:paraId="6D6E60AE">
        <w:tblPrEx>
          <w:tblCellMar>
            <w:top w:w="0" w:type="dxa"/>
            <w:left w:w="108" w:type="dxa"/>
            <w:bottom w:w="0" w:type="dxa"/>
            <w:right w:w="108" w:type="dxa"/>
          </w:tblCellMar>
        </w:tblPrEx>
        <w:trPr>
          <w:trHeight w:val="72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37FA3BD">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2B9798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078112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936C83A">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5AC48B6">
            <w:pPr>
              <w:rPr>
                <w:rFonts w:ascii="仿宋" w:hAnsi="仿宋" w:eastAsia="仿宋" w:cs="仿宋"/>
                <w:color w:val="000000" w:themeColor="text1"/>
                <w:sz w:val="21"/>
                <w:szCs w:val="21"/>
                <w:highlight w:val="none"/>
                <w:lang w:eastAsia="zh-CN"/>
                <w14:textFill>
                  <w14:solidFill>
                    <w14:schemeClr w14:val="tx1"/>
                  </w14:solidFill>
                </w14:textFill>
              </w:rPr>
            </w:pPr>
          </w:p>
        </w:tc>
      </w:tr>
      <w:tr w14:paraId="0C1EEC6C">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E7FE913">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C1D4D1A">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B23B810">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458FA94">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491E585">
            <w:pPr>
              <w:rPr>
                <w:rFonts w:ascii="仿宋" w:hAnsi="仿宋" w:eastAsia="仿宋" w:cs="仿宋"/>
                <w:color w:val="000000" w:themeColor="text1"/>
                <w:sz w:val="21"/>
                <w:szCs w:val="21"/>
                <w:highlight w:val="none"/>
                <w:lang w:eastAsia="zh-CN"/>
                <w14:textFill>
                  <w14:solidFill>
                    <w14:schemeClr w14:val="tx1"/>
                  </w14:solidFill>
                </w14:textFill>
              </w:rPr>
            </w:pPr>
          </w:p>
        </w:tc>
      </w:tr>
      <w:tr w14:paraId="1B4A42E6">
        <w:tblPrEx>
          <w:tblCellMar>
            <w:top w:w="0" w:type="dxa"/>
            <w:left w:w="108" w:type="dxa"/>
            <w:bottom w:w="0" w:type="dxa"/>
            <w:right w:w="108" w:type="dxa"/>
          </w:tblCellMar>
        </w:tblPrEx>
        <w:trPr>
          <w:trHeight w:val="884"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19609B31">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A2E63DE">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0BA16E9">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E0DCBA1">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24990F1">
            <w:pPr>
              <w:rPr>
                <w:rFonts w:ascii="仿宋" w:hAnsi="仿宋" w:eastAsia="仿宋" w:cs="仿宋"/>
                <w:color w:val="000000" w:themeColor="text1"/>
                <w:sz w:val="21"/>
                <w:szCs w:val="21"/>
                <w:highlight w:val="none"/>
                <w:lang w:eastAsia="zh-CN"/>
                <w14:textFill>
                  <w14:solidFill>
                    <w14:schemeClr w14:val="tx1"/>
                  </w14:solidFill>
                </w14:textFill>
              </w:rPr>
            </w:pPr>
          </w:p>
        </w:tc>
      </w:tr>
      <w:tr w14:paraId="1E2C37BF">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0AF520C3">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8F69CF2">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7EFF46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B7F5933">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F8DCE33">
            <w:pPr>
              <w:rPr>
                <w:rFonts w:ascii="仿宋" w:hAnsi="仿宋" w:eastAsia="仿宋" w:cs="仿宋"/>
                <w:color w:val="000000" w:themeColor="text1"/>
                <w:sz w:val="21"/>
                <w:szCs w:val="21"/>
                <w:highlight w:val="none"/>
                <w:lang w:eastAsia="zh-CN"/>
                <w14:textFill>
                  <w14:solidFill>
                    <w14:schemeClr w14:val="tx1"/>
                  </w14:solidFill>
                </w14:textFill>
              </w:rPr>
            </w:pPr>
          </w:p>
        </w:tc>
      </w:tr>
      <w:tr w14:paraId="131FBE35">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21635D3A">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BFC2E71">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48EA3F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F35A2A2">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7AD0183">
            <w:pPr>
              <w:rPr>
                <w:rFonts w:ascii="仿宋" w:hAnsi="仿宋" w:eastAsia="仿宋" w:cs="仿宋"/>
                <w:color w:val="000000" w:themeColor="text1"/>
                <w:sz w:val="21"/>
                <w:szCs w:val="21"/>
                <w:highlight w:val="none"/>
                <w:lang w:eastAsia="zh-CN"/>
                <w14:textFill>
                  <w14:solidFill>
                    <w14:schemeClr w14:val="tx1"/>
                  </w14:solidFill>
                </w14:textFill>
              </w:rPr>
            </w:pPr>
          </w:p>
        </w:tc>
      </w:tr>
      <w:tr w14:paraId="3C8FD4EE">
        <w:tblPrEx>
          <w:tblCellMar>
            <w:top w:w="0" w:type="dxa"/>
            <w:left w:w="108" w:type="dxa"/>
            <w:bottom w:w="0" w:type="dxa"/>
            <w:right w:w="108" w:type="dxa"/>
          </w:tblCellMar>
        </w:tblPrEx>
        <w:trPr>
          <w:trHeight w:val="1301"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43D0B2E6">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86BEB82">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F36BEC8">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241CF5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1BCA197">
            <w:pPr>
              <w:rPr>
                <w:rFonts w:ascii="仿宋" w:hAnsi="仿宋" w:eastAsia="仿宋" w:cs="仿宋"/>
                <w:color w:val="000000" w:themeColor="text1"/>
                <w:sz w:val="21"/>
                <w:szCs w:val="21"/>
                <w:highlight w:val="none"/>
                <w:lang w:eastAsia="zh-CN"/>
                <w14:textFill>
                  <w14:solidFill>
                    <w14:schemeClr w14:val="tx1"/>
                  </w14:solidFill>
                </w14:textFill>
              </w:rPr>
            </w:pPr>
          </w:p>
        </w:tc>
      </w:tr>
      <w:tr w14:paraId="73E2D73D">
        <w:tblPrEx>
          <w:tblCellMar>
            <w:top w:w="0" w:type="dxa"/>
            <w:left w:w="108" w:type="dxa"/>
            <w:bottom w:w="0" w:type="dxa"/>
            <w:right w:w="108" w:type="dxa"/>
          </w:tblCellMar>
        </w:tblPrEx>
        <w:trPr>
          <w:trHeight w:val="711"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4E87558">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4EA9B5F">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7573C4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8B0C63D">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0B1E674">
            <w:pPr>
              <w:rPr>
                <w:rFonts w:ascii="仿宋" w:hAnsi="仿宋" w:eastAsia="仿宋" w:cs="仿宋"/>
                <w:color w:val="000000" w:themeColor="text1"/>
                <w:sz w:val="21"/>
                <w:szCs w:val="21"/>
                <w:highlight w:val="none"/>
                <w:lang w:eastAsia="zh-CN"/>
                <w14:textFill>
                  <w14:solidFill>
                    <w14:schemeClr w14:val="tx1"/>
                  </w14:solidFill>
                </w14:textFill>
              </w:rPr>
            </w:pPr>
          </w:p>
        </w:tc>
      </w:tr>
      <w:tr w14:paraId="0ED9094F">
        <w:tblPrEx>
          <w:tblCellMar>
            <w:top w:w="0" w:type="dxa"/>
            <w:left w:w="108" w:type="dxa"/>
            <w:bottom w:w="0" w:type="dxa"/>
            <w:right w:w="108" w:type="dxa"/>
          </w:tblCellMar>
        </w:tblPrEx>
        <w:trPr>
          <w:trHeight w:val="2865"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0683CF7">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9F7A8AC">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tcBorders>
              <w:top w:val="single" w:color="1F2329" w:sz="4" w:space="0"/>
              <w:left w:val="single" w:color="1F2329" w:sz="4" w:space="0"/>
              <w:bottom w:val="single" w:color="1F2329" w:sz="4" w:space="0"/>
              <w:right w:val="single" w:color="1F2329" w:sz="4" w:space="0"/>
            </w:tcBorders>
            <w:shd w:val="clear" w:color="auto" w:fill="auto"/>
            <w:vAlign w:val="center"/>
          </w:tcPr>
          <w:p w14:paraId="4D0E9943">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临时办公区及生活区</w:t>
            </w:r>
          </w:p>
        </w:tc>
        <w:tc>
          <w:tcPr>
            <w:tcW w:w="3258" w:type="dxa"/>
            <w:tcBorders>
              <w:top w:val="single" w:color="1F2329" w:sz="4" w:space="0"/>
              <w:left w:val="single" w:color="1F2329" w:sz="4" w:space="0"/>
              <w:bottom w:val="single" w:color="1F2329" w:sz="4" w:space="0"/>
              <w:right w:val="single" w:color="1F2329" w:sz="4" w:space="0"/>
            </w:tcBorders>
            <w:shd w:val="clear" w:color="auto" w:fill="auto"/>
            <w:vAlign w:val="center"/>
          </w:tcPr>
          <w:p w14:paraId="441A83D2">
            <w:pPr>
              <w:numPr>
                <w:ilvl w:val="0"/>
                <w:numId w:val="43"/>
              </w:num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负责临时办公区及生活区的修建（发包人不提供场地，需承包人自行考虑），负责临时设施建造工程的设计、施工（包含装饰装修）及报批报建等手续；</w:t>
            </w:r>
          </w:p>
          <w:p w14:paraId="483FD905">
            <w:pPr>
              <w:numPr>
                <w:ilvl w:val="0"/>
                <w:numId w:val="43"/>
              </w:num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负责办公设施的供应及安装；</w:t>
            </w:r>
          </w:p>
          <w:p w14:paraId="54756477">
            <w:pPr>
              <w:numPr>
                <w:ilvl w:val="0"/>
                <w:numId w:val="43"/>
              </w:num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负责临时工程施工完成后政府相关部门验收等。</w:t>
            </w:r>
          </w:p>
          <w:p w14:paraId="369C064B">
            <w:pPr>
              <w:numPr>
                <w:ilvl w:val="0"/>
                <w:numId w:val="43"/>
              </w:num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维持用水、用电、排污、电话及网络线。</w:t>
            </w:r>
          </w:p>
        </w:tc>
        <w:tc>
          <w:tcPr>
            <w:tcW w:w="3547" w:type="dxa"/>
            <w:tcBorders>
              <w:top w:val="single" w:color="1F2329" w:sz="4" w:space="0"/>
              <w:left w:val="single" w:color="1F2329" w:sz="4" w:space="0"/>
              <w:bottom w:val="single" w:color="1F2329" w:sz="4" w:space="0"/>
              <w:right w:val="single" w:color="1F2329" w:sz="4" w:space="0"/>
            </w:tcBorders>
            <w:shd w:val="clear" w:color="auto" w:fill="auto"/>
            <w:vAlign w:val="center"/>
          </w:tcPr>
          <w:p w14:paraId="1AAA35A7">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p>
        </w:tc>
      </w:tr>
      <w:tr w14:paraId="3F9C7C0D">
        <w:tblPrEx>
          <w:tblCellMar>
            <w:top w:w="0" w:type="dxa"/>
            <w:left w:w="108" w:type="dxa"/>
            <w:bottom w:w="0" w:type="dxa"/>
            <w:right w:w="108" w:type="dxa"/>
          </w:tblCellMar>
        </w:tblPrEx>
        <w:trPr>
          <w:trHeight w:val="1696"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746D3AC">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3333B43">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4F7541A5">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围墙供应及安装工程</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60643BA5">
            <w:pPr>
              <w:textAlignment w:val="center"/>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lang w:eastAsia="zh-CN" w:bidi="ar"/>
                <w14:textFill>
                  <w14:solidFill>
                    <w14:schemeClr w14:val="tx1"/>
                  </w14:solidFill>
                </w14:textFill>
              </w:rPr>
              <w:t>1、围墙及大门的设计、供应及安装，负责施工出入口开口工作及办理相关手续，包含附属的大门、门岗等设施；负责围挡下方场地平整、围挡支撑桁架基础施工、围挡上部结构及围挡面层施工、围挡顶部泛光照明施工，及广告牌龙骨结构、面板、为配合广告布敷挂提供预留预埋、防腐、照明等所有工程；</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2、临时围墙需满足工料规范要求，政府对于围墙统一要求及相关验收。工程完成后，若发包人有需要，承包人需拆除所有围墙、围网及修复所有受影响的地方，自行承担费用。围墙施工完成后开始退场结算。</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00510794">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ascii="仿宋" w:hAnsi="仿宋" w:eastAsia="仿宋" w:cs="仿宋"/>
                <w:color w:val="000000" w:themeColor="text1"/>
                <w:sz w:val="21"/>
                <w:szCs w:val="21"/>
                <w:highlight w:val="none"/>
                <w:lang w:eastAsia="zh-CN" w:bidi="ar"/>
                <w14:textFill>
                  <w14:solidFill>
                    <w14:schemeClr w14:val="tx1"/>
                  </w14:solidFill>
                </w14:textFill>
              </w:rPr>
              <w:t>1、后续</w:t>
            </w:r>
            <w:r>
              <w:rPr>
                <w:rFonts w:hint="eastAsia" w:ascii="仿宋" w:hAnsi="仿宋" w:eastAsia="仿宋" w:cs="仿宋"/>
                <w:color w:val="000000" w:themeColor="text1"/>
                <w:sz w:val="21"/>
                <w:szCs w:val="21"/>
                <w:highlight w:val="none"/>
                <w:lang w:eastAsia="zh-CN" w:bidi="ar"/>
                <w14:textFill>
                  <w14:solidFill>
                    <w14:schemeClr w14:val="tx1"/>
                  </w14:solidFill>
                </w14:textFill>
              </w:rPr>
              <w:t>施工单位负责新增围墙(包含临时围挡及广告牌）及施工大门修建工作及维护工作，并负责相应的施工出入口开口工作（含手续办理）；</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2、基坑工程总承包单位移交前因项目工程建设需要，对已有的围墙进行拆改等工作由基坑工程总承包单位负责，移交后由后续施工单位负责。</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基坑工程总承包单位将现场已有的围墙及附属大门、门岗等设施在移交后续施工单位前进行修缮，基坑工程总承包单位完工退场移交前的日常维护、修缮等工作由基坑工程总承包单位负责，移交后由后续施工单位负责日常维护、修缮及拆除等工作。</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4、基坑工程总承包单位合同内容完成大部分后组织进行移交，具体移交时间由发包人根据项目实际情况进行确认，承包人不得拒绝。</w:t>
            </w:r>
          </w:p>
        </w:tc>
      </w:tr>
      <w:tr w14:paraId="08FDE1BE">
        <w:tblPrEx>
          <w:tblCellMar>
            <w:top w:w="0" w:type="dxa"/>
            <w:left w:w="108" w:type="dxa"/>
            <w:bottom w:w="0" w:type="dxa"/>
            <w:right w:w="108" w:type="dxa"/>
          </w:tblCellMar>
        </w:tblPrEx>
        <w:trPr>
          <w:trHeight w:val="230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14FDCE8">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FDAA4DF">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1F3CAC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0B68D2F">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652FE99">
            <w:pPr>
              <w:rPr>
                <w:rFonts w:ascii="仿宋" w:hAnsi="仿宋" w:eastAsia="仿宋" w:cs="仿宋"/>
                <w:color w:val="000000" w:themeColor="text1"/>
                <w:sz w:val="21"/>
                <w:szCs w:val="21"/>
                <w:highlight w:val="none"/>
                <w:lang w:eastAsia="zh-CN"/>
                <w14:textFill>
                  <w14:solidFill>
                    <w14:schemeClr w14:val="tx1"/>
                  </w14:solidFill>
                </w14:textFill>
              </w:rPr>
            </w:pPr>
          </w:p>
        </w:tc>
      </w:tr>
      <w:tr w14:paraId="22AAE7A3">
        <w:tblPrEx>
          <w:tblCellMar>
            <w:top w:w="0" w:type="dxa"/>
            <w:left w:w="108" w:type="dxa"/>
            <w:bottom w:w="0" w:type="dxa"/>
            <w:right w:w="108" w:type="dxa"/>
          </w:tblCellMar>
        </w:tblPrEx>
        <w:trPr>
          <w:trHeight w:val="1366" w:hRule="atLeast"/>
        </w:trPr>
        <w:tc>
          <w:tcPr>
            <w:tcW w:w="69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0EC9E54E">
            <w:pP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2</w:t>
            </w:r>
          </w:p>
        </w:tc>
        <w:tc>
          <w:tcPr>
            <w:tcW w:w="79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726EAC69">
            <w:pPr>
              <w:jc w:val="cente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临时施工用电工程（红线外）</w:t>
            </w:r>
          </w:p>
        </w:tc>
        <w:tc>
          <w:tcPr>
            <w:tcW w:w="843" w:type="dxa"/>
            <w:tcBorders>
              <w:top w:val="single" w:color="1F2329" w:sz="4" w:space="0"/>
              <w:left w:val="single" w:color="1F2329" w:sz="4" w:space="0"/>
              <w:bottom w:val="single" w:color="1F2329" w:sz="4" w:space="0"/>
              <w:right w:val="single" w:color="1F2329" w:sz="4" w:space="0"/>
            </w:tcBorders>
            <w:shd w:val="clear" w:color="auto" w:fill="auto"/>
            <w:vAlign w:val="center"/>
          </w:tcPr>
          <w:p w14:paraId="1AD93880">
            <w:pPr>
              <w:jc w:val="cente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临时施工用电接驳工程</w:t>
            </w:r>
          </w:p>
        </w:tc>
        <w:tc>
          <w:tcPr>
            <w:tcW w:w="3258" w:type="dxa"/>
            <w:tcBorders>
              <w:top w:val="single" w:color="1F2329" w:sz="4" w:space="0"/>
              <w:left w:val="single" w:color="1F2329" w:sz="4" w:space="0"/>
              <w:bottom w:val="single" w:color="1F2329" w:sz="4" w:space="0"/>
              <w:right w:val="single" w:color="1F2329" w:sz="4" w:space="0"/>
            </w:tcBorders>
            <w:shd w:val="clear" w:color="auto" w:fill="auto"/>
            <w:vAlign w:val="center"/>
          </w:tcPr>
          <w:p w14:paraId="1A593FD3">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负责项目临时施工用电方案申请，并负责包括电杆供应安装、电缆沟制作、电缆井制作、箱变基础制作、接地极制作和接地带制作及安装、箱变及分支箱供应及安装、红线外至红线内高压电缆供应安装、红线内高压电缆敷设、带电搭接、供电局供电调试、验收、通电及箱变的临时防护等工作。</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6CF23367">
            <w:pPr>
              <w:numPr>
                <w:ilvl w:val="0"/>
                <w:numId w:val="44"/>
              </w:num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在完工退场移交前，临电设施需提供给后续进场的总承包单位使用，电费由后续施工单位按照市场价挂表计量缴纳给基坑工程总承包单位；</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p>
        </w:tc>
      </w:tr>
      <w:tr w14:paraId="6BB171C9">
        <w:tblPrEx>
          <w:tblCellMar>
            <w:top w:w="0" w:type="dxa"/>
            <w:left w:w="108" w:type="dxa"/>
            <w:bottom w:w="0" w:type="dxa"/>
            <w:right w:w="108" w:type="dxa"/>
          </w:tblCellMar>
        </w:tblPrEx>
        <w:trPr>
          <w:trHeight w:val="724"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11851D60">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AC4B87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tcBorders>
              <w:top w:val="single" w:color="1F2329" w:sz="4" w:space="0"/>
              <w:left w:val="single" w:color="1F2329" w:sz="4" w:space="0"/>
              <w:bottom w:val="single" w:color="1F2329" w:sz="4" w:space="0"/>
              <w:right w:val="single" w:color="1F2329" w:sz="4" w:space="0"/>
            </w:tcBorders>
            <w:shd w:val="clear" w:color="auto" w:fill="auto"/>
            <w:vAlign w:val="center"/>
          </w:tcPr>
          <w:p w14:paraId="27E5060B">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临时发电机工程</w:t>
            </w:r>
          </w:p>
        </w:tc>
        <w:tc>
          <w:tcPr>
            <w:tcW w:w="3258" w:type="dxa"/>
            <w:tcBorders>
              <w:top w:val="single" w:color="1F2329" w:sz="4" w:space="0"/>
              <w:left w:val="single" w:color="1F2329" w:sz="4" w:space="0"/>
              <w:bottom w:val="single" w:color="1F2329" w:sz="4" w:space="0"/>
              <w:right w:val="single" w:color="1F2329" w:sz="4" w:space="0"/>
            </w:tcBorders>
            <w:shd w:val="clear" w:color="auto" w:fill="auto"/>
            <w:vAlign w:val="center"/>
          </w:tcPr>
          <w:p w14:paraId="1825ADEA">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现场无法提供临时电接驳时，采用临时发电机进行供电。</w:t>
            </w: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88D9C48">
            <w:pPr>
              <w:rPr>
                <w:rFonts w:ascii="仿宋" w:hAnsi="仿宋" w:eastAsia="仿宋" w:cs="仿宋"/>
                <w:color w:val="000000" w:themeColor="text1"/>
                <w:sz w:val="21"/>
                <w:szCs w:val="21"/>
                <w:highlight w:val="none"/>
                <w:lang w:eastAsia="zh-CN"/>
                <w14:textFill>
                  <w14:solidFill>
                    <w14:schemeClr w14:val="tx1"/>
                  </w14:solidFill>
                </w14:textFill>
              </w:rPr>
            </w:pPr>
          </w:p>
        </w:tc>
      </w:tr>
      <w:tr w14:paraId="7199EAFD">
        <w:tblPrEx>
          <w:tblCellMar>
            <w:top w:w="0" w:type="dxa"/>
            <w:left w:w="108" w:type="dxa"/>
            <w:bottom w:w="0" w:type="dxa"/>
            <w:right w:w="108" w:type="dxa"/>
          </w:tblCellMar>
        </w:tblPrEx>
        <w:trPr>
          <w:trHeight w:val="724" w:hRule="atLeast"/>
        </w:trPr>
        <w:tc>
          <w:tcPr>
            <w:tcW w:w="69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11672123">
            <w:pP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3</w:t>
            </w:r>
          </w:p>
        </w:tc>
        <w:tc>
          <w:tcPr>
            <w:tcW w:w="79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3C6EEB98">
            <w:pPr>
              <w:jc w:val="cente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临时施工用水工程（红线外）</w:t>
            </w:r>
          </w:p>
        </w:tc>
        <w:tc>
          <w:tcPr>
            <w:tcW w:w="843" w:type="dxa"/>
            <w:tcBorders>
              <w:top w:val="single" w:color="1F2329" w:sz="4" w:space="0"/>
              <w:left w:val="single" w:color="1F2329" w:sz="4" w:space="0"/>
              <w:bottom w:val="single" w:color="1F2329" w:sz="4" w:space="0"/>
              <w:right w:val="single" w:color="1F2329" w:sz="4" w:space="0"/>
            </w:tcBorders>
            <w:shd w:val="clear" w:color="auto" w:fill="auto"/>
            <w:vAlign w:val="center"/>
          </w:tcPr>
          <w:p w14:paraId="065102AF">
            <w:pPr>
              <w:jc w:val="cente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临时施工用水接驳工程</w:t>
            </w:r>
          </w:p>
        </w:tc>
        <w:tc>
          <w:tcPr>
            <w:tcW w:w="3258" w:type="dxa"/>
            <w:tcBorders>
              <w:top w:val="single" w:color="1F2329" w:sz="4" w:space="0"/>
              <w:left w:val="single" w:color="1F2329" w:sz="4" w:space="0"/>
              <w:bottom w:val="single" w:color="1F2329" w:sz="4" w:space="0"/>
              <w:right w:val="single" w:color="1F2329" w:sz="4" w:space="0"/>
            </w:tcBorders>
            <w:shd w:val="clear" w:color="auto" w:fill="auto"/>
            <w:vAlign w:val="center"/>
          </w:tcPr>
          <w:p w14:paraId="6CE0AC98">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负责项目临时施工用水的申报及开通工作，且负责施工临时用水工程，包括但不限于从市政给水井至红线内水表井的管道、阀门、水表、检查井等的供应及安装）。</w:t>
            </w:r>
          </w:p>
        </w:tc>
        <w:tc>
          <w:tcPr>
            <w:tcW w:w="3547" w:type="dxa"/>
            <w:vMerge w:val="restart"/>
            <w:tcBorders>
              <w:top w:val="single" w:color="1F2329" w:sz="4" w:space="0"/>
              <w:left w:val="single" w:color="1F2329" w:sz="4" w:space="0"/>
              <w:bottom w:val="nil"/>
              <w:right w:val="single" w:color="1F2329" w:sz="4" w:space="0"/>
            </w:tcBorders>
            <w:shd w:val="clear" w:color="auto" w:fill="auto"/>
            <w:vAlign w:val="center"/>
          </w:tcPr>
          <w:p w14:paraId="024A25D4">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1、在基坑内主要工作面移交前，临时用水需提供给后续进场的总承包单位使用，所产生的一切费用由基坑工程总承包单位承担；</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2、在基坑内主要工作面移交后（注：具体移交时间由发包人根据现场施工情况进行确认），所产生的一切费用由后续施工单位承担。</w:t>
            </w:r>
          </w:p>
        </w:tc>
      </w:tr>
      <w:tr w14:paraId="1F2C362A">
        <w:tblPrEx>
          <w:tblCellMar>
            <w:top w:w="0" w:type="dxa"/>
            <w:left w:w="108" w:type="dxa"/>
            <w:bottom w:w="0" w:type="dxa"/>
            <w:right w:w="108" w:type="dxa"/>
          </w:tblCellMar>
        </w:tblPrEx>
        <w:trPr>
          <w:trHeight w:val="724"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8D8D5DD">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19143B1">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tcBorders>
              <w:top w:val="single" w:color="1F2329" w:sz="4" w:space="0"/>
              <w:left w:val="single" w:color="1F2329" w:sz="4" w:space="0"/>
              <w:bottom w:val="single" w:color="1F2329" w:sz="4" w:space="0"/>
              <w:right w:val="single" w:color="1F2329" w:sz="4" w:space="0"/>
            </w:tcBorders>
            <w:shd w:val="clear" w:color="auto" w:fill="auto"/>
            <w:vAlign w:val="center"/>
          </w:tcPr>
          <w:p w14:paraId="6CDED748">
            <w:pPr>
              <w:jc w:val="cente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临时施工排水接驳工程</w:t>
            </w:r>
          </w:p>
        </w:tc>
        <w:tc>
          <w:tcPr>
            <w:tcW w:w="3258" w:type="dxa"/>
            <w:tcBorders>
              <w:top w:val="single" w:color="1F2329" w:sz="4" w:space="0"/>
              <w:left w:val="single" w:color="1F2329" w:sz="4" w:space="0"/>
              <w:bottom w:val="single" w:color="1F2329" w:sz="4" w:space="0"/>
              <w:right w:val="single" w:color="1F2329" w:sz="4" w:space="0"/>
            </w:tcBorders>
            <w:shd w:val="clear" w:color="auto" w:fill="auto"/>
            <w:vAlign w:val="center"/>
          </w:tcPr>
          <w:p w14:paraId="3BF5DA45">
            <w:pP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负责排水方案的设计及施工（包含项目周边市政雨污水检查井的勘察工作）、地块红线内检查井至市政雨污水检查井管道的敷设及检查井的制作安装。相关设备在收到发包人通知后自行拆除。</w:t>
            </w:r>
          </w:p>
        </w:tc>
        <w:tc>
          <w:tcPr>
            <w:tcW w:w="3547" w:type="dxa"/>
            <w:vMerge w:val="continue"/>
            <w:tcBorders>
              <w:top w:val="single" w:color="1F2329" w:sz="4" w:space="0"/>
              <w:left w:val="single" w:color="1F2329" w:sz="4" w:space="0"/>
              <w:bottom w:val="nil"/>
              <w:right w:val="single" w:color="1F2329" w:sz="4" w:space="0"/>
            </w:tcBorders>
            <w:shd w:val="clear" w:color="auto" w:fill="auto"/>
            <w:vAlign w:val="center"/>
          </w:tcPr>
          <w:p w14:paraId="61C35F4F">
            <w:pPr>
              <w:rPr>
                <w:rFonts w:ascii="仿宋" w:hAnsi="仿宋" w:eastAsia="仿宋" w:cs="仿宋"/>
                <w:color w:val="000000" w:themeColor="text1"/>
                <w:sz w:val="21"/>
                <w:szCs w:val="21"/>
                <w:highlight w:val="none"/>
                <w14:textFill>
                  <w14:solidFill>
                    <w14:schemeClr w14:val="tx1"/>
                  </w14:solidFill>
                </w14:textFill>
              </w:rPr>
            </w:pPr>
          </w:p>
        </w:tc>
      </w:tr>
      <w:tr w14:paraId="2B2C6066">
        <w:tblPrEx>
          <w:tblCellMar>
            <w:top w:w="0" w:type="dxa"/>
            <w:left w:w="108" w:type="dxa"/>
            <w:bottom w:w="0" w:type="dxa"/>
            <w:right w:w="108" w:type="dxa"/>
          </w:tblCellMar>
        </w:tblPrEx>
        <w:trPr>
          <w:trHeight w:val="367" w:hRule="atLeast"/>
        </w:trPr>
        <w:tc>
          <w:tcPr>
            <w:tcW w:w="9144" w:type="dxa"/>
            <w:gridSpan w:val="5"/>
            <w:tcBorders>
              <w:top w:val="single" w:color="1F2329" w:sz="4" w:space="0"/>
              <w:left w:val="single" w:color="1F2329" w:sz="4" w:space="0"/>
              <w:bottom w:val="single" w:color="1F2329" w:sz="4" w:space="0"/>
              <w:right w:val="single" w:color="1F2329" w:sz="4" w:space="0"/>
            </w:tcBorders>
            <w:shd w:val="clear" w:color="auto" w:fill="auto"/>
            <w:noWrap/>
            <w:vAlign w:val="center"/>
          </w:tcPr>
          <w:p w14:paraId="7E26A246">
            <w:pP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eastAsia="zh-CN" w:bidi="ar"/>
                <w14:textFill>
                  <w14:solidFill>
                    <w14:schemeClr w14:val="tx1"/>
                  </w14:solidFill>
                </w14:textFill>
              </w:rPr>
              <w:t>2 .土石方及支护工程</w:t>
            </w:r>
          </w:p>
        </w:tc>
      </w:tr>
      <w:tr w14:paraId="4A010923">
        <w:tblPrEx>
          <w:tblCellMar>
            <w:top w:w="0" w:type="dxa"/>
            <w:left w:w="108" w:type="dxa"/>
            <w:bottom w:w="0" w:type="dxa"/>
            <w:right w:w="108" w:type="dxa"/>
          </w:tblCellMar>
        </w:tblPrEx>
        <w:trPr>
          <w:trHeight w:val="1509" w:hRule="atLeast"/>
        </w:trPr>
        <w:tc>
          <w:tcPr>
            <w:tcW w:w="69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607B0464">
            <w:pP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5</w:t>
            </w:r>
          </w:p>
        </w:tc>
        <w:tc>
          <w:tcPr>
            <w:tcW w:w="79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6A645A46">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土石方工程</w:t>
            </w: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6E8297D">
            <w:pPr>
              <w:jc w:val="cente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基坑土方开挖（地下室底板垫层底标高以上300mm以上土方）工程</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338C7621">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1、负责按发包人提供开挖图编制基坑土方开挖方案，并进行土石方开挖、场内倒运及运输出场；负责基坑周边场平标高与冠梁顶标高间的放坡土方开挖及修边所产生土方的外运工作；护壁桩芯土、桩间土（含桩间网喷护壁修边所产生之土方）、基坑支护所需之斜撑基础开挖所产生之土方、冠梁土方等的外运工作；</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2、负责基坑土方施工阶段排水沟及集水坑施工，及集水坑的排水工作（明排）；</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3、负责自行解决基坑土方施工阶段临时施工出入口开口工作（含手续办理），临时出入口道路等的修建工作；并向桩基承包人免费提供使用；</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4、负责修建临时施工出入口的沉砂池、截水沟等，并负责自行购置临时出入口的冲洗设备；</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5、负责市政道路及施工区域的道路保护；</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6、负责自行解决临时施工用水、用电接驳；</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7、负责城管等周边外围关系协调并确保基坑土方工作顺利实施；</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8、负责土石方施工期间满足政府要求及招标人要求的防尘降尘工作，购置必要的防尘网、雾炮机等；</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9、负责施工作业范围内废弃建筑物基础、市政地下管线设施以及其他地下障碍物（如有）的破碎、拆除、外运工作；</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10、负责向政府缴纳渣土弃运费等相关费用。</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E9CA209">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1、基坑工程总承包人土石方开挖至地下室底板垫层底标高以上300mm标高，地下室底板垫层底标高300mm以下土方（人工捡底）由后续总承包人实施；若地质为石方，由基坑工程总承包人处理至底板垫层底标高；若设计有褥垫层时，由基坑工程总承包人处理至褥垫层底；</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2、凿除下的桩头外运，按照“谁施工谁负责外运”原则自行运出。</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3、后续施工单位负责所有电梯井、集水坑、独立基础、条形基础等开挖工作。</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4、桩基工程施工过程中产生的土方、泥浆由后续施工单位负责清理及外运。</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5、抗浮锚杆（如有）施工产生的土方等由后续施工单位负责实施。</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6、发包人有权对项目已有临时坡道等部位的土石方破除、开挖、外运等工作进行责任分判调整，调整给后续施工单位，基坑工程总承包人不得拒绝。</w:t>
            </w:r>
          </w:p>
        </w:tc>
      </w:tr>
      <w:tr w14:paraId="64D447CB">
        <w:tblPrEx>
          <w:tblCellMar>
            <w:top w:w="0" w:type="dxa"/>
            <w:left w:w="108" w:type="dxa"/>
            <w:bottom w:w="0" w:type="dxa"/>
            <w:right w:w="108" w:type="dxa"/>
          </w:tblCellMar>
        </w:tblPrEx>
        <w:trPr>
          <w:trHeight w:val="1509" w:hRule="atLeast"/>
        </w:trPr>
        <w:tc>
          <w:tcPr>
            <w:tcW w:w="698" w:type="dxa"/>
            <w:vMerge w:val="continue"/>
            <w:tcBorders>
              <w:left w:val="single" w:color="1F2329" w:sz="4" w:space="0"/>
              <w:right w:val="single" w:color="1F2329" w:sz="4" w:space="0"/>
            </w:tcBorders>
            <w:shd w:val="clear" w:color="auto" w:fill="auto"/>
            <w:noWrap/>
            <w:vAlign w:val="center"/>
          </w:tcPr>
          <w:p w14:paraId="24C863B3">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798" w:type="dxa"/>
            <w:vMerge w:val="continue"/>
            <w:tcBorders>
              <w:left w:val="single" w:color="1F2329" w:sz="4" w:space="0"/>
              <w:right w:val="single" w:color="1F2329" w:sz="4" w:space="0"/>
            </w:tcBorders>
            <w:shd w:val="clear" w:color="auto" w:fill="auto"/>
            <w:vAlign w:val="center"/>
          </w:tcPr>
          <w:p w14:paraId="36A597A7">
            <w:pPr>
              <w:jc w:val="cente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843" w:type="dxa"/>
            <w:vMerge w:val="continue"/>
            <w:tcBorders>
              <w:left w:val="single" w:color="1F2329" w:sz="4" w:space="0"/>
              <w:right w:val="single" w:color="1F2329" w:sz="4" w:space="0"/>
            </w:tcBorders>
            <w:shd w:val="clear" w:color="auto" w:fill="auto"/>
            <w:vAlign w:val="center"/>
          </w:tcPr>
          <w:p w14:paraId="09B7C267">
            <w:pPr>
              <w:jc w:val="cente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3258" w:type="dxa"/>
            <w:vMerge w:val="continue"/>
            <w:tcBorders>
              <w:left w:val="single" w:color="1F2329" w:sz="4" w:space="0"/>
              <w:right w:val="single" w:color="1F2329" w:sz="4" w:space="0"/>
            </w:tcBorders>
            <w:shd w:val="clear" w:color="auto" w:fill="auto"/>
            <w:vAlign w:val="center"/>
          </w:tcPr>
          <w:p w14:paraId="69A9B000">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3547" w:type="dxa"/>
            <w:vMerge w:val="continue"/>
            <w:tcBorders>
              <w:left w:val="single" w:color="1F2329" w:sz="4" w:space="0"/>
              <w:right w:val="single" w:color="1F2329" w:sz="4" w:space="0"/>
            </w:tcBorders>
            <w:shd w:val="clear" w:color="auto" w:fill="auto"/>
            <w:vAlign w:val="center"/>
          </w:tcPr>
          <w:p w14:paraId="2DD1CDE3">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r>
      <w:tr w14:paraId="093D8EE5">
        <w:tblPrEx>
          <w:tblCellMar>
            <w:top w:w="0" w:type="dxa"/>
            <w:left w:w="108" w:type="dxa"/>
            <w:bottom w:w="0" w:type="dxa"/>
            <w:right w:w="108" w:type="dxa"/>
          </w:tblCellMar>
        </w:tblPrEx>
        <w:trPr>
          <w:trHeight w:val="1509" w:hRule="atLeast"/>
        </w:trPr>
        <w:tc>
          <w:tcPr>
            <w:tcW w:w="698" w:type="dxa"/>
            <w:vMerge w:val="continue"/>
            <w:tcBorders>
              <w:left w:val="single" w:color="1F2329" w:sz="4" w:space="0"/>
              <w:right w:val="single" w:color="1F2329" w:sz="4" w:space="0"/>
            </w:tcBorders>
            <w:shd w:val="clear" w:color="auto" w:fill="auto"/>
            <w:noWrap/>
            <w:vAlign w:val="center"/>
          </w:tcPr>
          <w:p w14:paraId="3ED317C7">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798" w:type="dxa"/>
            <w:vMerge w:val="continue"/>
            <w:tcBorders>
              <w:left w:val="single" w:color="1F2329" w:sz="4" w:space="0"/>
              <w:right w:val="single" w:color="1F2329" w:sz="4" w:space="0"/>
            </w:tcBorders>
            <w:shd w:val="clear" w:color="auto" w:fill="auto"/>
            <w:vAlign w:val="center"/>
          </w:tcPr>
          <w:p w14:paraId="43440FC0">
            <w:pPr>
              <w:jc w:val="cente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843" w:type="dxa"/>
            <w:vMerge w:val="continue"/>
            <w:tcBorders>
              <w:left w:val="single" w:color="1F2329" w:sz="4" w:space="0"/>
              <w:right w:val="single" w:color="1F2329" w:sz="4" w:space="0"/>
            </w:tcBorders>
            <w:shd w:val="clear" w:color="auto" w:fill="auto"/>
            <w:vAlign w:val="center"/>
          </w:tcPr>
          <w:p w14:paraId="251D0627">
            <w:pPr>
              <w:jc w:val="cente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3258" w:type="dxa"/>
            <w:vMerge w:val="continue"/>
            <w:tcBorders>
              <w:left w:val="single" w:color="1F2329" w:sz="4" w:space="0"/>
              <w:right w:val="single" w:color="1F2329" w:sz="4" w:space="0"/>
            </w:tcBorders>
            <w:shd w:val="clear" w:color="auto" w:fill="auto"/>
            <w:vAlign w:val="center"/>
          </w:tcPr>
          <w:p w14:paraId="6581D1FE">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c>
          <w:tcPr>
            <w:tcW w:w="3547" w:type="dxa"/>
            <w:vMerge w:val="continue"/>
            <w:tcBorders>
              <w:left w:val="single" w:color="1F2329" w:sz="4" w:space="0"/>
              <w:right w:val="single" w:color="1F2329" w:sz="4" w:space="0"/>
            </w:tcBorders>
            <w:shd w:val="clear" w:color="auto" w:fill="auto"/>
            <w:vAlign w:val="center"/>
          </w:tcPr>
          <w:p w14:paraId="4061F695">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p>
        </w:tc>
      </w:tr>
      <w:tr w14:paraId="2C90797D">
        <w:tblPrEx>
          <w:tblCellMar>
            <w:top w:w="0" w:type="dxa"/>
            <w:left w:w="108" w:type="dxa"/>
            <w:bottom w:w="0" w:type="dxa"/>
            <w:right w:w="108" w:type="dxa"/>
          </w:tblCellMar>
        </w:tblPrEx>
        <w:trPr>
          <w:trHeight w:val="685"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199F95B9">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A3FAC55">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7C2EF5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C652B8F">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044DAF3">
            <w:pPr>
              <w:rPr>
                <w:rFonts w:ascii="仿宋" w:hAnsi="仿宋" w:eastAsia="仿宋" w:cs="仿宋"/>
                <w:color w:val="000000" w:themeColor="text1"/>
                <w:sz w:val="21"/>
                <w:szCs w:val="21"/>
                <w:highlight w:val="none"/>
                <w:lang w:eastAsia="zh-CN"/>
                <w14:textFill>
                  <w14:solidFill>
                    <w14:schemeClr w14:val="tx1"/>
                  </w14:solidFill>
                </w14:textFill>
              </w:rPr>
            </w:pPr>
          </w:p>
        </w:tc>
      </w:tr>
      <w:tr w14:paraId="4E22B833">
        <w:tblPrEx>
          <w:tblCellMar>
            <w:top w:w="0" w:type="dxa"/>
            <w:left w:w="108" w:type="dxa"/>
            <w:bottom w:w="0" w:type="dxa"/>
            <w:right w:w="108" w:type="dxa"/>
          </w:tblCellMar>
        </w:tblPrEx>
        <w:trPr>
          <w:trHeight w:val="35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D9188C0">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3380D83">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86B134F">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ED0AAC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6351991">
            <w:pPr>
              <w:rPr>
                <w:rFonts w:ascii="仿宋" w:hAnsi="仿宋" w:eastAsia="仿宋" w:cs="仿宋"/>
                <w:color w:val="000000" w:themeColor="text1"/>
                <w:sz w:val="21"/>
                <w:szCs w:val="21"/>
                <w:highlight w:val="none"/>
                <w:lang w:eastAsia="zh-CN"/>
                <w14:textFill>
                  <w14:solidFill>
                    <w14:schemeClr w14:val="tx1"/>
                  </w14:solidFill>
                </w14:textFill>
              </w:rPr>
            </w:pPr>
          </w:p>
        </w:tc>
      </w:tr>
      <w:tr w14:paraId="7467F468">
        <w:tblPrEx>
          <w:tblCellMar>
            <w:top w:w="0" w:type="dxa"/>
            <w:left w:w="108" w:type="dxa"/>
            <w:bottom w:w="0" w:type="dxa"/>
            <w:right w:w="108" w:type="dxa"/>
          </w:tblCellMar>
        </w:tblPrEx>
        <w:trPr>
          <w:trHeight w:val="801"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25016547">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1972C16">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F8312E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279B3C9">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1F30DDF">
            <w:pPr>
              <w:rPr>
                <w:rFonts w:ascii="仿宋" w:hAnsi="仿宋" w:eastAsia="仿宋" w:cs="仿宋"/>
                <w:color w:val="000000" w:themeColor="text1"/>
                <w:sz w:val="21"/>
                <w:szCs w:val="21"/>
                <w:highlight w:val="none"/>
                <w:lang w:eastAsia="zh-CN"/>
                <w14:textFill>
                  <w14:solidFill>
                    <w14:schemeClr w14:val="tx1"/>
                  </w14:solidFill>
                </w14:textFill>
              </w:rPr>
            </w:pPr>
          </w:p>
        </w:tc>
      </w:tr>
      <w:tr w14:paraId="0E475F14">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53183629">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2E2B0D0">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DA60750">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573432E">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1E5219D">
            <w:pPr>
              <w:rPr>
                <w:rFonts w:ascii="仿宋" w:hAnsi="仿宋" w:eastAsia="仿宋" w:cs="仿宋"/>
                <w:color w:val="000000" w:themeColor="text1"/>
                <w:sz w:val="21"/>
                <w:szCs w:val="21"/>
                <w:highlight w:val="none"/>
                <w:lang w:eastAsia="zh-CN"/>
                <w14:textFill>
                  <w14:solidFill>
                    <w14:schemeClr w14:val="tx1"/>
                  </w14:solidFill>
                </w14:textFill>
              </w:rPr>
            </w:pPr>
          </w:p>
        </w:tc>
      </w:tr>
      <w:tr w14:paraId="03C01577">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31729FA">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AB24001">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34E143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56A887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3028BF5">
            <w:pPr>
              <w:rPr>
                <w:rFonts w:ascii="仿宋" w:hAnsi="仿宋" w:eastAsia="仿宋" w:cs="仿宋"/>
                <w:color w:val="000000" w:themeColor="text1"/>
                <w:sz w:val="21"/>
                <w:szCs w:val="21"/>
                <w:highlight w:val="none"/>
                <w:lang w:eastAsia="zh-CN"/>
                <w14:textFill>
                  <w14:solidFill>
                    <w14:schemeClr w14:val="tx1"/>
                  </w14:solidFill>
                </w14:textFill>
              </w:rPr>
            </w:pPr>
          </w:p>
        </w:tc>
      </w:tr>
      <w:tr w14:paraId="6F06C9D0">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B043970">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C1C7B4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BB1CA0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EA03EC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495B9D4">
            <w:pPr>
              <w:rPr>
                <w:rFonts w:ascii="仿宋" w:hAnsi="仿宋" w:eastAsia="仿宋" w:cs="仿宋"/>
                <w:color w:val="000000" w:themeColor="text1"/>
                <w:sz w:val="21"/>
                <w:szCs w:val="21"/>
                <w:highlight w:val="none"/>
                <w:lang w:eastAsia="zh-CN"/>
                <w14:textFill>
                  <w14:solidFill>
                    <w14:schemeClr w14:val="tx1"/>
                  </w14:solidFill>
                </w14:textFill>
              </w:rPr>
            </w:pPr>
          </w:p>
        </w:tc>
      </w:tr>
      <w:tr w14:paraId="3ADC23F4">
        <w:tblPrEx>
          <w:tblCellMar>
            <w:top w:w="0" w:type="dxa"/>
            <w:left w:w="108" w:type="dxa"/>
            <w:bottom w:w="0" w:type="dxa"/>
            <w:right w:w="108" w:type="dxa"/>
          </w:tblCellMar>
        </w:tblPrEx>
        <w:trPr>
          <w:trHeight w:val="78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2791B8F">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B23257A">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E617BC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CD685EA">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CDC4F54">
            <w:pPr>
              <w:rPr>
                <w:rFonts w:ascii="仿宋" w:hAnsi="仿宋" w:eastAsia="仿宋" w:cs="仿宋"/>
                <w:color w:val="000000" w:themeColor="text1"/>
                <w:sz w:val="21"/>
                <w:szCs w:val="21"/>
                <w:highlight w:val="none"/>
                <w:lang w:eastAsia="zh-CN"/>
                <w14:textFill>
                  <w14:solidFill>
                    <w14:schemeClr w14:val="tx1"/>
                  </w14:solidFill>
                </w14:textFill>
              </w:rPr>
            </w:pPr>
          </w:p>
        </w:tc>
      </w:tr>
      <w:tr w14:paraId="02FC4D3E">
        <w:tblPrEx>
          <w:tblCellMar>
            <w:top w:w="0" w:type="dxa"/>
            <w:left w:w="108" w:type="dxa"/>
            <w:bottom w:w="0" w:type="dxa"/>
            <w:right w:w="108" w:type="dxa"/>
          </w:tblCellMar>
        </w:tblPrEx>
        <w:trPr>
          <w:trHeight w:val="35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2A5C2AB3">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CDECD73">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A7C85FF">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62D83F2">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B2B9B93">
            <w:pPr>
              <w:rPr>
                <w:rFonts w:ascii="仿宋" w:hAnsi="仿宋" w:eastAsia="仿宋" w:cs="仿宋"/>
                <w:color w:val="000000" w:themeColor="text1"/>
                <w:sz w:val="21"/>
                <w:szCs w:val="21"/>
                <w:highlight w:val="none"/>
                <w:lang w:eastAsia="zh-CN"/>
                <w14:textFill>
                  <w14:solidFill>
                    <w14:schemeClr w14:val="tx1"/>
                  </w14:solidFill>
                </w14:textFill>
              </w:rPr>
            </w:pPr>
          </w:p>
        </w:tc>
      </w:tr>
      <w:tr w14:paraId="6B8E2E01">
        <w:tblPrEx>
          <w:tblCellMar>
            <w:top w:w="0" w:type="dxa"/>
            <w:left w:w="108" w:type="dxa"/>
            <w:bottom w:w="0" w:type="dxa"/>
            <w:right w:w="108" w:type="dxa"/>
          </w:tblCellMar>
        </w:tblPrEx>
        <w:trPr>
          <w:trHeight w:val="1437"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242BFA4C">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62E06FC">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auto" w:sz="4" w:space="0"/>
              <w:right w:val="single" w:color="1F2329" w:sz="4" w:space="0"/>
            </w:tcBorders>
            <w:shd w:val="clear" w:color="auto" w:fill="auto"/>
            <w:vAlign w:val="center"/>
          </w:tcPr>
          <w:p w14:paraId="6ECEC610">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auto" w:sz="4" w:space="0"/>
              <w:right w:val="single" w:color="1F2329" w:sz="4" w:space="0"/>
            </w:tcBorders>
            <w:shd w:val="clear" w:color="auto" w:fill="auto"/>
            <w:vAlign w:val="center"/>
          </w:tcPr>
          <w:p w14:paraId="0D914FD2">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auto" w:sz="4" w:space="0"/>
              <w:right w:val="single" w:color="1F2329" w:sz="4" w:space="0"/>
            </w:tcBorders>
            <w:shd w:val="clear" w:color="auto" w:fill="auto"/>
            <w:vAlign w:val="center"/>
          </w:tcPr>
          <w:p w14:paraId="1AAFF672">
            <w:pPr>
              <w:rPr>
                <w:rFonts w:ascii="仿宋" w:hAnsi="仿宋" w:eastAsia="仿宋" w:cs="仿宋"/>
                <w:color w:val="000000" w:themeColor="text1"/>
                <w:sz w:val="21"/>
                <w:szCs w:val="21"/>
                <w:highlight w:val="none"/>
                <w:lang w:eastAsia="zh-CN"/>
                <w14:textFill>
                  <w14:solidFill>
                    <w14:schemeClr w14:val="tx1"/>
                  </w14:solidFill>
                </w14:textFill>
              </w:rPr>
            </w:pPr>
          </w:p>
        </w:tc>
      </w:tr>
      <w:tr w14:paraId="44191A6D">
        <w:tblPrEx>
          <w:tblCellMar>
            <w:top w:w="0" w:type="dxa"/>
            <w:left w:w="108" w:type="dxa"/>
            <w:bottom w:w="0" w:type="dxa"/>
            <w:right w:w="108" w:type="dxa"/>
          </w:tblCellMar>
        </w:tblPrEx>
        <w:trPr>
          <w:trHeight w:val="908" w:hRule="atLeast"/>
        </w:trPr>
        <w:tc>
          <w:tcPr>
            <w:tcW w:w="698" w:type="dxa"/>
            <w:vMerge w:val="continue"/>
            <w:tcBorders>
              <w:left w:val="single" w:color="1F2329" w:sz="4" w:space="0"/>
              <w:bottom w:val="single" w:color="1F2329" w:sz="4" w:space="0"/>
              <w:right w:val="single" w:color="1F2329" w:sz="4" w:space="0"/>
            </w:tcBorders>
            <w:shd w:val="clear" w:color="auto" w:fill="auto"/>
            <w:noWrap/>
            <w:vAlign w:val="center"/>
          </w:tcPr>
          <w:p w14:paraId="4887DE37">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left w:val="single" w:color="1F2329" w:sz="4" w:space="0"/>
              <w:bottom w:val="single" w:color="1F2329" w:sz="4" w:space="0"/>
              <w:right w:val="single" w:color="1F2329" w:sz="4" w:space="0"/>
            </w:tcBorders>
            <w:shd w:val="clear" w:color="auto" w:fill="auto"/>
            <w:vAlign w:val="center"/>
          </w:tcPr>
          <w:p w14:paraId="1F64B59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tcBorders>
              <w:top w:val="single" w:color="auto" w:sz="4" w:space="0"/>
              <w:left w:val="single" w:color="1F2329" w:sz="4" w:space="0"/>
              <w:bottom w:val="single" w:color="1F2329" w:sz="4" w:space="0"/>
              <w:right w:val="single" w:color="1F2329" w:sz="4" w:space="0"/>
            </w:tcBorders>
            <w:shd w:val="clear" w:color="auto" w:fill="auto"/>
            <w:vAlign w:val="center"/>
          </w:tcPr>
          <w:p w14:paraId="7596C12F">
            <w:pPr>
              <w:jc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土方回填</w:t>
            </w:r>
          </w:p>
        </w:tc>
        <w:tc>
          <w:tcPr>
            <w:tcW w:w="3258" w:type="dxa"/>
            <w:tcBorders>
              <w:top w:val="single" w:color="auto" w:sz="4" w:space="0"/>
              <w:left w:val="single" w:color="1F2329" w:sz="4" w:space="0"/>
              <w:bottom w:val="single" w:color="1F2329" w:sz="4" w:space="0"/>
              <w:right w:val="single" w:color="1F2329" w:sz="4" w:space="0"/>
            </w:tcBorders>
            <w:shd w:val="clear" w:color="auto" w:fill="auto"/>
            <w:vAlign w:val="center"/>
          </w:tcPr>
          <w:p w14:paraId="337E20C9">
            <w:pPr>
              <w:numPr>
                <w:ilvl w:val="255"/>
                <w:numId w:val="0"/>
              </w:num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负责地下室侧壁和顶板等土方回填，包含土方外购、运输、压实等工作内容；回填至室外工程完成面标高以下300mm。</w:t>
            </w:r>
          </w:p>
        </w:tc>
        <w:tc>
          <w:tcPr>
            <w:tcW w:w="3547" w:type="dxa"/>
            <w:tcBorders>
              <w:top w:val="single" w:color="auto" w:sz="4" w:space="0"/>
              <w:left w:val="single" w:color="1F2329" w:sz="4" w:space="0"/>
              <w:bottom w:val="single" w:color="1F2329" w:sz="4" w:space="0"/>
              <w:right w:val="single" w:color="1F2329" w:sz="4" w:space="0"/>
            </w:tcBorders>
            <w:shd w:val="clear" w:color="auto" w:fill="auto"/>
            <w:vAlign w:val="center"/>
          </w:tcPr>
          <w:p w14:paraId="08BC8A7A">
            <w:pP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基坑工程总承包负责土方回填至景观完成面标高以下300mm，剩余回填土及微地形、堆坡造型等全部由后续施工单位负责。</w:t>
            </w:r>
          </w:p>
        </w:tc>
      </w:tr>
      <w:tr w14:paraId="3A923CD2">
        <w:tblPrEx>
          <w:tblCellMar>
            <w:top w:w="0" w:type="dxa"/>
            <w:left w:w="108" w:type="dxa"/>
            <w:bottom w:w="0" w:type="dxa"/>
            <w:right w:w="108" w:type="dxa"/>
          </w:tblCellMar>
        </w:tblPrEx>
        <w:trPr>
          <w:trHeight w:val="353" w:hRule="atLeast"/>
        </w:trPr>
        <w:tc>
          <w:tcPr>
            <w:tcW w:w="698" w:type="dxa"/>
            <w:vMerge w:val="restart"/>
            <w:tcBorders>
              <w:top w:val="single" w:color="1F2329" w:sz="4" w:space="0"/>
              <w:left w:val="single" w:color="1F2329" w:sz="4" w:space="0"/>
              <w:bottom w:val="single" w:color="1F2329" w:sz="4" w:space="0"/>
              <w:right w:val="single" w:color="1F2329" w:sz="4" w:space="0"/>
            </w:tcBorders>
            <w:shd w:val="clear" w:color="auto" w:fill="auto"/>
            <w:noWrap/>
            <w:vAlign w:val="center"/>
          </w:tcPr>
          <w:p w14:paraId="1217929B">
            <w:pP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6</w:t>
            </w:r>
          </w:p>
        </w:tc>
        <w:tc>
          <w:tcPr>
            <w:tcW w:w="79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D5FF0F8">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支护工程</w:t>
            </w: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54AC1776">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基坑支护工程</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690CDAA3">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工作内容包括但不限于：</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1、负责基坑支护施工方案的专项论证及施工报建，并负责深基坑施工许可证等相关手续的办理（若有）；临地铁项目需负责相应的地铁方报审手续办理；</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2、负责按通过专项论证的基坑支护方案进行基坑支护（含内支撑）施工；</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3、负责自行解决临时施工用水、用电接驳；</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4、按照发包方标准化要求负责基坑上口周边的截水沟、排水沟、基坑周边安全围挡及警示设施等；</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5、负责基坑支护作业范围内基坑土方开挖施工完成后的基坑壁修边工作；</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6、负责基坑周边场平标高与冠梁顶标高间的放坡土方开挖及修边等；</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7、负责自购材料按规范或政府部门的有关规定而进行的材料检验或实验；</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8、负责实施相关质量监督部门要求的一切工程质量抽检等检测；负责基坑土方施工过程中对基坑变形进行监测；配合基坑检测及监测单位工作的开展；</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9、负责变形观测点的保护工作、日常巡视巡查、记录及配合第三方监测；</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10、支护结构偏差部分的凿除由支护承包人负责凿除。</w:t>
            </w:r>
          </w:p>
          <w:p w14:paraId="2D2C9813">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11、负责基坑支护内支撑系统拆除及建渣清运。</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2D2EA38">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 xml:space="preserve">1、基坑周边场平标高与冠梁顶标高间的放坡土方开挖及修边所产生土方的外运工作由基坑工程总承包单位负责； </w:t>
            </w:r>
          </w:p>
          <w:p w14:paraId="10702D9B">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2、后续施工单位进场后因工程建设过程中需要对基坑支护工程中的搅拌桩、灌注桩、冠梁、腰梁、内支撑、斜撑、立柱等拆除及清运等工作由后续施工单位负责实施。</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 xml:space="preserve">3、基坑工程总承包单位完工退场进行场地移交前，基坑上口周边截水沟、排水沟、基坑周边安全围挡及警示设施等由基坑工程总承包单位负责日常维护、修缮等管理，移交后续施工单位后由后续施工单位负责根据政府政策、发包人等要求进行新建、增设、维护、修缮及后续的拆除等管理； </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4、基坑工程总承包单位合同内容完成大部分后组织进行移交，具体移交时间由发包人根据项目实际情况进行确认，基坑工程总承包单位及后续施工单位不得拒绝。</w:t>
            </w:r>
          </w:p>
        </w:tc>
      </w:tr>
      <w:tr w14:paraId="3E446D68">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17340FE5">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352823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F5AFA8F">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04B13B7">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B405689">
            <w:pPr>
              <w:rPr>
                <w:rFonts w:ascii="仿宋" w:hAnsi="仿宋" w:eastAsia="仿宋" w:cs="仿宋"/>
                <w:color w:val="000000" w:themeColor="text1"/>
                <w:sz w:val="21"/>
                <w:szCs w:val="21"/>
                <w:highlight w:val="none"/>
                <w:lang w:eastAsia="zh-CN"/>
                <w14:textFill>
                  <w14:solidFill>
                    <w14:schemeClr w14:val="tx1"/>
                  </w14:solidFill>
                </w14:textFill>
              </w:rPr>
            </w:pPr>
          </w:p>
        </w:tc>
      </w:tr>
      <w:tr w14:paraId="1DF276FF">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2260BFE">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8A6E79D">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61051C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B1EB7D5">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47F2D1D">
            <w:pPr>
              <w:rPr>
                <w:rFonts w:ascii="仿宋" w:hAnsi="仿宋" w:eastAsia="仿宋" w:cs="仿宋"/>
                <w:color w:val="000000" w:themeColor="text1"/>
                <w:sz w:val="21"/>
                <w:szCs w:val="21"/>
                <w:highlight w:val="none"/>
                <w:lang w:eastAsia="zh-CN"/>
                <w14:textFill>
                  <w14:solidFill>
                    <w14:schemeClr w14:val="tx1"/>
                  </w14:solidFill>
                </w14:textFill>
              </w:rPr>
            </w:pPr>
          </w:p>
        </w:tc>
      </w:tr>
      <w:tr w14:paraId="4FE0CACF">
        <w:tblPrEx>
          <w:tblCellMar>
            <w:top w:w="0" w:type="dxa"/>
            <w:left w:w="108" w:type="dxa"/>
            <w:bottom w:w="0" w:type="dxa"/>
            <w:right w:w="108" w:type="dxa"/>
          </w:tblCellMar>
        </w:tblPrEx>
        <w:trPr>
          <w:trHeight w:val="905"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9CBD6B8">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BF958FE">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7D7BD66">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A89C394">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220D038">
            <w:pPr>
              <w:rPr>
                <w:rFonts w:ascii="仿宋" w:hAnsi="仿宋" w:eastAsia="仿宋" w:cs="仿宋"/>
                <w:color w:val="000000" w:themeColor="text1"/>
                <w:sz w:val="21"/>
                <w:szCs w:val="21"/>
                <w:highlight w:val="none"/>
                <w:lang w:eastAsia="zh-CN"/>
                <w14:textFill>
                  <w14:solidFill>
                    <w14:schemeClr w14:val="tx1"/>
                  </w14:solidFill>
                </w14:textFill>
              </w:rPr>
            </w:pPr>
          </w:p>
        </w:tc>
      </w:tr>
      <w:tr w14:paraId="101293E3">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DD15890">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33F85B2">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6F8E165">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4EBB076">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0DD97BA">
            <w:pPr>
              <w:rPr>
                <w:rFonts w:ascii="仿宋" w:hAnsi="仿宋" w:eastAsia="仿宋" w:cs="仿宋"/>
                <w:color w:val="000000" w:themeColor="text1"/>
                <w:sz w:val="21"/>
                <w:szCs w:val="21"/>
                <w:highlight w:val="none"/>
                <w:lang w:eastAsia="zh-CN"/>
                <w14:textFill>
                  <w14:solidFill>
                    <w14:schemeClr w14:val="tx1"/>
                  </w14:solidFill>
                </w14:textFill>
              </w:rPr>
            </w:pPr>
          </w:p>
        </w:tc>
      </w:tr>
      <w:tr w14:paraId="2D7AFF4F">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3C032B9">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F66B31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1F0F83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46FD3EA">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12181BC">
            <w:pPr>
              <w:rPr>
                <w:rFonts w:ascii="仿宋" w:hAnsi="仿宋" w:eastAsia="仿宋" w:cs="仿宋"/>
                <w:color w:val="000000" w:themeColor="text1"/>
                <w:sz w:val="21"/>
                <w:szCs w:val="21"/>
                <w:highlight w:val="none"/>
                <w:lang w:eastAsia="zh-CN"/>
                <w14:textFill>
                  <w14:solidFill>
                    <w14:schemeClr w14:val="tx1"/>
                  </w14:solidFill>
                </w14:textFill>
              </w:rPr>
            </w:pPr>
          </w:p>
        </w:tc>
      </w:tr>
      <w:tr w14:paraId="696F23A5">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2A156D5">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28D211D">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B3C396A">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0737638">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88B0C99">
            <w:pPr>
              <w:rPr>
                <w:rFonts w:ascii="仿宋" w:hAnsi="仿宋" w:eastAsia="仿宋" w:cs="仿宋"/>
                <w:color w:val="000000" w:themeColor="text1"/>
                <w:sz w:val="21"/>
                <w:szCs w:val="21"/>
                <w:highlight w:val="none"/>
                <w:lang w:eastAsia="zh-CN"/>
                <w14:textFill>
                  <w14:solidFill>
                    <w14:schemeClr w14:val="tx1"/>
                  </w14:solidFill>
                </w14:textFill>
              </w:rPr>
            </w:pPr>
          </w:p>
        </w:tc>
      </w:tr>
      <w:tr w14:paraId="1B15E826">
        <w:tblPrEx>
          <w:tblCellMar>
            <w:top w:w="0" w:type="dxa"/>
            <w:left w:w="108" w:type="dxa"/>
            <w:bottom w:w="0" w:type="dxa"/>
            <w:right w:w="108" w:type="dxa"/>
          </w:tblCellMar>
        </w:tblPrEx>
        <w:trPr>
          <w:trHeight w:val="1072"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7B75784">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FA5565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4EE3D52">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2B3340D">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FE0B894">
            <w:pPr>
              <w:rPr>
                <w:rFonts w:ascii="仿宋" w:hAnsi="仿宋" w:eastAsia="仿宋" w:cs="仿宋"/>
                <w:color w:val="000000" w:themeColor="text1"/>
                <w:sz w:val="21"/>
                <w:szCs w:val="21"/>
                <w:highlight w:val="none"/>
                <w:lang w:eastAsia="zh-CN"/>
                <w14:textFill>
                  <w14:solidFill>
                    <w14:schemeClr w14:val="tx1"/>
                  </w14:solidFill>
                </w14:textFill>
              </w:rPr>
            </w:pPr>
          </w:p>
        </w:tc>
      </w:tr>
      <w:tr w14:paraId="5DD462A3">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277C050">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71993FB">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B4ED2A2">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9F37182">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B566E5B">
            <w:pPr>
              <w:rPr>
                <w:rFonts w:ascii="仿宋" w:hAnsi="仿宋" w:eastAsia="仿宋" w:cs="仿宋"/>
                <w:color w:val="000000" w:themeColor="text1"/>
                <w:sz w:val="21"/>
                <w:szCs w:val="21"/>
                <w:highlight w:val="none"/>
                <w:lang w:eastAsia="zh-CN"/>
                <w14:textFill>
                  <w14:solidFill>
                    <w14:schemeClr w14:val="tx1"/>
                  </w14:solidFill>
                </w14:textFill>
              </w:rPr>
            </w:pPr>
          </w:p>
        </w:tc>
      </w:tr>
      <w:tr w14:paraId="17D43F44">
        <w:tblPrEx>
          <w:tblCellMar>
            <w:top w:w="0" w:type="dxa"/>
            <w:left w:w="108" w:type="dxa"/>
            <w:bottom w:w="0" w:type="dxa"/>
            <w:right w:w="108" w:type="dxa"/>
          </w:tblCellMar>
        </w:tblPrEx>
        <w:trPr>
          <w:trHeight w:val="4431"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7D8EF4B">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860CF30">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4F92E1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66A1765">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F10853C">
            <w:pPr>
              <w:rPr>
                <w:rFonts w:ascii="仿宋" w:hAnsi="仿宋" w:eastAsia="仿宋" w:cs="仿宋"/>
                <w:color w:val="000000" w:themeColor="text1"/>
                <w:sz w:val="21"/>
                <w:szCs w:val="21"/>
                <w:highlight w:val="none"/>
                <w:lang w:eastAsia="zh-CN"/>
                <w14:textFill>
                  <w14:solidFill>
                    <w14:schemeClr w14:val="tx1"/>
                  </w14:solidFill>
                </w14:textFill>
              </w:rPr>
            </w:pPr>
          </w:p>
        </w:tc>
      </w:tr>
      <w:tr w14:paraId="13B91ED0">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448BDFD5">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516B6D6">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1370FC06">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边坡工程</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70812235">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工作内容包括但不限于：</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1、负责边坡工程施工的专项论证、报建及相关证照办理（若有）；</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2、负责按通过专项论证的边坡工程图纸施工；</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3、负责施工过程中边坡工程的监测工作；</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4、负责自购材料按规范或政府部门的有关规定而进行的材料检验或实验；</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5、负责边坡工程的相关验收工作（若有）；</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6、负责边坡机械开挖后的人工修坡。</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250A35A7">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ascii="仿宋" w:hAnsi="仿宋" w:eastAsia="仿宋" w:cs="仿宋"/>
                <w:color w:val="000000" w:themeColor="text1"/>
                <w:sz w:val="21"/>
                <w:szCs w:val="21"/>
                <w:highlight w:val="none"/>
                <w:lang w:eastAsia="zh-CN" w:bidi="ar"/>
                <w14:textFill>
                  <w14:solidFill>
                    <w14:schemeClr w14:val="tx1"/>
                  </w14:solidFill>
                </w14:textFill>
              </w:rPr>
              <w:t>1、移交后续</w:t>
            </w:r>
            <w:r>
              <w:rPr>
                <w:rFonts w:hint="eastAsia" w:ascii="仿宋" w:hAnsi="仿宋" w:eastAsia="仿宋" w:cs="仿宋"/>
                <w:color w:val="000000" w:themeColor="text1"/>
                <w:sz w:val="21"/>
                <w:szCs w:val="21"/>
                <w:highlight w:val="none"/>
                <w:lang w:eastAsia="zh-CN" w:bidi="ar"/>
                <w14:textFill>
                  <w14:solidFill>
                    <w14:schemeClr w14:val="tx1"/>
                  </w14:solidFill>
                </w14:textFill>
              </w:rPr>
              <w:t>施工单位前，基坑工程总承包单位需对变形观测点的保护工作、日常巡视巡查及配合第三方监测；</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2、基坑工程总承包单位合同内容完成大部分后组织进行移交，具体移交时间由发包人根据项目时间情况进行确认，基坑工程总承包单位及后续施工单位不得拒绝。</w:t>
            </w:r>
          </w:p>
        </w:tc>
      </w:tr>
      <w:tr w14:paraId="35BFE862">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FDFCE8E">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803F1E2">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A632BD8">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995AE8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E5609BA">
            <w:pPr>
              <w:rPr>
                <w:rFonts w:ascii="仿宋" w:hAnsi="仿宋" w:eastAsia="仿宋" w:cs="仿宋"/>
                <w:color w:val="000000" w:themeColor="text1"/>
                <w:sz w:val="21"/>
                <w:szCs w:val="21"/>
                <w:highlight w:val="none"/>
                <w:lang w:eastAsia="zh-CN"/>
                <w14:textFill>
                  <w14:solidFill>
                    <w14:schemeClr w14:val="tx1"/>
                  </w14:solidFill>
                </w14:textFill>
              </w:rPr>
            </w:pPr>
          </w:p>
        </w:tc>
      </w:tr>
      <w:tr w14:paraId="6AB9BF46">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1E42B9D7">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0E0367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496200A">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E57EAEF">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DDCCD39">
            <w:pPr>
              <w:rPr>
                <w:rFonts w:ascii="仿宋" w:hAnsi="仿宋" w:eastAsia="仿宋" w:cs="仿宋"/>
                <w:color w:val="000000" w:themeColor="text1"/>
                <w:sz w:val="21"/>
                <w:szCs w:val="21"/>
                <w:highlight w:val="none"/>
                <w:lang w:eastAsia="zh-CN"/>
                <w14:textFill>
                  <w14:solidFill>
                    <w14:schemeClr w14:val="tx1"/>
                  </w14:solidFill>
                </w14:textFill>
              </w:rPr>
            </w:pPr>
          </w:p>
        </w:tc>
      </w:tr>
      <w:tr w14:paraId="0C447CB9">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2EBC9C7">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AA8BFF7">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6D95D7F">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BE480CB">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82DB34D">
            <w:pPr>
              <w:rPr>
                <w:rFonts w:ascii="仿宋" w:hAnsi="仿宋" w:eastAsia="仿宋" w:cs="仿宋"/>
                <w:color w:val="000000" w:themeColor="text1"/>
                <w:sz w:val="21"/>
                <w:szCs w:val="21"/>
                <w:highlight w:val="none"/>
                <w:lang w:eastAsia="zh-CN"/>
                <w14:textFill>
                  <w14:solidFill>
                    <w14:schemeClr w14:val="tx1"/>
                  </w14:solidFill>
                </w14:textFill>
              </w:rPr>
            </w:pPr>
          </w:p>
        </w:tc>
      </w:tr>
      <w:tr w14:paraId="2C86614A">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A71807A">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F5A95CC">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13185E8">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3EAE41C">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53DBCF3">
            <w:pPr>
              <w:rPr>
                <w:rFonts w:ascii="仿宋" w:hAnsi="仿宋" w:eastAsia="仿宋" w:cs="仿宋"/>
                <w:color w:val="000000" w:themeColor="text1"/>
                <w:sz w:val="21"/>
                <w:szCs w:val="21"/>
                <w:highlight w:val="none"/>
                <w:lang w:eastAsia="zh-CN"/>
                <w14:textFill>
                  <w14:solidFill>
                    <w14:schemeClr w14:val="tx1"/>
                  </w14:solidFill>
                </w14:textFill>
              </w:rPr>
            </w:pPr>
          </w:p>
        </w:tc>
      </w:tr>
      <w:tr w14:paraId="24021A62">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3A4F1166">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65B54C5">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78CFAD74">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23E3B91">
            <w:pPr>
              <w:rPr>
                <w:rFonts w:ascii="仿宋" w:hAnsi="仿宋" w:eastAsia="仿宋" w:cs="仿宋"/>
                <w:color w:val="000000" w:themeColor="text1"/>
                <w:sz w:val="21"/>
                <w:szCs w:val="21"/>
                <w:highlight w:val="none"/>
                <w:lang w:eastAsia="zh-CN"/>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38801067">
            <w:pPr>
              <w:rPr>
                <w:rFonts w:ascii="仿宋" w:hAnsi="仿宋" w:eastAsia="仿宋" w:cs="仿宋"/>
                <w:color w:val="000000" w:themeColor="text1"/>
                <w:sz w:val="21"/>
                <w:szCs w:val="21"/>
                <w:highlight w:val="none"/>
                <w:lang w:eastAsia="zh-CN"/>
                <w14:textFill>
                  <w14:solidFill>
                    <w14:schemeClr w14:val="tx1"/>
                  </w14:solidFill>
                </w14:textFill>
              </w:rPr>
            </w:pPr>
          </w:p>
        </w:tc>
      </w:tr>
      <w:tr w14:paraId="0CD2BFAB">
        <w:tblPrEx>
          <w:tblCellMar>
            <w:top w:w="0" w:type="dxa"/>
            <w:left w:w="108" w:type="dxa"/>
            <w:bottom w:w="0" w:type="dxa"/>
            <w:right w:w="108" w:type="dxa"/>
          </w:tblCellMar>
        </w:tblPrEx>
        <w:trPr>
          <w:trHeight w:val="35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7FBAE8B4">
            <w:pPr>
              <w:rPr>
                <w:rFonts w:ascii="仿宋" w:hAnsi="仿宋" w:eastAsia="仿宋" w:cs="仿宋"/>
                <w:color w:val="000000" w:themeColor="text1"/>
                <w:sz w:val="21"/>
                <w:szCs w:val="21"/>
                <w:highlight w:val="none"/>
                <w:lang w:eastAsia="zh-CN"/>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07E500E">
            <w:pPr>
              <w:jc w:val="center"/>
              <w:rPr>
                <w:rFonts w:ascii="仿宋" w:hAnsi="仿宋" w:eastAsia="仿宋" w:cs="仿宋"/>
                <w:color w:val="000000" w:themeColor="text1"/>
                <w:sz w:val="21"/>
                <w:szCs w:val="21"/>
                <w:highlight w:val="none"/>
                <w:lang w:eastAsia="zh-CN"/>
                <w14:textFill>
                  <w14:solidFill>
                    <w14:schemeClr w14:val="tx1"/>
                  </w14:solidFill>
                </w14:textFill>
              </w:rPr>
            </w:pPr>
          </w:p>
        </w:tc>
        <w:tc>
          <w:tcPr>
            <w:tcW w:w="843"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48D1FCEE">
            <w:pPr>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基坑降水排水</w:t>
            </w:r>
          </w:p>
        </w:tc>
        <w:tc>
          <w:tcPr>
            <w:tcW w:w="3258"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3AE11A1E">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工作内容包括但不限于：</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1、负责基坑降水、排水方案的专项论证及施工报建，并负责与政府有关部门办理降水施工所需之相关手续（含水资源费）；</w:t>
            </w:r>
            <w:r>
              <w:rPr>
                <w:rFonts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ascii="仿宋" w:hAnsi="仿宋" w:eastAsia="仿宋" w:cs="仿宋"/>
                <w:color w:val="000000" w:themeColor="text1"/>
                <w:sz w:val="21"/>
                <w:szCs w:val="21"/>
                <w:highlight w:val="none"/>
                <w:lang w:eastAsia="zh-CN" w:bidi="ar"/>
                <w14:textFill>
                  <w14:solidFill>
                    <w14:schemeClr w14:val="tx1"/>
                  </w14:solidFill>
                </w14:textFill>
              </w:rPr>
              <w:t>2、负责按通过论证的基坑降水、排水方案进行降水</w:t>
            </w:r>
            <w:r>
              <w:rPr>
                <w:rFonts w:hint="eastAsia" w:ascii="仿宋" w:hAnsi="仿宋" w:eastAsia="仿宋" w:cs="仿宋"/>
                <w:color w:val="000000" w:themeColor="text1"/>
                <w:sz w:val="21"/>
                <w:szCs w:val="21"/>
                <w:highlight w:val="none"/>
                <w:lang w:eastAsia="zh-CN" w:bidi="ar"/>
                <w14:textFill>
                  <w14:solidFill>
                    <w14:schemeClr w14:val="tx1"/>
                  </w14:solidFill>
                </w14:textFill>
              </w:rPr>
              <w:t>直至最后一口降水井封闭，并自行配备发电机以确保停电期间的降水施工；负责土方开挖过程中坑内的井点降水、排水；</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3、负责对降水、排水抽水的沉砂处理，并负责降水过程中所产生土方的外运；</w:t>
            </w:r>
            <w:r>
              <w:rPr>
                <w:rFonts w:hint="eastAsia" w:ascii="仿宋" w:hAnsi="仿宋" w:eastAsia="仿宋" w:cs="仿宋"/>
                <w:color w:val="000000" w:themeColor="text1"/>
                <w:sz w:val="21"/>
                <w:szCs w:val="21"/>
                <w:highlight w:val="none"/>
                <w:lang w:eastAsia="zh-CN" w:bidi="ar"/>
                <w14:textFill>
                  <w14:solidFill>
                    <w14:schemeClr w14:val="tx1"/>
                  </w14:solidFill>
                </w14:textFill>
              </w:rPr>
              <w:br w:type="textWrapping"/>
            </w:r>
            <w:r>
              <w:rPr>
                <w:rFonts w:hint="eastAsia" w:ascii="仿宋" w:hAnsi="仿宋" w:eastAsia="仿宋" w:cs="仿宋"/>
                <w:color w:val="000000" w:themeColor="text1"/>
                <w:sz w:val="21"/>
                <w:szCs w:val="21"/>
                <w:highlight w:val="none"/>
                <w:lang w:eastAsia="zh-CN" w:bidi="ar"/>
                <w14:textFill>
                  <w14:solidFill>
                    <w14:schemeClr w14:val="tx1"/>
                  </w14:solidFill>
                </w14:textFill>
              </w:rPr>
              <w:t>4、负责降水、排水设备及设施的管理及维护工作。</w:t>
            </w:r>
          </w:p>
          <w:p w14:paraId="68B3BAB3">
            <w:pPr>
              <w:textAlignment w:val="center"/>
              <w:rPr>
                <w:rFonts w:ascii="仿宋" w:hAnsi="仿宋" w:eastAsia="仿宋" w:cs="仿宋"/>
                <w:color w:val="000000" w:themeColor="text1"/>
                <w:sz w:val="21"/>
                <w:szCs w:val="21"/>
                <w:highlight w:val="none"/>
                <w:lang w:eastAsia="zh-CN" w:bidi="ar"/>
                <w14:textFill>
                  <w14:solidFill>
                    <w14:schemeClr w14:val="tx1"/>
                  </w14:solidFill>
                </w14:textFill>
              </w:rPr>
            </w:pPr>
            <w:r>
              <w:rPr>
                <w:rFonts w:hint="eastAsia" w:ascii="仿宋" w:hAnsi="仿宋" w:eastAsia="仿宋" w:cs="仿宋"/>
                <w:color w:val="000000" w:themeColor="text1"/>
                <w:sz w:val="21"/>
                <w:szCs w:val="21"/>
                <w:highlight w:val="none"/>
                <w:lang w:eastAsia="zh-CN" w:bidi="ar"/>
                <w14:textFill>
                  <w14:solidFill>
                    <w14:schemeClr w14:val="tx1"/>
                  </w14:solidFill>
                </w14:textFill>
              </w:rPr>
              <w:t>5、负责降水完毕后设备拆除及降水井回填、封闭。</w:t>
            </w:r>
          </w:p>
        </w:tc>
        <w:tc>
          <w:tcPr>
            <w:tcW w:w="3547" w:type="dxa"/>
            <w:vMerge w:val="restart"/>
            <w:tcBorders>
              <w:top w:val="single" w:color="1F2329" w:sz="4" w:space="0"/>
              <w:left w:val="single" w:color="1F2329" w:sz="4" w:space="0"/>
              <w:bottom w:val="single" w:color="1F2329" w:sz="4" w:space="0"/>
              <w:right w:val="single" w:color="1F2329" w:sz="4" w:space="0"/>
            </w:tcBorders>
            <w:shd w:val="clear" w:color="auto" w:fill="auto"/>
            <w:vAlign w:val="center"/>
          </w:tcPr>
          <w:p w14:paraId="520E6202">
            <w:pPr>
              <w:textAlignment w:val="center"/>
              <w:rPr>
                <w:rFonts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p>
        </w:tc>
      </w:tr>
      <w:tr w14:paraId="7B39A48D">
        <w:tblPrEx>
          <w:tblCellMar>
            <w:top w:w="0" w:type="dxa"/>
            <w:left w:w="108" w:type="dxa"/>
            <w:bottom w:w="0" w:type="dxa"/>
            <w:right w:w="108" w:type="dxa"/>
          </w:tblCellMar>
        </w:tblPrEx>
        <w:trPr>
          <w:trHeight w:val="35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0C0FCDE7">
            <w:pPr>
              <w:rPr>
                <w:rFonts w:ascii="微软雅黑" w:hAnsi="微软雅黑" w:eastAsia="微软雅黑" w:cs="微软雅黑"/>
                <w:color w:val="000000" w:themeColor="text1"/>
                <w:sz w:val="19"/>
                <w:szCs w:val="19"/>
                <w:highlight w:val="none"/>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55AD508">
            <w:pPr>
              <w:jc w:val="center"/>
              <w:rPr>
                <w:rFonts w:ascii="微软雅黑" w:hAnsi="微软雅黑" w:eastAsia="微软雅黑" w:cs="微软雅黑"/>
                <w:color w:val="000000" w:themeColor="text1"/>
                <w:sz w:val="19"/>
                <w:szCs w:val="19"/>
                <w:highlight w:val="none"/>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8AB8400">
            <w:pPr>
              <w:jc w:val="center"/>
              <w:rPr>
                <w:rFonts w:ascii="微软雅黑" w:hAnsi="微软雅黑" w:eastAsia="微软雅黑" w:cs="微软雅黑"/>
                <w:color w:val="000000" w:themeColor="text1"/>
                <w:sz w:val="20"/>
                <w:szCs w:val="20"/>
                <w:highlight w:val="none"/>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6F3C3A7">
            <w:pPr>
              <w:rPr>
                <w:rFonts w:ascii="微软雅黑" w:hAnsi="微软雅黑" w:eastAsia="微软雅黑" w:cs="微软雅黑"/>
                <w:color w:val="000000" w:themeColor="text1"/>
                <w:sz w:val="19"/>
                <w:szCs w:val="19"/>
                <w:highlight w:val="none"/>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0A5945D">
            <w:pPr>
              <w:rPr>
                <w:rFonts w:ascii="微软雅黑" w:hAnsi="微软雅黑" w:eastAsia="微软雅黑" w:cs="微软雅黑"/>
                <w:color w:val="000000" w:themeColor="text1"/>
                <w:sz w:val="20"/>
                <w:szCs w:val="20"/>
                <w:highlight w:val="none"/>
                <w14:textFill>
                  <w14:solidFill>
                    <w14:schemeClr w14:val="tx1"/>
                  </w14:solidFill>
                </w14:textFill>
              </w:rPr>
            </w:pPr>
          </w:p>
        </w:tc>
      </w:tr>
      <w:tr w14:paraId="2DBDDC57">
        <w:tblPrEx>
          <w:tblCellMar>
            <w:top w:w="0" w:type="dxa"/>
            <w:left w:w="108" w:type="dxa"/>
            <w:bottom w:w="0" w:type="dxa"/>
            <w:right w:w="108" w:type="dxa"/>
          </w:tblCellMar>
        </w:tblPrEx>
        <w:trPr>
          <w:trHeight w:val="530"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D6A9D38">
            <w:pPr>
              <w:rPr>
                <w:rFonts w:ascii="微软雅黑" w:hAnsi="微软雅黑" w:eastAsia="微软雅黑" w:cs="微软雅黑"/>
                <w:color w:val="000000" w:themeColor="text1"/>
                <w:sz w:val="19"/>
                <w:szCs w:val="19"/>
                <w:highlight w:val="none"/>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E1E720B">
            <w:pPr>
              <w:jc w:val="center"/>
              <w:rPr>
                <w:rFonts w:ascii="微软雅黑" w:hAnsi="微软雅黑" w:eastAsia="微软雅黑" w:cs="微软雅黑"/>
                <w:color w:val="000000" w:themeColor="text1"/>
                <w:sz w:val="19"/>
                <w:szCs w:val="19"/>
                <w:highlight w:val="none"/>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6109DDD8">
            <w:pPr>
              <w:jc w:val="center"/>
              <w:rPr>
                <w:rFonts w:ascii="微软雅黑" w:hAnsi="微软雅黑" w:eastAsia="微软雅黑" w:cs="微软雅黑"/>
                <w:color w:val="000000" w:themeColor="text1"/>
                <w:sz w:val="20"/>
                <w:szCs w:val="20"/>
                <w:highlight w:val="none"/>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52909D1B">
            <w:pPr>
              <w:rPr>
                <w:rFonts w:ascii="微软雅黑" w:hAnsi="微软雅黑" w:eastAsia="微软雅黑" w:cs="微软雅黑"/>
                <w:color w:val="000000" w:themeColor="text1"/>
                <w:sz w:val="19"/>
                <w:szCs w:val="19"/>
                <w:highlight w:val="none"/>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10E7F565">
            <w:pPr>
              <w:rPr>
                <w:rFonts w:ascii="微软雅黑" w:hAnsi="微软雅黑" w:eastAsia="微软雅黑" w:cs="微软雅黑"/>
                <w:color w:val="000000" w:themeColor="text1"/>
                <w:sz w:val="20"/>
                <w:szCs w:val="20"/>
                <w:highlight w:val="none"/>
                <w14:textFill>
                  <w14:solidFill>
                    <w14:schemeClr w14:val="tx1"/>
                  </w14:solidFill>
                </w14:textFill>
              </w:rPr>
            </w:pPr>
          </w:p>
        </w:tc>
      </w:tr>
      <w:tr w14:paraId="1DD69251">
        <w:tblPrEx>
          <w:tblCellMar>
            <w:top w:w="0" w:type="dxa"/>
            <w:left w:w="108" w:type="dxa"/>
            <w:bottom w:w="0" w:type="dxa"/>
            <w:right w:w="108" w:type="dxa"/>
          </w:tblCellMar>
        </w:tblPrEx>
        <w:trPr>
          <w:trHeight w:val="2373" w:hRule="atLeast"/>
        </w:trPr>
        <w:tc>
          <w:tcPr>
            <w:tcW w:w="698" w:type="dxa"/>
            <w:vMerge w:val="continue"/>
            <w:tcBorders>
              <w:top w:val="single" w:color="1F2329" w:sz="4" w:space="0"/>
              <w:left w:val="single" w:color="1F2329" w:sz="4" w:space="0"/>
              <w:bottom w:val="single" w:color="1F2329" w:sz="4" w:space="0"/>
              <w:right w:val="single" w:color="1F2329" w:sz="4" w:space="0"/>
            </w:tcBorders>
            <w:shd w:val="clear" w:color="auto" w:fill="auto"/>
            <w:noWrap/>
            <w:vAlign w:val="center"/>
          </w:tcPr>
          <w:p w14:paraId="67BAB55E">
            <w:pPr>
              <w:rPr>
                <w:rFonts w:ascii="微软雅黑" w:hAnsi="微软雅黑" w:eastAsia="微软雅黑" w:cs="微软雅黑"/>
                <w:color w:val="000000" w:themeColor="text1"/>
                <w:sz w:val="19"/>
                <w:szCs w:val="19"/>
                <w:highlight w:val="none"/>
                <w:u w:val="single"/>
                <w14:textFill>
                  <w14:solidFill>
                    <w14:schemeClr w14:val="tx1"/>
                  </w14:solidFill>
                </w14:textFill>
              </w:rPr>
            </w:pPr>
          </w:p>
        </w:tc>
        <w:tc>
          <w:tcPr>
            <w:tcW w:w="79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00CCC718">
            <w:pPr>
              <w:jc w:val="center"/>
              <w:rPr>
                <w:rFonts w:ascii="微软雅黑" w:hAnsi="微软雅黑" w:eastAsia="微软雅黑" w:cs="微软雅黑"/>
                <w:color w:val="000000" w:themeColor="text1"/>
                <w:sz w:val="19"/>
                <w:szCs w:val="19"/>
                <w:highlight w:val="none"/>
                <w:u w:val="single"/>
                <w14:textFill>
                  <w14:solidFill>
                    <w14:schemeClr w14:val="tx1"/>
                  </w14:solidFill>
                </w14:textFill>
              </w:rPr>
            </w:pPr>
          </w:p>
        </w:tc>
        <w:tc>
          <w:tcPr>
            <w:tcW w:w="843"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AFEA56E">
            <w:pPr>
              <w:jc w:val="center"/>
              <w:rPr>
                <w:rFonts w:ascii="微软雅黑" w:hAnsi="微软雅黑" w:eastAsia="微软雅黑" w:cs="微软雅黑"/>
                <w:color w:val="000000" w:themeColor="text1"/>
                <w:sz w:val="20"/>
                <w:szCs w:val="20"/>
                <w:highlight w:val="none"/>
                <w:u w:val="single"/>
                <w14:textFill>
                  <w14:solidFill>
                    <w14:schemeClr w14:val="tx1"/>
                  </w14:solidFill>
                </w14:textFill>
              </w:rPr>
            </w:pPr>
          </w:p>
        </w:tc>
        <w:tc>
          <w:tcPr>
            <w:tcW w:w="3258"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261D5244">
            <w:pPr>
              <w:rPr>
                <w:rFonts w:ascii="微软雅黑" w:hAnsi="微软雅黑" w:eastAsia="微软雅黑" w:cs="微软雅黑"/>
                <w:color w:val="000000" w:themeColor="text1"/>
                <w:sz w:val="19"/>
                <w:szCs w:val="19"/>
                <w:highlight w:val="none"/>
                <w:u w:val="single"/>
                <w14:textFill>
                  <w14:solidFill>
                    <w14:schemeClr w14:val="tx1"/>
                  </w14:solidFill>
                </w14:textFill>
              </w:rPr>
            </w:pPr>
          </w:p>
        </w:tc>
        <w:tc>
          <w:tcPr>
            <w:tcW w:w="3547" w:type="dxa"/>
            <w:vMerge w:val="continue"/>
            <w:tcBorders>
              <w:top w:val="single" w:color="1F2329" w:sz="4" w:space="0"/>
              <w:left w:val="single" w:color="1F2329" w:sz="4" w:space="0"/>
              <w:bottom w:val="single" w:color="1F2329" w:sz="4" w:space="0"/>
              <w:right w:val="single" w:color="1F2329" w:sz="4" w:space="0"/>
            </w:tcBorders>
            <w:shd w:val="clear" w:color="auto" w:fill="auto"/>
            <w:vAlign w:val="center"/>
          </w:tcPr>
          <w:p w14:paraId="4DE9CFD2">
            <w:pPr>
              <w:rPr>
                <w:rFonts w:ascii="微软雅黑" w:hAnsi="微软雅黑" w:eastAsia="微软雅黑" w:cs="微软雅黑"/>
                <w:color w:val="000000" w:themeColor="text1"/>
                <w:sz w:val="20"/>
                <w:szCs w:val="20"/>
                <w:highlight w:val="none"/>
                <w:u w:val="single"/>
                <w14:textFill>
                  <w14:solidFill>
                    <w14:schemeClr w14:val="tx1"/>
                  </w14:solidFill>
                </w14:textFill>
              </w:rPr>
            </w:pPr>
          </w:p>
        </w:tc>
      </w:tr>
    </w:tbl>
    <w:p w14:paraId="4BB7FDE6">
      <w:pPr>
        <w:spacing w:line="360" w:lineRule="auto"/>
        <w:ind w:firstLine="480" w:firstLineChars="200"/>
        <w:rPr>
          <w:color w:val="000000" w:themeColor="text1"/>
          <w:highlight w:val="none"/>
          <w:lang w:eastAsia="zh-CN"/>
          <w14:textFill>
            <w14:solidFill>
              <w14:schemeClr w14:val="tx1"/>
            </w14:solidFill>
          </w14:textFill>
        </w:rPr>
      </w:pPr>
    </w:p>
    <w:bookmarkEnd w:id="818"/>
    <w:sectPr>
      <w:headerReference r:id="rId10" w:type="default"/>
      <w:footerReference r:id="rId11"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B0604020202020204"/>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Noto Sans SC Medium"/>
    <w:panose1 w:val="020B0604020202020204"/>
    <w:charset w:val="00"/>
    <w:family w:val="roman"/>
    <w:pitch w:val="default"/>
    <w:sig w:usb0="00000000" w:usb1="00000000" w:usb2="00000000" w:usb3="00000000" w:csb0="00040001" w:csb1="00000000"/>
  </w:font>
  <w:font w:name="Noto Sans SC Medium">
    <w:panose1 w:val="020B0200000000000000"/>
    <w:charset w:val="86"/>
    <w:family w:val="auto"/>
    <w:pitch w:val="default"/>
    <w:sig w:usb0="20000083" w:usb1="2ADF3C10" w:usb2="00000016" w:usb3="00000000" w:csb0="60060107"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20B0604020202020204"/>
    <w:charset w:val="00"/>
    <w:family w:val="roman"/>
    <w:pitch w:val="default"/>
    <w:sig w:usb0="00000000" w:usb1="00000000" w:usb2="00000000" w:usb3="00000000" w:csb0="00000001" w:csb1="00000000"/>
  </w:font>
  <w:font w:name="Times">
    <w:altName w:val="Times New Roman"/>
    <w:panose1 w:val="00000500000000020000"/>
    <w:charset w:val="00"/>
    <w:family w:val="auto"/>
    <w:pitch w:val="default"/>
    <w:sig w:usb0="00000000" w:usb1="00000000" w:usb2="00000000" w:usb3="00000000" w:csb0="2000019F" w:csb1="4F01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80"/>
    <w:family w:val="swiss"/>
    <w:pitch w:val="default"/>
    <w:sig w:usb0="00000000" w:usb1="00000000" w:usb2="0000003F" w:usb3="00000000" w:csb0="603F01FF" w:csb1="FFFF0000"/>
  </w:font>
  <w:font w:name="Roman">
    <w:altName w:val="Times New Roman"/>
    <w:panose1 w:val="020B0604020202020204"/>
    <w:charset w:val="01"/>
    <w:family w:val="auto"/>
    <w:pitch w:val="default"/>
    <w:sig w:usb0="00000000" w:usb1="00000000" w:usb2="00000000" w:usb3="00000000" w:csb0="00000000" w:csb1="00000000"/>
  </w:font>
  <w:font w:name="Informal Roman">
    <w:altName w:val="Mongolian Baiti"/>
    <w:panose1 w:val="030604020304060B0204"/>
    <w:charset w:val="00"/>
    <w:family w:val="auto"/>
    <w:pitch w:val="default"/>
    <w:sig w:usb0="00000000" w:usb1="00000000" w:usb2="00000000" w:usb3="00000000" w:csb0="20000001" w:csb1="00000000"/>
  </w:font>
  <w:font w:name="Calisto MT">
    <w:altName w:val="Segoe Print"/>
    <w:panose1 w:val="02040603050505030304"/>
    <w:charset w:val="00"/>
    <w:family w:val="roman"/>
    <w:pitch w:val="default"/>
    <w:sig w:usb0="00000000"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0"/>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 w:name="Mongolian Baiti">
    <w:panose1 w:val="03000500000000000000"/>
    <w:charset w:val="00"/>
    <w:family w:val="auto"/>
    <w:pitch w:val="default"/>
    <w:sig w:usb0="80000023" w:usb1="00000000" w:usb2="0002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ACC6B">
    <w:pPr>
      <w:pStyle w:val="49"/>
      <w:jc w:val="center"/>
    </w:pPr>
  </w:p>
  <w:p w14:paraId="4C50FB57">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24AB1">
    <w:pPr>
      <w:pStyle w:val="49"/>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7E584C07">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FA8DC">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289DC0D0">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EC064">
    <w:pPr>
      <w:pStyle w:val="49"/>
      <w:jc w:val="center"/>
      <w:rPr>
        <w:lang w:eastAsia="zh-CN"/>
      </w:rPr>
    </w:pPr>
    <w:r>
      <w:rPr>
        <w:rFonts w:hint="eastAsia"/>
        <w:lang w:eastAsia="zh-CN"/>
      </w:rPr>
      <w:t>1</w:t>
    </w:r>
  </w:p>
  <w:p w14:paraId="48D780E3">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EBAB0">
    <w:pPr>
      <w:pStyle w:val="49"/>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507CC8DB">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15562">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30357695">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BF5BB">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137ED277">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CF581">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8EE3">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A6281"/>
    <w:multiLevelType w:val="singleLevel"/>
    <w:tmpl w:val="977A6281"/>
    <w:lvl w:ilvl="0" w:tentative="0">
      <w:start w:val="1"/>
      <w:numFmt w:val="decimal"/>
      <w:suff w:val="nothing"/>
      <w:lvlText w:val="%1、"/>
      <w:lvlJc w:val="left"/>
      <w:pPr>
        <w:ind w:left="480" w:firstLine="0"/>
      </w:pPr>
    </w:lvl>
  </w:abstractNum>
  <w:abstractNum w:abstractNumId="1">
    <w:nsid w:val="A29C8FF3"/>
    <w:multiLevelType w:val="singleLevel"/>
    <w:tmpl w:val="A29C8FF3"/>
    <w:lvl w:ilvl="0" w:tentative="0">
      <w:start w:val="1"/>
      <w:numFmt w:val="decimal"/>
      <w:suff w:val="nothing"/>
      <w:lvlText w:val="%1、"/>
      <w:lvlJc w:val="left"/>
    </w:lvl>
  </w:abstractNum>
  <w:abstractNum w:abstractNumId="2">
    <w:nsid w:val="B6D3D5BA"/>
    <w:multiLevelType w:val="singleLevel"/>
    <w:tmpl w:val="B6D3D5BA"/>
    <w:lvl w:ilvl="0" w:tentative="0">
      <w:start w:val="33"/>
      <w:numFmt w:val="decimal"/>
      <w:suff w:val="space"/>
      <w:lvlText w:val="%1."/>
      <w:lvlJc w:val="left"/>
    </w:lvl>
  </w:abstractNum>
  <w:abstractNum w:abstractNumId="3">
    <w:nsid w:val="FC280D76"/>
    <w:multiLevelType w:val="singleLevel"/>
    <w:tmpl w:val="FC280D76"/>
    <w:lvl w:ilvl="0" w:tentative="0">
      <w:start w:val="1"/>
      <w:numFmt w:val="decimal"/>
      <w:suff w:val="nothing"/>
      <w:lvlText w:val="%1、"/>
      <w:lvlJc w:val="left"/>
    </w:lvl>
  </w:abstractNum>
  <w:abstractNum w:abstractNumId="4">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1E8500D"/>
    <w:multiLevelType w:val="multilevel"/>
    <w:tmpl w:val="01E8500D"/>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6">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7">
    <w:nsid w:val="09E96978"/>
    <w:multiLevelType w:val="multilevel"/>
    <w:tmpl w:val="09E96978"/>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AEC3B7A"/>
    <w:multiLevelType w:val="singleLevel"/>
    <w:tmpl w:val="1AEC3B7A"/>
    <w:lvl w:ilvl="0" w:tentative="0">
      <w:start w:val="1"/>
      <w:numFmt w:val="decimalEnclosedCircleChinese"/>
      <w:suff w:val="space"/>
      <w:lvlText w:val="%1"/>
      <w:lvlJc w:val="left"/>
      <w:rPr>
        <w:rFonts w:hint="eastAsia"/>
      </w:rPr>
    </w:lvl>
  </w:abstractNum>
  <w:abstractNum w:abstractNumId="12">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2332556"/>
    <w:multiLevelType w:val="multilevel"/>
    <w:tmpl w:val="22332556"/>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4">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83C4915"/>
    <w:multiLevelType w:val="singleLevel"/>
    <w:tmpl w:val="283C4915"/>
    <w:lvl w:ilvl="0" w:tentative="0">
      <w:start w:val="1"/>
      <w:numFmt w:val="decimal"/>
      <w:suff w:val="space"/>
      <w:lvlText w:val="（%1）"/>
      <w:lvlJc w:val="left"/>
    </w:lvl>
  </w:abstractNum>
  <w:abstractNum w:abstractNumId="18">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2F940DF4"/>
    <w:multiLevelType w:val="multilevel"/>
    <w:tmpl w:val="2F940DF4"/>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1">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B3B7718"/>
    <w:multiLevelType w:val="singleLevel"/>
    <w:tmpl w:val="3B3B7718"/>
    <w:lvl w:ilvl="0" w:tentative="0">
      <w:start w:val="1"/>
      <w:numFmt w:val="decimal"/>
      <w:suff w:val="nothing"/>
      <w:lvlText w:val="%1、"/>
      <w:lvlJc w:val="left"/>
      <w:pPr>
        <w:ind w:left="480" w:firstLine="0"/>
      </w:pPr>
    </w:lvl>
  </w:abstractNum>
  <w:abstractNum w:abstractNumId="25">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6">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39677DF"/>
    <w:multiLevelType w:val="multilevel"/>
    <w:tmpl w:val="539677DF"/>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8">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CD064FE"/>
    <w:multiLevelType w:val="multilevel"/>
    <w:tmpl w:val="5CD064FE"/>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2">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5">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7">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8">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9">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2">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17"/>
  </w:num>
  <w:num w:numId="3">
    <w:abstractNumId w:val="36"/>
  </w:num>
  <w:num w:numId="4">
    <w:abstractNumId w:val="37"/>
  </w:num>
  <w:num w:numId="5">
    <w:abstractNumId w:val="14"/>
  </w:num>
  <w:num w:numId="6">
    <w:abstractNumId w:val="23"/>
  </w:num>
  <w:num w:numId="7">
    <w:abstractNumId w:val="33"/>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8"/>
  </w:num>
  <w:num w:numId="11">
    <w:abstractNumId w:val="6"/>
  </w:num>
  <w:num w:numId="12">
    <w:abstractNumId w:val="32"/>
  </w:num>
  <w:num w:numId="13">
    <w:abstractNumId w:val="26"/>
  </w:num>
  <w:num w:numId="14">
    <w:abstractNumId w:val="34"/>
  </w:num>
  <w:num w:numId="15">
    <w:abstractNumId w:val="25"/>
  </w:num>
  <w:num w:numId="16">
    <w:abstractNumId w:val="19"/>
  </w:num>
  <w:num w:numId="17">
    <w:abstractNumId w:val="38"/>
  </w:num>
  <w:num w:numId="18">
    <w:abstractNumId w:val="22"/>
  </w:num>
  <w:num w:numId="19">
    <w:abstractNumId w:val="9"/>
  </w:num>
  <w:num w:numId="20">
    <w:abstractNumId w:val="1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9"/>
  </w:num>
  <w:num w:numId="24">
    <w:abstractNumId w:val="42"/>
  </w:num>
  <w:num w:numId="25">
    <w:abstractNumId w:val="18"/>
  </w:num>
  <w:num w:numId="26">
    <w:abstractNumId w:val="40"/>
  </w:num>
  <w:num w:numId="27">
    <w:abstractNumId w:val="30"/>
  </w:num>
  <w:num w:numId="28">
    <w:abstractNumId w:val="28"/>
  </w:num>
  <w:num w:numId="29">
    <w:abstractNumId w:val="29"/>
  </w:num>
  <w:num w:numId="30">
    <w:abstractNumId w:val="35"/>
  </w:num>
  <w:num w:numId="31">
    <w:abstractNumId w:val="41"/>
  </w:num>
  <w:num w:numId="32">
    <w:abstractNumId w:val="5"/>
  </w:num>
  <w:num w:numId="33">
    <w:abstractNumId w:val="20"/>
  </w:num>
  <w:num w:numId="34">
    <w:abstractNumId w:val="27"/>
  </w:num>
  <w:num w:numId="35">
    <w:abstractNumId w:val="7"/>
  </w:num>
  <w:num w:numId="36">
    <w:abstractNumId w:val="13"/>
  </w:num>
  <w:num w:numId="37">
    <w:abstractNumId w:val="10"/>
  </w:num>
  <w:num w:numId="38">
    <w:abstractNumId w:val="2"/>
  </w:num>
  <w:num w:numId="39">
    <w:abstractNumId w:val="11"/>
  </w:num>
  <w:num w:numId="40">
    <w:abstractNumId w:val="31"/>
  </w:num>
  <w:num w:numId="41">
    <w:abstractNumId w:val="24"/>
  </w:num>
  <w:num w:numId="42">
    <w:abstractNumId w:val="0"/>
  </w:num>
  <w:num w:numId="43">
    <w:abstractNumId w:val="1"/>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0"/>
  <w:doNotHyphenateCaps/>
  <w:drawingGridHorizontalSpacing w:val="120"/>
  <w:drawingGridVerticalSpacing w:val="156"/>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MDczNTNiMWY0M2QzNzQ3M2MwNGU0NmYyZWY4Zjc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67C"/>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A6D"/>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766"/>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930"/>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30B"/>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DA9"/>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D20"/>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BD"/>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1C0"/>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6DC8"/>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9D4"/>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795"/>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679B"/>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493"/>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1A29"/>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6D5"/>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8D0"/>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1F27"/>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4CBC"/>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1DAD"/>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807F3"/>
    <w:rsid w:val="01191526"/>
    <w:rsid w:val="0124778E"/>
    <w:rsid w:val="012770A9"/>
    <w:rsid w:val="01312A3E"/>
    <w:rsid w:val="01325A8F"/>
    <w:rsid w:val="01394CCF"/>
    <w:rsid w:val="013C690E"/>
    <w:rsid w:val="013F7486"/>
    <w:rsid w:val="01463ACA"/>
    <w:rsid w:val="014A18ED"/>
    <w:rsid w:val="014C5289"/>
    <w:rsid w:val="014D4F8B"/>
    <w:rsid w:val="015E68AB"/>
    <w:rsid w:val="01620926"/>
    <w:rsid w:val="016F348D"/>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AE3368"/>
    <w:rsid w:val="01B057FC"/>
    <w:rsid w:val="01B3523A"/>
    <w:rsid w:val="01B43C56"/>
    <w:rsid w:val="01B549D1"/>
    <w:rsid w:val="01BF0CD9"/>
    <w:rsid w:val="01CE29B7"/>
    <w:rsid w:val="01DD4452"/>
    <w:rsid w:val="01E449A1"/>
    <w:rsid w:val="01E63DFA"/>
    <w:rsid w:val="01EC03AF"/>
    <w:rsid w:val="01F147EB"/>
    <w:rsid w:val="01F64B87"/>
    <w:rsid w:val="01F830C5"/>
    <w:rsid w:val="01F84179"/>
    <w:rsid w:val="021128DA"/>
    <w:rsid w:val="02226816"/>
    <w:rsid w:val="02291F57"/>
    <w:rsid w:val="022A7399"/>
    <w:rsid w:val="022E44A8"/>
    <w:rsid w:val="0240410D"/>
    <w:rsid w:val="024261A6"/>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B371D"/>
    <w:rsid w:val="037E7463"/>
    <w:rsid w:val="038779CB"/>
    <w:rsid w:val="038A360B"/>
    <w:rsid w:val="03914B20"/>
    <w:rsid w:val="039816E3"/>
    <w:rsid w:val="03990B23"/>
    <w:rsid w:val="03A76EF9"/>
    <w:rsid w:val="03AF1619"/>
    <w:rsid w:val="03B05BEF"/>
    <w:rsid w:val="03BA115A"/>
    <w:rsid w:val="03C07CDA"/>
    <w:rsid w:val="03C26AEB"/>
    <w:rsid w:val="03C93B1F"/>
    <w:rsid w:val="03CF3A69"/>
    <w:rsid w:val="03D36187"/>
    <w:rsid w:val="03D830F9"/>
    <w:rsid w:val="03D97EDF"/>
    <w:rsid w:val="03DB42CC"/>
    <w:rsid w:val="03E21817"/>
    <w:rsid w:val="03E2358E"/>
    <w:rsid w:val="03E273F4"/>
    <w:rsid w:val="03E357F4"/>
    <w:rsid w:val="03E97DBE"/>
    <w:rsid w:val="040707A2"/>
    <w:rsid w:val="04090D29"/>
    <w:rsid w:val="040C26B9"/>
    <w:rsid w:val="040C7183"/>
    <w:rsid w:val="04183D1C"/>
    <w:rsid w:val="041D6375"/>
    <w:rsid w:val="041E43FE"/>
    <w:rsid w:val="04236473"/>
    <w:rsid w:val="04236BE5"/>
    <w:rsid w:val="04295954"/>
    <w:rsid w:val="04330A26"/>
    <w:rsid w:val="043607ED"/>
    <w:rsid w:val="04376CBF"/>
    <w:rsid w:val="043C0559"/>
    <w:rsid w:val="044247A2"/>
    <w:rsid w:val="044404B7"/>
    <w:rsid w:val="04442C52"/>
    <w:rsid w:val="04484874"/>
    <w:rsid w:val="044D269E"/>
    <w:rsid w:val="045A41C2"/>
    <w:rsid w:val="045C5B14"/>
    <w:rsid w:val="046B2838"/>
    <w:rsid w:val="04732647"/>
    <w:rsid w:val="047F0FEB"/>
    <w:rsid w:val="0486237A"/>
    <w:rsid w:val="048A6351"/>
    <w:rsid w:val="04951484"/>
    <w:rsid w:val="04996B0B"/>
    <w:rsid w:val="049C2BA0"/>
    <w:rsid w:val="049E6644"/>
    <w:rsid w:val="04A40A52"/>
    <w:rsid w:val="04A96495"/>
    <w:rsid w:val="04B10511"/>
    <w:rsid w:val="04B87A29"/>
    <w:rsid w:val="04B93CA0"/>
    <w:rsid w:val="04BC4372"/>
    <w:rsid w:val="04BE2E12"/>
    <w:rsid w:val="04BE5FB8"/>
    <w:rsid w:val="04CA4DE0"/>
    <w:rsid w:val="04CA5335"/>
    <w:rsid w:val="04D24193"/>
    <w:rsid w:val="04D55CB1"/>
    <w:rsid w:val="04D76384"/>
    <w:rsid w:val="04DF0629"/>
    <w:rsid w:val="04EF06A9"/>
    <w:rsid w:val="04F62FB3"/>
    <w:rsid w:val="050002A5"/>
    <w:rsid w:val="05091972"/>
    <w:rsid w:val="050A35AF"/>
    <w:rsid w:val="050C1190"/>
    <w:rsid w:val="051A1072"/>
    <w:rsid w:val="051D5A25"/>
    <w:rsid w:val="05201407"/>
    <w:rsid w:val="052B05EB"/>
    <w:rsid w:val="052E1931"/>
    <w:rsid w:val="05310B77"/>
    <w:rsid w:val="053A6A10"/>
    <w:rsid w:val="053B7608"/>
    <w:rsid w:val="053D0D99"/>
    <w:rsid w:val="053F1908"/>
    <w:rsid w:val="0542333A"/>
    <w:rsid w:val="054B265F"/>
    <w:rsid w:val="05585C8B"/>
    <w:rsid w:val="055A7016"/>
    <w:rsid w:val="055B7D55"/>
    <w:rsid w:val="056F6481"/>
    <w:rsid w:val="05750C0A"/>
    <w:rsid w:val="05784026"/>
    <w:rsid w:val="058022EC"/>
    <w:rsid w:val="058F1A17"/>
    <w:rsid w:val="05965135"/>
    <w:rsid w:val="059B4751"/>
    <w:rsid w:val="059D4819"/>
    <w:rsid w:val="05A74906"/>
    <w:rsid w:val="05A95A36"/>
    <w:rsid w:val="05AB5E10"/>
    <w:rsid w:val="05AE52C5"/>
    <w:rsid w:val="05B268F1"/>
    <w:rsid w:val="05B84A50"/>
    <w:rsid w:val="05BE67F7"/>
    <w:rsid w:val="05BF45FB"/>
    <w:rsid w:val="05C47ED0"/>
    <w:rsid w:val="05CE00F6"/>
    <w:rsid w:val="05DE4BEF"/>
    <w:rsid w:val="05E53EAE"/>
    <w:rsid w:val="05E57574"/>
    <w:rsid w:val="05F26B53"/>
    <w:rsid w:val="06047BEB"/>
    <w:rsid w:val="060A3464"/>
    <w:rsid w:val="060F2AA1"/>
    <w:rsid w:val="06287461"/>
    <w:rsid w:val="06335042"/>
    <w:rsid w:val="064A10CF"/>
    <w:rsid w:val="06595FA7"/>
    <w:rsid w:val="065B1719"/>
    <w:rsid w:val="06643766"/>
    <w:rsid w:val="06655992"/>
    <w:rsid w:val="067601CC"/>
    <w:rsid w:val="067E4D2E"/>
    <w:rsid w:val="068679BD"/>
    <w:rsid w:val="06871D11"/>
    <w:rsid w:val="06897EFF"/>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87718"/>
    <w:rsid w:val="072D0AF6"/>
    <w:rsid w:val="072F043D"/>
    <w:rsid w:val="073360BD"/>
    <w:rsid w:val="073C7668"/>
    <w:rsid w:val="07437BBB"/>
    <w:rsid w:val="07496C74"/>
    <w:rsid w:val="075536EE"/>
    <w:rsid w:val="07563E12"/>
    <w:rsid w:val="075B3056"/>
    <w:rsid w:val="075B6744"/>
    <w:rsid w:val="075C43FD"/>
    <w:rsid w:val="07612F8C"/>
    <w:rsid w:val="07625087"/>
    <w:rsid w:val="076B1CFB"/>
    <w:rsid w:val="078416F3"/>
    <w:rsid w:val="07853B29"/>
    <w:rsid w:val="078C7734"/>
    <w:rsid w:val="079E2579"/>
    <w:rsid w:val="07AD69BA"/>
    <w:rsid w:val="07B42921"/>
    <w:rsid w:val="07B43DA5"/>
    <w:rsid w:val="07BF329A"/>
    <w:rsid w:val="07CB6508"/>
    <w:rsid w:val="07CD783F"/>
    <w:rsid w:val="07D4164E"/>
    <w:rsid w:val="07DB0C2F"/>
    <w:rsid w:val="07DD28A8"/>
    <w:rsid w:val="07E5158C"/>
    <w:rsid w:val="07F910B5"/>
    <w:rsid w:val="08033DE7"/>
    <w:rsid w:val="081171FC"/>
    <w:rsid w:val="08147C9D"/>
    <w:rsid w:val="08155263"/>
    <w:rsid w:val="08184945"/>
    <w:rsid w:val="08186402"/>
    <w:rsid w:val="08225560"/>
    <w:rsid w:val="082A67AE"/>
    <w:rsid w:val="082B071E"/>
    <w:rsid w:val="082C7B47"/>
    <w:rsid w:val="08334643"/>
    <w:rsid w:val="083457BE"/>
    <w:rsid w:val="083F52A2"/>
    <w:rsid w:val="084F4AD8"/>
    <w:rsid w:val="084F690E"/>
    <w:rsid w:val="085F5CCE"/>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0C3DE8"/>
    <w:rsid w:val="09110D3D"/>
    <w:rsid w:val="091A7535"/>
    <w:rsid w:val="091D3E24"/>
    <w:rsid w:val="091E61BB"/>
    <w:rsid w:val="092150A3"/>
    <w:rsid w:val="09223378"/>
    <w:rsid w:val="092C65B3"/>
    <w:rsid w:val="09322CFF"/>
    <w:rsid w:val="09383E5F"/>
    <w:rsid w:val="093D463D"/>
    <w:rsid w:val="093F6F9B"/>
    <w:rsid w:val="09401A6E"/>
    <w:rsid w:val="0948778A"/>
    <w:rsid w:val="094B0BE3"/>
    <w:rsid w:val="094C3A6C"/>
    <w:rsid w:val="095348BA"/>
    <w:rsid w:val="09552951"/>
    <w:rsid w:val="095C7949"/>
    <w:rsid w:val="095D055B"/>
    <w:rsid w:val="095E1B17"/>
    <w:rsid w:val="09615005"/>
    <w:rsid w:val="096E525F"/>
    <w:rsid w:val="09776D84"/>
    <w:rsid w:val="09777A04"/>
    <w:rsid w:val="097A75F4"/>
    <w:rsid w:val="097D39CA"/>
    <w:rsid w:val="098A4D18"/>
    <w:rsid w:val="098F4705"/>
    <w:rsid w:val="0992592A"/>
    <w:rsid w:val="09926D5C"/>
    <w:rsid w:val="099E4291"/>
    <w:rsid w:val="099E4CA7"/>
    <w:rsid w:val="09AD1A84"/>
    <w:rsid w:val="09AD23B6"/>
    <w:rsid w:val="09B663F3"/>
    <w:rsid w:val="09B90FB2"/>
    <w:rsid w:val="09C474A0"/>
    <w:rsid w:val="09CE0261"/>
    <w:rsid w:val="09CE6E42"/>
    <w:rsid w:val="09D64EA5"/>
    <w:rsid w:val="09D973F0"/>
    <w:rsid w:val="09DC2886"/>
    <w:rsid w:val="09F309B5"/>
    <w:rsid w:val="09F70BE3"/>
    <w:rsid w:val="0A03446D"/>
    <w:rsid w:val="0A0A7FCB"/>
    <w:rsid w:val="0A0D7DEF"/>
    <w:rsid w:val="0A0F6050"/>
    <w:rsid w:val="0A104360"/>
    <w:rsid w:val="0A11336E"/>
    <w:rsid w:val="0A130E88"/>
    <w:rsid w:val="0A140F44"/>
    <w:rsid w:val="0A2115E4"/>
    <w:rsid w:val="0A234366"/>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A02B1"/>
    <w:rsid w:val="0A9C79CD"/>
    <w:rsid w:val="0A9E4D3E"/>
    <w:rsid w:val="0AA163F9"/>
    <w:rsid w:val="0AA6405D"/>
    <w:rsid w:val="0ABF0394"/>
    <w:rsid w:val="0ACC31E8"/>
    <w:rsid w:val="0AD04C9C"/>
    <w:rsid w:val="0AD376B3"/>
    <w:rsid w:val="0ADB3590"/>
    <w:rsid w:val="0AE5521B"/>
    <w:rsid w:val="0AEC24B7"/>
    <w:rsid w:val="0AED55AB"/>
    <w:rsid w:val="0AEF03FD"/>
    <w:rsid w:val="0AF10487"/>
    <w:rsid w:val="0AFB4C31"/>
    <w:rsid w:val="0B0855E6"/>
    <w:rsid w:val="0B154457"/>
    <w:rsid w:val="0B18614B"/>
    <w:rsid w:val="0B1D24CA"/>
    <w:rsid w:val="0B1D46D0"/>
    <w:rsid w:val="0B235F52"/>
    <w:rsid w:val="0B2823DD"/>
    <w:rsid w:val="0B39313A"/>
    <w:rsid w:val="0B3A4EE7"/>
    <w:rsid w:val="0B3D17CA"/>
    <w:rsid w:val="0B3D3052"/>
    <w:rsid w:val="0B40118F"/>
    <w:rsid w:val="0B4C3958"/>
    <w:rsid w:val="0B507E05"/>
    <w:rsid w:val="0B533537"/>
    <w:rsid w:val="0B57681E"/>
    <w:rsid w:val="0B5A38E8"/>
    <w:rsid w:val="0B5B1C61"/>
    <w:rsid w:val="0B5C1E9D"/>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00A21"/>
    <w:rsid w:val="0BF12638"/>
    <w:rsid w:val="0BF976A6"/>
    <w:rsid w:val="0C1B5AB1"/>
    <w:rsid w:val="0C1C3767"/>
    <w:rsid w:val="0C1D0D58"/>
    <w:rsid w:val="0C1F6501"/>
    <w:rsid w:val="0C1F71E9"/>
    <w:rsid w:val="0C2C1973"/>
    <w:rsid w:val="0C3015C1"/>
    <w:rsid w:val="0C4B19EE"/>
    <w:rsid w:val="0C4C6BDA"/>
    <w:rsid w:val="0C527FE8"/>
    <w:rsid w:val="0C543CB5"/>
    <w:rsid w:val="0C550884"/>
    <w:rsid w:val="0C5C6C30"/>
    <w:rsid w:val="0C636F2E"/>
    <w:rsid w:val="0C654F6B"/>
    <w:rsid w:val="0C6812A8"/>
    <w:rsid w:val="0C687A50"/>
    <w:rsid w:val="0C6918E7"/>
    <w:rsid w:val="0C6B0AAF"/>
    <w:rsid w:val="0C70424A"/>
    <w:rsid w:val="0C7142A5"/>
    <w:rsid w:val="0C751661"/>
    <w:rsid w:val="0C787F37"/>
    <w:rsid w:val="0C7C51F1"/>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8F4236"/>
    <w:rsid w:val="0D902275"/>
    <w:rsid w:val="0D9244F6"/>
    <w:rsid w:val="0D935B9F"/>
    <w:rsid w:val="0D9A1054"/>
    <w:rsid w:val="0D9C3A15"/>
    <w:rsid w:val="0DA11FD2"/>
    <w:rsid w:val="0DAB10A3"/>
    <w:rsid w:val="0DB00B4F"/>
    <w:rsid w:val="0DB869ED"/>
    <w:rsid w:val="0DB92D7C"/>
    <w:rsid w:val="0DBC6760"/>
    <w:rsid w:val="0DC166D7"/>
    <w:rsid w:val="0DCF7B7B"/>
    <w:rsid w:val="0DD3176D"/>
    <w:rsid w:val="0DD95C14"/>
    <w:rsid w:val="0DDD137A"/>
    <w:rsid w:val="0DDF67D7"/>
    <w:rsid w:val="0DE73CA9"/>
    <w:rsid w:val="0DED10D7"/>
    <w:rsid w:val="0DF5354C"/>
    <w:rsid w:val="0E086FD5"/>
    <w:rsid w:val="0E106F57"/>
    <w:rsid w:val="0E175DD5"/>
    <w:rsid w:val="0E1B1E7D"/>
    <w:rsid w:val="0E227205"/>
    <w:rsid w:val="0E262A82"/>
    <w:rsid w:val="0E2A696E"/>
    <w:rsid w:val="0E2F0E28"/>
    <w:rsid w:val="0E4E761E"/>
    <w:rsid w:val="0E512F07"/>
    <w:rsid w:val="0E5E0C73"/>
    <w:rsid w:val="0E6B25E0"/>
    <w:rsid w:val="0E8A515C"/>
    <w:rsid w:val="0E961D98"/>
    <w:rsid w:val="0E9658AF"/>
    <w:rsid w:val="0E972B26"/>
    <w:rsid w:val="0E9C0445"/>
    <w:rsid w:val="0EA03BF7"/>
    <w:rsid w:val="0EAB3206"/>
    <w:rsid w:val="0EAE3742"/>
    <w:rsid w:val="0EBF18BB"/>
    <w:rsid w:val="0ECE608A"/>
    <w:rsid w:val="0ED66D91"/>
    <w:rsid w:val="0ED8784A"/>
    <w:rsid w:val="0EDB1903"/>
    <w:rsid w:val="0EDE2E67"/>
    <w:rsid w:val="0EE473DB"/>
    <w:rsid w:val="0EEA7C30"/>
    <w:rsid w:val="0F192438"/>
    <w:rsid w:val="0F1B4006"/>
    <w:rsid w:val="0F1C5A5E"/>
    <w:rsid w:val="0F362DBF"/>
    <w:rsid w:val="0F3B5516"/>
    <w:rsid w:val="0F3E1F32"/>
    <w:rsid w:val="0F4755CE"/>
    <w:rsid w:val="0F4C41C0"/>
    <w:rsid w:val="0F4C6A04"/>
    <w:rsid w:val="0F5851D7"/>
    <w:rsid w:val="0F5E0835"/>
    <w:rsid w:val="0F5E1F7E"/>
    <w:rsid w:val="0F631D95"/>
    <w:rsid w:val="0F6C03BE"/>
    <w:rsid w:val="0F76123D"/>
    <w:rsid w:val="0F791CF6"/>
    <w:rsid w:val="0F804185"/>
    <w:rsid w:val="0F8126F6"/>
    <w:rsid w:val="0F822D9A"/>
    <w:rsid w:val="0F830EFB"/>
    <w:rsid w:val="0F834891"/>
    <w:rsid w:val="0F870888"/>
    <w:rsid w:val="0F8D6C17"/>
    <w:rsid w:val="0F8E2A2A"/>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1E3DAE"/>
    <w:rsid w:val="10227817"/>
    <w:rsid w:val="10281BD5"/>
    <w:rsid w:val="102E2971"/>
    <w:rsid w:val="10381991"/>
    <w:rsid w:val="1045758D"/>
    <w:rsid w:val="10464F01"/>
    <w:rsid w:val="10482B55"/>
    <w:rsid w:val="10522022"/>
    <w:rsid w:val="10593E43"/>
    <w:rsid w:val="1059496D"/>
    <w:rsid w:val="1061678E"/>
    <w:rsid w:val="1063167B"/>
    <w:rsid w:val="106E5D8E"/>
    <w:rsid w:val="10717B6B"/>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4D3DF0"/>
    <w:rsid w:val="115759BF"/>
    <w:rsid w:val="115B278A"/>
    <w:rsid w:val="115B609C"/>
    <w:rsid w:val="11672756"/>
    <w:rsid w:val="116727A5"/>
    <w:rsid w:val="116B4C95"/>
    <w:rsid w:val="11754151"/>
    <w:rsid w:val="11762BB5"/>
    <w:rsid w:val="11770245"/>
    <w:rsid w:val="117B1DDF"/>
    <w:rsid w:val="117C3029"/>
    <w:rsid w:val="11802789"/>
    <w:rsid w:val="11934328"/>
    <w:rsid w:val="11A77DD3"/>
    <w:rsid w:val="11AE5BEC"/>
    <w:rsid w:val="11B20C52"/>
    <w:rsid w:val="11B50C1E"/>
    <w:rsid w:val="11B70CAE"/>
    <w:rsid w:val="11CB6B25"/>
    <w:rsid w:val="11DB688F"/>
    <w:rsid w:val="11DD00B4"/>
    <w:rsid w:val="11E12852"/>
    <w:rsid w:val="11E77402"/>
    <w:rsid w:val="11EC524A"/>
    <w:rsid w:val="11EF4327"/>
    <w:rsid w:val="11F5408B"/>
    <w:rsid w:val="11F56D91"/>
    <w:rsid w:val="11FF3067"/>
    <w:rsid w:val="11FF7271"/>
    <w:rsid w:val="12052C47"/>
    <w:rsid w:val="12192A7F"/>
    <w:rsid w:val="121F7F2B"/>
    <w:rsid w:val="1229557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90A48"/>
    <w:rsid w:val="12BC338F"/>
    <w:rsid w:val="12C03EEB"/>
    <w:rsid w:val="12C23037"/>
    <w:rsid w:val="12C94FEB"/>
    <w:rsid w:val="12CD4665"/>
    <w:rsid w:val="12D4166D"/>
    <w:rsid w:val="12D62312"/>
    <w:rsid w:val="12D64A2E"/>
    <w:rsid w:val="12D97605"/>
    <w:rsid w:val="12DB6F47"/>
    <w:rsid w:val="12DC1B55"/>
    <w:rsid w:val="12DE5A77"/>
    <w:rsid w:val="12E1526B"/>
    <w:rsid w:val="12E7504C"/>
    <w:rsid w:val="12EB0686"/>
    <w:rsid w:val="12F2198D"/>
    <w:rsid w:val="130224F5"/>
    <w:rsid w:val="13113DA2"/>
    <w:rsid w:val="13130D79"/>
    <w:rsid w:val="13165211"/>
    <w:rsid w:val="131864C9"/>
    <w:rsid w:val="131A0B66"/>
    <w:rsid w:val="131C34F9"/>
    <w:rsid w:val="133633BB"/>
    <w:rsid w:val="13397F2D"/>
    <w:rsid w:val="13494E20"/>
    <w:rsid w:val="1350543E"/>
    <w:rsid w:val="13565218"/>
    <w:rsid w:val="1356607A"/>
    <w:rsid w:val="135847C2"/>
    <w:rsid w:val="1367749F"/>
    <w:rsid w:val="136A10B9"/>
    <w:rsid w:val="136B5577"/>
    <w:rsid w:val="136F66CF"/>
    <w:rsid w:val="138D0FB3"/>
    <w:rsid w:val="13923D59"/>
    <w:rsid w:val="1398538B"/>
    <w:rsid w:val="13A334DD"/>
    <w:rsid w:val="13B33689"/>
    <w:rsid w:val="13B448C6"/>
    <w:rsid w:val="13B75DBC"/>
    <w:rsid w:val="13D015E4"/>
    <w:rsid w:val="13D16C86"/>
    <w:rsid w:val="13D44784"/>
    <w:rsid w:val="13D97B23"/>
    <w:rsid w:val="13DB5BC6"/>
    <w:rsid w:val="13E1127D"/>
    <w:rsid w:val="13E35D15"/>
    <w:rsid w:val="13E65EB9"/>
    <w:rsid w:val="13EE03D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7E4E1C"/>
    <w:rsid w:val="14836234"/>
    <w:rsid w:val="14933E8F"/>
    <w:rsid w:val="149A027A"/>
    <w:rsid w:val="149E66C7"/>
    <w:rsid w:val="14A33F4F"/>
    <w:rsid w:val="14AF0006"/>
    <w:rsid w:val="14AF3210"/>
    <w:rsid w:val="14C35D55"/>
    <w:rsid w:val="14CC3FB7"/>
    <w:rsid w:val="14CE5C1D"/>
    <w:rsid w:val="14D9714C"/>
    <w:rsid w:val="14E3403A"/>
    <w:rsid w:val="14E5572E"/>
    <w:rsid w:val="14F364C5"/>
    <w:rsid w:val="14F3765A"/>
    <w:rsid w:val="14FA2EBD"/>
    <w:rsid w:val="150A672B"/>
    <w:rsid w:val="150B4F2B"/>
    <w:rsid w:val="15107BF5"/>
    <w:rsid w:val="151E65FF"/>
    <w:rsid w:val="15285555"/>
    <w:rsid w:val="152D0236"/>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2905"/>
    <w:rsid w:val="1584500F"/>
    <w:rsid w:val="1586474C"/>
    <w:rsid w:val="158C2AD1"/>
    <w:rsid w:val="158E6F99"/>
    <w:rsid w:val="159954E8"/>
    <w:rsid w:val="159A0734"/>
    <w:rsid w:val="159A5332"/>
    <w:rsid w:val="159D2348"/>
    <w:rsid w:val="15A00DC2"/>
    <w:rsid w:val="15A23F05"/>
    <w:rsid w:val="15AA6500"/>
    <w:rsid w:val="15B6699C"/>
    <w:rsid w:val="15C036A5"/>
    <w:rsid w:val="15C433C7"/>
    <w:rsid w:val="15C666A0"/>
    <w:rsid w:val="15D56484"/>
    <w:rsid w:val="15DB3F6A"/>
    <w:rsid w:val="15E721E2"/>
    <w:rsid w:val="15F131CB"/>
    <w:rsid w:val="15F31839"/>
    <w:rsid w:val="15F31B90"/>
    <w:rsid w:val="15F4647A"/>
    <w:rsid w:val="15F56B46"/>
    <w:rsid w:val="15FD4721"/>
    <w:rsid w:val="1603233B"/>
    <w:rsid w:val="161104B9"/>
    <w:rsid w:val="161A43CF"/>
    <w:rsid w:val="161B0176"/>
    <w:rsid w:val="16254540"/>
    <w:rsid w:val="162E19AF"/>
    <w:rsid w:val="162E2871"/>
    <w:rsid w:val="163838F7"/>
    <w:rsid w:val="163D25F4"/>
    <w:rsid w:val="164A4293"/>
    <w:rsid w:val="16525EEF"/>
    <w:rsid w:val="165F3E4D"/>
    <w:rsid w:val="165F493B"/>
    <w:rsid w:val="16624ECE"/>
    <w:rsid w:val="16674BA1"/>
    <w:rsid w:val="16680DBB"/>
    <w:rsid w:val="16691CD1"/>
    <w:rsid w:val="166B7EA8"/>
    <w:rsid w:val="1671348F"/>
    <w:rsid w:val="167829BC"/>
    <w:rsid w:val="167D5097"/>
    <w:rsid w:val="16897AA8"/>
    <w:rsid w:val="169139BB"/>
    <w:rsid w:val="16A12E85"/>
    <w:rsid w:val="16A14570"/>
    <w:rsid w:val="16B54D41"/>
    <w:rsid w:val="16B950F1"/>
    <w:rsid w:val="16BF599A"/>
    <w:rsid w:val="16C10492"/>
    <w:rsid w:val="16C90EC2"/>
    <w:rsid w:val="16E67B3C"/>
    <w:rsid w:val="16E972BD"/>
    <w:rsid w:val="16EC1FFF"/>
    <w:rsid w:val="16FA4E69"/>
    <w:rsid w:val="1702117B"/>
    <w:rsid w:val="17067A06"/>
    <w:rsid w:val="170C5D47"/>
    <w:rsid w:val="171110C1"/>
    <w:rsid w:val="171A74CD"/>
    <w:rsid w:val="17233B30"/>
    <w:rsid w:val="172A22E4"/>
    <w:rsid w:val="172F4AF3"/>
    <w:rsid w:val="17335271"/>
    <w:rsid w:val="173871BF"/>
    <w:rsid w:val="173945B8"/>
    <w:rsid w:val="17397F54"/>
    <w:rsid w:val="173B0266"/>
    <w:rsid w:val="173D449C"/>
    <w:rsid w:val="173E4F5C"/>
    <w:rsid w:val="174945F8"/>
    <w:rsid w:val="17594918"/>
    <w:rsid w:val="176956A1"/>
    <w:rsid w:val="177462D7"/>
    <w:rsid w:val="177F0FBB"/>
    <w:rsid w:val="17836BED"/>
    <w:rsid w:val="179F3701"/>
    <w:rsid w:val="17A038E1"/>
    <w:rsid w:val="17A50876"/>
    <w:rsid w:val="17A66D75"/>
    <w:rsid w:val="17A97772"/>
    <w:rsid w:val="17AF4F54"/>
    <w:rsid w:val="17B52BBE"/>
    <w:rsid w:val="17C12FF6"/>
    <w:rsid w:val="17C43781"/>
    <w:rsid w:val="17C53619"/>
    <w:rsid w:val="17D7566C"/>
    <w:rsid w:val="17E062E1"/>
    <w:rsid w:val="17EE031C"/>
    <w:rsid w:val="17F90C5D"/>
    <w:rsid w:val="17FE2F59"/>
    <w:rsid w:val="18083836"/>
    <w:rsid w:val="180A0503"/>
    <w:rsid w:val="180C4C4A"/>
    <w:rsid w:val="18221F62"/>
    <w:rsid w:val="18226B93"/>
    <w:rsid w:val="18254DE9"/>
    <w:rsid w:val="18286635"/>
    <w:rsid w:val="182A24AF"/>
    <w:rsid w:val="182D50E4"/>
    <w:rsid w:val="182E23F2"/>
    <w:rsid w:val="18307812"/>
    <w:rsid w:val="18343B97"/>
    <w:rsid w:val="183803E8"/>
    <w:rsid w:val="18446580"/>
    <w:rsid w:val="18464271"/>
    <w:rsid w:val="18472D36"/>
    <w:rsid w:val="18553484"/>
    <w:rsid w:val="185B7D93"/>
    <w:rsid w:val="185E140F"/>
    <w:rsid w:val="18624A54"/>
    <w:rsid w:val="18705F8F"/>
    <w:rsid w:val="187756DE"/>
    <w:rsid w:val="18793121"/>
    <w:rsid w:val="187B6255"/>
    <w:rsid w:val="187F0F77"/>
    <w:rsid w:val="18804328"/>
    <w:rsid w:val="18852BAC"/>
    <w:rsid w:val="18950986"/>
    <w:rsid w:val="18A265DF"/>
    <w:rsid w:val="18A34D42"/>
    <w:rsid w:val="18A62FCD"/>
    <w:rsid w:val="18AA0E52"/>
    <w:rsid w:val="18B334B7"/>
    <w:rsid w:val="18B855F9"/>
    <w:rsid w:val="18B96DC7"/>
    <w:rsid w:val="18BB3F94"/>
    <w:rsid w:val="18C33745"/>
    <w:rsid w:val="18C63D0F"/>
    <w:rsid w:val="18CD4921"/>
    <w:rsid w:val="18D25736"/>
    <w:rsid w:val="18D832E3"/>
    <w:rsid w:val="18E1311B"/>
    <w:rsid w:val="18E35FBD"/>
    <w:rsid w:val="18E74AB6"/>
    <w:rsid w:val="18FF116A"/>
    <w:rsid w:val="19045E0C"/>
    <w:rsid w:val="190E3EAE"/>
    <w:rsid w:val="19117AB1"/>
    <w:rsid w:val="191252F8"/>
    <w:rsid w:val="19196DF1"/>
    <w:rsid w:val="191D6F4A"/>
    <w:rsid w:val="192D35CA"/>
    <w:rsid w:val="192E13F5"/>
    <w:rsid w:val="19320E6A"/>
    <w:rsid w:val="19337009"/>
    <w:rsid w:val="1937499B"/>
    <w:rsid w:val="19381605"/>
    <w:rsid w:val="193D186F"/>
    <w:rsid w:val="194149E5"/>
    <w:rsid w:val="19546523"/>
    <w:rsid w:val="19555B9C"/>
    <w:rsid w:val="1958309F"/>
    <w:rsid w:val="19674EA1"/>
    <w:rsid w:val="197C1B46"/>
    <w:rsid w:val="19833601"/>
    <w:rsid w:val="19884DD1"/>
    <w:rsid w:val="198F7F74"/>
    <w:rsid w:val="19A0376F"/>
    <w:rsid w:val="19AB3840"/>
    <w:rsid w:val="19AB5AD3"/>
    <w:rsid w:val="19AC08F9"/>
    <w:rsid w:val="19B11B6A"/>
    <w:rsid w:val="19C46A48"/>
    <w:rsid w:val="19D710D9"/>
    <w:rsid w:val="19DC4D2C"/>
    <w:rsid w:val="19E944DB"/>
    <w:rsid w:val="19EA513E"/>
    <w:rsid w:val="1A070E90"/>
    <w:rsid w:val="1A0905A2"/>
    <w:rsid w:val="1A091D2E"/>
    <w:rsid w:val="1A09601C"/>
    <w:rsid w:val="1A1516BA"/>
    <w:rsid w:val="1A163D48"/>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325AD"/>
    <w:rsid w:val="1A775C02"/>
    <w:rsid w:val="1A7977B6"/>
    <w:rsid w:val="1A7A317F"/>
    <w:rsid w:val="1A7D16C9"/>
    <w:rsid w:val="1A815E3D"/>
    <w:rsid w:val="1A8A13ED"/>
    <w:rsid w:val="1A8B2040"/>
    <w:rsid w:val="1A8B4A71"/>
    <w:rsid w:val="1A8E5413"/>
    <w:rsid w:val="1A910D13"/>
    <w:rsid w:val="1A9E1DFA"/>
    <w:rsid w:val="1A9F4350"/>
    <w:rsid w:val="1AA71EB3"/>
    <w:rsid w:val="1AA818CC"/>
    <w:rsid w:val="1AB80A87"/>
    <w:rsid w:val="1ACD760E"/>
    <w:rsid w:val="1AD31C39"/>
    <w:rsid w:val="1AD67065"/>
    <w:rsid w:val="1AD81472"/>
    <w:rsid w:val="1ADB2825"/>
    <w:rsid w:val="1AE74460"/>
    <w:rsid w:val="1AE75336"/>
    <w:rsid w:val="1AF35E37"/>
    <w:rsid w:val="1AF44F07"/>
    <w:rsid w:val="1AF94AB2"/>
    <w:rsid w:val="1AFA5418"/>
    <w:rsid w:val="1AFE2D80"/>
    <w:rsid w:val="1B0055AC"/>
    <w:rsid w:val="1B023D66"/>
    <w:rsid w:val="1B085409"/>
    <w:rsid w:val="1B0E2FFE"/>
    <w:rsid w:val="1B1A72DE"/>
    <w:rsid w:val="1B1D77BA"/>
    <w:rsid w:val="1B352844"/>
    <w:rsid w:val="1B3C7C5A"/>
    <w:rsid w:val="1B461A53"/>
    <w:rsid w:val="1B55264E"/>
    <w:rsid w:val="1B5C51BE"/>
    <w:rsid w:val="1B6B55E1"/>
    <w:rsid w:val="1B6E1726"/>
    <w:rsid w:val="1B72739C"/>
    <w:rsid w:val="1B7470A0"/>
    <w:rsid w:val="1B7779F9"/>
    <w:rsid w:val="1B7A0115"/>
    <w:rsid w:val="1B7F2F2E"/>
    <w:rsid w:val="1BA75C0A"/>
    <w:rsid w:val="1BA84E74"/>
    <w:rsid w:val="1BAA6775"/>
    <w:rsid w:val="1BAE4E2B"/>
    <w:rsid w:val="1BB11F7A"/>
    <w:rsid w:val="1BB64C91"/>
    <w:rsid w:val="1BBC26CD"/>
    <w:rsid w:val="1BBE6DC5"/>
    <w:rsid w:val="1BC11A92"/>
    <w:rsid w:val="1BC82E9B"/>
    <w:rsid w:val="1BCB16F2"/>
    <w:rsid w:val="1BD23CC7"/>
    <w:rsid w:val="1BE01284"/>
    <w:rsid w:val="1BE45714"/>
    <w:rsid w:val="1BE7774A"/>
    <w:rsid w:val="1BEB3977"/>
    <w:rsid w:val="1BEC1FD1"/>
    <w:rsid w:val="1BED2270"/>
    <w:rsid w:val="1C035F1D"/>
    <w:rsid w:val="1C0631C4"/>
    <w:rsid w:val="1C0D54E1"/>
    <w:rsid w:val="1C1047B8"/>
    <w:rsid w:val="1C110790"/>
    <w:rsid w:val="1C143553"/>
    <w:rsid w:val="1C1A6399"/>
    <w:rsid w:val="1C1D2793"/>
    <w:rsid w:val="1C231768"/>
    <w:rsid w:val="1C292D54"/>
    <w:rsid w:val="1C33151E"/>
    <w:rsid w:val="1C3A6E7D"/>
    <w:rsid w:val="1C3A75CC"/>
    <w:rsid w:val="1C3C11BD"/>
    <w:rsid w:val="1C3D380E"/>
    <w:rsid w:val="1C3E383D"/>
    <w:rsid w:val="1C3F03DB"/>
    <w:rsid w:val="1C4765D7"/>
    <w:rsid w:val="1C481321"/>
    <w:rsid w:val="1C5F59A1"/>
    <w:rsid w:val="1C613B86"/>
    <w:rsid w:val="1C632147"/>
    <w:rsid w:val="1C676D23"/>
    <w:rsid w:val="1C6B67B8"/>
    <w:rsid w:val="1C6C5EA1"/>
    <w:rsid w:val="1C6F0789"/>
    <w:rsid w:val="1C7309CC"/>
    <w:rsid w:val="1C7342E2"/>
    <w:rsid w:val="1C816C1F"/>
    <w:rsid w:val="1C971693"/>
    <w:rsid w:val="1C9910E5"/>
    <w:rsid w:val="1C9C3B70"/>
    <w:rsid w:val="1C9D605B"/>
    <w:rsid w:val="1CAA2B07"/>
    <w:rsid w:val="1CAD2D2D"/>
    <w:rsid w:val="1CB17D91"/>
    <w:rsid w:val="1CB5726E"/>
    <w:rsid w:val="1CBB5591"/>
    <w:rsid w:val="1CBF2A17"/>
    <w:rsid w:val="1CC61D62"/>
    <w:rsid w:val="1CC819E3"/>
    <w:rsid w:val="1CC874B0"/>
    <w:rsid w:val="1CCB7531"/>
    <w:rsid w:val="1CCC0762"/>
    <w:rsid w:val="1CD11D24"/>
    <w:rsid w:val="1CD8491A"/>
    <w:rsid w:val="1CE521E6"/>
    <w:rsid w:val="1CFC456C"/>
    <w:rsid w:val="1D0205B4"/>
    <w:rsid w:val="1D0271F2"/>
    <w:rsid w:val="1D081BEC"/>
    <w:rsid w:val="1D09300E"/>
    <w:rsid w:val="1D1F3C33"/>
    <w:rsid w:val="1D1F4CC2"/>
    <w:rsid w:val="1D251542"/>
    <w:rsid w:val="1D265467"/>
    <w:rsid w:val="1D277D74"/>
    <w:rsid w:val="1D315183"/>
    <w:rsid w:val="1D365280"/>
    <w:rsid w:val="1D3B2B55"/>
    <w:rsid w:val="1D565CE9"/>
    <w:rsid w:val="1D5E7BA2"/>
    <w:rsid w:val="1D60103D"/>
    <w:rsid w:val="1D630AE1"/>
    <w:rsid w:val="1D64235D"/>
    <w:rsid w:val="1D657DE0"/>
    <w:rsid w:val="1D845887"/>
    <w:rsid w:val="1D8B607A"/>
    <w:rsid w:val="1D8D20AF"/>
    <w:rsid w:val="1D916C98"/>
    <w:rsid w:val="1D9A14E3"/>
    <w:rsid w:val="1DAD14C4"/>
    <w:rsid w:val="1DB6781D"/>
    <w:rsid w:val="1DCB00EF"/>
    <w:rsid w:val="1DCC6561"/>
    <w:rsid w:val="1DD43FB6"/>
    <w:rsid w:val="1DD97837"/>
    <w:rsid w:val="1DDB0CDF"/>
    <w:rsid w:val="1DDC0732"/>
    <w:rsid w:val="1DDF347E"/>
    <w:rsid w:val="1DE230FF"/>
    <w:rsid w:val="1DE55529"/>
    <w:rsid w:val="1E0A6CE5"/>
    <w:rsid w:val="1E294A25"/>
    <w:rsid w:val="1E30079D"/>
    <w:rsid w:val="1E316B15"/>
    <w:rsid w:val="1E3B54C4"/>
    <w:rsid w:val="1E3D10C7"/>
    <w:rsid w:val="1E3E311D"/>
    <w:rsid w:val="1E3E7445"/>
    <w:rsid w:val="1E556610"/>
    <w:rsid w:val="1E597A56"/>
    <w:rsid w:val="1E673C89"/>
    <w:rsid w:val="1E68078F"/>
    <w:rsid w:val="1E69034D"/>
    <w:rsid w:val="1E6A6411"/>
    <w:rsid w:val="1E6D4140"/>
    <w:rsid w:val="1E706893"/>
    <w:rsid w:val="1E7735B5"/>
    <w:rsid w:val="1E7A4E22"/>
    <w:rsid w:val="1E7C7CD7"/>
    <w:rsid w:val="1E8E3646"/>
    <w:rsid w:val="1E9B14E0"/>
    <w:rsid w:val="1EA42FBE"/>
    <w:rsid w:val="1EB00C3D"/>
    <w:rsid w:val="1EB359F1"/>
    <w:rsid w:val="1EB43ABE"/>
    <w:rsid w:val="1EB81B1A"/>
    <w:rsid w:val="1EC27C9B"/>
    <w:rsid w:val="1ED13280"/>
    <w:rsid w:val="1EDA76C3"/>
    <w:rsid w:val="1EF02DBA"/>
    <w:rsid w:val="1EF10737"/>
    <w:rsid w:val="1EFA6CA8"/>
    <w:rsid w:val="1F057072"/>
    <w:rsid w:val="1F0618CF"/>
    <w:rsid w:val="1F073DF4"/>
    <w:rsid w:val="1F0818B3"/>
    <w:rsid w:val="1F093981"/>
    <w:rsid w:val="1F1B1C1B"/>
    <w:rsid w:val="1F1C08BB"/>
    <w:rsid w:val="1F1D57D6"/>
    <w:rsid w:val="1F1F544D"/>
    <w:rsid w:val="1F212F73"/>
    <w:rsid w:val="1F22528B"/>
    <w:rsid w:val="1F34242D"/>
    <w:rsid w:val="1F42113B"/>
    <w:rsid w:val="1F62435B"/>
    <w:rsid w:val="1F651C69"/>
    <w:rsid w:val="1F653948"/>
    <w:rsid w:val="1F666A8E"/>
    <w:rsid w:val="1F70449D"/>
    <w:rsid w:val="1F7959D1"/>
    <w:rsid w:val="1F7B09C6"/>
    <w:rsid w:val="1F870A6D"/>
    <w:rsid w:val="1F87303F"/>
    <w:rsid w:val="1F881019"/>
    <w:rsid w:val="1F883576"/>
    <w:rsid w:val="1F8A4B03"/>
    <w:rsid w:val="1F8C3FD1"/>
    <w:rsid w:val="1F933745"/>
    <w:rsid w:val="1F9C2F09"/>
    <w:rsid w:val="1FA40A2A"/>
    <w:rsid w:val="1FA8104C"/>
    <w:rsid w:val="1FAD2A59"/>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E21BD"/>
    <w:rsid w:val="202F1595"/>
    <w:rsid w:val="20313B9E"/>
    <w:rsid w:val="203F331C"/>
    <w:rsid w:val="204606F3"/>
    <w:rsid w:val="204B289E"/>
    <w:rsid w:val="204F31E6"/>
    <w:rsid w:val="205223B3"/>
    <w:rsid w:val="20546579"/>
    <w:rsid w:val="206121B1"/>
    <w:rsid w:val="2076144E"/>
    <w:rsid w:val="207E6EDB"/>
    <w:rsid w:val="20887B71"/>
    <w:rsid w:val="208A5FA1"/>
    <w:rsid w:val="2090677E"/>
    <w:rsid w:val="2094170A"/>
    <w:rsid w:val="209D77F6"/>
    <w:rsid w:val="20A15F4F"/>
    <w:rsid w:val="20A420AE"/>
    <w:rsid w:val="20AB1D24"/>
    <w:rsid w:val="20B15C43"/>
    <w:rsid w:val="20C47BBE"/>
    <w:rsid w:val="20C57BBC"/>
    <w:rsid w:val="20C904A4"/>
    <w:rsid w:val="20D35AF3"/>
    <w:rsid w:val="20D3607A"/>
    <w:rsid w:val="20D62BCF"/>
    <w:rsid w:val="20F41A83"/>
    <w:rsid w:val="20FF72E4"/>
    <w:rsid w:val="21136069"/>
    <w:rsid w:val="21191EEF"/>
    <w:rsid w:val="21194C54"/>
    <w:rsid w:val="211A1985"/>
    <w:rsid w:val="211C74CD"/>
    <w:rsid w:val="212B00D9"/>
    <w:rsid w:val="21393878"/>
    <w:rsid w:val="213C6795"/>
    <w:rsid w:val="213D54AB"/>
    <w:rsid w:val="21502456"/>
    <w:rsid w:val="21515BF5"/>
    <w:rsid w:val="21551585"/>
    <w:rsid w:val="215C4BB4"/>
    <w:rsid w:val="215C792C"/>
    <w:rsid w:val="215E1D7B"/>
    <w:rsid w:val="21633F00"/>
    <w:rsid w:val="21642682"/>
    <w:rsid w:val="21711B13"/>
    <w:rsid w:val="217D7BE7"/>
    <w:rsid w:val="217F2931"/>
    <w:rsid w:val="2182201F"/>
    <w:rsid w:val="218424C9"/>
    <w:rsid w:val="2186234F"/>
    <w:rsid w:val="219F223A"/>
    <w:rsid w:val="21A2243F"/>
    <w:rsid w:val="21A36A20"/>
    <w:rsid w:val="21A92174"/>
    <w:rsid w:val="21A954A2"/>
    <w:rsid w:val="21B050D8"/>
    <w:rsid w:val="21B54D9A"/>
    <w:rsid w:val="21B67C56"/>
    <w:rsid w:val="21C1708E"/>
    <w:rsid w:val="21C44941"/>
    <w:rsid w:val="21E32E86"/>
    <w:rsid w:val="21E464DA"/>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8155B"/>
    <w:rsid w:val="228C33A4"/>
    <w:rsid w:val="228F05B6"/>
    <w:rsid w:val="229E40E2"/>
    <w:rsid w:val="22AF297E"/>
    <w:rsid w:val="22B200FD"/>
    <w:rsid w:val="22B4559C"/>
    <w:rsid w:val="22C52953"/>
    <w:rsid w:val="22C535D6"/>
    <w:rsid w:val="22C53E3C"/>
    <w:rsid w:val="22D26A45"/>
    <w:rsid w:val="22D47A70"/>
    <w:rsid w:val="22D66BA2"/>
    <w:rsid w:val="22E617E6"/>
    <w:rsid w:val="22F3562B"/>
    <w:rsid w:val="22F411D2"/>
    <w:rsid w:val="22FE5911"/>
    <w:rsid w:val="23035B74"/>
    <w:rsid w:val="2310727D"/>
    <w:rsid w:val="231A2317"/>
    <w:rsid w:val="231C30C0"/>
    <w:rsid w:val="231C3560"/>
    <w:rsid w:val="232102A3"/>
    <w:rsid w:val="23284083"/>
    <w:rsid w:val="23291F54"/>
    <w:rsid w:val="233B391F"/>
    <w:rsid w:val="2346744C"/>
    <w:rsid w:val="234D31D3"/>
    <w:rsid w:val="234E50A5"/>
    <w:rsid w:val="235346EB"/>
    <w:rsid w:val="2355454D"/>
    <w:rsid w:val="235E5D50"/>
    <w:rsid w:val="23646B0E"/>
    <w:rsid w:val="2369413C"/>
    <w:rsid w:val="2370745B"/>
    <w:rsid w:val="237415CC"/>
    <w:rsid w:val="237A4758"/>
    <w:rsid w:val="238060AA"/>
    <w:rsid w:val="23872B3E"/>
    <w:rsid w:val="23885DC5"/>
    <w:rsid w:val="238D1B89"/>
    <w:rsid w:val="239408B4"/>
    <w:rsid w:val="2394744C"/>
    <w:rsid w:val="23966D69"/>
    <w:rsid w:val="23A00E7F"/>
    <w:rsid w:val="23A7444F"/>
    <w:rsid w:val="23A80A26"/>
    <w:rsid w:val="23BE2F3D"/>
    <w:rsid w:val="23C271EA"/>
    <w:rsid w:val="23CC5A96"/>
    <w:rsid w:val="23D04F68"/>
    <w:rsid w:val="23DD37FD"/>
    <w:rsid w:val="23E05C61"/>
    <w:rsid w:val="23E72077"/>
    <w:rsid w:val="23EC685B"/>
    <w:rsid w:val="23FC0DBC"/>
    <w:rsid w:val="23FC5A0E"/>
    <w:rsid w:val="23FF77D8"/>
    <w:rsid w:val="240110F8"/>
    <w:rsid w:val="2409084A"/>
    <w:rsid w:val="240B41B4"/>
    <w:rsid w:val="240C3033"/>
    <w:rsid w:val="240F0C59"/>
    <w:rsid w:val="24103087"/>
    <w:rsid w:val="24132FC6"/>
    <w:rsid w:val="24193D6D"/>
    <w:rsid w:val="241F30F6"/>
    <w:rsid w:val="24241CB7"/>
    <w:rsid w:val="24311EAA"/>
    <w:rsid w:val="24350880"/>
    <w:rsid w:val="2439325C"/>
    <w:rsid w:val="243B2B82"/>
    <w:rsid w:val="243C2234"/>
    <w:rsid w:val="243D51B4"/>
    <w:rsid w:val="244058C3"/>
    <w:rsid w:val="244514B2"/>
    <w:rsid w:val="245A051E"/>
    <w:rsid w:val="245C4D20"/>
    <w:rsid w:val="24686681"/>
    <w:rsid w:val="246932FF"/>
    <w:rsid w:val="246E28EB"/>
    <w:rsid w:val="24727DCD"/>
    <w:rsid w:val="24781D7F"/>
    <w:rsid w:val="248B7B1A"/>
    <w:rsid w:val="248C297E"/>
    <w:rsid w:val="248E30DB"/>
    <w:rsid w:val="248F0A03"/>
    <w:rsid w:val="249146F7"/>
    <w:rsid w:val="24A46B9D"/>
    <w:rsid w:val="24AE10D4"/>
    <w:rsid w:val="24B40620"/>
    <w:rsid w:val="24BB1774"/>
    <w:rsid w:val="24C019BD"/>
    <w:rsid w:val="24C2479C"/>
    <w:rsid w:val="24C60713"/>
    <w:rsid w:val="24CB646B"/>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781413"/>
    <w:rsid w:val="2580476C"/>
    <w:rsid w:val="25872F21"/>
    <w:rsid w:val="25956E38"/>
    <w:rsid w:val="259820CC"/>
    <w:rsid w:val="25A63722"/>
    <w:rsid w:val="25AA1C70"/>
    <w:rsid w:val="25B80CA1"/>
    <w:rsid w:val="25BC228E"/>
    <w:rsid w:val="25C043B3"/>
    <w:rsid w:val="25C27CF4"/>
    <w:rsid w:val="25D45B8A"/>
    <w:rsid w:val="25D63E38"/>
    <w:rsid w:val="25D75C23"/>
    <w:rsid w:val="25E22D30"/>
    <w:rsid w:val="25F006E8"/>
    <w:rsid w:val="25F525ED"/>
    <w:rsid w:val="25FD40FF"/>
    <w:rsid w:val="260265CC"/>
    <w:rsid w:val="260F621B"/>
    <w:rsid w:val="26151559"/>
    <w:rsid w:val="26211AAB"/>
    <w:rsid w:val="262A236D"/>
    <w:rsid w:val="262F4BB4"/>
    <w:rsid w:val="263127E7"/>
    <w:rsid w:val="26321F46"/>
    <w:rsid w:val="26393425"/>
    <w:rsid w:val="26515924"/>
    <w:rsid w:val="26517C6C"/>
    <w:rsid w:val="265454AE"/>
    <w:rsid w:val="2658635E"/>
    <w:rsid w:val="265C6E15"/>
    <w:rsid w:val="2663199A"/>
    <w:rsid w:val="26666101"/>
    <w:rsid w:val="266876DA"/>
    <w:rsid w:val="266A16A4"/>
    <w:rsid w:val="266D3D2B"/>
    <w:rsid w:val="26764F4E"/>
    <w:rsid w:val="267E5FC8"/>
    <w:rsid w:val="268057B6"/>
    <w:rsid w:val="26896FE2"/>
    <w:rsid w:val="268A0AF7"/>
    <w:rsid w:val="268A60EE"/>
    <w:rsid w:val="26904754"/>
    <w:rsid w:val="269B5806"/>
    <w:rsid w:val="26A24E49"/>
    <w:rsid w:val="26AD7236"/>
    <w:rsid w:val="26B26825"/>
    <w:rsid w:val="26BF160B"/>
    <w:rsid w:val="26C30D57"/>
    <w:rsid w:val="26C34C25"/>
    <w:rsid w:val="26C72A30"/>
    <w:rsid w:val="26C86471"/>
    <w:rsid w:val="26CC743B"/>
    <w:rsid w:val="26D3625D"/>
    <w:rsid w:val="26E00D0E"/>
    <w:rsid w:val="26ED7BDF"/>
    <w:rsid w:val="26F176CF"/>
    <w:rsid w:val="26F90CC5"/>
    <w:rsid w:val="270179E0"/>
    <w:rsid w:val="27024358"/>
    <w:rsid w:val="270A1556"/>
    <w:rsid w:val="270B1670"/>
    <w:rsid w:val="270B1EA6"/>
    <w:rsid w:val="271773F8"/>
    <w:rsid w:val="272C0F38"/>
    <w:rsid w:val="27365509"/>
    <w:rsid w:val="273C2397"/>
    <w:rsid w:val="27427F2B"/>
    <w:rsid w:val="274C0DA9"/>
    <w:rsid w:val="275654B3"/>
    <w:rsid w:val="275A494D"/>
    <w:rsid w:val="275E4319"/>
    <w:rsid w:val="275F0ADD"/>
    <w:rsid w:val="27605944"/>
    <w:rsid w:val="27681D40"/>
    <w:rsid w:val="276E3745"/>
    <w:rsid w:val="277C065D"/>
    <w:rsid w:val="277D20F6"/>
    <w:rsid w:val="27806496"/>
    <w:rsid w:val="27875183"/>
    <w:rsid w:val="27887B88"/>
    <w:rsid w:val="279C73CC"/>
    <w:rsid w:val="279F26A2"/>
    <w:rsid w:val="27A115DF"/>
    <w:rsid w:val="27AC5CEC"/>
    <w:rsid w:val="27B874B5"/>
    <w:rsid w:val="27B95139"/>
    <w:rsid w:val="27BC5AEA"/>
    <w:rsid w:val="27C1199D"/>
    <w:rsid w:val="27C306E3"/>
    <w:rsid w:val="27CF70EE"/>
    <w:rsid w:val="27D06C18"/>
    <w:rsid w:val="27D33BB7"/>
    <w:rsid w:val="27D77FA2"/>
    <w:rsid w:val="27E324BC"/>
    <w:rsid w:val="27EB0374"/>
    <w:rsid w:val="27F52DEB"/>
    <w:rsid w:val="27FF4514"/>
    <w:rsid w:val="2802590C"/>
    <w:rsid w:val="2803432E"/>
    <w:rsid w:val="28141B87"/>
    <w:rsid w:val="28153D7B"/>
    <w:rsid w:val="28250930"/>
    <w:rsid w:val="28305F2A"/>
    <w:rsid w:val="28386192"/>
    <w:rsid w:val="28386BA4"/>
    <w:rsid w:val="283A5232"/>
    <w:rsid w:val="284356A4"/>
    <w:rsid w:val="2855438B"/>
    <w:rsid w:val="28563628"/>
    <w:rsid w:val="285D36B8"/>
    <w:rsid w:val="286A04EE"/>
    <w:rsid w:val="286D2CD9"/>
    <w:rsid w:val="286E72FE"/>
    <w:rsid w:val="286F16EF"/>
    <w:rsid w:val="2870559E"/>
    <w:rsid w:val="28795080"/>
    <w:rsid w:val="287B497A"/>
    <w:rsid w:val="2887360E"/>
    <w:rsid w:val="28875432"/>
    <w:rsid w:val="288E2F58"/>
    <w:rsid w:val="28931DBD"/>
    <w:rsid w:val="28A569C3"/>
    <w:rsid w:val="28A92E5F"/>
    <w:rsid w:val="28AB02BA"/>
    <w:rsid w:val="28AF1A9A"/>
    <w:rsid w:val="28B207D5"/>
    <w:rsid w:val="28B34B98"/>
    <w:rsid w:val="28B414AF"/>
    <w:rsid w:val="28B8553F"/>
    <w:rsid w:val="28D320B0"/>
    <w:rsid w:val="28D76833"/>
    <w:rsid w:val="28E2112A"/>
    <w:rsid w:val="28E2173A"/>
    <w:rsid w:val="28F47D25"/>
    <w:rsid w:val="28FB4835"/>
    <w:rsid w:val="28FB6BE0"/>
    <w:rsid w:val="28FE60D3"/>
    <w:rsid w:val="29036B47"/>
    <w:rsid w:val="29057B0C"/>
    <w:rsid w:val="29062898"/>
    <w:rsid w:val="290C4374"/>
    <w:rsid w:val="291547D0"/>
    <w:rsid w:val="291F5BA6"/>
    <w:rsid w:val="29213EB0"/>
    <w:rsid w:val="29282AC7"/>
    <w:rsid w:val="292A6940"/>
    <w:rsid w:val="29365CAE"/>
    <w:rsid w:val="293722E6"/>
    <w:rsid w:val="29497FAE"/>
    <w:rsid w:val="29503035"/>
    <w:rsid w:val="2953747F"/>
    <w:rsid w:val="29586688"/>
    <w:rsid w:val="295E4339"/>
    <w:rsid w:val="29842A7C"/>
    <w:rsid w:val="29866C03"/>
    <w:rsid w:val="299017F5"/>
    <w:rsid w:val="29913DD3"/>
    <w:rsid w:val="29946A38"/>
    <w:rsid w:val="29955D2B"/>
    <w:rsid w:val="29A53DEF"/>
    <w:rsid w:val="29B319F3"/>
    <w:rsid w:val="29B348A7"/>
    <w:rsid w:val="29C70325"/>
    <w:rsid w:val="29CA7119"/>
    <w:rsid w:val="29CE5AA6"/>
    <w:rsid w:val="29D217FD"/>
    <w:rsid w:val="29D228C6"/>
    <w:rsid w:val="29E0088A"/>
    <w:rsid w:val="29E36270"/>
    <w:rsid w:val="29E77AD8"/>
    <w:rsid w:val="29ED3F43"/>
    <w:rsid w:val="29F52CA2"/>
    <w:rsid w:val="2A0168D2"/>
    <w:rsid w:val="2A0C17BC"/>
    <w:rsid w:val="2A1C4E2C"/>
    <w:rsid w:val="2A231237"/>
    <w:rsid w:val="2A266DC1"/>
    <w:rsid w:val="2A281B24"/>
    <w:rsid w:val="2A292AB2"/>
    <w:rsid w:val="2A2D6AAB"/>
    <w:rsid w:val="2A3158CE"/>
    <w:rsid w:val="2A37202C"/>
    <w:rsid w:val="2A3E7B22"/>
    <w:rsid w:val="2A425F86"/>
    <w:rsid w:val="2A4357C9"/>
    <w:rsid w:val="2A4A3DFF"/>
    <w:rsid w:val="2A4C0894"/>
    <w:rsid w:val="2A4F33FC"/>
    <w:rsid w:val="2A581ED5"/>
    <w:rsid w:val="2A67243F"/>
    <w:rsid w:val="2A7A01C0"/>
    <w:rsid w:val="2A835703"/>
    <w:rsid w:val="2A903383"/>
    <w:rsid w:val="2A99054D"/>
    <w:rsid w:val="2AA5420E"/>
    <w:rsid w:val="2AA63FAD"/>
    <w:rsid w:val="2AA753B3"/>
    <w:rsid w:val="2ABB71F2"/>
    <w:rsid w:val="2AC32CF4"/>
    <w:rsid w:val="2ACB6489"/>
    <w:rsid w:val="2AD11BDB"/>
    <w:rsid w:val="2AD26FBD"/>
    <w:rsid w:val="2AD45DCE"/>
    <w:rsid w:val="2AD532EA"/>
    <w:rsid w:val="2ADF63BA"/>
    <w:rsid w:val="2AEA71E0"/>
    <w:rsid w:val="2AEB08D9"/>
    <w:rsid w:val="2AF97449"/>
    <w:rsid w:val="2AFA06C0"/>
    <w:rsid w:val="2B0935CA"/>
    <w:rsid w:val="2B125463"/>
    <w:rsid w:val="2B134D85"/>
    <w:rsid w:val="2B196A82"/>
    <w:rsid w:val="2B1C2B42"/>
    <w:rsid w:val="2B2771C3"/>
    <w:rsid w:val="2B2D7144"/>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524AE"/>
    <w:rsid w:val="2C5A3FE0"/>
    <w:rsid w:val="2C5E3E0A"/>
    <w:rsid w:val="2C610E53"/>
    <w:rsid w:val="2C641388"/>
    <w:rsid w:val="2C6D7D6B"/>
    <w:rsid w:val="2C7231CE"/>
    <w:rsid w:val="2C730D26"/>
    <w:rsid w:val="2C860C8A"/>
    <w:rsid w:val="2C8F7EA0"/>
    <w:rsid w:val="2C903B2C"/>
    <w:rsid w:val="2C94230C"/>
    <w:rsid w:val="2C98620A"/>
    <w:rsid w:val="2C991698"/>
    <w:rsid w:val="2C9A25B7"/>
    <w:rsid w:val="2CA43AF1"/>
    <w:rsid w:val="2CAD22EA"/>
    <w:rsid w:val="2CAE4DC1"/>
    <w:rsid w:val="2CB64528"/>
    <w:rsid w:val="2CC240A9"/>
    <w:rsid w:val="2CC64317"/>
    <w:rsid w:val="2CD40BC7"/>
    <w:rsid w:val="2CEB5718"/>
    <w:rsid w:val="2CEC4515"/>
    <w:rsid w:val="2CF230F2"/>
    <w:rsid w:val="2CF627F8"/>
    <w:rsid w:val="2CF70A12"/>
    <w:rsid w:val="2CFA289C"/>
    <w:rsid w:val="2CFA7452"/>
    <w:rsid w:val="2D040B6E"/>
    <w:rsid w:val="2D053ED4"/>
    <w:rsid w:val="2D144117"/>
    <w:rsid w:val="2D215F16"/>
    <w:rsid w:val="2D251DA6"/>
    <w:rsid w:val="2D2C37EF"/>
    <w:rsid w:val="2D2D248B"/>
    <w:rsid w:val="2D393271"/>
    <w:rsid w:val="2D3C333D"/>
    <w:rsid w:val="2D3D7D7E"/>
    <w:rsid w:val="2D5A438B"/>
    <w:rsid w:val="2D5B403B"/>
    <w:rsid w:val="2D605B84"/>
    <w:rsid w:val="2D611947"/>
    <w:rsid w:val="2D614E83"/>
    <w:rsid w:val="2D651E65"/>
    <w:rsid w:val="2D6A36C2"/>
    <w:rsid w:val="2D6B3A49"/>
    <w:rsid w:val="2D74572C"/>
    <w:rsid w:val="2D770F29"/>
    <w:rsid w:val="2D7D6B19"/>
    <w:rsid w:val="2D7F16BC"/>
    <w:rsid w:val="2D815BCA"/>
    <w:rsid w:val="2D880831"/>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31F7F"/>
    <w:rsid w:val="2DF7386D"/>
    <w:rsid w:val="2E027003"/>
    <w:rsid w:val="2E0A47E7"/>
    <w:rsid w:val="2E0B0DBD"/>
    <w:rsid w:val="2E181705"/>
    <w:rsid w:val="2E1C43F9"/>
    <w:rsid w:val="2E223DF5"/>
    <w:rsid w:val="2E4610C5"/>
    <w:rsid w:val="2E4B121E"/>
    <w:rsid w:val="2E58236D"/>
    <w:rsid w:val="2E592A12"/>
    <w:rsid w:val="2E6E3CAD"/>
    <w:rsid w:val="2E710B8E"/>
    <w:rsid w:val="2E7446AD"/>
    <w:rsid w:val="2E783E12"/>
    <w:rsid w:val="2E841409"/>
    <w:rsid w:val="2E872443"/>
    <w:rsid w:val="2E933762"/>
    <w:rsid w:val="2E936DD6"/>
    <w:rsid w:val="2E954E8B"/>
    <w:rsid w:val="2EA339A5"/>
    <w:rsid w:val="2EB4208A"/>
    <w:rsid w:val="2EBA13FD"/>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33AB3"/>
    <w:rsid w:val="2F1F6B80"/>
    <w:rsid w:val="2F293042"/>
    <w:rsid w:val="2F3D6434"/>
    <w:rsid w:val="2F4131BE"/>
    <w:rsid w:val="2F4C564E"/>
    <w:rsid w:val="2F525B7F"/>
    <w:rsid w:val="2F55611B"/>
    <w:rsid w:val="2F5A03A3"/>
    <w:rsid w:val="2F6158A0"/>
    <w:rsid w:val="2F637D0F"/>
    <w:rsid w:val="2F704AC4"/>
    <w:rsid w:val="2F79680E"/>
    <w:rsid w:val="2F7D6BE6"/>
    <w:rsid w:val="2F81180C"/>
    <w:rsid w:val="2F820853"/>
    <w:rsid w:val="2F8512FC"/>
    <w:rsid w:val="2F9A06E9"/>
    <w:rsid w:val="2FA3554F"/>
    <w:rsid w:val="2FA41232"/>
    <w:rsid w:val="2FAA391B"/>
    <w:rsid w:val="2FB27537"/>
    <w:rsid w:val="2FB37CAB"/>
    <w:rsid w:val="2FBB793E"/>
    <w:rsid w:val="2FBC77FF"/>
    <w:rsid w:val="2FBF57FB"/>
    <w:rsid w:val="2FC4541B"/>
    <w:rsid w:val="2FC61A99"/>
    <w:rsid w:val="2FC72125"/>
    <w:rsid w:val="2FCA71CF"/>
    <w:rsid w:val="2FCF2577"/>
    <w:rsid w:val="2FD021B9"/>
    <w:rsid w:val="2FD17F97"/>
    <w:rsid w:val="2FE86CE8"/>
    <w:rsid w:val="2FE86D42"/>
    <w:rsid w:val="2FF741BF"/>
    <w:rsid w:val="2FFC0C41"/>
    <w:rsid w:val="2FFF3631"/>
    <w:rsid w:val="301476F9"/>
    <w:rsid w:val="302A58EA"/>
    <w:rsid w:val="3032262E"/>
    <w:rsid w:val="30495208"/>
    <w:rsid w:val="30536F80"/>
    <w:rsid w:val="30617764"/>
    <w:rsid w:val="30625472"/>
    <w:rsid w:val="30676C54"/>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F00A6"/>
    <w:rsid w:val="30D362E8"/>
    <w:rsid w:val="30D376E3"/>
    <w:rsid w:val="30D75AC0"/>
    <w:rsid w:val="30E36F1A"/>
    <w:rsid w:val="30E9120F"/>
    <w:rsid w:val="30E92916"/>
    <w:rsid w:val="30F42827"/>
    <w:rsid w:val="30F44BED"/>
    <w:rsid w:val="30FA0849"/>
    <w:rsid w:val="31081E06"/>
    <w:rsid w:val="310935FB"/>
    <w:rsid w:val="310D497F"/>
    <w:rsid w:val="310E5321"/>
    <w:rsid w:val="311C2DD2"/>
    <w:rsid w:val="311C6EB7"/>
    <w:rsid w:val="311E25FA"/>
    <w:rsid w:val="311E6779"/>
    <w:rsid w:val="31274263"/>
    <w:rsid w:val="31277BC2"/>
    <w:rsid w:val="312B22B1"/>
    <w:rsid w:val="312D4BBA"/>
    <w:rsid w:val="31321010"/>
    <w:rsid w:val="31370256"/>
    <w:rsid w:val="313E1763"/>
    <w:rsid w:val="31475DE2"/>
    <w:rsid w:val="315B22AF"/>
    <w:rsid w:val="315C31FA"/>
    <w:rsid w:val="315C56C7"/>
    <w:rsid w:val="3163665A"/>
    <w:rsid w:val="31660CB9"/>
    <w:rsid w:val="316A2872"/>
    <w:rsid w:val="316B6055"/>
    <w:rsid w:val="316D41A0"/>
    <w:rsid w:val="318536C6"/>
    <w:rsid w:val="31854A74"/>
    <w:rsid w:val="31874329"/>
    <w:rsid w:val="3188485A"/>
    <w:rsid w:val="31997C3A"/>
    <w:rsid w:val="31A03F80"/>
    <w:rsid w:val="31A42FFB"/>
    <w:rsid w:val="31A60907"/>
    <w:rsid w:val="31A66403"/>
    <w:rsid w:val="31B13ED7"/>
    <w:rsid w:val="31C11EC0"/>
    <w:rsid w:val="31C33656"/>
    <w:rsid w:val="31CA1097"/>
    <w:rsid w:val="31D55606"/>
    <w:rsid w:val="31D738B6"/>
    <w:rsid w:val="31DE0965"/>
    <w:rsid w:val="31DF0E06"/>
    <w:rsid w:val="31E4096B"/>
    <w:rsid w:val="31E70436"/>
    <w:rsid w:val="31E76021"/>
    <w:rsid w:val="31E915D7"/>
    <w:rsid w:val="31FA7495"/>
    <w:rsid w:val="31FC68F8"/>
    <w:rsid w:val="31FE6B45"/>
    <w:rsid w:val="320A71CE"/>
    <w:rsid w:val="32146531"/>
    <w:rsid w:val="3214729F"/>
    <w:rsid w:val="32185A9E"/>
    <w:rsid w:val="321C7D1E"/>
    <w:rsid w:val="321D782E"/>
    <w:rsid w:val="321F1BCC"/>
    <w:rsid w:val="32235E45"/>
    <w:rsid w:val="3231130C"/>
    <w:rsid w:val="32367539"/>
    <w:rsid w:val="324978FA"/>
    <w:rsid w:val="32503C29"/>
    <w:rsid w:val="32506D35"/>
    <w:rsid w:val="325154C6"/>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C75788"/>
    <w:rsid w:val="32DB0472"/>
    <w:rsid w:val="32DC5959"/>
    <w:rsid w:val="32E17A1F"/>
    <w:rsid w:val="32E82538"/>
    <w:rsid w:val="32F17C78"/>
    <w:rsid w:val="32F23D77"/>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16036"/>
    <w:rsid w:val="335A2AA0"/>
    <w:rsid w:val="33605F39"/>
    <w:rsid w:val="336077BC"/>
    <w:rsid w:val="33822A31"/>
    <w:rsid w:val="33867361"/>
    <w:rsid w:val="338A15D4"/>
    <w:rsid w:val="339064C2"/>
    <w:rsid w:val="33971AF0"/>
    <w:rsid w:val="33A93E2C"/>
    <w:rsid w:val="33AB0BF1"/>
    <w:rsid w:val="33AD2568"/>
    <w:rsid w:val="33B01CF9"/>
    <w:rsid w:val="33C07930"/>
    <w:rsid w:val="33C72B51"/>
    <w:rsid w:val="33D22636"/>
    <w:rsid w:val="33D24AD2"/>
    <w:rsid w:val="33D95579"/>
    <w:rsid w:val="33DE3F1A"/>
    <w:rsid w:val="33E05B27"/>
    <w:rsid w:val="33E800AC"/>
    <w:rsid w:val="33EA6243"/>
    <w:rsid w:val="33F74EE9"/>
    <w:rsid w:val="33FF0ACE"/>
    <w:rsid w:val="340B13B0"/>
    <w:rsid w:val="340E5809"/>
    <w:rsid w:val="341678CD"/>
    <w:rsid w:val="341931BA"/>
    <w:rsid w:val="34246AE9"/>
    <w:rsid w:val="342471E6"/>
    <w:rsid w:val="34274E4E"/>
    <w:rsid w:val="342A43F0"/>
    <w:rsid w:val="3437693D"/>
    <w:rsid w:val="3439272A"/>
    <w:rsid w:val="3439671A"/>
    <w:rsid w:val="34461C25"/>
    <w:rsid w:val="34495D1E"/>
    <w:rsid w:val="344C7D23"/>
    <w:rsid w:val="34592D70"/>
    <w:rsid w:val="34667777"/>
    <w:rsid w:val="346E439E"/>
    <w:rsid w:val="3472779D"/>
    <w:rsid w:val="347418D4"/>
    <w:rsid w:val="347E1828"/>
    <w:rsid w:val="349124F0"/>
    <w:rsid w:val="34960538"/>
    <w:rsid w:val="349875D2"/>
    <w:rsid w:val="34A51E74"/>
    <w:rsid w:val="34A715FC"/>
    <w:rsid w:val="34A7198B"/>
    <w:rsid w:val="34AD42DB"/>
    <w:rsid w:val="34AE25DC"/>
    <w:rsid w:val="34B2655E"/>
    <w:rsid w:val="34B378CC"/>
    <w:rsid w:val="34B51843"/>
    <w:rsid w:val="34B87AE8"/>
    <w:rsid w:val="34C416B3"/>
    <w:rsid w:val="34C93A39"/>
    <w:rsid w:val="34D84002"/>
    <w:rsid w:val="34DF4AA5"/>
    <w:rsid w:val="34E13C3F"/>
    <w:rsid w:val="34E62BF5"/>
    <w:rsid w:val="34F1008C"/>
    <w:rsid w:val="34F721FA"/>
    <w:rsid w:val="34FA76EE"/>
    <w:rsid w:val="34FF6E9B"/>
    <w:rsid w:val="35003508"/>
    <w:rsid w:val="35056C96"/>
    <w:rsid w:val="35064AA3"/>
    <w:rsid w:val="350B2392"/>
    <w:rsid w:val="350D1D8D"/>
    <w:rsid w:val="350E76E0"/>
    <w:rsid w:val="35134CB4"/>
    <w:rsid w:val="352415C7"/>
    <w:rsid w:val="3525653B"/>
    <w:rsid w:val="352670DB"/>
    <w:rsid w:val="352F5748"/>
    <w:rsid w:val="353006BF"/>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44C2A"/>
    <w:rsid w:val="35CE452A"/>
    <w:rsid w:val="35D0695D"/>
    <w:rsid w:val="35DA1ED2"/>
    <w:rsid w:val="35DD65E7"/>
    <w:rsid w:val="35EA6539"/>
    <w:rsid w:val="35EB1A05"/>
    <w:rsid w:val="35ED7BFB"/>
    <w:rsid w:val="35F1149A"/>
    <w:rsid w:val="35F73B86"/>
    <w:rsid w:val="36006AF2"/>
    <w:rsid w:val="36006BAA"/>
    <w:rsid w:val="36092FF1"/>
    <w:rsid w:val="360A4309"/>
    <w:rsid w:val="360C30AD"/>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9B40B2"/>
    <w:rsid w:val="369E09BC"/>
    <w:rsid w:val="369F24F0"/>
    <w:rsid w:val="36AB4236"/>
    <w:rsid w:val="36B239CE"/>
    <w:rsid w:val="36B4223D"/>
    <w:rsid w:val="36BB43C6"/>
    <w:rsid w:val="36C24BE4"/>
    <w:rsid w:val="36C81D43"/>
    <w:rsid w:val="36D203BF"/>
    <w:rsid w:val="36D93CDC"/>
    <w:rsid w:val="36DB7A54"/>
    <w:rsid w:val="36DC3A16"/>
    <w:rsid w:val="36E06758"/>
    <w:rsid w:val="36E16DF4"/>
    <w:rsid w:val="36E903C3"/>
    <w:rsid w:val="36F27B6A"/>
    <w:rsid w:val="36F338F2"/>
    <w:rsid w:val="36F7633E"/>
    <w:rsid w:val="36FD00EC"/>
    <w:rsid w:val="37014C43"/>
    <w:rsid w:val="37017F1A"/>
    <w:rsid w:val="371D2E2B"/>
    <w:rsid w:val="37222F65"/>
    <w:rsid w:val="372A6982"/>
    <w:rsid w:val="3736611F"/>
    <w:rsid w:val="373E204D"/>
    <w:rsid w:val="373E461C"/>
    <w:rsid w:val="37420974"/>
    <w:rsid w:val="374760C9"/>
    <w:rsid w:val="374B3F94"/>
    <w:rsid w:val="3756532C"/>
    <w:rsid w:val="375D490D"/>
    <w:rsid w:val="37622064"/>
    <w:rsid w:val="3763749D"/>
    <w:rsid w:val="376C3815"/>
    <w:rsid w:val="376D7D95"/>
    <w:rsid w:val="377073F0"/>
    <w:rsid w:val="377117AD"/>
    <w:rsid w:val="37790A12"/>
    <w:rsid w:val="377C24B2"/>
    <w:rsid w:val="378620B5"/>
    <w:rsid w:val="378D50FC"/>
    <w:rsid w:val="37900C0B"/>
    <w:rsid w:val="37A86B60"/>
    <w:rsid w:val="37A900F2"/>
    <w:rsid w:val="37AD3BFC"/>
    <w:rsid w:val="37AE77CE"/>
    <w:rsid w:val="37B211E9"/>
    <w:rsid w:val="37BA0AC7"/>
    <w:rsid w:val="37BD53AB"/>
    <w:rsid w:val="37C8428A"/>
    <w:rsid w:val="37C85B4A"/>
    <w:rsid w:val="37CB0777"/>
    <w:rsid w:val="37CB5F65"/>
    <w:rsid w:val="37CE028F"/>
    <w:rsid w:val="37CE0538"/>
    <w:rsid w:val="37DA69E8"/>
    <w:rsid w:val="37DF02E4"/>
    <w:rsid w:val="37F35F6E"/>
    <w:rsid w:val="37FB4C3E"/>
    <w:rsid w:val="38070EEB"/>
    <w:rsid w:val="38074E86"/>
    <w:rsid w:val="380D1E8F"/>
    <w:rsid w:val="380D4E0E"/>
    <w:rsid w:val="38186A25"/>
    <w:rsid w:val="382E0B3B"/>
    <w:rsid w:val="38344445"/>
    <w:rsid w:val="383B6651"/>
    <w:rsid w:val="383F6FB8"/>
    <w:rsid w:val="384C03EA"/>
    <w:rsid w:val="384E1A7B"/>
    <w:rsid w:val="385604B0"/>
    <w:rsid w:val="3857135C"/>
    <w:rsid w:val="385A6444"/>
    <w:rsid w:val="38674BB6"/>
    <w:rsid w:val="38685211"/>
    <w:rsid w:val="387600A5"/>
    <w:rsid w:val="387B56BA"/>
    <w:rsid w:val="38842F1F"/>
    <w:rsid w:val="388760A0"/>
    <w:rsid w:val="388B68FD"/>
    <w:rsid w:val="389972C1"/>
    <w:rsid w:val="389E58F2"/>
    <w:rsid w:val="38A14677"/>
    <w:rsid w:val="38A950FD"/>
    <w:rsid w:val="38AE3672"/>
    <w:rsid w:val="38C6156D"/>
    <w:rsid w:val="38C703B4"/>
    <w:rsid w:val="38CA3B45"/>
    <w:rsid w:val="38D90859"/>
    <w:rsid w:val="38DF5BEA"/>
    <w:rsid w:val="38E057F5"/>
    <w:rsid w:val="38F02330"/>
    <w:rsid w:val="38F32E2D"/>
    <w:rsid w:val="38F41545"/>
    <w:rsid w:val="38F50C0B"/>
    <w:rsid w:val="38F76425"/>
    <w:rsid w:val="38F85F15"/>
    <w:rsid w:val="39081076"/>
    <w:rsid w:val="39122722"/>
    <w:rsid w:val="39143281"/>
    <w:rsid w:val="39146EAF"/>
    <w:rsid w:val="39173FC1"/>
    <w:rsid w:val="3918231B"/>
    <w:rsid w:val="391D0471"/>
    <w:rsid w:val="391E075D"/>
    <w:rsid w:val="39214D4E"/>
    <w:rsid w:val="39225E0E"/>
    <w:rsid w:val="392439C6"/>
    <w:rsid w:val="39254E3A"/>
    <w:rsid w:val="39266524"/>
    <w:rsid w:val="3929085F"/>
    <w:rsid w:val="392A4C8F"/>
    <w:rsid w:val="3937518E"/>
    <w:rsid w:val="39380968"/>
    <w:rsid w:val="394538AA"/>
    <w:rsid w:val="39455658"/>
    <w:rsid w:val="39465C80"/>
    <w:rsid w:val="39466518"/>
    <w:rsid w:val="39474709"/>
    <w:rsid w:val="39605D36"/>
    <w:rsid w:val="397743D8"/>
    <w:rsid w:val="397C5933"/>
    <w:rsid w:val="397D55D9"/>
    <w:rsid w:val="398573FE"/>
    <w:rsid w:val="39914227"/>
    <w:rsid w:val="399B41D3"/>
    <w:rsid w:val="399D7D20"/>
    <w:rsid w:val="39A3652C"/>
    <w:rsid w:val="39A40929"/>
    <w:rsid w:val="39AF6A7D"/>
    <w:rsid w:val="39B74B79"/>
    <w:rsid w:val="39B8299B"/>
    <w:rsid w:val="39BF365D"/>
    <w:rsid w:val="39C57C52"/>
    <w:rsid w:val="39C94B58"/>
    <w:rsid w:val="39CB23D2"/>
    <w:rsid w:val="39CB48B4"/>
    <w:rsid w:val="39DE1D35"/>
    <w:rsid w:val="39E13D3B"/>
    <w:rsid w:val="39E8469B"/>
    <w:rsid w:val="39F02DA5"/>
    <w:rsid w:val="39F125D0"/>
    <w:rsid w:val="39F6369D"/>
    <w:rsid w:val="39F72FC6"/>
    <w:rsid w:val="39F84AD5"/>
    <w:rsid w:val="39FF5AD5"/>
    <w:rsid w:val="3A0E30BD"/>
    <w:rsid w:val="3A0F2911"/>
    <w:rsid w:val="3A137C03"/>
    <w:rsid w:val="3A175247"/>
    <w:rsid w:val="3A1F1D83"/>
    <w:rsid w:val="3A226D4B"/>
    <w:rsid w:val="3A2F4DAA"/>
    <w:rsid w:val="3A376CB2"/>
    <w:rsid w:val="3A3E3E74"/>
    <w:rsid w:val="3A420BDD"/>
    <w:rsid w:val="3A492257"/>
    <w:rsid w:val="3A4A5671"/>
    <w:rsid w:val="3A4D4636"/>
    <w:rsid w:val="3A4E44AD"/>
    <w:rsid w:val="3A5F3CA8"/>
    <w:rsid w:val="3A5F44FC"/>
    <w:rsid w:val="3A63048C"/>
    <w:rsid w:val="3A782EB9"/>
    <w:rsid w:val="3A844A0F"/>
    <w:rsid w:val="3A8572B8"/>
    <w:rsid w:val="3A870BA7"/>
    <w:rsid w:val="3A8E0E14"/>
    <w:rsid w:val="3AA173BE"/>
    <w:rsid w:val="3AB311F8"/>
    <w:rsid w:val="3AB94B13"/>
    <w:rsid w:val="3ABE1A04"/>
    <w:rsid w:val="3AC6552C"/>
    <w:rsid w:val="3AD24146"/>
    <w:rsid w:val="3AD47015"/>
    <w:rsid w:val="3ADE7B13"/>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711C1"/>
    <w:rsid w:val="3B4C4552"/>
    <w:rsid w:val="3B4D64DA"/>
    <w:rsid w:val="3B581EA1"/>
    <w:rsid w:val="3B660235"/>
    <w:rsid w:val="3B6F4C0F"/>
    <w:rsid w:val="3B78695F"/>
    <w:rsid w:val="3B7A1339"/>
    <w:rsid w:val="3B9A6C8A"/>
    <w:rsid w:val="3B9C6453"/>
    <w:rsid w:val="3BA5280E"/>
    <w:rsid w:val="3BB07701"/>
    <w:rsid w:val="3BB324A1"/>
    <w:rsid w:val="3BB40190"/>
    <w:rsid w:val="3BB42A7D"/>
    <w:rsid w:val="3BB76F46"/>
    <w:rsid w:val="3BC1543E"/>
    <w:rsid w:val="3BC973A6"/>
    <w:rsid w:val="3BCB13DE"/>
    <w:rsid w:val="3BCC3353"/>
    <w:rsid w:val="3BD6747D"/>
    <w:rsid w:val="3BD76A98"/>
    <w:rsid w:val="3BDE4119"/>
    <w:rsid w:val="3BDE6DF2"/>
    <w:rsid w:val="3BE11723"/>
    <w:rsid w:val="3BE26390"/>
    <w:rsid w:val="3BE9F640"/>
    <w:rsid w:val="3BEA355F"/>
    <w:rsid w:val="3BFD7CE1"/>
    <w:rsid w:val="3C005A32"/>
    <w:rsid w:val="3C0268E9"/>
    <w:rsid w:val="3C067551"/>
    <w:rsid w:val="3C073099"/>
    <w:rsid w:val="3C0813C7"/>
    <w:rsid w:val="3C135BC4"/>
    <w:rsid w:val="3C1C295B"/>
    <w:rsid w:val="3C205E43"/>
    <w:rsid w:val="3C20718A"/>
    <w:rsid w:val="3C29300F"/>
    <w:rsid w:val="3C2E28D2"/>
    <w:rsid w:val="3C2F56A0"/>
    <w:rsid w:val="3C365AF8"/>
    <w:rsid w:val="3C39441E"/>
    <w:rsid w:val="3C3C3CE5"/>
    <w:rsid w:val="3C3F4D69"/>
    <w:rsid w:val="3C621881"/>
    <w:rsid w:val="3C626530"/>
    <w:rsid w:val="3C6505D1"/>
    <w:rsid w:val="3C6777F4"/>
    <w:rsid w:val="3C6D28CB"/>
    <w:rsid w:val="3C7C62E5"/>
    <w:rsid w:val="3C7D6B6A"/>
    <w:rsid w:val="3C801030"/>
    <w:rsid w:val="3C843DC2"/>
    <w:rsid w:val="3C844CB1"/>
    <w:rsid w:val="3C8B5A78"/>
    <w:rsid w:val="3C971F9B"/>
    <w:rsid w:val="3CA10209"/>
    <w:rsid w:val="3CA10480"/>
    <w:rsid w:val="3CA453D1"/>
    <w:rsid w:val="3CAE4A0A"/>
    <w:rsid w:val="3CBE598A"/>
    <w:rsid w:val="3CD17199"/>
    <w:rsid w:val="3CEB6449"/>
    <w:rsid w:val="3D0111E9"/>
    <w:rsid w:val="3D0141B6"/>
    <w:rsid w:val="3D0459B0"/>
    <w:rsid w:val="3D157717"/>
    <w:rsid w:val="3D1B3514"/>
    <w:rsid w:val="3D1D1BF6"/>
    <w:rsid w:val="3D2C5736"/>
    <w:rsid w:val="3D3C566A"/>
    <w:rsid w:val="3D3E7FAE"/>
    <w:rsid w:val="3D445B85"/>
    <w:rsid w:val="3D463F7F"/>
    <w:rsid w:val="3D566E05"/>
    <w:rsid w:val="3D5C70BD"/>
    <w:rsid w:val="3D5D7415"/>
    <w:rsid w:val="3D5F5BF9"/>
    <w:rsid w:val="3D6052A8"/>
    <w:rsid w:val="3D6715B6"/>
    <w:rsid w:val="3D6A0E68"/>
    <w:rsid w:val="3D6C7658"/>
    <w:rsid w:val="3D757AC6"/>
    <w:rsid w:val="3D827F9E"/>
    <w:rsid w:val="3D857B57"/>
    <w:rsid w:val="3D8D681A"/>
    <w:rsid w:val="3D8E473F"/>
    <w:rsid w:val="3D9A6F76"/>
    <w:rsid w:val="3DA24BF3"/>
    <w:rsid w:val="3DAA124A"/>
    <w:rsid w:val="3DB86D41"/>
    <w:rsid w:val="3DBD70A4"/>
    <w:rsid w:val="3DC05C7B"/>
    <w:rsid w:val="3DC0773F"/>
    <w:rsid w:val="3DC6320C"/>
    <w:rsid w:val="3DC91A8B"/>
    <w:rsid w:val="3DCC1E35"/>
    <w:rsid w:val="3DCE26E6"/>
    <w:rsid w:val="3DCE2F44"/>
    <w:rsid w:val="3DD376D7"/>
    <w:rsid w:val="3DD552BA"/>
    <w:rsid w:val="3DD93CC7"/>
    <w:rsid w:val="3DE1489E"/>
    <w:rsid w:val="3DE64602"/>
    <w:rsid w:val="3DEA331E"/>
    <w:rsid w:val="3DEC61FF"/>
    <w:rsid w:val="3DF05A53"/>
    <w:rsid w:val="3DF43595"/>
    <w:rsid w:val="3DF61AFE"/>
    <w:rsid w:val="3DF66592"/>
    <w:rsid w:val="3E0F192F"/>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A3646"/>
    <w:rsid w:val="3E8D154B"/>
    <w:rsid w:val="3E901C33"/>
    <w:rsid w:val="3E9208D6"/>
    <w:rsid w:val="3E9216B7"/>
    <w:rsid w:val="3E941C15"/>
    <w:rsid w:val="3E9F4C36"/>
    <w:rsid w:val="3EA37465"/>
    <w:rsid w:val="3EB7535A"/>
    <w:rsid w:val="3EBC63BD"/>
    <w:rsid w:val="3EC03EDD"/>
    <w:rsid w:val="3EC84D62"/>
    <w:rsid w:val="3ECB4852"/>
    <w:rsid w:val="3ED3535A"/>
    <w:rsid w:val="3ED708DB"/>
    <w:rsid w:val="3ED86C7F"/>
    <w:rsid w:val="3EF06BB7"/>
    <w:rsid w:val="3EF4041D"/>
    <w:rsid w:val="3EF72CF8"/>
    <w:rsid w:val="3EFF246E"/>
    <w:rsid w:val="3F144A1C"/>
    <w:rsid w:val="3F1730E4"/>
    <w:rsid w:val="3F1D06B2"/>
    <w:rsid w:val="3F226AEF"/>
    <w:rsid w:val="3F270257"/>
    <w:rsid w:val="3F285C84"/>
    <w:rsid w:val="3F2A5A1C"/>
    <w:rsid w:val="3F473721"/>
    <w:rsid w:val="3F4B043C"/>
    <w:rsid w:val="3F4B52A9"/>
    <w:rsid w:val="3F4C1405"/>
    <w:rsid w:val="3F4C14EF"/>
    <w:rsid w:val="3F533102"/>
    <w:rsid w:val="3F604797"/>
    <w:rsid w:val="3F654A9F"/>
    <w:rsid w:val="3F6F7F2C"/>
    <w:rsid w:val="3F715DDB"/>
    <w:rsid w:val="3F717D2A"/>
    <w:rsid w:val="3F830503"/>
    <w:rsid w:val="3F83095B"/>
    <w:rsid w:val="3F8352C1"/>
    <w:rsid w:val="3F8915BC"/>
    <w:rsid w:val="3FA327AE"/>
    <w:rsid w:val="3FA91C4B"/>
    <w:rsid w:val="3FB10CAA"/>
    <w:rsid w:val="3FB70A3D"/>
    <w:rsid w:val="3FCD0603"/>
    <w:rsid w:val="3FDA916F"/>
    <w:rsid w:val="3FE85A9C"/>
    <w:rsid w:val="3FF26629"/>
    <w:rsid w:val="3FF6169E"/>
    <w:rsid w:val="3FFE3379"/>
    <w:rsid w:val="400132AA"/>
    <w:rsid w:val="40032CDD"/>
    <w:rsid w:val="40050501"/>
    <w:rsid w:val="40066EF1"/>
    <w:rsid w:val="400E2C6B"/>
    <w:rsid w:val="40183AC7"/>
    <w:rsid w:val="401A783F"/>
    <w:rsid w:val="40251201"/>
    <w:rsid w:val="402905C6"/>
    <w:rsid w:val="40291C2B"/>
    <w:rsid w:val="40354D3E"/>
    <w:rsid w:val="403E5B3C"/>
    <w:rsid w:val="4047615A"/>
    <w:rsid w:val="40497FD0"/>
    <w:rsid w:val="40543768"/>
    <w:rsid w:val="40561C68"/>
    <w:rsid w:val="407507B2"/>
    <w:rsid w:val="40765CCD"/>
    <w:rsid w:val="407765FE"/>
    <w:rsid w:val="407B6130"/>
    <w:rsid w:val="40866FF3"/>
    <w:rsid w:val="40881665"/>
    <w:rsid w:val="40896772"/>
    <w:rsid w:val="409125D9"/>
    <w:rsid w:val="409F208D"/>
    <w:rsid w:val="40A73520"/>
    <w:rsid w:val="40AA3127"/>
    <w:rsid w:val="40AA5046"/>
    <w:rsid w:val="40AC48AA"/>
    <w:rsid w:val="40B411BC"/>
    <w:rsid w:val="40B437FE"/>
    <w:rsid w:val="40B53060"/>
    <w:rsid w:val="40C93868"/>
    <w:rsid w:val="40D133A0"/>
    <w:rsid w:val="40D20119"/>
    <w:rsid w:val="40D46C4F"/>
    <w:rsid w:val="40D84E5D"/>
    <w:rsid w:val="40E01FA4"/>
    <w:rsid w:val="40E37ADA"/>
    <w:rsid w:val="40E47926"/>
    <w:rsid w:val="40EA6057"/>
    <w:rsid w:val="40F95158"/>
    <w:rsid w:val="40FD234C"/>
    <w:rsid w:val="41016745"/>
    <w:rsid w:val="41076015"/>
    <w:rsid w:val="410D5399"/>
    <w:rsid w:val="411A2914"/>
    <w:rsid w:val="41280EEB"/>
    <w:rsid w:val="412B3B20"/>
    <w:rsid w:val="412C578A"/>
    <w:rsid w:val="412C5AE4"/>
    <w:rsid w:val="41357D18"/>
    <w:rsid w:val="414863E4"/>
    <w:rsid w:val="415154E2"/>
    <w:rsid w:val="41547580"/>
    <w:rsid w:val="41597EA9"/>
    <w:rsid w:val="415B5F7C"/>
    <w:rsid w:val="41606CC2"/>
    <w:rsid w:val="41623F60"/>
    <w:rsid w:val="416917A7"/>
    <w:rsid w:val="416C5B52"/>
    <w:rsid w:val="4173234D"/>
    <w:rsid w:val="41793E58"/>
    <w:rsid w:val="41856C90"/>
    <w:rsid w:val="41876636"/>
    <w:rsid w:val="418C3DCF"/>
    <w:rsid w:val="41907C1E"/>
    <w:rsid w:val="419164D0"/>
    <w:rsid w:val="41A12733"/>
    <w:rsid w:val="41A35587"/>
    <w:rsid w:val="41AA55CE"/>
    <w:rsid w:val="41C25B4A"/>
    <w:rsid w:val="41C46D3E"/>
    <w:rsid w:val="41C80E93"/>
    <w:rsid w:val="41D31D2F"/>
    <w:rsid w:val="41D332B9"/>
    <w:rsid w:val="41D57EC1"/>
    <w:rsid w:val="41D61543"/>
    <w:rsid w:val="41DB2CA2"/>
    <w:rsid w:val="41DC46B3"/>
    <w:rsid w:val="41FD3CE1"/>
    <w:rsid w:val="4200113A"/>
    <w:rsid w:val="420B4D6E"/>
    <w:rsid w:val="420B5BD4"/>
    <w:rsid w:val="42123101"/>
    <w:rsid w:val="421913E3"/>
    <w:rsid w:val="421D464B"/>
    <w:rsid w:val="422B1AE1"/>
    <w:rsid w:val="422F44B8"/>
    <w:rsid w:val="42320BAF"/>
    <w:rsid w:val="4234503B"/>
    <w:rsid w:val="42437038"/>
    <w:rsid w:val="424549A4"/>
    <w:rsid w:val="424F7250"/>
    <w:rsid w:val="425318CB"/>
    <w:rsid w:val="42562CE9"/>
    <w:rsid w:val="425846CB"/>
    <w:rsid w:val="425D7EB7"/>
    <w:rsid w:val="4261189E"/>
    <w:rsid w:val="426E1652"/>
    <w:rsid w:val="4270639C"/>
    <w:rsid w:val="427A3326"/>
    <w:rsid w:val="427B0009"/>
    <w:rsid w:val="427F038D"/>
    <w:rsid w:val="42824101"/>
    <w:rsid w:val="4287248B"/>
    <w:rsid w:val="42920E70"/>
    <w:rsid w:val="42967F14"/>
    <w:rsid w:val="42992CD5"/>
    <w:rsid w:val="42997141"/>
    <w:rsid w:val="429E0513"/>
    <w:rsid w:val="42A94C93"/>
    <w:rsid w:val="42B46154"/>
    <w:rsid w:val="42C56797"/>
    <w:rsid w:val="42DE4B92"/>
    <w:rsid w:val="42E16641"/>
    <w:rsid w:val="42ED1811"/>
    <w:rsid w:val="43011983"/>
    <w:rsid w:val="430D67CA"/>
    <w:rsid w:val="431439EF"/>
    <w:rsid w:val="431C5A14"/>
    <w:rsid w:val="43210071"/>
    <w:rsid w:val="43241A97"/>
    <w:rsid w:val="4325409F"/>
    <w:rsid w:val="432879E8"/>
    <w:rsid w:val="432E3C17"/>
    <w:rsid w:val="43352D09"/>
    <w:rsid w:val="433805B6"/>
    <w:rsid w:val="433840B7"/>
    <w:rsid w:val="433C45AE"/>
    <w:rsid w:val="433E1B4F"/>
    <w:rsid w:val="43456817"/>
    <w:rsid w:val="434925BD"/>
    <w:rsid w:val="434B2805"/>
    <w:rsid w:val="434B7D0F"/>
    <w:rsid w:val="434E516C"/>
    <w:rsid w:val="434E6F31"/>
    <w:rsid w:val="435111CA"/>
    <w:rsid w:val="43527BFD"/>
    <w:rsid w:val="43536184"/>
    <w:rsid w:val="4355340E"/>
    <w:rsid w:val="436368B5"/>
    <w:rsid w:val="43726C6D"/>
    <w:rsid w:val="437B270B"/>
    <w:rsid w:val="437C24A9"/>
    <w:rsid w:val="437E552A"/>
    <w:rsid w:val="437E7B6F"/>
    <w:rsid w:val="43805C0B"/>
    <w:rsid w:val="43816018"/>
    <w:rsid w:val="43843B5C"/>
    <w:rsid w:val="438D2E4C"/>
    <w:rsid w:val="43936578"/>
    <w:rsid w:val="43972DB1"/>
    <w:rsid w:val="43A84430"/>
    <w:rsid w:val="43AA19A0"/>
    <w:rsid w:val="43BF2BD7"/>
    <w:rsid w:val="43C006FD"/>
    <w:rsid w:val="43C74A32"/>
    <w:rsid w:val="43D145FA"/>
    <w:rsid w:val="43D356EC"/>
    <w:rsid w:val="43DD31AC"/>
    <w:rsid w:val="43DF17CA"/>
    <w:rsid w:val="43E3561F"/>
    <w:rsid w:val="43E97C79"/>
    <w:rsid w:val="43EB63D1"/>
    <w:rsid w:val="43F63DBB"/>
    <w:rsid w:val="43FF4BE9"/>
    <w:rsid w:val="440447A3"/>
    <w:rsid w:val="4406450E"/>
    <w:rsid w:val="440E1AE9"/>
    <w:rsid w:val="440E6A21"/>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43B7B"/>
    <w:rsid w:val="44A50B01"/>
    <w:rsid w:val="44A53B6B"/>
    <w:rsid w:val="44A57A64"/>
    <w:rsid w:val="44A87D00"/>
    <w:rsid w:val="44BD642A"/>
    <w:rsid w:val="44CB49F7"/>
    <w:rsid w:val="44CC1879"/>
    <w:rsid w:val="44D14F5F"/>
    <w:rsid w:val="44D244E9"/>
    <w:rsid w:val="44D64396"/>
    <w:rsid w:val="44DA47F9"/>
    <w:rsid w:val="44DF446B"/>
    <w:rsid w:val="44E06139"/>
    <w:rsid w:val="44ED17A0"/>
    <w:rsid w:val="44EE43B8"/>
    <w:rsid w:val="44EF20D5"/>
    <w:rsid w:val="44EF76FC"/>
    <w:rsid w:val="44F1103A"/>
    <w:rsid w:val="44FF65B5"/>
    <w:rsid w:val="450511B7"/>
    <w:rsid w:val="45120AE5"/>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0378B"/>
    <w:rsid w:val="45654557"/>
    <w:rsid w:val="456D6663"/>
    <w:rsid w:val="45717784"/>
    <w:rsid w:val="457F7B00"/>
    <w:rsid w:val="45845065"/>
    <w:rsid w:val="458A3B63"/>
    <w:rsid w:val="458C19C5"/>
    <w:rsid w:val="45943E18"/>
    <w:rsid w:val="45961681"/>
    <w:rsid w:val="459E4D1A"/>
    <w:rsid w:val="45A633FB"/>
    <w:rsid w:val="45A97077"/>
    <w:rsid w:val="45B01FAA"/>
    <w:rsid w:val="45B46213"/>
    <w:rsid w:val="45C023ED"/>
    <w:rsid w:val="45C02C36"/>
    <w:rsid w:val="45E61FDD"/>
    <w:rsid w:val="45EC77A7"/>
    <w:rsid w:val="45F36C99"/>
    <w:rsid w:val="45F44CA7"/>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E7701"/>
    <w:rsid w:val="464F76A7"/>
    <w:rsid w:val="465379BE"/>
    <w:rsid w:val="465A7B62"/>
    <w:rsid w:val="465A7E70"/>
    <w:rsid w:val="466864CB"/>
    <w:rsid w:val="466F0E0C"/>
    <w:rsid w:val="466F6BC5"/>
    <w:rsid w:val="46873754"/>
    <w:rsid w:val="468872E0"/>
    <w:rsid w:val="469320F9"/>
    <w:rsid w:val="469A4C14"/>
    <w:rsid w:val="469C64C9"/>
    <w:rsid w:val="46A95479"/>
    <w:rsid w:val="46AE1A2F"/>
    <w:rsid w:val="46B333F3"/>
    <w:rsid w:val="46B40727"/>
    <w:rsid w:val="46B447B7"/>
    <w:rsid w:val="46B835CE"/>
    <w:rsid w:val="46BC6685"/>
    <w:rsid w:val="46BC791E"/>
    <w:rsid w:val="46C45BE7"/>
    <w:rsid w:val="46CA0DB1"/>
    <w:rsid w:val="46CC1167"/>
    <w:rsid w:val="46D01A62"/>
    <w:rsid w:val="46D16954"/>
    <w:rsid w:val="46D54904"/>
    <w:rsid w:val="46D919C0"/>
    <w:rsid w:val="46E5746A"/>
    <w:rsid w:val="46EC072B"/>
    <w:rsid w:val="46EC7579"/>
    <w:rsid w:val="46EF7C20"/>
    <w:rsid w:val="46FF0D59"/>
    <w:rsid w:val="470110B5"/>
    <w:rsid w:val="470703F1"/>
    <w:rsid w:val="47084895"/>
    <w:rsid w:val="470E139A"/>
    <w:rsid w:val="47150D60"/>
    <w:rsid w:val="47167E24"/>
    <w:rsid w:val="471A0124"/>
    <w:rsid w:val="472114B3"/>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657BA"/>
    <w:rsid w:val="47870D52"/>
    <w:rsid w:val="47931A85"/>
    <w:rsid w:val="479672F6"/>
    <w:rsid w:val="47984FB8"/>
    <w:rsid w:val="47A10846"/>
    <w:rsid w:val="47A13697"/>
    <w:rsid w:val="47A85C25"/>
    <w:rsid w:val="47AB7DE6"/>
    <w:rsid w:val="47B52F22"/>
    <w:rsid w:val="47B64420"/>
    <w:rsid w:val="47C61C84"/>
    <w:rsid w:val="48075175"/>
    <w:rsid w:val="48137C88"/>
    <w:rsid w:val="4818364E"/>
    <w:rsid w:val="481B23A6"/>
    <w:rsid w:val="481C22CA"/>
    <w:rsid w:val="481D6164"/>
    <w:rsid w:val="482476E5"/>
    <w:rsid w:val="482C64EE"/>
    <w:rsid w:val="482E032B"/>
    <w:rsid w:val="482E56D4"/>
    <w:rsid w:val="48314631"/>
    <w:rsid w:val="48417B5D"/>
    <w:rsid w:val="48445826"/>
    <w:rsid w:val="484B139E"/>
    <w:rsid w:val="484C1A40"/>
    <w:rsid w:val="4852144C"/>
    <w:rsid w:val="48555347"/>
    <w:rsid w:val="48594C7C"/>
    <w:rsid w:val="486423EC"/>
    <w:rsid w:val="486C3A2F"/>
    <w:rsid w:val="487C7152"/>
    <w:rsid w:val="48831EEE"/>
    <w:rsid w:val="4887374C"/>
    <w:rsid w:val="4889491F"/>
    <w:rsid w:val="488C6E00"/>
    <w:rsid w:val="488F069E"/>
    <w:rsid w:val="48902DDD"/>
    <w:rsid w:val="48943CD0"/>
    <w:rsid w:val="489460C1"/>
    <w:rsid w:val="489826C0"/>
    <w:rsid w:val="489A62D3"/>
    <w:rsid w:val="48B6497B"/>
    <w:rsid w:val="48CB5B7A"/>
    <w:rsid w:val="48DB0784"/>
    <w:rsid w:val="48E56F59"/>
    <w:rsid w:val="48EC694D"/>
    <w:rsid w:val="48ED77EE"/>
    <w:rsid w:val="48F52BF7"/>
    <w:rsid w:val="48F657F7"/>
    <w:rsid w:val="48FB3257"/>
    <w:rsid w:val="49000BF8"/>
    <w:rsid w:val="490D3A4C"/>
    <w:rsid w:val="49131411"/>
    <w:rsid w:val="49132E8D"/>
    <w:rsid w:val="49226B34"/>
    <w:rsid w:val="49243CF5"/>
    <w:rsid w:val="49253068"/>
    <w:rsid w:val="49265F11"/>
    <w:rsid w:val="492A1C73"/>
    <w:rsid w:val="492D0E31"/>
    <w:rsid w:val="4930671C"/>
    <w:rsid w:val="493201F1"/>
    <w:rsid w:val="493261BB"/>
    <w:rsid w:val="4934536D"/>
    <w:rsid w:val="493707D2"/>
    <w:rsid w:val="49394D11"/>
    <w:rsid w:val="4941595A"/>
    <w:rsid w:val="49415E3C"/>
    <w:rsid w:val="494A6B61"/>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87C69"/>
    <w:rsid w:val="49AE3A98"/>
    <w:rsid w:val="49B079F2"/>
    <w:rsid w:val="49B27865"/>
    <w:rsid w:val="49B54904"/>
    <w:rsid w:val="49BC3715"/>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3C6604"/>
    <w:rsid w:val="4A46208E"/>
    <w:rsid w:val="4A4717D6"/>
    <w:rsid w:val="4A4B0597"/>
    <w:rsid w:val="4A536D2D"/>
    <w:rsid w:val="4A54394D"/>
    <w:rsid w:val="4A5F207E"/>
    <w:rsid w:val="4A62250E"/>
    <w:rsid w:val="4A73273F"/>
    <w:rsid w:val="4A7F554B"/>
    <w:rsid w:val="4A9A0E78"/>
    <w:rsid w:val="4AB465F4"/>
    <w:rsid w:val="4AB62A48"/>
    <w:rsid w:val="4AB9317C"/>
    <w:rsid w:val="4AB979F8"/>
    <w:rsid w:val="4ABC38B5"/>
    <w:rsid w:val="4AC07235"/>
    <w:rsid w:val="4AC60559"/>
    <w:rsid w:val="4ACD7D86"/>
    <w:rsid w:val="4AD0055A"/>
    <w:rsid w:val="4AD56A02"/>
    <w:rsid w:val="4AD847E8"/>
    <w:rsid w:val="4ADA4D79"/>
    <w:rsid w:val="4ADD13DB"/>
    <w:rsid w:val="4ADD2935"/>
    <w:rsid w:val="4AF23074"/>
    <w:rsid w:val="4AF50041"/>
    <w:rsid w:val="4B0709C0"/>
    <w:rsid w:val="4B0C2889"/>
    <w:rsid w:val="4B100CDF"/>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06E05"/>
    <w:rsid w:val="4B8D57FB"/>
    <w:rsid w:val="4B95421D"/>
    <w:rsid w:val="4B9663E0"/>
    <w:rsid w:val="4B9C5D39"/>
    <w:rsid w:val="4BA620A8"/>
    <w:rsid w:val="4BA83C82"/>
    <w:rsid w:val="4BB36C56"/>
    <w:rsid w:val="4BB72FEE"/>
    <w:rsid w:val="4BC2486B"/>
    <w:rsid w:val="4BC468B1"/>
    <w:rsid w:val="4BCA036B"/>
    <w:rsid w:val="4BCB17D4"/>
    <w:rsid w:val="4BCD7A03"/>
    <w:rsid w:val="4BCE17C4"/>
    <w:rsid w:val="4BDB487F"/>
    <w:rsid w:val="4BDF2AE3"/>
    <w:rsid w:val="4BE57FBE"/>
    <w:rsid w:val="4BEB3D68"/>
    <w:rsid w:val="4BF43230"/>
    <w:rsid w:val="4BF54305"/>
    <w:rsid w:val="4BFA764F"/>
    <w:rsid w:val="4C101538"/>
    <w:rsid w:val="4C15535E"/>
    <w:rsid w:val="4C166617"/>
    <w:rsid w:val="4C174E08"/>
    <w:rsid w:val="4C193AAC"/>
    <w:rsid w:val="4C222DEA"/>
    <w:rsid w:val="4C236007"/>
    <w:rsid w:val="4C261FBC"/>
    <w:rsid w:val="4C2B73C6"/>
    <w:rsid w:val="4C2E397F"/>
    <w:rsid w:val="4C312198"/>
    <w:rsid w:val="4C323015"/>
    <w:rsid w:val="4C354E3E"/>
    <w:rsid w:val="4C365A66"/>
    <w:rsid w:val="4C380987"/>
    <w:rsid w:val="4C3C28EB"/>
    <w:rsid w:val="4C3C7AE4"/>
    <w:rsid w:val="4C3E6663"/>
    <w:rsid w:val="4C4C5914"/>
    <w:rsid w:val="4C507ECC"/>
    <w:rsid w:val="4C525334"/>
    <w:rsid w:val="4C573224"/>
    <w:rsid w:val="4C5872A2"/>
    <w:rsid w:val="4C690591"/>
    <w:rsid w:val="4C6F0B71"/>
    <w:rsid w:val="4C730EFA"/>
    <w:rsid w:val="4C8521CC"/>
    <w:rsid w:val="4C921676"/>
    <w:rsid w:val="4C956DE5"/>
    <w:rsid w:val="4C997D3D"/>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50BA4"/>
    <w:rsid w:val="4CE974A6"/>
    <w:rsid w:val="4CF17B79"/>
    <w:rsid w:val="4CF202C6"/>
    <w:rsid w:val="4CF42007"/>
    <w:rsid w:val="4CF77A2A"/>
    <w:rsid w:val="4CF92C0D"/>
    <w:rsid w:val="4CF93734"/>
    <w:rsid w:val="4CFB4EA2"/>
    <w:rsid w:val="4CFB75ED"/>
    <w:rsid w:val="4D0002E6"/>
    <w:rsid w:val="4D021D86"/>
    <w:rsid w:val="4D041F16"/>
    <w:rsid w:val="4D063750"/>
    <w:rsid w:val="4D0756E3"/>
    <w:rsid w:val="4D0F5B3A"/>
    <w:rsid w:val="4D197D00"/>
    <w:rsid w:val="4D210B39"/>
    <w:rsid w:val="4D37381C"/>
    <w:rsid w:val="4D412E74"/>
    <w:rsid w:val="4D4A36B5"/>
    <w:rsid w:val="4D4B1887"/>
    <w:rsid w:val="4D50664E"/>
    <w:rsid w:val="4D57234C"/>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3745FA"/>
    <w:rsid w:val="4E38711A"/>
    <w:rsid w:val="4E3D5AEC"/>
    <w:rsid w:val="4E4B52AB"/>
    <w:rsid w:val="4E610689"/>
    <w:rsid w:val="4E690CF9"/>
    <w:rsid w:val="4E696EE0"/>
    <w:rsid w:val="4E6B0072"/>
    <w:rsid w:val="4E726A98"/>
    <w:rsid w:val="4E7C4EA3"/>
    <w:rsid w:val="4E7D22C8"/>
    <w:rsid w:val="4E833C53"/>
    <w:rsid w:val="4E923772"/>
    <w:rsid w:val="4EA91F16"/>
    <w:rsid w:val="4EB317F5"/>
    <w:rsid w:val="4EB93400"/>
    <w:rsid w:val="4EC067EC"/>
    <w:rsid w:val="4EC24D4C"/>
    <w:rsid w:val="4ECA7DC8"/>
    <w:rsid w:val="4ECF3EEA"/>
    <w:rsid w:val="4ED25047"/>
    <w:rsid w:val="4ED2596D"/>
    <w:rsid w:val="4ED432AF"/>
    <w:rsid w:val="4EDF5896"/>
    <w:rsid w:val="4EE73F3E"/>
    <w:rsid w:val="4EF2312D"/>
    <w:rsid w:val="4EF33224"/>
    <w:rsid w:val="4EF75B01"/>
    <w:rsid w:val="4F003C93"/>
    <w:rsid w:val="4F065331"/>
    <w:rsid w:val="4F1830F5"/>
    <w:rsid w:val="4F243254"/>
    <w:rsid w:val="4F262973"/>
    <w:rsid w:val="4F2A4D76"/>
    <w:rsid w:val="4F2E627E"/>
    <w:rsid w:val="4F356B86"/>
    <w:rsid w:val="4F3A3862"/>
    <w:rsid w:val="4F4917F6"/>
    <w:rsid w:val="4F4B60E3"/>
    <w:rsid w:val="4F4D3F8F"/>
    <w:rsid w:val="4F4E0C56"/>
    <w:rsid w:val="4F5251F2"/>
    <w:rsid w:val="4F5654B7"/>
    <w:rsid w:val="4F691D8D"/>
    <w:rsid w:val="4F730DF2"/>
    <w:rsid w:val="4F732E4E"/>
    <w:rsid w:val="4F737E2C"/>
    <w:rsid w:val="4F773C19"/>
    <w:rsid w:val="4F810E88"/>
    <w:rsid w:val="4F861262"/>
    <w:rsid w:val="4F8A0334"/>
    <w:rsid w:val="4F8A184E"/>
    <w:rsid w:val="4F8B386F"/>
    <w:rsid w:val="4F9206E9"/>
    <w:rsid w:val="4F951FBE"/>
    <w:rsid w:val="4F9E7F1D"/>
    <w:rsid w:val="4FA677A1"/>
    <w:rsid w:val="4FA70478"/>
    <w:rsid w:val="4FB664D2"/>
    <w:rsid w:val="4FC02DD2"/>
    <w:rsid w:val="4FC02EB1"/>
    <w:rsid w:val="4FD47BF3"/>
    <w:rsid w:val="4FE27A52"/>
    <w:rsid w:val="4FE51AF2"/>
    <w:rsid w:val="4FF4529B"/>
    <w:rsid w:val="4FFF6EDC"/>
    <w:rsid w:val="4FFF73C1"/>
    <w:rsid w:val="500174DD"/>
    <w:rsid w:val="50081EA2"/>
    <w:rsid w:val="50145D74"/>
    <w:rsid w:val="5019366F"/>
    <w:rsid w:val="502626F1"/>
    <w:rsid w:val="502B5D7A"/>
    <w:rsid w:val="502E33DE"/>
    <w:rsid w:val="504472BB"/>
    <w:rsid w:val="5047511F"/>
    <w:rsid w:val="504E088C"/>
    <w:rsid w:val="50616245"/>
    <w:rsid w:val="506434C6"/>
    <w:rsid w:val="50684BC6"/>
    <w:rsid w:val="507414CB"/>
    <w:rsid w:val="50812FC2"/>
    <w:rsid w:val="50917A77"/>
    <w:rsid w:val="509D34CD"/>
    <w:rsid w:val="50A31E41"/>
    <w:rsid w:val="50AB003F"/>
    <w:rsid w:val="50AE3023"/>
    <w:rsid w:val="50BE1EBB"/>
    <w:rsid w:val="50C41E3B"/>
    <w:rsid w:val="50C84035"/>
    <w:rsid w:val="50CB0A07"/>
    <w:rsid w:val="50CB4420"/>
    <w:rsid w:val="50CF1F80"/>
    <w:rsid w:val="50D4666F"/>
    <w:rsid w:val="50D7500A"/>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82B61"/>
    <w:rsid w:val="5158775C"/>
    <w:rsid w:val="5160532C"/>
    <w:rsid w:val="51646B6C"/>
    <w:rsid w:val="516C04B7"/>
    <w:rsid w:val="516E747C"/>
    <w:rsid w:val="517933FA"/>
    <w:rsid w:val="517C7F19"/>
    <w:rsid w:val="517D6AA7"/>
    <w:rsid w:val="51840494"/>
    <w:rsid w:val="5184360B"/>
    <w:rsid w:val="51860BDE"/>
    <w:rsid w:val="51863D3A"/>
    <w:rsid w:val="51A92492"/>
    <w:rsid w:val="51AA1D87"/>
    <w:rsid w:val="51AB0F2D"/>
    <w:rsid w:val="51AC001F"/>
    <w:rsid w:val="51AE41BE"/>
    <w:rsid w:val="51AF6AE1"/>
    <w:rsid w:val="51AF7BD9"/>
    <w:rsid w:val="51B00003"/>
    <w:rsid w:val="51B11B36"/>
    <w:rsid w:val="51B23CD2"/>
    <w:rsid w:val="51B4296E"/>
    <w:rsid w:val="51B86EB8"/>
    <w:rsid w:val="51C57038"/>
    <w:rsid w:val="51CA13B1"/>
    <w:rsid w:val="51D658E9"/>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508"/>
    <w:rsid w:val="52350A0D"/>
    <w:rsid w:val="523860FD"/>
    <w:rsid w:val="523B0E2D"/>
    <w:rsid w:val="52405EF5"/>
    <w:rsid w:val="52457655"/>
    <w:rsid w:val="52516AE8"/>
    <w:rsid w:val="526B0681"/>
    <w:rsid w:val="526F0FF4"/>
    <w:rsid w:val="5273373B"/>
    <w:rsid w:val="527A0E1B"/>
    <w:rsid w:val="527B1DC7"/>
    <w:rsid w:val="527D5F08"/>
    <w:rsid w:val="52822BE5"/>
    <w:rsid w:val="52973B09"/>
    <w:rsid w:val="529D43D3"/>
    <w:rsid w:val="52A445CA"/>
    <w:rsid w:val="52AA4A52"/>
    <w:rsid w:val="52AB0A8C"/>
    <w:rsid w:val="52BD736A"/>
    <w:rsid w:val="52C34F6F"/>
    <w:rsid w:val="52C73962"/>
    <w:rsid w:val="52D15F58"/>
    <w:rsid w:val="52D3367C"/>
    <w:rsid w:val="52D7093D"/>
    <w:rsid w:val="52D95DD1"/>
    <w:rsid w:val="52DF6845"/>
    <w:rsid w:val="52EC3761"/>
    <w:rsid w:val="52ED027A"/>
    <w:rsid w:val="52EF06B7"/>
    <w:rsid w:val="52F22F1A"/>
    <w:rsid w:val="52F85E79"/>
    <w:rsid w:val="52FD1678"/>
    <w:rsid w:val="53025EE6"/>
    <w:rsid w:val="53080896"/>
    <w:rsid w:val="530F4929"/>
    <w:rsid w:val="53115F8A"/>
    <w:rsid w:val="531243A6"/>
    <w:rsid w:val="531811AE"/>
    <w:rsid w:val="53371B23"/>
    <w:rsid w:val="53385F9B"/>
    <w:rsid w:val="533D4580"/>
    <w:rsid w:val="53400BC4"/>
    <w:rsid w:val="534266DA"/>
    <w:rsid w:val="53452DF2"/>
    <w:rsid w:val="5345477B"/>
    <w:rsid w:val="534B222D"/>
    <w:rsid w:val="535844AE"/>
    <w:rsid w:val="535944F1"/>
    <w:rsid w:val="536308BD"/>
    <w:rsid w:val="53654E1D"/>
    <w:rsid w:val="536C59FA"/>
    <w:rsid w:val="536D1715"/>
    <w:rsid w:val="53721B3A"/>
    <w:rsid w:val="5377546E"/>
    <w:rsid w:val="537F7CB1"/>
    <w:rsid w:val="53802AB5"/>
    <w:rsid w:val="538116B2"/>
    <w:rsid w:val="53853717"/>
    <w:rsid w:val="538C4158"/>
    <w:rsid w:val="538D5E9A"/>
    <w:rsid w:val="538D6A24"/>
    <w:rsid w:val="5398325F"/>
    <w:rsid w:val="53A015F3"/>
    <w:rsid w:val="53A5219C"/>
    <w:rsid w:val="53BA1755"/>
    <w:rsid w:val="53BD6A07"/>
    <w:rsid w:val="53C0501B"/>
    <w:rsid w:val="53CB78EE"/>
    <w:rsid w:val="53D24CE6"/>
    <w:rsid w:val="53D3130C"/>
    <w:rsid w:val="53DD74CF"/>
    <w:rsid w:val="53E2021C"/>
    <w:rsid w:val="53E25515"/>
    <w:rsid w:val="53E63994"/>
    <w:rsid w:val="53E64C98"/>
    <w:rsid w:val="53F302ED"/>
    <w:rsid w:val="53FD32A8"/>
    <w:rsid w:val="54014506"/>
    <w:rsid w:val="54014BAD"/>
    <w:rsid w:val="540F767A"/>
    <w:rsid w:val="541025FD"/>
    <w:rsid w:val="541F37B3"/>
    <w:rsid w:val="54221194"/>
    <w:rsid w:val="542D2415"/>
    <w:rsid w:val="542D4C29"/>
    <w:rsid w:val="542E6EC5"/>
    <w:rsid w:val="54367068"/>
    <w:rsid w:val="543829AA"/>
    <w:rsid w:val="544374C2"/>
    <w:rsid w:val="544700E1"/>
    <w:rsid w:val="545253A1"/>
    <w:rsid w:val="545604BA"/>
    <w:rsid w:val="545648C6"/>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BA4CF5"/>
    <w:rsid w:val="54CE2E8F"/>
    <w:rsid w:val="54CE6C43"/>
    <w:rsid w:val="54E748AD"/>
    <w:rsid w:val="55057E5B"/>
    <w:rsid w:val="550814C5"/>
    <w:rsid w:val="55181CDF"/>
    <w:rsid w:val="553A38B0"/>
    <w:rsid w:val="553A7C67"/>
    <w:rsid w:val="554242CF"/>
    <w:rsid w:val="55451907"/>
    <w:rsid w:val="5548591B"/>
    <w:rsid w:val="554E5211"/>
    <w:rsid w:val="555005A6"/>
    <w:rsid w:val="5552106E"/>
    <w:rsid w:val="55701340"/>
    <w:rsid w:val="55707E52"/>
    <w:rsid w:val="55954D4F"/>
    <w:rsid w:val="55996C5F"/>
    <w:rsid w:val="559B711C"/>
    <w:rsid w:val="55AD6E73"/>
    <w:rsid w:val="55B654BC"/>
    <w:rsid w:val="55B97623"/>
    <w:rsid w:val="55C91DD3"/>
    <w:rsid w:val="55CA251B"/>
    <w:rsid w:val="55CB161C"/>
    <w:rsid w:val="55CC253A"/>
    <w:rsid w:val="55D342C0"/>
    <w:rsid w:val="55DF6F62"/>
    <w:rsid w:val="55ED773E"/>
    <w:rsid w:val="55EF09CE"/>
    <w:rsid w:val="55F109BE"/>
    <w:rsid w:val="55F45FE4"/>
    <w:rsid w:val="55FE4CAD"/>
    <w:rsid w:val="560D0C84"/>
    <w:rsid w:val="560D4917"/>
    <w:rsid w:val="560F514A"/>
    <w:rsid w:val="56124584"/>
    <w:rsid w:val="561679DE"/>
    <w:rsid w:val="56175D37"/>
    <w:rsid w:val="561D5297"/>
    <w:rsid w:val="561E0B74"/>
    <w:rsid w:val="562051D2"/>
    <w:rsid w:val="562C076C"/>
    <w:rsid w:val="562C542C"/>
    <w:rsid w:val="564A64D2"/>
    <w:rsid w:val="565A5989"/>
    <w:rsid w:val="565F147D"/>
    <w:rsid w:val="566E4C3C"/>
    <w:rsid w:val="56730465"/>
    <w:rsid w:val="56752C35"/>
    <w:rsid w:val="56837877"/>
    <w:rsid w:val="56874AB0"/>
    <w:rsid w:val="568B4369"/>
    <w:rsid w:val="568C1CC1"/>
    <w:rsid w:val="568D48D7"/>
    <w:rsid w:val="56927DAE"/>
    <w:rsid w:val="56AD4F90"/>
    <w:rsid w:val="56B57E6A"/>
    <w:rsid w:val="56BD1CA9"/>
    <w:rsid w:val="56BD2018"/>
    <w:rsid w:val="56C525A5"/>
    <w:rsid w:val="56CC5D46"/>
    <w:rsid w:val="56D305DF"/>
    <w:rsid w:val="56D46542"/>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F6ACC"/>
    <w:rsid w:val="57407733"/>
    <w:rsid w:val="574F273A"/>
    <w:rsid w:val="574F7588"/>
    <w:rsid w:val="57516D9A"/>
    <w:rsid w:val="57540EF0"/>
    <w:rsid w:val="575A28DF"/>
    <w:rsid w:val="575F662C"/>
    <w:rsid w:val="57621DD9"/>
    <w:rsid w:val="5765719A"/>
    <w:rsid w:val="57682AA0"/>
    <w:rsid w:val="577262C7"/>
    <w:rsid w:val="577350E1"/>
    <w:rsid w:val="577B12F1"/>
    <w:rsid w:val="577D79E1"/>
    <w:rsid w:val="5782751E"/>
    <w:rsid w:val="57827D4C"/>
    <w:rsid w:val="57850648"/>
    <w:rsid w:val="57882A6F"/>
    <w:rsid w:val="578E643E"/>
    <w:rsid w:val="57945C9E"/>
    <w:rsid w:val="579C6A54"/>
    <w:rsid w:val="57A03B83"/>
    <w:rsid w:val="57B618C8"/>
    <w:rsid w:val="57B65C47"/>
    <w:rsid w:val="57B71413"/>
    <w:rsid w:val="57BA41AE"/>
    <w:rsid w:val="57D367F9"/>
    <w:rsid w:val="57D52BE5"/>
    <w:rsid w:val="57D92BBE"/>
    <w:rsid w:val="57DD7758"/>
    <w:rsid w:val="57E26A3C"/>
    <w:rsid w:val="57E72222"/>
    <w:rsid w:val="57ED6A3A"/>
    <w:rsid w:val="57F64296"/>
    <w:rsid w:val="57FF4BCF"/>
    <w:rsid w:val="58021AD1"/>
    <w:rsid w:val="5802505B"/>
    <w:rsid w:val="58030761"/>
    <w:rsid w:val="580940DC"/>
    <w:rsid w:val="580A3F2B"/>
    <w:rsid w:val="580E3B22"/>
    <w:rsid w:val="581A38B8"/>
    <w:rsid w:val="581C534A"/>
    <w:rsid w:val="582C1BB1"/>
    <w:rsid w:val="58320458"/>
    <w:rsid w:val="583305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35F89"/>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C3FFB"/>
    <w:rsid w:val="58DF268A"/>
    <w:rsid w:val="58E16EAD"/>
    <w:rsid w:val="58EA0F2A"/>
    <w:rsid w:val="58ED4DAF"/>
    <w:rsid w:val="58F07E07"/>
    <w:rsid w:val="590751BB"/>
    <w:rsid w:val="591946E0"/>
    <w:rsid w:val="591A55A8"/>
    <w:rsid w:val="591A6DB7"/>
    <w:rsid w:val="591A78B6"/>
    <w:rsid w:val="59200A8D"/>
    <w:rsid w:val="59275746"/>
    <w:rsid w:val="592A2449"/>
    <w:rsid w:val="592F660C"/>
    <w:rsid w:val="5930635B"/>
    <w:rsid w:val="593300AD"/>
    <w:rsid w:val="593B529B"/>
    <w:rsid w:val="594E5AF8"/>
    <w:rsid w:val="59572197"/>
    <w:rsid w:val="595A6F60"/>
    <w:rsid w:val="595C08BA"/>
    <w:rsid w:val="59611920"/>
    <w:rsid w:val="59635967"/>
    <w:rsid w:val="59722AEE"/>
    <w:rsid w:val="59732382"/>
    <w:rsid w:val="597747CB"/>
    <w:rsid w:val="597D0F76"/>
    <w:rsid w:val="59865A35"/>
    <w:rsid w:val="59901E38"/>
    <w:rsid w:val="59921DEF"/>
    <w:rsid w:val="599A6324"/>
    <w:rsid w:val="599B09C5"/>
    <w:rsid w:val="599D3B2C"/>
    <w:rsid w:val="59A22726"/>
    <w:rsid w:val="59B633B9"/>
    <w:rsid w:val="59C81C62"/>
    <w:rsid w:val="59D81380"/>
    <w:rsid w:val="59D81EA5"/>
    <w:rsid w:val="59E46CB0"/>
    <w:rsid w:val="59E637FA"/>
    <w:rsid w:val="59EB1A75"/>
    <w:rsid w:val="59ED765A"/>
    <w:rsid w:val="59F13ECB"/>
    <w:rsid w:val="59FD3754"/>
    <w:rsid w:val="59FD41C0"/>
    <w:rsid w:val="5A012372"/>
    <w:rsid w:val="5A015B0C"/>
    <w:rsid w:val="5A0459E2"/>
    <w:rsid w:val="5A082CB7"/>
    <w:rsid w:val="5A123DA4"/>
    <w:rsid w:val="5A196377"/>
    <w:rsid w:val="5A1A6BE7"/>
    <w:rsid w:val="5A2807A4"/>
    <w:rsid w:val="5A3258A6"/>
    <w:rsid w:val="5A3A51EB"/>
    <w:rsid w:val="5A434E0E"/>
    <w:rsid w:val="5A4558BF"/>
    <w:rsid w:val="5A47082A"/>
    <w:rsid w:val="5A523D62"/>
    <w:rsid w:val="5A682875"/>
    <w:rsid w:val="5A736072"/>
    <w:rsid w:val="5A753B98"/>
    <w:rsid w:val="5A7A25AD"/>
    <w:rsid w:val="5A7E7FA0"/>
    <w:rsid w:val="5A852969"/>
    <w:rsid w:val="5A8F6F97"/>
    <w:rsid w:val="5A912AFF"/>
    <w:rsid w:val="5A9245F9"/>
    <w:rsid w:val="5A955A40"/>
    <w:rsid w:val="5AA04591"/>
    <w:rsid w:val="5AA31776"/>
    <w:rsid w:val="5AB37EBE"/>
    <w:rsid w:val="5AB836A4"/>
    <w:rsid w:val="5ABB6369"/>
    <w:rsid w:val="5AC769FA"/>
    <w:rsid w:val="5ACC432E"/>
    <w:rsid w:val="5AD05272"/>
    <w:rsid w:val="5ADF14DA"/>
    <w:rsid w:val="5AE151B2"/>
    <w:rsid w:val="5AE97247"/>
    <w:rsid w:val="5AF0323A"/>
    <w:rsid w:val="5B012FEF"/>
    <w:rsid w:val="5B096D18"/>
    <w:rsid w:val="5B0D5732"/>
    <w:rsid w:val="5B1558C6"/>
    <w:rsid w:val="5B182B9D"/>
    <w:rsid w:val="5B1D739E"/>
    <w:rsid w:val="5B2A48D4"/>
    <w:rsid w:val="5B3338A7"/>
    <w:rsid w:val="5B4302A8"/>
    <w:rsid w:val="5B435F5F"/>
    <w:rsid w:val="5B501F0F"/>
    <w:rsid w:val="5B523C61"/>
    <w:rsid w:val="5B53157B"/>
    <w:rsid w:val="5B542EF2"/>
    <w:rsid w:val="5B607761"/>
    <w:rsid w:val="5B685FE5"/>
    <w:rsid w:val="5B6902E5"/>
    <w:rsid w:val="5B7C71A8"/>
    <w:rsid w:val="5B7D0A55"/>
    <w:rsid w:val="5B800597"/>
    <w:rsid w:val="5B8B1199"/>
    <w:rsid w:val="5B8E5C4F"/>
    <w:rsid w:val="5B9C63F0"/>
    <w:rsid w:val="5BA259F1"/>
    <w:rsid w:val="5BC20B4F"/>
    <w:rsid w:val="5BC427E1"/>
    <w:rsid w:val="5BCA0B5D"/>
    <w:rsid w:val="5BCC233D"/>
    <w:rsid w:val="5BCF693E"/>
    <w:rsid w:val="5BD4364E"/>
    <w:rsid w:val="5BEE3288"/>
    <w:rsid w:val="5BF00879"/>
    <w:rsid w:val="5BF95455"/>
    <w:rsid w:val="5BFA19E9"/>
    <w:rsid w:val="5C124503"/>
    <w:rsid w:val="5C132E55"/>
    <w:rsid w:val="5C196882"/>
    <w:rsid w:val="5C1E59A6"/>
    <w:rsid w:val="5C251C12"/>
    <w:rsid w:val="5C2B0170"/>
    <w:rsid w:val="5C336B9D"/>
    <w:rsid w:val="5C3B6989"/>
    <w:rsid w:val="5C4477B9"/>
    <w:rsid w:val="5C45051B"/>
    <w:rsid w:val="5C462AF2"/>
    <w:rsid w:val="5C47391A"/>
    <w:rsid w:val="5C4B1624"/>
    <w:rsid w:val="5C4F1D5F"/>
    <w:rsid w:val="5C502C80"/>
    <w:rsid w:val="5C5416C2"/>
    <w:rsid w:val="5C553C81"/>
    <w:rsid w:val="5C554ACB"/>
    <w:rsid w:val="5C5C6369"/>
    <w:rsid w:val="5C625AA3"/>
    <w:rsid w:val="5C6C549D"/>
    <w:rsid w:val="5C6F0E46"/>
    <w:rsid w:val="5C71703A"/>
    <w:rsid w:val="5C726963"/>
    <w:rsid w:val="5C7B368F"/>
    <w:rsid w:val="5C7E4B9B"/>
    <w:rsid w:val="5C82277B"/>
    <w:rsid w:val="5C863633"/>
    <w:rsid w:val="5C8F4F6B"/>
    <w:rsid w:val="5C8F7060"/>
    <w:rsid w:val="5C91368C"/>
    <w:rsid w:val="5CAF4C6D"/>
    <w:rsid w:val="5CB71522"/>
    <w:rsid w:val="5CCB6698"/>
    <w:rsid w:val="5CD10EE8"/>
    <w:rsid w:val="5CD66505"/>
    <w:rsid w:val="5CDC6A49"/>
    <w:rsid w:val="5CDE1CFC"/>
    <w:rsid w:val="5CE61242"/>
    <w:rsid w:val="5CF96460"/>
    <w:rsid w:val="5CFC0E48"/>
    <w:rsid w:val="5D0B6C11"/>
    <w:rsid w:val="5D0C4A07"/>
    <w:rsid w:val="5D0C6D83"/>
    <w:rsid w:val="5D13313D"/>
    <w:rsid w:val="5D1A3C80"/>
    <w:rsid w:val="5D2E662C"/>
    <w:rsid w:val="5D345B19"/>
    <w:rsid w:val="5D382920"/>
    <w:rsid w:val="5D3A4C25"/>
    <w:rsid w:val="5D405232"/>
    <w:rsid w:val="5D442AF2"/>
    <w:rsid w:val="5D4817CE"/>
    <w:rsid w:val="5D4B4CCE"/>
    <w:rsid w:val="5D501390"/>
    <w:rsid w:val="5D502173"/>
    <w:rsid w:val="5D577585"/>
    <w:rsid w:val="5D5C648E"/>
    <w:rsid w:val="5D5E21D2"/>
    <w:rsid w:val="5D682132"/>
    <w:rsid w:val="5D6858AC"/>
    <w:rsid w:val="5D6C2B93"/>
    <w:rsid w:val="5D6D6173"/>
    <w:rsid w:val="5D8363BA"/>
    <w:rsid w:val="5D847933"/>
    <w:rsid w:val="5D857E32"/>
    <w:rsid w:val="5D861B31"/>
    <w:rsid w:val="5D8639B3"/>
    <w:rsid w:val="5D8822CA"/>
    <w:rsid w:val="5D902A97"/>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21593C"/>
    <w:rsid w:val="5E2720FB"/>
    <w:rsid w:val="5E2A4C99"/>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B491E"/>
    <w:rsid w:val="5EAD3BFE"/>
    <w:rsid w:val="5EAF4497"/>
    <w:rsid w:val="5EB55739"/>
    <w:rsid w:val="5EB60016"/>
    <w:rsid w:val="5EBB43A8"/>
    <w:rsid w:val="5EBB4C99"/>
    <w:rsid w:val="5EC52F5D"/>
    <w:rsid w:val="5EC76E19"/>
    <w:rsid w:val="5ECA2CF4"/>
    <w:rsid w:val="5ECA37BC"/>
    <w:rsid w:val="5ECC1EB1"/>
    <w:rsid w:val="5EE05729"/>
    <w:rsid w:val="5EEF78FA"/>
    <w:rsid w:val="5EF14CC1"/>
    <w:rsid w:val="5EF35F3F"/>
    <w:rsid w:val="5EFE2318"/>
    <w:rsid w:val="5F186A9B"/>
    <w:rsid w:val="5F1C2834"/>
    <w:rsid w:val="5F1C356A"/>
    <w:rsid w:val="5F21743D"/>
    <w:rsid w:val="5F2D5514"/>
    <w:rsid w:val="5F3D5234"/>
    <w:rsid w:val="5F4104EC"/>
    <w:rsid w:val="5F446766"/>
    <w:rsid w:val="5F454515"/>
    <w:rsid w:val="5F4E40B6"/>
    <w:rsid w:val="5F6C4D75"/>
    <w:rsid w:val="5F700DD2"/>
    <w:rsid w:val="5F74723C"/>
    <w:rsid w:val="5F7C7DF2"/>
    <w:rsid w:val="5F8B0316"/>
    <w:rsid w:val="5F8D0480"/>
    <w:rsid w:val="5F8F1BA0"/>
    <w:rsid w:val="5F9051AD"/>
    <w:rsid w:val="5F962B08"/>
    <w:rsid w:val="5F9C6DB5"/>
    <w:rsid w:val="5FA90F89"/>
    <w:rsid w:val="5FAE5456"/>
    <w:rsid w:val="5FAF4215"/>
    <w:rsid w:val="5FB4193E"/>
    <w:rsid w:val="5FBA505B"/>
    <w:rsid w:val="5FBD432C"/>
    <w:rsid w:val="5FC04FB3"/>
    <w:rsid w:val="5FD01870"/>
    <w:rsid w:val="5FE11611"/>
    <w:rsid w:val="5FEB16DA"/>
    <w:rsid w:val="5FEB378F"/>
    <w:rsid w:val="5FEB3DCD"/>
    <w:rsid w:val="60063266"/>
    <w:rsid w:val="600E33C0"/>
    <w:rsid w:val="60114DCA"/>
    <w:rsid w:val="60155605"/>
    <w:rsid w:val="602902C2"/>
    <w:rsid w:val="602A0F80"/>
    <w:rsid w:val="60331C64"/>
    <w:rsid w:val="6033640F"/>
    <w:rsid w:val="60367328"/>
    <w:rsid w:val="603806A2"/>
    <w:rsid w:val="60383137"/>
    <w:rsid w:val="603A1EFF"/>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A1A1F"/>
    <w:rsid w:val="608D7491"/>
    <w:rsid w:val="608E59B3"/>
    <w:rsid w:val="60907AF2"/>
    <w:rsid w:val="60AA5345"/>
    <w:rsid w:val="60AB51A0"/>
    <w:rsid w:val="60B07C3F"/>
    <w:rsid w:val="60B87E81"/>
    <w:rsid w:val="60C04C4E"/>
    <w:rsid w:val="60C137F5"/>
    <w:rsid w:val="60C17342"/>
    <w:rsid w:val="60D93AFA"/>
    <w:rsid w:val="60DD5769"/>
    <w:rsid w:val="60EA0665"/>
    <w:rsid w:val="60EA2A0F"/>
    <w:rsid w:val="60F07652"/>
    <w:rsid w:val="60F47C98"/>
    <w:rsid w:val="60F577B3"/>
    <w:rsid w:val="60FA6BA5"/>
    <w:rsid w:val="6109083B"/>
    <w:rsid w:val="610B1CCC"/>
    <w:rsid w:val="612C00F4"/>
    <w:rsid w:val="61306F64"/>
    <w:rsid w:val="61363662"/>
    <w:rsid w:val="61393622"/>
    <w:rsid w:val="61401BA5"/>
    <w:rsid w:val="614020CC"/>
    <w:rsid w:val="61423120"/>
    <w:rsid w:val="6145757D"/>
    <w:rsid w:val="614F3392"/>
    <w:rsid w:val="615255E9"/>
    <w:rsid w:val="61671D60"/>
    <w:rsid w:val="616F4541"/>
    <w:rsid w:val="617870FC"/>
    <w:rsid w:val="617A0482"/>
    <w:rsid w:val="617D722B"/>
    <w:rsid w:val="61817102"/>
    <w:rsid w:val="61850FB2"/>
    <w:rsid w:val="61856980"/>
    <w:rsid w:val="618A1273"/>
    <w:rsid w:val="61A522FB"/>
    <w:rsid w:val="61A702F4"/>
    <w:rsid w:val="61A74ACB"/>
    <w:rsid w:val="61AD23CA"/>
    <w:rsid w:val="61B067FD"/>
    <w:rsid w:val="61B16E22"/>
    <w:rsid w:val="61BE4D01"/>
    <w:rsid w:val="61C70C33"/>
    <w:rsid w:val="61C80A51"/>
    <w:rsid w:val="61C969B5"/>
    <w:rsid w:val="61D06F04"/>
    <w:rsid w:val="61D75138"/>
    <w:rsid w:val="61D86473"/>
    <w:rsid w:val="61E15FB7"/>
    <w:rsid w:val="61E95AEE"/>
    <w:rsid w:val="61EA4E6B"/>
    <w:rsid w:val="61F87147"/>
    <w:rsid w:val="62105165"/>
    <w:rsid w:val="621C77A4"/>
    <w:rsid w:val="621E16E6"/>
    <w:rsid w:val="62374F06"/>
    <w:rsid w:val="62375BD7"/>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7079F"/>
    <w:rsid w:val="62BC5532"/>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0666B"/>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C3835"/>
    <w:rsid w:val="635E45FF"/>
    <w:rsid w:val="63651F91"/>
    <w:rsid w:val="6367429A"/>
    <w:rsid w:val="636955E1"/>
    <w:rsid w:val="63707614"/>
    <w:rsid w:val="6373139F"/>
    <w:rsid w:val="63762324"/>
    <w:rsid w:val="637F7764"/>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336DD"/>
    <w:rsid w:val="63DB3CE6"/>
    <w:rsid w:val="63E37DC4"/>
    <w:rsid w:val="63E40459"/>
    <w:rsid w:val="63E77BF1"/>
    <w:rsid w:val="63EA6E37"/>
    <w:rsid w:val="63EE17E5"/>
    <w:rsid w:val="63FF29F0"/>
    <w:rsid w:val="640C1BC7"/>
    <w:rsid w:val="641A66DF"/>
    <w:rsid w:val="64241FE4"/>
    <w:rsid w:val="642869E0"/>
    <w:rsid w:val="643B11D3"/>
    <w:rsid w:val="643E5DC3"/>
    <w:rsid w:val="6442403B"/>
    <w:rsid w:val="644E14F7"/>
    <w:rsid w:val="64552298"/>
    <w:rsid w:val="645962D8"/>
    <w:rsid w:val="64656A2B"/>
    <w:rsid w:val="646F37E0"/>
    <w:rsid w:val="648023C3"/>
    <w:rsid w:val="648354F3"/>
    <w:rsid w:val="6486184B"/>
    <w:rsid w:val="64892002"/>
    <w:rsid w:val="648F3CAD"/>
    <w:rsid w:val="64927CE6"/>
    <w:rsid w:val="64977EA4"/>
    <w:rsid w:val="649D478A"/>
    <w:rsid w:val="64BB664B"/>
    <w:rsid w:val="64C14114"/>
    <w:rsid w:val="64C9393B"/>
    <w:rsid w:val="64CC56A2"/>
    <w:rsid w:val="64D1206A"/>
    <w:rsid w:val="64DD4756"/>
    <w:rsid w:val="64E75692"/>
    <w:rsid w:val="64E8763B"/>
    <w:rsid w:val="64F756B1"/>
    <w:rsid w:val="64FB3D14"/>
    <w:rsid w:val="65034DB1"/>
    <w:rsid w:val="650A75D2"/>
    <w:rsid w:val="650F094B"/>
    <w:rsid w:val="6512562C"/>
    <w:rsid w:val="651B44F8"/>
    <w:rsid w:val="651D4C82"/>
    <w:rsid w:val="651E32AB"/>
    <w:rsid w:val="65284A7C"/>
    <w:rsid w:val="6531283C"/>
    <w:rsid w:val="65346883"/>
    <w:rsid w:val="65366619"/>
    <w:rsid w:val="654D06F1"/>
    <w:rsid w:val="654E0DEF"/>
    <w:rsid w:val="6552050C"/>
    <w:rsid w:val="656E225B"/>
    <w:rsid w:val="65763E62"/>
    <w:rsid w:val="65771612"/>
    <w:rsid w:val="658D56BD"/>
    <w:rsid w:val="65904ED2"/>
    <w:rsid w:val="65922D95"/>
    <w:rsid w:val="659869D6"/>
    <w:rsid w:val="659E060E"/>
    <w:rsid w:val="65A57F5B"/>
    <w:rsid w:val="65AD0FFB"/>
    <w:rsid w:val="65AE61B0"/>
    <w:rsid w:val="65B43CE6"/>
    <w:rsid w:val="65B977A2"/>
    <w:rsid w:val="65C46A2B"/>
    <w:rsid w:val="65C86202"/>
    <w:rsid w:val="65C92683"/>
    <w:rsid w:val="65D57EDD"/>
    <w:rsid w:val="65DA1AC7"/>
    <w:rsid w:val="65ED392D"/>
    <w:rsid w:val="65F84A3B"/>
    <w:rsid w:val="65FC33BF"/>
    <w:rsid w:val="660B2CEE"/>
    <w:rsid w:val="660D6D9C"/>
    <w:rsid w:val="660D7EB0"/>
    <w:rsid w:val="660E20C2"/>
    <w:rsid w:val="660E74A3"/>
    <w:rsid w:val="66137988"/>
    <w:rsid w:val="66195EF2"/>
    <w:rsid w:val="661C0FBE"/>
    <w:rsid w:val="661C136B"/>
    <w:rsid w:val="661C6885"/>
    <w:rsid w:val="662A0E4B"/>
    <w:rsid w:val="664E18E6"/>
    <w:rsid w:val="664F5B89"/>
    <w:rsid w:val="6652496E"/>
    <w:rsid w:val="66552810"/>
    <w:rsid w:val="665C14D4"/>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C53F8"/>
    <w:rsid w:val="66DE5188"/>
    <w:rsid w:val="66E14363"/>
    <w:rsid w:val="66E7164D"/>
    <w:rsid w:val="66E71979"/>
    <w:rsid w:val="66E92394"/>
    <w:rsid w:val="66ED6A19"/>
    <w:rsid w:val="66ED7191"/>
    <w:rsid w:val="66F10A4A"/>
    <w:rsid w:val="67042D07"/>
    <w:rsid w:val="670C7632"/>
    <w:rsid w:val="67136123"/>
    <w:rsid w:val="671707D5"/>
    <w:rsid w:val="67184229"/>
    <w:rsid w:val="671A0889"/>
    <w:rsid w:val="67224B8A"/>
    <w:rsid w:val="67255F61"/>
    <w:rsid w:val="672A1F4E"/>
    <w:rsid w:val="672D4418"/>
    <w:rsid w:val="67302813"/>
    <w:rsid w:val="67437BF0"/>
    <w:rsid w:val="674715BE"/>
    <w:rsid w:val="674938D7"/>
    <w:rsid w:val="674943E2"/>
    <w:rsid w:val="674D0098"/>
    <w:rsid w:val="67503C7A"/>
    <w:rsid w:val="67513297"/>
    <w:rsid w:val="67546D69"/>
    <w:rsid w:val="67556074"/>
    <w:rsid w:val="675A37C0"/>
    <w:rsid w:val="675D1C3B"/>
    <w:rsid w:val="675D60DF"/>
    <w:rsid w:val="675D68E0"/>
    <w:rsid w:val="67601D92"/>
    <w:rsid w:val="6765537C"/>
    <w:rsid w:val="67694D5A"/>
    <w:rsid w:val="676D4080"/>
    <w:rsid w:val="677156E7"/>
    <w:rsid w:val="677567BE"/>
    <w:rsid w:val="677672C4"/>
    <w:rsid w:val="67823E2F"/>
    <w:rsid w:val="678546C3"/>
    <w:rsid w:val="678C40C0"/>
    <w:rsid w:val="678F7B58"/>
    <w:rsid w:val="6790670A"/>
    <w:rsid w:val="679A467A"/>
    <w:rsid w:val="67A036E1"/>
    <w:rsid w:val="67AE2D81"/>
    <w:rsid w:val="67AE30BA"/>
    <w:rsid w:val="67B204C4"/>
    <w:rsid w:val="67B34250"/>
    <w:rsid w:val="67C14DC4"/>
    <w:rsid w:val="67C23318"/>
    <w:rsid w:val="67C72A6F"/>
    <w:rsid w:val="67CC0884"/>
    <w:rsid w:val="67E43223"/>
    <w:rsid w:val="67E65EC6"/>
    <w:rsid w:val="67EA69D4"/>
    <w:rsid w:val="67F4133F"/>
    <w:rsid w:val="67F67B8E"/>
    <w:rsid w:val="67FA401B"/>
    <w:rsid w:val="67FF5491"/>
    <w:rsid w:val="680C0EEC"/>
    <w:rsid w:val="681642B0"/>
    <w:rsid w:val="681D77EE"/>
    <w:rsid w:val="68264A44"/>
    <w:rsid w:val="68307331"/>
    <w:rsid w:val="68361829"/>
    <w:rsid w:val="68386905"/>
    <w:rsid w:val="684227E5"/>
    <w:rsid w:val="68434803"/>
    <w:rsid w:val="684F4557"/>
    <w:rsid w:val="68510473"/>
    <w:rsid w:val="6852451D"/>
    <w:rsid w:val="68595433"/>
    <w:rsid w:val="685B5B02"/>
    <w:rsid w:val="685C6397"/>
    <w:rsid w:val="68663FB4"/>
    <w:rsid w:val="68680898"/>
    <w:rsid w:val="686C35A0"/>
    <w:rsid w:val="687037F4"/>
    <w:rsid w:val="6872592B"/>
    <w:rsid w:val="68740480"/>
    <w:rsid w:val="6887746A"/>
    <w:rsid w:val="688A0342"/>
    <w:rsid w:val="68921DB9"/>
    <w:rsid w:val="689311FC"/>
    <w:rsid w:val="68985664"/>
    <w:rsid w:val="68995D70"/>
    <w:rsid w:val="68A038F2"/>
    <w:rsid w:val="68A17A38"/>
    <w:rsid w:val="68A60111"/>
    <w:rsid w:val="68A851D6"/>
    <w:rsid w:val="68AA0334"/>
    <w:rsid w:val="68AB7B2E"/>
    <w:rsid w:val="68AD1B39"/>
    <w:rsid w:val="68B03FED"/>
    <w:rsid w:val="68B24607"/>
    <w:rsid w:val="68B3534C"/>
    <w:rsid w:val="68C16ACE"/>
    <w:rsid w:val="68C224E3"/>
    <w:rsid w:val="68CE6183"/>
    <w:rsid w:val="68CE7F57"/>
    <w:rsid w:val="68DF0B2F"/>
    <w:rsid w:val="68DF4086"/>
    <w:rsid w:val="68DF4CB9"/>
    <w:rsid w:val="68E155B9"/>
    <w:rsid w:val="68F22CB4"/>
    <w:rsid w:val="68F50E4B"/>
    <w:rsid w:val="69042532"/>
    <w:rsid w:val="69112CDD"/>
    <w:rsid w:val="69123269"/>
    <w:rsid w:val="69173E2A"/>
    <w:rsid w:val="69221B3E"/>
    <w:rsid w:val="692D0395"/>
    <w:rsid w:val="693410C2"/>
    <w:rsid w:val="69372AB2"/>
    <w:rsid w:val="69374ECA"/>
    <w:rsid w:val="693D67A9"/>
    <w:rsid w:val="694153BD"/>
    <w:rsid w:val="694D6067"/>
    <w:rsid w:val="69597330"/>
    <w:rsid w:val="695B664F"/>
    <w:rsid w:val="696E7767"/>
    <w:rsid w:val="697463CB"/>
    <w:rsid w:val="697A0150"/>
    <w:rsid w:val="697F16E6"/>
    <w:rsid w:val="69843021"/>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E527E5"/>
    <w:rsid w:val="69F02667"/>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41BA9"/>
    <w:rsid w:val="6AC01CA9"/>
    <w:rsid w:val="6AC36C2A"/>
    <w:rsid w:val="6AC404D8"/>
    <w:rsid w:val="6AC408FE"/>
    <w:rsid w:val="6AC7172E"/>
    <w:rsid w:val="6AD62244"/>
    <w:rsid w:val="6ADA2C14"/>
    <w:rsid w:val="6ADD6067"/>
    <w:rsid w:val="6ADF1E37"/>
    <w:rsid w:val="6AE23D6F"/>
    <w:rsid w:val="6AE77638"/>
    <w:rsid w:val="6AEC1E81"/>
    <w:rsid w:val="6AEC6CAA"/>
    <w:rsid w:val="6AF17B50"/>
    <w:rsid w:val="6AF46E33"/>
    <w:rsid w:val="6AF75423"/>
    <w:rsid w:val="6AF97AF0"/>
    <w:rsid w:val="6B037DE6"/>
    <w:rsid w:val="6B0A20DA"/>
    <w:rsid w:val="6B0B578F"/>
    <w:rsid w:val="6B0B79ED"/>
    <w:rsid w:val="6B0F020C"/>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6A0DCB"/>
    <w:rsid w:val="6B727806"/>
    <w:rsid w:val="6B76151E"/>
    <w:rsid w:val="6B765953"/>
    <w:rsid w:val="6B797532"/>
    <w:rsid w:val="6B870672"/>
    <w:rsid w:val="6B8B2127"/>
    <w:rsid w:val="6B8F1F90"/>
    <w:rsid w:val="6B916F17"/>
    <w:rsid w:val="6B92122F"/>
    <w:rsid w:val="6B946967"/>
    <w:rsid w:val="6BA27696"/>
    <w:rsid w:val="6BA63F35"/>
    <w:rsid w:val="6BAE03FC"/>
    <w:rsid w:val="6BB72F46"/>
    <w:rsid w:val="6BB96B73"/>
    <w:rsid w:val="6BBA4068"/>
    <w:rsid w:val="6BC57344"/>
    <w:rsid w:val="6BCA72EF"/>
    <w:rsid w:val="6BE4268A"/>
    <w:rsid w:val="6BEB6F11"/>
    <w:rsid w:val="6BEC6542"/>
    <w:rsid w:val="6BF2105E"/>
    <w:rsid w:val="6BF80185"/>
    <w:rsid w:val="6C095CB4"/>
    <w:rsid w:val="6C096FF1"/>
    <w:rsid w:val="6C0A1516"/>
    <w:rsid w:val="6C1A34B1"/>
    <w:rsid w:val="6C1C31D0"/>
    <w:rsid w:val="6C2C7908"/>
    <w:rsid w:val="6C3039DD"/>
    <w:rsid w:val="6C3119B3"/>
    <w:rsid w:val="6C4B6BB2"/>
    <w:rsid w:val="6C4E6196"/>
    <w:rsid w:val="6C4E7BC8"/>
    <w:rsid w:val="6C574E8D"/>
    <w:rsid w:val="6C5B19D8"/>
    <w:rsid w:val="6C5F64C9"/>
    <w:rsid w:val="6C6315C2"/>
    <w:rsid w:val="6C665E00"/>
    <w:rsid w:val="6C700663"/>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C74B4"/>
    <w:rsid w:val="6CE74DF5"/>
    <w:rsid w:val="6CE82457"/>
    <w:rsid w:val="6D032F70"/>
    <w:rsid w:val="6D0668D1"/>
    <w:rsid w:val="6D087710"/>
    <w:rsid w:val="6D0B08CC"/>
    <w:rsid w:val="6D0D2C2F"/>
    <w:rsid w:val="6D0E0A2E"/>
    <w:rsid w:val="6D1458A7"/>
    <w:rsid w:val="6D1B2988"/>
    <w:rsid w:val="6D287535"/>
    <w:rsid w:val="6D2F2E2B"/>
    <w:rsid w:val="6D3C275F"/>
    <w:rsid w:val="6D446E36"/>
    <w:rsid w:val="6D4D3485"/>
    <w:rsid w:val="6D517A54"/>
    <w:rsid w:val="6D671289"/>
    <w:rsid w:val="6D714D8A"/>
    <w:rsid w:val="6D76533D"/>
    <w:rsid w:val="6D774F15"/>
    <w:rsid w:val="6D7D3176"/>
    <w:rsid w:val="6D7E2B84"/>
    <w:rsid w:val="6D885246"/>
    <w:rsid w:val="6D8A5754"/>
    <w:rsid w:val="6D8B0684"/>
    <w:rsid w:val="6D8B0AC9"/>
    <w:rsid w:val="6D8B4DCF"/>
    <w:rsid w:val="6D8F468F"/>
    <w:rsid w:val="6D9247D8"/>
    <w:rsid w:val="6D9465F9"/>
    <w:rsid w:val="6D9E3C5B"/>
    <w:rsid w:val="6D9E4262"/>
    <w:rsid w:val="6DB76F1E"/>
    <w:rsid w:val="6DB97DE8"/>
    <w:rsid w:val="6DBB3293"/>
    <w:rsid w:val="6DCA1725"/>
    <w:rsid w:val="6DD726C4"/>
    <w:rsid w:val="6DEC6B69"/>
    <w:rsid w:val="6DEE5CE3"/>
    <w:rsid w:val="6DEF7133"/>
    <w:rsid w:val="6DF07EE4"/>
    <w:rsid w:val="6DF11B55"/>
    <w:rsid w:val="6DF66AF5"/>
    <w:rsid w:val="6DF92996"/>
    <w:rsid w:val="6E027BA4"/>
    <w:rsid w:val="6E0C43BB"/>
    <w:rsid w:val="6E0F1C00"/>
    <w:rsid w:val="6E1456C3"/>
    <w:rsid w:val="6E17097D"/>
    <w:rsid w:val="6E1A4DE4"/>
    <w:rsid w:val="6E1F3E27"/>
    <w:rsid w:val="6E286EFA"/>
    <w:rsid w:val="6E35350C"/>
    <w:rsid w:val="6E364FE1"/>
    <w:rsid w:val="6E38233F"/>
    <w:rsid w:val="6E3F1C85"/>
    <w:rsid w:val="6E4C7288"/>
    <w:rsid w:val="6E4F6056"/>
    <w:rsid w:val="6E531FEA"/>
    <w:rsid w:val="6E583C96"/>
    <w:rsid w:val="6E6C45F5"/>
    <w:rsid w:val="6E765F7D"/>
    <w:rsid w:val="6E7A1325"/>
    <w:rsid w:val="6E7C322E"/>
    <w:rsid w:val="6E7F676B"/>
    <w:rsid w:val="6E81394E"/>
    <w:rsid w:val="6E8A0F49"/>
    <w:rsid w:val="6E8C6852"/>
    <w:rsid w:val="6E93709F"/>
    <w:rsid w:val="6E96383F"/>
    <w:rsid w:val="6E981757"/>
    <w:rsid w:val="6E9817AB"/>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90259"/>
    <w:rsid w:val="6EEB454B"/>
    <w:rsid w:val="6F02283D"/>
    <w:rsid w:val="6F025E22"/>
    <w:rsid w:val="6F0637D9"/>
    <w:rsid w:val="6F0A7FF1"/>
    <w:rsid w:val="6F0C1D1F"/>
    <w:rsid w:val="6F0F5E68"/>
    <w:rsid w:val="6F115264"/>
    <w:rsid w:val="6F18583D"/>
    <w:rsid w:val="6F1A57AF"/>
    <w:rsid w:val="6F2319BD"/>
    <w:rsid w:val="6F27041B"/>
    <w:rsid w:val="6F273A90"/>
    <w:rsid w:val="6F363EBD"/>
    <w:rsid w:val="6F38111A"/>
    <w:rsid w:val="6F3961A0"/>
    <w:rsid w:val="6F47777E"/>
    <w:rsid w:val="6F49030E"/>
    <w:rsid w:val="6F4F4560"/>
    <w:rsid w:val="6F5705FC"/>
    <w:rsid w:val="6F595838"/>
    <w:rsid w:val="6F6E3846"/>
    <w:rsid w:val="6F7048ED"/>
    <w:rsid w:val="6F7C3CB9"/>
    <w:rsid w:val="6F805B7A"/>
    <w:rsid w:val="6F854620"/>
    <w:rsid w:val="6F890572"/>
    <w:rsid w:val="6F8D4F24"/>
    <w:rsid w:val="6F8E178A"/>
    <w:rsid w:val="6F907577"/>
    <w:rsid w:val="6F936371"/>
    <w:rsid w:val="6F954F09"/>
    <w:rsid w:val="6F9A4EDB"/>
    <w:rsid w:val="6FA21C05"/>
    <w:rsid w:val="6FA63B47"/>
    <w:rsid w:val="6FAA322D"/>
    <w:rsid w:val="6FAF14A2"/>
    <w:rsid w:val="6FBE2E57"/>
    <w:rsid w:val="6FC24260"/>
    <w:rsid w:val="6FC75BF2"/>
    <w:rsid w:val="6FCE6CF1"/>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36127C"/>
    <w:rsid w:val="70460EB4"/>
    <w:rsid w:val="70464E2D"/>
    <w:rsid w:val="704773A1"/>
    <w:rsid w:val="704957D4"/>
    <w:rsid w:val="704C4ED2"/>
    <w:rsid w:val="704E08DA"/>
    <w:rsid w:val="705063FE"/>
    <w:rsid w:val="70560562"/>
    <w:rsid w:val="70567B70"/>
    <w:rsid w:val="705E1574"/>
    <w:rsid w:val="705E430F"/>
    <w:rsid w:val="706A53C9"/>
    <w:rsid w:val="706D67EA"/>
    <w:rsid w:val="70766740"/>
    <w:rsid w:val="70795446"/>
    <w:rsid w:val="708107A5"/>
    <w:rsid w:val="70824385"/>
    <w:rsid w:val="70862203"/>
    <w:rsid w:val="70893E28"/>
    <w:rsid w:val="708B7819"/>
    <w:rsid w:val="709128C8"/>
    <w:rsid w:val="70921AE7"/>
    <w:rsid w:val="709B2A9D"/>
    <w:rsid w:val="709D754D"/>
    <w:rsid w:val="70A44FA9"/>
    <w:rsid w:val="70AF0E1F"/>
    <w:rsid w:val="70AF4F66"/>
    <w:rsid w:val="70B77790"/>
    <w:rsid w:val="70C56E5A"/>
    <w:rsid w:val="70C8605D"/>
    <w:rsid w:val="70CC566D"/>
    <w:rsid w:val="70CE7A62"/>
    <w:rsid w:val="70D65870"/>
    <w:rsid w:val="70E371D1"/>
    <w:rsid w:val="70EB6A28"/>
    <w:rsid w:val="70EE3BBF"/>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91CE5"/>
    <w:rsid w:val="715E4F2E"/>
    <w:rsid w:val="715E70B1"/>
    <w:rsid w:val="71637135"/>
    <w:rsid w:val="716444AB"/>
    <w:rsid w:val="716B6433"/>
    <w:rsid w:val="716B7D69"/>
    <w:rsid w:val="71704845"/>
    <w:rsid w:val="71713F3E"/>
    <w:rsid w:val="717B4D84"/>
    <w:rsid w:val="71822978"/>
    <w:rsid w:val="71883D59"/>
    <w:rsid w:val="718B45D2"/>
    <w:rsid w:val="719C12D7"/>
    <w:rsid w:val="719F0DCB"/>
    <w:rsid w:val="71A8006A"/>
    <w:rsid w:val="71AB7735"/>
    <w:rsid w:val="71AF339E"/>
    <w:rsid w:val="71B53FDD"/>
    <w:rsid w:val="71B966AB"/>
    <w:rsid w:val="71BD3770"/>
    <w:rsid w:val="71CB674B"/>
    <w:rsid w:val="71ED5440"/>
    <w:rsid w:val="71F10183"/>
    <w:rsid w:val="72007615"/>
    <w:rsid w:val="720419D3"/>
    <w:rsid w:val="7207306E"/>
    <w:rsid w:val="72102180"/>
    <w:rsid w:val="72106582"/>
    <w:rsid w:val="72185205"/>
    <w:rsid w:val="721E1EC5"/>
    <w:rsid w:val="721E27AE"/>
    <w:rsid w:val="7227389B"/>
    <w:rsid w:val="722A53C9"/>
    <w:rsid w:val="722C2425"/>
    <w:rsid w:val="72380D3A"/>
    <w:rsid w:val="723A7F78"/>
    <w:rsid w:val="72472F65"/>
    <w:rsid w:val="7251240A"/>
    <w:rsid w:val="7251502D"/>
    <w:rsid w:val="72574AF0"/>
    <w:rsid w:val="725825B0"/>
    <w:rsid w:val="725D3437"/>
    <w:rsid w:val="7261536A"/>
    <w:rsid w:val="7264061F"/>
    <w:rsid w:val="726F7BC9"/>
    <w:rsid w:val="727231E5"/>
    <w:rsid w:val="727367B7"/>
    <w:rsid w:val="7279088E"/>
    <w:rsid w:val="727C65CC"/>
    <w:rsid w:val="728A3B01"/>
    <w:rsid w:val="728A3BD2"/>
    <w:rsid w:val="728D2A9F"/>
    <w:rsid w:val="7299052A"/>
    <w:rsid w:val="729C6CFE"/>
    <w:rsid w:val="72AC2EF3"/>
    <w:rsid w:val="72AD0D57"/>
    <w:rsid w:val="72AE73C2"/>
    <w:rsid w:val="72B31998"/>
    <w:rsid w:val="72B956E9"/>
    <w:rsid w:val="72BD4F43"/>
    <w:rsid w:val="72BE4DEB"/>
    <w:rsid w:val="72C0784A"/>
    <w:rsid w:val="72CA0194"/>
    <w:rsid w:val="72CB7771"/>
    <w:rsid w:val="72CE7E91"/>
    <w:rsid w:val="72CF194A"/>
    <w:rsid w:val="72D21F8E"/>
    <w:rsid w:val="72D30A2A"/>
    <w:rsid w:val="72DC43B0"/>
    <w:rsid w:val="72DF3E4C"/>
    <w:rsid w:val="72E04B56"/>
    <w:rsid w:val="72E47598"/>
    <w:rsid w:val="72F024A7"/>
    <w:rsid w:val="72F1592E"/>
    <w:rsid w:val="72F66C2E"/>
    <w:rsid w:val="72FB3A37"/>
    <w:rsid w:val="73001819"/>
    <w:rsid w:val="730114A6"/>
    <w:rsid w:val="73013DC3"/>
    <w:rsid w:val="73043C04"/>
    <w:rsid w:val="730918B1"/>
    <w:rsid w:val="73136A04"/>
    <w:rsid w:val="73175677"/>
    <w:rsid w:val="7336009C"/>
    <w:rsid w:val="733801AF"/>
    <w:rsid w:val="733D1624"/>
    <w:rsid w:val="73544476"/>
    <w:rsid w:val="73585122"/>
    <w:rsid w:val="7358775E"/>
    <w:rsid w:val="73650B9E"/>
    <w:rsid w:val="73724CC1"/>
    <w:rsid w:val="73756010"/>
    <w:rsid w:val="7376485B"/>
    <w:rsid w:val="737A789D"/>
    <w:rsid w:val="737E3665"/>
    <w:rsid w:val="738035AF"/>
    <w:rsid w:val="73A32FCC"/>
    <w:rsid w:val="73AF74CB"/>
    <w:rsid w:val="73B9469D"/>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145000"/>
    <w:rsid w:val="74155D13"/>
    <w:rsid w:val="741A2688"/>
    <w:rsid w:val="741C3865"/>
    <w:rsid w:val="74496408"/>
    <w:rsid w:val="744D17B4"/>
    <w:rsid w:val="744D7724"/>
    <w:rsid w:val="74556A1F"/>
    <w:rsid w:val="74596ABB"/>
    <w:rsid w:val="746553D5"/>
    <w:rsid w:val="746749C6"/>
    <w:rsid w:val="746D05CC"/>
    <w:rsid w:val="74731735"/>
    <w:rsid w:val="7475018B"/>
    <w:rsid w:val="74761C26"/>
    <w:rsid w:val="748527D2"/>
    <w:rsid w:val="748712BE"/>
    <w:rsid w:val="748B3BA6"/>
    <w:rsid w:val="74967709"/>
    <w:rsid w:val="749A4686"/>
    <w:rsid w:val="74A62AF8"/>
    <w:rsid w:val="74AB52BF"/>
    <w:rsid w:val="74AF457D"/>
    <w:rsid w:val="74B75166"/>
    <w:rsid w:val="74BC4AA6"/>
    <w:rsid w:val="74C166FA"/>
    <w:rsid w:val="74C906E3"/>
    <w:rsid w:val="74C95A09"/>
    <w:rsid w:val="74D261E6"/>
    <w:rsid w:val="74D8683F"/>
    <w:rsid w:val="74DD3A4E"/>
    <w:rsid w:val="74DD49D9"/>
    <w:rsid w:val="74DF6F97"/>
    <w:rsid w:val="74E61D1C"/>
    <w:rsid w:val="74F5489D"/>
    <w:rsid w:val="74FA2CDD"/>
    <w:rsid w:val="74FD4C47"/>
    <w:rsid w:val="750129B3"/>
    <w:rsid w:val="75087EDD"/>
    <w:rsid w:val="750E55B9"/>
    <w:rsid w:val="75256042"/>
    <w:rsid w:val="752C61A9"/>
    <w:rsid w:val="75366B46"/>
    <w:rsid w:val="75493668"/>
    <w:rsid w:val="755B7D7E"/>
    <w:rsid w:val="756F185B"/>
    <w:rsid w:val="75734628"/>
    <w:rsid w:val="757479DF"/>
    <w:rsid w:val="757F7B40"/>
    <w:rsid w:val="758B325F"/>
    <w:rsid w:val="759030A5"/>
    <w:rsid w:val="759171A9"/>
    <w:rsid w:val="75972883"/>
    <w:rsid w:val="75A103A4"/>
    <w:rsid w:val="75A708C9"/>
    <w:rsid w:val="75AB1D90"/>
    <w:rsid w:val="75BE6C9A"/>
    <w:rsid w:val="75BF1320"/>
    <w:rsid w:val="75C353E3"/>
    <w:rsid w:val="75C829C3"/>
    <w:rsid w:val="75CB5152"/>
    <w:rsid w:val="75CB54D3"/>
    <w:rsid w:val="75CD59E6"/>
    <w:rsid w:val="75D4756D"/>
    <w:rsid w:val="75E34843"/>
    <w:rsid w:val="75E43317"/>
    <w:rsid w:val="75EF3824"/>
    <w:rsid w:val="75F6698E"/>
    <w:rsid w:val="75FA6CE4"/>
    <w:rsid w:val="75FB12E0"/>
    <w:rsid w:val="75FF1C54"/>
    <w:rsid w:val="760B4F58"/>
    <w:rsid w:val="76200A0C"/>
    <w:rsid w:val="76221318"/>
    <w:rsid w:val="763136E4"/>
    <w:rsid w:val="76382468"/>
    <w:rsid w:val="76475265"/>
    <w:rsid w:val="764C01D0"/>
    <w:rsid w:val="76503CFB"/>
    <w:rsid w:val="7655072B"/>
    <w:rsid w:val="766036F6"/>
    <w:rsid w:val="7662101C"/>
    <w:rsid w:val="766453BD"/>
    <w:rsid w:val="76695331"/>
    <w:rsid w:val="766C17ED"/>
    <w:rsid w:val="76797230"/>
    <w:rsid w:val="769706C9"/>
    <w:rsid w:val="76A038F3"/>
    <w:rsid w:val="76A8416B"/>
    <w:rsid w:val="76B30AA4"/>
    <w:rsid w:val="76B40D31"/>
    <w:rsid w:val="76B661E7"/>
    <w:rsid w:val="76BA4E40"/>
    <w:rsid w:val="76CB51D6"/>
    <w:rsid w:val="76F066AA"/>
    <w:rsid w:val="76F34329"/>
    <w:rsid w:val="76F452A1"/>
    <w:rsid w:val="76F9022F"/>
    <w:rsid w:val="77082B4F"/>
    <w:rsid w:val="770B1158"/>
    <w:rsid w:val="770D6CDF"/>
    <w:rsid w:val="771019C9"/>
    <w:rsid w:val="7722019C"/>
    <w:rsid w:val="7722787B"/>
    <w:rsid w:val="772365CD"/>
    <w:rsid w:val="772A19D1"/>
    <w:rsid w:val="773329B9"/>
    <w:rsid w:val="775A07EB"/>
    <w:rsid w:val="775B6B1C"/>
    <w:rsid w:val="775C14E6"/>
    <w:rsid w:val="776943C3"/>
    <w:rsid w:val="7771703D"/>
    <w:rsid w:val="77743A3F"/>
    <w:rsid w:val="777660FB"/>
    <w:rsid w:val="77827031"/>
    <w:rsid w:val="778271EA"/>
    <w:rsid w:val="77850C07"/>
    <w:rsid w:val="77853EB4"/>
    <w:rsid w:val="778F17AB"/>
    <w:rsid w:val="778F2B05"/>
    <w:rsid w:val="778F4015"/>
    <w:rsid w:val="778F68D8"/>
    <w:rsid w:val="77956E61"/>
    <w:rsid w:val="77A24E83"/>
    <w:rsid w:val="77A776E3"/>
    <w:rsid w:val="77AB2F6C"/>
    <w:rsid w:val="77C95368"/>
    <w:rsid w:val="77D10BCD"/>
    <w:rsid w:val="77D228CF"/>
    <w:rsid w:val="77D53A70"/>
    <w:rsid w:val="77DE2A87"/>
    <w:rsid w:val="77DE40C5"/>
    <w:rsid w:val="77E6488C"/>
    <w:rsid w:val="77E81FF3"/>
    <w:rsid w:val="77EC5412"/>
    <w:rsid w:val="77ED76DD"/>
    <w:rsid w:val="77EE3ECD"/>
    <w:rsid w:val="77F45FA2"/>
    <w:rsid w:val="7804568C"/>
    <w:rsid w:val="78066D81"/>
    <w:rsid w:val="781349B7"/>
    <w:rsid w:val="78201C49"/>
    <w:rsid w:val="782275DE"/>
    <w:rsid w:val="782A53AA"/>
    <w:rsid w:val="782B755D"/>
    <w:rsid w:val="7832196B"/>
    <w:rsid w:val="78354512"/>
    <w:rsid w:val="783E713C"/>
    <w:rsid w:val="78415620"/>
    <w:rsid w:val="78484242"/>
    <w:rsid w:val="784F5722"/>
    <w:rsid w:val="784F6D12"/>
    <w:rsid w:val="78500C84"/>
    <w:rsid w:val="78602E1D"/>
    <w:rsid w:val="786771E1"/>
    <w:rsid w:val="786772B8"/>
    <w:rsid w:val="786B1CDE"/>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D078C"/>
    <w:rsid w:val="78BE2727"/>
    <w:rsid w:val="78C40CCB"/>
    <w:rsid w:val="78C54625"/>
    <w:rsid w:val="78C67B1C"/>
    <w:rsid w:val="78C935D5"/>
    <w:rsid w:val="78D97B65"/>
    <w:rsid w:val="78E36DAD"/>
    <w:rsid w:val="78FF6E0C"/>
    <w:rsid w:val="791439BA"/>
    <w:rsid w:val="791C322D"/>
    <w:rsid w:val="791C5857"/>
    <w:rsid w:val="792962A0"/>
    <w:rsid w:val="79345136"/>
    <w:rsid w:val="7944774E"/>
    <w:rsid w:val="794C7D62"/>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BE3C22"/>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1363F"/>
    <w:rsid w:val="7A442C1F"/>
    <w:rsid w:val="7A4A1BA8"/>
    <w:rsid w:val="7A5A0B12"/>
    <w:rsid w:val="7A6B4E9F"/>
    <w:rsid w:val="7A6D0311"/>
    <w:rsid w:val="7A6F3759"/>
    <w:rsid w:val="7A6F5D22"/>
    <w:rsid w:val="7A70182E"/>
    <w:rsid w:val="7A7218B5"/>
    <w:rsid w:val="7A765963"/>
    <w:rsid w:val="7A8D0FFE"/>
    <w:rsid w:val="7A9410E7"/>
    <w:rsid w:val="7A9B445C"/>
    <w:rsid w:val="7A9E5878"/>
    <w:rsid w:val="7A9F1ECA"/>
    <w:rsid w:val="7AA0198A"/>
    <w:rsid w:val="7AA747BC"/>
    <w:rsid w:val="7AAF3CCD"/>
    <w:rsid w:val="7ABC170B"/>
    <w:rsid w:val="7AC15427"/>
    <w:rsid w:val="7AC869CB"/>
    <w:rsid w:val="7ACC5667"/>
    <w:rsid w:val="7AE6775E"/>
    <w:rsid w:val="7AE76AC5"/>
    <w:rsid w:val="7AF61B9E"/>
    <w:rsid w:val="7AF81791"/>
    <w:rsid w:val="7AF9567E"/>
    <w:rsid w:val="7AFD57B8"/>
    <w:rsid w:val="7B1F4D2A"/>
    <w:rsid w:val="7B2230DF"/>
    <w:rsid w:val="7B263453"/>
    <w:rsid w:val="7B271E8E"/>
    <w:rsid w:val="7B393978"/>
    <w:rsid w:val="7B394BD2"/>
    <w:rsid w:val="7B401F06"/>
    <w:rsid w:val="7B4A111F"/>
    <w:rsid w:val="7B533AF7"/>
    <w:rsid w:val="7B534407"/>
    <w:rsid w:val="7B583C73"/>
    <w:rsid w:val="7B5A7031"/>
    <w:rsid w:val="7B6016CD"/>
    <w:rsid w:val="7B677757"/>
    <w:rsid w:val="7B6A2721"/>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816DF"/>
    <w:rsid w:val="7BBB4F4A"/>
    <w:rsid w:val="7BC91DA2"/>
    <w:rsid w:val="7BCA174E"/>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40BE"/>
    <w:rsid w:val="7C3C6A8A"/>
    <w:rsid w:val="7C4456B2"/>
    <w:rsid w:val="7C4C213B"/>
    <w:rsid w:val="7C4C466D"/>
    <w:rsid w:val="7C4D7B48"/>
    <w:rsid w:val="7C5B6663"/>
    <w:rsid w:val="7C5D35F0"/>
    <w:rsid w:val="7C5D69EB"/>
    <w:rsid w:val="7C624011"/>
    <w:rsid w:val="7C683ED6"/>
    <w:rsid w:val="7C6C1D74"/>
    <w:rsid w:val="7C6D24C9"/>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BB3234"/>
    <w:rsid w:val="7CC6163F"/>
    <w:rsid w:val="7CC7600D"/>
    <w:rsid w:val="7CCB3032"/>
    <w:rsid w:val="7CD647E6"/>
    <w:rsid w:val="7CD66DCC"/>
    <w:rsid w:val="7CED65A5"/>
    <w:rsid w:val="7CF0080A"/>
    <w:rsid w:val="7CF44998"/>
    <w:rsid w:val="7CFB2C31"/>
    <w:rsid w:val="7CFE7F6F"/>
    <w:rsid w:val="7D09189F"/>
    <w:rsid w:val="7D0D4261"/>
    <w:rsid w:val="7D101F85"/>
    <w:rsid w:val="7D17595C"/>
    <w:rsid w:val="7D180687"/>
    <w:rsid w:val="7D1D007C"/>
    <w:rsid w:val="7D276B1C"/>
    <w:rsid w:val="7D2863F0"/>
    <w:rsid w:val="7D2B7F7B"/>
    <w:rsid w:val="7D3F0E86"/>
    <w:rsid w:val="7D445382"/>
    <w:rsid w:val="7D4C62F7"/>
    <w:rsid w:val="7D4D7BBF"/>
    <w:rsid w:val="7D502CB8"/>
    <w:rsid w:val="7D592A4D"/>
    <w:rsid w:val="7D604310"/>
    <w:rsid w:val="7D6A1784"/>
    <w:rsid w:val="7D704E5D"/>
    <w:rsid w:val="7D760768"/>
    <w:rsid w:val="7D7617A7"/>
    <w:rsid w:val="7D7C7FD9"/>
    <w:rsid w:val="7D8C7566"/>
    <w:rsid w:val="7D9114D1"/>
    <w:rsid w:val="7D912281"/>
    <w:rsid w:val="7D9720A1"/>
    <w:rsid w:val="7D9E4330"/>
    <w:rsid w:val="7DA916C2"/>
    <w:rsid w:val="7DAA32A9"/>
    <w:rsid w:val="7DAA7303"/>
    <w:rsid w:val="7DAC0DCF"/>
    <w:rsid w:val="7DB22210"/>
    <w:rsid w:val="7DB664C2"/>
    <w:rsid w:val="7DB87774"/>
    <w:rsid w:val="7DBF0B02"/>
    <w:rsid w:val="7DC13B56"/>
    <w:rsid w:val="7DC24845"/>
    <w:rsid w:val="7DC61971"/>
    <w:rsid w:val="7DCA6599"/>
    <w:rsid w:val="7DCC294E"/>
    <w:rsid w:val="7DD00F61"/>
    <w:rsid w:val="7DD37CEC"/>
    <w:rsid w:val="7DE15B44"/>
    <w:rsid w:val="7DE3118E"/>
    <w:rsid w:val="7DE519B3"/>
    <w:rsid w:val="7DF53128"/>
    <w:rsid w:val="7DFC7552"/>
    <w:rsid w:val="7E061943"/>
    <w:rsid w:val="7E0B1F99"/>
    <w:rsid w:val="7E0B4503"/>
    <w:rsid w:val="7E1370A0"/>
    <w:rsid w:val="7E176B90"/>
    <w:rsid w:val="7E1917F1"/>
    <w:rsid w:val="7E1F5A45"/>
    <w:rsid w:val="7E2663D5"/>
    <w:rsid w:val="7E2D4C1A"/>
    <w:rsid w:val="7E3152AB"/>
    <w:rsid w:val="7E3170E6"/>
    <w:rsid w:val="7E346870"/>
    <w:rsid w:val="7E3C3FF1"/>
    <w:rsid w:val="7E4067F7"/>
    <w:rsid w:val="7E424900"/>
    <w:rsid w:val="7E43581D"/>
    <w:rsid w:val="7E45395E"/>
    <w:rsid w:val="7E4C39D7"/>
    <w:rsid w:val="7E4D4360"/>
    <w:rsid w:val="7E5E76AD"/>
    <w:rsid w:val="7E6C72CE"/>
    <w:rsid w:val="7E7B17F2"/>
    <w:rsid w:val="7E7F687E"/>
    <w:rsid w:val="7E88183C"/>
    <w:rsid w:val="7E8C68BE"/>
    <w:rsid w:val="7E910D30"/>
    <w:rsid w:val="7E971F26"/>
    <w:rsid w:val="7E9B4F2F"/>
    <w:rsid w:val="7E9C52E7"/>
    <w:rsid w:val="7EA40295"/>
    <w:rsid w:val="7EAF6A9E"/>
    <w:rsid w:val="7EB968A5"/>
    <w:rsid w:val="7EBE18FF"/>
    <w:rsid w:val="7EC14D4E"/>
    <w:rsid w:val="7EC1522C"/>
    <w:rsid w:val="7EC73CBD"/>
    <w:rsid w:val="7EC81B73"/>
    <w:rsid w:val="7ECC37C0"/>
    <w:rsid w:val="7ECE4F01"/>
    <w:rsid w:val="7ED310A0"/>
    <w:rsid w:val="7ED5139D"/>
    <w:rsid w:val="7EE47BF8"/>
    <w:rsid w:val="7EE75DB1"/>
    <w:rsid w:val="7EE96330"/>
    <w:rsid w:val="7EEC0B46"/>
    <w:rsid w:val="7EEF3669"/>
    <w:rsid w:val="7EF047DC"/>
    <w:rsid w:val="7EF34A95"/>
    <w:rsid w:val="7F025C9B"/>
    <w:rsid w:val="7F051D03"/>
    <w:rsid w:val="7F12044F"/>
    <w:rsid w:val="7F1F3FA0"/>
    <w:rsid w:val="7F1F5413"/>
    <w:rsid w:val="7F1F542F"/>
    <w:rsid w:val="7F212ABD"/>
    <w:rsid w:val="7F2E4DB5"/>
    <w:rsid w:val="7F3472CE"/>
    <w:rsid w:val="7F3B3C83"/>
    <w:rsid w:val="7F442D36"/>
    <w:rsid w:val="7F4904AD"/>
    <w:rsid w:val="7F572FBC"/>
    <w:rsid w:val="7F5D1C39"/>
    <w:rsid w:val="7F65016E"/>
    <w:rsid w:val="7F6B1AE3"/>
    <w:rsid w:val="7F6C67FD"/>
    <w:rsid w:val="7F713505"/>
    <w:rsid w:val="7F721BA4"/>
    <w:rsid w:val="7F7B4A40"/>
    <w:rsid w:val="7F7E0B58"/>
    <w:rsid w:val="7F7F357B"/>
    <w:rsid w:val="7F893BC2"/>
    <w:rsid w:val="7F8B1B8E"/>
    <w:rsid w:val="7F8F503A"/>
    <w:rsid w:val="7F9211A1"/>
    <w:rsid w:val="7F925F65"/>
    <w:rsid w:val="7FA1136E"/>
    <w:rsid w:val="7FA77AA0"/>
    <w:rsid w:val="7FAA4092"/>
    <w:rsid w:val="7FAB7A6B"/>
    <w:rsid w:val="7FAC082B"/>
    <w:rsid w:val="7FAC68A6"/>
    <w:rsid w:val="7FAE074D"/>
    <w:rsid w:val="7FBA7398"/>
    <w:rsid w:val="7FBF0489"/>
    <w:rsid w:val="7FBF140F"/>
    <w:rsid w:val="7FC01A96"/>
    <w:rsid w:val="7FC44D27"/>
    <w:rsid w:val="7FD02BD8"/>
    <w:rsid w:val="7FDF5177"/>
    <w:rsid w:val="7FE52A63"/>
    <w:rsid w:val="7FE94365"/>
    <w:rsid w:val="7FEF36A7"/>
    <w:rsid w:val="7FFE4361"/>
    <w:rsid w:val="BA7B23C6"/>
    <w:rsid w:val="BE1FB12F"/>
    <w:rsid w:val="BF531D6C"/>
    <w:rsid w:val="EDFFD310"/>
    <w:rsid w:val="F6E7DFA5"/>
    <w:rsid w:val="FBFDEDF5"/>
    <w:rsid w:val="FE7BAF61"/>
    <w:rsid w:val="FFB83AA6"/>
    <w:rsid w:val="FFFAD68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4">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5">
    <w:name w:val="heading 2"/>
    <w:basedOn w:val="1"/>
    <w:next w:val="1"/>
    <w:link w:val="99"/>
    <w:qFormat/>
    <w:uiPriority w:val="0"/>
    <w:pPr>
      <w:keepNext/>
      <w:spacing w:before="240" w:after="60"/>
      <w:outlineLvl w:val="1"/>
    </w:pPr>
    <w:rPr>
      <w:rFonts w:ascii="Cambria" w:hAnsi="Cambria"/>
      <w:b/>
      <w:bCs/>
      <w:i/>
      <w:iCs/>
      <w:sz w:val="28"/>
      <w:szCs w:val="28"/>
      <w:lang w:bidi="ar-SA"/>
    </w:rPr>
  </w:style>
  <w:style w:type="paragraph" w:styleId="6">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7">
    <w:name w:val="heading 4"/>
    <w:basedOn w:val="1"/>
    <w:next w:val="1"/>
    <w:link w:val="101"/>
    <w:qFormat/>
    <w:uiPriority w:val="0"/>
    <w:pPr>
      <w:keepNext/>
      <w:spacing w:before="240" w:after="60"/>
      <w:outlineLvl w:val="3"/>
    </w:pPr>
    <w:rPr>
      <w:b/>
      <w:bCs/>
      <w:sz w:val="28"/>
      <w:szCs w:val="28"/>
      <w:lang w:bidi="ar-SA"/>
    </w:rPr>
  </w:style>
  <w:style w:type="paragraph" w:styleId="8">
    <w:name w:val="heading 5"/>
    <w:basedOn w:val="1"/>
    <w:next w:val="1"/>
    <w:link w:val="102"/>
    <w:qFormat/>
    <w:uiPriority w:val="0"/>
    <w:pPr>
      <w:spacing w:before="240" w:after="60"/>
      <w:outlineLvl w:val="4"/>
    </w:pPr>
    <w:rPr>
      <w:b/>
      <w:bCs/>
      <w:i/>
      <w:iCs/>
      <w:sz w:val="26"/>
      <w:szCs w:val="26"/>
      <w:lang w:bidi="ar-SA"/>
    </w:rPr>
  </w:style>
  <w:style w:type="paragraph" w:styleId="9">
    <w:name w:val="heading 6"/>
    <w:basedOn w:val="1"/>
    <w:next w:val="1"/>
    <w:link w:val="103"/>
    <w:qFormat/>
    <w:uiPriority w:val="0"/>
    <w:pPr>
      <w:spacing w:before="240" w:after="60"/>
      <w:outlineLvl w:val="5"/>
    </w:pPr>
    <w:rPr>
      <w:b/>
      <w:bCs/>
      <w:sz w:val="20"/>
      <w:szCs w:val="20"/>
      <w:lang w:bidi="ar-SA"/>
    </w:rPr>
  </w:style>
  <w:style w:type="paragraph" w:styleId="10">
    <w:name w:val="heading 7"/>
    <w:basedOn w:val="1"/>
    <w:next w:val="1"/>
    <w:link w:val="104"/>
    <w:qFormat/>
    <w:uiPriority w:val="9"/>
    <w:pPr>
      <w:spacing w:before="240" w:after="60"/>
      <w:outlineLvl w:val="6"/>
    </w:pPr>
    <w:rPr>
      <w:lang w:bidi="ar-SA"/>
    </w:rPr>
  </w:style>
  <w:style w:type="paragraph" w:styleId="11">
    <w:name w:val="heading 8"/>
    <w:basedOn w:val="1"/>
    <w:next w:val="1"/>
    <w:link w:val="105"/>
    <w:qFormat/>
    <w:uiPriority w:val="9"/>
    <w:pPr>
      <w:spacing w:before="240" w:after="60"/>
      <w:outlineLvl w:val="7"/>
    </w:pPr>
    <w:rPr>
      <w:i/>
      <w:iCs/>
      <w:lang w:bidi="ar-SA"/>
    </w:rPr>
  </w:style>
  <w:style w:type="paragraph" w:styleId="12">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15"/>
    <w:qFormat/>
    <w:uiPriority w:val="99"/>
    <w:pPr>
      <w:spacing w:after="120"/>
    </w:pPr>
    <w:rPr>
      <w:lang w:bidi="ar-SA"/>
    </w:rPr>
  </w:style>
  <w:style w:type="paragraph" w:styleId="3">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3">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4">
    <w:name w:val="toc 7"/>
    <w:basedOn w:val="1"/>
    <w:next w:val="1"/>
    <w:qFormat/>
    <w:uiPriority w:val="39"/>
    <w:pPr>
      <w:ind w:left="1260"/>
    </w:pPr>
    <w:rPr>
      <w:sz w:val="18"/>
      <w:szCs w:val="18"/>
    </w:rPr>
  </w:style>
  <w:style w:type="paragraph" w:styleId="15">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6">
    <w:name w:val="Note Heading"/>
    <w:basedOn w:val="1"/>
    <w:next w:val="1"/>
    <w:link w:val="107"/>
    <w:qFormat/>
    <w:uiPriority w:val="0"/>
    <w:pPr>
      <w:widowControl w:val="0"/>
      <w:jc w:val="center"/>
    </w:pPr>
    <w:rPr>
      <w:rFonts w:ascii="Calibri" w:hAnsi="Calibri" w:eastAsia="方正大标宋简体"/>
      <w:kern w:val="2"/>
      <w:szCs w:val="20"/>
      <w:lang w:eastAsia="zh-TW" w:bidi="ar-SA"/>
    </w:rPr>
  </w:style>
  <w:style w:type="paragraph" w:styleId="17">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8">
    <w:name w:val="E-mail Signature"/>
    <w:basedOn w:val="1"/>
    <w:link w:val="108"/>
    <w:qFormat/>
    <w:uiPriority w:val="0"/>
    <w:pPr>
      <w:widowControl w:val="0"/>
      <w:jc w:val="both"/>
    </w:pPr>
    <w:rPr>
      <w:rFonts w:ascii="Calibri" w:hAnsi="Calibri"/>
      <w:kern w:val="2"/>
      <w:sz w:val="21"/>
      <w:lang w:eastAsia="zh-CN" w:bidi="ar-SA"/>
    </w:rPr>
  </w:style>
  <w:style w:type="paragraph" w:styleId="19">
    <w:name w:val="List Number"/>
    <w:basedOn w:val="1"/>
    <w:qFormat/>
    <w:uiPriority w:val="0"/>
    <w:pPr>
      <w:widowControl w:val="0"/>
      <w:tabs>
        <w:tab w:val="left" w:pos="360"/>
      </w:tabs>
      <w:jc w:val="both"/>
    </w:pPr>
    <w:rPr>
      <w:rFonts w:ascii="Calibri" w:hAnsi="Calibri"/>
      <w:kern w:val="2"/>
      <w:sz w:val="21"/>
      <w:lang w:eastAsia="zh-CN" w:bidi="ar-SA"/>
    </w:rPr>
  </w:style>
  <w:style w:type="paragraph" w:styleId="20">
    <w:name w:val="Normal Indent"/>
    <w:basedOn w:val="1"/>
    <w:next w:val="1"/>
    <w:link w:val="109"/>
    <w:qFormat/>
    <w:uiPriority w:val="0"/>
    <w:pPr>
      <w:ind w:firstLine="420"/>
    </w:pPr>
  </w:style>
  <w:style w:type="paragraph" w:styleId="21">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2">
    <w:name w:val="List Bullet"/>
    <w:basedOn w:val="1"/>
    <w:next w:val="1"/>
    <w:qFormat/>
    <w:uiPriority w:val="0"/>
    <w:pPr>
      <w:tabs>
        <w:tab w:val="left" w:pos="360"/>
      </w:tabs>
      <w:ind w:left="360" w:hanging="360" w:hangingChars="200"/>
    </w:pPr>
  </w:style>
  <w:style w:type="paragraph" w:styleId="23">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4">
    <w:name w:val="Document Map"/>
    <w:basedOn w:val="1"/>
    <w:next w:val="1"/>
    <w:link w:val="110"/>
    <w:qFormat/>
    <w:uiPriority w:val="0"/>
    <w:pPr>
      <w:shd w:val="clear" w:color="auto" w:fill="000080"/>
    </w:pPr>
    <w:rPr>
      <w:lang w:bidi="ar-SA"/>
    </w:rPr>
  </w:style>
  <w:style w:type="paragraph" w:styleId="25">
    <w:name w:val="toa heading"/>
    <w:basedOn w:val="1"/>
    <w:next w:val="1"/>
    <w:qFormat/>
    <w:uiPriority w:val="0"/>
    <w:pPr>
      <w:widowControl w:val="0"/>
      <w:spacing w:before="120"/>
      <w:jc w:val="both"/>
    </w:pPr>
    <w:rPr>
      <w:rFonts w:ascii="Arial" w:hAnsi="Arial" w:cs="Arial"/>
      <w:kern w:val="2"/>
      <w:lang w:eastAsia="zh-CN" w:bidi="ar-SA"/>
    </w:rPr>
  </w:style>
  <w:style w:type="paragraph" w:styleId="26">
    <w:name w:val="annotation text"/>
    <w:basedOn w:val="1"/>
    <w:next w:val="1"/>
    <w:link w:val="111"/>
    <w:qFormat/>
    <w:uiPriority w:val="0"/>
    <w:rPr>
      <w:lang w:bidi="ar-SA"/>
    </w:rPr>
  </w:style>
  <w:style w:type="paragraph" w:styleId="27">
    <w:name w:val="Salutation"/>
    <w:basedOn w:val="1"/>
    <w:next w:val="1"/>
    <w:link w:val="112"/>
    <w:qFormat/>
    <w:uiPriority w:val="0"/>
    <w:pPr>
      <w:widowControl w:val="0"/>
      <w:jc w:val="both"/>
    </w:pPr>
    <w:rPr>
      <w:rFonts w:ascii="Calibri" w:hAnsi="Calibri"/>
      <w:kern w:val="2"/>
      <w:sz w:val="21"/>
      <w:lang w:eastAsia="zh-CN" w:bidi="ar-SA"/>
    </w:rPr>
  </w:style>
  <w:style w:type="paragraph" w:styleId="28">
    <w:name w:val="Body Text 3"/>
    <w:basedOn w:val="1"/>
    <w:next w:val="1"/>
    <w:link w:val="113"/>
    <w:qFormat/>
    <w:uiPriority w:val="0"/>
    <w:pPr>
      <w:spacing w:after="120"/>
    </w:pPr>
    <w:rPr>
      <w:sz w:val="16"/>
      <w:szCs w:val="16"/>
      <w:lang w:bidi="ar-SA"/>
    </w:rPr>
  </w:style>
  <w:style w:type="paragraph" w:styleId="29">
    <w:name w:val="Closing"/>
    <w:basedOn w:val="1"/>
    <w:link w:val="114"/>
    <w:qFormat/>
    <w:uiPriority w:val="0"/>
    <w:pPr>
      <w:widowControl w:val="0"/>
      <w:ind w:left="100" w:leftChars="2100"/>
      <w:jc w:val="both"/>
    </w:pPr>
    <w:rPr>
      <w:rFonts w:ascii="Calibri" w:hAnsi="Calibri"/>
      <w:kern w:val="2"/>
      <w:sz w:val="21"/>
      <w:lang w:eastAsia="zh-CN" w:bidi="ar-SA"/>
    </w:rPr>
  </w:style>
  <w:style w:type="paragraph" w:styleId="30">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1">
    <w:name w:val="Body Text Indent"/>
    <w:basedOn w:val="1"/>
    <w:next w:val="1"/>
    <w:link w:val="116"/>
    <w:qFormat/>
    <w:uiPriority w:val="0"/>
    <w:pPr>
      <w:ind w:firstLine="630"/>
    </w:pPr>
    <w:rPr>
      <w:rFonts w:ascii="宋体"/>
      <w:sz w:val="20"/>
      <w:szCs w:val="20"/>
      <w:lang w:bidi="ar-SA"/>
    </w:rPr>
  </w:style>
  <w:style w:type="paragraph" w:styleId="32">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3">
    <w:name w:val="List 2"/>
    <w:basedOn w:val="1"/>
    <w:qFormat/>
    <w:uiPriority w:val="0"/>
    <w:pPr>
      <w:widowControl w:val="0"/>
      <w:jc w:val="center"/>
    </w:pPr>
    <w:rPr>
      <w:rFonts w:ascii="宋体" w:hAnsi="Calibri"/>
      <w:kern w:val="2"/>
      <w:szCs w:val="20"/>
      <w:lang w:eastAsia="zh-CN" w:bidi="ar-SA"/>
    </w:rPr>
  </w:style>
  <w:style w:type="paragraph" w:styleId="34">
    <w:name w:val="List Continue"/>
    <w:basedOn w:val="1"/>
    <w:qFormat/>
    <w:uiPriority w:val="0"/>
    <w:pPr>
      <w:widowControl w:val="0"/>
      <w:ind w:left="420" w:leftChars="200"/>
      <w:jc w:val="both"/>
    </w:pPr>
    <w:rPr>
      <w:rFonts w:ascii="Calibri" w:hAnsi="Calibri"/>
      <w:kern w:val="2"/>
      <w:sz w:val="21"/>
      <w:lang w:eastAsia="zh-CN" w:bidi="ar-SA"/>
    </w:rPr>
  </w:style>
  <w:style w:type="paragraph" w:styleId="35">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6">
    <w:name w:val="List Bullet 2"/>
    <w:basedOn w:val="22"/>
    <w:next w:val="1"/>
    <w:qFormat/>
    <w:uiPriority w:val="0"/>
    <w:pPr>
      <w:tabs>
        <w:tab w:val="left" w:pos="432"/>
        <w:tab w:val="clear" w:pos="360"/>
      </w:tabs>
      <w:spacing w:after="220" w:line="220" w:lineRule="atLeast"/>
      <w:ind w:left="2160" w:right="720" w:hanging="432" w:firstLineChars="0"/>
    </w:pPr>
  </w:style>
  <w:style w:type="paragraph" w:styleId="37">
    <w:name w:val="HTML Address"/>
    <w:basedOn w:val="1"/>
    <w:link w:val="117"/>
    <w:qFormat/>
    <w:uiPriority w:val="0"/>
    <w:pPr>
      <w:widowControl w:val="0"/>
      <w:jc w:val="both"/>
    </w:pPr>
    <w:rPr>
      <w:rFonts w:ascii="Calibri" w:hAnsi="Calibri"/>
      <w:i/>
      <w:iCs/>
      <w:kern w:val="2"/>
      <w:sz w:val="21"/>
      <w:lang w:eastAsia="zh-CN" w:bidi="ar-SA"/>
    </w:rPr>
  </w:style>
  <w:style w:type="paragraph" w:styleId="38">
    <w:name w:val="toc 5"/>
    <w:basedOn w:val="1"/>
    <w:next w:val="1"/>
    <w:qFormat/>
    <w:uiPriority w:val="39"/>
    <w:pPr>
      <w:ind w:left="840"/>
    </w:pPr>
    <w:rPr>
      <w:sz w:val="18"/>
      <w:szCs w:val="18"/>
    </w:rPr>
  </w:style>
  <w:style w:type="paragraph" w:styleId="39">
    <w:name w:val="toc 3"/>
    <w:basedOn w:val="1"/>
    <w:next w:val="1"/>
    <w:qFormat/>
    <w:uiPriority w:val="39"/>
    <w:pPr>
      <w:ind w:left="420"/>
    </w:pPr>
    <w:rPr>
      <w:iCs/>
      <w:sz w:val="20"/>
      <w:szCs w:val="20"/>
    </w:rPr>
  </w:style>
  <w:style w:type="paragraph" w:styleId="40">
    <w:name w:val="Plain Text"/>
    <w:basedOn w:val="1"/>
    <w:next w:val="1"/>
    <w:link w:val="118"/>
    <w:qFormat/>
    <w:uiPriority w:val="0"/>
    <w:rPr>
      <w:rFonts w:ascii="宋体" w:hAnsi="Courier New"/>
      <w:sz w:val="20"/>
      <w:szCs w:val="20"/>
      <w:lang w:bidi="ar-SA"/>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6"/>
    <w:next w:val="26"/>
    <w:link w:val="133"/>
    <w:qFormat/>
    <w:uiPriority w:val="0"/>
    <w:rPr>
      <w:b/>
      <w:bCs/>
    </w:rPr>
  </w:style>
  <w:style w:type="paragraph" w:styleId="76">
    <w:name w:val="Body Text First Indent"/>
    <w:basedOn w:val="2"/>
    <w:link w:val="134"/>
    <w:unhideWhenUsed/>
    <w:qFormat/>
    <w:uiPriority w:val="0"/>
    <w:pPr>
      <w:ind w:firstLine="420" w:firstLineChars="100"/>
    </w:pPr>
    <w:rPr>
      <w:lang w:bidi="en-US"/>
    </w:rPr>
  </w:style>
  <w:style w:type="paragraph" w:styleId="77">
    <w:name w:val="Body Text First Indent 2"/>
    <w:basedOn w:val="31"/>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宏文本 字符"/>
    <w:link w:val="3"/>
    <w:qFormat/>
    <w:uiPriority w:val="99"/>
    <w:rPr>
      <w:rFonts w:ascii="Courier New" w:hAnsi="Courier New"/>
      <w:kern w:val="2"/>
      <w:sz w:val="24"/>
      <w:szCs w:val="24"/>
    </w:rPr>
  </w:style>
  <w:style w:type="character" w:customStyle="1" w:styleId="98">
    <w:name w:val="标题 1 字符1"/>
    <w:link w:val="4"/>
    <w:qFormat/>
    <w:locked/>
    <w:uiPriority w:val="0"/>
    <w:rPr>
      <w:rFonts w:ascii="Cambria" w:hAnsi="Cambria" w:eastAsia="宋体" w:cs="Calibri"/>
      <w:b/>
      <w:bCs/>
      <w:kern w:val="32"/>
      <w:sz w:val="32"/>
      <w:szCs w:val="32"/>
    </w:rPr>
  </w:style>
  <w:style w:type="character" w:customStyle="1" w:styleId="99">
    <w:name w:val="标题 2 字符1"/>
    <w:link w:val="5"/>
    <w:qFormat/>
    <w:locked/>
    <w:uiPriority w:val="0"/>
    <w:rPr>
      <w:rFonts w:ascii="Cambria" w:hAnsi="Cambria" w:eastAsia="宋体"/>
      <w:b/>
      <w:bCs/>
      <w:i/>
      <w:iCs/>
      <w:sz w:val="28"/>
      <w:szCs w:val="28"/>
    </w:rPr>
  </w:style>
  <w:style w:type="character" w:customStyle="1" w:styleId="100">
    <w:name w:val="标题 3 字符1"/>
    <w:link w:val="6"/>
    <w:qFormat/>
    <w:locked/>
    <w:uiPriority w:val="0"/>
    <w:rPr>
      <w:rFonts w:ascii="Cambria" w:hAnsi="Cambria" w:eastAsia="宋体" w:cs="Calibri"/>
      <w:b/>
      <w:bCs/>
      <w:sz w:val="26"/>
      <w:szCs w:val="26"/>
    </w:rPr>
  </w:style>
  <w:style w:type="character" w:customStyle="1" w:styleId="101">
    <w:name w:val="标题 4 字符1"/>
    <w:link w:val="7"/>
    <w:qFormat/>
    <w:locked/>
    <w:uiPriority w:val="0"/>
    <w:rPr>
      <w:rFonts w:cs="Calibri"/>
      <w:b/>
      <w:bCs/>
      <w:sz w:val="28"/>
      <w:szCs w:val="28"/>
    </w:rPr>
  </w:style>
  <w:style w:type="character" w:customStyle="1" w:styleId="102">
    <w:name w:val="标题 5 字符1"/>
    <w:link w:val="8"/>
    <w:qFormat/>
    <w:locked/>
    <w:uiPriority w:val="0"/>
    <w:rPr>
      <w:rFonts w:cs="Calibri"/>
      <w:b/>
      <w:bCs/>
      <w:i/>
      <w:iCs/>
      <w:sz w:val="26"/>
      <w:szCs w:val="26"/>
    </w:rPr>
  </w:style>
  <w:style w:type="character" w:customStyle="1" w:styleId="103">
    <w:name w:val="标题 6 字符1"/>
    <w:link w:val="9"/>
    <w:qFormat/>
    <w:locked/>
    <w:uiPriority w:val="0"/>
    <w:rPr>
      <w:rFonts w:cs="Calibri"/>
      <w:b/>
      <w:bCs/>
    </w:rPr>
  </w:style>
  <w:style w:type="character" w:customStyle="1" w:styleId="104">
    <w:name w:val="标题 7 字符1"/>
    <w:link w:val="10"/>
    <w:qFormat/>
    <w:locked/>
    <w:uiPriority w:val="9"/>
    <w:rPr>
      <w:rFonts w:cs="Calibri"/>
      <w:sz w:val="24"/>
      <w:szCs w:val="24"/>
    </w:rPr>
  </w:style>
  <w:style w:type="character" w:customStyle="1" w:styleId="105">
    <w:name w:val="标题 8 字符1"/>
    <w:link w:val="11"/>
    <w:qFormat/>
    <w:locked/>
    <w:uiPriority w:val="9"/>
    <w:rPr>
      <w:rFonts w:cs="Calibri"/>
      <w:i/>
      <w:iCs/>
      <w:sz w:val="24"/>
      <w:szCs w:val="24"/>
    </w:rPr>
  </w:style>
  <w:style w:type="character" w:customStyle="1" w:styleId="106">
    <w:name w:val="标题 9 字符1"/>
    <w:link w:val="12"/>
    <w:qFormat/>
    <w:locked/>
    <w:uiPriority w:val="0"/>
    <w:rPr>
      <w:rFonts w:ascii="Cambria" w:hAnsi="Cambria" w:eastAsia="宋体" w:cs="Calibri"/>
    </w:rPr>
  </w:style>
  <w:style w:type="character" w:customStyle="1" w:styleId="107">
    <w:name w:val="注释标题 字符"/>
    <w:link w:val="16"/>
    <w:qFormat/>
    <w:uiPriority w:val="0"/>
    <w:rPr>
      <w:rFonts w:ascii="Calibri" w:hAnsi="Calibri" w:eastAsia="方正大标宋简体"/>
      <w:kern w:val="2"/>
      <w:sz w:val="24"/>
      <w:lang w:eastAsia="zh-TW"/>
    </w:rPr>
  </w:style>
  <w:style w:type="character" w:customStyle="1" w:styleId="108">
    <w:name w:val="电子邮件签名 字符"/>
    <w:link w:val="18"/>
    <w:qFormat/>
    <w:uiPriority w:val="0"/>
    <w:rPr>
      <w:rFonts w:ascii="Calibri" w:hAnsi="Calibri"/>
      <w:kern w:val="2"/>
      <w:sz w:val="21"/>
      <w:szCs w:val="24"/>
    </w:rPr>
  </w:style>
  <w:style w:type="character" w:customStyle="1" w:styleId="109">
    <w:name w:val="正文缩进 字符1"/>
    <w:link w:val="20"/>
    <w:qFormat/>
    <w:uiPriority w:val="0"/>
    <w:rPr>
      <w:sz w:val="24"/>
      <w:szCs w:val="24"/>
      <w:lang w:eastAsia="en-US" w:bidi="en-US"/>
    </w:rPr>
  </w:style>
  <w:style w:type="character" w:customStyle="1" w:styleId="110">
    <w:name w:val="文档结构图 字符1"/>
    <w:link w:val="24"/>
    <w:qFormat/>
    <w:locked/>
    <w:uiPriority w:val="0"/>
    <w:rPr>
      <w:rFonts w:ascii="Times New Roman" w:hAnsi="Times New Roman" w:eastAsia="宋体" w:cs="Times New Roman"/>
      <w:sz w:val="24"/>
      <w:szCs w:val="24"/>
      <w:shd w:val="clear" w:color="auto" w:fill="000080"/>
    </w:rPr>
  </w:style>
  <w:style w:type="character" w:customStyle="1" w:styleId="111">
    <w:name w:val="批注文字 字符2"/>
    <w:link w:val="26"/>
    <w:qFormat/>
    <w:locked/>
    <w:uiPriority w:val="0"/>
    <w:rPr>
      <w:rFonts w:ascii="Times New Roman" w:hAnsi="Times New Roman" w:eastAsia="宋体" w:cs="Times New Roman"/>
      <w:sz w:val="24"/>
      <w:szCs w:val="24"/>
    </w:rPr>
  </w:style>
  <w:style w:type="character" w:customStyle="1" w:styleId="112">
    <w:name w:val="称呼 字符"/>
    <w:link w:val="27"/>
    <w:qFormat/>
    <w:uiPriority w:val="0"/>
    <w:rPr>
      <w:rFonts w:ascii="Calibri" w:hAnsi="Calibri"/>
      <w:kern w:val="2"/>
      <w:sz w:val="21"/>
      <w:szCs w:val="24"/>
    </w:rPr>
  </w:style>
  <w:style w:type="character" w:customStyle="1" w:styleId="113">
    <w:name w:val="正文文本 3 字符1"/>
    <w:link w:val="28"/>
    <w:qFormat/>
    <w:locked/>
    <w:uiPriority w:val="99"/>
    <w:rPr>
      <w:rFonts w:ascii="Times New Roman" w:hAnsi="Times New Roman" w:eastAsia="宋体" w:cs="Times New Roman"/>
      <w:sz w:val="16"/>
      <w:szCs w:val="16"/>
    </w:rPr>
  </w:style>
  <w:style w:type="character" w:customStyle="1" w:styleId="114">
    <w:name w:val="结束语 字符"/>
    <w:link w:val="29"/>
    <w:qFormat/>
    <w:uiPriority w:val="0"/>
    <w:rPr>
      <w:rFonts w:ascii="Calibri" w:hAnsi="Calibri"/>
      <w:kern w:val="2"/>
      <w:sz w:val="21"/>
      <w:szCs w:val="24"/>
    </w:rPr>
  </w:style>
  <w:style w:type="character" w:customStyle="1" w:styleId="115">
    <w:name w:val="正文文本 字符1"/>
    <w:link w:val="2"/>
    <w:qFormat/>
    <w:locked/>
    <w:uiPriority w:val="99"/>
    <w:rPr>
      <w:rFonts w:ascii="Times New Roman" w:hAnsi="Times New Roman" w:eastAsia="宋体" w:cs="Times New Roman"/>
      <w:sz w:val="24"/>
      <w:szCs w:val="24"/>
    </w:rPr>
  </w:style>
  <w:style w:type="character" w:customStyle="1" w:styleId="116">
    <w:name w:val="正文文本缩进 字符1"/>
    <w:link w:val="31"/>
    <w:qFormat/>
    <w:locked/>
    <w:uiPriority w:val="0"/>
    <w:rPr>
      <w:rFonts w:ascii="宋体" w:hAnsi="Times New Roman" w:eastAsia="宋体" w:cs="宋体"/>
      <w:sz w:val="20"/>
      <w:szCs w:val="20"/>
    </w:rPr>
  </w:style>
  <w:style w:type="character" w:customStyle="1" w:styleId="117">
    <w:name w:val="HTML 地址 字符"/>
    <w:link w:val="37"/>
    <w:qFormat/>
    <w:uiPriority w:val="0"/>
    <w:rPr>
      <w:rFonts w:ascii="Calibri" w:hAnsi="Calibri"/>
      <w:i/>
      <w:iCs/>
      <w:kern w:val="2"/>
      <w:sz w:val="21"/>
      <w:szCs w:val="24"/>
    </w:rPr>
  </w:style>
  <w:style w:type="character" w:customStyle="1" w:styleId="118">
    <w:name w:val="纯文本 字符1"/>
    <w:link w:val="40"/>
    <w:qFormat/>
    <w:locked/>
    <w:uiPriority w:val="0"/>
    <w:rPr>
      <w:rFonts w:ascii="宋体" w:hAnsi="Courier New" w:eastAsia="宋体" w:cs="宋体"/>
      <w:sz w:val="20"/>
      <w:szCs w:val="20"/>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4"/>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next w:val="1"/>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4"/>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4"/>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4"/>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20"/>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5"/>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5"/>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5"/>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6"/>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4"/>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20"/>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40"/>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7"/>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4"/>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5"/>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6"/>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4"/>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6"/>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5"/>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2"/>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9"/>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20"/>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20"/>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6"/>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5"/>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5"/>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10"/>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5"/>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8"/>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7"/>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5"/>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7"/>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5"/>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20"/>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2"/>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7"/>
    <w:next w:val="7"/>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9"/>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7"/>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5"/>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6"/>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4"/>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5"/>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8"/>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4"/>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20"/>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4"/>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5"/>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4"/>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5"/>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5"/>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6"/>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40"/>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4"/>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2"/>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8"/>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4"/>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20"/>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20"/>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20"/>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2"/>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7"/>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6"/>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6"/>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4"/>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4"/>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7"/>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5"/>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8"/>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修订6"/>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270</Pages>
  <Words>172308</Words>
  <Characters>179455</Characters>
  <Lines>1417</Lines>
  <Paragraphs>399</Paragraphs>
  <TotalTime>41</TotalTime>
  <ScaleCrop>false</ScaleCrop>
  <LinksUpToDate>false</LinksUpToDate>
  <CharactersWithSpaces>182720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2025-09-01T16:26:00Z</dcterms:created>
  <dc:creator>wangshengxiang</dc:creator>
  <cp:lastModifiedBy>罗海庆</cp:lastModifiedBy>
  <cp:lastPrinted>2023-10-14T22:47:00Z</cp:lastPrinted>
  <dcterms:modified xsi:type="dcterms:W3CDTF">2025-10-11T04:11:36Z</dcterms:modified>
  <dc:title>SF-2019-0204</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763228E1F31D4C58BF2C34AE25E12FCC_13</vt:lpwstr>
  </property>
  <property fmtid="{D5CDD505-2E9C-101B-9397-08002B2CF9AE}" pid="4" name="KSOTemplateDocerSaveRecord">
    <vt:lpwstr>eyJoZGlkIjoiOTEyZTVkZjNhMWZiZjE2MGZjYWM5M2Y3NTMxMWJkYTkiLCJ1c2VySWQiOiIxNjAxMzk4MzY1In0=</vt:lpwstr>
  </property>
</Properties>
</file>