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46AFC">
      <w:pPr>
        <w:pStyle w:val="34"/>
        <w:spacing w:line="640" w:lineRule="exact"/>
        <w:ind w:firstLine="4467" w:firstLineChars="1854"/>
        <w:rPr>
          <w:rFonts w:ascii="宋体"/>
          <w:color w:val="auto"/>
          <w:sz w:val="32"/>
          <w:szCs w:val="32"/>
          <w:highlight w:val="none"/>
        </w:rPr>
      </w:pPr>
      <w:bookmarkStart w:id="4" w:name="_GoBack"/>
      <w:bookmarkEnd w:id="4"/>
      <w:r>
        <w:rPr>
          <w:rFonts w:ascii="宋体" w:cs="宋体"/>
          <w:b/>
          <w:bCs/>
          <w:color w:val="auto"/>
          <w:highlight w:val="none"/>
        </w:rPr>
        <w:t xml:space="preserve">                                     </w:t>
      </w:r>
    </w:p>
    <w:p w14:paraId="47CC2D44">
      <w:pPr>
        <w:pStyle w:val="34"/>
        <w:spacing w:line="640" w:lineRule="exact"/>
        <w:ind w:firstLine="5932" w:firstLineChars="1854"/>
        <w:rPr>
          <w:rFonts w:ascii="宋体"/>
          <w:color w:val="auto"/>
          <w:sz w:val="32"/>
          <w:szCs w:val="32"/>
          <w:highlight w:val="none"/>
        </w:rPr>
      </w:pPr>
      <w:r>
        <w:rPr>
          <w:rFonts w:hint="eastAsia" w:ascii="宋体" w:cs="华文中宋"/>
          <w:color w:val="auto"/>
          <w:sz w:val="32"/>
          <w:szCs w:val="32"/>
          <w:highlight w:val="none"/>
        </w:rPr>
        <w:t>合同编号：</w:t>
      </w:r>
      <w:r>
        <w:rPr>
          <w:rFonts w:ascii="宋体" w:cs="华文中宋"/>
          <w:color w:val="auto"/>
          <w:sz w:val="32"/>
          <w:szCs w:val="32"/>
          <w:highlight w:val="none"/>
          <w:u w:val="single"/>
        </w:rPr>
        <w:t xml:space="preserve">            </w:t>
      </w:r>
    </w:p>
    <w:p w14:paraId="6A26782E">
      <w:pPr>
        <w:spacing w:line="360" w:lineRule="auto"/>
        <w:rPr>
          <w:rFonts w:ascii="华文中宋" w:eastAsia="华文中宋"/>
          <w:b/>
          <w:bCs/>
          <w:sz w:val="48"/>
          <w:szCs w:val="48"/>
          <w:highlight w:val="none"/>
        </w:rPr>
      </w:pPr>
    </w:p>
    <w:p w14:paraId="25538CF2">
      <w:pPr>
        <w:spacing w:line="360" w:lineRule="auto"/>
        <w:jc w:val="center"/>
        <w:rPr>
          <w:rFonts w:ascii="宋体"/>
          <w:b/>
          <w:bCs/>
          <w:sz w:val="52"/>
          <w:szCs w:val="52"/>
          <w:highlight w:val="none"/>
        </w:rPr>
      </w:pPr>
      <w:r>
        <w:rPr>
          <w:rFonts w:hint="eastAsia" w:ascii="宋体" w:cs="华文中宋"/>
          <w:b/>
          <w:bCs/>
          <w:sz w:val="52"/>
          <w:szCs w:val="52"/>
          <w:highlight w:val="none"/>
        </w:rPr>
        <w:t>建设工程监理合同</w:t>
      </w:r>
    </w:p>
    <w:p w14:paraId="52CD7956">
      <w:pPr>
        <w:spacing w:line="360" w:lineRule="auto"/>
        <w:jc w:val="center"/>
        <w:rPr>
          <w:rFonts w:ascii="仿宋_GB2312" w:eastAsia="仿宋_GB2312"/>
          <w:b/>
          <w:bCs/>
          <w:sz w:val="11"/>
          <w:szCs w:val="11"/>
          <w:highlight w:val="none"/>
        </w:rPr>
      </w:pPr>
    </w:p>
    <w:p w14:paraId="2F87F1B2">
      <w:pPr>
        <w:spacing w:line="360" w:lineRule="auto"/>
        <w:jc w:val="center"/>
        <w:rPr>
          <w:rFonts w:ascii="仿宋_GB2312" w:eastAsia="仿宋_GB2312"/>
          <w:b/>
          <w:bCs/>
          <w:sz w:val="24"/>
          <w:highlight w:val="none"/>
        </w:rPr>
      </w:pPr>
    </w:p>
    <w:p w14:paraId="33F101D7">
      <w:pPr>
        <w:spacing w:line="360" w:lineRule="auto"/>
        <w:jc w:val="center"/>
        <w:rPr>
          <w:rFonts w:ascii="仿宋_GB2312" w:eastAsia="仿宋_GB2312"/>
          <w:b/>
          <w:bCs/>
          <w:sz w:val="24"/>
          <w:highlight w:val="none"/>
        </w:rPr>
      </w:pPr>
    </w:p>
    <w:p w14:paraId="1BA4956C">
      <w:pPr>
        <w:spacing w:line="640" w:lineRule="exact"/>
        <w:ind w:left="1978" w:leftChars="256" w:hanging="1440" w:hangingChars="450"/>
        <w:rPr>
          <w:rFonts w:ascii="宋体" w:cs="仿宋"/>
          <w:sz w:val="32"/>
          <w:szCs w:val="32"/>
          <w:highlight w:val="none"/>
          <w:u w:val="single"/>
        </w:rPr>
      </w:pPr>
      <w:r>
        <w:rPr>
          <w:rFonts w:hint="eastAsia" w:ascii="宋体" w:cs="仿宋"/>
          <w:sz w:val="32"/>
          <w:szCs w:val="32"/>
          <w:highlight w:val="none"/>
        </w:rPr>
        <w:t>工程名称：</w:t>
      </w:r>
      <w:r>
        <w:rPr>
          <w:rFonts w:hint="eastAsia" w:ascii="宋体" w:cs="仿宋"/>
          <w:sz w:val="32"/>
          <w:szCs w:val="32"/>
          <w:highlight w:val="none"/>
          <w:u w:val="single"/>
        </w:rPr>
        <w:t>广州市黄埔区南岗街南岗社区亨元、柯庄片区城中村改造项目复建地块12建设项目施工监理</w:t>
      </w:r>
      <w:r>
        <w:rPr>
          <w:rFonts w:ascii="宋体" w:cs="仿宋"/>
          <w:sz w:val="32"/>
          <w:szCs w:val="32"/>
          <w:highlight w:val="none"/>
          <w:u w:val="single"/>
        </w:rPr>
        <w:t xml:space="preserve">                                          </w:t>
      </w:r>
    </w:p>
    <w:p w14:paraId="0307CC5A">
      <w:pPr>
        <w:spacing w:line="640" w:lineRule="exact"/>
        <w:ind w:left="2033" w:leftChars="229" w:hanging="1552" w:hangingChars="485"/>
        <w:rPr>
          <w:rFonts w:ascii="宋体" w:cs="仿宋"/>
          <w:sz w:val="32"/>
          <w:szCs w:val="32"/>
          <w:highlight w:val="none"/>
        </w:rPr>
      </w:pPr>
      <w:r>
        <w:rPr>
          <w:rFonts w:hint="eastAsia" w:ascii="宋体" w:cs="仿宋"/>
          <w:sz w:val="32"/>
          <w:szCs w:val="32"/>
          <w:highlight w:val="none"/>
        </w:rPr>
        <w:t>工程地点：</w:t>
      </w:r>
      <w:r>
        <w:rPr>
          <w:rFonts w:ascii="宋体" w:cs="仿宋"/>
          <w:sz w:val="32"/>
          <w:szCs w:val="32"/>
          <w:highlight w:val="none"/>
          <w:u w:val="single"/>
        </w:rPr>
        <w:t xml:space="preserve"> </w:t>
      </w:r>
      <w:r>
        <w:rPr>
          <w:rFonts w:hint="eastAsia" w:ascii="宋体" w:cs="仿宋"/>
          <w:sz w:val="32"/>
          <w:szCs w:val="32"/>
          <w:highlight w:val="none"/>
          <w:u w:val="single"/>
        </w:rPr>
        <w:t>广州市黄埔区</w:t>
      </w:r>
      <w:r>
        <w:rPr>
          <w:rFonts w:hint="eastAsia" w:ascii="宋体" w:cs="仿宋"/>
          <w:sz w:val="32"/>
          <w:szCs w:val="32"/>
          <w:highlight w:val="none"/>
          <w:u w:val="single"/>
          <w:lang w:val="en-US" w:eastAsia="zh-CN"/>
        </w:rPr>
        <w:t>南岗街南岗社区亨元、柯庄片区</w:t>
      </w:r>
      <w:r>
        <w:rPr>
          <w:rFonts w:ascii="宋体" w:cs="仿宋"/>
          <w:sz w:val="32"/>
          <w:szCs w:val="32"/>
          <w:highlight w:val="none"/>
          <w:u w:val="single"/>
        </w:rPr>
        <w:t xml:space="preserve">                                                 </w:t>
      </w:r>
      <w:r>
        <w:rPr>
          <w:rFonts w:ascii="宋体" w:cs="仿宋"/>
          <w:sz w:val="32"/>
          <w:szCs w:val="32"/>
          <w:highlight w:val="none"/>
        </w:rPr>
        <w:t xml:space="preserve">                                                 </w:t>
      </w:r>
    </w:p>
    <w:p w14:paraId="3F4FE516">
      <w:pPr>
        <w:spacing w:line="640" w:lineRule="exact"/>
        <w:ind w:firstLine="480" w:firstLineChars="150"/>
        <w:rPr>
          <w:rFonts w:ascii="宋体"/>
          <w:sz w:val="32"/>
          <w:szCs w:val="32"/>
          <w:highlight w:val="none"/>
        </w:rPr>
      </w:pPr>
      <w:r>
        <w:rPr>
          <w:rFonts w:hint="eastAsia" w:ascii="宋体" w:cs="仿宋"/>
          <w:sz w:val="32"/>
          <w:szCs w:val="32"/>
          <w:highlight w:val="none"/>
        </w:rPr>
        <w:t>发</w:t>
      </w:r>
      <w:r>
        <w:rPr>
          <w:rFonts w:ascii="宋体" w:cs="仿宋"/>
          <w:sz w:val="32"/>
          <w:szCs w:val="32"/>
          <w:highlight w:val="none"/>
        </w:rPr>
        <w:t xml:space="preserve"> </w:t>
      </w:r>
      <w:r>
        <w:rPr>
          <w:rFonts w:hint="eastAsia" w:ascii="宋体" w:cs="仿宋"/>
          <w:sz w:val="32"/>
          <w:szCs w:val="32"/>
          <w:highlight w:val="none"/>
        </w:rPr>
        <w:t>包</w:t>
      </w:r>
      <w:r>
        <w:rPr>
          <w:rFonts w:ascii="宋体" w:cs="仿宋"/>
          <w:sz w:val="32"/>
          <w:szCs w:val="32"/>
          <w:highlight w:val="none"/>
        </w:rPr>
        <w:t xml:space="preserve"> </w:t>
      </w:r>
      <w:r>
        <w:rPr>
          <w:rFonts w:hint="eastAsia" w:ascii="宋体" w:cs="仿宋"/>
          <w:sz w:val="32"/>
          <w:szCs w:val="32"/>
          <w:highlight w:val="none"/>
        </w:rPr>
        <w:t>人：</w:t>
      </w:r>
      <w:r>
        <w:rPr>
          <w:rFonts w:ascii="宋体" w:cs="仿宋"/>
          <w:sz w:val="32"/>
          <w:szCs w:val="32"/>
          <w:highlight w:val="none"/>
          <w:u w:val="single"/>
        </w:rPr>
        <w:t xml:space="preserve"> </w:t>
      </w:r>
      <w:r>
        <w:rPr>
          <w:rFonts w:hint="eastAsia" w:ascii="宋体" w:cs="仿宋"/>
          <w:sz w:val="32"/>
          <w:szCs w:val="32"/>
          <w:highlight w:val="none"/>
          <w:u w:val="single"/>
        </w:rPr>
        <w:t>科学城（广州）城市更新集团有限公司</w:t>
      </w:r>
      <w:r>
        <w:rPr>
          <w:rFonts w:ascii="宋体" w:cs="仿宋"/>
          <w:sz w:val="32"/>
          <w:szCs w:val="32"/>
          <w:highlight w:val="none"/>
          <w:u w:val="single"/>
        </w:rPr>
        <w:t xml:space="preserve">                                             </w:t>
      </w:r>
    </w:p>
    <w:p w14:paraId="742D045D">
      <w:pPr>
        <w:spacing w:line="640" w:lineRule="exact"/>
        <w:ind w:firstLine="480" w:firstLineChars="150"/>
        <w:rPr>
          <w:rFonts w:ascii="宋体" w:cs="仿宋"/>
          <w:sz w:val="32"/>
          <w:szCs w:val="32"/>
          <w:highlight w:val="none"/>
          <w:u w:val="single"/>
        </w:rPr>
      </w:pPr>
      <w:r>
        <w:rPr>
          <w:rFonts w:hint="eastAsia" w:ascii="宋体" w:cs="仿宋"/>
          <w:sz w:val="32"/>
          <w:szCs w:val="32"/>
          <w:highlight w:val="none"/>
        </w:rPr>
        <w:t>监</w:t>
      </w:r>
      <w:r>
        <w:rPr>
          <w:rFonts w:ascii="宋体" w:cs="仿宋"/>
          <w:sz w:val="32"/>
          <w:szCs w:val="32"/>
          <w:highlight w:val="none"/>
        </w:rPr>
        <w:t xml:space="preserve"> </w:t>
      </w:r>
      <w:r>
        <w:rPr>
          <w:rFonts w:hint="eastAsia" w:ascii="宋体" w:cs="仿宋"/>
          <w:sz w:val="32"/>
          <w:szCs w:val="32"/>
          <w:highlight w:val="none"/>
        </w:rPr>
        <w:t>理</w:t>
      </w:r>
      <w:r>
        <w:rPr>
          <w:rFonts w:ascii="宋体" w:cs="仿宋"/>
          <w:sz w:val="32"/>
          <w:szCs w:val="32"/>
          <w:highlight w:val="none"/>
        </w:rPr>
        <w:t xml:space="preserve"> </w:t>
      </w:r>
      <w:r>
        <w:rPr>
          <w:rFonts w:hint="eastAsia" w:ascii="宋体" w:cs="仿宋"/>
          <w:sz w:val="32"/>
          <w:szCs w:val="32"/>
          <w:highlight w:val="none"/>
        </w:rPr>
        <w:t>人：</w:t>
      </w:r>
      <w:r>
        <w:rPr>
          <w:rFonts w:ascii="宋体" w:cs="仿宋"/>
          <w:sz w:val="32"/>
          <w:szCs w:val="32"/>
          <w:highlight w:val="none"/>
          <w:u w:val="single"/>
        </w:rPr>
        <w:t xml:space="preserve">                                             </w:t>
      </w:r>
    </w:p>
    <w:p w14:paraId="4A22663B">
      <w:pPr>
        <w:spacing w:line="640" w:lineRule="exact"/>
        <w:ind w:firstLine="480" w:firstLineChars="150"/>
        <w:rPr>
          <w:rFonts w:hint="eastAsia" w:ascii="宋体" w:eastAsia="宋体" w:cs="仿宋"/>
          <w:sz w:val="32"/>
          <w:szCs w:val="32"/>
          <w:highlight w:val="none"/>
        </w:rPr>
      </w:pPr>
      <w:r>
        <w:rPr>
          <w:rFonts w:hint="eastAsia" w:ascii="宋体" w:cs="仿宋"/>
          <w:sz w:val="32"/>
          <w:szCs w:val="32"/>
          <w:highlight w:val="none"/>
        </w:rPr>
        <w:t>项目管理公司：广州科城亨元柯庄投资运营有限公司</w:t>
      </w:r>
    </w:p>
    <w:p w14:paraId="254F4439">
      <w:pPr>
        <w:spacing w:line="640" w:lineRule="exact"/>
        <w:ind w:firstLine="480" w:firstLineChars="150"/>
        <w:rPr>
          <w:rFonts w:ascii="宋体" w:cs="仿宋"/>
          <w:sz w:val="32"/>
          <w:szCs w:val="32"/>
          <w:highlight w:val="none"/>
          <w:u w:val="single"/>
        </w:rPr>
      </w:pPr>
      <w:r>
        <w:rPr>
          <w:rFonts w:hint="eastAsia" w:ascii="宋体" w:cs="仿宋"/>
          <w:sz w:val="32"/>
          <w:szCs w:val="32"/>
          <w:highlight w:val="none"/>
        </w:rPr>
        <w:t>签订时间：</w:t>
      </w:r>
      <w:r>
        <w:rPr>
          <w:rFonts w:hint="eastAsia" w:ascii="宋体" w:cs="仿宋"/>
          <w:sz w:val="32"/>
          <w:szCs w:val="32"/>
          <w:highlight w:val="none"/>
          <w:u w:val="single"/>
        </w:rPr>
        <w:t xml:space="preserve">    年    月    日</w:t>
      </w:r>
    </w:p>
    <w:p w14:paraId="4014B36C">
      <w:pPr>
        <w:spacing w:line="640" w:lineRule="exact"/>
        <w:ind w:firstLine="480" w:firstLineChars="150"/>
        <w:rPr>
          <w:rFonts w:ascii="宋体" w:cs="仿宋"/>
          <w:sz w:val="32"/>
          <w:szCs w:val="32"/>
          <w:highlight w:val="none"/>
          <w:u w:val="single"/>
        </w:rPr>
      </w:pPr>
      <w:r>
        <w:rPr>
          <w:rFonts w:hint="eastAsia" w:ascii="宋体" w:cs="仿宋"/>
          <w:sz w:val="32"/>
          <w:szCs w:val="32"/>
          <w:highlight w:val="none"/>
        </w:rPr>
        <w:t>签订地点：</w:t>
      </w:r>
      <w:r>
        <w:rPr>
          <w:rFonts w:hint="eastAsia" w:ascii="宋体" w:cs="仿宋"/>
          <w:sz w:val="32"/>
          <w:szCs w:val="32"/>
          <w:highlight w:val="none"/>
          <w:u w:val="single"/>
        </w:rPr>
        <w:t>广东省广州市黄埔区</w:t>
      </w:r>
    </w:p>
    <w:p w14:paraId="49179956">
      <w:pPr>
        <w:rPr>
          <w:rFonts w:ascii="宋体" w:cs="仿宋"/>
          <w:sz w:val="32"/>
          <w:szCs w:val="32"/>
          <w:highlight w:val="none"/>
        </w:rPr>
      </w:pPr>
      <w:r>
        <w:rPr>
          <w:rFonts w:ascii="宋体" w:cs="仿宋"/>
          <w:sz w:val="32"/>
          <w:szCs w:val="32"/>
          <w:highlight w:val="none"/>
        </w:rPr>
        <w:br w:type="page"/>
      </w:r>
    </w:p>
    <w:p w14:paraId="7F9765F3">
      <w:pPr>
        <w:pStyle w:val="2"/>
        <w:adjustRightInd w:val="0"/>
        <w:snapToGrid w:val="0"/>
        <w:spacing w:before="0" w:after="0" w:line="360" w:lineRule="auto"/>
        <w:ind w:firstLine="723" w:firstLineChars="200"/>
        <w:jc w:val="center"/>
        <w:rPr>
          <w:rFonts w:ascii="宋体" w:cs="宋体"/>
          <w:snapToGrid w:val="0"/>
          <w:kern w:val="0"/>
          <w:sz w:val="36"/>
          <w:szCs w:val="36"/>
          <w:highlight w:val="none"/>
        </w:rPr>
      </w:pPr>
      <w:r>
        <w:rPr>
          <w:rFonts w:hint="eastAsia" w:ascii="宋体" w:cs="宋体"/>
          <w:bCs/>
          <w:snapToGrid w:val="0"/>
          <w:kern w:val="2"/>
          <w:sz w:val="36"/>
          <w:szCs w:val="36"/>
          <w:highlight w:val="none"/>
        </w:rPr>
        <w:t>第一章</w:t>
      </w:r>
      <w:r>
        <w:rPr>
          <w:rFonts w:ascii="宋体" w:cs="宋体"/>
          <w:bCs/>
          <w:snapToGrid w:val="0"/>
          <w:kern w:val="2"/>
          <w:sz w:val="36"/>
          <w:szCs w:val="36"/>
          <w:highlight w:val="none"/>
        </w:rPr>
        <w:t xml:space="preserve">  </w:t>
      </w:r>
      <w:r>
        <w:rPr>
          <w:rFonts w:hint="eastAsia" w:ascii="宋体" w:cs="宋体"/>
          <w:bCs/>
          <w:snapToGrid w:val="0"/>
          <w:kern w:val="2"/>
          <w:sz w:val="36"/>
          <w:szCs w:val="36"/>
          <w:highlight w:val="none"/>
        </w:rPr>
        <w:t>协议书</w:t>
      </w:r>
    </w:p>
    <w:p w14:paraId="61418FCA">
      <w:pPr>
        <w:adjustRightInd w:val="0"/>
        <w:snapToGrid w:val="0"/>
        <w:spacing w:line="360" w:lineRule="auto"/>
        <w:ind w:firstLine="480" w:firstLineChars="200"/>
        <w:rPr>
          <w:rFonts w:ascii="宋体" w:cs="宋体"/>
          <w:snapToGrid w:val="0"/>
          <w:kern w:val="0"/>
          <w:sz w:val="24"/>
          <w:highlight w:val="none"/>
        </w:rPr>
      </w:pPr>
      <w:r>
        <w:rPr>
          <w:rFonts w:ascii="宋体" w:cs="宋体"/>
          <w:snapToGrid w:val="0"/>
          <w:kern w:val="0"/>
          <w:sz w:val="24"/>
          <w:highlight w:val="none"/>
          <w:u w:val="single"/>
        </w:rPr>
        <w:t xml:space="preserve">   </w:t>
      </w:r>
      <w:r>
        <w:rPr>
          <w:rFonts w:hint="eastAsia" w:ascii="宋体" w:cs="宋体"/>
          <w:snapToGrid w:val="0"/>
          <w:kern w:val="0"/>
          <w:sz w:val="24"/>
          <w:highlight w:val="none"/>
          <w:u w:val="single"/>
        </w:rPr>
        <w:t>科学城（广州）城市更新集团有限公司</w:t>
      </w:r>
      <w:r>
        <w:rPr>
          <w:rFonts w:ascii="宋体" w:cs="宋体"/>
          <w:snapToGrid w:val="0"/>
          <w:kern w:val="0"/>
          <w:sz w:val="24"/>
          <w:highlight w:val="none"/>
          <w:u w:val="single"/>
        </w:rPr>
        <w:t xml:space="preserve">  </w:t>
      </w:r>
      <w:r>
        <w:rPr>
          <w:rFonts w:hint="eastAsia" w:ascii="宋体" w:cs="宋体"/>
          <w:snapToGrid w:val="0"/>
          <w:kern w:val="0"/>
          <w:sz w:val="24"/>
          <w:highlight w:val="none"/>
        </w:rPr>
        <w:t>（以下称发包人或甲方）与</w:t>
      </w:r>
      <w:r>
        <w:rPr>
          <w:rFonts w:ascii="宋体" w:cs="宋体"/>
          <w:b/>
          <w:snapToGrid w:val="0"/>
          <w:kern w:val="0"/>
          <w:sz w:val="24"/>
          <w:highlight w:val="none"/>
          <w:u w:val="single"/>
        </w:rPr>
        <w:t xml:space="preserve">         </w:t>
      </w:r>
      <w:r>
        <w:rPr>
          <w:rFonts w:hint="eastAsia" w:ascii="宋体" w:cs="宋体"/>
          <w:snapToGrid w:val="0"/>
          <w:kern w:val="0"/>
          <w:sz w:val="24"/>
          <w:highlight w:val="none"/>
        </w:rPr>
        <w:t>（以下称监理人或乙方）、</w:t>
      </w:r>
      <w:r>
        <w:rPr>
          <w:rFonts w:ascii="宋体" w:cs="宋体"/>
          <w:b/>
          <w:snapToGrid w:val="0"/>
          <w:kern w:val="0"/>
          <w:sz w:val="24"/>
          <w:highlight w:val="none"/>
          <w:u w:val="single"/>
        </w:rPr>
        <w:t xml:space="preserve">       </w:t>
      </w:r>
      <w:r>
        <w:rPr>
          <w:rFonts w:hint="eastAsia" w:ascii="宋体" w:cs="宋体"/>
          <w:snapToGrid w:val="0"/>
          <w:kern w:val="0"/>
          <w:sz w:val="24"/>
          <w:highlight w:val="none"/>
        </w:rPr>
        <w:t>（以下称项目管理公司或丙方）</w:t>
      </w:r>
      <w:r>
        <w:rPr>
          <w:rFonts w:ascii="宋体" w:cs="宋体"/>
          <w:b/>
          <w:snapToGrid w:val="0"/>
          <w:kern w:val="0"/>
          <w:sz w:val="24"/>
          <w:highlight w:val="none"/>
          <w:u w:val="single"/>
        </w:rPr>
        <w:t xml:space="preserve"> </w:t>
      </w:r>
      <w:r>
        <w:rPr>
          <w:rFonts w:hint="eastAsia" w:ascii="宋体" w:cs="宋体"/>
          <w:snapToGrid w:val="0"/>
          <w:kern w:val="0"/>
          <w:sz w:val="24"/>
          <w:highlight w:val="none"/>
        </w:rPr>
        <w:t>依照《中华人民共和国民法典》、《中华人民共和国建筑法》及其他有关法律、行政法规、部门规章、地方性法规和规章，遵循平等、自愿、公平和诚实信用的原则，各方就</w:t>
      </w:r>
      <w:r>
        <w:rPr>
          <w:rFonts w:ascii="宋体" w:cs="宋体"/>
          <w:snapToGrid w:val="0"/>
          <w:kern w:val="0"/>
          <w:sz w:val="24"/>
          <w:highlight w:val="none"/>
          <w:u w:val="single"/>
        </w:rPr>
        <w:t xml:space="preserve"> </w:t>
      </w:r>
      <w:r>
        <w:rPr>
          <w:rFonts w:hint="eastAsia" w:ascii="宋体" w:cs="宋体"/>
          <w:snapToGrid w:val="0"/>
          <w:kern w:val="0"/>
          <w:sz w:val="24"/>
          <w:highlight w:val="none"/>
          <w:u w:val="single"/>
        </w:rPr>
        <w:t>广州市黄埔区南岗街南岗社区亨元、柯庄片区城中村改造项目复建地块12建设项目施工</w:t>
      </w:r>
      <w:r>
        <w:rPr>
          <w:rFonts w:ascii="宋体" w:cs="宋体"/>
          <w:snapToGrid w:val="0"/>
          <w:kern w:val="0"/>
          <w:sz w:val="24"/>
          <w:highlight w:val="none"/>
          <w:u w:val="single"/>
        </w:rPr>
        <w:t xml:space="preserve">   </w:t>
      </w:r>
      <w:r>
        <w:rPr>
          <w:rFonts w:hint="eastAsia" w:ascii="宋体" w:cs="宋体"/>
          <w:snapToGrid w:val="0"/>
          <w:kern w:val="0"/>
          <w:sz w:val="24"/>
          <w:highlight w:val="none"/>
        </w:rPr>
        <w:t>工程委托监理事宜协商一致，订立本合同。</w:t>
      </w:r>
    </w:p>
    <w:p w14:paraId="6400D45E">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一、监理工程概况</w:t>
      </w:r>
    </w:p>
    <w:p w14:paraId="70D67C51">
      <w:pPr>
        <w:adjustRightInd w:val="0"/>
        <w:snapToGrid w:val="0"/>
        <w:spacing w:line="360" w:lineRule="auto"/>
        <w:ind w:firstLine="480" w:firstLineChars="200"/>
        <w:rPr>
          <w:rFonts w:ascii="宋体" w:cs="宋体"/>
          <w:kern w:val="0"/>
          <w:sz w:val="24"/>
          <w:highlight w:val="none"/>
          <w:u w:val="single"/>
        </w:rPr>
      </w:pPr>
      <w:r>
        <w:rPr>
          <w:rFonts w:hint="eastAsia" w:ascii="宋体" w:cs="宋体"/>
          <w:snapToGrid w:val="0"/>
          <w:kern w:val="0"/>
          <w:sz w:val="24"/>
          <w:highlight w:val="none"/>
        </w:rPr>
        <w:t>（1）工程名称：</w:t>
      </w:r>
      <w:r>
        <w:rPr>
          <w:rFonts w:ascii="宋体" w:cs="宋体"/>
          <w:kern w:val="0"/>
          <w:sz w:val="24"/>
          <w:highlight w:val="none"/>
          <w:u w:val="single"/>
        </w:rPr>
        <w:t xml:space="preserve"> </w:t>
      </w:r>
      <w:r>
        <w:rPr>
          <w:rFonts w:hint="eastAsia" w:ascii="宋体" w:cs="宋体"/>
          <w:kern w:val="0"/>
          <w:sz w:val="24"/>
          <w:highlight w:val="none"/>
          <w:u w:val="single"/>
        </w:rPr>
        <w:t>广州市黄埔区南岗街南岗社区亨元、柯庄片区城中村改造项目复建地块12建设项目施工监理</w:t>
      </w:r>
      <w:r>
        <w:rPr>
          <w:rFonts w:ascii="宋体" w:cs="宋体"/>
          <w:kern w:val="0"/>
          <w:sz w:val="24"/>
          <w:highlight w:val="none"/>
          <w:u w:val="single"/>
        </w:rPr>
        <w:t xml:space="preserve">  </w:t>
      </w:r>
    </w:p>
    <w:p w14:paraId="5ECBF724">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（2）工程地点：</w:t>
      </w:r>
      <w:r>
        <w:rPr>
          <w:rFonts w:ascii="宋体" w:cs="宋体"/>
          <w:kern w:val="0"/>
          <w:sz w:val="24"/>
          <w:highlight w:val="none"/>
          <w:u w:val="single"/>
        </w:rPr>
        <w:t xml:space="preserve"> </w:t>
      </w:r>
      <w:r>
        <w:rPr>
          <w:rFonts w:hint="eastAsia" w:ascii="宋体" w:cs="宋体"/>
          <w:kern w:val="0"/>
          <w:sz w:val="24"/>
          <w:highlight w:val="none"/>
          <w:u w:val="single"/>
        </w:rPr>
        <w:t>广州市黄埔区</w:t>
      </w:r>
      <w:r>
        <w:rPr>
          <w:rFonts w:hint="eastAsia" w:ascii="宋体" w:cs="宋体"/>
          <w:kern w:val="0"/>
          <w:sz w:val="24"/>
          <w:highlight w:val="none"/>
          <w:u w:val="single"/>
          <w:lang w:val="en-US" w:eastAsia="zh-CN"/>
        </w:rPr>
        <w:t>南岗街南岗社区亨元、柯庄</w:t>
      </w:r>
      <w:r>
        <w:rPr>
          <w:rFonts w:hint="eastAsia" w:ascii="宋体" w:cs="宋体"/>
          <w:kern w:val="0"/>
          <w:sz w:val="24"/>
          <w:highlight w:val="none"/>
          <w:u w:val="single"/>
        </w:rPr>
        <w:t>片区</w:t>
      </w:r>
    </w:p>
    <w:p w14:paraId="591FB5E6">
      <w:pPr>
        <w:pStyle w:val="35"/>
        <w:spacing w:line="500" w:lineRule="exact"/>
        <w:ind w:firstLine="480" w:firstLineChars="200"/>
        <w:rPr>
          <w:rFonts w:ascii="宋体"/>
          <w:bCs/>
          <w:sz w:val="24"/>
          <w:highlight w:val="none"/>
          <w:u w:val="single"/>
        </w:rPr>
      </w:pPr>
      <w:r>
        <w:rPr>
          <w:rFonts w:hint="eastAsia" w:ascii="宋体" w:cs="宋体"/>
          <w:snapToGrid w:val="0"/>
          <w:kern w:val="0"/>
          <w:sz w:val="24"/>
          <w:highlight w:val="none"/>
        </w:rPr>
        <w:t>（3）工程规模：</w:t>
      </w:r>
      <w:r>
        <w:rPr>
          <w:rFonts w:hint="eastAsia" w:ascii="宋体"/>
          <w:sz w:val="24"/>
          <w:highlight w:val="none"/>
        </w:rPr>
        <w:t>广州市黄埔区南岗街南岗社区亨元、柯庄片区城中村改造项目复建地块12建设项目位于广州市黄埔区南岗街南岗社区亨元、柯庄片区，项目建筑面积暂定约</w:t>
      </w:r>
      <w:r>
        <w:rPr>
          <w:rFonts w:hint="eastAsia" w:ascii="宋体"/>
          <w:sz w:val="24"/>
          <w:highlight w:val="none"/>
          <w:lang w:val="en-US"/>
        </w:rPr>
        <w:t>134272</w:t>
      </w:r>
      <w:r>
        <w:rPr>
          <w:rFonts w:hint="eastAsia" w:ascii="宋体"/>
          <w:sz w:val="24"/>
          <w:highlight w:val="none"/>
        </w:rPr>
        <w:t>㎡，用地面积约20865㎡，地块用途为二类居住用地，计容建筑面积约</w:t>
      </w:r>
      <w:r>
        <w:rPr>
          <w:rFonts w:hint="eastAsia" w:ascii="宋体"/>
          <w:sz w:val="24"/>
          <w:highlight w:val="none"/>
          <w:lang w:val="en-US"/>
        </w:rPr>
        <w:t>86308</w:t>
      </w:r>
      <w:r>
        <w:rPr>
          <w:rFonts w:hint="eastAsia" w:ascii="宋体"/>
          <w:sz w:val="24"/>
          <w:highlight w:val="none"/>
        </w:rPr>
        <w:t>㎡。（所有指标数据最终以规划部门正式批复为准）。</w:t>
      </w:r>
    </w:p>
    <w:p w14:paraId="33311D2A">
      <w:pPr>
        <w:widowControl/>
        <w:spacing w:line="360" w:lineRule="auto"/>
        <w:ind w:firstLine="480" w:firstLineChars="200"/>
        <w:rPr>
          <w:rFonts w:ascii="宋体" w:cs="宋体"/>
          <w:sz w:val="24"/>
          <w:highlight w:val="none"/>
          <w:u w:val="single"/>
        </w:rPr>
      </w:pPr>
    </w:p>
    <w:p w14:paraId="1DF9E0DD">
      <w:pPr>
        <w:adjustRightInd w:val="0"/>
        <w:snapToGrid w:val="0"/>
        <w:spacing w:line="360" w:lineRule="auto"/>
        <w:ind w:left="719" w:leftChars="228" w:hanging="240" w:hangingChars="100"/>
        <w:rPr>
          <w:rFonts w:ascii="宋体" w:cs="宋体"/>
          <w:kern w:val="0"/>
          <w:sz w:val="24"/>
          <w:highlight w:val="none"/>
        </w:rPr>
      </w:pPr>
      <w:r>
        <w:rPr>
          <w:rFonts w:hint="eastAsia" w:ascii="宋体" w:cs="宋体"/>
          <w:kern w:val="0"/>
          <w:sz w:val="24"/>
          <w:highlight w:val="none"/>
        </w:rPr>
        <w:t>（4）工程总投资：投资总额暂定人民币</w:t>
      </w:r>
      <w:r>
        <w:rPr>
          <w:rFonts w:ascii="宋体" w:cs="宋体"/>
          <w:kern w:val="0"/>
          <w:sz w:val="24"/>
          <w:highlight w:val="none"/>
          <w:u w:val="single"/>
        </w:rPr>
        <w:t xml:space="preserve">   </w:t>
      </w:r>
      <w:r>
        <w:rPr>
          <w:rFonts w:ascii="宋体" w:cs="宋体"/>
          <w:kern w:val="0"/>
          <w:sz w:val="24"/>
          <w:highlight w:val="none"/>
          <w:u w:val="single"/>
          <w:lang w:val="en-US" w:eastAsia="zh-CN"/>
        </w:rPr>
        <w:t>62405.6</w:t>
      </w:r>
      <w:r>
        <w:rPr>
          <w:rFonts w:ascii="宋体" w:cs="宋体"/>
          <w:kern w:val="0"/>
          <w:sz w:val="24"/>
          <w:highlight w:val="none"/>
          <w:u w:val="single"/>
        </w:rPr>
        <w:t xml:space="preserve">     </w:t>
      </w:r>
      <w:r>
        <w:rPr>
          <w:rFonts w:hint="eastAsia" w:ascii="宋体" w:cs="宋体"/>
          <w:kern w:val="0"/>
          <w:sz w:val="24"/>
          <w:highlight w:val="none"/>
        </w:rPr>
        <w:t>万元，其中建安费约人民币</w:t>
      </w:r>
      <w:r>
        <w:rPr>
          <w:rFonts w:hint="eastAsia" w:ascii="宋体" w:cs="宋体"/>
          <w:kern w:val="0"/>
          <w:sz w:val="24"/>
          <w:highlight w:val="none"/>
          <w:u w:val="single"/>
          <w:lang w:val="en-US"/>
        </w:rPr>
        <w:t>53,735.78</w:t>
      </w:r>
      <w:r>
        <w:rPr>
          <w:rFonts w:ascii="宋体" w:cs="宋体"/>
          <w:kern w:val="0"/>
          <w:sz w:val="24"/>
          <w:highlight w:val="none"/>
          <w:u w:val="single"/>
        </w:rPr>
        <w:t xml:space="preserve"> </w:t>
      </w:r>
      <w:r>
        <w:rPr>
          <w:rFonts w:hint="eastAsia" w:ascii="宋体" w:cs="宋体"/>
          <w:kern w:val="0"/>
          <w:sz w:val="24"/>
          <w:highlight w:val="none"/>
        </w:rPr>
        <w:t>万元，最终金额以结算价格为准。</w:t>
      </w:r>
    </w:p>
    <w:p w14:paraId="7759109D">
      <w:pPr>
        <w:adjustRightInd w:val="0"/>
        <w:snapToGrid w:val="0"/>
        <w:spacing w:line="360" w:lineRule="auto"/>
        <w:ind w:firstLine="480" w:firstLineChars="200"/>
        <w:rPr>
          <w:rFonts w:ascii="宋体" w:cs="宋体"/>
          <w:snapToGrid w:val="0"/>
          <w:kern w:val="0"/>
          <w:sz w:val="24"/>
          <w:highlight w:val="none"/>
          <w:u w:val="single"/>
        </w:rPr>
      </w:pPr>
      <w:r>
        <w:rPr>
          <w:rFonts w:hint="eastAsia" w:ascii="宋体" w:cs="宋体"/>
          <w:snapToGrid w:val="0"/>
          <w:kern w:val="0"/>
          <w:sz w:val="24"/>
          <w:highlight w:val="none"/>
        </w:rPr>
        <w:t>（5）工程质量标准：</w:t>
      </w:r>
      <w:r>
        <w:rPr>
          <w:rFonts w:hint="eastAsia" w:ascii="宋体" w:cs="宋体"/>
          <w:snapToGrid w:val="0"/>
          <w:kern w:val="0"/>
          <w:sz w:val="24"/>
          <w:highlight w:val="none"/>
          <w:u w:val="single"/>
        </w:rPr>
        <w:t>符合现行的《建筑工程施工质量验收统一标准》、工程施工质量验收规范等国家和地方法律规定、规范，一次竣工验收合格。</w:t>
      </w:r>
    </w:p>
    <w:p w14:paraId="7C090038">
      <w:pPr>
        <w:adjustRightInd w:val="0"/>
        <w:snapToGrid w:val="0"/>
        <w:spacing w:line="360" w:lineRule="auto"/>
        <w:ind w:firstLine="496" w:firstLineChars="200"/>
        <w:rPr>
          <w:rFonts w:ascii="宋体" w:cs="宋体"/>
          <w:spacing w:val="4"/>
          <w:sz w:val="24"/>
          <w:highlight w:val="none"/>
          <w:u w:val="single"/>
        </w:rPr>
      </w:pPr>
      <w:r>
        <w:rPr>
          <w:rFonts w:hint="eastAsia" w:ascii="宋体" w:cs="宋体"/>
          <w:spacing w:val="4"/>
          <w:sz w:val="24"/>
          <w:highlight w:val="none"/>
        </w:rPr>
        <w:t>（6）职业</w:t>
      </w:r>
      <w:r>
        <w:rPr>
          <w:rFonts w:hint="eastAsia" w:ascii="宋体" w:cs="宋体"/>
          <w:sz w:val="24"/>
          <w:highlight w:val="none"/>
        </w:rPr>
        <w:t>健康</w:t>
      </w:r>
      <w:r>
        <w:rPr>
          <w:rFonts w:hint="eastAsia" w:ascii="宋体" w:cs="宋体"/>
          <w:spacing w:val="4"/>
          <w:sz w:val="24"/>
          <w:highlight w:val="none"/>
        </w:rPr>
        <w:t>安全管理目标：</w:t>
      </w:r>
      <w:r>
        <w:rPr>
          <w:rFonts w:hint="eastAsia" w:ascii="宋体" w:cs="宋体"/>
          <w:spacing w:val="4"/>
          <w:sz w:val="24"/>
          <w:highlight w:val="none"/>
          <w:u w:val="single"/>
          <w:lang w:val="zh-CN"/>
        </w:rPr>
        <w:t>零死亡、零重伤、零中毒、零火灾、零坍塌、零重大机械事故、零重大财产损失及负面影响事件、零群体事件。改善劳动条件，预防职业病，防疫，工地防尘、防毒、防噪音、通风、照明、取暖、降温、防辐射及防物理因素危害等，均符合国家和地方政府主管理部门颁布的相关规定。</w:t>
      </w:r>
    </w:p>
    <w:p w14:paraId="2D7F9CCB">
      <w:pPr>
        <w:spacing w:line="360" w:lineRule="auto"/>
        <w:ind w:firstLine="496" w:firstLineChars="200"/>
        <w:rPr>
          <w:rFonts w:ascii="宋体" w:cs="宋体"/>
          <w:spacing w:val="4"/>
          <w:sz w:val="24"/>
          <w:highlight w:val="none"/>
          <w:u w:val="single"/>
        </w:rPr>
      </w:pPr>
      <w:r>
        <w:rPr>
          <w:rFonts w:hint="eastAsia" w:ascii="宋体" w:cs="宋体"/>
          <w:spacing w:val="4"/>
          <w:sz w:val="24"/>
          <w:highlight w:val="none"/>
        </w:rPr>
        <w:t>（7）环境管理目标：</w:t>
      </w:r>
      <w:r>
        <w:rPr>
          <w:rFonts w:hint="eastAsia" w:ascii="宋体" w:cs="宋体"/>
          <w:spacing w:val="4"/>
          <w:sz w:val="24"/>
          <w:highlight w:val="none"/>
          <w:u w:val="single"/>
          <w:lang w:val="zh-CN"/>
        </w:rPr>
        <w:t>严格执行《广州市城乡建设委员会关于印发广州市加强建筑工地环保管理工作方案的通知》(穗建质〔2014〕754号)、《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关于进一步加强规范建设施工现场围蔽的通知》（穗建质〔2018〕1008号）、《广州市建设工程绿色施工围蔽指导图集（V2.0版）》(穗建质〔2020〕1号）、《关于进一步落实我区市政建设项目施工围蔽提升工作的通知》（穗埔建[2019]123号、《危险性较大的分部分项工程安全管理规定》(中华人民共和国住房和城乡建设部令第37号)和《广州市住房和城乡建设局关于印发加强建设工程安全生产管理落实建设各方主体责任的暂行规定的通知》（穗建规字〔2020〕34号）等国家、省、市现行标准、规定和文件要求，并满足广州市政府或建设管理部门文件规定要求（如有最新文件，则按最新文件要求执行）。</w:t>
      </w:r>
    </w:p>
    <w:p w14:paraId="30E4A14A">
      <w:pPr>
        <w:adjustRightInd w:val="0"/>
        <w:snapToGrid w:val="0"/>
        <w:spacing w:line="360" w:lineRule="auto"/>
        <w:ind w:firstLine="496" w:firstLineChars="200"/>
        <w:rPr>
          <w:rFonts w:ascii="宋体" w:cs="宋体"/>
          <w:sz w:val="24"/>
          <w:highlight w:val="none"/>
        </w:rPr>
      </w:pPr>
      <w:r>
        <w:rPr>
          <w:rFonts w:hint="eastAsia" w:ascii="宋体" w:cs="宋体"/>
          <w:spacing w:val="4"/>
          <w:sz w:val="24"/>
          <w:highlight w:val="none"/>
        </w:rPr>
        <w:t>（8）工程造价控制目标：</w:t>
      </w:r>
      <w:r>
        <w:rPr>
          <w:rFonts w:hint="eastAsia" w:ascii="宋体" w:cs="宋体"/>
          <w:spacing w:val="4"/>
          <w:sz w:val="24"/>
          <w:highlight w:val="none"/>
          <w:u w:val="single"/>
        </w:rPr>
        <w:t>工程造价控制在发包人要求的范围内。</w:t>
      </w:r>
    </w:p>
    <w:p w14:paraId="0D62D193">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二、监理报酬</w:t>
      </w:r>
    </w:p>
    <w:p w14:paraId="41DF3BA8">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本合同工程监理报酬总额暂定为（大写）：</w:t>
      </w:r>
      <w:r>
        <w:rPr>
          <w:rFonts w:ascii="宋体" w:cs="宋体"/>
          <w:snapToGrid w:val="0"/>
          <w:kern w:val="0"/>
          <w:sz w:val="24"/>
          <w:highlight w:val="none"/>
          <w:u w:val="single"/>
          <w:lang w:val="zh-CN"/>
        </w:rPr>
        <w:t xml:space="preserve">  </w:t>
      </w:r>
      <w:r>
        <w:rPr>
          <w:rFonts w:ascii="宋体" w:cs="宋体"/>
          <w:snapToGrid w:val="0"/>
          <w:kern w:val="0"/>
          <w:sz w:val="24"/>
          <w:highlight w:val="none"/>
          <w:u w:val="single"/>
        </w:rPr>
        <w:t xml:space="preserve">  </w:t>
      </w:r>
      <w:r>
        <w:rPr>
          <w:rFonts w:ascii="宋体" w:cs="宋体"/>
          <w:snapToGrid w:val="0"/>
          <w:kern w:val="0"/>
          <w:sz w:val="24"/>
          <w:highlight w:val="none"/>
          <w:u w:val="single"/>
          <w:lang w:val="zh-CN"/>
        </w:rPr>
        <w:t xml:space="preserve"> </w:t>
      </w:r>
      <w:r>
        <w:rPr>
          <w:rFonts w:hint="eastAsia" w:ascii="宋体" w:cs="宋体"/>
          <w:bCs/>
          <w:snapToGrid w:val="0"/>
          <w:kern w:val="0"/>
          <w:sz w:val="24"/>
          <w:highlight w:val="none"/>
        </w:rPr>
        <w:t>（¥</w:t>
      </w:r>
      <w:r>
        <w:rPr>
          <w:rFonts w:ascii="宋体" w:cs="宋体"/>
          <w:bCs/>
          <w:snapToGrid w:val="0"/>
          <w:kern w:val="0"/>
          <w:sz w:val="24"/>
          <w:highlight w:val="none"/>
          <w:u w:val="single"/>
        </w:rPr>
        <w:t xml:space="preserve">    </w:t>
      </w:r>
      <w:r>
        <w:rPr>
          <w:rFonts w:hint="eastAsia" w:ascii="宋体" w:cs="宋体"/>
          <w:bCs/>
          <w:snapToGrid w:val="0"/>
          <w:kern w:val="0"/>
          <w:sz w:val="24"/>
          <w:highlight w:val="none"/>
        </w:rPr>
        <w:t>元</w:t>
      </w:r>
      <w:r>
        <w:rPr>
          <w:rFonts w:ascii="宋体" w:cs="宋体"/>
          <w:bCs/>
          <w:snapToGrid w:val="0"/>
          <w:kern w:val="0"/>
          <w:sz w:val="24"/>
          <w:highlight w:val="none"/>
        </w:rPr>
        <w:t xml:space="preserve"> </w:t>
      </w:r>
      <w:r>
        <w:rPr>
          <w:rFonts w:hint="eastAsia" w:ascii="宋体" w:cs="宋体"/>
          <w:bCs/>
          <w:snapToGrid w:val="0"/>
          <w:kern w:val="0"/>
          <w:sz w:val="24"/>
          <w:highlight w:val="none"/>
        </w:rPr>
        <w:t>），不含税总额为¥</w:t>
      </w:r>
      <w:r>
        <w:rPr>
          <w:rFonts w:ascii="宋体" w:cs="宋体"/>
          <w:bCs/>
          <w:snapToGrid w:val="0"/>
          <w:kern w:val="0"/>
          <w:sz w:val="24"/>
          <w:highlight w:val="none"/>
          <w:u w:val="single"/>
        </w:rPr>
        <w:t xml:space="preserve">   </w:t>
      </w:r>
      <w:r>
        <w:rPr>
          <w:rFonts w:hint="eastAsia" w:ascii="宋体" w:cs="宋体"/>
          <w:bCs/>
          <w:snapToGrid w:val="0"/>
          <w:kern w:val="0"/>
          <w:sz w:val="24"/>
          <w:highlight w:val="none"/>
        </w:rPr>
        <w:t>元，税率为</w:t>
      </w:r>
      <w:r>
        <w:rPr>
          <w:rFonts w:ascii="宋体" w:cs="宋体"/>
          <w:bCs/>
          <w:snapToGrid w:val="0"/>
          <w:kern w:val="0"/>
          <w:sz w:val="24"/>
          <w:highlight w:val="none"/>
          <w:u w:val="single"/>
        </w:rPr>
        <w:t xml:space="preserve">  </w:t>
      </w:r>
      <w:r>
        <w:rPr>
          <w:rFonts w:hint="eastAsia" w:ascii="宋体" w:cs="宋体"/>
          <w:bCs/>
          <w:snapToGrid w:val="0"/>
          <w:kern w:val="0"/>
          <w:sz w:val="24"/>
          <w:highlight w:val="none"/>
        </w:rPr>
        <w:t>%，税金为¥</w:t>
      </w:r>
      <w:r>
        <w:rPr>
          <w:rFonts w:ascii="宋体" w:cs="宋体"/>
          <w:bCs/>
          <w:snapToGrid w:val="0"/>
          <w:kern w:val="0"/>
          <w:sz w:val="24"/>
          <w:highlight w:val="none"/>
          <w:u w:val="single"/>
        </w:rPr>
        <w:t xml:space="preserve">  </w:t>
      </w:r>
      <w:r>
        <w:rPr>
          <w:rFonts w:hint="eastAsia" w:ascii="宋体" w:cs="宋体"/>
          <w:bCs/>
          <w:snapToGrid w:val="0"/>
          <w:kern w:val="0"/>
          <w:sz w:val="24"/>
          <w:highlight w:val="none"/>
        </w:rPr>
        <w:t>元，最终结算的监理费以区财政局审定为准。如审计部门实施审计且审计结算价低于财政局审定价格的的，最终监理费以审计结果为准。</w:t>
      </w:r>
      <w:r>
        <w:rPr>
          <w:rFonts w:hint="eastAsia" w:ascii="宋体" w:cs="宋体"/>
          <w:sz w:val="24"/>
          <w:highlight w:val="none"/>
        </w:rPr>
        <w:t>如出现本合同结算价款低于实际支付款项的</w:t>
      </w:r>
      <w:r>
        <w:rPr>
          <w:rFonts w:hint="eastAsia" w:ascii="宋体" w:cs="宋体"/>
          <w:sz w:val="24"/>
          <w:highlight w:val="none"/>
          <w:lang w:eastAsia="zh-CN"/>
        </w:rPr>
        <w:t>，</w:t>
      </w:r>
      <w:r>
        <w:rPr>
          <w:rFonts w:hint="eastAsia" w:ascii="宋体" w:cs="宋体"/>
          <w:sz w:val="24"/>
          <w:highlight w:val="none"/>
        </w:rPr>
        <w:t>对于发包人超付部分(超付款项=实际支付款项-结算价)，监理人应在结算完成后 10个工作日内退还，逾期退还的，每逾期一日，按应付未付款项的万分之【二】</w:t>
      </w:r>
      <w:r>
        <w:rPr>
          <w:rFonts w:hint="eastAsia" w:ascii="宋体" w:cs="宋体"/>
          <w:sz w:val="24"/>
          <w:highlight w:val="none"/>
          <w:lang w:val="en-US" w:eastAsia="zh-CN"/>
        </w:rPr>
        <w:t>向</w:t>
      </w:r>
      <w:r>
        <w:rPr>
          <w:rFonts w:hint="eastAsia" w:ascii="宋体" w:cs="宋体"/>
          <w:sz w:val="24"/>
          <w:highlight w:val="none"/>
        </w:rPr>
        <w:t>发包人支付违约金。</w:t>
      </w:r>
    </w:p>
    <w:p w14:paraId="7B0E792B">
      <w:pPr>
        <w:numPr>
          <w:ilvl w:val="0"/>
          <w:numId w:val="1"/>
        </w:numPr>
        <w:adjustRightInd w:val="0"/>
        <w:snapToGrid w:val="0"/>
        <w:spacing w:line="360" w:lineRule="auto"/>
        <w:ind w:left="0" w:firstLine="480" w:firstLineChars="200"/>
        <w:rPr>
          <w:rFonts w:ascii="宋体" w:cs="宋体"/>
          <w:bCs/>
          <w:snapToGrid w:val="0"/>
          <w:kern w:val="0"/>
          <w:sz w:val="24"/>
          <w:highlight w:val="none"/>
        </w:rPr>
      </w:pPr>
      <w:r>
        <w:rPr>
          <w:rFonts w:hint="eastAsia" w:ascii="宋体" w:cs="宋体"/>
          <w:bCs/>
          <w:snapToGrid w:val="0"/>
          <w:kern w:val="0"/>
          <w:sz w:val="24"/>
          <w:highlight w:val="none"/>
        </w:rPr>
        <w:t>监理服务期限</w:t>
      </w:r>
    </w:p>
    <w:p w14:paraId="2A74CDBC">
      <w:pPr>
        <w:pStyle w:val="25"/>
        <w:ind w:firstLine="480" w:firstLineChars="200"/>
        <w:jc w:val="both"/>
        <w:rPr>
          <w:rFonts w:ascii="宋体" w:cs="宋体"/>
          <w:sz w:val="24"/>
          <w:szCs w:val="24"/>
          <w:highlight w:val="none"/>
        </w:rPr>
      </w:pPr>
      <w:r>
        <w:rPr>
          <w:rFonts w:hint="eastAsia" w:ascii="宋体" w:cs="宋体"/>
          <w:sz w:val="24"/>
          <w:szCs w:val="24"/>
          <w:highlight w:val="none"/>
        </w:rPr>
        <w:t>监理服务期限从本合同签订之日起至完成所有与本项目工程相关的监理工作内容后终止（包括施工图设计阶段</w:t>
      </w:r>
      <w:r>
        <w:rPr>
          <w:rFonts w:hint="eastAsia" w:ascii="宋体" w:cs="宋体"/>
          <w:sz w:val="24"/>
          <w:szCs w:val="24"/>
          <w:highlight w:val="none"/>
          <w:lang w:eastAsia="zh-CN"/>
        </w:rPr>
        <w:t>、</w:t>
      </w:r>
      <w:r>
        <w:rPr>
          <w:rFonts w:hint="eastAsia" w:ascii="宋体" w:cs="宋体"/>
          <w:sz w:val="24"/>
          <w:szCs w:val="24"/>
          <w:highlight w:val="none"/>
        </w:rPr>
        <w:t>施工准备阶段、施工阶段、缺陷责任期阶段、竣工结算阶段、工程保修阶段）</w:t>
      </w:r>
    </w:p>
    <w:p w14:paraId="2C24DC4A">
      <w:pPr>
        <w:adjustRightInd w:val="0"/>
        <w:snapToGrid w:val="0"/>
        <w:spacing w:line="360" w:lineRule="auto"/>
        <w:ind w:firstLine="480" w:firstLineChars="200"/>
        <w:rPr>
          <w:rFonts w:hint="eastAsia" w:ascii="宋体" w:cs="宋体"/>
          <w:bCs/>
          <w:snapToGrid w:val="0"/>
          <w:kern w:val="0"/>
          <w:sz w:val="24"/>
          <w:highlight w:val="none"/>
        </w:rPr>
      </w:pPr>
      <w:r>
        <w:rPr>
          <w:rFonts w:hint="eastAsia" w:ascii="宋体" w:cs="宋体"/>
          <w:bCs/>
          <w:snapToGrid w:val="0"/>
          <w:kern w:val="0"/>
          <w:sz w:val="24"/>
          <w:highlight w:val="none"/>
        </w:rPr>
        <w:t>（1）施工图设计阶段：自本合同签订之日起至本项目所需施工图全部出具完成。</w:t>
      </w:r>
    </w:p>
    <w:p w14:paraId="0D4657AB">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（2）施工准备阶段：自本合同签订之日起至工程开工之日止；</w:t>
      </w:r>
    </w:p>
    <w:p w14:paraId="612D5139">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w:t>
      </w:r>
      <w:r>
        <w:rPr>
          <w:rFonts w:hint="eastAsia" w:ascii="宋体" w:cs="宋体"/>
          <w:bCs/>
          <w:snapToGrid w:val="0"/>
          <w:kern w:val="0"/>
          <w:sz w:val="24"/>
          <w:highlight w:val="none"/>
          <w:lang w:val="en-US" w:eastAsia="zh-CN"/>
        </w:rPr>
        <w:t>3</w:t>
      </w:r>
      <w:r>
        <w:rPr>
          <w:rFonts w:hint="eastAsia" w:ascii="宋体" w:cs="宋体"/>
          <w:bCs/>
          <w:snapToGrid w:val="0"/>
          <w:kern w:val="0"/>
          <w:sz w:val="24"/>
          <w:highlight w:val="none"/>
        </w:rPr>
        <w:t>）施工阶段：自开工令或开工报告审批之日起至施工项目全部完工并办理竣工验收、竣工结算且备案管理之日止；</w:t>
      </w:r>
    </w:p>
    <w:p w14:paraId="18882C39">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w:t>
      </w:r>
      <w:r>
        <w:rPr>
          <w:rFonts w:hint="eastAsia" w:ascii="宋体" w:cs="宋体"/>
          <w:bCs/>
          <w:snapToGrid w:val="0"/>
          <w:kern w:val="0"/>
          <w:sz w:val="24"/>
          <w:highlight w:val="none"/>
          <w:lang w:val="en-US" w:eastAsia="zh-CN"/>
        </w:rPr>
        <w:t>4</w:t>
      </w:r>
      <w:r>
        <w:rPr>
          <w:rFonts w:hint="eastAsia" w:ascii="宋体" w:cs="宋体"/>
          <w:bCs/>
          <w:snapToGrid w:val="0"/>
          <w:kern w:val="0"/>
          <w:sz w:val="24"/>
          <w:highlight w:val="none"/>
        </w:rPr>
        <w:t>）缺陷责任期阶段：自工程竣工验收合格且备案管理完成之日起2年内止；</w:t>
      </w:r>
    </w:p>
    <w:p w14:paraId="10DECE8C">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w:t>
      </w:r>
      <w:r>
        <w:rPr>
          <w:rFonts w:hint="eastAsia" w:ascii="宋体" w:cs="宋体"/>
          <w:bCs/>
          <w:snapToGrid w:val="0"/>
          <w:kern w:val="0"/>
          <w:sz w:val="24"/>
          <w:highlight w:val="none"/>
          <w:lang w:val="en-US" w:eastAsia="zh-CN"/>
        </w:rPr>
        <w:t>5</w:t>
      </w:r>
      <w:r>
        <w:rPr>
          <w:rFonts w:hint="eastAsia" w:ascii="宋体" w:cs="宋体"/>
          <w:bCs/>
          <w:snapToGrid w:val="0"/>
          <w:kern w:val="0"/>
          <w:sz w:val="24"/>
          <w:highlight w:val="none"/>
        </w:rPr>
        <w:t>）工程竣工结算阶段：自结算送审之日起至终审之日止；</w:t>
      </w:r>
    </w:p>
    <w:p w14:paraId="6276BCC2">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w:t>
      </w:r>
      <w:r>
        <w:rPr>
          <w:rFonts w:hint="eastAsia" w:ascii="宋体" w:cs="宋体"/>
          <w:bCs/>
          <w:snapToGrid w:val="0"/>
          <w:kern w:val="0"/>
          <w:sz w:val="24"/>
          <w:highlight w:val="none"/>
          <w:lang w:val="en-US" w:eastAsia="zh-CN"/>
        </w:rPr>
        <w:t>6</w:t>
      </w:r>
      <w:r>
        <w:rPr>
          <w:rFonts w:hint="eastAsia" w:ascii="宋体" w:cs="宋体"/>
          <w:bCs/>
          <w:snapToGrid w:val="0"/>
          <w:kern w:val="0"/>
          <w:sz w:val="24"/>
          <w:highlight w:val="none"/>
        </w:rPr>
        <w:t>）工程保修阶段：自本项目工程联合竣工验收合格且备案管理完成之日起计，按对应施工合同的有关规定，至保修期满为止。</w:t>
      </w:r>
    </w:p>
    <w:p w14:paraId="2989A77A">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四、本协议书中的有关词语含义与本合同《专用条款》、《标准条款》中赋予它们的定义相同。</w:t>
      </w:r>
    </w:p>
    <w:p w14:paraId="2001E066">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snapToGrid w:val="0"/>
          <w:kern w:val="0"/>
          <w:sz w:val="24"/>
          <w:highlight w:val="none"/>
        </w:rPr>
        <w:t>五、</w:t>
      </w:r>
      <w:r>
        <w:rPr>
          <w:rFonts w:hint="eastAsia" w:ascii="宋体" w:cs="宋体"/>
          <w:bCs/>
          <w:snapToGrid w:val="0"/>
          <w:kern w:val="0"/>
          <w:sz w:val="24"/>
          <w:highlight w:val="none"/>
        </w:rPr>
        <w:t>下列文件应被认为是组成本合同的一部分，并互为补充和解释，如各文件存在冲突之处，以如下排列次序在前者优先适用：</w:t>
      </w:r>
    </w:p>
    <w:p w14:paraId="1BC9DEC1">
      <w:pPr>
        <w:spacing w:line="360" w:lineRule="auto"/>
        <w:ind w:firstLine="480" w:firstLineChars="200"/>
        <w:rPr>
          <w:rFonts w:ascii="宋体" w:cs="宋体"/>
          <w:sz w:val="24"/>
          <w:highlight w:val="none"/>
        </w:rPr>
      </w:pPr>
      <w:r>
        <w:rPr>
          <w:rFonts w:hint="eastAsia" w:ascii="宋体" w:cs="宋体"/>
          <w:sz w:val="24"/>
          <w:highlight w:val="none"/>
        </w:rPr>
        <w:t>1.本合同履行期间发包人与承包人各方签订的补充合同（协议）或修正文件；</w:t>
      </w:r>
    </w:p>
    <w:p w14:paraId="1FF96218">
      <w:pPr>
        <w:spacing w:line="360" w:lineRule="auto"/>
        <w:ind w:firstLine="480" w:firstLineChars="200"/>
        <w:rPr>
          <w:rFonts w:ascii="宋体" w:cs="宋体"/>
          <w:sz w:val="24"/>
          <w:highlight w:val="none"/>
        </w:rPr>
      </w:pPr>
      <w:r>
        <w:rPr>
          <w:rFonts w:hint="eastAsia" w:ascii="宋体" w:cs="宋体"/>
          <w:sz w:val="24"/>
          <w:highlight w:val="none"/>
        </w:rPr>
        <w:t>2.本合同协议书；</w:t>
      </w:r>
    </w:p>
    <w:p w14:paraId="79F81E97">
      <w:pPr>
        <w:spacing w:line="360" w:lineRule="auto"/>
        <w:ind w:firstLine="480" w:firstLineChars="200"/>
        <w:rPr>
          <w:rFonts w:ascii="宋体" w:cs="宋体"/>
          <w:sz w:val="24"/>
          <w:highlight w:val="none"/>
        </w:rPr>
      </w:pPr>
      <w:r>
        <w:rPr>
          <w:rFonts w:hint="eastAsia" w:ascii="宋体" w:cs="宋体"/>
          <w:sz w:val="24"/>
          <w:highlight w:val="none"/>
        </w:rPr>
        <w:t>3.发包人针对本工程建设管理的各项制度、规定；</w:t>
      </w:r>
    </w:p>
    <w:p w14:paraId="1266A831">
      <w:pPr>
        <w:spacing w:line="360" w:lineRule="auto"/>
        <w:ind w:firstLine="480" w:firstLineChars="200"/>
        <w:rPr>
          <w:rFonts w:ascii="宋体" w:cs="宋体"/>
          <w:sz w:val="24"/>
          <w:highlight w:val="none"/>
        </w:rPr>
      </w:pPr>
      <w:r>
        <w:rPr>
          <w:rFonts w:hint="eastAsia" w:ascii="宋体" w:cs="宋体"/>
          <w:sz w:val="24"/>
          <w:highlight w:val="none"/>
        </w:rPr>
        <w:t>4.中标通知书；</w:t>
      </w:r>
    </w:p>
    <w:p w14:paraId="29EA7FF1">
      <w:pPr>
        <w:spacing w:line="360" w:lineRule="auto"/>
        <w:ind w:firstLine="480" w:firstLineChars="200"/>
        <w:rPr>
          <w:rFonts w:ascii="宋体" w:cs="宋体"/>
          <w:sz w:val="24"/>
          <w:highlight w:val="none"/>
        </w:rPr>
      </w:pPr>
      <w:r>
        <w:rPr>
          <w:rFonts w:hint="eastAsia" w:ascii="宋体" w:cs="宋体"/>
          <w:sz w:val="24"/>
          <w:highlight w:val="none"/>
        </w:rPr>
        <w:t>5.投标文件及附件（含投标期间的澄清文件和补充资料）；</w:t>
      </w:r>
    </w:p>
    <w:p w14:paraId="07DB8FE2">
      <w:pPr>
        <w:spacing w:line="360" w:lineRule="auto"/>
        <w:ind w:firstLine="480" w:firstLineChars="200"/>
        <w:rPr>
          <w:rFonts w:ascii="宋体" w:cs="宋体"/>
          <w:sz w:val="24"/>
          <w:highlight w:val="none"/>
        </w:rPr>
      </w:pPr>
      <w:r>
        <w:rPr>
          <w:rFonts w:hint="eastAsia" w:ascii="宋体" w:cs="宋体"/>
          <w:sz w:val="24"/>
          <w:highlight w:val="none"/>
        </w:rPr>
        <w:t>6.本合同专用条款及合同附件；</w:t>
      </w:r>
    </w:p>
    <w:p w14:paraId="6BB7E814">
      <w:pPr>
        <w:spacing w:line="360" w:lineRule="auto"/>
        <w:ind w:firstLine="480" w:firstLineChars="200"/>
        <w:rPr>
          <w:rFonts w:ascii="宋体" w:cs="宋体"/>
          <w:sz w:val="24"/>
          <w:highlight w:val="none"/>
        </w:rPr>
      </w:pPr>
      <w:r>
        <w:rPr>
          <w:rFonts w:hint="eastAsia" w:ascii="宋体" w:cs="宋体"/>
          <w:sz w:val="24"/>
          <w:highlight w:val="none"/>
        </w:rPr>
        <w:t>7.本合同标准条款；</w:t>
      </w:r>
    </w:p>
    <w:p w14:paraId="53DE5312">
      <w:pPr>
        <w:spacing w:line="360" w:lineRule="auto"/>
        <w:ind w:firstLine="480" w:firstLineChars="200"/>
        <w:rPr>
          <w:rFonts w:ascii="宋体" w:cs="宋体"/>
          <w:sz w:val="24"/>
          <w:highlight w:val="none"/>
        </w:rPr>
      </w:pPr>
      <w:r>
        <w:rPr>
          <w:rFonts w:hint="eastAsia" w:ascii="宋体" w:cs="宋体"/>
          <w:sz w:val="24"/>
          <w:highlight w:val="none"/>
        </w:rPr>
        <w:t>8.国家、广东省、广州市、广州开发区、黄埔区关于本工程施工的有关文件（发包人在收到后尽快通报给承包人）；</w:t>
      </w:r>
    </w:p>
    <w:p w14:paraId="1D1AFA2A">
      <w:pPr>
        <w:spacing w:line="360" w:lineRule="auto"/>
        <w:ind w:firstLine="480" w:firstLineChars="200"/>
        <w:rPr>
          <w:rFonts w:ascii="宋体" w:cs="宋体"/>
          <w:sz w:val="24"/>
          <w:highlight w:val="none"/>
        </w:rPr>
      </w:pPr>
      <w:r>
        <w:rPr>
          <w:rFonts w:hint="eastAsia" w:ascii="宋体" w:cs="宋体"/>
          <w:sz w:val="24"/>
          <w:highlight w:val="none"/>
        </w:rPr>
        <w:t>9.标准、规范和其他有关技术文件；</w:t>
      </w:r>
    </w:p>
    <w:p w14:paraId="28753D87">
      <w:pPr>
        <w:spacing w:line="360" w:lineRule="auto"/>
        <w:ind w:firstLine="480" w:firstLineChars="200"/>
        <w:rPr>
          <w:rFonts w:ascii="宋体" w:cs="宋体"/>
          <w:sz w:val="24"/>
          <w:highlight w:val="none"/>
        </w:rPr>
      </w:pPr>
      <w:r>
        <w:rPr>
          <w:rFonts w:hint="eastAsia" w:ascii="宋体" w:cs="宋体"/>
          <w:sz w:val="24"/>
          <w:highlight w:val="none"/>
        </w:rPr>
        <w:t>10.施工设计图纸；</w:t>
      </w:r>
    </w:p>
    <w:p w14:paraId="6B87DA12">
      <w:pPr>
        <w:spacing w:line="360" w:lineRule="auto"/>
        <w:ind w:firstLine="480" w:firstLineChars="200"/>
        <w:rPr>
          <w:rFonts w:hint="eastAsia" w:ascii="宋体" w:cs="宋体"/>
          <w:sz w:val="24"/>
          <w:highlight w:val="none"/>
        </w:rPr>
      </w:pPr>
      <w:r>
        <w:rPr>
          <w:rFonts w:hint="eastAsia" w:ascii="宋体" w:cs="宋体"/>
          <w:sz w:val="24"/>
          <w:highlight w:val="none"/>
        </w:rPr>
        <w:t>11.招标文件及附件（包括补充、修改、澄清文件及答疑纪要等）；</w:t>
      </w:r>
    </w:p>
    <w:p w14:paraId="0B393547">
      <w:pPr>
        <w:pStyle w:val="7"/>
        <w:ind w:firstLine="480" w:firstLineChars="200"/>
        <w:rPr>
          <w:rFonts w:eastAsia="宋体"/>
          <w:highlight w:val="none"/>
          <w:lang w:val="en-US" w:eastAsia="zh-CN"/>
        </w:rPr>
      </w:pPr>
      <w:r>
        <w:rPr>
          <w:rFonts w:hint="eastAsia" w:ascii="宋体" w:cs="宋体"/>
          <w:sz w:val="24"/>
          <w:highlight w:val="none"/>
          <w:lang w:val="en-US" w:eastAsia="zh-CN"/>
        </w:rPr>
        <w:t>12.发包人或项目公司发布的监理考核管理办法。</w:t>
      </w:r>
    </w:p>
    <w:p w14:paraId="5B92591F">
      <w:pPr>
        <w:pStyle w:val="33"/>
        <w:ind w:left="0" w:firstLine="480" w:firstLineChars="200"/>
        <w:rPr>
          <w:rFonts w:ascii="宋体" w:eastAsia="宋体" w:cs="宋体"/>
          <w:sz w:val="24"/>
          <w:highlight w:val="none"/>
        </w:rPr>
      </w:pPr>
      <w:r>
        <w:rPr>
          <w:rFonts w:hint="eastAsia" w:ascii="宋体" w:eastAsia="宋体" w:cs="宋体"/>
          <w:sz w:val="24"/>
          <w:highlight w:val="none"/>
        </w:rPr>
        <w:t>上述各项合同文件包括合同当事人就该项合同文件所作出的补充和修改，属于同一类内容的文件，应以最新签署的为准。</w:t>
      </w:r>
    </w:p>
    <w:p w14:paraId="0FAB96CE">
      <w:pPr>
        <w:snapToGrid w:val="0"/>
        <w:spacing w:line="360" w:lineRule="auto"/>
        <w:ind w:firstLine="480" w:firstLineChars="200"/>
        <w:rPr>
          <w:rFonts w:ascii="宋体" w:cs="宋体"/>
          <w:sz w:val="24"/>
          <w:highlight w:val="none"/>
        </w:rPr>
      </w:pPr>
      <w:r>
        <w:rPr>
          <w:rFonts w:hint="eastAsia" w:ascii="宋体" w:cs="宋体"/>
          <w:sz w:val="24"/>
          <w:highlight w:val="none"/>
        </w:rPr>
        <w:t>在合同订立及履行过程中形成的与合同有关的文件均构成合同文件组成部分，并根据其性质确定优先解释顺序。</w:t>
      </w:r>
    </w:p>
    <w:p w14:paraId="24D1C6CD">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六、本合同自</w:t>
      </w:r>
      <w:r>
        <w:rPr>
          <w:rFonts w:hint="eastAsia" w:ascii="宋体" w:cs="宋体"/>
          <w:snapToGrid w:val="0"/>
          <w:kern w:val="0"/>
          <w:sz w:val="24"/>
          <w:highlight w:val="none"/>
        </w:rPr>
        <w:t>发包人</w:t>
      </w:r>
      <w:r>
        <w:rPr>
          <w:rFonts w:hint="eastAsia" w:ascii="宋体" w:cs="宋体"/>
          <w:bCs/>
          <w:snapToGrid w:val="0"/>
          <w:kern w:val="0"/>
          <w:sz w:val="24"/>
          <w:highlight w:val="none"/>
        </w:rPr>
        <w:t>、</w:t>
      </w:r>
      <w:r>
        <w:rPr>
          <w:rFonts w:hint="eastAsia" w:ascii="宋体" w:cs="宋体"/>
          <w:snapToGrid w:val="0"/>
          <w:kern w:val="0"/>
          <w:sz w:val="24"/>
          <w:highlight w:val="none"/>
        </w:rPr>
        <w:t>监理人</w:t>
      </w:r>
      <w:r>
        <w:rPr>
          <w:rFonts w:hint="eastAsia" w:ascii="宋体" w:cs="宋体"/>
          <w:bCs/>
          <w:snapToGrid w:val="0"/>
          <w:kern w:val="0"/>
          <w:sz w:val="24"/>
          <w:highlight w:val="none"/>
        </w:rPr>
        <w:t>各方</w:t>
      </w:r>
      <w:r>
        <w:rPr>
          <w:rFonts w:hint="eastAsia" w:ascii="宋体" w:cs="宋体"/>
          <w:snapToGrid w:val="0"/>
          <w:kern w:val="0"/>
          <w:sz w:val="24"/>
          <w:highlight w:val="none"/>
        </w:rPr>
        <w:t>法定代表人（或其授权代理人）签字并加盖法人公章</w:t>
      </w:r>
      <w:r>
        <w:rPr>
          <w:rFonts w:hint="eastAsia" w:ascii="宋体" w:cs="宋体"/>
          <w:bCs/>
          <w:snapToGrid w:val="0"/>
          <w:kern w:val="0"/>
          <w:sz w:val="24"/>
          <w:highlight w:val="none"/>
        </w:rPr>
        <w:t>之日起生效，至本合同监理服务期限届满之日止。</w:t>
      </w:r>
    </w:p>
    <w:p w14:paraId="76F2D709">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七、特别条款</w:t>
      </w:r>
    </w:p>
    <w:p w14:paraId="44F4C407">
      <w:pPr>
        <w:spacing w:line="360" w:lineRule="auto"/>
        <w:ind w:firstLine="480" w:firstLineChars="200"/>
        <w:rPr>
          <w:rFonts w:hint="eastAsia" w:ascii="宋体" w:cs="宋体"/>
          <w:sz w:val="24"/>
          <w:highlight w:val="none"/>
        </w:rPr>
      </w:pPr>
      <w:r>
        <w:rPr>
          <w:rFonts w:hint="eastAsia" w:ascii="宋体" w:cs="宋体"/>
          <w:sz w:val="24"/>
          <w:highlight w:val="none"/>
        </w:rPr>
        <w:t>1.如发包人需终止本项目或规模缩小、大幅调减工程量的，发包人均按监理人实际完成的工作量结算费用，不另行给予监理人任何补偿。如项目取消或部分取消实施，监理人不得以已开展前期准备工作要求发包人予以任何补偿。</w:t>
      </w:r>
    </w:p>
    <w:p w14:paraId="63D9FED2">
      <w:pPr>
        <w:spacing w:line="360" w:lineRule="auto"/>
        <w:ind w:firstLine="480" w:firstLineChars="200"/>
        <w:rPr>
          <w:rFonts w:hint="eastAsia" w:ascii="宋体" w:cs="宋体"/>
          <w:sz w:val="24"/>
          <w:highlight w:val="none"/>
        </w:rPr>
      </w:pPr>
      <w:r>
        <w:rPr>
          <w:rFonts w:hint="eastAsia" w:ascii="宋体" w:cs="宋体"/>
          <w:sz w:val="24"/>
          <w:highlight w:val="none"/>
        </w:rPr>
        <w:t>2.项目管理公司代发包人履行本合同项下的支付义务。</w:t>
      </w:r>
    </w:p>
    <w:p w14:paraId="75945D90">
      <w:pPr>
        <w:spacing w:line="360" w:lineRule="auto"/>
        <w:ind w:firstLine="480" w:firstLineChars="200"/>
        <w:rPr>
          <w:highlight w:val="none"/>
        </w:rPr>
      </w:pPr>
      <w:r>
        <w:rPr>
          <w:rFonts w:hint="eastAsia" w:ascii="宋体" w:cs="宋体"/>
          <w:sz w:val="24"/>
          <w:highlight w:val="none"/>
        </w:rPr>
        <w:t>3.发包人委托项目管理公司对本合同项下的工程进行全过程专业化管理。</w:t>
      </w:r>
    </w:p>
    <w:p w14:paraId="4E43E2A8">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八、</w:t>
      </w:r>
      <w:r>
        <w:rPr>
          <w:rFonts w:hint="eastAsia" w:ascii="宋体" w:cs="宋体"/>
          <w:bCs/>
          <w:snapToGrid w:val="0"/>
          <w:kern w:val="0"/>
          <w:sz w:val="24"/>
          <w:highlight w:val="none"/>
        </w:rPr>
        <w:t>本合同正本一式</w:t>
      </w:r>
      <w:r>
        <w:rPr>
          <w:rFonts w:hint="eastAsia" w:ascii="宋体" w:cs="宋体"/>
          <w:bCs/>
          <w:snapToGrid w:val="0"/>
          <w:kern w:val="0"/>
          <w:sz w:val="24"/>
          <w:highlight w:val="none"/>
          <w:u w:val="single"/>
        </w:rPr>
        <w:t xml:space="preserve"> 贰 </w:t>
      </w:r>
      <w:r>
        <w:rPr>
          <w:rFonts w:hint="eastAsia" w:ascii="宋体" w:cs="宋体"/>
          <w:bCs/>
          <w:snapToGrid w:val="0"/>
          <w:kern w:val="0"/>
          <w:sz w:val="24"/>
          <w:highlight w:val="none"/>
        </w:rPr>
        <w:t>份，</w:t>
      </w:r>
      <w:r>
        <w:rPr>
          <w:rFonts w:hint="eastAsia" w:ascii="宋体" w:cs="宋体"/>
          <w:snapToGrid w:val="0"/>
          <w:kern w:val="0"/>
          <w:sz w:val="24"/>
          <w:highlight w:val="none"/>
        </w:rPr>
        <w:t>发包人</w:t>
      </w:r>
      <w:r>
        <w:rPr>
          <w:rFonts w:hint="eastAsia" w:ascii="宋体" w:cs="宋体"/>
          <w:bCs/>
          <w:snapToGrid w:val="0"/>
          <w:kern w:val="0"/>
          <w:sz w:val="24"/>
          <w:highlight w:val="none"/>
        </w:rPr>
        <w:t>、</w:t>
      </w:r>
      <w:r>
        <w:rPr>
          <w:rFonts w:hint="eastAsia" w:ascii="宋体" w:cs="宋体"/>
          <w:snapToGrid w:val="0"/>
          <w:kern w:val="0"/>
          <w:sz w:val="24"/>
          <w:highlight w:val="none"/>
        </w:rPr>
        <w:t>监理人</w:t>
      </w:r>
      <w:r>
        <w:rPr>
          <w:rFonts w:hint="eastAsia" w:ascii="宋体" w:cs="宋体"/>
          <w:bCs/>
          <w:snapToGrid w:val="0"/>
          <w:kern w:val="0"/>
          <w:sz w:val="24"/>
          <w:highlight w:val="none"/>
        </w:rPr>
        <w:t>各执</w:t>
      </w:r>
      <w:r>
        <w:rPr>
          <w:rFonts w:hint="eastAsia" w:ascii="宋体" w:cs="宋体"/>
          <w:bCs/>
          <w:snapToGrid w:val="0"/>
          <w:kern w:val="0"/>
          <w:sz w:val="24"/>
          <w:highlight w:val="none"/>
          <w:u w:val="single"/>
        </w:rPr>
        <w:t xml:space="preserve"> 壹 </w:t>
      </w:r>
      <w:r>
        <w:rPr>
          <w:rFonts w:hint="eastAsia" w:ascii="宋体" w:cs="宋体"/>
          <w:bCs/>
          <w:snapToGrid w:val="0"/>
          <w:kern w:val="0"/>
          <w:sz w:val="24"/>
          <w:highlight w:val="none"/>
        </w:rPr>
        <w:t>份；副本</w:t>
      </w:r>
      <w:r>
        <w:rPr>
          <w:rFonts w:hint="eastAsia" w:ascii="宋体" w:cs="宋体"/>
          <w:bCs/>
          <w:snapToGrid w:val="0"/>
          <w:kern w:val="0"/>
          <w:sz w:val="24"/>
          <w:highlight w:val="none"/>
          <w:u w:val="single"/>
        </w:rPr>
        <w:t xml:space="preserve"> 捌 </w:t>
      </w:r>
      <w:r>
        <w:rPr>
          <w:rFonts w:hint="eastAsia" w:ascii="宋体" w:cs="宋体"/>
          <w:bCs/>
          <w:snapToGrid w:val="0"/>
          <w:kern w:val="0"/>
          <w:sz w:val="24"/>
          <w:highlight w:val="none"/>
        </w:rPr>
        <w:t>份，</w:t>
      </w:r>
      <w:r>
        <w:rPr>
          <w:rFonts w:hint="eastAsia" w:ascii="宋体" w:cs="宋体"/>
          <w:snapToGrid w:val="0"/>
          <w:kern w:val="0"/>
          <w:sz w:val="24"/>
          <w:highlight w:val="none"/>
        </w:rPr>
        <w:t>发包人</w:t>
      </w:r>
      <w:r>
        <w:rPr>
          <w:rFonts w:hint="eastAsia" w:ascii="宋体" w:cs="宋体"/>
          <w:bCs/>
          <w:snapToGrid w:val="0"/>
          <w:kern w:val="0"/>
          <w:sz w:val="24"/>
          <w:highlight w:val="none"/>
        </w:rPr>
        <w:t>、</w:t>
      </w:r>
      <w:r>
        <w:rPr>
          <w:rFonts w:hint="eastAsia" w:ascii="宋体" w:cs="宋体"/>
          <w:snapToGrid w:val="0"/>
          <w:kern w:val="0"/>
          <w:sz w:val="24"/>
          <w:highlight w:val="none"/>
        </w:rPr>
        <w:t>监理人</w:t>
      </w:r>
      <w:r>
        <w:rPr>
          <w:rFonts w:hint="eastAsia" w:ascii="宋体" w:cs="宋体"/>
          <w:bCs/>
          <w:snapToGrid w:val="0"/>
          <w:kern w:val="0"/>
          <w:sz w:val="24"/>
          <w:highlight w:val="none"/>
        </w:rPr>
        <w:t>各执</w:t>
      </w:r>
      <w:r>
        <w:rPr>
          <w:rFonts w:hint="eastAsia" w:ascii="宋体" w:cs="宋体"/>
          <w:bCs/>
          <w:snapToGrid w:val="0"/>
          <w:kern w:val="0"/>
          <w:sz w:val="24"/>
          <w:highlight w:val="none"/>
          <w:u w:val="single"/>
        </w:rPr>
        <w:t xml:space="preserve"> 肆 </w:t>
      </w:r>
      <w:r>
        <w:rPr>
          <w:rFonts w:hint="eastAsia" w:ascii="宋体" w:cs="宋体"/>
          <w:bCs/>
          <w:snapToGrid w:val="0"/>
          <w:kern w:val="0"/>
          <w:sz w:val="24"/>
          <w:highlight w:val="none"/>
        </w:rPr>
        <w:t>份。</w:t>
      </w:r>
      <w:r>
        <w:rPr>
          <w:rFonts w:hint="eastAsia" w:ascii="宋体" w:cs="宋体"/>
          <w:snapToGrid w:val="0"/>
          <w:kern w:val="0"/>
          <w:sz w:val="24"/>
          <w:highlight w:val="none"/>
        </w:rPr>
        <w:t>合同正、副本具有同等效力，但当合同正本与副本的表述不一致时，以合同正本为准。</w:t>
      </w:r>
    </w:p>
    <w:p w14:paraId="282D9D82">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本合同工程总监理工程师姓名：</w:t>
      </w:r>
      <w:r>
        <w:rPr>
          <w:rFonts w:ascii="宋体" w:cs="宋体"/>
          <w:snapToGrid w:val="0"/>
          <w:kern w:val="0"/>
          <w:sz w:val="24"/>
          <w:highlight w:val="none"/>
          <w:u w:val="single"/>
        </w:rPr>
        <w:t xml:space="preserve">     </w:t>
      </w:r>
      <w:r>
        <w:rPr>
          <w:rFonts w:hint="eastAsia" w:ascii="宋体" w:cs="宋体"/>
          <w:snapToGrid w:val="0"/>
          <w:kern w:val="0"/>
          <w:sz w:val="24"/>
          <w:highlight w:val="none"/>
        </w:rPr>
        <w:t>。职务（职称）：</w:t>
      </w:r>
      <w:r>
        <w:rPr>
          <w:rFonts w:ascii="宋体" w:cs="宋体"/>
          <w:snapToGrid w:val="0"/>
          <w:kern w:val="0"/>
          <w:sz w:val="24"/>
          <w:highlight w:val="none"/>
          <w:u w:val="single"/>
        </w:rPr>
        <w:t xml:space="preserve">        </w:t>
      </w:r>
      <w:r>
        <w:rPr>
          <w:rFonts w:hint="eastAsia" w:ascii="宋体" w:cs="宋体"/>
          <w:snapToGrid w:val="0"/>
          <w:kern w:val="0"/>
          <w:sz w:val="24"/>
          <w:highlight w:val="none"/>
        </w:rPr>
        <w:t>。</w:t>
      </w:r>
    </w:p>
    <w:p w14:paraId="067D75E6">
      <w:pPr>
        <w:adjustRightInd w:val="0"/>
        <w:snapToGrid w:val="0"/>
        <w:spacing w:line="360" w:lineRule="auto"/>
        <w:ind w:firstLine="480" w:firstLineChars="200"/>
        <w:rPr>
          <w:rFonts w:ascii="宋体" w:cs="宋体"/>
          <w:snapToGrid w:val="0"/>
          <w:kern w:val="0"/>
          <w:sz w:val="24"/>
          <w:highlight w:val="none"/>
        </w:rPr>
      </w:pPr>
    </w:p>
    <w:p w14:paraId="3F420D1A">
      <w:pPr>
        <w:pStyle w:val="20"/>
        <w:spacing w:line="360" w:lineRule="auto"/>
        <w:rPr>
          <w:rFonts w:ascii="宋体" w:cs="宋体"/>
          <w:snapToGrid w:val="0"/>
          <w:color w:val="auto"/>
          <w:kern w:val="0"/>
          <w:sz w:val="24"/>
          <w:highlight w:val="none"/>
        </w:rPr>
      </w:pPr>
    </w:p>
    <w:tbl>
      <w:tblPr>
        <w:tblStyle w:val="21"/>
        <w:tblW w:w="92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5"/>
        <w:gridCol w:w="2318"/>
        <w:gridCol w:w="2218"/>
        <w:gridCol w:w="2284"/>
      </w:tblGrid>
      <w:tr w14:paraId="5123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exact"/>
        </w:trPr>
        <w:tc>
          <w:tcPr>
            <w:tcW w:w="2405" w:type="dxa"/>
            <w:vAlign w:val="center"/>
          </w:tcPr>
          <w:p w14:paraId="2628738F">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发包人：</w:t>
            </w:r>
          </w:p>
        </w:tc>
        <w:tc>
          <w:tcPr>
            <w:tcW w:w="2318" w:type="dxa"/>
            <w:vAlign w:val="center"/>
          </w:tcPr>
          <w:p w14:paraId="5A44D419">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科学城（广州）城市更新集团有限公司</w:t>
            </w:r>
          </w:p>
        </w:tc>
        <w:tc>
          <w:tcPr>
            <w:tcW w:w="2218" w:type="dxa"/>
            <w:vAlign w:val="center"/>
          </w:tcPr>
          <w:p w14:paraId="491B4DFF">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监理人：</w:t>
            </w:r>
          </w:p>
        </w:tc>
        <w:tc>
          <w:tcPr>
            <w:tcW w:w="2284" w:type="dxa"/>
            <w:vAlign w:val="center"/>
          </w:tcPr>
          <w:p w14:paraId="452ACA25">
            <w:pPr>
              <w:adjustRightInd w:val="0"/>
              <w:snapToGrid w:val="0"/>
              <w:spacing w:line="360" w:lineRule="auto"/>
              <w:ind w:firstLine="480" w:firstLineChars="200"/>
              <w:rPr>
                <w:rFonts w:ascii="宋体" w:cs="宋体"/>
                <w:snapToGrid w:val="0"/>
                <w:kern w:val="0"/>
                <w:sz w:val="24"/>
                <w:highlight w:val="none"/>
              </w:rPr>
            </w:pPr>
          </w:p>
        </w:tc>
      </w:tr>
      <w:tr w14:paraId="4B61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405" w:type="dxa"/>
            <w:vAlign w:val="center"/>
          </w:tcPr>
          <w:p w14:paraId="3DDD64B5">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法定代表人：</w:t>
            </w:r>
          </w:p>
        </w:tc>
        <w:tc>
          <w:tcPr>
            <w:tcW w:w="2318" w:type="dxa"/>
            <w:vAlign w:val="center"/>
          </w:tcPr>
          <w:p w14:paraId="50863F32">
            <w:pPr>
              <w:adjustRightInd w:val="0"/>
              <w:snapToGrid w:val="0"/>
              <w:spacing w:line="360" w:lineRule="auto"/>
              <w:ind w:firstLine="480" w:firstLineChars="200"/>
              <w:rPr>
                <w:rFonts w:ascii="宋体" w:cs="宋体"/>
                <w:snapToGrid w:val="0"/>
                <w:kern w:val="0"/>
                <w:sz w:val="24"/>
                <w:highlight w:val="none"/>
              </w:rPr>
            </w:pPr>
          </w:p>
        </w:tc>
        <w:tc>
          <w:tcPr>
            <w:tcW w:w="2218" w:type="dxa"/>
            <w:vAlign w:val="center"/>
          </w:tcPr>
          <w:p w14:paraId="304B9B87">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法定代表人：</w:t>
            </w:r>
          </w:p>
        </w:tc>
        <w:tc>
          <w:tcPr>
            <w:tcW w:w="2284" w:type="dxa"/>
            <w:vAlign w:val="center"/>
          </w:tcPr>
          <w:p w14:paraId="5BC647CE">
            <w:pPr>
              <w:adjustRightInd w:val="0"/>
              <w:snapToGrid w:val="0"/>
              <w:spacing w:line="360" w:lineRule="auto"/>
              <w:ind w:firstLine="480" w:firstLineChars="200"/>
              <w:rPr>
                <w:rFonts w:ascii="宋体" w:cs="宋体"/>
                <w:snapToGrid w:val="0"/>
                <w:kern w:val="0"/>
                <w:sz w:val="24"/>
                <w:highlight w:val="none"/>
              </w:rPr>
            </w:pPr>
          </w:p>
        </w:tc>
      </w:tr>
      <w:tr w14:paraId="6DC15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4" w:hRule="exact"/>
        </w:trPr>
        <w:tc>
          <w:tcPr>
            <w:tcW w:w="2405" w:type="dxa"/>
            <w:vAlign w:val="center"/>
          </w:tcPr>
          <w:p w14:paraId="6D7E8064">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住所：</w:t>
            </w:r>
          </w:p>
        </w:tc>
        <w:tc>
          <w:tcPr>
            <w:tcW w:w="2318" w:type="dxa"/>
            <w:vAlign w:val="center"/>
          </w:tcPr>
          <w:p w14:paraId="7EFFC27A">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 xml:space="preserve">广州市黄埔区开创大道2507号601、602、603、604、701、702、703、704、801、802、803、804室 </w:t>
            </w:r>
          </w:p>
        </w:tc>
        <w:tc>
          <w:tcPr>
            <w:tcW w:w="2218" w:type="dxa"/>
            <w:vAlign w:val="center"/>
          </w:tcPr>
          <w:p w14:paraId="5A7AAAFD">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住所：</w:t>
            </w:r>
          </w:p>
        </w:tc>
        <w:tc>
          <w:tcPr>
            <w:tcW w:w="2284" w:type="dxa"/>
            <w:vAlign w:val="center"/>
          </w:tcPr>
          <w:p w14:paraId="5CD69BA8">
            <w:pPr>
              <w:adjustRightInd w:val="0"/>
              <w:snapToGrid w:val="0"/>
              <w:spacing w:line="360" w:lineRule="auto"/>
              <w:ind w:firstLine="480" w:firstLineChars="200"/>
              <w:rPr>
                <w:rFonts w:ascii="宋体" w:cs="宋体"/>
                <w:snapToGrid w:val="0"/>
                <w:kern w:val="0"/>
                <w:sz w:val="24"/>
                <w:highlight w:val="none"/>
              </w:rPr>
            </w:pPr>
          </w:p>
        </w:tc>
      </w:tr>
      <w:tr w14:paraId="501A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405" w:type="dxa"/>
            <w:vAlign w:val="center"/>
          </w:tcPr>
          <w:p w14:paraId="7D93D7F6">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电话：</w:t>
            </w:r>
          </w:p>
        </w:tc>
        <w:tc>
          <w:tcPr>
            <w:tcW w:w="2318" w:type="dxa"/>
            <w:vAlign w:val="center"/>
          </w:tcPr>
          <w:p w14:paraId="5161F103">
            <w:pPr>
              <w:widowControl/>
              <w:jc w:val="left"/>
              <w:rPr>
                <w:rFonts w:ascii="宋体" w:cs="宋体"/>
                <w:snapToGrid w:val="0"/>
                <w:kern w:val="0"/>
                <w:sz w:val="24"/>
                <w:highlight w:val="none"/>
              </w:rPr>
            </w:pPr>
            <w:r>
              <w:rPr>
                <w:rFonts w:ascii="宋体" w:cs="宋体"/>
                <w:snapToGrid w:val="0"/>
                <w:kern w:val="0"/>
                <w:sz w:val="24"/>
                <w:highlight w:val="none"/>
              </w:rPr>
              <w:t xml:space="preserve">020-82114555 </w:t>
            </w:r>
          </w:p>
        </w:tc>
        <w:tc>
          <w:tcPr>
            <w:tcW w:w="2218" w:type="dxa"/>
            <w:vAlign w:val="center"/>
          </w:tcPr>
          <w:p w14:paraId="2ACBC6E2">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电话：</w:t>
            </w:r>
          </w:p>
        </w:tc>
        <w:tc>
          <w:tcPr>
            <w:tcW w:w="2284" w:type="dxa"/>
            <w:vAlign w:val="center"/>
          </w:tcPr>
          <w:p w14:paraId="4138FFCB">
            <w:pPr>
              <w:adjustRightInd w:val="0"/>
              <w:snapToGrid w:val="0"/>
              <w:spacing w:line="360" w:lineRule="auto"/>
              <w:ind w:firstLine="480" w:firstLineChars="200"/>
              <w:rPr>
                <w:rFonts w:ascii="宋体" w:cs="宋体"/>
                <w:snapToGrid w:val="0"/>
                <w:kern w:val="0"/>
                <w:sz w:val="24"/>
                <w:highlight w:val="none"/>
              </w:rPr>
            </w:pPr>
          </w:p>
        </w:tc>
      </w:tr>
    </w:tbl>
    <w:p w14:paraId="63074138">
      <w:pPr>
        <w:spacing w:line="360" w:lineRule="auto"/>
        <w:ind w:firstLine="480" w:firstLineChars="200"/>
        <w:rPr>
          <w:rFonts w:hint="eastAsia" w:ascii="宋体" w:cs="宋体"/>
          <w:snapToGrid w:val="0"/>
          <w:kern w:val="0"/>
          <w:sz w:val="24"/>
          <w:highlight w:val="none"/>
        </w:rPr>
      </w:pPr>
    </w:p>
    <w:p w14:paraId="1F5621C4">
      <w:pPr>
        <w:spacing w:line="360" w:lineRule="auto"/>
        <w:ind w:firstLine="480" w:firstLineChars="200"/>
        <w:rPr>
          <w:rFonts w:hint="eastAsia" w:ascii="宋体" w:cs="宋体"/>
          <w:snapToGrid w:val="0"/>
          <w:kern w:val="0"/>
          <w:sz w:val="24"/>
          <w:highlight w:val="none"/>
        </w:rPr>
      </w:pPr>
      <w:r>
        <w:rPr>
          <w:rFonts w:hint="eastAsia" w:ascii="宋体" w:cs="宋体"/>
          <w:snapToGrid w:val="0"/>
          <w:kern w:val="0"/>
          <w:sz w:val="24"/>
          <w:highlight w:val="none"/>
        </w:rPr>
        <w:t>项目管理公司：广州科城亨元柯庄投资运营有限公司</w:t>
      </w:r>
    </w:p>
    <w:p w14:paraId="1BBAC671">
      <w:pPr>
        <w:spacing w:line="360" w:lineRule="auto"/>
        <w:ind w:firstLine="480" w:firstLineChars="200"/>
        <w:rPr>
          <w:rFonts w:hint="eastAsia" w:ascii="宋体" w:cs="宋体"/>
          <w:snapToGrid w:val="0"/>
          <w:kern w:val="0"/>
          <w:sz w:val="24"/>
          <w:highlight w:val="none"/>
        </w:rPr>
      </w:pPr>
      <w:r>
        <w:rPr>
          <w:rFonts w:hint="eastAsia" w:ascii="宋体" w:cs="宋体"/>
          <w:snapToGrid w:val="0"/>
          <w:kern w:val="0"/>
          <w:sz w:val="24"/>
          <w:highlight w:val="none"/>
        </w:rPr>
        <w:t>法定代表人：游焕明</w:t>
      </w:r>
    </w:p>
    <w:p w14:paraId="6B634C88">
      <w:pPr>
        <w:spacing w:line="360" w:lineRule="auto"/>
        <w:ind w:firstLine="480" w:firstLineChars="200"/>
        <w:rPr>
          <w:rFonts w:hint="eastAsia" w:ascii="宋体" w:cs="宋体"/>
          <w:snapToGrid w:val="0"/>
          <w:kern w:val="0"/>
          <w:sz w:val="24"/>
          <w:highlight w:val="none"/>
        </w:rPr>
      </w:pPr>
      <w:r>
        <w:rPr>
          <w:rFonts w:hint="eastAsia" w:ascii="宋体" w:cs="宋体"/>
          <w:snapToGrid w:val="0"/>
          <w:kern w:val="0"/>
          <w:sz w:val="24"/>
          <w:highlight w:val="none"/>
        </w:rPr>
        <w:t>联系人：</w:t>
      </w:r>
    </w:p>
    <w:p w14:paraId="570DB1BB">
      <w:pPr>
        <w:spacing w:line="360" w:lineRule="auto"/>
        <w:ind w:firstLine="480" w:firstLineChars="200"/>
        <w:rPr>
          <w:rFonts w:hint="eastAsia" w:ascii="宋体" w:cs="宋体"/>
          <w:snapToGrid w:val="0"/>
          <w:kern w:val="0"/>
          <w:sz w:val="24"/>
          <w:highlight w:val="none"/>
        </w:rPr>
      </w:pPr>
      <w:r>
        <w:rPr>
          <w:rFonts w:hint="eastAsia" w:ascii="宋体" w:cs="宋体"/>
          <w:snapToGrid w:val="0"/>
          <w:kern w:val="0"/>
          <w:sz w:val="24"/>
          <w:highlight w:val="none"/>
        </w:rPr>
        <w:t>联系电话：020-82114500</w:t>
      </w:r>
    </w:p>
    <w:p w14:paraId="38D20422">
      <w:pPr>
        <w:spacing w:line="360" w:lineRule="auto"/>
        <w:ind w:firstLine="480" w:firstLineChars="200"/>
        <w:rPr>
          <w:rFonts w:hint="eastAsia"/>
          <w:highlight w:val="none"/>
        </w:rPr>
      </w:pPr>
      <w:r>
        <w:rPr>
          <w:rFonts w:hint="eastAsia" w:ascii="宋体" w:cs="宋体"/>
          <w:snapToGrid w:val="0"/>
          <w:kern w:val="0"/>
          <w:sz w:val="24"/>
          <w:highlight w:val="none"/>
        </w:rPr>
        <w:t>联系地址：广州市黄埔区开创大道2507号802室</w:t>
      </w:r>
    </w:p>
    <w:p w14:paraId="7120BA38">
      <w:pPr>
        <w:pStyle w:val="7"/>
        <w:rPr>
          <w:rFonts w:hint="eastAsia" w:ascii="宋体" w:cs="宋体"/>
          <w:snapToGrid w:val="0"/>
          <w:kern w:val="0"/>
          <w:sz w:val="24"/>
          <w:highlight w:val="none"/>
        </w:rPr>
      </w:pPr>
    </w:p>
    <w:p w14:paraId="153AE215">
      <w:pPr>
        <w:rPr>
          <w:rFonts w:hint="eastAsia" w:ascii="宋体" w:cs="宋体"/>
          <w:snapToGrid w:val="0"/>
          <w:kern w:val="0"/>
          <w:sz w:val="24"/>
          <w:highlight w:val="none"/>
        </w:rPr>
      </w:pPr>
    </w:p>
    <w:p w14:paraId="7B49327D">
      <w:pPr>
        <w:pStyle w:val="7"/>
        <w:rPr>
          <w:rFonts w:hint="eastAsia" w:ascii="宋体" w:cs="宋体"/>
          <w:snapToGrid w:val="0"/>
          <w:kern w:val="0"/>
          <w:sz w:val="24"/>
          <w:highlight w:val="none"/>
        </w:rPr>
      </w:pPr>
    </w:p>
    <w:p w14:paraId="01060081">
      <w:pPr>
        <w:rPr>
          <w:rFonts w:hint="eastAsia"/>
          <w:highlight w:val="none"/>
        </w:rPr>
      </w:pPr>
    </w:p>
    <w:p w14:paraId="388654D4">
      <w:pPr>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签订地点：广东省广州市黄埔区。</w:t>
      </w:r>
    </w:p>
    <w:p w14:paraId="7F66BC49">
      <w:pPr>
        <w:adjustRightInd w:val="0"/>
        <w:snapToGrid w:val="0"/>
        <w:spacing w:line="360" w:lineRule="auto"/>
        <w:ind w:firstLine="482" w:firstLineChars="200"/>
        <w:jc w:val="center"/>
        <w:rPr>
          <w:rFonts w:ascii="宋体" w:cs="宋体"/>
          <w:b/>
          <w:bCs/>
          <w:snapToGrid w:val="0"/>
          <w:kern w:val="0"/>
          <w:sz w:val="36"/>
          <w:szCs w:val="36"/>
          <w:highlight w:val="none"/>
        </w:rPr>
      </w:pPr>
      <w:r>
        <w:rPr>
          <w:rFonts w:hint="eastAsia" w:ascii="宋体" w:cs="宋体"/>
          <w:b/>
          <w:bCs/>
          <w:snapToGrid w:val="0"/>
          <w:kern w:val="0"/>
          <w:sz w:val="24"/>
          <w:highlight w:val="none"/>
        </w:rPr>
        <w:br w:type="page"/>
      </w:r>
      <w:r>
        <w:rPr>
          <w:rFonts w:hint="eastAsia" w:ascii="宋体" w:cs="宋体"/>
          <w:b/>
          <w:bCs/>
          <w:snapToGrid w:val="0"/>
          <w:kern w:val="0"/>
          <w:sz w:val="36"/>
          <w:szCs w:val="36"/>
          <w:highlight w:val="none"/>
        </w:rPr>
        <w:t>第二章  标准条款</w:t>
      </w:r>
    </w:p>
    <w:p w14:paraId="04012015">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词语定义、适用范围和法规</w:t>
      </w:r>
    </w:p>
    <w:p w14:paraId="6DE6D974">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第一条</w:t>
      </w:r>
      <w:r>
        <w:rPr>
          <w:rFonts w:hint="eastAsia" w:ascii="宋体" w:cs="宋体"/>
          <w:snapToGrid w:val="0"/>
          <w:kern w:val="0"/>
          <w:sz w:val="24"/>
          <w:highlight w:val="none"/>
        </w:rPr>
        <w:t xml:space="preserve"> 下列名词和用语，除上下文另有规定外，有如下含义：</w:t>
      </w:r>
    </w:p>
    <w:p w14:paraId="0FB47CF7">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（1）“工程”是指发包人委托实施监理的工程。</w:t>
      </w:r>
    </w:p>
    <w:p w14:paraId="0B5EF204">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（2）“发包人”是指承担直接投资责任和委托监理业务的一方以及其合法继承人。</w:t>
      </w:r>
    </w:p>
    <w:p w14:paraId="2785675D">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（3）“监理人”是指承担监理业务和监理责任的一方以及其合法继承人。</w:t>
      </w:r>
    </w:p>
    <w:p w14:paraId="239DFEBE">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（4）“监理机构”是指监理人派驻本合同工程现场实施监理业务的组织。</w:t>
      </w:r>
    </w:p>
    <w:p w14:paraId="6218ED64">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（5）“总监理工程师”是指经发包人同意，监理人派到监理机构全面履行本合同的全权负责人。</w:t>
      </w:r>
    </w:p>
    <w:p w14:paraId="3E375AD3">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（6）“承包人”是指除监理人以外，与发包人就工程建设有关事宜签订合同的当事人。</w:t>
      </w:r>
    </w:p>
    <w:p w14:paraId="76A6CD11">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（7）“工程监理的正常工作”是指双方在专用条款中约定，发包人委托的监理工作范围和内容。</w:t>
      </w:r>
    </w:p>
    <w:p w14:paraId="18896EAF">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（8）“工程监理的附加工作”是指：①发包人委托监理范围以外，通过双方书面协议另外增加的工作内容；②由于发包人或承包人原因，使监理工作受到阻碍或延误，因增加工作量或持续时间而增加的工作。</w:t>
      </w:r>
    </w:p>
    <w:p w14:paraId="571CAA90">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（9）“工程监理的额外工作”是指正常工作和附加工作以外，根据第三十六条规定监理人必须完成的工作，或非监理人自己的原因而暂停或终止监理业务，其善后工作及恢复监理业务的工作。</w:t>
      </w:r>
    </w:p>
    <w:p w14:paraId="0D342791">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（10）“日”是指任何一日零时至第二日零时的时间段。</w:t>
      </w:r>
    </w:p>
    <w:p w14:paraId="55049591">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（11）“月”是指根据公历从一个月份中任何一日开始到下一个月相应日期的前一日的时间段。</w:t>
      </w:r>
    </w:p>
    <w:p w14:paraId="54FB2440">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第二条</w:t>
      </w:r>
      <w:r>
        <w:rPr>
          <w:rFonts w:hint="eastAsia" w:ascii="宋体" w:cs="宋体"/>
          <w:snapToGrid w:val="0"/>
          <w:kern w:val="0"/>
          <w:sz w:val="24"/>
          <w:highlight w:val="none"/>
        </w:rPr>
        <w:t xml:space="preserve"> 建设工程施工监理合同适用的法律是指国家的法律、行政法规，以及专用条款中议定的部门规章或工程所在地的地方法规、地方规章。</w:t>
      </w:r>
    </w:p>
    <w:p w14:paraId="5B9873B7">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第三条</w:t>
      </w:r>
      <w:r>
        <w:rPr>
          <w:rFonts w:hint="eastAsia" w:ascii="宋体" w:cs="宋体"/>
          <w:snapToGrid w:val="0"/>
          <w:kern w:val="0"/>
          <w:sz w:val="24"/>
          <w:highlight w:val="none"/>
        </w:rPr>
        <w:t xml:space="preserve"> 本合同文件使用汉语语言文字书写、解释和说明。如专用条款约定使用两种以上（含两种）语言文字时，汉语应为解释和说明本合同的标准语言文字。</w:t>
      </w:r>
    </w:p>
    <w:p w14:paraId="09CC9055">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监理人义务</w:t>
      </w:r>
    </w:p>
    <w:p w14:paraId="41F9A260">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第四条</w:t>
      </w:r>
      <w:r>
        <w:rPr>
          <w:rFonts w:hint="eastAsia" w:ascii="宋体" w:cs="宋体"/>
          <w:snapToGrid w:val="0"/>
          <w:kern w:val="0"/>
          <w:sz w:val="24"/>
          <w:highlight w:val="none"/>
        </w:rPr>
        <w:t xml:space="preserve"> 监理人按合同约定派出监理工作需要的监理机构及监理人员，向发包人报送委派的总监理工程师及其监理机构主要成员名单、监理规划，完成监理合同专用条款中约定的监理工程范围内的监理业务。在履行合同义务期间，应按合同约定定期向发包人报告监理工作。</w:t>
      </w:r>
    </w:p>
    <w:p w14:paraId="53184ADD">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第五条</w:t>
      </w:r>
      <w:r>
        <w:rPr>
          <w:rFonts w:hint="eastAsia" w:ascii="宋体" w:cs="宋体"/>
          <w:snapToGrid w:val="0"/>
          <w:kern w:val="0"/>
          <w:sz w:val="24"/>
          <w:highlight w:val="none"/>
        </w:rPr>
        <w:t xml:space="preserve"> 监理人在履行本合同的义务期间，应认真、勤奋地工作，为发包人提供与其水平相适应的咨询意见，公正维护各方面的合法权益。</w:t>
      </w:r>
    </w:p>
    <w:p w14:paraId="421E02F4">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第六条</w:t>
      </w:r>
      <w:r>
        <w:rPr>
          <w:rFonts w:hint="eastAsia" w:ascii="宋体" w:cs="宋体"/>
          <w:snapToGrid w:val="0"/>
          <w:kern w:val="0"/>
          <w:sz w:val="24"/>
          <w:highlight w:val="none"/>
        </w:rPr>
        <w:t xml:space="preserve"> 监理人使用发包人提供的设施和物品属发包人的财产。在监理工作完成或中止时，应将其设施和剩余的物品按合同约定的时间和方式移交给发包人。</w:t>
      </w:r>
    </w:p>
    <w:p w14:paraId="5DD99722">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第七条</w:t>
      </w:r>
      <w:r>
        <w:rPr>
          <w:rFonts w:hint="eastAsia" w:ascii="宋体" w:cs="宋体"/>
          <w:snapToGrid w:val="0"/>
          <w:kern w:val="0"/>
          <w:sz w:val="24"/>
          <w:highlight w:val="none"/>
        </w:rPr>
        <w:t xml:space="preserve"> 在合同期内或合同终止后，未征得有关方同意，不得泄露与本合同工程、本合同业务有关的保密资料。</w:t>
      </w:r>
    </w:p>
    <w:p w14:paraId="27801295">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发包人义务</w:t>
      </w:r>
    </w:p>
    <w:p w14:paraId="1F424178">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第八条</w:t>
      </w:r>
      <w:r>
        <w:rPr>
          <w:rFonts w:hint="eastAsia" w:ascii="宋体" w:cs="宋体"/>
          <w:snapToGrid w:val="0"/>
          <w:kern w:val="0"/>
          <w:sz w:val="24"/>
          <w:highlight w:val="none"/>
        </w:rPr>
        <w:t xml:space="preserve"> 发包人在监理人开展监理业务之前应向监理人支付预付款。</w:t>
      </w:r>
    </w:p>
    <w:p w14:paraId="19D239BC">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第九条</w:t>
      </w:r>
      <w:r>
        <w:rPr>
          <w:rFonts w:hint="eastAsia" w:ascii="宋体" w:cs="宋体"/>
          <w:snapToGrid w:val="0"/>
          <w:kern w:val="0"/>
          <w:sz w:val="24"/>
          <w:highlight w:val="none"/>
        </w:rPr>
        <w:t xml:space="preserve"> 发包人应当负责工程建设的所有外部关系的协调，为监理工作提供外部条件。根据需要，如将部分或全部协调工作委托监理人承担，则应在专用条款中明确委托的工作和相应的报酬。</w:t>
      </w:r>
    </w:p>
    <w:p w14:paraId="4900E1CA">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第十条</w:t>
      </w:r>
      <w:r>
        <w:rPr>
          <w:rFonts w:hint="eastAsia" w:ascii="宋体" w:cs="宋体"/>
          <w:snapToGrid w:val="0"/>
          <w:kern w:val="0"/>
          <w:sz w:val="24"/>
          <w:highlight w:val="none"/>
        </w:rPr>
        <w:t xml:space="preserve"> 发包人应当在双方约定的时间内免费向监理人提供与工程有关的为监理工作所需要的工程资料。</w:t>
      </w:r>
    </w:p>
    <w:p w14:paraId="5DA50498">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第十一条</w:t>
      </w:r>
      <w:r>
        <w:rPr>
          <w:rFonts w:hint="eastAsia" w:ascii="宋体" w:cs="宋体"/>
          <w:snapToGrid w:val="0"/>
          <w:kern w:val="0"/>
          <w:sz w:val="24"/>
          <w:highlight w:val="none"/>
        </w:rPr>
        <w:t xml:space="preserve"> 发包人应当在专用条款约定的时间内就监理人书面提交并要求做出决定的一切事宜作出书面决定。</w:t>
      </w:r>
    </w:p>
    <w:p w14:paraId="41CDC7E9">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第十二条</w:t>
      </w:r>
      <w:r>
        <w:rPr>
          <w:rFonts w:hint="eastAsia" w:ascii="宋体" w:cs="宋体"/>
          <w:snapToGrid w:val="0"/>
          <w:kern w:val="0"/>
          <w:sz w:val="24"/>
          <w:highlight w:val="none"/>
        </w:rPr>
        <w:t xml:space="preserve"> 发包人应当授权一名熟悉工程情况、能在规定时间内做出决定的常驻代表（在专用条款中约定），负责与监理人联系。更换常驻代表，要提前通知监理人。</w:t>
      </w:r>
    </w:p>
    <w:p w14:paraId="1487D511">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第十三条</w:t>
      </w:r>
      <w:r>
        <w:rPr>
          <w:rFonts w:hint="eastAsia" w:ascii="宋体" w:cs="宋体"/>
          <w:snapToGrid w:val="0"/>
          <w:kern w:val="0"/>
          <w:sz w:val="24"/>
          <w:highlight w:val="none"/>
        </w:rPr>
        <w:t xml:space="preserve"> 发包人应当将授予监理人的监理权利，以及监理人主要成员的职能分工、监理权限及时书面通知已选定的承包合同的承包人，并在与第三人签订的合同中予以明确。</w:t>
      </w:r>
    </w:p>
    <w:p w14:paraId="15BA8449">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第十四条</w:t>
      </w:r>
      <w:r>
        <w:rPr>
          <w:rFonts w:hint="eastAsia" w:ascii="宋体" w:cs="宋体"/>
          <w:snapToGrid w:val="0"/>
          <w:kern w:val="0"/>
          <w:sz w:val="24"/>
          <w:highlight w:val="none"/>
        </w:rPr>
        <w:t xml:space="preserve"> 发包人应在不影响监理人开展监理工作的时间内提供如下资料：</w:t>
      </w:r>
    </w:p>
    <w:p w14:paraId="262C8CD9">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（1）与本合同工程合作的原材料、构配件、设备等生产厂家名录。</w:t>
      </w:r>
    </w:p>
    <w:p w14:paraId="695A6E59">
      <w:pPr>
        <w:adjustRightInd w:val="0"/>
        <w:snapToGrid w:val="0"/>
        <w:spacing w:line="360" w:lineRule="auto"/>
        <w:ind w:firstLine="480" w:firstLineChars="200"/>
        <w:rPr>
          <w:rFonts w:ascii="宋体" w:cs="宋体"/>
          <w:b/>
          <w:bCs/>
          <w:snapToGrid w:val="0"/>
          <w:kern w:val="0"/>
          <w:sz w:val="24"/>
          <w:highlight w:val="none"/>
        </w:rPr>
      </w:pPr>
      <w:r>
        <w:rPr>
          <w:rFonts w:hint="eastAsia" w:ascii="宋体" w:cs="宋体"/>
          <w:snapToGrid w:val="0"/>
          <w:kern w:val="0"/>
          <w:sz w:val="24"/>
          <w:highlight w:val="none"/>
        </w:rPr>
        <w:t>（2）提供与本合同工程有关的协作单位、配合单位的名录。</w:t>
      </w:r>
    </w:p>
    <w:p w14:paraId="69AC4C0A">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第十五条</w:t>
      </w:r>
      <w:r>
        <w:rPr>
          <w:rFonts w:hint="eastAsia" w:ascii="宋体" w:cs="宋体"/>
          <w:snapToGrid w:val="0"/>
          <w:kern w:val="0"/>
          <w:sz w:val="24"/>
          <w:highlight w:val="none"/>
        </w:rPr>
        <w:t xml:space="preserve"> </w:t>
      </w:r>
      <w:r>
        <w:rPr>
          <w:rFonts w:hint="eastAsia" w:ascii="宋体" w:cs="宋体"/>
          <w:sz w:val="24"/>
          <w:highlight w:val="none"/>
        </w:rPr>
        <w:t>发包人应免费向监理人提供办公用房、通讯设施、监理人员工地住房及合同专用条款约定的设施。</w:t>
      </w:r>
    </w:p>
    <w:p w14:paraId="7D72831A">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第十六条</w:t>
      </w:r>
      <w:r>
        <w:rPr>
          <w:rFonts w:hint="eastAsia" w:ascii="宋体" w:cs="宋体"/>
          <w:snapToGrid w:val="0"/>
          <w:kern w:val="0"/>
          <w:sz w:val="24"/>
          <w:highlight w:val="none"/>
        </w:rPr>
        <w:t xml:space="preserve"> 根据情况需要，如果双方约定，由发包人免费向监理人提供其他人员，应在监理合同专用条款中予以明确。</w:t>
      </w:r>
    </w:p>
    <w:p w14:paraId="7D920966">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监理人权利</w:t>
      </w:r>
    </w:p>
    <w:p w14:paraId="556C9D12">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第十七条</w:t>
      </w:r>
      <w:r>
        <w:rPr>
          <w:rFonts w:hint="eastAsia" w:ascii="宋体" w:cs="宋体"/>
          <w:snapToGrid w:val="0"/>
          <w:kern w:val="0"/>
          <w:sz w:val="24"/>
          <w:highlight w:val="none"/>
        </w:rPr>
        <w:t xml:space="preserve"> 监理人在发包人委托的工程范围内，享有以下权利：</w:t>
      </w:r>
    </w:p>
    <w:p w14:paraId="4D15887A">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（1）选择工程分包人的建议权。</w:t>
      </w:r>
    </w:p>
    <w:p w14:paraId="39DF40D2">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（2）对工程建设有关事项包括工程规模、设计标准、规划设计、生产工艺设计和使用功能要求，向发包人的建议权。</w:t>
      </w:r>
    </w:p>
    <w:p w14:paraId="513164C8">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3）对工程设计中的技术问题，按照安全和优化的原则，向发包人提出建议；如果拟提出的建议可能会提高工程造价，或延长工期，应当事先征得发包人的同意。当发现工程设计不符合国家颁布的建设工程质量标准或设计合同约定的质量标准时，监理人应当书面报告发包人并要求设计人更正。</w:t>
      </w:r>
    </w:p>
    <w:p w14:paraId="0CD563D6">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（4）审批工程施工组织设计和技术方案，按照保质量、保工期和降低成本的原则，向承包人提出建议，并向发包人提出书面报告。</w:t>
      </w:r>
    </w:p>
    <w:p w14:paraId="12847321">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（5）主持工程建设有关协作单位的组织协调，重要协调事项应当事先向发包人报告。</w:t>
      </w:r>
    </w:p>
    <w:p w14:paraId="279BFA0F">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（6）征得发包人同意，监理人有权发布开工令、停工令、复工令，但应当事先向发包人报告。如在紧急情况下未能事先报告时，则应在24小时内向发包人做出书面报告。</w:t>
      </w:r>
    </w:p>
    <w:p w14:paraId="09A498C5">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7）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6AA8E57A">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（8）工程施工进度的检查、监督权，以及工程实际竣工日期提前或超过工程施工合同规定的竣工期限的签认权。</w:t>
      </w:r>
    </w:p>
    <w:p w14:paraId="61BA4030">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（9）在工程施工合同约定的工程价格范围内，工程款支付的审核和签认权，以及工程结算的复核确认权与否决权。未经总监理工程师签字确认，发包人不支付工程款。</w:t>
      </w:r>
    </w:p>
    <w:p w14:paraId="69E4E30D">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第十八条</w:t>
      </w:r>
      <w:r>
        <w:rPr>
          <w:rFonts w:hint="eastAsia" w:ascii="宋体" w:cs="宋体"/>
          <w:snapToGrid w:val="0"/>
          <w:kern w:val="0"/>
          <w:sz w:val="24"/>
          <w:highlight w:val="none"/>
        </w:rPr>
        <w:t xml:space="preserve"> 监理人在发包人授权下，可对任何承包人合同规定的义务提出变更。如果由此严重影响了工程费用或质量或进度，则这种变更须经发包人事先批准。在紧急情况下未能事先报发包人批准时，监理人所做的变更也应尽快通知发包人。在监理过程中如发现承包人人员工作不力，项目监理机构可要求承包人调换有关人员。</w:t>
      </w:r>
    </w:p>
    <w:p w14:paraId="32B69573">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第十九条</w:t>
      </w:r>
      <w:r>
        <w:rPr>
          <w:rFonts w:hint="eastAsia" w:ascii="宋体" w:cs="宋体"/>
          <w:snapToGrid w:val="0"/>
          <w:kern w:val="0"/>
          <w:sz w:val="24"/>
          <w:highlight w:val="none"/>
        </w:rPr>
        <w:t xml:space="preserve"> 在委托的工程范围内，发包人或承包人对对方的任何意见和要求（包括索赔要求），均必须首先向监理机构提出，由监理机构研究处置意见，再同双方协商确定。当发包人和承包人发生争议时，监理机构应根据自己的职能，以独立的身份判断，公正地进行调解。当双方的争议由政府建设行政主管部门调解或仲裁机关仲裁时，监理人应当提供作证的事实材料。</w:t>
      </w:r>
    </w:p>
    <w:p w14:paraId="27004850">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发包人权利</w:t>
      </w:r>
    </w:p>
    <w:p w14:paraId="0A590568">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第二十条</w:t>
      </w:r>
      <w:r>
        <w:rPr>
          <w:rFonts w:hint="eastAsia" w:ascii="宋体" w:cs="宋体"/>
          <w:snapToGrid w:val="0"/>
          <w:kern w:val="0"/>
          <w:sz w:val="24"/>
          <w:highlight w:val="none"/>
        </w:rPr>
        <w:t xml:space="preserve"> 发包人有选定工程总承包人，以及与其订立合同的权利。</w:t>
      </w:r>
    </w:p>
    <w:p w14:paraId="5091BA23">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第二十一条</w:t>
      </w:r>
      <w:r>
        <w:rPr>
          <w:rFonts w:hint="eastAsia" w:ascii="宋体" w:cs="宋体"/>
          <w:snapToGrid w:val="0"/>
          <w:kern w:val="0"/>
          <w:sz w:val="24"/>
          <w:highlight w:val="none"/>
        </w:rPr>
        <w:t xml:space="preserve"> 发包人有对工程规模、设计标准、规划设计、生产工艺设计和设计使用功能要求的认定权，以及对工程设计变更的审批权。</w:t>
      </w:r>
    </w:p>
    <w:p w14:paraId="0C1A7285">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第二十二条</w:t>
      </w:r>
      <w:r>
        <w:rPr>
          <w:rFonts w:hint="eastAsia" w:ascii="宋体" w:cs="宋体"/>
          <w:snapToGrid w:val="0"/>
          <w:kern w:val="0"/>
          <w:sz w:val="24"/>
          <w:highlight w:val="none"/>
        </w:rPr>
        <w:t xml:space="preserve"> 监理人调换总监理工程师须事先经发包人同意。</w:t>
      </w:r>
    </w:p>
    <w:p w14:paraId="54E09DEF">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第二十三条</w:t>
      </w:r>
      <w:r>
        <w:rPr>
          <w:rFonts w:hint="eastAsia" w:ascii="宋体" w:cs="宋体"/>
          <w:snapToGrid w:val="0"/>
          <w:kern w:val="0"/>
          <w:sz w:val="24"/>
          <w:highlight w:val="none"/>
        </w:rPr>
        <w:t xml:space="preserve"> 发包人有权要求监理人提交监理工作月报及监理业务范围内的专项报告。</w:t>
      </w:r>
    </w:p>
    <w:p w14:paraId="621D3D86">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第二十四条</w:t>
      </w:r>
      <w:r>
        <w:rPr>
          <w:rFonts w:hint="eastAsia" w:ascii="宋体" w:cs="宋体"/>
          <w:snapToGrid w:val="0"/>
          <w:kern w:val="0"/>
          <w:sz w:val="24"/>
          <w:highlight w:val="none"/>
        </w:rPr>
        <w:t xml:space="preserve"> 当发包人发现监理人员不按监理合同履行监理职责，或与承包人串通给发包人或工程造成损失的，发包人有权要求监理人更换监理人员，直到解除合同并要求监理人承担相应的赔偿责任或连带赔偿责任。</w:t>
      </w:r>
    </w:p>
    <w:p w14:paraId="5C168170">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监理人责任</w:t>
      </w:r>
    </w:p>
    <w:p w14:paraId="61C55850">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 xml:space="preserve">第二十五条 </w:t>
      </w:r>
      <w:r>
        <w:rPr>
          <w:rFonts w:hint="eastAsia" w:ascii="宋体" w:cs="宋体"/>
          <w:snapToGrid w:val="0"/>
          <w:kern w:val="0"/>
          <w:sz w:val="24"/>
          <w:highlight w:val="none"/>
        </w:rPr>
        <w:t>监理人的责任期即本施工监理合同有效期。在监理过程中，如果因工程建设进度的推迟或延误而超过书面约定的日期，双方应进一步约定相应延长的合同期。</w:t>
      </w:r>
    </w:p>
    <w:p w14:paraId="36D87120">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第二十六条</w:t>
      </w:r>
      <w:r>
        <w:rPr>
          <w:rFonts w:hint="eastAsia" w:ascii="宋体" w:cs="宋体"/>
          <w:snapToGrid w:val="0"/>
          <w:kern w:val="0"/>
          <w:sz w:val="24"/>
          <w:highlight w:val="none"/>
        </w:rPr>
        <w:t xml:space="preserve"> 监理人在责任期内，应当履行约定的义务，如果因监理人过失而造成了发包人的经济损失，应当向发包人赔偿。累计赔偿总额（除本合同第二十四条规定以外）不应超过监理报酬总额（除去税金）。</w:t>
      </w:r>
    </w:p>
    <w:p w14:paraId="5727EB66">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第二十七条</w:t>
      </w:r>
      <w:r>
        <w:rPr>
          <w:rFonts w:hint="eastAsia" w:ascii="宋体" w:cs="宋体"/>
          <w:snapToGrid w:val="0"/>
          <w:kern w:val="0"/>
          <w:sz w:val="24"/>
          <w:highlight w:val="none"/>
        </w:rPr>
        <w:t xml:space="preserve"> 监理人对承包人违反合同规定的质量要求和完工（交图、交货）时限，不承担责任。因不可抗力导致施工监理合同不能全部或部分履行，监理人不承担责任。但对违反第五条规定引起的与之有关的事宜，向发包人承担赔偿责任。</w:t>
      </w:r>
    </w:p>
    <w:p w14:paraId="60F73B43">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第二十八条</w:t>
      </w:r>
      <w:r>
        <w:rPr>
          <w:rFonts w:hint="eastAsia" w:ascii="宋体" w:cs="宋体"/>
          <w:snapToGrid w:val="0"/>
          <w:kern w:val="0"/>
          <w:sz w:val="24"/>
          <w:highlight w:val="none"/>
        </w:rPr>
        <w:t xml:space="preserve"> 监理人向发包人提出赔偿要求不能成立时，监理人应当补偿由于该索赔所导致发包人的各种费用支出。</w:t>
      </w:r>
    </w:p>
    <w:p w14:paraId="63507326">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发包人责任</w:t>
      </w:r>
    </w:p>
    <w:p w14:paraId="010C45B2">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 xml:space="preserve">第二十九条 </w:t>
      </w:r>
      <w:r>
        <w:rPr>
          <w:rFonts w:hint="eastAsia" w:ascii="宋体" w:cs="宋体"/>
          <w:snapToGrid w:val="0"/>
          <w:kern w:val="0"/>
          <w:sz w:val="24"/>
          <w:highlight w:val="none"/>
        </w:rPr>
        <w:t>发包人应当履行本合同约定的义务，如有违反则应当承担违约责任，赔偿给监理人造成的经济损失。</w:t>
      </w:r>
    </w:p>
    <w:p w14:paraId="26C388AC">
      <w:pPr>
        <w:pStyle w:val="25"/>
        <w:ind w:firstLine="480" w:firstLineChars="200"/>
        <w:jc w:val="both"/>
        <w:rPr>
          <w:rFonts w:ascii="宋体" w:cs="宋体"/>
          <w:sz w:val="24"/>
          <w:szCs w:val="24"/>
          <w:highlight w:val="none"/>
        </w:rPr>
      </w:pPr>
    </w:p>
    <w:p w14:paraId="025997B6">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z w:val="24"/>
          <w:highlight w:val="none"/>
        </w:rPr>
        <w:t xml:space="preserve">第三十条 </w:t>
      </w:r>
      <w:r>
        <w:rPr>
          <w:rFonts w:hint="eastAsia" w:ascii="宋体" w:cs="宋体"/>
          <w:snapToGrid w:val="0"/>
          <w:kern w:val="0"/>
          <w:sz w:val="24"/>
          <w:highlight w:val="none"/>
        </w:rPr>
        <w:t>监理人处理委托业务时，因发包人原因的事由受到损失的，可以向发包人要求补偿损失。</w:t>
      </w:r>
    </w:p>
    <w:p w14:paraId="43980CE2">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合同生效、变更与终止</w:t>
      </w:r>
    </w:p>
    <w:p w14:paraId="2EA5CEA2">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第三十一条</w:t>
      </w:r>
      <w:r>
        <w:rPr>
          <w:rFonts w:hint="eastAsia" w:ascii="宋体" w:cs="宋体"/>
          <w:snapToGrid w:val="0"/>
          <w:kern w:val="0"/>
          <w:sz w:val="24"/>
          <w:highlight w:val="none"/>
        </w:rPr>
        <w:t xml:space="preserve"> 由于发包人或承包人的原因使监理工作受到阻碍或延误，以致发生了附加工作或延长了持续时间，则监理人应当将此情况与可能产生的影响及时通知发包人。完成监理业务的时间相应延长，并得到附加工作的报酬。</w:t>
      </w:r>
    </w:p>
    <w:p w14:paraId="6806E625">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第三十二条</w:t>
      </w:r>
      <w:r>
        <w:rPr>
          <w:rFonts w:hint="eastAsia" w:ascii="宋体" w:cs="宋体"/>
          <w:snapToGrid w:val="0"/>
          <w:kern w:val="0"/>
          <w:sz w:val="24"/>
          <w:highlight w:val="none"/>
        </w:rPr>
        <w:t xml:space="preserve"> 在本合同签订后，实际情况发生变化，使得监理人不能全部或部分执行监理业务时，监理人应当立即通知发包人。该监理业务的完成时间应予延长。当恢复执行监理业务时，应当增加不超过42日的时间用于恢复执行监理业务，并按双方约定的数量支付监理报酬。</w:t>
      </w:r>
    </w:p>
    <w:p w14:paraId="67AFE67E">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第三十三条</w:t>
      </w:r>
      <w:r>
        <w:rPr>
          <w:rFonts w:hint="eastAsia" w:ascii="宋体" w:cs="宋体"/>
          <w:snapToGrid w:val="0"/>
          <w:kern w:val="0"/>
          <w:sz w:val="24"/>
          <w:highlight w:val="none"/>
        </w:rPr>
        <w:t xml:space="preserve"> 监理人向发包人办理完竣工验收或工程移交手续，承包人和发包人已签订工程保修责任书，监理人收到监理报酬尾款，本合同即终止。保修期间的责任，双方在专用条款中约定。</w:t>
      </w:r>
    </w:p>
    <w:p w14:paraId="671C690B">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第三十四条</w:t>
      </w:r>
      <w:r>
        <w:rPr>
          <w:rFonts w:hint="eastAsia" w:ascii="宋体" w:cs="宋体"/>
          <w:snapToGrid w:val="0"/>
          <w:kern w:val="0"/>
          <w:sz w:val="24"/>
          <w:highlight w:val="none"/>
        </w:rPr>
        <w:t xml:space="preserve"> 当事人一方要求变更或解除合同时，应当在42日前通知对方，因解除合同使一方遭受损失的，除依法可以免除责任的外，应由责任方负责赔偿。</w:t>
      </w:r>
    </w:p>
    <w:p w14:paraId="5C404E6E">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变更或解除合同的通知或协议必须采取书面形式，协议未达成之前，原合同仍然有效。</w:t>
      </w:r>
    </w:p>
    <w:p w14:paraId="465CF9F8">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第三十五条</w:t>
      </w:r>
      <w:r>
        <w:rPr>
          <w:rFonts w:hint="eastAsia" w:ascii="宋体" w:cs="宋体"/>
          <w:snapToGrid w:val="0"/>
          <w:kern w:val="0"/>
          <w:sz w:val="24"/>
          <w:highlight w:val="none"/>
        </w:rPr>
        <w:t xml:space="preserve"> 监理人在应当获得监理报酬之日起30日内仍未收到支付单据，而发包人又未对监理人提出任何书面解释时，或根据第三十二条已暂停执行监理业务时限超过六个月的，监理人可向发包人发出解除合同的通知，发出通知后14日内仍未得到发包人答复，可进一步发出解除合同的通知，如果第二份通知发出后42日内仍未得到发包人答复，可解除合同或自行暂停或继续暂停执行全部或部分监理业务。</w:t>
      </w:r>
    </w:p>
    <w:p w14:paraId="090029A5">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第三十六条</w:t>
      </w:r>
      <w:r>
        <w:rPr>
          <w:rFonts w:hint="eastAsia" w:ascii="宋体" w:cs="宋体"/>
          <w:snapToGrid w:val="0"/>
          <w:kern w:val="0"/>
          <w:sz w:val="24"/>
          <w:highlight w:val="none"/>
        </w:rPr>
        <w:t xml:space="preserve"> 监理人由于非自己的原因而暂停或终止执行监理业务，其善后工作以及恢复执行监理业务的工作，应当视为额外工作，有权得到额外的报酬。</w:t>
      </w:r>
    </w:p>
    <w:p w14:paraId="36C7A3EF">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第三十七条</w:t>
      </w:r>
      <w:r>
        <w:rPr>
          <w:rFonts w:hint="eastAsia" w:ascii="宋体" w:cs="宋体"/>
          <w:snapToGrid w:val="0"/>
          <w:kern w:val="0"/>
          <w:sz w:val="24"/>
          <w:highlight w:val="none"/>
        </w:rPr>
        <w:t>　当发包人认为监理人无正当理由而又未履行监理义务时，可向监理人发出指明其未履行义务的通知。若发包人发出通知后21日内没有收到答复，可在第一个通知发出后35日内发出终止委托监理合同的通知，合同即行终止。监理人承担违约责任。</w:t>
      </w:r>
    </w:p>
    <w:p w14:paraId="27921F3C">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第三十八条</w:t>
      </w:r>
      <w:r>
        <w:rPr>
          <w:rFonts w:hint="eastAsia" w:ascii="宋体" w:cs="宋体"/>
          <w:snapToGrid w:val="0"/>
          <w:kern w:val="0"/>
          <w:sz w:val="24"/>
          <w:highlight w:val="none"/>
        </w:rPr>
        <w:t xml:space="preserve"> 合同协议的终止并不影响各方应有的权利和应当承担的责任。</w:t>
      </w:r>
    </w:p>
    <w:p w14:paraId="17EB7038">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监理报酬</w:t>
      </w:r>
    </w:p>
    <w:p w14:paraId="2E494B90">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第三十九条</w:t>
      </w:r>
      <w:r>
        <w:rPr>
          <w:rFonts w:hint="eastAsia" w:ascii="宋体" w:cs="宋体"/>
          <w:snapToGrid w:val="0"/>
          <w:kern w:val="0"/>
          <w:sz w:val="24"/>
          <w:highlight w:val="none"/>
        </w:rPr>
        <w:t xml:space="preserve"> 正常的监理工作、附加工作和额外工作的报酬，按照监理合同专用条款中第三十九条的方法计算，并按约定的时间和数额支付。</w:t>
      </w:r>
    </w:p>
    <w:p w14:paraId="08D13A54">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第四十条</w:t>
      </w:r>
      <w:r>
        <w:rPr>
          <w:rFonts w:hint="eastAsia" w:ascii="宋体" w:cs="宋体"/>
          <w:snapToGrid w:val="0"/>
          <w:kern w:val="0"/>
          <w:sz w:val="24"/>
          <w:highlight w:val="none"/>
        </w:rPr>
        <w:t xml:space="preserve"> 如果发包人在规定的支付期限内未支付监理报酬，按照监理合同专用条款中第三十九条约定。</w:t>
      </w:r>
    </w:p>
    <w:p w14:paraId="534035A7">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第四十一条</w:t>
      </w:r>
      <w:r>
        <w:rPr>
          <w:rFonts w:hint="eastAsia" w:ascii="宋体" w:cs="宋体"/>
          <w:snapToGrid w:val="0"/>
          <w:kern w:val="0"/>
          <w:sz w:val="24"/>
          <w:highlight w:val="none"/>
        </w:rPr>
        <w:t xml:space="preserve"> 支付监理报酬所采取的货币币种、汇率由合同专用条款约定。</w:t>
      </w:r>
    </w:p>
    <w:p w14:paraId="79DC387D">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第四十二条</w:t>
      </w:r>
      <w:r>
        <w:rPr>
          <w:rFonts w:hint="eastAsia" w:ascii="宋体" w:cs="宋体"/>
          <w:snapToGrid w:val="0"/>
          <w:kern w:val="0"/>
          <w:sz w:val="24"/>
          <w:highlight w:val="none"/>
        </w:rPr>
        <w:t xml:space="preserve"> 如果发包人对监理人提交的支付通知中报酬或部分报酬项目提出异议，应当在收到支付通知书48小时内向监理人发出表示异议的通知，但发包人不得拖延其他无异议报酬项目的支付。</w:t>
      </w:r>
    </w:p>
    <w:p w14:paraId="1DDCD87A">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其他</w:t>
      </w:r>
    </w:p>
    <w:p w14:paraId="4B36DEE0">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第四十三条</w:t>
      </w:r>
      <w:r>
        <w:rPr>
          <w:rFonts w:hint="eastAsia" w:ascii="宋体" w:cs="宋体"/>
          <w:snapToGrid w:val="0"/>
          <w:kern w:val="0"/>
          <w:sz w:val="24"/>
          <w:highlight w:val="none"/>
        </w:rPr>
        <w:t xml:space="preserve"> 委托的建设工程监理所必要的监理人员出外考察、材料设备复试，其费用支出经发包人同意的，在预算范围内向发包人实报实销。</w:t>
      </w:r>
    </w:p>
    <w:p w14:paraId="0A2F153D">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第四十四条</w:t>
      </w:r>
      <w:r>
        <w:rPr>
          <w:rFonts w:hint="eastAsia" w:ascii="宋体" w:cs="宋体"/>
          <w:snapToGrid w:val="0"/>
          <w:kern w:val="0"/>
          <w:sz w:val="24"/>
          <w:highlight w:val="none"/>
        </w:rPr>
        <w:t xml:space="preserve"> 在监理业务范围内，如需聘用专家咨询或协助，由监理人聘用的，其费用由监理人承担；由发包人聘用的，其费用由发包人承担。</w:t>
      </w:r>
    </w:p>
    <w:p w14:paraId="414C6DCF">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第四十五条</w:t>
      </w:r>
      <w:r>
        <w:rPr>
          <w:rFonts w:hint="eastAsia" w:ascii="宋体" w:cs="宋体"/>
          <w:snapToGrid w:val="0"/>
          <w:kern w:val="0"/>
          <w:sz w:val="24"/>
          <w:highlight w:val="none"/>
        </w:rPr>
        <w:t xml:space="preserve"> 监理人在监理工作过程中提出的合理化建议，使发包人得到了经济效益，发包人应按专用条款中的约定给予经济奖励。</w:t>
      </w:r>
    </w:p>
    <w:p w14:paraId="1DED9B8E">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第四十六条</w:t>
      </w:r>
      <w:r>
        <w:rPr>
          <w:rFonts w:hint="eastAsia" w:ascii="宋体" w:cs="宋体"/>
          <w:snapToGrid w:val="0"/>
          <w:kern w:val="0"/>
          <w:sz w:val="24"/>
          <w:highlight w:val="none"/>
        </w:rPr>
        <w:t xml:space="preserve"> 监理人驻地项目监理机构及其职员不得接受监理工程项目承包人的任何报酬或者经济利益。</w:t>
      </w:r>
    </w:p>
    <w:p w14:paraId="618BBDD7">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监理人不得参与可能与合同规定的与发包人的利益相冲突的任何活动。</w:t>
      </w:r>
    </w:p>
    <w:p w14:paraId="33418D13">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第四十七条</w:t>
      </w:r>
      <w:r>
        <w:rPr>
          <w:rFonts w:hint="eastAsia" w:ascii="宋体" w:cs="宋体"/>
          <w:snapToGrid w:val="0"/>
          <w:kern w:val="0"/>
          <w:sz w:val="24"/>
          <w:highlight w:val="none"/>
        </w:rPr>
        <w:t xml:space="preserve"> 监理人在监理过程中，不得泄露发包人申明的秘密，监理人亦不得泄露设计人、承包人等提供并申明的秘密。</w:t>
      </w:r>
    </w:p>
    <w:p w14:paraId="6EA29B9D">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第四十八条</w:t>
      </w:r>
      <w:r>
        <w:rPr>
          <w:rFonts w:hint="eastAsia" w:ascii="宋体" w:cs="宋体"/>
          <w:snapToGrid w:val="0"/>
          <w:kern w:val="0"/>
          <w:sz w:val="24"/>
          <w:highlight w:val="none"/>
        </w:rPr>
        <w:t xml:space="preserve"> 监理人对于由其编制的所有文件拥有版权，发包人仅有权为本合同工程使用或复制此类文件。</w:t>
      </w:r>
    </w:p>
    <w:p w14:paraId="190966DA">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争议的解决</w:t>
      </w:r>
    </w:p>
    <w:p w14:paraId="305057F9">
      <w:pPr>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第四十九条</w:t>
      </w:r>
      <w:r>
        <w:rPr>
          <w:rFonts w:hint="eastAsia" w:ascii="宋体" w:cs="宋体"/>
          <w:snapToGrid w:val="0"/>
          <w:kern w:val="0"/>
          <w:sz w:val="24"/>
          <w:highlight w:val="none"/>
        </w:rPr>
        <w:t xml:space="preserve"> 因违反或解除合同而引起的对对方损失和损害的赔偿，双方应当协商解决，如未能达成一致，可提交主管部门协调，如仍未能达成一致时，根据双方约定向项目所在地有管辖权的人民法院起诉。</w:t>
      </w:r>
    </w:p>
    <w:p w14:paraId="4E07C303">
      <w:pPr>
        <w:adjustRightInd w:val="0"/>
        <w:snapToGrid w:val="0"/>
        <w:spacing w:line="360" w:lineRule="auto"/>
        <w:ind w:firstLine="482" w:firstLineChars="200"/>
        <w:rPr>
          <w:rFonts w:ascii="宋体" w:cs="宋体"/>
          <w:b/>
          <w:bCs/>
          <w:snapToGrid w:val="0"/>
          <w:kern w:val="0"/>
          <w:sz w:val="24"/>
          <w:highlight w:val="none"/>
        </w:rPr>
      </w:pPr>
    </w:p>
    <w:p w14:paraId="2E972F73">
      <w:pPr>
        <w:adjustRightInd w:val="0"/>
        <w:snapToGrid w:val="0"/>
        <w:spacing w:line="360" w:lineRule="auto"/>
        <w:ind w:firstLine="482" w:firstLineChars="200"/>
        <w:jc w:val="center"/>
        <w:rPr>
          <w:rFonts w:ascii="宋体" w:cs="宋体"/>
          <w:b/>
          <w:bCs/>
          <w:snapToGrid w:val="0"/>
          <w:kern w:val="0"/>
          <w:sz w:val="24"/>
          <w:highlight w:val="none"/>
        </w:rPr>
      </w:pPr>
      <w:r>
        <w:rPr>
          <w:rFonts w:hint="eastAsia" w:ascii="宋体" w:cs="宋体"/>
          <w:b/>
          <w:bCs/>
          <w:snapToGrid w:val="0"/>
          <w:kern w:val="0"/>
          <w:sz w:val="24"/>
          <w:highlight w:val="none"/>
        </w:rPr>
        <w:br w:type="page"/>
      </w:r>
      <w:r>
        <w:rPr>
          <w:rFonts w:hint="eastAsia" w:ascii="宋体" w:cs="宋体"/>
          <w:b/>
          <w:bCs/>
          <w:snapToGrid w:val="0"/>
          <w:kern w:val="0"/>
          <w:sz w:val="36"/>
          <w:szCs w:val="36"/>
          <w:highlight w:val="none"/>
        </w:rPr>
        <w:t>第三章  专用条款</w:t>
      </w:r>
    </w:p>
    <w:p w14:paraId="3AE4E5A4">
      <w:pPr>
        <w:pStyle w:val="12"/>
        <w:adjustRightInd w:val="0"/>
        <w:snapToGrid w:val="0"/>
        <w:spacing w:line="360" w:lineRule="auto"/>
        <w:ind w:firstLine="480" w:firstLineChars="200"/>
        <w:rPr>
          <w:rFonts w:ascii="宋体" w:eastAsia="宋体" w:cs="宋体"/>
          <w:snapToGrid w:val="0"/>
          <w:sz w:val="24"/>
          <w:szCs w:val="24"/>
          <w:highlight w:val="none"/>
        </w:rPr>
      </w:pPr>
      <w:r>
        <w:rPr>
          <w:rFonts w:hint="eastAsia" w:ascii="宋体" w:eastAsia="宋体" w:cs="宋体"/>
          <w:snapToGrid w:val="0"/>
          <w:sz w:val="24"/>
          <w:szCs w:val="24"/>
          <w:highlight w:val="none"/>
        </w:rPr>
        <w:t>（本部分条款是根据本合同工程的实际情况对标准条款中相对应条款进行修改、补充或否定，其适用顺序优先于标准条款。本部分条款未阐明的内容，则按标准条款的有关约定执行）</w:t>
      </w:r>
    </w:p>
    <w:p w14:paraId="3A13F84F">
      <w:pPr>
        <w:adjustRightInd w:val="0"/>
        <w:snapToGrid w:val="0"/>
        <w:spacing w:line="360" w:lineRule="auto"/>
        <w:ind w:firstLine="480" w:firstLineChars="200"/>
        <w:rPr>
          <w:rFonts w:ascii="宋体" w:cs="宋体"/>
          <w:bCs/>
          <w:snapToGrid w:val="0"/>
          <w:kern w:val="0"/>
          <w:sz w:val="24"/>
          <w:highlight w:val="none"/>
        </w:rPr>
      </w:pPr>
    </w:p>
    <w:p w14:paraId="3137F71E">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第一条</w:t>
      </w:r>
      <w:r>
        <w:rPr>
          <w:rFonts w:hint="eastAsia" w:ascii="宋体" w:cs="宋体"/>
          <w:snapToGrid w:val="0"/>
          <w:kern w:val="0"/>
          <w:sz w:val="24"/>
          <w:highlight w:val="none"/>
        </w:rPr>
        <w:t xml:space="preserve"> </w:t>
      </w:r>
      <w:r>
        <w:rPr>
          <w:rFonts w:hint="eastAsia" w:ascii="宋体" w:cs="宋体"/>
          <w:b/>
          <w:bCs/>
          <w:snapToGrid w:val="0"/>
          <w:kern w:val="0"/>
          <w:sz w:val="24"/>
          <w:highlight w:val="none"/>
        </w:rPr>
        <w:t>词语定义</w:t>
      </w:r>
    </w:p>
    <w:p w14:paraId="7654BB9C">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（1）“本合同工程”指发包人委托监理人监理的工程。</w:t>
      </w:r>
    </w:p>
    <w:p w14:paraId="3AC0CE75">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（2）“发包人”在本合同中特指</w:t>
      </w:r>
      <w:r>
        <w:rPr>
          <w:rFonts w:hint="eastAsia" w:ascii="宋体" w:cs="宋体"/>
          <w:snapToGrid w:val="0"/>
          <w:kern w:val="0"/>
          <w:sz w:val="24"/>
          <w:highlight w:val="none"/>
          <w:u w:val="single"/>
        </w:rPr>
        <w:t>科学城(广州)城市更新集团有限公司</w:t>
      </w:r>
      <w:r>
        <w:rPr>
          <w:rFonts w:hint="eastAsia" w:ascii="宋体" w:cs="宋体"/>
          <w:snapToGrid w:val="0"/>
          <w:kern w:val="0"/>
          <w:sz w:val="24"/>
          <w:highlight w:val="none"/>
        </w:rPr>
        <w:t>。</w:t>
      </w:r>
    </w:p>
    <w:p w14:paraId="312FFCC1">
      <w:pPr>
        <w:adjustRightInd w:val="0"/>
        <w:snapToGrid w:val="0"/>
        <w:spacing w:line="360" w:lineRule="auto"/>
        <w:ind w:firstLine="480" w:firstLineChars="200"/>
        <w:rPr>
          <w:rFonts w:ascii="宋体" w:cs="宋体"/>
          <w:snapToGrid w:val="0"/>
          <w:kern w:val="0"/>
          <w:sz w:val="24"/>
          <w:highlight w:val="none"/>
        </w:rPr>
      </w:pPr>
      <w:r>
        <w:rPr>
          <w:rFonts w:hint="eastAsia" w:ascii="宋体" w:cs="宋体"/>
          <w:bCs/>
          <w:snapToGrid w:val="0"/>
          <w:kern w:val="0"/>
          <w:sz w:val="24"/>
          <w:highlight w:val="none"/>
        </w:rPr>
        <w:t>（3）“</w:t>
      </w:r>
      <w:r>
        <w:rPr>
          <w:rFonts w:hint="eastAsia" w:ascii="宋体" w:cs="宋体"/>
          <w:snapToGrid w:val="0"/>
          <w:kern w:val="0"/>
          <w:sz w:val="24"/>
          <w:highlight w:val="none"/>
        </w:rPr>
        <w:t>合法继承人”指工程竣工验收合格后，发包人依据规定，将工程移交给其承接使用的产权管理单位。在继承生效后，合法继承人享有发包人在本合同中的一切权利及承担相应的义务。</w:t>
      </w:r>
    </w:p>
    <w:p w14:paraId="5AF69631">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（4）“总监理工程师代表”指经监理人法定代表人同意，由总监理工程师书面授权，代表总监理工程师行使其部分职责和权力的项目监理机构中的监理工程师。</w:t>
      </w:r>
    </w:p>
    <w:p w14:paraId="7DCD8ADF">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（5）“监理规划”指在总监理工程师的主持下编制、经监理人技术负责人批准，用来指导项目监理机构全面开展监理工作的指导性文件。</w:t>
      </w:r>
    </w:p>
    <w:p w14:paraId="67B553AB">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（6）“监理实施细则”指根据监理规划，由专业监理工程师编写，并经总监理工程师批准，针对工程项目中某一专业或某一方面监理工作的操作性文件。</w:t>
      </w:r>
    </w:p>
    <w:p w14:paraId="72280204">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（7）“工地例会”指在工程实施过程中针对工程质量、造价、进度、合同管理等事宜定期召开的，由建设有关单位参加的会议。</w:t>
      </w:r>
    </w:p>
    <w:p w14:paraId="746DF7E5">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（8）“旁站”指在关键部位或关键工序施工过程中，由监理人员在现场进行的监督活动。</w:t>
      </w:r>
    </w:p>
    <w:p w14:paraId="4B82EC7A">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snapToGrid w:val="0"/>
          <w:kern w:val="0"/>
          <w:sz w:val="24"/>
          <w:highlight w:val="none"/>
        </w:rPr>
        <w:t>（9）“</w:t>
      </w:r>
      <w:r>
        <w:rPr>
          <w:rFonts w:hint="eastAsia" w:ascii="宋体" w:cs="宋体"/>
          <w:bCs/>
          <w:snapToGrid w:val="0"/>
          <w:kern w:val="0"/>
          <w:sz w:val="24"/>
          <w:highlight w:val="none"/>
        </w:rPr>
        <w:t>节点工期”指在经发包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734AEAA3">
      <w:pPr>
        <w:adjustRightInd w:val="0"/>
        <w:snapToGrid w:val="0"/>
        <w:spacing w:line="360" w:lineRule="auto"/>
        <w:ind w:firstLine="480" w:firstLineChars="200"/>
        <w:rPr>
          <w:rFonts w:ascii="宋体" w:cs="宋体"/>
          <w:b/>
          <w:bCs/>
          <w:snapToGrid w:val="0"/>
          <w:kern w:val="0"/>
          <w:sz w:val="24"/>
          <w:highlight w:val="none"/>
        </w:rPr>
      </w:pPr>
      <w:r>
        <w:rPr>
          <w:rFonts w:hint="eastAsia" w:ascii="宋体" w:cs="宋体"/>
          <w:bCs/>
          <w:snapToGrid w:val="0"/>
          <w:kern w:val="0"/>
          <w:sz w:val="24"/>
          <w:highlight w:val="none"/>
        </w:rPr>
        <w:t>（10）“通知”指合同中所提及的各方之间传达意思表示的方式，包括但不限于申请、报告、同意、答复、批准、指令、证书、决定，等等。除本合同专用条款有特别约定外，只有采用书面形式的通知才有效。</w:t>
      </w:r>
    </w:p>
    <w:p w14:paraId="2BEFA957">
      <w:pPr>
        <w:adjustRightInd w:val="0"/>
        <w:snapToGrid w:val="0"/>
        <w:spacing w:line="360" w:lineRule="auto"/>
        <w:ind w:firstLine="482" w:firstLineChars="200"/>
        <w:rPr>
          <w:rFonts w:ascii="宋体" w:cs="宋体"/>
          <w:sz w:val="24"/>
          <w:highlight w:val="none"/>
        </w:rPr>
      </w:pPr>
      <w:r>
        <w:rPr>
          <w:rFonts w:hint="eastAsia" w:ascii="宋体" w:cs="宋体"/>
          <w:b/>
          <w:bCs/>
          <w:snapToGrid w:val="0"/>
          <w:kern w:val="0"/>
          <w:sz w:val="24"/>
          <w:highlight w:val="none"/>
        </w:rPr>
        <w:t>第二条</w:t>
      </w:r>
      <w:r>
        <w:rPr>
          <w:rFonts w:hint="eastAsia" w:ascii="宋体" w:cs="宋体"/>
          <w:b/>
          <w:snapToGrid w:val="0"/>
          <w:kern w:val="0"/>
          <w:sz w:val="24"/>
          <w:highlight w:val="none"/>
        </w:rPr>
        <w:t xml:space="preserve"> 本合同适用的法律法规及监理依据</w:t>
      </w:r>
    </w:p>
    <w:p w14:paraId="39FBE9A2">
      <w:pPr>
        <w:spacing w:line="360" w:lineRule="auto"/>
        <w:ind w:firstLine="480" w:firstLineChars="200"/>
        <w:rPr>
          <w:rFonts w:ascii="宋体" w:cs="宋体"/>
          <w:sz w:val="24"/>
          <w:highlight w:val="none"/>
        </w:rPr>
      </w:pPr>
      <w:r>
        <w:rPr>
          <w:rFonts w:hint="eastAsia" w:ascii="宋体" w:cs="宋体"/>
          <w:sz w:val="24"/>
          <w:highlight w:val="none"/>
        </w:rPr>
        <w:t>（一）适用法规</w:t>
      </w:r>
    </w:p>
    <w:p w14:paraId="403219C5">
      <w:pPr>
        <w:tabs>
          <w:tab w:val="left" w:pos="902"/>
          <w:tab w:val="left" w:pos="960"/>
        </w:tabs>
        <w:spacing w:line="360" w:lineRule="auto"/>
        <w:ind w:firstLine="480" w:firstLineChars="200"/>
        <w:rPr>
          <w:rFonts w:ascii="宋体" w:cs="宋体"/>
          <w:sz w:val="24"/>
          <w:highlight w:val="none"/>
        </w:rPr>
      </w:pPr>
      <w:r>
        <w:rPr>
          <w:rFonts w:hint="eastAsia" w:ascii="宋体" w:cs="宋体"/>
          <w:sz w:val="24"/>
          <w:highlight w:val="none"/>
        </w:rPr>
        <w:t>1、《中华人民共和国民法典》、《中华人民共和国建筑法》及其他相关法律；</w:t>
      </w:r>
    </w:p>
    <w:p w14:paraId="0647EB6A">
      <w:pPr>
        <w:tabs>
          <w:tab w:val="left" w:pos="902"/>
          <w:tab w:val="left" w:pos="960"/>
        </w:tabs>
        <w:spacing w:line="360" w:lineRule="auto"/>
        <w:ind w:firstLine="480" w:firstLineChars="200"/>
        <w:rPr>
          <w:rFonts w:ascii="宋体" w:cs="宋体"/>
          <w:sz w:val="24"/>
          <w:highlight w:val="none"/>
        </w:rPr>
      </w:pPr>
      <w:r>
        <w:rPr>
          <w:rFonts w:hint="eastAsia" w:ascii="宋体" w:cs="宋体"/>
          <w:sz w:val="24"/>
          <w:highlight w:val="none"/>
        </w:rPr>
        <w:t>2、《建设工程质量管理条例》及其它有关的法规、条例、规章；</w:t>
      </w:r>
    </w:p>
    <w:p w14:paraId="08E36D82">
      <w:pPr>
        <w:tabs>
          <w:tab w:val="left" w:pos="902"/>
          <w:tab w:val="left" w:pos="960"/>
        </w:tabs>
        <w:spacing w:line="360" w:lineRule="auto"/>
        <w:ind w:firstLine="480" w:firstLineChars="200"/>
        <w:rPr>
          <w:rFonts w:ascii="宋体" w:cs="宋体"/>
          <w:sz w:val="24"/>
          <w:highlight w:val="none"/>
        </w:rPr>
      </w:pPr>
      <w:r>
        <w:rPr>
          <w:rFonts w:hint="eastAsia" w:ascii="宋体" w:cs="宋体"/>
          <w:sz w:val="24"/>
          <w:highlight w:val="none"/>
        </w:rPr>
        <w:t>3、广东省及广州市有关工程建设管理方面的规定和办法。</w:t>
      </w:r>
    </w:p>
    <w:p w14:paraId="6CEDE472">
      <w:pPr>
        <w:spacing w:line="360" w:lineRule="auto"/>
        <w:ind w:firstLine="480" w:firstLineChars="200"/>
        <w:rPr>
          <w:rFonts w:ascii="宋体" w:cs="宋体"/>
          <w:sz w:val="24"/>
          <w:highlight w:val="none"/>
        </w:rPr>
      </w:pPr>
      <w:r>
        <w:rPr>
          <w:rFonts w:hint="eastAsia" w:ascii="宋体" w:cs="宋体"/>
          <w:sz w:val="24"/>
          <w:highlight w:val="none"/>
        </w:rPr>
        <w:t>（二）监理依据</w:t>
      </w:r>
    </w:p>
    <w:p w14:paraId="0CB9D1D5">
      <w:pPr>
        <w:spacing w:line="360" w:lineRule="auto"/>
        <w:ind w:firstLine="480" w:firstLineChars="200"/>
        <w:rPr>
          <w:rFonts w:ascii="宋体" w:cs="宋体"/>
          <w:sz w:val="24"/>
          <w:highlight w:val="none"/>
        </w:rPr>
      </w:pPr>
      <w:r>
        <w:rPr>
          <w:rFonts w:hint="eastAsia" w:ascii="宋体" w:cs="宋体"/>
          <w:sz w:val="24"/>
          <w:highlight w:val="none"/>
        </w:rPr>
        <w:t>1、本委托监理合同；</w:t>
      </w:r>
    </w:p>
    <w:p w14:paraId="19295568">
      <w:pPr>
        <w:spacing w:line="360" w:lineRule="auto"/>
        <w:ind w:firstLine="480" w:firstLineChars="200"/>
        <w:rPr>
          <w:rFonts w:ascii="宋体" w:cs="宋体"/>
          <w:sz w:val="24"/>
          <w:highlight w:val="none"/>
        </w:rPr>
      </w:pPr>
      <w:r>
        <w:rPr>
          <w:rFonts w:hint="eastAsia" w:ascii="宋体" w:cs="宋体"/>
          <w:sz w:val="24"/>
          <w:highlight w:val="none"/>
        </w:rPr>
        <w:t>2、发包人和承包人签订的合同及补充协议或备忘录;</w:t>
      </w:r>
    </w:p>
    <w:p w14:paraId="4D69F53D">
      <w:pPr>
        <w:spacing w:line="360" w:lineRule="auto"/>
        <w:ind w:firstLine="480" w:firstLineChars="200"/>
        <w:rPr>
          <w:rFonts w:ascii="宋体" w:cs="宋体"/>
          <w:sz w:val="24"/>
          <w:highlight w:val="none"/>
        </w:rPr>
      </w:pPr>
      <w:r>
        <w:rPr>
          <w:rFonts w:hint="eastAsia" w:ascii="宋体" w:cs="宋体"/>
          <w:sz w:val="24"/>
          <w:highlight w:val="none"/>
        </w:rPr>
        <w:t>3、经发包人审查认可的本工程正式的工程地质勘察报告、施工图纸、说明以及会审记录、有关工程洽商的技术、施工洽商记录、设计修改和变更文件；</w:t>
      </w:r>
    </w:p>
    <w:p w14:paraId="2409E47F">
      <w:pPr>
        <w:spacing w:line="360" w:lineRule="auto"/>
        <w:ind w:firstLine="480" w:firstLineChars="200"/>
        <w:rPr>
          <w:rFonts w:ascii="宋体" w:cs="宋体"/>
          <w:sz w:val="24"/>
          <w:highlight w:val="none"/>
        </w:rPr>
      </w:pPr>
      <w:r>
        <w:rPr>
          <w:rFonts w:hint="eastAsia" w:ascii="宋体" w:cs="宋体"/>
          <w:sz w:val="24"/>
          <w:highlight w:val="none"/>
        </w:rPr>
        <w:t>4、省、市现行的有关工程预结算定额和文件；</w:t>
      </w:r>
    </w:p>
    <w:p w14:paraId="56A581E6">
      <w:pPr>
        <w:spacing w:line="360" w:lineRule="auto"/>
        <w:ind w:firstLine="480" w:firstLineChars="200"/>
        <w:rPr>
          <w:rFonts w:ascii="宋体" w:cs="宋体"/>
          <w:sz w:val="24"/>
          <w:highlight w:val="none"/>
        </w:rPr>
      </w:pPr>
      <w:r>
        <w:rPr>
          <w:rFonts w:hint="eastAsia" w:ascii="宋体" w:cs="宋体"/>
          <w:sz w:val="24"/>
          <w:highlight w:val="none"/>
        </w:rPr>
        <w:t>5、国家和广州地区现行的设计规范（规程）、建筑工程质量检验评定标准、施工和验收规范；</w:t>
      </w:r>
    </w:p>
    <w:p w14:paraId="24E29582">
      <w:pPr>
        <w:spacing w:line="360" w:lineRule="auto"/>
        <w:ind w:firstLine="480" w:firstLineChars="200"/>
        <w:rPr>
          <w:rFonts w:ascii="宋体" w:cs="宋体"/>
          <w:sz w:val="24"/>
          <w:highlight w:val="none"/>
        </w:rPr>
      </w:pPr>
      <w:r>
        <w:rPr>
          <w:rFonts w:hint="eastAsia" w:ascii="宋体" w:cs="宋体"/>
          <w:snapToGrid w:val="0"/>
          <w:kern w:val="0"/>
          <w:sz w:val="24"/>
          <w:highlight w:val="none"/>
        </w:rPr>
        <w:t>6、《建设工程监理规范》（GB50319—2013）</w:t>
      </w:r>
    </w:p>
    <w:p w14:paraId="1122B02A">
      <w:pPr>
        <w:spacing w:line="360" w:lineRule="auto"/>
        <w:ind w:firstLine="480" w:firstLineChars="200"/>
        <w:rPr>
          <w:rFonts w:ascii="宋体" w:cs="宋体"/>
          <w:sz w:val="24"/>
          <w:highlight w:val="none"/>
        </w:rPr>
      </w:pPr>
      <w:r>
        <w:rPr>
          <w:rFonts w:hint="eastAsia" w:ascii="宋体" w:cs="宋体"/>
          <w:sz w:val="24"/>
          <w:highlight w:val="none"/>
        </w:rPr>
        <w:t>7、经发包人审批认可，由监理人编制的监理规划。</w:t>
      </w:r>
    </w:p>
    <w:p w14:paraId="5492AD43">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snapToGrid w:val="0"/>
          <w:kern w:val="0"/>
          <w:sz w:val="24"/>
          <w:highlight w:val="none"/>
        </w:rPr>
        <w:t>第四条 监理范围、监理工作内容及监理机构</w:t>
      </w:r>
    </w:p>
    <w:p w14:paraId="37C6ECFF">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（一）监理范围</w:t>
      </w:r>
    </w:p>
    <w:p w14:paraId="6DE475AA">
      <w:pPr>
        <w:adjustRightInd w:val="0"/>
        <w:spacing w:line="360" w:lineRule="auto"/>
        <w:ind w:firstLine="600" w:firstLineChars="250"/>
        <w:rPr>
          <w:rFonts w:hint="eastAsia" w:ascii="宋体"/>
          <w:sz w:val="24"/>
          <w:highlight w:val="none"/>
        </w:rPr>
      </w:pPr>
      <w:r>
        <w:rPr>
          <w:rFonts w:hint="eastAsia" w:ascii="宋体" w:cs="宋体"/>
          <w:sz w:val="24"/>
          <w:highlight w:val="none"/>
        </w:rPr>
        <w:t>包括本项目全部工程</w:t>
      </w:r>
      <w:r>
        <w:rPr>
          <w:rFonts w:hint="eastAsia" w:ascii="宋体" w:cs="宋体"/>
          <w:sz w:val="24"/>
          <w:highlight w:val="none"/>
          <w:lang w:val="en-US" w:eastAsia="zh-CN"/>
        </w:rPr>
        <w:t>的</w:t>
      </w:r>
      <w:r>
        <w:rPr>
          <w:rFonts w:hint="eastAsia" w:ascii="宋体" w:cs="宋体"/>
          <w:sz w:val="24"/>
          <w:highlight w:val="none"/>
        </w:rPr>
        <w:t>施工图设计阶段、施工准备阶段、施工阶段、验收阶段、竣工结算阶段、移交阶段、保修阶段的质量、投资、进度、安全控制；监督、管理建设工程合同的履行，以及协调和工程建设有关各方的工作关系，</w:t>
      </w:r>
      <w:r>
        <w:rPr>
          <w:rFonts w:hint="eastAsia" w:ascii="宋体"/>
          <w:snapToGrid w:val="0"/>
          <w:kern w:val="0"/>
          <w:sz w:val="24"/>
          <w:highlight w:val="none"/>
        </w:rPr>
        <w:t>预算、结算审核，进度款、变更、签证审核等造价管理；竣工图审核、验收备案、资料报送、</w:t>
      </w:r>
      <w:r>
        <w:rPr>
          <w:rFonts w:hint="eastAsia" w:ascii="宋体"/>
          <w:sz w:val="24"/>
          <w:highlight w:val="none"/>
        </w:rPr>
        <w:t>形象进度工程量审核等全过程监理工作。全部工程包括但不限于本项目施工图设计</w:t>
      </w:r>
      <w:r>
        <w:rPr>
          <w:rFonts w:hint="eastAsia" w:ascii="宋体"/>
          <w:sz w:val="24"/>
          <w:highlight w:val="none"/>
          <w:lang w:val="en-US" w:eastAsia="zh-CN"/>
        </w:rPr>
        <w:t>-</w:t>
      </w:r>
      <w:r>
        <w:rPr>
          <w:rFonts w:hint="eastAsia" w:ascii="宋体"/>
          <w:sz w:val="24"/>
          <w:highlight w:val="none"/>
        </w:rPr>
        <w:t>施工总承包（EPC）合同涉及的所有工程内容、由本项目发包方发包的第三方专业分包工程等。</w:t>
      </w:r>
    </w:p>
    <w:p w14:paraId="1DCBD047">
      <w:pPr>
        <w:adjustRightInd w:val="0"/>
        <w:spacing w:line="360" w:lineRule="auto"/>
        <w:ind w:firstLine="480" w:firstLineChars="200"/>
        <w:rPr>
          <w:rFonts w:ascii="宋体" w:cs="宋体"/>
          <w:sz w:val="24"/>
          <w:highlight w:val="none"/>
        </w:rPr>
      </w:pPr>
      <w:r>
        <w:rPr>
          <w:rFonts w:hint="eastAsia" w:ascii="宋体" w:cs="宋体"/>
          <w:sz w:val="24"/>
          <w:highlight w:val="none"/>
        </w:rPr>
        <w:t>专业包含但不限于：</w:t>
      </w:r>
    </w:p>
    <w:p w14:paraId="7823E5E1">
      <w:pPr>
        <w:adjustRightInd w:val="0"/>
        <w:snapToGrid w:val="0"/>
        <w:spacing w:line="500" w:lineRule="exact"/>
        <w:ind w:firstLine="480" w:firstLineChars="200"/>
        <w:rPr>
          <w:rFonts w:ascii="宋体"/>
          <w:sz w:val="24"/>
          <w:highlight w:val="none"/>
        </w:rPr>
      </w:pPr>
      <w:r>
        <w:rPr>
          <w:rFonts w:hint="eastAsia" w:ascii="宋体"/>
          <w:sz w:val="24"/>
          <w:highlight w:val="none"/>
        </w:rPr>
        <w:t>（1）场地平整、清表、边坡防护、基坑支护工程、土石方工程（包含现状标高至设计标高等所有土方）等。</w:t>
      </w:r>
    </w:p>
    <w:p w14:paraId="5419BD21">
      <w:pPr>
        <w:adjustRightInd w:val="0"/>
        <w:snapToGrid w:val="0"/>
        <w:spacing w:line="500" w:lineRule="exact"/>
        <w:ind w:firstLine="480" w:firstLineChars="200"/>
        <w:rPr>
          <w:rFonts w:ascii="宋体"/>
          <w:sz w:val="24"/>
          <w:highlight w:val="none"/>
        </w:rPr>
      </w:pPr>
      <w:r>
        <w:rPr>
          <w:rFonts w:hint="eastAsia" w:ascii="宋体"/>
          <w:sz w:val="24"/>
          <w:highlight w:val="none"/>
        </w:rPr>
        <w:t>（2）土建工程：地基基础、主体结构、人防工程、节能工程、装修装饰工程、室外场地、园林、绿化、环境景观、地面标识、场地准备及临时设施、建筑规划放线、园林道路及市政道路接驳、围墙、场地原有遗留基础处理、超前钻（如有）等。</w:t>
      </w:r>
    </w:p>
    <w:p w14:paraId="5ECA1371">
      <w:pPr>
        <w:adjustRightInd w:val="0"/>
        <w:snapToGrid w:val="0"/>
        <w:spacing w:line="500" w:lineRule="exact"/>
        <w:ind w:firstLine="480" w:firstLineChars="200"/>
        <w:rPr>
          <w:rFonts w:ascii="宋体"/>
          <w:sz w:val="24"/>
          <w:highlight w:val="none"/>
        </w:rPr>
      </w:pPr>
      <w:r>
        <w:rPr>
          <w:rFonts w:hint="eastAsia" w:ascii="宋体"/>
          <w:sz w:val="24"/>
          <w:highlight w:val="none"/>
        </w:rPr>
        <w:t>（3）安装工程：电气工程（包括临时配电、高低压变配电工程、动力配电工程、照明工程等）、给排水工程（包括临时用水）、消防工程、弱电工程（含智能化）、通风空调设备采购与安装工程、电梯采购与安装工程、泛光照明工程、燃气工程、市政管网接驳、项目对外接驳的外水（包括给水和雨污水接驳等）、外电（从供电部门批复的接取电源处开始，至本项目高低压配电房所有的电力设施装置及土建）、火灾自动报警工程、专业安防、手机无线信号覆盖等系统、光伏安装等。</w:t>
      </w:r>
    </w:p>
    <w:p w14:paraId="563554DE">
      <w:pPr>
        <w:adjustRightInd w:val="0"/>
        <w:snapToGrid w:val="0"/>
        <w:spacing w:line="500" w:lineRule="exact"/>
        <w:ind w:firstLine="480" w:firstLineChars="200"/>
        <w:rPr>
          <w:rFonts w:ascii="宋体"/>
          <w:i/>
          <w:iCs/>
          <w:sz w:val="24"/>
          <w:highlight w:val="none"/>
        </w:rPr>
      </w:pPr>
      <w:r>
        <w:rPr>
          <w:rFonts w:hint="eastAsia" w:ascii="宋体"/>
          <w:sz w:val="24"/>
          <w:highlight w:val="none"/>
        </w:rPr>
        <w:t>（4）专业工程：基坑支护、钢结构、永久供电、智能化、幕墙、人防、泛光、燃气、精装修、样板间及展示区所有专业工程（如有）等施工。</w:t>
      </w:r>
    </w:p>
    <w:p w14:paraId="40FA3AD9">
      <w:pPr>
        <w:adjustRightInd w:val="0"/>
        <w:spacing w:line="360" w:lineRule="auto"/>
        <w:ind w:firstLine="480" w:firstLineChars="200"/>
        <w:rPr>
          <w:rFonts w:ascii="宋体" w:cs="宋体"/>
          <w:sz w:val="24"/>
          <w:highlight w:val="none"/>
        </w:rPr>
      </w:pPr>
      <w:r>
        <w:rPr>
          <w:rFonts w:hint="eastAsia" w:ascii="宋体" w:cs="宋体"/>
          <w:sz w:val="24"/>
          <w:highlight w:val="none"/>
        </w:rPr>
        <w:t>具体工作包括但不限于：</w:t>
      </w:r>
    </w:p>
    <w:p w14:paraId="04405BFF">
      <w:pPr>
        <w:adjustRightInd w:val="0"/>
        <w:spacing w:line="360" w:lineRule="auto"/>
        <w:ind w:firstLine="480" w:firstLineChars="200"/>
        <w:rPr>
          <w:rFonts w:ascii="宋体" w:cs="宋体"/>
          <w:sz w:val="24"/>
          <w:highlight w:val="none"/>
        </w:rPr>
      </w:pPr>
      <w:r>
        <w:rPr>
          <w:rFonts w:hint="eastAsia" w:ascii="宋体" w:cs="宋体"/>
          <w:sz w:val="24"/>
          <w:highlight w:val="none"/>
        </w:rPr>
        <w:t>1、施工图设计阶段的监理工作</w:t>
      </w:r>
    </w:p>
    <w:p w14:paraId="6DEE1EDF">
      <w:pPr>
        <w:adjustRightInd w:val="0"/>
        <w:spacing w:line="360" w:lineRule="auto"/>
        <w:ind w:firstLine="480" w:firstLineChars="200"/>
        <w:rPr>
          <w:rFonts w:ascii="宋体" w:cs="宋体"/>
          <w:sz w:val="24"/>
          <w:highlight w:val="none"/>
        </w:rPr>
      </w:pPr>
      <w:r>
        <w:rPr>
          <w:rFonts w:hint="eastAsia" w:ascii="宋体" w:cs="宋体"/>
          <w:sz w:val="24"/>
          <w:highlight w:val="none"/>
        </w:rPr>
        <w:t>（1）建立工程监理（含项目管理）组织机构，制订项目监理总体控制目标，及各阶段目标。</w:t>
      </w:r>
    </w:p>
    <w:p w14:paraId="1808E429">
      <w:pPr>
        <w:adjustRightInd w:val="0"/>
        <w:spacing w:line="360" w:lineRule="auto"/>
        <w:ind w:firstLine="480" w:firstLineChars="200"/>
        <w:rPr>
          <w:rFonts w:ascii="宋体" w:cs="宋体"/>
          <w:sz w:val="24"/>
          <w:highlight w:val="none"/>
        </w:rPr>
      </w:pPr>
      <w:r>
        <w:rPr>
          <w:rFonts w:hint="eastAsia" w:ascii="宋体" w:cs="宋体"/>
          <w:sz w:val="24"/>
          <w:highlight w:val="none"/>
        </w:rPr>
        <w:t>（2）协调各项目各层面、各相关单位、各项工作关系，协调项目外部关系。</w:t>
      </w:r>
    </w:p>
    <w:p w14:paraId="4AF2CC17">
      <w:pPr>
        <w:adjustRightInd w:val="0"/>
        <w:spacing w:line="360" w:lineRule="auto"/>
        <w:ind w:firstLine="480" w:firstLineChars="200"/>
        <w:rPr>
          <w:rFonts w:ascii="宋体" w:cs="宋体"/>
          <w:sz w:val="24"/>
          <w:highlight w:val="none"/>
        </w:rPr>
      </w:pPr>
      <w:r>
        <w:rPr>
          <w:rFonts w:hint="eastAsia" w:ascii="宋体" w:cs="宋体"/>
          <w:sz w:val="24"/>
          <w:highlight w:val="none"/>
        </w:rPr>
        <w:t>（3）定期（每周）组织召开工程例会或各项专题会，汇报项目总体进展，研究解决存在问题。</w:t>
      </w:r>
    </w:p>
    <w:p w14:paraId="5729CE1D">
      <w:pPr>
        <w:adjustRightInd w:val="0"/>
        <w:spacing w:line="360" w:lineRule="auto"/>
        <w:ind w:firstLine="480" w:firstLineChars="200"/>
        <w:rPr>
          <w:rFonts w:ascii="宋体" w:cs="宋体"/>
          <w:sz w:val="24"/>
          <w:highlight w:val="none"/>
        </w:rPr>
      </w:pPr>
      <w:r>
        <w:rPr>
          <w:rFonts w:hint="eastAsia" w:ascii="宋体" w:cs="宋体"/>
          <w:sz w:val="24"/>
          <w:highlight w:val="none"/>
        </w:rPr>
        <w:t>（4）对本工程设计全过程的真实性及进度、设计进度、投资控制、合同、信息管理等进行全过程管理，明确设计管理的工作目标、管理模式、管理方法等，使工程项目建设达到预期的质量、工期和经济目标。审查设计进度计划，若与阶段目标相违背，应采取纠偏措施。</w:t>
      </w:r>
    </w:p>
    <w:p w14:paraId="777DF243">
      <w:pPr>
        <w:adjustRightInd w:val="0"/>
        <w:spacing w:line="360" w:lineRule="auto"/>
        <w:ind w:firstLine="480" w:firstLineChars="200"/>
        <w:rPr>
          <w:rFonts w:ascii="宋体" w:cs="宋体"/>
          <w:sz w:val="24"/>
          <w:highlight w:val="none"/>
        </w:rPr>
      </w:pPr>
      <w:r>
        <w:rPr>
          <w:rFonts w:hint="eastAsia" w:ascii="宋体" w:cs="宋体"/>
          <w:sz w:val="24"/>
          <w:highlight w:val="none"/>
        </w:rPr>
        <w:t>（5）根据使用功能需求条件，要求设计单位按时提交合格的设计成果，检查并控制设计单位的设计进度。施工准备阶段，检查和计算施工图中尺寸标注错误，审查方案、选材及做法的合理性和各专业之间是否存在矛盾，各项设计指标是否符合国家强制性规定等内容。</w:t>
      </w:r>
    </w:p>
    <w:p w14:paraId="4D1CF1C7">
      <w:pPr>
        <w:adjustRightInd w:val="0"/>
        <w:spacing w:line="360" w:lineRule="auto"/>
        <w:ind w:firstLine="480" w:firstLineChars="200"/>
        <w:rPr>
          <w:rFonts w:ascii="宋体" w:cs="宋体"/>
          <w:sz w:val="24"/>
          <w:highlight w:val="none"/>
        </w:rPr>
      </w:pPr>
      <w:r>
        <w:rPr>
          <w:rFonts w:hint="eastAsia" w:ascii="宋体" w:cs="宋体"/>
          <w:sz w:val="24"/>
          <w:highlight w:val="none"/>
        </w:rPr>
        <w:t>（6）参与各阶段设计图纸评审或专题会议，总监理工程师应组织人员做好图纸会审记录并提交给发包人。跟踪方案设计评审意见的落实及修改情况，并跟进设计工作进度。审核设计变更的技术可行性、经济合理性，受发包人指令发布变更指令，对重大设计变更要有详细报告，包括涉及的费用变更、技术问题、承包人方案的变化和工期影响等，必要时开展价值工程研究解决。</w:t>
      </w:r>
    </w:p>
    <w:p w14:paraId="4012CA99">
      <w:pPr>
        <w:adjustRightInd w:val="0"/>
        <w:spacing w:line="360" w:lineRule="auto"/>
        <w:ind w:firstLine="480" w:firstLineChars="200"/>
        <w:rPr>
          <w:rFonts w:ascii="宋体" w:cs="宋体"/>
          <w:sz w:val="24"/>
          <w:highlight w:val="none"/>
        </w:rPr>
      </w:pPr>
      <w:r>
        <w:rPr>
          <w:rFonts w:hint="eastAsia" w:ascii="宋体" w:cs="宋体"/>
          <w:sz w:val="24"/>
          <w:highlight w:val="none"/>
        </w:rPr>
        <w:t>（7）协助发包人组织专项审查，包括但不限于：交通评估的审查、环境影响评价的审查、结构超限审查论证、消防性能化论证、深基坑审查、建筑节能审查等。</w:t>
      </w:r>
    </w:p>
    <w:p w14:paraId="0D966980">
      <w:pPr>
        <w:adjustRightInd w:val="0"/>
        <w:spacing w:line="360" w:lineRule="auto"/>
        <w:ind w:firstLine="480" w:firstLineChars="200"/>
        <w:rPr>
          <w:rFonts w:ascii="宋体" w:cs="宋体"/>
          <w:sz w:val="24"/>
          <w:highlight w:val="none"/>
        </w:rPr>
      </w:pPr>
      <w:r>
        <w:rPr>
          <w:rFonts w:hint="eastAsia" w:ascii="宋体" w:cs="宋体"/>
          <w:sz w:val="24"/>
          <w:highlight w:val="none"/>
        </w:rPr>
        <w:t>（8）负责编写设计阶段各类管理文件、设置预控要点,制定有关设计管理工作制度及工作标准,编写设计管理规划等，并采用各项设计管理控制措施以保证设计管理工作的顺利实施。</w:t>
      </w:r>
    </w:p>
    <w:p w14:paraId="0B3DADD4">
      <w:pPr>
        <w:adjustRightInd w:val="0"/>
        <w:spacing w:line="360" w:lineRule="auto"/>
        <w:ind w:firstLine="480" w:firstLineChars="200"/>
        <w:rPr>
          <w:rFonts w:ascii="宋体" w:cs="宋体"/>
          <w:sz w:val="24"/>
          <w:highlight w:val="none"/>
        </w:rPr>
      </w:pPr>
      <w:r>
        <w:rPr>
          <w:rFonts w:hint="eastAsia" w:ascii="宋体" w:cs="宋体"/>
          <w:sz w:val="24"/>
          <w:highlight w:val="none"/>
        </w:rPr>
        <w:t>（9）组织周/月进度例会及专项设计例会，按时向发包人报送设计管理简报和管理专项报告。定期进行设计阶段管理小结，定期向发包人报告设计进展情况，设计中存在的问题及整改措施以及上个周期的整改措施落实情况。参与重大、疑难技术问题的处理。审查组织设计单位对保证工程质量是否有可靠的技术和组织措施；</w:t>
      </w:r>
    </w:p>
    <w:p w14:paraId="7F1582E1">
      <w:pPr>
        <w:adjustRightInd w:val="0"/>
        <w:spacing w:line="360" w:lineRule="auto"/>
        <w:ind w:firstLine="480" w:firstLineChars="200"/>
        <w:rPr>
          <w:rFonts w:ascii="宋体" w:cs="宋体"/>
          <w:sz w:val="24"/>
          <w:highlight w:val="none"/>
        </w:rPr>
      </w:pPr>
      <w:r>
        <w:rPr>
          <w:rFonts w:hint="eastAsia" w:ascii="宋体" w:cs="宋体"/>
          <w:sz w:val="24"/>
          <w:highlight w:val="none"/>
        </w:rPr>
        <w:t>（10）对项目全过程进行投资控制管理。负责组织设计施工总承包单位进行技术经济方案比选并进行投资控制建议，使其符合投资控制要求。</w:t>
      </w:r>
    </w:p>
    <w:p w14:paraId="5CAAB8DB">
      <w:pPr>
        <w:adjustRightInd w:val="0"/>
        <w:spacing w:line="360" w:lineRule="auto"/>
        <w:ind w:firstLine="480" w:firstLineChars="200"/>
        <w:rPr>
          <w:rFonts w:ascii="宋体" w:cs="宋体"/>
          <w:sz w:val="24"/>
          <w:highlight w:val="none"/>
        </w:rPr>
      </w:pPr>
      <w:r>
        <w:rPr>
          <w:rFonts w:hint="eastAsia" w:ascii="宋体" w:cs="宋体"/>
          <w:sz w:val="24"/>
          <w:highlight w:val="none"/>
        </w:rPr>
        <w:t>（11）进行各承包人有关条款跟踪管理，处理各承包人合同条款中有关的索赔与反索赔事宜，处理设计合同纠纷，为仲裁和争议解决提供正确的全面的维护发包人正当权益的法律凭证。</w:t>
      </w:r>
    </w:p>
    <w:p w14:paraId="3E44DEFE">
      <w:pPr>
        <w:adjustRightInd w:val="0"/>
        <w:spacing w:line="360" w:lineRule="auto"/>
        <w:ind w:firstLine="480" w:firstLineChars="200"/>
        <w:rPr>
          <w:rFonts w:ascii="宋体" w:cs="宋体"/>
          <w:sz w:val="24"/>
          <w:highlight w:val="none"/>
        </w:rPr>
      </w:pPr>
      <w:r>
        <w:rPr>
          <w:rFonts w:hint="eastAsia" w:ascii="宋体" w:cs="宋体"/>
          <w:sz w:val="24"/>
          <w:highlight w:val="none"/>
        </w:rPr>
        <w:t>（12）对重要的需求、设计调整及相关的专题会议、协调会议应做好完备的台帐管理，做到易查看、可追溯。</w:t>
      </w:r>
    </w:p>
    <w:p w14:paraId="700C4426">
      <w:pPr>
        <w:adjustRightInd w:val="0"/>
        <w:spacing w:line="360" w:lineRule="auto"/>
        <w:ind w:firstLine="480" w:firstLineChars="200"/>
        <w:rPr>
          <w:rFonts w:ascii="宋体" w:cs="宋体"/>
          <w:sz w:val="24"/>
          <w:highlight w:val="none"/>
        </w:rPr>
      </w:pPr>
      <w:r>
        <w:rPr>
          <w:rFonts w:hint="eastAsia" w:ascii="宋体" w:cs="宋体"/>
          <w:sz w:val="24"/>
          <w:highlight w:val="none"/>
        </w:rPr>
        <w:t>（13）协助发包人组织专家认证、施工图设计各阶段与设计单位的联络和协调工作，确保项目设计按批准的建设规模、功能、标准和工期顺利实施。</w:t>
      </w:r>
    </w:p>
    <w:p w14:paraId="5A68F187">
      <w:pPr>
        <w:adjustRightInd w:val="0"/>
        <w:spacing w:line="360" w:lineRule="auto"/>
        <w:ind w:firstLine="480" w:firstLineChars="200"/>
        <w:rPr>
          <w:rFonts w:ascii="宋体" w:cs="宋体"/>
          <w:sz w:val="24"/>
          <w:highlight w:val="none"/>
        </w:rPr>
      </w:pPr>
      <w:r>
        <w:rPr>
          <w:rFonts w:hint="eastAsia" w:ascii="宋体" w:cs="宋体"/>
          <w:sz w:val="24"/>
          <w:highlight w:val="none"/>
        </w:rPr>
        <w:t>（14）在设计交底前，总监理工程师应组织监理人员熟悉设计文件，并对图纸中存在的问题通过发包人向设计单位提出书面意见和建议。</w:t>
      </w:r>
    </w:p>
    <w:p w14:paraId="7601FA48">
      <w:pPr>
        <w:adjustRightInd w:val="0"/>
        <w:spacing w:line="360" w:lineRule="auto"/>
        <w:ind w:firstLine="480" w:firstLineChars="200"/>
        <w:rPr>
          <w:rFonts w:ascii="宋体" w:cs="宋体"/>
          <w:sz w:val="24"/>
          <w:highlight w:val="none"/>
        </w:rPr>
      </w:pPr>
      <w:r>
        <w:rPr>
          <w:rFonts w:hint="eastAsia" w:ascii="宋体" w:cs="宋体"/>
          <w:sz w:val="24"/>
          <w:highlight w:val="none"/>
        </w:rPr>
        <w:t>（15）项目监理人员应参加由发包人组织的设计技术交底会，总监理工程师应组织人员编写设计技术交底会议纪要并提交给发包人。</w:t>
      </w:r>
    </w:p>
    <w:p w14:paraId="162F1174">
      <w:pPr>
        <w:adjustRightInd w:val="0"/>
        <w:spacing w:line="360" w:lineRule="auto"/>
        <w:ind w:firstLine="480" w:firstLineChars="200"/>
        <w:rPr>
          <w:rFonts w:ascii="宋体" w:cs="宋体"/>
          <w:sz w:val="24"/>
          <w:highlight w:val="none"/>
        </w:rPr>
      </w:pPr>
      <w:r>
        <w:rPr>
          <w:rFonts w:hint="eastAsia" w:ascii="宋体" w:cs="宋体"/>
          <w:sz w:val="24"/>
          <w:highlight w:val="none"/>
        </w:rPr>
        <w:t>（16）本项目若涉及到BIM专项设计，督促设计施工总承包按要求提交模型、资料等，并负责归档。</w:t>
      </w:r>
    </w:p>
    <w:p w14:paraId="6A62BB45">
      <w:pPr>
        <w:adjustRightInd w:val="0"/>
        <w:spacing w:line="360" w:lineRule="auto"/>
        <w:ind w:firstLine="480" w:firstLineChars="200"/>
        <w:rPr>
          <w:rFonts w:ascii="宋体" w:cs="宋体"/>
          <w:sz w:val="24"/>
          <w:highlight w:val="none"/>
        </w:rPr>
      </w:pPr>
      <w:r>
        <w:rPr>
          <w:rFonts w:hint="eastAsia" w:ascii="宋体" w:cs="宋体"/>
          <w:sz w:val="24"/>
          <w:highlight w:val="none"/>
        </w:rPr>
        <w:t>（17）监理需建立各专业图纸台帐、变更台帐、每月15日更新提交业主。</w:t>
      </w:r>
    </w:p>
    <w:p w14:paraId="2ADBE544">
      <w:pPr>
        <w:pStyle w:val="7"/>
        <w:spacing w:after="0" w:line="360" w:lineRule="auto"/>
        <w:ind w:firstLine="480" w:firstLineChars="200"/>
        <w:rPr>
          <w:rFonts w:ascii="宋体" w:cs="宋体"/>
          <w:sz w:val="24"/>
          <w:highlight w:val="none"/>
        </w:rPr>
      </w:pPr>
      <w:r>
        <w:rPr>
          <w:rFonts w:hint="eastAsia" w:ascii="宋体" w:cs="宋体"/>
          <w:kern w:val="2"/>
          <w:sz w:val="24"/>
          <w:highlight w:val="none"/>
        </w:rPr>
        <w:t>（18）监理需编制实测实量方案，进场60天内报送业主审批后执行。</w:t>
      </w:r>
    </w:p>
    <w:p w14:paraId="21E5DDEE">
      <w:pPr>
        <w:adjustRightInd w:val="0"/>
        <w:spacing w:line="360" w:lineRule="auto"/>
        <w:ind w:firstLine="480" w:firstLineChars="200"/>
        <w:rPr>
          <w:rFonts w:ascii="宋体" w:cs="宋体"/>
          <w:sz w:val="24"/>
          <w:highlight w:val="none"/>
        </w:rPr>
      </w:pPr>
      <w:r>
        <w:rPr>
          <w:rFonts w:hint="eastAsia" w:ascii="宋体" w:cs="宋体"/>
          <w:sz w:val="24"/>
          <w:highlight w:val="none"/>
        </w:rPr>
        <w:t>2、报建报批管理</w:t>
      </w:r>
    </w:p>
    <w:p w14:paraId="5D344E8C">
      <w:pPr>
        <w:adjustRightInd w:val="0"/>
        <w:spacing w:line="360" w:lineRule="auto"/>
        <w:ind w:firstLine="480" w:firstLineChars="200"/>
        <w:rPr>
          <w:rFonts w:ascii="宋体" w:cs="宋体"/>
          <w:sz w:val="24"/>
          <w:highlight w:val="none"/>
        </w:rPr>
      </w:pPr>
      <w:r>
        <w:rPr>
          <w:rFonts w:hint="eastAsia" w:ascii="宋体" w:cs="宋体"/>
          <w:sz w:val="24"/>
          <w:highlight w:val="none"/>
        </w:rPr>
        <w:t>（1）对各项目建设需要开展的相关专题研究以及需要办理的相关手续进行梳理，根据总体工作计划要求进行报批报建工作策划。</w:t>
      </w:r>
    </w:p>
    <w:p w14:paraId="46D55D12">
      <w:pPr>
        <w:adjustRightInd w:val="0"/>
        <w:spacing w:line="360" w:lineRule="auto"/>
        <w:ind w:firstLine="480" w:firstLineChars="200"/>
        <w:rPr>
          <w:rFonts w:ascii="宋体" w:cs="宋体"/>
          <w:sz w:val="24"/>
          <w:highlight w:val="none"/>
        </w:rPr>
      </w:pPr>
      <w:r>
        <w:rPr>
          <w:rFonts w:hint="eastAsia" w:ascii="宋体" w:cs="宋体"/>
          <w:sz w:val="24"/>
          <w:highlight w:val="none"/>
        </w:rPr>
        <w:t>（2）根据各项目建设内容编制报建报批工作计划，督促审核设计施工总承包单位及时办理项目前期及工程建设期间的各项报批报建手续(包括但不限于：办理土地、规划、城市轨道交通、建设、环保、人防、消防、航空、气象、用电、用水、路口、水土保持、市政接驳等)。</w:t>
      </w:r>
    </w:p>
    <w:p w14:paraId="0EBD5C65">
      <w:pPr>
        <w:adjustRightInd w:val="0"/>
        <w:spacing w:line="360" w:lineRule="auto"/>
        <w:ind w:firstLine="480" w:firstLineChars="200"/>
        <w:rPr>
          <w:rFonts w:ascii="宋体" w:cs="宋体"/>
          <w:sz w:val="24"/>
          <w:highlight w:val="none"/>
        </w:rPr>
      </w:pPr>
      <w:r>
        <w:rPr>
          <w:rFonts w:hint="eastAsia" w:ascii="宋体" w:cs="宋体"/>
          <w:sz w:val="24"/>
          <w:highlight w:val="none"/>
        </w:rPr>
        <w:t>3、施工准备阶段的监理工作（包括但不限于以下内容）</w:t>
      </w:r>
    </w:p>
    <w:p w14:paraId="5E0A1430">
      <w:pPr>
        <w:adjustRightInd w:val="0"/>
        <w:spacing w:line="360" w:lineRule="auto"/>
        <w:ind w:firstLine="480" w:firstLineChars="200"/>
        <w:rPr>
          <w:rFonts w:ascii="宋体" w:cs="宋体"/>
          <w:sz w:val="24"/>
          <w:highlight w:val="none"/>
        </w:rPr>
      </w:pPr>
      <w:r>
        <w:rPr>
          <w:rFonts w:hint="eastAsia" w:ascii="宋体" w:cs="宋体"/>
          <w:sz w:val="24"/>
          <w:highlight w:val="none"/>
        </w:rPr>
        <w:t>（1）工程项目开工前，总监理工程师应组织专业监理工程师审查承包人报送的施工组织设计(方案)报审表，提出审查意见，并经总监理工程师审核、签认后报发包人。</w:t>
      </w:r>
    </w:p>
    <w:p w14:paraId="0443D3B2">
      <w:pPr>
        <w:adjustRightInd w:val="0"/>
        <w:spacing w:line="360" w:lineRule="auto"/>
        <w:ind w:firstLine="480" w:firstLineChars="200"/>
        <w:rPr>
          <w:rFonts w:ascii="宋体" w:cs="宋体"/>
          <w:sz w:val="24"/>
          <w:highlight w:val="none"/>
        </w:rPr>
      </w:pPr>
      <w:r>
        <w:rPr>
          <w:rFonts w:hint="eastAsia" w:ascii="宋体" w:cs="宋体"/>
          <w:sz w:val="24"/>
          <w:highlight w:val="none"/>
        </w:rPr>
        <w:t>（2）工程项目开工前，总监理工程师应审查承包人现场项目管理机构的质量管理体系、环境管理体系和安全管理体系，对工程项目施工质量予以确认。对质量管理体系、环境管理体系和安全管理体系应审核以下内容：</w:t>
      </w:r>
    </w:p>
    <w:p w14:paraId="06C47DF3">
      <w:pPr>
        <w:adjustRightInd w:val="0"/>
        <w:spacing w:line="360" w:lineRule="auto"/>
        <w:ind w:firstLine="480" w:firstLineChars="200"/>
        <w:rPr>
          <w:rFonts w:ascii="宋体" w:cs="宋体"/>
          <w:sz w:val="24"/>
          <w:highlight w:val="none"/>
        </w:rPr>
      </w:pPr>
      <w:r>
        <w:rPr>
          <w:rFonts w:hint="eastAsia" w:ascii="宋体" w:cs="宋体"/>
          <w:sz w:val="24"/>
          <w:highlight w:val="none"/>
        </w:rPr>
        <w:t>1）质量管理体系、环境管理体系和安全管理体系的组织及职责；</w:t>
      </w:r>
    </w:p>
    <w:p w14:paraId="5AD82559">
      <w:pPr>
        <w:adjustRightInd w:val="0"/>
        <w:spacing w:line="360" w:lineRule="auto"/>
        <w:ind w:firstLine="480" w:firstLineChars="200"/>
        <w:rPr>
          <w:rFonts w:ascii="宋体" w:cs="宋体"/>
          <w:sz w:val="24"/>
          <w:highlight w:val="none"/>
        </w:rPr>
      </w:pPr>
      <w:r>
        <w:rPr>
          <w:rFonts w:hint="eastAsia" w:ascii="宋体" w:cs="宋体"/>
          <w:sz w:val="24"/>
          <w:highlight w:val="none"/>
        </w:rPr>
        <w:t>2）质量管理体系、环境管理体系和安全管理体系各过程的识别与管理；</w:t>
      </w:r>
    </w:p>
    <w:p w14:paraId="51C8BE07">
      <w:pPr>
        <w:adjustRightInd w:val="0"/>
        <w:spacing w:line="360" w:lineRule="auto"/>
        <w:ind w:firstLine="480" w:firstLineChars="200"/>
        <w:rPr>
          <w:rFonts w:ascii="宋体" w:cs="宋体"/>
          <w:sz w:val="24"/>
          <w:highlight w:val="none"/>
        </w:rPr>
      </w:pPr>
      <w:r>
        <w:rPr>
          <w:rFonts w:hint="eastAsia" w:ascii="宋体" w:cs="宋体"/>
          <w:sz w:val="24"/>
          <w:highlight w:val="none"/>
        </w:rPr>
        <w:t>3）质量管理体系、环境管理体系和安全管理体系的持续改进措施。</w:t>
      </w:r>
    </w:p>
    <w:p w14:paraId="7B390943">
      <w:pPr>
        <w:adjustRightInd w:val="0"/>
        <w:spacing w:line="360" w:lineRule="auto"/>
        <w:ind w:firstLine="480" w:firstLineChars="200"/>
        <w:rPr>
          <w:rFonts w:ascii="宋体" w:cs="宋体"/>
          <w:sz w:val="24"/>
          <w:highlight w:val="none"/>
        </w:rPr>
      </w:pPr>
      <w:r>
        <w:rPr>
          <w:rFonts w:hint="eastAsia" w:ascii="宋体" w:cs="宋体"/>
          <w:sz w:val="24"/>
          <w:highlight w:val="none"/>
        </w:rPr>
        <w:t>（3）分包工程开工前，专业监理工程师应审查承包人报送的分包单位资格报审表和分包单位有关资质资料，符合有关规定后，由总监理工程师予以签认。对分包单位资格应审核以下内容：</w:t>
      </w:r>
    </w:p>
    <w:p w14:paraId="40DAB416">
      <w:pPr>
        <w:adjustRightInd w:val="0"/>
        <w:spacing w:line="360" w:lineRule="auto"/>
        <w:ind w:firstLine="480" w:firstLineChars="200"/>
        <w:rPr>
          <w:rFonts w:ascii="宋体" w:cs="宋体"/>
          <w:sz w:val="24"/>
          <w:highlight w:val="none"/>
        </w:rPr>
      </w:pPr>
      <w:r>
        <w:rPr>
          <w:rFonts w:hint="eastAsia" w:ascii="宋体" w:cs="宋体"/>
          <w:sz w:val="24"/>
          <w:highlight w:val="none"/>
        </w:rPr>
        <w:t>1）分包单位的营业执照、企业资质等级证书、特殊行业施工许可证、国外(境外)企业在国内承包工程许可证；</w:t>
      </w:r>
    </w:p>
    <w:p w14:paraId="4C24A0A0">
      <w:pPr>
        <w:adjustRightInd w:val="0"/>
        <w:spacing w:line="360" w:lineRule="auto"/>
        <w:ind w:firstLine="480" w:firstLineChars="200"/>
        <w:rPr>
          <w:rFonts w:ascii="宋体" w:cs="宋体"/>
          <w:sz w:val="24"/>
          <w:highlight w:val="none"/>
        </w:rPr>
      </w:pPr>
      <w:r>
        <w:rPr>
          <w:rFonts w:hint="eastAsia" w:ascii="宋体" w:cs="宋体"/>
          <w:sz w:val="24"/>
          <w:highlight w:val="none"/>
        </w:rPr>
        <w:t>2）分包单位的业绩，尤其是类似工程施工的经验；</w:t>
      </w:r>
    </w:p>
    <w:p w14:paraId="4911412E">
      <w:pPr>
        <w:adjustRightInd w:val="0"/>
        <w:spacing w:line="360" w:lineRule="auto"/>
        <w:ind w:firstLine="480" w:firstLineChars="200"/>
        <w:rPr>
          <w:rFonts w:ascii="宋体" w:cs="宋体"/>
          <w:sz w:val="24"/>
          <w:highlight w:val="none"/>
        </w:rPr>
      </w:pPr>
      <w:r>
        <w:rPr>
          <w:rFonts w:hint="eastAsia" w:ascii="宋体" w:cs="宋体"/>
          <w:sz w:val="24"/>
          <w:highlight w:val="none"/>
        </w:rPr>
        <w:t>3）拟分包工程的内容和范围；</w:t>
      </w:r>
    </w:p>
    <w:p w14:paraId="3569D280">
      <w:pPr>
        <w:adjustRightInd w:val="0"/>
        <w:spacing w:line="360" w:lineRule="auto"/>
        <w:ind w:firstLine="480" w:firstLineChars="200"/>
        <w:rPr>
          <w:rFonts w:ascii="宋体" w:cs="宋体"/>
          <w:sz w:val="24"/>
          <w:highlight w:val="none"/>
        </w:rPr>
      </w:pPr>
      <w:r>
        <w:rPr>
          <w:rFonts w:hint="eastAsia" w:ascii="宋体" w:cs="宋体"/>
          <w:sz w:val="24"/>
          <w:highlight w:val="none"/>
        </w:rPr>
        <w:t>4）专职管理人员和特种作业人员的资格证、上岗证。</w:t>
      </w:r>
    </w:p>
    <w:p w14:paraId="41C35D61">
      <w:pPr>
        <w:adjustRightInd w:val="0"/>
        <w:spacing w:line="360" w:lineRule="auto"/>
        <w:ind w:firstLine="480" w:firstLineChars="200"/>
        <w:rPr>
          <w:rFonts w:ascii="宋体" w:cs="宋体"/>
          <w:sz w:val="24"/>
          <w:highlight w:val="none"/>
        </w:rPr>
      </w:pPr>
      <w:r>
        <w:rPr>
          <w:rFonts w:hint="eastAsia" w:ascii="宋体" w:cs="宋体"/>
          <w:sz w:val="24"/>
          <w:highlight w:val="none"/>
        </w:rPr>
        <w:t>（4）专业监理工程师应按以下要求对承包人报送的测量放线控制方案成果及保护措施进行检查，符合要求时，专业监理工程师对承包人报送的施工测量资料予以签认：</w:t>
      </w:r>
    </w:p>
    <w:p w14:paraId="3B50BC82">
      <w:pPr>
        <w:adjustRightInd w:val="0"/>
        <w:spacing w:line="360" w:lineRule="auto"/>
        <w:ind w:firstLine="480" w:firstLineChars="200"/>
        <w:rPr>
          <w:rFonts w:ascii="宋体" w:cs="宋体"/>
          <w:sz w:val="24"/>
          <w:highlight w:val="none"/>
        </w:rPr>
      </w:pPr>
      <w:r>
        <w:rPr>
          <w:rFonts w:hint="eastAsia" w:ascii="宋体" w:cs="宋体"/>
          <w:sz w:val="24"/>
          <w:highlight w:val="none"/>
        </w:rPr>
        <w:t>1）检查承包人专职测量人员的岗位证书及测量设备检定证书；</w:t>
      </w:r>
    </w:p>
    <w:p w14:paraId="6D0205E6">
      <w:pPr>
        <w:adjustRightInd w:val="0"/>
        <w:spacing w:line="360" w:lineRule="auto"/>
        <w:ind w:firstLine="480" w:firstLineChars="200"/>
        <w:rPr>
          <w:rFonts w:ascii="宋体" w:cs="宋体"/>
          <w:sz w:val="24"/>
          <w:highlight w:val="none"/>
        </w:rPr>
      </w:pPr>
      <w:r>
        <w:rPr>
          <w:rFonts w:hint="eastAsia" w:ascii="宋体" w:cs="宋体"/>
          <w:sz w:val="24"/>
          <w:highlight w:val="none"/>
        </w:rPr>
        <w:t>2）审核承包人提交的控制测量方案；</w:t>
      </w:r>
    </w:p>
    <w:p w14:paraId="638648AA">
      <w:pPr>
        <w:adjustRightInd w:val="0"/>
        <w:spacing w:line="360" w:lineRule="auto"/>
        <w:ind w:firstLine="480" w:firstLineChars="200"/>
        <w:rPr>
          <w:rFonts w:ascii="宋体" w:cs="宋体"/>
          <w:sz w:val="24"/>
          <w:highlight w:val="none"/>
        </w:rPr>
      </w:pPr>
      <w:r>
        <w:rPr>
          <w:rFonts w:hint="eastAsia" w:ascii="宋体" w:cs="宋体"/>
          <w:sz w:val="24"/>
          <w:highlight w:val="none"/>
        </w:rPr>
        <w:t>3）复核控制桩的校核成果、控制桩的保护措施以及平面控制网、高程控制网和临时水准点的测量成果。</w:t>
      </w:r>
    </w:p>
    <w:p w14:paraId="710F7237">
      <w:pPr>
        <w:adjustRightInd w:val="0"/>
        <w:spacing w:line="360" w:lineRule="auto"/>
        <w:ind w:firstLine="480" w:firstLineChars="200"/>
        <w:rPr>
          <w:rFonts w:ascii="宋体" w:cs="宋体"/>
          <w:sz w:val="24"/>
          <w:highlight w:val="none"/>
        </w:rPr>
      </w:pPr>
      <w:r>
        <w:rPr>
          <w:rFonts w:hint="eastAsia" w:ascii="宋体" w:cs="宋体"/>
          <w:sz w:val="24"/>
          <w:highlight w:val="none"/>
        </w:rPr>
        <w:t>（5）专业监理工程师应审查承包人报送的工程开工报审表及相关资料，具备以下开工条件时，由总监理工程师签发，并报发包人：</w:t>
      </w:r>
    </w:p>
    <w:p w14:paraId="207FB964">
      <w:pPr>
        <w:adjustRightInd w:val="0"/>
        <w:spacing w:line="360" w:lineRule="auto"/>
        <w:ind w:firstLine="480" w:firstLineChars="200"/>
        <w:rPr>
          <w:rFonts w:ascii="宋体" w:cs="宋体"/>
          <w:sz w:val="24"/>
          <w:highlight w:val="none"/>
        </w:rPr>
      </w:pPr>
      <w:r>
        <w:rPr>
          <w:rFonts w:hint="eastAsia" w:ascii="宋体" w:cs="宋体"/>
          <w:sz w:val="24"/>
          <w:highlight w:val="none"/>
        </w:rPr>
        <w:t>1）施工许可证已获政府主管部门批准；</w:t>
      </w:r>
    </w:p>
    <w:p w14:paraId="264885B0">
      <w:pPr>
        <w:adjustRightInd w:val="0"/>
        <w:spacing w:line="360" w:lineRule="auto"/>
        <w:ind w:firstLine="480" w:firstLineChars="200"/>
        <w:rPr>
          <w:rFonts w:ascii="宋体" w:cs="宋体"/>
          <w:sz w:val="24"/>
          <w:highlight w:val="none"/>
        </w:rPr>
      </w:pPr>
      <w:r>
        <w:rPr>
          <w:rFonts w:hint="eastAsia" w:ascii="宋体" w:cs="宋体"/>
          <w:sz w:val="24"/>
          <w:highlight w:val="none"/>
        </w:rPr>
        <w:t>2）征地拆迁工作能满足工程进度的需要；</w:t>
      </w:r>
    </w:p>
    <w:p w14:paraId="03C70620">
      <w:pPr>
        <w:adjustRightInd w:val="0"/>
        <w:spacing w:line="360" w:lineRule="auto"/>
        <w:ind w:firstLine="480" w:firstLineChars="200"/>
        <w:rPr>
          <w:rFonts w:ascii="宋体" w:cs="宋体"/>
          <w:sz w:val="24"/>
          <w:highlight w:val="none"/>
        </w:rPr>
      </w:pPr>
      <w:r>
        <w:rPr>
          <w:rFonts w:hint="eastAsia" w:ascii="宋体" w:cs="宋体"/>
          <w:sz w:val="24"/>
          <w:highlight w:val="none"/>
        </w:rPr>
        <w:t>3）施工组织设计已获总监理工程师批准；</w:t>
      </w:r>
    </w:p>
    <w:p w14:paraId="389E12FD">
      <w:pPr>
        <w:adjustRightInd w:val="0"/>
        <w:spacing w:line="360" w:lineRule="auto"/>
        <w:ind w:firstLine="480" w:firstLineChars="200"/>
        <w:rPr>
          <w:rFonts w:ascii="宋体" w:cs="宋体"/>
          <w:sz w:val="24"/>
          <w:highlight w:val="none"/>
        </w:rPr>
      </w:pPr>
      <w:r>
        <w:rPr>
          <w:rFonts w:hint="eastAsia" w:ascii="宋体" w:cs="宋体"/>
          <w:sz w:val="24"/>
          <w:highlight w:val="none"/>
        </w:rPr>
        <w:t>4）承包人现场管理人员已到位，机具、施工人员已进场，主要工程材料已落实；</w:t>
      </w:r>
    </w:p>
    <w:p w14:paraId="374F32C4">
      <w:pPr>
        <w:adjustRightInd w:val="0"/>
        <w:spacing w:line="360" w:lineRule="auto"/>
        <w:ind w:firstLine="480" w:firstLineChars="200"/>
        <w:rPr>
          <w:rFonts w:ascii="宋体" w:cs="宋体"/>
          <w:sz w:val="24"/>
          <w:highlight w:val="none"/>
        </w:rPr>
      </w:pPr>
      <w:r>
        <w:rPr>
          <w:rFonts w:hint="eastAsia" w:ascii="宋体" w:cs="宋体"/>
          <w:sz w:val="24"/>
          <w:highlight w:val="none"/>
        </w:rPr>
        <w:t>5）进场道路及水、电、通讯等已满足开工要求；</w:t>
      </w:r>
    </w:p>
    <w:p w14:paraId="22A7E0F2">
      <w:pPr>
        <w:adjustRightInd w:val="0"/>
        <w:spacing w:line="360" w:lineRule="auto"/>
        <w:ind w:firstLine="480" w:firstLineChars="200"/>
        <w:rPr>
          <w:rFonts w:ascii="宋体" w:cs="宋体"/>
          <w:sz w:val="24"/>
          <w:highlight w:val="none"/>
        </w:rPr>
      </w:pPr>
      <w:r>
        <w:rPr>
          <w:rFonts w:hint="eastAsia" w:ascii="宋体" w:cs="宋体"/>
          <w:sz w:val="24"/>
          <w:highlight w:val="none"/>
        </w:rPr>
        <w:t>6）施工测量、技术交底、作业指导书等各项技术准备工作是否已经完成。</w:t>
      </w:r>
    </w:p>
    <w:p w14:paraId="592B5B0D">
      <w:pPr>
        <w:adjustRightInd w:val="0"/>
        <w:spacing w:line="360" w:lineRule="auto"/>
        <w:ind w:firstLine="480" w:firstLineChars="200"/>
        <w:rPr>
          <w:rFonts w:ascii="宋体" w:cs="宋体"/>
          <w:sz w:val="24"/>
          <w:highlight w:val="none"/>
        </w:rPr>
      </w:pPr>
      <w:r>
        <w:rPr>
          <w:rFonts w:hint="eastAsia" w:ascii="宋体" w:cs="宋体"/>
          <w:sz w:val="24"/>
          <w:highlight w:val="none"/>
        </w:rPr>
        <w:t>（6）工程项目开工前，监理人员应参加由发包人主持召开的第一次工地会议。工地会议应包括以下主要内容：</w:t>
      </w:r>
    </w:p>
    <w:p w14:paraId="498288DC">
      <w:pPr>
        <w:adjustRightInd w:val="0"/>
        <w:spacing w:line="360" w:lineRule="auto"/>
        <w:ind w:firstLine="480" w:firstLineChars="200"/>
        <w:rPr>
          <w:rFonts w:ascii="宋体" w:cs="宋体"/>
          <w:sz w:val="24"/>
          <w:highlight w:val="none"/>
        </w:rPr>
      </w:pPr>
      <w:r>
        <w:rPr>
          <w:rFonts w:hint="eastAsia" w:ascii="宋体" w:cs="宋体"/>
          <w:sz w:val="24"/>
          <w:highlight w:val="none"/>
        </w:rPr>
        <w:t>1）发包人、承包人和监理人分别介绍各自驻现场的组织机构、人员及其分工；</w:t>
      </w:r>
    </w:p>
    <w:p w14:paraId="1BE4C682">
      <w:pPr>
        <w:adjustRightInd w:val="0"/>
        <w:spacing w:line="360" w:lineRule="auto"/>
        <w:ind w:firstLine="480" w:firstLineChars="200"/>
        <w:rPr>
          <w:rFonts w:ascii="宋体" w:cs="宋体"/>
          <w:sz w:val="24"/>
          <w:highlight w:val="none"/>
        </w:rPr>
      </w:pPr>
      <w:r>
        <w:rPr>
          <w:rFonts w:hint="eastAsia" w:ascii="宋体" w:cs="宋体"/>
          <w:sz w:val="24"/>
          <w:highlight w:val="none"/>
        </w:rPr>
        <w:t>2）发包人根据委托监理合同宣布对总监理工程师的授权；</w:t>
      </w:r>
    </w:p>
    <w:p w14:paraId="45F6C4AF">
      <w:pPr>
        <w:adjustRightInd w:val="0"/>
        <w:spacing w:line="360" w:lineRule="auto"/>
        <w:ind w:firstLine="480" w:firstLineChars="200"/>
        <w:rPr>
          <w:rFonts w:ascii="宋体" w:cs="宋体"/>
          <w:sz w:val="24"/>
          <w:highlight w:val="none"/>
        </w:rPr>
      </w:pPr>
      <w:r>
        <w:rPr>
          <w:rFonts w:hint="eastAsia" w:ascii="宋体" w:cs="宋体"/>
          <w:sz w:val="24"/>
          <w:highlight w:val="none"/>
        </w:rPr>
        <w:t>3）发包人介绍工程开工准备情况；</w:t>
      </w:r>
    </w:p>
    <w:p w14:paraId="7B438FE2">
      <w:pPr>
        <w:adjustRightInd w:val="0"/>
        <w:spacing w:line="360" w:lineRule="auto"/>
        <w:ind w:firstLine="480" w:firstLineChars="200"/>
        <w:rPr>
          <w:rFonts w:ascii="宋体" w:cs="宋体"/>
          <w:sz w:val="24"/>
          <w:highlight w:val="none"/>
        </w:rPr>
      </w:pPr>
      <w:r>
        <w:rPr>
          <w:rFonts w:hint="eastAsia" w:ascii="宋体" w:cs="宋体"/>
          <w:sz w:val="24"/>
          <w:highlight w:val="none"/>
        </w:rPr>
        <w:t>4）承包人介绍施工准备情况；</w:t>
      </w:r>
    </w:p>
    <w:p w14:paraId="259AE61F">
      <w:pPr>
        <w:adjustRightInd w:val="0"/>
        <w:spacing w:line="360" w:lineRule="auto"/>
        <w:ind w:firstLine="480" w:firstLineChars="200"/>
        <w:rPr>
          <w:rFonts w:ascii="宋体" w:cs="宋体"/>
          <w:sz w:val="24"/>
          <w:highlight w:val="none"/>
        </w:rPr>
      </w:pPr>
      <w:r>
        <w:rPr>
          <w:rFonts w:hint="eastAsia" w:ascii="宋体" w:cs="宋体"/>
          <w:sz w:val="24"/>
          <w:highlight w:val="none"/>
        </w:rPr>
        <w:t>5）发包人和总监理工程师对施工准备情况提出意见和要求；</w:t>
      </w:r>
    </w:p>
    <w:p w14:paraId="24DF7172">
      <w:pPr>
        <w:adjustRightInd w:val="0"/>
        <w:spacing w:line="360" w:lineRule="auto"/>
        <w:ind w:firstLine="480" w:firstLineChars="200"/>
        <w:rPr>
          <w:rFonts w:ascii="宋体" w:cs="宋体"/>
          <w:sz w:val="24"/>
          <w:highlight w:val="none"/>
        </w:rPr>
      </w:pPr>
      <w:r>
        <w:rPr>
          <w:rFonts w:hint="eastAsia" w:ascii="宋体" w:cs="宋体"/>
          <w:sz w:val="24"/>
          <w:highlight w:val="none"/>
        </w:rPr>
        <w:t>6）总监理工程师介绍监理规划的主要内容；</w:t>
      </w:r>
    </w:p>
    <w:p w14:paraId="2CB0056F">
      <w:pPr>
        <w:adjustRightInd w:val="0"/>
        <w:spacing w:line="360" w:lineRule="auto"/>
        <w:ind w:firstLine="480" w:firstLineChars="200"/>
        <w:rPr>
          <w:rFonts w:ascii="宋体" w:cs="宋体"/>
          <w:sz w:val="24"/>
          <w:highlight w:val="none"/>
        </w:rPr>
      </w:pPr>
      <w:r>
        <w:rPr>
          <w:rFonts w:hint="eastAsia" w:ascii="宋体" w:cs="宋体"/>
          <w:sz w:val="24"/>
          <w:highlight w:val="none"/>
        </w:rPr>
        <w:t>7）研究确定各方在施工过程中参加工地例会的主要人员，召开工地例会的周期、地点及主要议题。</w:t>
      </w:r>
    </w:p>
    <w:p w14:paraId="3CB60609">
      <w:pPr>
        <w:adjustRightInd w:val="0"/>
        <w:spacing w:line="360" w:lineRule="auto"/>
        <w:ind w:firstLine="480" w:firstLineChars="200"/>
        <w:rPr>
          <w:rFonts w:ascii="宋体" w:cs="宋体"/>
          <w:sz w:val="24"/>
          <w:highlight w:val="none"/>
        </w:rPr>
      </w:pPr>
      <w:r>
        <w:rPr>
          <w:rFonts w:hint="eastAsia" w:ascii="宋体" w:cs="宋体"/>
          <w:sz w:val="24"/>
          <w:highlight w:val="none"/>
        </w:rPr>
        <w:t>第一次工地会议纪要应由项目监理机构负责起草，并经与会各方代表会签。</w:t>
      </w:r>
    </w:p>
    <w:p w14:paraId="1772C5EF">
      <w:pPr>
        <w:adjustRightInd w:val="0"/>
        <w:spacing w:line="360" w:lineRule="auto"/>
        <w:ind w:firstLine="480" w:firstLineChars="200"/>
        <w:rPr>
          <w:rFonts w:ascii="宋体" w:cs="宋体"/>
          <w:sz w:val="24"/>
          <w:highlight w:val="none"/>
        </w:rPr>
      </w:pPr>
      <w:r>
        <w:rPr>
          <w:rFonts w:hint="eastAsia" w:ascii="宋体" w:cs="宋体"/>
          <w:sz w:val="24"/>
          <w:highlight w:val="none"/>
        </w:rPr>
        <w:t>（7）制定监理规划</w:t>
      </w:r>
    </w:p>
    <w:p w14:paraId="0DF18791">
      <w:pPr>
        <w:adjustRightInd w:val="0"/>
        <w:spacing w:line="360" w:lineRule="auto"/>
        <w:ind w:firstLine="480" w:firstLineChars="200"/>
        <w:rPr>
          <w:rFonts w:ascii="宋体" w:cs="宋体"/>
          <w:sz w:val="24"/>
          <w:highlight w:val="none"/>
        </w:rPr>
      </w:pPr>
      <w:r>
        <w:rPr>
          <w:rFonts w:hint="eastAsia" w:ascii="宋体" w:cs="宋体"/>
          <w:sz w:val="24"/>
          <w:highlight w:val="none"/>
        </w:rPr>
        <w:t>1）监理规划的编制应针对项目的实际情况，明确项目监理机构的工作目标，确定具体的监理工作制度、程序、方法和措施，并应具有可操作性。</w:t>
      </w:r>
    </w:p>
    <w:p w14:paraId="3315F441">
      <w:pPr>
        <w:adjustRightInd w:val="0"/>
        <w:spacing w:line="360" w:lineRule="auto"/>
        <w:ind w:firstLine="480" w:firstLineChars="200"/>
        <w:rPr>
          <w:rFonts w:ascii="宋体" w:cs="宋体"/>
          <w:sz w:val="24"/>
          <w:highlight w:val="none"/>
        </w:rPr>
      </w:pPr>
      <w:r>
        <w:rPr>
          <w:rFonts w:hint="eastAsia" w:ascii="宋体" w:cs="宋体"/>
          <w:sz w:val="24"/>
          <w:highlight w:val="none"/>
        </w:rPr>
        <w:t>2）监理规划编制的程序与依据应符合下列规定：</w:t>
      </w:r>
    </w:p>
    <w:p w14:paraId="0BAD484A">
      <w:pPr>
        <w:adjustRightInd w:val="0"/>
        <w:spacing w:line="360" w:lineRule="auto"/>
        <w:ind w:firstLine="480" w:firstLineChars="200"/>
        <w:rPr>
          <w:rFonts w:ascii="宋体" w:cs="宋体"/>
          <w:sz w:val="24"/>
          <w:highlight w:val="none"/>
        </w:rPr>
      </w:pPr>
      <w:r>
        <w:rPr>
          <w:rFonts w:hint="eastAsia" w:ascii="宋体" w:cs="宋体"/>
          <w:sz w:val="24"/>
          <w:highlight w:val="none"/>
        </w:rPr>
        <w:t>a.监理规划应在签订委托监理合同及收到设计文件后开始编制，完成后必须经监理人技术负责人审核批准，并应在召开第一次工地会议前报送发包人；</w:t>
      </w:r>
    </w:p>
    <w:p w14:paraId="49534427">
      <w:pPr>
        <w:adjustRightInd w:val="0"/>
        <w:spacing w:line="360" w:lineRule="auto"/>
        <w:ind w:firstLine="480" w:firstLineChars="200"/>
        <w:rPr>
          <w:rFonts w:ascii="宋体" w:cs="宋体"/>
          <w:sz w:val="24"/>
          <w:highlight w:val="none"/>
        </w:rPr>
      </w:pPr>
      <w:r>
        <w:rPr>
          <w:rFonts w:hint="eastAsia" w:ascii="宋体" w:cs="宋体"/>
          <w:sz w:val="24"/>
          <w:highlight w:val="none"/>
        </w:rPr>
        <w:t>b.监理规划应由总监理工程师主持、专业监理工程师参加编制；</w:t>
      </w:r>
    </w:p>
    <w:p w14:paraId="0511CE3B">
      <w:pPr>
        <w:adjustRightInd w:val="0"/>
        <w:spacing w:line="360" w:lineRule="auto"/>
        <w:ind w:firstLine="480" w:firstLineChars="200"/>
        <w:rPr>
          <w:rFonts w:ascii="宋体" w:cs="宋体"/>
          <w:sz w:val="24"/>
          <w:highlight w:val="none"/>
        </w:rPr>
      </w:pPr>
      <w:r>
        <w:rPr>
          <w:rFonts w:hint="eastAsia" w:ascii="宋体" w:cs="宋体"/>
          <w:sz w:val="24"/>
          <w:highlight w:val="none"/>
        </w:rPr>
        <w:t>c.编制监理规划应依据：</w:t>
      </w:r>
    </w:p>
    <w:p w14:paraId="22178C1E">
      <w:pPr>
        <w:adjustRightInd w:val="0"/>
        <w:spacing w:line="360" w:lineRule="auto"/>
        <w:ind w:firstLine="480" w:firstLineChars="200"/>
        <w:rPr>
          <w:rFonts w:ascii="宋体" w:cs="宋体"/>
          <w:sz w:val="24"/>
          <w:highlight w:val="none"/>
        </w:rPr>
      </w:pPr>
      <w:r>
        <w:rPr>
          <w:rFonts w:hint="eastAsia" w:ascii="宋体" w:cs="宋体"/>
          <w:sz w:val="24"/>
          <w:highlight w:val="none"/>
        </w:rPr>
        <w:t>——建设工程的相关法律、法规及项目审批文件；</w:t>
      </w:r>
    </w:p>
    <w:p w14:paraId="0C69892A">
      <w:pPr>
        <w:adjustRightInd w:val="0"/>
        <w:spacing w:line="360" w:lineRule="auto"/>
        <w:ind w:firstLine="480" w:firstLineChars="200"/>
        <w:rPr>
          <w:rFonts w:ascii="宋体" w:cs="宋体"/>
          <w:sz w:val="24"/>
          <w:highlight w:val="none"/>
        </w:rPr>
      </w:pPr>
      <w:r>
        <w:rPr>
          <w:rFonts w:hint="eastAsia" w:ascii="宋体" w:cs="宋体"/>
          <w:sz w:val="24"/>
          <w:highlight w:val="none"/>
        </w:rPr>
        <w:t>——与建设工程项目有关的标准、设计文件、技术资料；</w:t>
      </w:r>
    </w:p>
    <w:p w14:paraId="6BD544F1">
      <w:pPr>
        <w:adjustRightInd w:val="0"/>
        <w:spacing w:line="360" w:lineRule="auto"/>
        <w:ind w:firstLine="480" w:firstLineChars="200"/>
        <w:rPr>
          <w:rFonts w:ascii="宋体" w:cs="宋体"/>
          <w:sz w:val="24"/>
          <w:highlight w:val="none"/>
        </w:rPr>
      </w:pPr>
      <w:r>
        <w:rPr>
          <w:rFonts w:hint="eastAsia" w:ascii="宋体" w:cs="宋体"/>
          <w:sz w:val="24"/>
          <w:highlight w:val="none"/>
        </w:rPr>
        <w:t>——监理大纲、委托监理合同文件以及与建设工程项目相关的合同文件。</w:t>
      </w:r>
    </w:p>
    <w:p w14:paraId="5E6E98F4">
      <w:pPr>
        <w:adjustRightInd w:val="0"/>
        <w:spacing w:line="360" w:lineRule="auto"/>
        <w:ind w:firstLine="480" w:firstLineChars="200"/>
        <w:rPr>
          <w:rFonts w:ascii="宋体" w:cs="宋体"/>
          <w:sz w:val="24"/>
          <w:highlight w:val="none"/>
        </w:rPr>
      </w:pPr>
      <w:r>
        <w:rPr>
          <w:rFonts w:hint="eastAsia" w:ascii="宋体" w:cs="宋体"/>
          <w:sz w:val="24"/>
          <w:highlight w:val="none"/>
        </w:rPr>
        <w:t>——发包人制定的有关本合同工程建设的管理制度。</w:t>
      </w:r>
    </w:p>
    <w:p w14:paraId="7841961D">
      <w:pPr>
        <w:adjustRightInd w:val="0"/>
        <w:spacing w:line="360" w:lineRule="auto"/>
        <w:ind w:firstLine="480" w:firstLineChars="200"/>
        <w:rPr>
          <w:rFonts w:ascii="宋体" w:cs="宋体"/>
          <w:sz w:val="24"/>
          <w:highlight w:val="none"/>
        </w:rPr>
      </w:pPr>
      <w:r>
        <w:rPr>
          <w:rFonts w:hint="eastAsia" w:ascii="宋体" w:cs="宋体"/>
          <w:sz w:val="24"/>
          <w:highlight w:val="none"/>
        </w:rPr>
        <w:t>3）监理规划应包括以下主要内容：</w:t>
      </w:r>
    </w:p>
    <w:p w14:paraId="584E1712">
      <w:pPr>
        <w:adjustRightInd w:val="0"/>
        <w:spacing w:line="360" w:lineRule="auto"/>
        <w:ind w:firstLine="480" w:firstLineChars="200"/>
        <w:rPr>
          <w:rFonts w:ascii="宋体" w:cs="宋体"/>
          <w:sz w:val="24"/>
          <w:highlight w:val="none"/>
        </w:rPr>
      </w:pPr>
      <w:r>
        <w:rPr>
          <w:rFonts w:hint="eastAsia" w:ascii="宋体" w:cs="宋体"/>
          <w:sz w:val="24"/>
          <w:highlight w:val="none"/>
        </w:rPr>
        <w:t>a.工程项目概况；</w:t>
      </w:r>
    </w:p>
    <w:p w14:paraId="34643CA4">
      <w:pPr>
        <w:adjustRightInd w:val="0"/>
        <w:spacing w:line="360" w:lineRule="auto"/>
        <w:ind w:firstLine="480" w:firstLineChars="200"/>
        <w:rPr>
          <w:rFonts w:ascii="宋体" w:cs="宋体"/>
          <w:sz w:val="24"/>
          <w:highlight w:val="none"/>
        </w:rPr>
      </w:pPr>
      <w:r>
        <w:rPr>
          <w:rFonts w:hint="eastAsia" w:ascii="宋体" w:cs="宋体"/>
          <w:sz w:val="24"/>
          <w:highlight w:val="none"/>
        </w:rPr>
        <w:t>b.监理工作范围；</w:t>
      </w:r>
    </w:p>
    <w:p w14:paraId="2FFF1375">
      <w:pPr>
        <w:adjustRightInd w:val="0"/>
        <w:spacing w:line="360" w:lineRule="auto"/>
        <w:ind w:firstLine="480" w:firstLineChars="200"/>
        <w:rPr>
          <w:rFonts w:ascii="宋体" w:cs="宋体"/>
          <w:sz w:val="24"/>
          <w:highlight w:val="none"/>
        </w:rPr>
      </w:pPr>
      <w:r>
        <w:rPr>
          <w:rFonts w:hint="eastAsia" w:ascii="宋体" w:cs="宋体"/>
          <w:sz w:val="24"/>
          <w:highlight w:val="none"/>
        </w:rPr>
        <w:t>c.监理工作内容；</w:t>
      </w:r>
    </w:p>
    <w:p w14:paraId="102ACFAA">
      <w:pPr>
        <w:adjustRightInd w:val="0"/>
        <w:spacing w:line="360" w:lineRule="auto"/>
        <w:ind w:firstLine="480" w:firstLineChars="200"/>
        <w:rPr>
          <w:rFonts w:ascii="宋体" w:cs="宋体"/>
          <w:sz w:val="24"/>
          <w:highlight w:val="none"/>
        </w:rPr>
      </w:pPr>
      <w:r>
        <w:rPr>
          <w:rFonts w:hint="eastAsia" w:ascii="宋体" w:cs="宋体"/>
          <w:sz w:val="24"/>
          <w:highlight w:val="none"/>
        </w:rPr>
        <w:t>d.监理工作目标；</w:t>
      </w:r>
    </w:p>
    <w:p w14:paraId="52A8D82A">
      <w:pPr>
        <w:adjustRightInd w:val="0"/>
        <w:spacing w:line="360" w:lineRule="auto"/>
        <w:ind w:firstLine="480" w:firstLineChars="200"/>
        <w:rPr>
          <w:rFonts w:ascii="宋体" w:cs="宋体"/>
          <w:sz w:val="24"/>
          <w:highlight w:val="none"/>
        </w:rPr>
      </w:pPr>
      <w:r>
        <w:rPr>
          <w:rFonts w:hint="eastAsia" w:ascii="宋体" w:cs="宋体"/>
          <w:sz w:val="24"/>
          <w:highlight w:val="none"/>
        </w:rPr>
        <w:t>e.监理工作依据；</w:t>
      </w:r>
    </w:p>
    <w:p w14:paraId="72FFABDC">
      <w:pPr>
        <w:adjustRightInd w:val="0"/>
        <w:spacing w:line="360" w:lineRule="auto"/>
        <w:ind w:firstLine="480" w:firstLineChars="200"/>
        <w:rPr>
          <w:rFonts w:ascii="宋体" w:cs="宋体"/>
          <w:sz w:val="24"/>
          <w:highlight w:val="none"/>
        </w:rPr>
      </w:pPr>
      <w:r>
        <w:rPr>
          <w:rFonts w:hint="eastAsia" w:ascii="宋体" w:cs="宋体"/>
          <w:sz w:val="24"/>
          <w:highlight w:val="none"/>
        </w:rPr>
        <w:t>f.项目监理机构的组织形式；</w:t>
      </w:r>
    </w:p>
    <w:p w14:paraId="4F9EC647">
      <w:pPr>
        <w:adjustRightInd w:val="0"/>
        <w:spacing w:line="360" w:lineRule="auto"/>
        <w:ind w:firstLine="480" w:firstLineChars="200"/>
        <w:rPr>
          <w:rFonts w:ascii="宋体" w:cs="宋体"/>
          <w:sz w:val="24"/>
          <w:highlight w:val="none"/>
        </w:rPr>
      </w:pPr>
      <w:r>
        <w:rPr>
          <w:rFonts w:hint="eastAsia" w:ascii="宋体" w:cs="宋体"/>
          <w:sz w:val="24"/>
          <w:highlight w:val="none"/>
        </w:rPr>
        <w:t>g.项目监理机构的人员配备计划；</w:t>
      </w:r>
    </w:p>
    <w:p w14:paraId="46C6AD84">
      <w:pPr>
        <w:adjustRightInd w:val="0"/>
        <w:spacing w:line="360" w:lineRule="auto"/>
        <w:ind w:firstLine="480" w:firstLineChars="200"/>
        <w:rPr>
          <w:rFonts w:ascii="宋体" w:cs="宋体"/>
          <w:sz w:val="24"/>
          <w:highlight w:val="none"/>
        </w:rPr>
      </w:pPr>
      <w:r>
        <w:rPr>
          <w:rFonts w:hint="eastAsia" w:ascii="宋体" w:cs="宋体"/>
          <w:sz w:val="24"/>
          <w:highlight w:val="none"/>
        </w:rPr>
        <w:t>h.项目监理机构的人员岗位职责；</w:t>
      </w:r>
    </w:p>
    <w:p w14:paraId="36DF4A02">
      <w:pPr>
        <w:adjustRightInd w:val="0"/>
        <w:spacing w:line="360" w:lineRule="auto"/>
        <w:ind w:firstLine="480" w:firstLineChars="200"/>
        <w:rPr>
          <w:rFonts w:ascii="宋体" w:cs="宋体"/>
          <w:sz w:val="24"/>
          <w:highlight w:val="none"/>
        </w:rPr>
      </w:pPr>
      <w:r>
        <w:rPr>
          <w:rFonts w:hint="eastAsia" w:ascii="宋体" w:cs="宋体"/>
          <w:sz w:val="24"/>
          <w:highlight w:val="none"/>
        </w:rPr>
        <w:t>i.监理工作程序；</w:t>
      </w:r>
    </w:p>
    <w:p w14:paraId="0EBB8B0D">
      <w:pPr>
        <w:adjustRightInd w:val="0"/>
        <w:spacing w:line="360" w:lineRule="auto"/>
        <w:ind w:firstLine="480" w:firstLineChars="200"/>
        <w:rPr>
          <w:rFonts w:ascii="宋体" w:cs="宋体"/>
          <w:sz w:val="24"/>
          <w:highlight w:val="none"/>
        </w:rPr>
      </w:pPr>
      <w:r>
        <w:rPr>
          <w:rFonts w:hint="eastAsia" w:ascii="宋体" w:cs="宋体"/>
          <w:sz w:val="24"/>
          <w:highlight w:val="none"/>
        </w:rPr>
        <w:t>j.监理工作方法及措施；</w:t>
      </w:r>
    </w:p>
    <w:p w14:paraId="0A2C42C4">
      <w:pPr>
        <w:adjustRightInd w:val="0"/>
        <w:spacing w:line="360" w:lineRule="auto"/>
        <w:ind w:firstLine="480" w:firstLineChars="200"/>
        <w:rPr>
          <w:rFonts w:ascii="宋体" w:cs="宋体"/>
          <w:sz w:val="24"/>
          <w:highlight w:val="none"/>
        </w:rPr>
      </w:pPr>
      <w:r>
        <w:rPr>
          <w:rFonts w:hint="eastAsia" w:ascii="宋体" w:cs="宋体"/>
          <w:sz w:val="24"/>
          <w:highlight w:val="none"/>
        </w:rPr>
        <w:t>k.监理工作制度；</w:t>
      </w:r>
    </w:p>
    <w:p w14:paraId="10652415">
      <w:pPr>
        <w:adjustRightInd w:val="0"/>
        <w:spacing w:line="360" w:lineRule="auto"/>
        <w:ind w:firstLine="480" w:firstLineChars="200"/>
        <w:rPr>
          <w:rFonts w:ascii="宋体" w:cs="宋体"/>
          <w:sz w:val="24"/>
          <w:highlight w:val="none"/>
        </w:rPr>
      </w:pPr>
      <w:r>
        <w:rPr>
          <w:rFonts w:hint="eastAsia" w:ascii="宋体" w:cs="宋体"/>
          <w:sz w:val="24"/>
          <w:highlight w:val="none"/>
        </w:rPr>
        <w:t>l.监理设施。</w:t>
      </w:r>
    </w:p>
    <w:p w14:paraId="799CCC95">
      <w:pPr>
        <w:adjustRightInd w:val="0"/>
        <w:spacing w:line="360" w:lineRule="auto"/>
        <w:ind w:firstLine="480" w:firstLineChars="200"/>
        <w:rPr>
          <w:rFonts w:ascii="宋体" w:cs="宋体"/>
          <w:sz w:val="24"/>
          <w:highlight w:val="none"/>
        </w:rPr>
      </w:pPr>
      <w:r>
        <w:rPr>
          <w:rFonts w:hint="eastAsia" w:ascii="宋体" w:cs="宋体"/>
          <w:sz w:val="24"/>
          <w:highlight w:val="none"/>
        </w:rPr>
        <w:t>4）在监理工作实施过程中，如实际情况或条件发生重大变化而需要调整监理规划时，应由总监理工程师组织专业监理工程师研究修改，按原报审程序经过批准后报发包人。</w:t>
      </w:r>
    </w:p>
    <w:p w14:paraId="37593515">
      <w:pPr>
        <w:adjustRightInd w:val="0"/>
        <w:spacing w:line="360" w:lineRule="auto"/>
        <w:ind w:firstLine="480" w:firstLineChars="200"/>
        <w:rPr>
          <w:rFonts w:ascii="宋体" w:cs="宋体"/>
          <w:sz w:val="24"/>
          <w:highlight w:val="none"/>
        </w:rPr>
      </w:pPr>
      <w:r>
        <w:rPr>
          <w:rFonts w:hint="eastAsia" w:ascii="宋体" w:cs="宋体"/>
          <w:sz w:val="24"/>
          <w:highlight w:val="none"/>
        </w:rPr>
        <w:t>（8）制定监理实施细则</w:t>
      </w:r>
    </w:p>
    <w:p w14:paraId="0E58B0BE">
      <w:pPr>
        <w:adjustRightInd w:val="0"/>
        <w:spacing w:line="360" w:lineRule="auto"/>
        <w:ind w:firstLine="480" w:firstLineChars="200"/>
        <w:rPr>
          <w:rFonts w:ascii="宋体" w:cs="宋体"/>
          <w:sz w:val="24"/>
          <w:highlight w:val="none"/>
        </w:rPr>
      </w:pPr>
      <w:r>
        <w:rPr>
          <w:rFonts w:hint="eastAsia" w:ascii="宋体" w:cs="宋体"/>
          <w:sz w:val="24"/>
          <w:highlight w:val="none"/>
        </w:rPr>
        <w:t>1）项目监理机构应编制监理实施细则。监理实施细则应符合监理规划的要求，并应结合工程项目的专业特点，做到详细具体、具有可操作性。</w:t>
      </w:r>
    </w:p>
    <w:p w14:paraId="271B5505">
      <w:pPr>
        <w:adjustRightInd w:val="0"/>
        <w:spacing w:line="360" w:lineRule="auto"/>
        <w:ind w:firstLine="480" w:firstLineChars="200"/>
        <w:rPr>
          <w:rFonts w:ascii="宋体" w:cs="宋体"/>
          <w:sz w:val="24"/>
          <w:highlight w:val="none"/>
        </w:rPr>
      </w:pPr>
      <w:r>
        <w:rPr>
          <w:rFonts w:hint="eastAsia" w:ascii="宋体" w:cs="宋体"/>
          <w:sz w:val="24"/>
          <w:highlight w:val="none"/>
        </w:rPr>
        <w:t>2）监理实施细则的编制程序与依据应符合下列规定：</w:t>
      </w:r>
    </w:p>
    <w:p w14:paraId="15216417">
      <w:pPr>
        <w:adjustRightInd w:val="0"/>
        <w:spacing w:line="360" w:lineRule="auto"/>
        <w:ind w:firstLine="480" w:firstLineChars="200"/>
        <w:rPr>
          <w:rFonts w:ascii="宋体" w:cs="宋体"/>
          <w:sz w:val="24"/>
          <w:highlight w:val="none"/>
        </w:rPr>
      </w:pPr>
      <w:r>
        <w:rPr>
          <w:rFonts w:hint="eastAsia" w:ascii="宋体" w:cs="宋体"/>
          <w:sz w:val="24"/>
          <w:highlight w:val="none"/>
        </w:rPr>
        <w:t>a.监理实施细则应在相应工程施工开始前编制完成，并必须经总监理工程师批准；</w:t>
      </w:r>
    </w:p>
    <w:p w14:paraId="5CF5564A">
      <w:pPr>
        <w:adjustRightInd w:val="0"/>
        <w:spacing w:line="360" w:lineRule="auto"/>
        <w:ind w:firstLine="480" w:firstLineChars="200"/>
        <w:rPr>
          <w:rFonts w:ascii="宋体" w:cs="宋体"/>
          <w:sz w:val="24"/>
          <w:highlight w:val="none"/>
        </w:rPr>
      </w:pPr>
      <w:r>
        <w:rPr>
          <w:rFonts w:hint="eastAsia" w:ascii="宋体" w:cs="宋体"/>
          <w:sz w:val="24"/>
          <w:highlight w:val="none"/>
        </w:rPr>
        <w:t>b.监理实施细则应由专业监理工程师编制；</w:t>
      </w:r>
    </w:p>
    <w:p w14:paraId="22DFC1E4">
      <w:pPr>
        <w:adjustRightInd w:val="0"/>
        <w:spacing w:line="360" w:lineRule="auto"/>
        <w:ind w:firstLine="480" w:firstLineChars="200"/>
        <w:rPr>
          <w:rFonts w:ascii="宋体" w:cs="宋体"/>
          <w:sz w:val="24"/>
          <w:highlight w:val="none"/>
        </w:rPr>
      </w:pPr>
      <w:r>
        <w:rPr>
          <w:rFonts w:hint="eastAsia" w:ascii="宋体" w:cs="宋体"/>
          <w:sz w:val="24"/>
          <w:highlight w:val="none"/>
        </w:rPr>
        <w:t>c编制监理实施细则的依据：</w:t>
      </w:r>
    </w:p>
    <w:p w14:paraId="03157AC9">
      <w:pPr>
        <w:adjustRightInd w:val="0"/>
        <w:spacing w:line="360" w:lineRule="auto"/>
        <w:ind w:firstLine="480" w:firstLineChars="200"/>
        <w:rPr>
          <w:rFonts w:ascii="宋体" w:cs="宋体"/>
          <w:sz w:val="24"/>
          <w:highlight w:val="none"/>
        </w:rPr>
      </w:pPr>
      <w:r>
        <w:rPr>
          <w:rFonts w:hint="eastAsia" w:ascii="宋体" w:cs="宋体"/>
          <w:sz w:val="24"/>
          <w:highlight w:val="none"/>
        </w:rPr>
        <w:t>——已批准的监理规划；</w:t>
      </w:r>
    </w:p>
    <w:p w14:paraId="1967B963">
      <w:pPr>
        <w:adjustRightInd w:val="0"/>
        <w:spacing w:line="360" w:lineRule="auto"/>
        <w:ind w:firstLine="480" w:firstLineChars="200"/>
        <w:rPr>
          <w:rFonts w:ascii="宋体" w:cs="宋体"/>
          <w:sz w:val="24"/>
          <w:highlight w:val="none"/>
        </w:rPr>
      </w:pPr>
      <w:r>
        <w:rPr>
          <w:rFonts w:hint="eastAsia" w:ascii="宋体" w:cs="宋体"/>
          <w:sz w:val="24"/>
          <w:highlight w:val="none"/>
        </w:rPr>
        <w:t>——与专业工程相关的标准、设计文件和技术资料；</w:t>
      </w:r>
    </w:p>
    <w:p w14:paraId="00BC8FB0">
      <w:pPr>
        <w:adjustRightInd w:val="0"/>
        <w:spacing w:line="360" w:lineRule="auto"/>
        <w:ind w:firstLine="480" w:firstLineChars="200"/>
        <w:rPr>
          <w:rFonts w:ascii="宋体" w:cs="宋体"/>
          <w:sz w:val="24"/>
          <w:highlight w:val="none"/>
        </w:rPr>
      </w:pPr>
      <w:r>
        <w:rPr>
          <w:rFonts w:hint="eastAsia" w:ascii="宋体" w:cs="宋体"/>
          <w:sz w:val="24"/>
          <w:highlight w:val="none"/>
        </w:rPr>
        <w:t>——施工组织设计。</w:t>
      </w:r>
    </w:p>
    <w:p w14:paraId="1C3077AF">
      <w:pPr>
        <w:adjustRightInd w:val="0"/>
        <w:spacing w:line="360" w:lineRule="auto"/>
        <w:ind w:firstLine="480" w:firstLineChars="200"/>
        <w:rPr>
          <w:rFonts w:ascii="宋体" w:cs="宋体"/>
          <w:sz w:val="24"/>
          <w:highlight w:val="none"/>
        </w:rPr>
      </w:pPr>
      <w:r>
        <w:rPr>
          <w:rFonts w:hint="eastAsia" w:ascii="宋体" w:cs="宋体"/>
          <w:sz w:val="24"/>
          <w:highlight w:val="none"/>
        </w:rPr>
        <w:t>——本合同工程的设计、施工、安装招投标文件及合同。</w:t>
      </w:r>
    </w:p>
    <w:p w14:paraId="43BD2FC9">
      <w:pPr>
        <w:adjustRightInd w:val="0"/>
        <w:spacing w:line="360" w:lineRule="auto"/>
        <w:ind w:firstLine="480" w:firstLineChars="200"/>
        <w:rPr>
          <w:rFonts w:ascii="宋体" w:cs="宋体"/>
          <w:sz w:val="24"/>
          <w:highlight w:val="none"/>
        </w:rPr>
      </w:pPr>
      <w:r>
        <w:rPr>
          <w:rFonts w:hint="eastAsia" w:ascii="宋体" w:cs="宋体"/>
          <w:sz w:val="24"/>
          <w:highlight w:val="none"/>
        </w:rPr>
        <w:t>——发包人制定的有关本合同工程建设的管理制度。</w:t>
      </w:r>
    </w:p>
    <w:p w14:paraId="6DF45E61">
      <w:pPr>
        <w:adjustRightInd w:val="0"/>
        <w:spacing w:line="360" w:lineRule="auto"/>
        <w:ind w:firstLine="480" w:firstLineChars="200"/>
        <w:rPr>
          <w:rFonts w:ascii="宋体" w:cs="宋体"/>
          <w:sz w:val="24"/>
          <w:highlight w:val="none"/>
        </w:rPr>
      </w:pPr>
      <w:r>
        <w:rPr>
          <w:rFonts w:hint="eastAsia" w:ascii="宋体" w:cs="宋体"/>
          <w:sz w:val="24"/>
          <w:highlight w:val="none"/>
        </w:rPr>
        <w:t>3）监理实施细则应包括下列主要内容：</w:t>
      </w:r>
    </w:p>
    <w:p w14:paraId="1438B440">
      <w:pPr>
        <w:adjustRightInd w:val="0"/>
        <w:spacing w:line="360" w:lineRule="auto"/>
        <w:ind w:firstLine="480" w:firstLineChars="200"/>
        <w:rPr>
          <w:rFonts w:ascii="宋体" w:cs="宋体"/>
          <w:sz w:val="24"/>
          <w:highlight w:val="none"/>
        </w:rPr>
      </w:pPr>
      <w:r>
        <w:rPr>
          <w:rFonts w:hint="eastAsia" w:ascii="宋体" w:cs="宋体"/>
          <w:sz w:val="24"/>
          <w:highlight w:val="none"/>
        </w:rPr>
        <w:t>a.专业工程的特点；</w:t>
      </w:r>
    </w:p>
    <w:p w14:paraId="396172E8">
      <w:pPr>
        <w:adjustRightInd w:val="0"/>
        <w:spacing w:line="360" w:lineRule="auto"/>
        <w:ind w:firstLine="480" w:firstLineChars="200"/>
        <w:rPr>
          <w:rFonts w:ascii="宋体" w:cs="宋体"/>
          <w:sz w:val="24"/>
          <w:highlight w:val="none"/>
        </w:rPr>
      </w:pPr>
      <w:r>
        <w:rPr>
          <w:rFonts w:hint="eastAsia" w:ascii="宋体" w:cs="宋体"/>
          <w:sz w:val="24"/>
          <w:highlight w:val="none"/>
        </w:rPr>
        <w:t>b.监理工作的流程；</w:t>
      </w:r>
    </w:p>
    <w:p w14:paraId="107F98E0">
      <w:pPr>
        <w:adjustRightInd w:val="0"/>
        <w:spacing w:line="360" w:lineRule="auto"/>
        <w:ind w:firstLine="480" w:firstLineChars="200"/>
        <w:rPr>
          <w:rFonts w:ascii="宋体" w:cs="宋体"/>
          <w:sz w:val="24"/>
          <w:highlight w:val="none"/>
        </w:rPr>
      </w:pPr>
      <w:r>
        <w:rPr>
          <w:rFonts w:hint="eastAsia" w:ascii="宋体" w:cs="宋体"/>
          <w:sz w:val="24"/>
          <w:highlight w:val="none"/>
        </w:rPr>
        <w:t>c.监理工作的控制要点及目标值；</w:t>
      </w:r>
    </w:p>
    <w:p w14:paraId="2FB13032">
      <w:pPr>
        <w:adjustRightInd w:val="0"/>
        <w:spacing w:line="360" w:lineRule="auto"/>
        <w:ind w:firstLine="480" w:firstLineChars="200"/>
        <w:rPr>
          <w:rFonts w:ascii="宋体" w:cs="宋体"/>
          <w:sz w:val="24"/>
          <w:highlight w:val="none"/>
        </w:rPr>
      </w:pPr>
      <w:r>
        <w:rPr>
          <w:rFonts w:hint="eastAsia" w:ascii="宋体" w:cs="宋体"/>
          <w:sz w:val="24"/>
          <w:highlight w:val="none"/>
        </w:rPr>
        <w:t>d.监理工作的方法及措施。</w:t>
      </w:r>
    </w:p>
    <w:p w14:paraId="3209EF11">
      <w:pPr>
        <w:adjustRightInd w:val="0"/>
        <w:spacing w:line="360" w:lineRule="auto"/>
        <w:ind w:firstLine="480" w:firstLineChars="200"/>
        <w:rPr>
          <w:rFonts w:ascii="宋体" w:cs="宋体"/>
          <w:sz w:val="24"/>
          <w:highlight w:val="none"/>
        </w:rPr>
      </w:pPr>
      <w:r>
        <w:rPr>
          <w:rFonts w:hint="eastAsia" w:ascii="宋体" w:cs="宋体"/>
          <w:sz w:val="24"/>
          <w:highlight w:val="none"/>
        </w:rPr>
        <w:t>4）在监理工作实施过程中，监理实施细则应根据实际情况进行补充、修改和完善。</w:t>
      </w:r>
    </w:p>
    <w:p w14:paraId="7B3B1275">
      <w:pPr>
        <w:adjustRightInd w:val="0"/>
        <w:spacing w:line="360" w:lineRule="auto"/>
        <w:ind w:firstLine="480" w:firstLineChars="200"/>
        <w:rPr>
          <w:rFonts w:ascii="宋体" w:cs="宋体"/>
          <w:sz w:val="24"/>
          <w:highlight w:val="none"/>
        </w:rPr>
      </w:pPr>
      <w:r>
        <w:rPr>
          <w:rFonts w:hint="eastAsia" w:ascii="宋体" w:cs="宋体"/>
          <w:bCs/>
          <w:sz w:val="24"/>
          <w:highlight w:val="none"/>
        </w:rPr>
        <w:t>（9）</w:t>
      </w:r>
      <w:r>
        <w:rPr>
          <w:rFonts w:hint="eastAsia" w:ascii="宋体" w:cs="宋体"/>
          <w:sz w:val="24"/>
          <w:highlight w:val="none"/>
        </w:rPr>
        <w:t>对合同管理实施控制工作程序化、规范化，建立定期和不定期的协商会办制度，根据合同文件的约定及发包人要求的图纸批准程序、工程变更程序、承包人索赔程序、承包人的账单审查程序、进度付款账单的审查批准程序、工程问题的请示报告程序</w:t>
      </w:r>
      <w:r>
        <w:rPr>
          <w:rFonts w:hint="eastAsia" w:ascii="宋体" w:cs="宋体"/>
          <w:sz w:val="24"/>
          <w:highlight w:val="none"/>
          <w:u w:val="single"/>
        </w:rPr>
        <w:t>等</w:t>
      </w:r>
      <w:r>
        <w:rPr>
          <w:rFonts w:hint="eastAsia" w:ascii="宋体" w:cs="宋体"/>
          <w:sz w:val="24"/>
          <w:highlight w:val="none"/>
        </w:rPr>
        <w:t>制定相关表格。</w:t>
      </w:r>
    </w:p>
    <w:p w14:paraId="08A388DF">
      <w:pPr>
        <w:adjustRightInd w:val="0"/>
        <w:spacing w:line="360" w:lineRule="auto"/>
        <w:ind w:firstLine="480" w:firstLineChars="200"/>
        <w:rPr>
          <w:rFonts w:ascii="宋体" w:cs="宋体"/>
          <w:sz w:val="24"/>
          <w:highlight w:val="none"/>
        </w:rPr>
      </w:pPr>
      <w:r>
        <w:rPr>
          <w:rFonts w:hint="eastAsia" w:ascii="宋体" w:cs="宋体"/>
          <w:sz w:val="24"/>
          <w:highlight w:val="none"/>
        </w:rPr>
        <w:t>（10）工程项目开工前，总监理工程师应组织发包人代表、专业监理工程师、施工单位对地形测量资料进行审查复测，形成场地测量文件，并就地形图的可靠性、真实性和存在的问题等向发包人提交书面意见和建议。</w:t>
      </w:r>
    </w:p>
    <w:p w14:paraId="3FC095C3">
      <w:pPr>
        <w:adjustRightInd w:val="0"/>
        <w:spacing w:line="360" w:lineRule="auto"/>
        <w:ind w:firstLine="480" w:firstLineChars="200"/>
        <w:rPr>
          <w:rFonts w:ascii="宋体" w:cs="宋体"/>
          <w:sz w:val="24"/>
          <w:highlight w:val="none"/>
        </w:rPr>
      </w:pPr>
      <w:r>
        <w:rPr>
          <w:rFonts w:hint="eastAsia" w:ascii="宋体" w:cs="宋体"/>
          <w:sz w:val="24"/>
          <w:highlight w:val="none"/>
        </w:rPr>
        <w:t>（11）重点工作内容</w:t>
      </w:r>
    </w:p>
    <w:p w14:paraId="6D21949F">
      <w:pPr>
        <w:adjustRightInd w:val="0"/>
        <w:spacing w:line="360" w:lineRule="auto"/>
        <w:ind w:firstLine="480" w:firstLineChars="200"/>
        <w:rPr>
          <w:rFonts w:ascii="宋体" w:cs="宋体"/>
          <w:sz w:val="24"/>
          <w:highlight w:val="none"/>
        </w:rPr>
      </w:pPr>
      <w:r>
        <w:rPr>
          <w:rFonts w:hint="eastAsia" w:ascii="宋体" w:cs="宋体"/>
          <w:sz w:val="24"/>
          <w:highlight w:val="none"/>
        </w:rPr>
        <w:t>1）审查承包人报送的施工组织设计(方案)</w:t>
      </w:r>
      <w:r>
        <w:rPr>
          <w:rFonts w:ascii="宋体" w:cs="宋体"/>
          <w:sz w:val="24"/>
          <w:highlight w:val="none"/>
        </w:rPr>
        <w:t xml:space="preserve"> </w:t>
      </w:r>
      <w:r>
        <w:rPr>
          <w:rFonts w:hint="eastAsia" w:ascii="宋体" w:cs="宋体"/>
          <w:sz w:val="24"/>
          <w:highlight w:val="none"/>
        </w:rPr>
        <w:t>，重点审查其中的质量安全技术措施、专项施工方案与工程建设强制性标准的符合性，进度计划是否满足合同工期要求，审核施工分包人资质条件。</w:t>
      </w:r>
    </w:p>
    <w:p w14:paraId="654BC954">
      <w:pPr>
        <w:adjustRightInd w:val="0"/>
        <w:spacing w:line="360" w:lineRule="auto"/>
        <w:ind w:firstLine="480" w:firstLineChars="200"/>
        <w:rPr>
          <w:rFonts w:ascii="宋体" w:cs="宋体"/>
          <w:sz w:val="24"/>
          <w:highlight w:val="none"/>
        </w:rPr>
      </w:pPr>
      <w:r>
        <w:rPr>
          <w:rFonts w:hint="eastAsia" w:ascii="宋体" w:cs="宋体"/>
          <w:sz w:val="24"/>
          <w:highlight w:val="none"/>
        </w:rPr>
        <w:t>2）制定监理规划及监理实施细则并在第一次工地会议7天前报发包人审定。</w:t>
      </w:r>
    </w:p>
    <w:p w14:paraId="4303D792">
      <w:pPr>
        <w:adjustRightInd w:val="0"/>
        <w:spacing w:line="360" w:lineRule="auto"/>
        <w:ind w:firstLine="480" w:firstLineChars="200"/>
        <w:rPr>
          <w:rFonts w:ascii="宋体" w:cs="宋体"/>
          <w:sz w:val="24"/>
          <w:highlight w:val="none"/>
        </w:rPr>
      </w:pPr>
      <w:r>
        <w:rPr>
          <w:rFonts w:hint="eastAsia" w:ascii="宋体" w:cs="宋体"/>
          <w:sz w:val="24"/>
          <w:highlight w:val="none"/>
        </w:rPr>
        <w:t>3）负责协调承包人进场前的现场准备和制定清障方案，为承包人进场制定前期准备方案并组织实施。</w:t>
      </w:r>
    </w:p>
    <w:p w14:paraId="1C1404DC">
      <w:pPr>
        <w:adjustRightInd w:val="0"/>
        <w:spacing w:line="360" w:lineRule="auto"/>
        <w:ind w:firstLine="480" w:firstLineChars="200"/>
        <w:rPr>
          <w:rFonts w:ascii="宋体" w:cs="宋体"/>
          <w:sz w:val="24"/>
          <w:highlight w:val="none"/>
        </w:rPr>
      </w:pPr>
      <w:r>
        <w:rPr>
          <w:rFonts w:hint="eastAsia" w:ascii="宋体" w:cs="宋体"/>
          <w:sz w:val="24"/>
          <w:highlight w:val="none"/>
        </w:rPr>
        <w:t>4）审查由承包人编制，并经承包人的技术部门审批盖章的施工组织设计、施工方案及施工进度计划，并督促检查实施；协助审批各单项工程开工报告，</w:t>
      </w:r>
      <w:r>
        <w:rPr>
          <w:rFonts w:hint="eastAsia" w:ascii="宋体" w:cs="宋体"/>
          <w:spacing w:val="8"/>
          <w:sz w:val="24"/>
          <w:highlight w:val="none"/>
        </w:rPr>
        <w:t>参与技术交底和施工图纸的会审</w:t>
      </w:r>
      <w:r>
        <w:rPr>
          <w:rFonts w:hint="eastAsia" w:ascii="宋体" w:cs="宋体"/>
          <w:sz w:val="24"/>
          <w:highlight w:val="none"/>
        </w:rPr>
        <w:t>。</w:t>
      </w:r>
    </w:p>
    <w:p w14:paraId="51B0D9DB">
      <w:pPr>
        <w:adjustRightInd w:val="0"/>
        <w:spacing w:line="360" w:lineRule="auto"/>
        <w:ind w:firstLine="480" w:firstLineChars="200"/>
        <w:rPr>
          <w:rFonts w:ascii="宋体" w:cs="宋体"/>
          <w:sz w:val="24"/>
          <w:highlight w:val="none"/>
        </w:rPr>
      </w:pPr>
      <w:r>
        <w:rPr>
          <w:rFonts w:hint="eastAsia" w:ascii="宋体" w:cs="宋体"/>
          <w:sz w:val="24"/>
          <w:highlight w:val="none"/>
        </w:rPr>
        <w:t>5）审查承包人及发包人提供的材料和设备清单及其所列的规格与质量。</w:t>
      </w:r>
    </w:p>
    <w:p w14:paraId="1B9D91A9">
      <w:pPr>
        <w:adjustRightInd w:val="0"/>
        <w:spacing w:line="360" w:lineRule="auto"/>
        <w:ind w:firstLine="480" w:firstLineChars="200"/>
        <w:rPr>
          <w:rFonts w:ascii="宋体" w:cs="宋体"/>
          <w:sz w:val="24"/>
          <w:highlight w:val="none"/>
        </w:rPr>
      </w:pPr>
      <w:r>
        <w:rPr>
          <w:rFonts w:hint="eastAsia" w:ascii="宋体" w:cs="宋体"/>
          <w:sz w:val="24"/>
          <w:highlight w:val="none"/>
        </w:rPr>
        <w:t>4、施工阶段的监理工作（包括但不限于以下内容）</w:t>
      </w:r>
    </w:p>
    <w:p w14:paraId="3E59DFAE">
      <w:pPr>
        <w:adjustRightInd w:val="0"/>
        <w:spacing w:line="360" w:lineRule="auto"/>
        <w:ind w:firstLine="480" w:firstLineChars="200"/>
        <w:rPr>
          <w:rFonts w:ascii="宋体" w:cs="宋体"/>
          <w:sz w:val="24"/>
          <w:highlight w:val="none"/>
        </w:rPr>
      </w:pPr>
      <w:r>
        <w:rPr>
          <w:rFonts w:hint="eastAsia" w:ascii="宋体" w:cs="宋体"/>
          <w:sz w:val="24"/>
          <w:highlight w:val="none"/>
        </w:rPr>
        <w:t>施工过程的方案审批、质量、进度、费用控制，安全生产监督管理、工程材料设备、合同、信息等方面的协调管理。</w:t>
      </w:r>
    </w:p>
    <w:p w14:paraId="48317262">
      <w:pPr>
        <w:adjustRightInd w:val="0"/>
        <w:spacing w:line="360" w:lineRule="auto"/>
        <w:ind w:firstLine="480" w:firstLineChars="200"/>
        <w:rPr>
          <w:rFonts w:ascii="宋体" w:cs="宋体"/>
          <w:sz w:val="24"/>
          <w:highlight w:val="none"/>
        </w:rPr>
      </w:pPr>
      <w:r>
        <w:rPr>
          <w:rFonts w:hint="eastAsia" w:ascii="宋体" w:cs="宋体"/>
          <w:sz w:val="24"/>
          <w:highlight w:val="none"/>
        </w:rPr>
        <w:t>（1）参加由发包人主持的第一次工地会议；主持监理例会并根据工程需要主持或参加专题会议；组织安全、质量周自检等。</w:t>
      </w:r>
    </w:p>
    <w:p w14:paraId="49F1713C">
      <w:pPr>
        <w:adjustRightInd w:val="0"/>
        <w:spacing w:line="360" w:lineRule="auto"/>
        <w:ind w:firstLine="480" w:firstLineChars="200"/>
        <w:rPr>
          <w:rFonts w:ascii="宋体" w:cs="宋体"/>
          <w:sz w:val="24"/>
          <w:highlight w:val="none"/>
        </w:rPr>
      </w:pPr>
      <w:r>
        <w:rPr>
          <w:rFonts w:hint="eastAsia" w:ascii="宋体" w:cs="宋体"/>
          <w:sz w:val="24"/>
          <w:highlight w:val="none"/>
        </w:rPr>
        <w:t>（2）检查施工承包人工程质量、安全生产管理制度及组织机构和人员资格；</w:t>
      </w:r>
    </w:p>
    <w:p w14:paraId="4D0CD719">
      <w:pPr>
        <w:adjustRightInd w:val="0"/>
        <w:spacing w:line="360" w:lineRule="auto"/>
        <w:ind w:firstLine="480" w:firstLineChars="200"/>
        <w:rPr>
          <w:rFonts w:ascii="宋体" w:cs="宋体"/>
          <w:sz w:val="24"/>
          <w:highlight w:val="none"/>
        </w:rPr>
      </w:pPr>
      <w:r>
        <w:rPr>
          <w:rFonts w:hint="eastAsia" w:ascii="宋体" w:cs="宋体"/>
          <w:sz w:val="24"/>
          <w:highlight w:val="none"/>
        </w:rPr>
        <w:t>（3）检查施工承包人专职安全生产管理人员的配备情况；</w:t>
      </w:r>
    </w:p>
    <w:p w14:paraId="3C560437">
      <w:pPr>
        <w:adjustRightInd w:val="0"/>
        <w:spacing w:line="360" w:lineRule="auto"/>
        <w:ind w:firstLine="480" w:firstLineChars="200"/>
        <w:rPr>
          <w:rFonts w:ascii="宋体" w:cs="宋体"/>
          <w:sz w:val="24"/>
          <w:highlight w:val="none"/>
        </w:rPr>
      </w:pPr>
      <w:r>
        <w:rPr>
          <w:rFonts w:hint="eastAsia" w:ascii="宋体" w:cs="宋体"/>
          <w:sz w:val="24"/>
          <w:highlight w:val="none"/>
        </w:rPr>
        <w:t>（4）督促承包人严格执行合同和严格按照国家技术规范、标准、地方建筑安装规程、设计图纸文件的要求进行施工，并检查其实施情况；督促承包人严格执行样板引路制度，检查工序样板、材料样板、交楼样板等样板实施情况。核查施工过程中的主要部位、环节以及隐蔽工程的施工验收签证；严格控制工程质量及安全，发现工程质量、安全问题，立即责令相关单位整改，并通知发包人。</w:t>
      </w:r>
    </w:p>
    <w:p w14:paraId="0D7B71E0">
      <w:pPr>
        <w:adjustRightInd w:val="0"/>
        <w:spacing w:line="360" w:lineRule="auto"/>
        <w:ind w:firstLine="480" w:firstLineChars="200"/>
        <w:rPr>
          <w:rFonts w:ascii="宋体" w:cs="宋体"/>
          <w:sz w:val="24"/>
          <w:highlight w:val="none"/>
        </w:rPr>
      </w:pPr>
      <w:r>
        <w:rPr>
          <w:rFonts w:hint="eastAsia" w:ascii="宋体" w:cs="宋体"/>
          <w:sz w:val="24"/>
          <w:highlight w:val="none"/>
        </w:rPr>
        <w:t>（5）督促承包人严格按进度计划实施，检查承包人填报的旬、月、季等报表，提出监理意见，控制工程进度。在施工过程中，当承包人对已批准的施工组织设计进行调整、补充或变动时，应经专业监理工程师审查，并应由总监理工程师签认。发现施工单位进度落后的，应督促施工单位采取有效措施，防止工期延误事件发生。进度仍落后的，应书面要求施工单位增加人、材、机投入及加强组织管理。</w:t>
      </w:r>
    </w:p>
    <w:p w14:paraId="006925CB">
      <w:pPr>
        <w:adjustRightInd w:val="0"/>
        <w:spacing w:line="360" w:lineRule="auto"/>
        <w:ind w:firstLine="480" w:firstLineChars="200"/>
        <w:rPr>
          <w:rFonts w:ascii="宋体" w:cs="宋体"/>
          <w:sz w:val="24"/>
          <w:highlight w:val="none"/>
        </w:rPr>
      </w:pPr>
      <w:r>
        <w:rPr>
          <w:rFonts w:hint="eastAsia" w:ascii="宋体" w:cs="宋体"/>
          <w:sz w:val="24"/>
          <w:highlight w:val="none"/>
        </w:rPr>
        <w:t>（6）对用于本工程的主要材料（含二次进场）、设备等进行检查，检验，见证取样等，对未经监理人员验收或验收不合格的工程材料、构配件、设备等，监理人员应拒绝签认，并应签发监理工程师通知单，书面通知承包人限期将不合格的工程材料、构配件、设备撤出现场。</w:t>
      </w:r>
    </w:p>
    <w:p w14:paraId="7041E8CE">
      <w:pPr>
        <w:adjustRightInd w:val="0"/>
        <w:spacing w:line="360" w:lineRule="auto"/>
        <w:ind w:firstLine="480" w:firstLineChars="200"/>
        <w:rPr>
          <w:rFonts w:ascii="宋体" w:cs="宋体"/>
          <w:sz w:val="24"/>
          <w:highlight w:val="none"/>
        </w:rPr>
      </w:pPr>
      <w:r>
        <w:rPr>
          <w:rFonts w:hint="eastAsia" w:ascii="宋体" w:cs="宋体"/>
          <w:sz w:val="24"/>
          <w:highlight w:val="none"/>
        </w:rPr>
        <w:t>（7）总监理工程师应安排监理人员对施工过程进行巡视和检查。对基础工程中土方回填，混凝土灌注桩浇筑，预制桩接桩、地下连续墙、土钉墙、后浇带及其他结构混凝土、防水混凝土浇筑，卷材防水层细部构造处理，钢结构安装和主体结构工程中梁柱节点钢筋隐蔽过程，混凝土浇筑，预应力张拉，装配式结构安装，钢结构安装，网架结构安装，索膜安装等，应安排监理员进行旁站，做好旁站监理记录和监理日记，保存旁站监理原始资料。旁站监理人员应当认真履行职责，对需要实施旁站监理的关键部位、关键工序在施工现场跟班监督，及时发现和处理旁站监理过程中出现的问题，发现工程质量、施工安全存在事故隐患的，责令施工企业进行整改并报发包人。</w:t>
      </w:r>
    </w:p>
    <w:p w14:paraId="4A4E0545">
      <w:pPr>
        <w:adjustRightInd w:val="0"/>
        <w:spacing w:line="360" w:lineRule="auto"/>
        <w:ind w:firstLine="480" w:firstLineChars="200"/>
        <w:rPr>
          <w:rFonts w:ascii="宋体" w:cs="宋体"/>
          <w:sz w:val="24"/>
          <w:highlight w:val="none"/>
        </w:rPr>
      </w:pPr>
      <w:r>
        <w:rPr>
          <w:rFonts w:hint="eastAsia" w:ascii="宋体" w:cs="宋体"/>
          <w:sz w:val="24"/>
          <w:highlight w:val="none"/>
        </w:rPr>
        <w:t>（8）根据承包人报送的隐蔽工程报验申请表和自检结果进行现场检查，符合要求予以签认验收，并留存挂牌/举牌验收影像资料。</w:t>
      </w:r>
    </w:p>
    <w:p w14:paraId="345A51B3">
      <w:pPr>
        <w:adjustRightInd w:val="0"/>
        <w:spacing w:line="360" w:lineRule="auto"/>
        <w:ind w:firstLine="480" w:firstLineChars="200"/>
        <w:rPr>
          <w:rFonts w:ascii="宋体" w:cs="宋体"/>
          <w:sz w:val="24"/>
          <w:highlight w:val="none"/>
        </w:rPr>
      </w:pPr>
      <w:r>
        <w:rPr>
          <w:rFonts w:hint="eastAsia" w:ascii="宋体" w:cs="宋体"/>
          <w:sz w:val="24"/>
          <w:highlight w:val="none"/>
        </w:rPr>
        <w:t>（9）审查施工承包人提交的采用新材料、新工艺、新技术、新设备的论证材料及相关验收标准；</w:t>
      </w:r>
    </w:p>
    <w:p w14:paraId="10F82B6E">
      <w:pPr>
        <w:adjustRightInd w:val="0"/>
        <w:spacing w:line="360" w:lineRule="auto"/>
        <w:ind w:firstLine="480" w:firstLineChars="200"/>
        <w:rPr>
          <w:rFonts w:ascii="宋体" w:cs="宋体"/>
          <w:sz w:val="24"/>
          <w:highlight w:val="none"/>
        </w:rPr>
      </w:pPr>
      <w:r>
        <w:rPr>
          <w:rFonts w:hint="eastAsia" w:ascii="宋体" w:cs="宋体"/>
          <w:sz w:val="24"/>
          <w:highlight w:val="none"/>
        </w:rPr>
        <w:t>（10）对工程发生质量、安全事故按相关规定保护好现场并及时处理，向发包人提交有关工程质量、安全事故的书面报告，并应将完整的事故处理记录整理归档。</w:t>
      </w:r>
    </w:p>
    <w:p w14:paraId="557213ED">
      <w:pPr>
        <w:adjustRightInd w:val="0"/>
        <w:spacing w:line="360" w:lineRule="auto"/>
        <w:ind w:firstLine="480" w:firstLineChars="200"/>
        <w:rPr>
          <w:rFonts w:ascii="宋体" w:cs="宋体"/>
          <w:sz w:val="24"/>
          <w:highlight w:val="none"/>
        </w:rPr>
      </w:pPr>
      <w:r>
        <w:rPr>
          <w:rFonts w:hint="eastAsia" w:ascii="宋体" w:cs="宋体"/>
          <w:sz w:val="24"/>
          <w:highlight w:val="none"/>
        </w:rPr>
        <w:t>（11）审查施工承包人提交的工程变更申请，并报发包人审核、批准；协调处理施工进度调整、费用索赔、合同争议等事项；</w:t>
      </w:r>
    </w:p>
    <w:p w14:paraId="5A3FC1DF">
      <w:pPr>
        <w:adjustRightInd w:val="0"/>
        <w:spacing w:line="360" w:lineRule="auto"/>
        <w:ind w:firstLine="480" w:firstLineChars="200"/>
        <w:rPr>
          <w:rFonts w:ascii="宋体" w:cs="宋体"/>
          <w:sz w:val="24"/>
          <w:highlight w:val="none"/>
        </w:rPr>
      </w:pPr>
      <w:r>
        <w:rPr>
          <w:rFonts w:hint="eastAsia" w:ascii="宋体" w:cs="宋体"/>
          <w:sz w:val="24"/>
          <w:highlight w:val="none"/>
        </w:rPr>
        <w:t>（12）根据《广州市建设工程文明施工管理规定》（广州市人民政府令2011年第62号）的规定，监理人在对本工程实施监理的时候，应当履行下列管理责任：</w:t>
      </w:r>
    </w:p>
    <w:p w14:paraId="64B8F85A">
      <w:pPr>
        <w:adjustRightInd w:val="0"/>
        <w:spacing w:line="360" w:lineRule="auto"/>
        <w:ind w:firstLine="480" w:firstLineChars="200"/>
        <w:rPr>
          <w:rFonts w:ascii="宋体" w:cs="宋体"/>
          <w:sz w:val="24"/>
          <w:highlight w:val="none"/>
        </w:rPr>
      </w:pPr>
      <w:r>
        <w:rPr>
          <w:rFonts w:hint="eastAsia" w:ascii="宋体" w:cs="宋体"/>
          <w:sz w:val="24"/>
          <w:highlight w:val="none"/>
        </w:rPr>
        <w:t>1）审核施工单位拟定的施工组织设计文件（方案），督促施工单位落实安全文明施工管理措施，审核确认施工单位文明施工措施费用使用情况。</w:t>
      </w:r>
    </w:p>
    <w:p w14:paraId="703A83E0">
      <w:pPr>
        <w:adjustRightInd w:val="0"/>
        <w:spacing w:line="360" w:lineRule="auto"/>
        <w:ind w:firstLine="480" w:firstLineChars="200"/>
        <w:rPr>
          <w:rFonts w:ascii="宋体" w:cs="宋体"/>
          <w:sz w:val="24"/>
          <w:highlight w:val="none"/>
        </w:rPr>
      </w:pPr>
      <w:r>
        <w:rPr>
          <w:rFonts w:hint="eastAsia" w:ascii="宋体" w:cs="宋体"/>
          <w:sz w:val="24"/>
          <w:highlight w:val="none"/>
        </w:rPr>
        <w:t>2）实施监理过程中，发现施工单位有违反文明施工管理规定的，应当要求施工单位整改；施工单位拒不整改的，应当要求施工单位暂停施工，并向发包人报告。</w:t>
      </w:r>
    </w:p>
    <w:p w14:paraId="34036D37">
      <w:pPr>
        <w:adjustRightInd w:val="0"/>
        <w:spacing w:line="360" w:lineRule="auto"/>
        <w:ind w:firstLine="480" w:firstLineChars="200"/>
        <w:rPr>
          <w:rFonts w:ascii="宋体" w:cs="宋体"/>
          <w:sz w:val="24"/>
          <w:highlight w:val="none"/>
        </w:rPr>
      </w:pPr>
      <w:r>
        <w:rPr>
          <w:rFonts w:hint="eastAsia" w:ascii="宋体" w:cs="宋体"/>
          <w:sz w:val="24"/>
          <w:highlight w:val="none"/>
        </w:rPr>
        <w:t>3）施工单位违反文明施工管理规定拒不整改或者不停止施工的，及时向工程行政管理部门报告。</w:t>
      </w:r>
    </w:p>
    <w:p w14:paraId="5EACDE13">
      <w:pPr>
        <w:adjustRightInd w:val="0"/>
        <w:spacing w:line="360" w:lineRule="auto"/>
        <w:ind w:firstLine="480" w:firstLineChars="200"/>
        <w:rPr>
          <w:rFonts w:ascii="宋体" w:cs="宋体"/>
          <w:sz w:val="24"/>
          <w:highlight w:val="none"/>
        </w:rPr>
      </w:pPr>
      <w:r>
        <w:rPr>
          <w:rFonts w:hint="eastAsia" w:ascii="宋体" w:cs="宋体"/>
          <w:sz w:val="24"/>
          <w:highlight w:val="none"/>
        </w:rPr>
        <w:t>（13）根据《广州市建筑施工实名制管理办法》、《广州市建设领域工人工资支付分账管理实施细则》和《广州市根治拖欠农民工工资工作领导小组办公室关于广州市建设领域工程项目全面实施农民工工资总包代发制度的通知》等最新规定，监理单位在对本工程实施监理的时候，应当履行下列管理责任：</w:t>
      </w:r>
    </w:p>
    <w:p w14:paraId="0E45D551">
      <w:pPr>
        <w:adjustRightInd w:val="0"/>
        <w:spacing w:line="360" w:lineRule="auto"/>
        <w:ind w:firstLine="480" w:firstLineChars="200"/>
        <w:rPr>
          <w:rFonts w:ascii="宋体" w:cs="宋体"/>
          <w:sz w:val="24"/>
          <w:highlight w:val="none"/>
        </w:rPr>
      </w:pPr>
      <w:r>
        <w:rPr>
          <w:rFonts w:hint="eastAsia" w:ascii="宋体" w:cs="宋体"/>
          <w:sz w:val="24"/>
          <w:highlight w:val="none"/>
        </w:rPr>
        <w:t>①督促施工单位落实实名制、工人工资分账管理制度及总承包单位代发分包单位工人工资等制度，如施工单位未按规定执行的，应当要求施工单位整改；施工单位拒不整改的，须立即向建设业主及工程行政管理部门报告。</w:t>
      </w:r>
    </w:p>
    <w:p w14:paraId="1474E6F3">
      <w:pPr>
        <w:adjustRightInd w:val="0"/>
        <w:spacing w:line="360" w:lineRule="auto"/>
        <w:ind w:firstLine="480" w:firstLineChars="200"/>
        <w:rPr>
          <w:rFonts w:ascii="宋体" w:cs="宋体"/>
          <w:sz w:val="24"/>
          <w:highlight w:val="none"/>
        </w:rPr>
      </w:pPr>
      <w:r>
        <w:rPr>
          <w:rFonts w:hint="eastAsia" w:ascii="宋体" w:cs="宋体"/>
          <w:sz w:val="24"/>
          <w:highlight w:val="none"/>
        </w:rPr>
        <w:t>②审核施工单位报送的工人考勤、工资结算和支付等管理台账。如工人工资支付账户内资金少于应付支付工人工资的，监理单位应督促施工单位及时补足，确保工人工资按时足额支付。</w:t>
      </w:r>
    </w:p>
    <w:p w14:paraId="357A79C0">
      <w:pPr>
        <w:adjustRightInd w:val="0"/>
        <w:spacing w:line="360" w:lineRule="auto"/>
        <w:ind w:firstLine="480" w:firstLineChars="200"/>
        <w:rPr>
          <w:rFonts w:ascii="宋体" w:cs="宋体"/>
          <w:snapToGrid w:val="0"/>
          <w:kern w:val="0"/>
          <w:sz w:val="24"/>
          <w:highlight w:val="none"/>
        </w:rPr>
      </w:pPr>
      <w:r>
        <w:rPr>
          <w:rFonts w:hint="eastAsia" w:ascii="宋体" w:cs="宋体"/>
          <w:sz w:val="24"/>
          <w:highlight w:val="none"/>
        </w:rPr>
        <w:t>③实施监理过程中，发现施工单位违反上述规定，存在拖欠工人工资、工人工资支付信息与实名制登记的用工信息严重不符、约定的工程进度款中的工人工资款比例低于参照比例下限、工资支付专用账户发生异常情况等，应当要求施工单位立即整改并及时向建设</w:t>
      </w:r>
      <w:r>
        <w:rPr>
          <w:rFonts w:hint="eastAsia" w:ascii="宋体" w:cs="宋体"/>
          <w:snapToGrid w:val="0"/>
          <w:kern w:val="0"/>
          <w:sz w:val="24"/>
          <w:highlight w:val="none"/>
        </w:rPr>
        <w:t>业主报告；如发现施工单位转包或者违法分包造成拖欠工人工资的，须立即上报建设业主及工程行政管理部门严肃处理。</w:t>
      </w:r>
    </w:p>
    <w:p w14:paraId="192EF041">
      <w:pPr>
        <w:pStyle w:val="31"/>
        <w:adjustRightInd w:val="0"/>
        <w:spacing w:line="360" w:lineRule="auto"/>
        <w:ind w:firstLine="480" w:firstLineChars="200"/>
        <w:rPr>
          <w:rFonts w:ascii="宋体" w:cs="宋体"/>
          <w:sz w:val="24"/>
          <w:highlight w:val="none"/>
        </w:rPr>
      </w:pPr>
      <w:r>
        <w:rPr>
          <w:rFonts w:hint="eastAsia" w:ascii="宋体" w:cs="宋体"/>
          <w:snapToGrid w:val="0"/>
          <w:kern w:val="0"/>
          <w:sz w:val="24"/>
          <w:highlight w:val="none"/>
        </w:rPr>
        <w:t>④审核确认工程完工及施工单位结清工人工资的情况，配合施工单位办理工人工资支付专用账户撤销手续。</w:t>
      </w:r>
    </w:p>
    <w:p w14:paraId="5AA4141A">
      <w:pPr>
        <w:numPr>
          <w:ilvl w:val="0"/>
          <w:numId w:val="2"/>
        </w:numPr>
        <w:adjustRightInd w:val="0"/>
        <w:spacing w:line="360" w:lineRule="auto"/>
        <w:ind w:left="0" w:firstLine="480" w:firstLineChars="200"/>
        <w:rPr>
          <w:rFonts w:ascii="宋体" w:cs="宋体"/>
          <w:sz w:val="24"/>
          <w:highlight w:val="none"/>
        </w:rPr>
      </w:pPr>
      <w:r>
        <w:rPr>
          <w:rFonts w:hint="eastAsia" w:ascii="宋体" w:cs="宋体"/>
          <w:sz w:val="24"/>
          <w:highlight w:val="none"/>
        </w:rPr>
        <w:t>监理人应严格按广州市及黄埔区有关施工现场余泥渣土排放、建筑垃圾运输管理、市容卫生、文明施工管理规定的标准和要求，加强对承包人的监督和检查。监理人必须对施工承包人的土石方专业工程分包合同、建筑垃圾运输合同进行备案和跟踪管理。检查发现问题，应立即发出监理通知予以制止。监理人还必须审查余泥渣土、建筑垃圾运输单位的资质，发现问题立即予以制止，并同时向发包人、建设主管部门、余泥渣土排放主管部门及城管部门一并报告。监理人对每台出泥运输车应当现场做好出泥登记和各方签名确认，以供城市管理部门和建设主管部门随时抽查。</w:t>
      </w:r>
    </w:p>
    <w:p w14:paraId="5F15AC35">
      <w:pPr>
        <w:adjustRightInd w:val="0"/>
        <w:spacing w:line="360" w:lineRule="auto"/>
        <w:ind w:firstLine="480" w:firstLineChars="200"/>
        <w:rPr>
          <w:rFonts w:ascii="宋体" w:cs="宋体"/>
          <w:sz w:val="24"/>
          <w:highlight w:val="none"/>
        </w:rPr>
      </w:pPr>
      <w:r>
        <w:rPr>
          <w:rFonts w:hint="eastAsia" w:ascii="宋体" w:cs="宋体"/>
          <w:sz w:val="24"/>
          <w:highlight w:val="none"/>
        </w:rPr>
        <w:t>6、工程造价控制工作，包括但不限于以下工作：</w:t>
      </w:r>
    </w:p>
    <w:p w14:paraId="216BB8E6">
      <w:pPr>
        <w:adjustRightInd w:val="0"/>
        <w:spacing w:line="360" w:lineRule="auto"/>
        <w:ind w:firstLine="480" w:firstLineChars="200"/>
        <w:rPr>
          <w:rFonts w:ascii="宋体" w:cs="宋体"/>
          <w:sz w:val="24"/>
          <w:highlight w:val="none"/>
        </w:rPr>
      </w:pPr>
      <w:r>
        <w:rPr>
          <w:rFonts w:hint="eastAsia" w:ascii="宋体" w:cs="宋体"/>
          <w:sz w:val="24"/>
          <w:highlight w:val="none"/>
        </w:rPr>
        <w:t>（1）监理人应每日统计承包人实际完成的工程量，并记录于监理日志中。</w:t>
      </w:r>
    </w:p>
    <w:p w14:paraId="4EF3DFEE">
      <w:pPr>
        <w:adjustRightInd w:val="0"/>
        <w:spacing w:line="360" w:lineRule="auto"/>
        <w:ind w:firstLine="480" w:firstLineChars="200"/>
        <w:rPr>
          <w:rFonts w:ascii="宋体" w:cs="宋体"/>
          <w:sz w:val="24"/>
          <w:highlight w:val="none"/>
        </w:rPr>
      </w:pPr>
      <w:r>
        <w:rPr>
          <w:rFonts w:hint="eastAsia" w:ascii="宋体" w:cs="宋体"/>
          <w:sz w:val="24"/>
          <w:highlight w:val="none"/>
        </w:rPr>
        <w:t>（2）复核当期验收合格的工程量，在规定时间内审核承包人提交的工程量清单和工程款形象进度申请表并报发包人。</w:t>
      </w:r>
    </w:p>
    <w:p w14:paraId="7CBA6639">
      <w:pPr>
        <w:adjustRightInd w:val="0"/>
        <w:spacing w:line="360" w:lineRule="auto"/>
        <w:ind w:firstLine="480" w:firstLineChars="200"/>
        <w:rPr>
          <w:rFonts w:ascii="宋体" w:cs="宋体"/>
          <w:sz w:val="24"/>
          <w:highlight w:val="none"/>
        </w:rPr>
      </w:pPr>
      <w:r>
        <w:rPr>
          <w:rFonts w:hint="eastAsia" w:ascii="宋体" w:cs="宋体"/>
          <w:sz w:val="24"/>
          <w:highlight w:val="none"/>
        </w:rPr>
        <w:t>（3）依据施工合同有关条款、施工图，对工程项目造价目标进行风险分析，并应制定防范性对策上报发包人。</w:t>
      </w:r>
    </w:p>
    <w:p w14:paraId="6D9FC71B">
      <w:pPr>
        <w:adjustRightInd w:val="0"/>
        <w:spacing w:line="360" w:lineRule="auto"/>
        <w:ind w:firstLine="512" w:firstLineChars="200"/>
        <w:rPr>
          <w:rFonts w:ascii="宋体" w:cs="宋体"/>
          <w:sz w:val="24"/>
          <w:highlight w:val="none"/>
        </w:rPr>
      </w:pPr>
      <w:r>
        <w:rPr>
          <w:rFonts w:hint="eastAsia" w:ascii="宋体" w:cs="宋体"/>
          <w:spacing w:val="8"/>
          <w:sz w:val="24"/>
          <w:highlight w:val="none"/>
        </w:rPr>
        <w:t>（4）根据施工总承包合同</w:t>
      </w:r>
      <w:r>
        <w:rPr>
          <w:rFonts w:hint="eastAsia" w:ascii="宋体" w:cs="宋体"/>
          <w:bCs/>
          <w:sz w:val="24"/>
          <w:highlight w:val="none"/>
        </w:rPr>
        <w:t>、各专业工程合同</w:t>
      </w:r>
      <w:r>
        <w:rPr>
          <w:rFonts w:hint="eastAsia" w:ascii="宋体" w:cs="宋体"/>
          <w:spacing w:val="8"/>
          <w:sz w:val="24"/>
          <w:highlight w:val="none"/>
        </w:rPr>
        <w:t>的规定，对工程质量和数量进行核实，签发工程进度审核意见，审核概算（如有）、施工图预算、进度款、工程变更、签证、竣工结算以及其他甲方要求的造价工作。</w:t>
      </w:r>
    </w:p>
    <w:p w14:paraId="4DFEE851">
      <w:pPr>
        <w:adjustRightInd w:val="0"/>
        <w:spacing w:line="360" w:lineRule="auto"/>
        <w:ind w:firstLine="480" w:firstLineChars="200"/>
        <w:rPr>
          <w:rFonts w:ascii="宋体" w:cs="宋体"/>
          <w:sz w:val="24"/>
          <w:highlight w:val="none"/>
        </w:rPr>
      </w:pPr>
      <w:r>
        <w:rPr>
          <w:rFonts w:hint="eastAsia" w:ascii="宋体" w:cs="宋体"/>
          <w:sz w:val="24"/>
          <w:highlight w:val="none"/>
        </w:rPr>
        <w:t>7、按广州市和黄埔区及发包人关于工程变更、签证管理的相关规定，从项目的功能要求、质量和工期等方面对工程变更、签证进行审核，并督促相关单位按经审定的变更、签证实施。</w:t>
      </w:r>
    </w:p>
    <w:p w14:paraId="47D5B702">
      <w:pPr>
        <w:adjustRightInd w:val="0"/>
        <w:spacing w:line="360" w:lineRule="auto"/>
        <w:ind w:firstLine="480" w:firstLineChars="200"/>
        <w:rPr>
          <w:rFonts w:ascii="宋体" w:cs="宋体"/>
          <w:sz w:val="24"/>
          <w:highlight w:val="none"/>
        </w:rPr>
      </w:pPr>
      <w:r>
        <w:rPr>
          <w:rFonts w:hint="eastAsia" w:ascii="宋体" w:cs="宋体"/>
          <w:sz w:val="24"/>
          <w:highlight w:val="none"/>
        </w:rPr>
        <w:t>8、按监理规范向发包人提交监理月报，内容包括但不限于本月施工进度、质量、安全情况，工程计量及支付情况，工程变更、签证及索赔情况，监理对工程进度、质量、安全、造价的管理情况等。</w:t>
      </w:r>
    </w:p>
    <w:p w14:paraId="5BDAAA54">
      <w:pPr>
        <w:adjustRightInd w:val="0"/>
        <w:spacing w:line="360" w:lineRule="auto"/>
        <w:ind w:firstLine="480" w:firstLineChars="200"/>
        <w:rPr>
          <w:rFonts w:ascii="宋体" w:cs="宋体"/>
          <w:sz w:val="24"/>
          <w:highlight w:val="none"/>
        </w:rPr>
      </w:pPr>
      <w:r>
        <w:rPr>
          <w:rFonts w:hint="eastAsia" w:ascii="宋体" w:cs="宋体"/>
          <w:sz w:val="24"/>
          <w:highlight w:val="none"/>
        </w:rPr>
        <w:t>9、工程收尾阶段，包括竣工收尾、验收、整改、移交、结算、考核评价等方面的监理工作，包括但不限于以下内容：</w:t>
      </w:r>
    </w:p>
    <w:p w14:paraId="2FB69021">
      <w:pPr>
        <w:adjustRightInd w:val="0"/>
        <w:spacing w:line="360" w:lineRule="auto"/>
        <w:ind w:firstLine="480" w:firstLineChars="200"/>
        <w:rPr>
          <w:rFonts w:ascii="宋体" w:cs="宋体"/>
          <w:sz w:val="24"/>
          <w:highlight w:val="none"/>
        </w:rPr>
      </w:pPr>
      <w:r>
        <w:rPr>
          <w:rFonts w:hint="eastAsia" w:ascii="宋体" w:cs="宋体"/>
          <w:sz w:val="24"/>
          <w:highlight w:val="none"/>
        </w:rPr>
        <w:t>（1）依据有关法律、法规、工程建设强制性标准、设计文件及施工合同，对承包人报送的竣工资料进行审查，并对工程质量进行竣工预验收。对存在的问题，应及时要求承包人整改。</w:t>
      </w:r>
    </w:p>
    <w:p w14:paraId="4D9EF9D2">
      <w:pPr>
        <w:adjustRightInd w:val="0"/>
        <w:spacing w:line="360" w:lineRule="auto"/>
        <w:ind w:firstLine="480" w:firstLineChars="200"/>
        <w:rPr>
          <w:rFonts w:ascii="宋体" w:cs="宋体"/>
          <w:sz w:val="24"/>
          <w:highlight w:val="none"/>
        </w:rPr>
      </w:pPr>
      <w:r>
        <w:rPr>
          <w:rFonts w:hint="eastAsia" w:ascii="宋体" w:cs="宋体"/>
          <w:sz w:val="24"/>
          <w:highlight w:val="none"/>
        </w:rPr>
        <w:t>（2）参加由发包人组织的竣工验收。对验收中提出的整改问题，督促承包人进行整改。工程质量符合要求，会同参加验收的各方签署竣工验收报告。</w:t>
      </w:r>
    </w:p>
    <w:p w14:paraId="063F5A50">
      <w:pPr>
        <w:adjustRightInd w:val="0"/>
        <w:spacing w:line="360" w:lineRule="auto"/>
        <w:ind w:firstLine="480" w:firstLineChars="200"/>
        <w:rPr>
          <w:rFonts w:ascii="宋体" w:cs="宋体"/>
          <w:sz w:val="24"/>
          <w:highlight w:val="none"/>
        </w:rPr>
      </w:pPr>
      <w:r>
        <w:rPr>
          <w:rFonts w:hint="eastAsia" w:ascii="宋体" w:cs="宋体"/>
          <w:sz w:val="24"/>
          <w:highlight w:val="none"/>
        </w:rPr>
        <w:t>（3）根据有关文件规定，督促检查承包人完成各阶段及全套竣工图的工作和整理各种必须归档的资料，办理工程竣工档案备案手续。</w:t>
      </w:r>
    </w:p>
    <w:p w14:paraId="44D7A6A5">
      <w:pPr>
        <w:adjustRightInd w:val="0"/>
        <w:spacing w:line="360" w:lineRule="auto"/>
        <w:ind w:firstLine="480" w:firstLineChars="200"/>
        <w:rPr>
          <w:rFonts w:ascii="宋体" w:cs="宋体"/>
          <w:sz w:val="24"/>
          <w:highlight w:val="none"/>
        </w:rPr>
      </w:pPr>
      <w:r>
        <w:rPr>
          <w:rFonts w:hint="eastAsia" w:ascii="宋体" w:cs="宋体"/>
          <w:sz w:val="24"/>
          <w:highlight w:val="none"/>
        </w:rPr>
        <w:t>（4）负责对项目实施过程中形成的声像材料按广州市黄埔区档案局《关于加强声像档案管理工作的通知》（穗萝档【2010】7号）有关规定进行归档整理后，移交发包人。</w:t>
      </w:r>
    </w:p>
    <w:p w14:paraId="3AC65AC2">
      <w:pPr>
        <w:adjustRightInd w:val="0"/>
        <w:spacing w:line="360" w:lineRule="auto"/>
        <w:ind w:firstLine="480" w:firstLineChars="200"/>
        <w:rPr>
          <w:rFonts w:ascii="宋体" w:cs="宋体"/>
          <w:sz w:val="24"/>
          <w:highlight w:val="none"/>
        </w:rPr>
      </w:pPr>
      <w:r>
        <w:rPr>
          <w:rFonts w:hint="eastAsia" w:ascii="宋体" w:cs="宋体"/>
          <w:sz w:val="24"/>
          <w:highlight w:val="none"/>
        </w:rPr>
        <w:t>（5）组织或协助发包人、承包人和产权管理单位对项目进行移交。</w:t>
      </w:r>
    </w:p>
    <w:p w14:paraId="4C4C2DA4">
      <w:pPr>
        <w:adjustRightInd w:val="0"/>
        <w:spacing w:line="360" w:lineRule="auto"/>
        <w:ind w:firstLine="480" w:firstLineChars="200"/>
        <w:rPr>
          <w:rFonts w:ascii="宋体" w:cs="宋体"/>
          <w:sz w:val="24"/>
          <w:highlight w:val="none"/>
        </w:rPr>
      </w:pPr>
      <w:r>
        <w:rPr>
          <w:rFonts w:hint="eastAsia" w:ascii="宋体" w:cs="宋体"/>
          <w:sz w:val="24"/>
          <w:highlight w:val="none"/>
        </w:rPr>
        <w:t>（6）按区及发包人有关规定组织编制及办理建设项目工程结算。工程完工经验收通过后45天内督促承包人提交工程结算文件，并在收到承包人结算资料后30日内，根据相关合同约定完成审核并提交发包人。</w:t>
      </w:r>
    </w:p>
    <w:p w14:paraId="5F80D53B">
      <w:pPr>
        <w:adjustRightInd w:val="0"/>
        <w:spacing w:line="360" w:lineRule="auto"/>
        <w:ind w:left="420" w:leftChars="200"/>
        <w:rPr>
          <w:rFonts w:ascii="宋体" w:cs="宋体"/>
          <w:sz w:val="24"/>
          <w:highlight w:val="none"/>
        </w:rPr>
      </w:pPr>
      <w:r>
        <w:rPr>
          <w:rFonts w:hint="eastAsia" w:ascii="宋体" w:cs="宋体"/>
          <w:sz w:val="24"/>
          <w:highlight w:val="none"/>
        </w:rPr>
        <w:t>10、保修阶段的监理工作（包括但不限于以下内容）</w:t>
      </w:r>
    </w:p>
    <w:p w14:paraId="6ED67AFB">
      <w:pPr>
        <w:adjustRightInd w:val="0"/>
        <w:spacing w:line="360" w:lineRule="auto"/>
        <w:ind w:firstLine="480" w:firstLineChars="200"/>
        <w:rPr>
          <w:rFonts w:ascii="宋体" w:cs="宋体"/>
          <w:sz w:val="24"/>
          <w:highlight w:val="none"/>
        </w:rPr>
      </w:pPr>
      <w:r>
        <w:rPr>
          <w:rFonts w:hint="eastAsia" w:ascii="宋体" w:cs="宋体"/>
          <w:sz w:val="24"/>
          <w:highlight w:val="none"/>
        </w:rPr>
        <w:t>（1）督促承包人在工程保修期内对工程进行保修，对发包人提出的工程质量缺陷进行检查和记录，对承包人进行修复的工程质量进行验收，合格后予以签认。对工程质量缺陷原因进行调查分析并确定责任归属，对非承包人原因造成的工程质量缺陷，监理人员应核实修复工程的费用和签署工程款支付证书，并报发包人。</w:t>
      </w:r>
    </w:p>
    <w:p w14:paraId="4AC65088">
      <w:pPr>
        <w:adjustRightInd w:val="0"/>
        <w:spacing w:line="360" w:lineRule="auto"/>
        <w:ind w:firstLine="480" w:firstLineChars="200"/>
        <w:rPr>
          <w:rFonts w:ascii="宋体" w:cs="宋体"/>
          <w:sz w:val="24"/>
          <w:highlight w:val="none"/>
        </w:rPr>
      </w:pPr>
      <w:r>
        <w:rPr>
          <w:rFonts w:hint="eastAsia" w:ascii="宋体" w:cs="宋体"/>
          <w:sz w:val="24"/>
          <w:highlight w:val="none"/>
        </w:rPr>
        <w:t>（2）检查和记录工程质量缺陷，对缺陷原因进行调查分析并确定责任归属，审核修复方案，监督修复过程并验收，审核修复费用。</w:t>
      </w:r>
    </w:p>
    <w:p w14:paraId="0F68DC60">
      <w:pPr>
        <w:adjustRightInd w:val="0"/>
        <w:spacing w:line="360" w:lineRule="auto"/>
        <w:ind w:firstLine="480" w:firstLineChars="200"/>
        <w:rPr>
          <w:rFonts w:ascii="宋体" w:cs="宋体"/>
          <w:sz w:val="24"/>
          <w:highlight w:val="none"/>
        </w:rPr>
      </w:pPr>
      <w:r>
        <w:rPr>
          <w:rFonts w:hint="eastAsia" w:ascii="宋体" w:cs="宋体"/>
          <w:sz w:val="24"/>
          <w:highlight w:val="none"/>
        </w:rPr>
        <w:t>11、检查本工程采用主要设备及关键材料是否符合设计文件或标书所规定的厂家、型号、规格、数量以及质量标准，视乎需要并经发包人同意可对生产厂家进行考察，所发生的差旅费用由该责任方负担。</w:t>
      </w:r>
    </w:p>
    <w:p w14:paraId="4EE3FDF5">
      <w:pPr>
        <w:adjustRightInd w:val="0"/>
        <w:spacing w:line="360" w:lineRule="auto"/>
        <w:ind w:firstLine="480" w:firstLineChars="200"/>
        <w:rPr>
          <w:rFonts w:ascii="宋体" w:cs="宋体"/>
          <w:sz w:val="24"/>
          <w:highlight w:val="none"/>
        </w:rPr>
      </w:pPr>
      <w:r>
        <w:rPr>
          <w:rFonts w:hint="eastAsia" w:ascii="宋体" w:cs="宋体"/>
          <w:sz w:val="24"/>
          <w:highlight w:val="none"/>
        </w:rPr>
        <w:t>12、除上述工作范围外，监理人还须按发包人的要求提前进场参与开工前期的准备和筹划工作，协助发包人制定工程管理办法、各参建方职责及有关事务性工作等。在整个监理服务期内，定期组织、主持现场工程协调会议，负责协调各承包人的配合穿插施工安排。</w:t>
      </w:r>
    </w:p>
    <w:p w14:paraId="6BF93E42">
      <w:pPr>
        <w:adjustRightInd w:val="0"/>
        <w:spacing w:line="360" w:lineRule="auto"/>
        <w:ind w:firstLine="480" w:firstLineChars="200"/>
        <w:rPr>
          <w:rFonts w:ascii="宋体" w:cs="宋体"/>
          <w:sz w:val="24"/>
          <w:highlight w:val="none"/>
        </w:rPr>
      </w:pPr>
      <w:r>
        <w:rPr>
          <w:rFonts w:hint="eastAsia" w:ascii="宋体" w:cs="宋体"/>
          <w:sz w:val="24"/>
          <w:highlight w:val="none"/>
        </w:rPr>
        <w:t>13、其他为完成本工程建设所需要的监理工作。</w:t>
      </w:r>
    </w:p>
    <w:p w14:paraId="76BB0C7D">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（二）建设工程监理一般规定：</w:t>
      </w:r>
    </w:p>
    <w:p w14:paraId="64320B49">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1、实行总监理工程师负责制。</w:t>
      </w:r>
    </w:p>
    <w:p w14:paraId="3D2962A0">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2、监理人应公正、独立、自主地开展监理工作，维护发包人的合法权益。</w:t>
      </w:r>
    </w:p>
    <w:p w14:paraId="18B7A35D">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snapToGrid w:val="0"/>
          <w:kern w:val="0"/>
          <w:sz w:val="24"/>
          <w:highlight w:val="none"/>
        </w:rPr>
        <w:t>3、监理人除应按《建设工程监理规范》（GB50319-2013）履行监理职责外，还应符合国家现行的有关强制性标准、规范的规定。</w:t>
      </w:r>
    </w:p>
    <w:p w14:paraId="1804FC8E">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（三）项目监理机构</w:t>
      </w:r>
    </w:p>
    <w:p w14:paraId="71BB4B10">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1、本项目监理机构配备情况见附表，监理人必须按该附表在施工现场建立项目监理机构。项目监理机构在完成委托监理合同约定的监理工作后可撤离施工现场。</w:t>
      </w:r>
    </w:p>
    <w:p w14:paraId="5A712C7A">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2、监理人必须在发包人发出进场通知后，按发包人具体的要求进场，并立即开始履行本合同约定的服务。监理人必须按照其投标文件和监理规划的承诺，足额、按时派驻监理人员和投入设备（见合同附件），并且本合同履行期间，监理人不得派驻本项目的监理人员参与发包人作为业主的其他建设项目。</w:t>
      </w:r>
    </w:p>
    <w:p w14:paraId="086B0686">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3、监理人派驻到项目所在地履行监理服务的监理人员，必须常驻现场。</w:t>
      </w:r>
    </w:p>
    <w:p w14:paraId="61101DAC">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4、监理人应对其驻地监理人员的人身安全承担责任。</w:t>
      </w:r>
    </w:p>
    <w:p w14:paraId="4C8C48E8">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5、监理人在施工监理全过程中必须派驻至少</w:t>
      </w:r>
      <w:r>
        <w:rPr>
          <w:rFonts w:ascii="宋体" w:cs="宋体"/>
          <w:snapToGrid w:val="0"/>
          <w:kern w:val="0"/>
          <w:sz w:val="24"/>
          <w:highlight w:val="none"/>
        </w:rPr>
        <w:t>1</w:t>
      </w:r>
      <w:r>
        <w:rPr>
          <w:rFonts w:hint="eastAsia" w:ascii="宋体" w:cs="宋体"/>
          <w:snapToGrid w:val="0"/>
          <w:kern w:val="0"/>
          <w:sz w:val="24"/>
          <w:highlight w:val="none"/>
        </w:rPr>
        <w:t>名造价人员提供驻场服务，并按发包人要求建立施工阶段工程预算台账。</w:t>
      </w:r>
    </w:p>
    <w:p w14:paraId="70149AC6">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snapToGrid w:val="0"/>
          <w:kern w:val="0"/>
          <w:sz w:val="24"/>
          <w:highlight w:val="none"/>
        </w:rPr>
        <w:t>第五条</w:t>
      </w:r>
      <w:r>
        <w:rPr>
          <w:rFonts w:ascii="宋体" w:cs="宋体"/>
          <w:b/>
          <w:snapToGrid w:val="0"/>
          <w:kern w:val="0"/>
          <w:sz w:val="24"/>
          <w:highlight w:val="none"/>
        </w:rPr>
        <w:t xml:space="preserve"> </w:t>
      </w:r>
      <w:r>
        <w:rPr>
          <w:rFonts w:hint="eastAsia" w:ascii="宋体" w:cs="宋体"/>
          <w:b/>
          <w:snapToGrid w:val="0"/>
          <w:kern w:val="0"/>
          <w:sz w:val="24"/>
          <w:highlight w:val="none"/>
        </w:rPr>
        <w:t>监理人应履行的义务包括但不限于：</w:t>
      </w:r>
    </w:p>
    <w:p w14:paraId="59566E1D">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（一）监理人在本合同履行期内必须接受发包人有关规定的约束，监理人应对提供给本项目服务的人员经常进行检查、指导、管理及后方支持，对他们完成的服务承担责任。</w:t>
      </w:r>
    </w:p>
    <w:p w14:paraId="5C815505">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二）监理人必须在收到图纸、勘察资料等技术文件后14个日内向发包人提供针对本合同工程特点、重点、难点的《监理规划》、相应的《监理实施细则》，经发包人审核批准后执行。如发包人要求监理人对《监理规划》等进行调整，监理人必须在3个日内完成调整并报发包人审批。</w:t>
      </w:r>
    </w:p>
    <w:p w14:paraId="37B8A4FC">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（三）发包人委托监理人承担本合同工程范围内的协调管理工作，包括工程施工的进场、设计、退场、质量、进度及其他相关工作。</w:t>
      </w:r>
    </w:p>
    <w:p w14:paraId="381D038A">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（四）监理工程师在本合同工程中，对工程质量、投资与进度进行控制，办理合同约定的各项手续。监理工程师在办理各种手续时，不得扣压和延误。</w:t>
      </w:r>
    </w:p>
    <w:p w14:paraId="018D6B4C">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五）在任何情况下（包括合同另有约定的情况），凡涉及工程变更、工程量增减、议价、索赔、处理事故、改变工期、改变技术标准、改变重大施工方案等及一切有关费用的问题，均需与发包人共同商定，报发包人批准。</w:t>
      </w:r>
    </w:p>
    <w:p w14:paraId="5E519928">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（六）监理人必须不折不扣地履行其工作职责，不得推托或耽误，不能有不履行或不完全履行职务的行为，否则，必须承担相应的违约责任。</w:t>
      </w:r>
    </w:p>
    <w:p w14:paraId="54ACED4D">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（七）对于发包人及承包人书面提交并要求作出决定的事宜，监理人应在3日内作出书面答复，对影响施工现场进度的事项应在24小时内作出具有明确处理意见的书面答复。</w:t>
      </w:r>
    </w:p>
    <w:p w14:paraId="535C6088">
      <w:pPr>
        <w:adjustRightIn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（八）监理人应在监理服务期内，办理派驻到项目所在地人员人身和自备财产的有关保险。如果监理人不办理上述保险，则应对有关风险及后果自负其责。</w:t>
      </w:r>
      <w:r>
        <w:rPr>
          <w:rFonts w:hint="eastAsia" w:ascii="宋体" w:cs="宋体"/>
          <w:sz w:val="24"/>
          <w:highlight w:val="none"/>
        </w:rPr>
        <w:t>发包人对任何到工地的监理方雇员的意外或伤亡，皆不负任何法律上的赔偿责任，监理方须保障发包人免负任何有关的索偿、要求、诉讼、成本、费用和支出。</w:t>
      </w:r>
    </w:p>
    <w:p w14:paraId="78DDE9C2">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snapToGrid w:val="0"/>
          <w:kern w:val="0"/>
          <w:sz w:val="24"/>
          <w:highlight w:val="none"/>
        </w:rPr>
        <w:t>第九条</w:t>
      </w:r>
      <w:r>
        <w:rPr>
          <w:rFonts w:hint="eastAsia" w:ascii="宋体" w:cs="宋体"/>
          <w:snapToGrid w:val="0"/>
          <w:kern w:val="0"/>
          <w:sz w:val="24"/>
          <w:highlight w:val="none"/>
        </w:rPr>
        <w:t xml:space="preserve"> 发包人根据需要有权指令监理人协调部分外部关系，发包人对此无需支付任何报酬。</w:t>
      </w:r>
    </w:p>
    <w:p w14:paraId="4F0C70EE">
      <w:pPr>
        <w:adjustRightInd w:val="0"/>
        <w:spacing w:line="360" w:lineRule="auto"/>
        <w:ind w:firstLine="482" w:firstLineChars="200"/>
        <w:outlineLvl w:val="1"/>
        <w:rPr>
          <w:rFonts w:ascii="宋体" w:cs="宋体"/>
          <w:b/>
          <w:bCs/>
          <w:snapToGrid w:val="0"/>
          <w:kern w:val="0"/>
          <w:sz w:val="24"/>
          <w:highlight w:val="none"/>
        </w:rPr>
      </w:pPr>
      <w:r>
        <w:rPr>
          <w:rFonts w:hint="eastAsia" w:ascii="宋体" w:cs="宋体"/>
          <w:b/>
          <w:bCs/>
          <w:snapToGrid w:val="0"/>
          <w:kern w:val="0"/>
          <w:sz w:val="24"/>
          <w:highlight w:val="none"/>
        </w:rPr>
        <w:t>第十五条</w:t>
      </w:r>
      <w:r>
        <w:rPr>
          <w:rFonts w:ascii="宋体" w:cs="宋体"/>
          <w:b/>
          <w:snapToGrid w:val="0"/>
          <w:kern w:val="0"/>
          <w:sz w:val="24"/>
          <w:highlight w:val="none"/>
        </w:rPr>
        <w:t xml:space="preserve"> </w:t>
      </w:r>
      <w:r>
        <w:rPr>
          <w:rFonts w:hint="eastAsia" w:ascii="宋体" w:cs="宋体"/>
          <w:snapToGrid w:val="0"/>
          <w:kern w:val="0"/>
          <w:sz w:val="24"/>
          <w:highlight w:val="none"/>
        </w:rPr>
        <w:t>各方同意不执行标准条款第十五条，办公、</w:t>
      </w:r>
      <w:r>
        <w:rPr>
          <w:rFonts w:hint="eastAsia" w:ascii="宋体" w:cs="宋体"/>
          <w:sz w:val="24"/>
          <w:highlight w:val="none"/>
        </w:rPr>
        <w:t>食宿等由监理人应自行解决。</w:t>
      </w:r>
    </w:p>
    <w:p w14:paraId="6593DE19">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第十六条</w:t>
      </w:r>
      <w:r>
        <w:rPr>
          <w:rFonts w:hint="eastAsia" w:ascii="宋体" w:cs="宋体"/>
          <w:snapToGrid w:val="0"/>
          <w:kern w:val="0"/>
          <w:sz w:val="24"/>
          <w:highlight w:val="none"/>
        </w:rPr>
        <w:t xml:space="preserve"> 在监理服务期间，发包人不免费向监理人提供工作人员和服务人员。</w:t>
      </w:r>
    </w:p>
    <w:p w14:paraId="15B800C9">
      <w:pPr>
        <w:adjustRightInd w:val="0"/>
        <w:snapToGrid w:val="0"/>
        <w:spacing w:line="360" w:lineRule="auto"/>
        <w:ind w:firstLine="482" w:firstLineChars="200"/>
        <w:rPr>
          <w:rFonts w:ascii="宋体" w:cs="宋体"/>
          <w:bCs/>
          <w:snapToGrid w:val="0"/>
          <w:kern w:val="0"/>
          <w:sz w:val="24"/>
          <w:highlight w:val="none"/>
        </w:rPr>
      </w:pPr>
      <w:r>
        <w:rPr>
          <w:rFonts w:hint="eastAsia" w:ascii="宋体" w:cs="宋体"/>
          <w:b/>
          <w:bCs/>
          <w:snapToGrid w:val="0"/>
          <w:kern w:val="0"/>
          <w:sz w:val="24"/>
          <w:highlight w:val="none"/>
        </w:rPr>
        <w:t xml:space="preserve">第二十六条  </w:t>
      </w:r>
      <w:r>
        <w:rPr>
          <w:rFonts w:hint="eastAsia" w:ascii="宋体" w:cs="宋体"/>
          <w:snapToGrid w:val="0"/>
          <w:kern w:val="0"/>
          <w:sz w:val="24"/>
          <w:highlight w:val="none"/>
        </w:rPr>
        <w:t>监理人的违约责任：</w:t>
      </w:r>
    </w:p>
    <w:p w14:paraId="2C559054">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（一）监理人违反本合同的约定，应当按约定向发包人承担相应的违约责任，承担违约责任方式包括但不限于：</w:t>
      </w:r>
    </w:p>
    <w:p w14:paraId="581C81ED">
      <w:pPr>
        <w:spacing w:line="360" w:lineRule="auto"/>
        <w:ind w:firstLine="480" w:firstLineChars="200"/>
        <w:rPr>
          <w:rFonts w:ascii="宋体" w:cs="宋体"/>
          <w:sz w:val="24"/>
          <w:highlight w:val="none"/>
        </w:rPr>
      </w:pPr>
      <w:r>
        <w:rPr>
          <w:rFonts w:hint="eastAsia" w:ascii="宋体" w:cs="宋体"/>
          <w:sz w:val="24"/>
          <w:highlight w:val="none"/>
        </w:rPr>
        <w:t>1、书面警告。监理人未履行或未适当履行义务或不执行发包人（含主管人员）的指令时，发包人有权向监理人发出书面警告，每一次书面警告，监理人必须向发包人支付违约金（具体违约金金额为：监理费500万（含）以下的：0.1~0.5万元/次；监理费500-1000万（含）的：0.1~0.75万元/次，监理费1000万以上的：0.1~1万元/次）。监理人必须在书面警告限定的时间内履行义务，否则应承担1次一般违约责任。</w:t>
      </w:r>
    </w:p>
    <w:p w14:paraId="518D44DC">
      <w:pPr>
        <w:spacing w:line="360" w:lineRule="auto"/>
        <w:ind w:firstLine="480" w:firstLineChars="200"/>
        <w:rPr>
          <w:rFonts w:ascii="宋体" w:cs="宋体"/>
          <w:sz w:val="24"/>
          <w:highlight w:val="none"/>
        </w:rPr>
      </w:pPr>
      <w:r>
        <w:rPr>
          <w:rFonts w:hint="eastAsia" w:ascii="宋体" w:cs="宋体"/>
          <w:sz w:val="24"/>
          <w:highlight w:val="none"/>
        </w:rPr>
        <w:t>2、一般违约责任。监理人按本合同约定应当承担一般违约责任时，每一次必须向发包人支付违约金（具体违约金金额为：监理费500万（含）以下的：0.5~1万元/次；监理费500-1000万（含）的：0.75~1.5万元/次，监理费1000万以上的：1~2万元/次）</w:t>
      </w:r>
    </w:p>
    <w:p w14:paraId="239299D6">
      <w:pPr>
        <w:spacing w:line="360" w:lineRule="auto"/>
        <w:ind w:firstLine="480" w:firstLineChars="200"/>
        <w:rPr>
          <w:rFonts w:ascii="宋体" w:cs="宋体"/>
          <w:sz w:val="24"/>
          <w:highlight w:val="none"/>
        </w:rPr>
      </w:pPr>
      <w:r>
        <w:rPr>
          <w:rFonts w:hint="eastAsia" w:ascii="宋体" w:cs="宋体"/>
          <w:sz w:val="24"/>
          <w:highlight w:val="none"/>
        </w:rPr>
        <w:t>3、严重违约责任。监理人按本合同约定应当承担严重违约责任时，每一次必须向发包人支付违约金（具体违约金金额为监理费500万（含）以下：1~2万元/次，500-1000万（含）：1.5~3万元/次，1000万以上：2~4万元/次）。</w:t>
      </w:r>
    </w:p>
    <w:p w14:paraId="092B1C4C">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4、部分解除合同。发包人按本条约定向监理人发出部分解除合同的通知后，本合同部分解除即生效，监理人支付解除合同部分监理费20%的违约金，并必须在3日内停止被解除部分的工作；并在合同部分解除之日起5日内配合发包人完成现场工作和有关资料的移交，所交接资料必须完整，每逾期一天移交资料的，监理人向发包人支付本合同监理费暂定总额的万分之五作为违约金。上述违约金不足以赔偿发包人损失的，监理人应赔偿发包人全部损失。监理人无特殊原因未在规定期限内完成移交和撤出，或交接资料不完整的，发包人有权处理其留在现场的材料、设备和其他物件，处理费用由监理人承担，发包人有权视情况全部解除合同。发包人在发出部分解除合同的通知后，发包人即可委托新的监理人承接该部分工程，监理人不得影响或阻碍新的监理人办理进场手续和相关工作。</w:t>
      </w:r>
    </w:p>
    <w:p w14:paraId="19B641DC">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5、解除合同。发包人按本条约定向监理人发出解除合同的通知后，本合同即解除，监理人支付本合同监理费20%的违约金，并必须在3日内停止全部工作；并在合同部分解除之日5日内配合发包人完成现场工作和有关资料的移交，并于完成交接工作当日内离场。监理人应保证所移交的资料齐全完整，每逾期一天移交资料的，监理人向发包人支付本合同监理费暂定总额的万分之五作为违约金。上述违约金不足以赔偿发包人损失的，监理人应赔偿发包人全部损失。监理人无特殊原因未在规定期限内完成移交和离场或所移交的资料不完整的，发包人有权处理其留在现场的材料、设备和其他物件，处理费用由监理人承担。发包人在发出解除合同的通知后，发包人即可委托新的监理人承接该工程，监理人不得影响或阻碍新的监理人办理进场手续和相关工作。</w:t>
      </w:r>
    </w:p>
    <w:p w14:paraId="2ADA62AC">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6、赔偿损失。因监理人违约或工作失误给发包人造成损失的，监理人应向发包人赔偿与违约有直接或间接因果关系的所有损失，但如果损失是由于监理人故意或严重渎职造成的，监理人应承担全部损失的赔偿责任。</w:t>
      </w:r>
    </w:p>
    <w:p w14:paraId="4C4E3A89">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7、每三次书面警告则另行追加一次一般违约责任，每三次一般违约责任则另行追加一次严重违约责任。</w:t>
      </w:r>
    </w:p>
    <w:p w14:paraId="4BD859FF">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8、当监理人无正当理由不履行或没有充分履行其相关承诺及监理义务时，除应承担前述约定的违约责任外，发包人还可给予其通报批评、作不良记录及报相关主管部门处理等处罚措施。</w:t>
      </w:r>
    </w:p>
    <w:p w14:paraId="7D3BD2D5">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9、当监理人出现严重违约时，发包人可给予其通报批评；当累计出现三次严重违约或者关键节点工期滞后20天以上时，发包人有权要求监理人的法定代表人或其授权代表人驻场办公，直至其监理工作达到发包人满意时方可离场；累计出现四次严重违约时，发包人可给予其不良记录并报相关主管部门处理等处罚措施；累计出现五次严重违约时，发包人可单方面解除合同；</w:t>
      </w:r>
    </w:p>
    <w:p w14:paraId="56D9E589">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（二）监理组织管理方面的违约责任：</w:t>
      </w:r>
    </w:p>
    <w:p w14:paraId="1A028B76">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监理人承诺主动支持发包人的工作，对发包人的指令和书面通知，若无正当理由又未提前报告、得到认可，而公开或变相拒不执行的，第一次按一般违约处理；第二次以后，每违反一次按一次严重违约处理；同时，监理人还要承担由此造成的一切经济损失。</w:t>
      </w:r>
    </w:p>
    <w:p w14:paraId="23DE54CE">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2、监理人不遵守建设业主所制订的各项制度、规定的，由监理人按所触犯制度、规定的有关规定承担违约责任。所触犯制度、规定没有明确规定的，由发包人参照前款的约定处理。</w:t>
      </w:r>
    </w:p>
    <w:p w14:paraId="45D07497">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三）监理人未按投标书及承诺建立组织架构、派驻监理人员和投入设备，监理人必须按发包人要求限期整改，并承担相应违约责任。派驻监理人员需提供身份证复印件（原件核对）以及其属监理人单位员工的社保证明原件，报发包人审核、备案。具体约定为：</w:t>
      </w:r>
    </w:p>
    <w:p w14:paraId="2B5CFC97">
      <w:pPr>
        <w:adjustRightInd w:val="0"/>
        <w:spacing w:line="360" w:lineRule="auto"/>
        <w:ind w:firstLine="480" w:firstLineChars="200"/>
        <w:rPr>
          <w:rFonts w:ascii="宋体" w:cs="宋体"/>
          <w:bCs/>
          <w:sz w:val="24"/>
          <w:highlight w:val="none"/>
        </w:rPr>
      </w:pPr>
      <w:r>
        <w:rPr>
          <w:rFonts w:hint="eastAsia" w:ascii="宋体" w:cs="宋体"/>
          <w:bCs/>
          <w:sz w:val="24"/>
          <w:highlight w:val="none"/>
        </w:rPr>
        <w:t>1、在发包人书面通知监理人进场后3日内，监理人的主要监理人员（指投标书承诺的监理机构所配备的项目总监、专业监理工程师及同等级别以上的监理人员）未能足额到位，或到位后又离开，造成该岗位空缺。发包人一旦发现，有权要求监理人做出书面解释并保证人员限期到位，同时监理人每岗位承担一般违约责任1次；如果监理人拒不配合，未在发包人提出限期改正的期限内进行整改的，监理人应每岗位承担严重违约责任1次，直至解除合同，并要求监理人承担由此造成的发包人损失。</w:t>
      </w:r>
    </w:p>
    <w:p w14:paraId="55625CA0">
      <w:pPr>
        <w:adjustRightInd w:val="0"/>
        <w:spacing w:line="360" w:lineRule="auto"/>
        <w:ind w:firstLine="480" w:firstLineChars="200"/>
        <w:rPr>
          <w:rFonts w:ascii="宋体" w:cs="宋体"/>
          <w:bCs/>
          <w:sz w:val="24"/>
          <w:highlight w:val="none"/>
        </w:rPr>
      </w:pPr>
      <w:r>
        <w:rPr>
          <w:rFonts w:hint="eastAsia" w:ascii="宋体" w:cs="宋体"/>
          <w:bCs/>
          <w:sz w:val="24"/>
          <w:highlight w:val="none"/>
        </w:rPr>
        <w:t>2、监理人必须严格按照合同附件3及投标书与承诺投入足额的驻场监理人员，且配备相应专业资质标准的驻场监理工程师不少于合同附件2中要求的人数，若在实际施工过程中，驻场监理人员团队少于合同附件2要求的人数，则监理人应自行增派相应专业的监理人员驻场并经发包人书面确认，且不得另行增加费用，调换监理人员必须提出书面报告并附上替代人员的所有证明资料，替代人员的资历不低于被调替代人员的资历，经发包人审核书面同意后才能调换，但监理人仍需按下表承担对应减半违约责任(被调换监理人员因突遇事故或重大疾病不能胜任工作</w:t>
      </w:r>
      <w:r>
        <w:rPr>
          <w:rFonts w:hint="eastAsia" w:ascii="宋体" w:cs="宋体"/>
          <w:bCs/>
          <w:sz w:val="24"/>
          <w:highlight w:val="none"/>
          <w:lang w:eastAsia="zh-CN"/>
        </w:rPr>
        <w:t>，</w:t>
      </w:r>
      <w:r>
        <w:rPr>
          <w:rFonts w:hint="eastAsia" w:ascii="宋体" w:cs="宋体"/>
          <w:bCs/>
          <w:sz w:val="24"/>
          <w:highlight w:val="none"/>
          <w:lang w:val="en-US" w:eastAsia="zh-CN"/>
        </w:rPr>
        <w:t>经发包人书面同意的</w:t>
      </w:r>
      <w:r>
        <w:rPr>
          <w:rFonts w:hint="eastAsia" w:ascii="宋体" w:cs="宋体"/>
          <w:bCs/>
          <w:sz w:val="24"/>
          <w:highlight w:val="none"/>
        </w:rPr>
        <w:t>除外)。发包人要求监理人更换个别监理人员时，监理人在接到发包人通知后三天内安排更换到位，否则，监理人应按下表的约定承担违约责任。</w:t>
      </w:r>
    </w:p>
    <w:tbl>
      <w:tblPr>
        <w:tblStyle w:val="21"/>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511"/>
        <w:gridCol w:w="3065"/>
      </w:tblGrid>
      <w:tr w14:paraId="0854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212B0B29">
            <w:pPr>
              <w:pStyle w:val="32"/>
              <w:tabs>
                <w:tab w:val="left" w:pos="360"/>
              </w:tabs>
              <w:adjustRightInd w:val="0"/>
              <w:snapToGrid w:val="0"/>
              <w:spacing w:line="360" w:lineRule="auto"/>
              <w:rPr>
                <w:rFonts w:cs="宋体"/>
                <w:snapToGrid w:val="0"/>
                <w:kern w:val="0"/>
                <w:sz w:val="24"/>
                <w:szCs w:val="24"/>
                <w:highlight w:val="none"/>
              </w:rPr>
            </w:pPr>
            <w:r>
              <w:rPr>
                <w:rFonts w:hint="eastAsia" w:cs="宋体"/>
                <w:snapToGrid w:val="0"/>
                <w:kern w:val="0"/>
                <w:sz w:val="24"/>
                <w:szCs w:val="24"/>
                <w:highlight w:val="none"/>
              </w:rPr>
              <w:t>序号</w:t>
            </w:r>
          </w:p>
        </w:tc>
        <w:tc>
          <w:tcPr>
            <w:tcW w:w="4511" w:type="dxa"/>
            <w:tcBorders>
              <w:top w:val="single" w:color="auto" w:sz="4" w:space="0"/>
              <w:left w:val="single" w:color="auto" w:sz="4" w:space="0"/>
              <w:bottom w:val="single" w:color="auto" w:sz="4" w:space="0"/>
              <w:right w:val="single" w:color="auto" w:sz="4" w:space="0"/>
            </w:tcBorders>
            <w:vAlign w:val="center"/>
          </w:tcPr>
          <w:p w14:paraId="7F3734E5">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snapToGrid w:val="0"/>
                <w:kern w:val="0"/>
                <w:sz w:val="24"/>
                <w:szCs w:val="24"/>
                <w:highlight w:val="none"/>
              </w:rPr>
              <w:t>违约项目</w:t>
            </w:r>
          </w:p>
        </w:tc>
        <w:tc>
          <w:tcPr>
            <w:tcW w:w="3065" w:type="dxa"/>
            <w:tcBorders>
              <w:top w:val="single" w:color="auto" w:sz="4" w:space="0"/>
              <w:left w:val="single" w:color="auto" w:sz="4" w:space="0"/>
              <w:bottom w:val="single" w:color="auto" w:sz="4" w:space="0"/>
              <w:right w:val="single" w:color="auto" w:sz="4" w:space="0"/>
            </w:tcBorders>
            <w:vAlign w:val="center"/>
          </w:tcPr>
          <w:p w14:paraId="67943092">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snapToGrid w:val="0"/>
                <w:kern w:val="0"/>
                <w:sz w:val="24"/>
                <w:szCs w:val="24"/>
                <w:highlight w:val="none"/>
              </w:rPr>
              <w:t>违约金计算标准</w:t>
            </w:r>
          </w:p>
          <w:p w14:paraId="3FBCB486">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snapToGrid w:val="0"/>
                <w:kern w:val="0"/>
                <w:sz w:val="24"/>
                <w:szCs w:val="24"/>
                <w:highlight w:val="none"/>
              </w:rPr>
              <w:t>（元/人·次）</w:t>
            </w:r>
          </w:p>
        </w:tc>
      </w:tr>
      <w:tr w14:paraId="1A58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730E2E77">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cs="宋体"/>
                <w:snapToGrid w:val="0"/>
                <w:kern w:val="0"/>
                <w:sz w:val="24"/>
                <w:szCs w:val="24"/>
                <w:highlight w:val="none"/>
              </w:rPr>
              <w:t>1</w:t>
            </w:r>
          </w:p>
        </w:tc>
        <w:tc>
          <w:tcPr>
            <w:tcW w:w="4511" w:type="dxa"/>
            <w:tcBorders>
              <w:top w:val="single" w:color="auto" w:sz="4" w:space="0"/>
              <w:left w:val="single" w:color="auto" w:sz="4" w:space="0"/>
              <w:bottom w:val="single" w:color="auto" w:sz="4" w:space="0"/>
              <w:right w:val="single" w:color="auto" w:sz="4" w:space="0"/>
            </w:tcBorders>
            <w:vAlign w:val="center"/>
          </w:tcPr>
          <w:p w14:paraId="1BD6C217">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snapToGrid w:val="0"/>
                <w:kern w:val="0"/>
                <w:sz w:val="24"/>
                <w:szCs w:val="24"/>
                <w:highlight w:val="none"/>
              </w:rPr>
              <w:t>监理人自行调换或未按照发包人要求及时更换项目总监。</w:t>
            </w:r>
          </w:p>
        </w:tc>
        <w:tc>
          <w:tcPr>
            <w:tcW w:w="3065" w:type="dxa"/>
            <w:tcBorders>
              <w:top w:val="single" w:color="auto" w:sz="4" w:space="0"/>
              <w:left w:val="single" w:color="auto" w:sz="4" w:space="0"/>
              <w:bottom w:val="single" w:color="auto" w:sz="4" w:space="0"/>
              <w:right w:val="single" w:color="auto" w:sz="4" w:space="0"/>
            </w:tcBorders>
            <w:vAlign w:val="center"/>
          </w:tcPr>
          <w:p w14:paraId="66543AF7">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bCs/>
                <w:snapToGrid w:val="0"/>
                <w:kern w:val="0"/>
                <w:sz w:val="24"/>
                <w:szCs w:val="24"/>
                <w:highlight w:val="none"/>
              </w:rPr>
              <w:t>本合同监理报酬总额的2%</w:t>
            </w:r>
          </w:p>
        </w:tc>
      </w:tr>
      <w:tr w14:paraId="53C3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1159DBC9">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cs="宋体"/>
                <w:snapToGrid w:val="0"/>
                <w:kern w:val="0"/>
                <w:sz w:val="24"/>
                <w:szCs w:val="24"/>
                <w:highlight w:val="none"/>
              </w:rPr>
              <w:t>2</w:t>
            </w:r>
          </w:p>
        </w:tc>
        <w:tc>
          <w:tcPr>
            <w:tcW w:w="4511" w:type="dxa"/>
            <w:tcBorders>
              <w:top w:val="single" w:color="auto" w:sz="4" w:space="0"/>
              <w:left w:val="single" w:color="auto" w:sz="4" w:space="0"/>
              <w:bottom w:val="single" w:color="auto" w:sz="4" w:space="0"/>
              <w:right w:val="single" w:color="auto" w:sz="4" w:space="0"/>
            </w:tcBorders>
            <w:vAlign w:val="center"/>
          </w:tcPr>
          <w:p w14:paraId="611B25EF">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snapToGrid w:val="0"/>
                <w:kern w:val="0"/>
                <w:sz w:val="24"/>
                <w:szCs w:val="24"/>
                <w:highlight w:val="none"/>
              </w:rPr>
              <w:t>监理人自行调换或未按照发包人要求及时更换项目总工或总监代表。</w:t>
            </w:r>
          </w:p>
        </w:tc>
        <w:tc>
          <w:tcPr>
            <w:tcW w:w="3065" w:type="dxa"/>
            <w:tcBorders>
              <w:top w:val="single" w:color="auto" w:sz="4" w:space="0"/>
              <w:left w:val="single" w:color="auto" w:sz="4" w:space="0"/>
              <w:bottom w:val="single" w:color="auto" w:sz="4" w:space="0"/>
              <w:right w:val="single" w:color="auto" w:sz="4" w:space="0"/>
            </w:tcBorders>
            <w:vAlign w:val="center"/>
          </w:tcPr>
          <w:p w14:paraId="6115BF7A">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bCs/>
                <w:snapToGrid w:val="0"/>
                <w:kern w:val="0"/>
                <w:sz w:val="24"/>
                <w:szCs w:val="24"/>
                <w:highlight w:val="none"/>
              </w:rPr>
              <w:t>本合同监理报酬总额的1%</w:t>
            </w:r>
          </w:p>
        </w:tc>
      </w:tr>
      <w:tr w14:paraId="5632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66F64CCD">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cs="宋体"/>
                <w:snapToGrid w:val="0"/>
                <w:kern w:val="0"/>
                <w:sz w:val="24"/>
                <w:szCs w:val="24"/>
                <w:highlight w:val="none"/>
              </w:rPr>
              <w:t>3</w:t>
            </w:r>
          </w:p>
        </w:tc>
        <w:tc>
          <w:tcPr>
            <w:tcW w:w="4511" w:type="dxa"/>
            <w:tcBorders>
              <w:top w:val="single" w:color="auto" w:sz="4" w:space="0"/>
              <w:left w:val="single" w:color="auto" w:sz="4" w:space="0"/>
              <w:bottom w:val="single" w:color="auto" w:sz="4" w:space="0"/>
              <w:right w:val="single" w:color="auto" w:sz="4" w:space="0"/>
            </w:tcBorders>
            <w:vAlign w:val="center"/>
          </w:tcPr>
          <w:p w14:paraId="672DCDD2">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snapToGrid w:val="0"/>
                <w:kern w:val="0"/>
                <w:sz w:val="24"/>
                <w:szCs w:val="24"/>
                <w:highlight w:val="none"/>
              </w:rPr>
              <w:t>监理人自行调换或未按照发包人要求及时更换专业监理工程师。</w:t>
            </w:r>
          </w:p>
        </w:tc>
        <w:tc>
          <w:tcPr>
            <w:tcW w:w="3065" w:type="dxa"/>
            <w:tcBorders>
              <w:top w:val="single" w:color="auto" w:sz="4" w:space="0"/>
              <w:left w:val="single" w:color="auto" w:sz="4" w:space="0"/>
              <w:bottom w:val="single" w:color="auto" w:sz="4" w:space="0"/>
              <w:right w:val="single" w:color="auto" w:sz="4" w:space="0"/>
            </w:tcBorders>
            <w:vAlign w:val="center"/>
          </w:tcPr>
          <w:p w14:paraId="0E8B4FC1">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bCs/>
                <w:snapToGrid w:val="0"/>
                <w:kern w:val="0"/>
                <w:sz w:val="24"/>
                <w:szCs w:val="24"/>
                <w:highlight w:val="none"/>
              </w:rPr>
              <w:t>本合同监理报酬总额的0.5%</w:t>
            </w:r>
          </w:p>
        </w:tc>
      </w:tr>
      <w:tr w14:paraId="4F28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06E03328">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cs="宋体"/>
                <w:snapToGrid w:val="0"/>
                <w:kern w:val="0"/>
                <w:sz w:val="24"/>
                <w:szCs w:val="24"/>
                <w:highlight w:val="none"/>
              </w:rPr>
              <w:t>4</w:t>
            </w:r>
          </w:p>
        </w:tc>
        <w:tc>
          <w:tcPr>
            <w:tcW w:w="4511" w:type="dxa"/>
            <w:tcBorders>
              <w:top w:val="single" w:color="auto" w:sz="4" w:space="0"/>
              <w:left w:val="single" w:color="auto" w:sz="4" w:space="0"/>
              <w:bottom w:val="single" w:color="auto" w:sz="4" w:space="0"/>
              <w:right w:val="single" w:color="auto" w:sz="4" w:space="0"/>
            </w:tcBorders>
            <w:vAlign w:val="center"/>
          </w:tcPr>
          <w:p w14:paraId="5F3B1329">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snapToGrid w:val="0"/>
                <w:kern w:val="0"/>
                <w:sz w:val="24"/>
                <w:szCs w:val="24"/>
                <w:highlight w:val="none"/>
              </w:rPr>
              <w:t>监理人自行调换或未按照发包人要求及时更换造价工程师。</w:t>
            </w:r>
          </w:p>
        </w:tc>
        <w:tc>
          <w:tcPr>
            <w:tcW w:w="3065" w:type="dxa"/>
            <w:tcBorders>
              <w:top w:val="single" w:color="auto" w:sz="4" w:space="0"/>
              <w:left w:val="single" w:color="auto" w:sz="4" w:space="0"/>
              <w:bottom w:val="single" w:color="auto" w:sz="4" w:space="0"/>
              <w:right w:val="single" w:color="auto" w:sz="4" w:space="0"/>
            </w:tcBorders>
            <w:vAlign w:val="center"/>
          </w:tcPr>
          <w:p w14:paraId="22954443">
            <w:pPr>
              <w:pStyle w:val="32"/>
              <w:tabs>
                <w:tab w:val="left" w:pos="360"/>
              </w:tabs>
              <w:adjustRightInd w:val="0"/>
              <w:snapToGrid w:val="0"/>
              <w:spacing w:line="360" w:lineRule="auto"/>
              <w:ind w:firstLine="480" w:firstLineChars="200"/>
              <w:rPr>
                <w:rFonts w:cs="宋体"/>
                <w:bCs/>
                <w:snapToGrid w:val="0"/>
                <w:kern w:val="0"/>
                <w:sz w:val="24"/>
                <w:szCs w:val="24"/>
                <w:highlight w:val="none"/>
              </w:rPr>
            </w:pPr>
            <w:r>
              <w:rPr>
                <w:rFonts w:hint="eastAsia" w:cs="宋体"/>
                <w:bCs/>
                <w:snapToGrid w:val="0"/>
                <w:kern w:val="0"/>
                <w:sz w:val="24"/>
                <w:szCs w:val="24"/>
                <w:highlight w:val="none"/>
              </w:rPr>
              <w:t>本合同监理报酬总额的0.5%</w:t>
            </w:r>
          </w:p>
        </w:tc>
      </w:tr>
      <w:tr w14:paraId="35F0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697256AB">
            <w:pPr>
              <w:pStyle w:val="32"/>
              <w:tabs>
                <w:tab w:val="left" w:pos="360"/>
              </w:tabs>
              <w:adjustRightInd w:val="0"/>
              <w:snapToGrid w:val="0"/>
              <w:spacing w:line="360" w:lineRule="auto"/>
              <w:ind w:firstLine="480" w:firstLineChars="200"/>
              <w:rPr>
                <w:rFonts w:cs="宋体"/>
                <w:bCs/>
                <w:snapToGrid w:val="0"/>
                <w:kern w:val="0"/>
                <w:sz w:val="24"/>
                <w:szCs w:val="24"/>
                <w:highlight w:val="none"/>
              </w:rPr>
            </w:pPr>
            <w:r>
              <w:rPr>
                <w:rFonts w:cs="宋体"/>
                <w:bCs/>
                <w:snapToGrid w:val="0"/>
                <w:kern w:val="0"/>
                <w:sz w:val="24"/>
                <w:szCs w:val="24"/>
                <w:highlight w:val="none"/>
              </w:rPr>
              <w:t>5</w:t>
            </w:r>
          </w:p>
        </w:tc>
        <w:tc>
          <w:tcPr>
            <w:tcW w:w="4511" w:type="dxa"/>
            <w:tcBorders>
              <w:top w:val="single" w:color="auto" w:sz="4" w:space="0"/>
              <w:left w:val="single" w:color="auto" w:sz="4" w:space="0"/>
              <w:bottom w:val="single" w:color="auto" w:sz="4" w:space="0"/>
              <w:right w:val="single" w:color="auto" w:sz="4" w:space="0"/>
            </w:tcBorders>
            <w:vAlign w:val="center"/>
          </w:tcPr>
          <w:p w14:paraId="60AE956F">
            <w:pPr>
              <w:pStyle w:val="32"/>
              <w:tabs>
                <w:tab w:val="left" w:pos="360"/>
              </w:tabs>
              <w:adjustRightInd w:val="0"/>
              <w:snapToGrid w:val="0"/>
              <w:spacing w:line="360" w:lineRule="auto"/>
              <w:ind w:firstLine="480" w:firstLineChars="200"/>
              <w:rPr>
                <w:rFonts w:cs="宋体"/>
                <w:bCs/>
                <w:snapToGrid w:val="0"/>
                <w:kern w:val="0"/>
                <w:sz w:val="24"/>
                <w:szCs w:val="24"/>
                <w:highlight w:val="none"/>
              </w:rPr>
            </w:pPr>
            <w:r>
              <w:rPr>
                <w:rFonts w:hint="eastAsia" w:cs="宋体"/>
                <w:bCs/>
                <w:snapToGrid w:val="0"/>
                <w:kern w:val="0"/>
                <w:sz w:val="24"/>
                <w:szCs w:val="24"/>
                <w:highlight w:val="none"/>
              </w:rPr>
              <w:t>经发包人审核书面同意后调换监理人员。</w:t>
            </w:r>
          </w:p>
        </w:tc>
        <w:tc>
          <w:tcPr>
            <w:tcW w:w="3065" w:type="dxa"/>
            <w:tcBorders>
              <w:top w:val="single" w:color="auto" w:sz="4" w:space="0"/>
              <w:left w:val="single" w:color="auto" w:sz="4" w:space="0"/>
              <w:bottom w:val="single" w:color="auto" w:sz="4" w:space="0"/>
              <w:right w:val="single" w:color="auto" w:sz="4" w:space="0"/>
            </w:tcBorders>
            <w:vAlign w:val="center"/>
          </w:tcPr>
          <w:p w14:paraId="78532329">
            <w:pPr>
              <w:pStyle w:val="32"/>
              <w:tabs>
                <w:tab w:val="left" w:pos="360"/>
              </w:tabs>
              <w:adjustRightInd w:val="0"/>
              <w:snapToGrid w:val="0"/>
              <w:spacing w:line="360" w:lineRule="auto"/>
              <w:ind w:firstLine="480" w:firstLineChars="200"/>
              <w:rPr>
                <w:rFonts w:cs="宋体"/>
                <w:bCs/>
                <w:snapToGrid w:val="0"/>
                <w:kern w:val="0"/>
                <w:sz w:val="24"/>
                <w:szCs w:val="24"/>
                <w:highlight w:val="none"/>
              </w:rPr>
            </w:pPr>
            <w:r>
              <w:rPr>
                <w:rFonts w:hint="eastAsia" w:cs="宋体"/>
                <w:bCs/>
                <w:snapToGrid w:val="0"/>
                <w:kern w:val="0"/>
                <w:sz w:val="24"/>
                <w:szCs w:val="24"/>
                <w:highlight w:val="none"/>
              </w:rPr>
              <w:t>监理人按1至4项对应调换人员承担减半违约金。</w:t>
            </w:r>
          </w:p>
        </w:tc>
      </w:tr>
    </w:tbl>
    <w:p w14:paraId="1E58FBBD">
      <w:pPr>
        <w:adjustRightInd w:val="0"/>
        <w:snapToGrid w:val="0"/>
        <w:spacing w:line="360" w:lineRule="auto"/>
        <w:ind w:firstLine="480" w:firstLineChars="200"/>
        <w:rPr>
          <w:rFonts w:ascii="宋体" w:cs="宋体"/>
          <w:bCs/>
          <w:snapToGrid w:val="0"/>
          <w:kern w:val="0"/>
          <w:sz w:val="24"/>
          <w:highlight w:val="none"/>
        </w:rPr>
      </w:pPr>
    </w:p>
    <w:p w14:paraId="78FFE337">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3、项目总监若需离开施工现场需报发包人批准，在其请假离开的时间段内应书面委托其他驻场监理工程师（需具有相应资质和能力）全权代表其行使职权；否则每违约一次，发包人将要求监理人承担1次一般违约责任。</w:t>
      </w:r>
    </w:p>
    <w:p w14:paraId="553AB770">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4、其他监理人员需离开施工现场1日以上需报发包人批准，在其请假离开的时间段内应书面委托其他驻场监理代表全权代表其行使相应职权；否则，每违约一次，发包人将要求监理人承担1次一般违约责任。</w:t>
      </w:r>
    </w:p>
    <w:p w14:paraId="66027F4D">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5、发包人可以对驻场监理人员进行考勤，如项目总监每月请假日数累计超过4日，监理人必须承担1次一般违约责任；如其他监理人员每月请假日数累计超过6日，且请假总人数全月累计超过监理人数的10%，监理人必须承担1次一般违约责任。</w:t>
      </w:r>
    </w:p>
    <w:p w14:paraId="7B722743">
      <w:pPr>
        <w:adjustRightInd w:val="0"/>
        <w:snapToGrid w:val="0"/>
        <w:spacing w:line="360" w:lineRule="auto"/>
        <w:ind w:firstLine="480" w:firstLineChars="200"/>
        <w:rPr>
          <w:rFonts w:ascii="宋体" w:cs="宋体"/>
          <w:sz w:val="24"/>
          <w:highlight w:val="none"/>
        </w:rPr>
      </w:pPr>
      <w:r>
        <w:rPr>
          <w:rFonts w:hint="eastAsia" w:ascii="宋体" w:cs="宋体"/>
          <w:bCs/>
          <w:snapToGrid w:val="0"/>
          <w:kern w:val="0"/>
          <w:sz w:val="24"/>
          <w:highlight w:val="none"/>
        </w:rPr>
        <w:t>6、发包人要求项目总监、项目总监代表等主要监理人员必须参加的会议，项目总监、项目总监代表等主要监理人员必须到会。未经发包人同意不到会或不按期到会的，应向发包人说明理由，拒不说明理由的，监理人应当承担1次一般违约责任。</w:t>
      </w:r>
    </w:p>
    <w:p w14:paraId="15F95DA5">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7、在发包人、建设行政主管部门组织的现场检查中，总监理工程师累计不在现场应每年应不超过两次，专业监理工程师累计不在现场每年应少于2次。否则，每发生一次，监理人承担1次一般违约责任。每发生二次，监理人承担严重违约责任1次。</w:t>
      </w:r>
    </w:p>
    <w:p w14:paraId="336E2784">
      <w:pPr>
        <w:adjustRightInd w:val="0"/>
        <w:spacing w:line="360" w:lineRule="auto"/>
        <w:ind w:firstLine="480" w:firstLineChars="200"/>
        <w:rPr>
          <w:rFonts w:ascii="宋体" w:cs="宋体"/>
          <w:bCs/>
          <w:sz w:val="24"/>
          <w:highlight w:val="none"/>
        </w:rPr>
      </w:pPr>
      <w:r>
        <w:rPr>
          <w:rFonts w:hint="eastAsia" w:ascii="宋体" w:cs="宋体"/>
          <w:bCs/>
          <w:sz w:val="24"/>
          <w:highlight w:val="none"/>
        </w:rPr>
        <w:t>8、发包人可要求监理人更换不能胜任本职工作的项目监理机构人员。每发生一次监理人拒不更换的，监理人必须承担1次一般违约责任；如监理人收到发包人通知超过7日仍未更换的，则监理人承担严重违约责任1次。</w:t>
      </w:r>
    </w:p>
    <w:p w14:paraId="4BB4A912">
      <w:pPr>
        <w:pStyle w:val="25"/>
        <w:adjustRightInd w:val="0"/>
        <w:snapToGrid w:val="0"/>
        <w:ind w:firstLine="480" w:firstLineChars="200"/>
        <w:jc w:val="both"/>
        <w:rPr>
          <w:rFonts w:ascii="宋体" w:cs="宋体"/>
          <w:bCs/>
          <w:snapToGrid w:val="0"/>
          <w:kern w:val="0"/>
          <w:sz w:val="24"/>
          <w:szCs w:val="24"/>
          <w:highlight w:val="none"/>
        </w:rPr>
      </w:pPr>
      <w:r>
        <w:rPr>
          <w:rFonts w:hint="eastAsia" w:ascii="宋体" w:cs="宋体"/>
          <w:bCs/>
          <w:sz w:val="24"/>
          <w:szCs w:val="24"/>
          <w:highlight w:val="none"/>
        </w:rPr>
        <w:t>9、</w:t>
      </w:r>
      <w:r>
        <w:rPr>
          <w:rFonts w:hint="eastAsia" w:ascii="宋体" w:cs="宋体"/>
          <w:sz w:val="24"/>
          <w:szCs w:val="24"/>
          <w:highlight w:val="none"/>
        </w:rPr>
        <w:t>检测仪器及设备等在监理责任期间，不能保持良好运作性能的，监理人应在发现问题之日起【1】日内更换或维修，使仪器及设备可正常使用，否则，每件每日支付1000元违约金。</w:t>
      </w:r>
    </w:p>
    <w:p w14:paraId="597BC7DD">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（四）履行监理职责方面的违约责任：</w:t>
      </w:r>
    </w:p>
    <w:p w14:paraId="25E5DF98">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监理人在自己职责范围内应当作出决定的事项故意拖延或者不作出明确的处理意见，发包人发出书面警告后，监理人在整改期限内仍不加以改正的，发包人有权要求监理人承担一般违约责任1次，造成损失的监理人应承担相应的责任。</w:t>
      </w:r>
    </w:p>
    <w:p w14:paraId="2E0FC142">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2、承包人未按承诺投入机械、设备、材料等，监理人对此不进行有效检查、督促、处理，不向发包人报告，被发包人发现后，发包人有权给予书面警告并限期改正，监理人拒不限期改正的，应承担1次一般违约责任。</w:t>
      </w:r>
    </w:p>
    <w:p w14:paraId="457291E0">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3、对于承包人每次进场材料，监理人不进行检查和登记；对已进场的材料，监理人不按有关规定及时进行抽查、送检的，每发生一次，监理人承担1次一般违约责任。如由此出现不合格材料使用于工程上并造成质量缺陷，监理人必须承担严重违约责任1次。</w:t>
      </w:r>
    </w:p>
    <w:p w14:paraId="06D0E5EE">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4、监理人在编制项目实施细则中，应按监理规范列明需监理人旁站的工序，并应得到发包人的批准。工程施工过程中，需要监理人进行旁站监督的，监理人没有到场，或者到场后没有进行监督，或发现质量问题后没有及时处理，没有向发包人报告，发包人有权给予书面警告并限期改正，监理人拒不限期改正的，应承担1次一般违约责任。</w:t>
      </w:r>
    </w:p>
    <w:p w14:paraId="67F6AA1E">
      <w:pPr>
        <w:adjustRightInd w:val="0"/>
        <w:snapToGrid w:val="0"/>
        <w:spacing w:line="360" w:lineRule="auto"/>
        <w:ind w:firstLine="480" w:firstLineChars="200"/>
        <w:rPr>
          <w:rFonts w:ascii="宋体" w:cs="宋体"/>
          <w:sz w:val="24"/>
          <w:highlight w:val="none"/>
        </w:rPr>
      </w:pPr>
      <w:r>
        <w:rPr>
          <w:rFonts w:hint="eastAsia" w:ascii="宋体" w:cs="宋体"/>
          <w:bCs/>
          <w:snapToGrid w:val="0"/>
          <w:kern w:val="0"/>
          <w:sz w:val="24"/>
          <w:highlight w:val="none"/>
        </w:rPr>
        <w:t>5、监理人对承包人的施工质量应每月定期或不定期组织大检查并作出报告给发包人。承包人的施工质量经监理人检验为合格，但经发包人或工程质量监督机构抽查，发现质量有不合格或未按设计要求和有关规范进行施工的，监理人应承担一般违约1次，情节严重的承担严重违约责任1次，同时，承包人和监理人应赔偿发包人的经济损失。</w:t>
      </w:r>
    </w:p>
    <w:p w14:paraId="0B44BA1E">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6、监理人怠于履行工程质量控制监理工作，导致工程质量事故或</w:t>
      </w:r>
      <w:r>
        <w:rPr>
          <w:rFonts w:hint="eastAsia" w:ascii="宋体" w:cs="宋体"/>
          <w:bCs/>
          <w:sz w:val="24"/>
          <w:highlight w:val="none"/>
        </w:rPr>
        <w:t>造成损失超过人民币50万元的</w:t>
      </w:r>
      <w:r>
        <w:rPr>
          <w:rFonts w:hint="eastAsia" w:ascii="宋体" w:cs="宋体"/>
          <w:bCs/>
          <w:snapToGrid w:val="0"/>
          <w:kern w:val="0"/>
          <w:sz w:val="24"/>
          <w:highlight w:val="none"/>
        </w:rPr>
        <w:t>，每发生一次，监理人承担严重违约责任1次。工程出现其他质量问题或缺陷</w:t>
      </w:r>
      <w:r>
        <w:rPr>
          <w:rFonts w:hint="eastAsia" w:ascii="宋体" w:cs="宋体"/>
          <w:bCs/>
          <w:sz w:val="24"/>
          <w:highlight w:val="none"/>
        </w:rPr>
        <w:t>或缺陷造成损失超过人民币50万元以下的</w:t>
      </w:r>
      <w:r>
        <w:rPr>
          <w:rFonts w:hint="eastAsia" w:ascii="宋体" w:cs="宋体"/>
          <w:bCs/>
          <w:snapToGrid w:val="0"/>
          <w:kern w:val="0"/>
          <w:sz w:val="24"/>
          <w:highlight w:val="none"/>
        </w:rPr>
        <w:t>，监理人负有责任的，每发生一次，监理人承担一般违约责任1次。工程发生重大质量、安全事故，监理人负有责任的，发包人有权视情况的严重程度要求监理人承担违约责任，直至部分或全部解除合同。</w:t>
      </w:r>
    </w:p>
    <w:p w14:paraId="4C6CD447">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7、由于监理人应当预见而未能及时预见，或已经预见但未及时向发包人报告，或未及时提出有效的整改措施，或未及时向承包人发出整改通知并积极督促承包人实施整改而对整个工程的按期完工不能起到有效监管作用，致使工程施工的关键工期比计划滞后3日以上（含3日）的，监理人必须承担一般违约责任1次；出现关键工期滞后5天以上（含5天）的，监理人必须承担严重违约责任1次；出现关键线路工期滞后10天以上（含10天）的，发包人有权部分或全部解除合同。</w:t>
      </w:r>
    </w:p>
    <w:p w14:paraId="6CA285B2">
      <w:pPr>
        <w:adjustRightInd w:val="0"/>
        <w:snapToGrid w:val="0"/>
        <w:spacing w:line="360" w:lineRule="auto"/>
        <w:ind w:firstLine="480" w:firstLineChars="200"/>
        <w:rPr>
          <w:rFonts w:ascii="宋体" w:cs="宋体"/>
          <w:bCs/>
          <w:sz w:val="24"/>
          <w:highlight w:val="none"/>
        </w:rPr>
      </w:pPr>
      <w:r>
        <w:rPr>
          <w:rFonts w:hint="eastAsia" w:ascii="宋体" w:cs="宋体"/>
          <w:bCs/>
          <w:snapToGrid w:val="0"/>
          <w:kern w:val="0"/>
          <w:sz w:val="24"/>
          <w:highlight w:val="none"/>
        </w:rPr>
        <w:t>8、对于承包人提交的现场签证资料，监理人未有准确、真实的现场原始记录或不进行现场复核就给予签认，经发包人检查，发现签认的文件有误的，除立即改正外，监理人承担一般违约责任1次；对签证错误有可能给发包人造成直接经济损失10万元（含10万元）以上的，按严重违约1次处理；如因监理人故意造成的，则按本合同专用条款</w:t>
      </w:r>
      <w:r>
        <w:rPr>
          <w:rFonts w:hint="eastAsia" w:ascii="宋体" w:cs="宋体"/>
          <w:bCs/>
          <w:sz w:val="24"/>
          <w:highlight w:val="none"/>
        </w:rPr>
        <w:t>第二十六条（一）款6项执行；对于现场签证（含工程数量、单价等）未经过监理人注册造价工程师审核、或经过注册造价工程师审核但未在规定时间内报送发包人，除必须立即改正外，每累计出现2次，监理人必须承担一般违约责任1次。</w:t>
      </w:r>
    </w:p>
    <w:p w14:paraId="7B03BC6A">
      <w:pPr>
        <w:adjustRightInd w:val="0"/>
        <w:snapToGrid w:val="0"/>
        <w:spacing w:line="360" w:lineRule="auto"/>
        <w:ind w:firstLine="480" w:firstLineChars="200"/>
        <w:rPr>
          <w:rFonts w:ascii="宋体" w:cs="宋体"/>
          <w:bCs/>
          <w:sz w:val="24"/>
          <w:highlight w:val="none"/>
        </w:rPr>
      </w:pPr>
      <w:r>
        <w:rPr>
          <w:rFonts w:hint="eastAsia" w:ascii="宋体" w:cs="宋体"/>
          <w:bCs/>
          <w:sz w:val="24"/>
          <w:highlight w:val="none"/>
        </w:rPr>
        <w:t>9、对承包人提交的施工方案、设计变更以及施工图、深化设计图等技术文件，监理人对其中明显不符合现场实际的部分，或者与招投标文件不符、会引起发包人投资增加、工期延误的部分，不进行认真审核、不进行优化就给予同意的，除必须限期改正外，每发生一次，监理人必须承担1次一般违约责任，情节严重的（造成损失人民币【1】万元（含）以上的），发包人可要求监理人承担严重违约责任。对承包人提交的施工方案、设计变更等技术文件，监理人应当在3日内予以批复，监理人未及时批复的，视延误程度，监理人承担一般违约责任1次或严重违约程度1次（延误【3】天（含）以上）；须转报发包人审批的，监理人应在3日内出具审核意见报发包人，监理人未在3日内报发包人或未出具审核意见的，监理人除必须限期改正外，监理人必须承担一般违约责任1次。承包人提交给监理人审核的资料或文件存在错误须承包人改正的，监理人应将所有错误一次性要求承包人改正，监理人要求承包人反复修改的，发包人有权给予书面警告并限期改正，监理人拒不限期改正的，应承担1次一般违约责任。</w:t>
      </w:r>
    </w:p>
    <w:p w14:paraId="46DEB3CE">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10、监理单位未履行本合同约定的文明施工管理责任的，发包人可发出书面警告要求其限期改正，发包人发出书面警告后，监理人在整改期限内仍不加以改正的，每发生一次，监理单位承担一次一般违约责任。</w:t>
      </w:r>
    </w:p>
    <w:p w14:paraId="54511CD1">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11、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1次，情节严重的应承担严重违约责任1次，给发包人造成损失的，应当赔偿损失。</w:t>
      </w:r>
    </w:p>
    <w:p w14:paraId="560E0ACA">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12、对于承包人提交的请款报告，监理人不按实际完成的工作量进行审核，或不按本合同要求签署拨款意见，被审查发现后，必须限期改正，如监理人审核的当期支付金额超过经过发包人复核的实际应付金额5％以上的，监理人必须承担一般违约责任1次，超过10%的，应承担严重违约责任1次。若由此给发包人造成50万元以上（含50万元）损失的，监理人除必须承担相应的经济赔偿外，发包人将视情况部分或全部解除合同。</w:t>
      </w:r>
    </w:p>
    <w:p w14:paraId="2BD0FD9A">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13、监理人同时发生本合同专用条款第二十六条（四）款8、9、11、12项约定的违约行为且情节严重的，视同监理人和承包人串通作假，发包人有权单方解除合同，造成发包人损失的，发包人有权按本合同专用条款第二十六条（一）款6项的约定要求监理人承担赔偿责任。</w:t>
      </w:r>
    </w:p>
    <w:p w14:paraId="0CD2FF5E">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14、监理人应设立专职安全管理人员，督促承包人建立安全生产保障体系，并要求各施工标段设立专职安全员，将安全责任制度落实到人。监理人应每月定期或不定期组织安全文明施工大检查，并将检查结果向发包人报告。承包人没有做好安全文明施工措施，没有按有关规定做到安全生产，或存在安全隐患，监理人未及时发现、不督促承包人进行整改，不作及时处理，不及时向发包人报告，被发包人发现后，发包人有权给予书面警告并限期改正，监理人拒不限期改正的，应承担1次一般违约责任。由此而发生安全生产事故，或被上级主管部门通报批评、被新闻媒体曝光的，监理人应承担严重违约责任1次；情节严重的，发包人有权部分或全部解除合同。</w:t>
      </w:r>
    </w:p>
    <w:p w14:paraId="6CD3C2D2">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15、</w:t>
      </w:r>
      <w:r>
        <w:rPr>
          <w:rFonts w:hint="eastAsia" w:ascii="宋体" w:cs="宋体"/>
          <w:sz w:val="24"/>
          <w:highlight w:val="none"/>
        </w:rPr>
        <w:t>本项目实施过程中，若发生重大安全责任事故，经核实监理单人负有管理责任的，监理人按每发生一次计人民币十万元承担违约责任。违约金按实际发生计算，没有上限。</w:t>
      </w:r>
    </w:p>
    <w:p w14:paraId="336DE600">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16、监理人因在施工过程中发出错误指令、越权审批设计变更及其他因监理人自身失误或失职原因导致本合同工程在投资、工期、质量等方面给发包人造成损失的，发包人将要求监理人进行赔偿。具体约定为：</w:t>
      </w:r>
    </w:p>
    <w:p w14:paraId="04D3B50D">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因监理人原因造成工程投资增加的，发包人将根据工程投资的增加额与原计划投资额的比例，按相应比例双倍扣减监理报酬；若增加工程投资比例超过原计划投资额的20%时，发包人有权单方解除本合同，并要求监理人赔偿发包人由此遭受的实际损失中的50%。</w:t>
      </w:r>
    </w:p>
    <w:p w14:paraId="1BAE334E">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2）因监理人责任导致工期延误，其中分段工期延误日数占该段总工期的30%时，则发包人有权扣除该分段工程监理报酬的60%；分段工期延误日数达到该段总工期的50%时，则发包人有权单方解除本合同。因监理人责任导致工程竣工拖延的，依据拖延的日数，监理人应每日按监理报酬总额的0.05%向发包人支付违约金。由于监理人责任导致工期延误，致使发包人要承担赔偿第三方责任的，监理人必须承担赔偿发包人由此遭受的实际损失。</w:t>
      </w:r>
    </w:p>
    <w:p w14:paraId="2537BA36">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3）因监理人责任造成质量事故，需要返工的，监理人应承担1次严重违约责任并双倍扣减该部分的监理报酬，同时监理人应赔偿发包人的实际损失；情节严重的，发包人有权单方面解除合同，并有权要求监理人赔偿发包人由此遭受的经济损失。</w:t>
      </w:r>
    </w:p>
    <w:p w14:paraId="4088F961">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17、对于工程施工过程中出现的工程变更，如当月由发包人确定的工程变更的单价或总价较监理人审定的单价或总价存在正负10%以上的情况累计出现2宗以上（含2宗），监理人应当承担1次一般违约责任。</w:t>
      </w:r>
    </w:p>
    <w:p w14:paraId="620EF2E5">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18、对于承包人不按时</w:t>
      </w:r>
      <w:r>
        <w:rPr>
          <w:rFonts w:hint="eastAsia" w:ascii="宋体" w:cs="宋体"/>
          <w:snapToGrid w:val="0"/>
          <w:kern w:val="0"/>
          <w:sz w:val="24"/>
          <w:highlight w:val="none"/>
        </w:rPr>
        <w:t>提交工程结算文件，监理人不按合同约定采取有效措施的，监理人应承担1次一般违约责任。</w:t>
      </w:r>
      <w:r>
        <w:rPr>
          <w:rFonts w:hint="eastAsia" w:ascii="宋体" w:cs="宋体"/>
          <w:sz w:val="24"/>
          <w:highlight w:val="none"/>
        </w:rPr>
        <w:t>监理人应在收到</w:t>
      </w:r>
      <w:r>
        <w:rPr>
          <w:rFonts w:hint="eastAsia" w:ascii="宋体" w:cs="宋体"/>
          <w:sz w:val="24"/>
          <w:highlight w:val="none"/>
          <w:lang w:val="en-US" w:eastAsia="zh-CN"/>
        </w:rPr>
        <w:t>承包人</w:t>
      </w:r>
      <w:r>
        <w:rPr>
          <w:rFonts w:hint="eastAsia" w:ascii="宋体" w:cs="宋体"/>
          <w:sz w:val="24"/>
          <w:highlight w:val="none"/>
        </w:rPr>
        <w:t>报送的结算书及必要的支持材料后10日内完成结算书初审工作，并上报发包人审核。否则，每拖延一天，支付2000元违约金，以此累计。</w:t>
      </w:r>
    </w:p>
    <w:p w14:paraId="1D268E63">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19、监理人根据合同约定对承包人提交的工程造价文件进行审核，如最终由</w:t>
      </w:r>
      <w:r>
        <w:rPr>
          <w:rFonts w:hint="eastAsia" w:ascii="宋体" w:cs="宋体"/>
          <w:bCs/>
          <w:snapToGrid w:val="0"/>
          <w:kern w:val="0"/>
          <w:sz w:val="24"/>
          <w:highlight w:val="none"/>
          <w:lang w:val="en-US" w:eastAsia="zh-CN"/>
        </w:rPr>
        <w:t>发包人或</w:t>
      </w:r>
      <w:r>
        <w:rPr>
          <w:rFonts w:hint="eastAsia" w:ascii="宋体" w:cs="宋体"/>
          <w:bCs/>
          <w:snapToGrid w:val="0"/>
          <w:kern w:val="0"/>
          <w:sz w:val="24"/>
          <w:highlight w:val="none"/>
        </w:rPr>
        <w:t>区财政局审定的金额较由监理人审定的金额的差值大于正负5%，则由监理人按下列计算方法向发包人支付违约金，最多不超过本合同监理报酬总额的10%：</w:t>
      </w:r>
    </w:p>
    <w:p w14:paraId="74B1795F">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违约金=[ㄧ（A－B）/Bㄧ-5%]×C</w:t>
      </w:r>
    </w:p>
    <w:p w14:paraId="07647386">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其中：A-监理人审定的工程金额；</w:t>
      </w:r>
    </w:p>
    <w:p w14:paraId="7317C024">
      <w:pPr>
        <w:adjustRightInd w:val="0"/>
        <w:snapToGrid w:val="0"/>
        <w:spacing w:line="360" w:lineRule="auto"/>
        <w:ind w:firstLine="480" w:firstLineChars="200"/>
        <w:rPr>
          <w:rFonts w:ascii="宋体" w:cs="宋体"/>
          <w:bCs/>
          <w:snapToGrid w:val="0"/>
          <w:kern w:val="0"/>
          <w:sz w:val="24"/>
          <w:highlight w:val="none"/>
        </w:rPr>
      </w:pPr>
      <w:r>
        <w:rPr>
          <w:rFonts w:ascii="宋体" w:cs="宋体"/>
          <w:bCs/>
          <w:snapToGrid w:val="0"/>
          <w:kern w:val="0"/>
          <w:sz w:val="24"/>
          <w:highlight w:val="none"/>
        </w:rPr>
        <w:t>B-</w:t>
      </w:r>
      <w:r>
        <w:rPr>
          <w:rFonts w:hint="eastAsia" w:ascii="宋体" w:cs="宋体"/>
          <w:bCs/>
          <w:snapToGrid w:val="0"/>
          <w:kern w:val="0"/>
          <w:sz w:val="24"/>
          <w:highlight w:val="none"/>
          <w:lang w:val="en-US" w:eastAsia="zh-CN"/>
        </w:rPr>
        <w:t>发包人或</w:t>
      </w:r>
      <w:r>
        <w:rPr>
          <w:rFonts w:hint="eastAsia" w:ascii="宋体" w:cs="宋体"/>
          <w:bCs/>
          <w:snapToGrid w:val="0"/>
          <w:kern w:val="0"/>
          <w:sz w:val="24"/>
          <w:highlight w:val="none"/>
        </w:rPr>
        <w:t>区财政局</w:t>
      </w:r>
      <w:r>
        <w:rPr>
          <w:rFonts w:hint="eastAsia" w:ascii="宋体" w:cs="宋体"/>
          <w:bCs/>
          <w:snapToGrid w:val="0"/>
          <w:kern w:val="0"/>
          <w:sz w:val="24"/>
          <w:highlight w:val="none"/>
          <w:lang w:val="en-US" w:eastAsia="zh-CN"/>
        </w:rPr>
        <w:t>审定</w:t>
      </w:r>
      <w:r>
        <w:rPr>
          <w:rFonts w:hint="eastAsia" w:ascii="宋体" w:cs="宋体"/>
          <w:bCs/>
          <w:snapToGrid w:val="0"/>
          <w:kern w:val="0"/>
          <w:sz w:val="24"/>
          <w:highlight w:val="none"/>
        </w:rPr>
        <w:t>的工程金额；</w:t>
      </w:r>
    </w:p>
    <w:p w14:paraId="17C78138">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C-监理合同报酬总额。</w:t>
      </w:r>
    </w:p>
    <w:p w14:paraId="5986C35A">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（五）其他方面的违约责任：</w:t>
      </w:r>
    </w:p>
    <w:p w14:paraId="2B547432">
      <w:pPr>
        <w:adjustRightInd w:val="0"/>
        <w:snapToGrid w:val="0"/>
        <w:spacing w:line="360" w:lineRule="auto"/>
        <w:ind w:firstLine="480" w:firstLineChars="200"/>
        <w:rPr>
          <w:rFonts w:ascii="宋体" w:cs="宋体"/>
          <w:sz w:val="24"/>
          <w:highlight w:val="none"/>
        </w:rPr>
      </w:pPr>
      <w:r>
        <w:rPr>
          <w:rFonts w:hint="eastAsia" w:ascii="宋体" w:cs="宋体"/>
          <w:bCs/>
          <w:snapToGrid w:val="0"/>
          <w:kern w:val="0"/>
          <w:sz w:val="24"/>
          <w:highlight w:val="none"/>
        </w:rPr>
        <w:t>1、监理人必须加强对监理人员职业操守、廉政建设的培训和教育，本项目监理人员利用职业身份“吃、拿、卡、要”或有其他违反职业操守及廉政建设相关规定的，一经查实，监理人应立即清退该监理人员，并承担1次严重违约，情节严重的，发包人有权部分或全部解除合同并有权向有关部门反映情况，同时将上述违反职业道德的行为通过新闻媒体公诸于众，情节严重者移交司法机关追究法律责任。</w:t>
      </w:r>
    </w:p>
    <w:p w14:paraId="3ECB2F99">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sz w:val="24"/>
          <w:highlight w:val="none"/>
        </w:rPr>
        <w:t>2、工程监理资料收集不齐、管理混乱的，监理人承担一般违约责任；缺损原始记</w:t>
      </w:r>
      <w:r>
        <w:rPr>
          <w:rFonts w:hint="eastAsia" w:ascii="宋体" w:cs="宋体"/>
          <w:bCs/>
          <w:snapToGrid w:val="0"/>
          <w:kern w:val="0"/>
          <w:sz w:val="24"/>
          <w:highlight w:val="none"/>
        </w:rPr>
        <w:t>录的，每件文件扣减1000元监理费。</w:t>
      </w:r>
    </w:p>
    <w:p w14:paraId="1EA02D82">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3、除上述约定之外，监理人有违反合同约定的其他义务的，均构成违约，发包人有权视具体情况给予书面警告并限期改正，监理人拒不限期改正的，应承担1次一般违约责任，情节严重的，应承担1次严重违约责任。</w:t>
      </w:r>
    </w:p>
    <w:p w14:paraId="3C585AA5">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4、除上述约定之外，监理人有违反合同约定的其他义务的，均构成违约，发包人有权视具体情况给予书面警告并限期改正，监理人拒不限期改正的，应承担1次一般违约责任，情节严重的，应承担1次严重违约责任。</w:t>
      </w:r>
    </w:p>
    <w:p w14:paraId="254E0B5F">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5、监理人应严格遵守发包人制定的建设工程第三方质量安全评估服务相关管理办法，配合完成第三方</w:t>
      </w:r>
      <w:r>
        <w:rPr>
          <w:rFonts w:hint="eastAsia" w:ascii="宋体" w:cs="宋体"/>
          <w:bCs/>
          <w:sz w:val="24"/>
          <w:highlight w:val="none"/>
        </w:rPr>
        <w:t>质量</w:t>
      </w:r>
      <w:r>
        <w:rPr>
          <w:rFonts w:hint="eastAsia" w:ascii="宋体" w:cs="宋体"/>
          <w:bCs/>
          <w:snapToGrid w:val="0"/>
          <w:kern w:val="0"/>
          <w:sz w:val="24"/>
          <w:highlight w:val="none"/>
        </w:rPr>
        <w:t>安全评估工作。根据每次评估结果，经评估确定为一般违约情况的，监理人应按合同约定承担一次一般违约责任；经评估确定为严重违约情况的，监理人应按合同约定承担一次严重违约责任。</w:t>
      </w:r>
    </w:p>
    <w:p w14:paraId="6E93C18A">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6、在本合同期内或本合同终止后，未征得发包人的书面同意，监理人不得泄露监理过程中获取的发包人的技术和经济资料，</w:t>
      </w:r>
      <w:r>
        <w:rPr>
          <w:rFonts w:hint="eastAsia" w:ascii="宋体" w:cs="宋体"/>
          <w:bCs/>
          <w:sz w:val="24"/>
          <w:highlight w:val="none"/>
        </w:rPr>
        <w:t>不得泄露与本合同工程、本合同业务有关的保密资料，</w:t>
      </w:r>
      <w:r>
        <w:rPr>
          <w:rFonts w:hint="eastAsia" w:ascii="宋体" w:cs="宋体"/>
          <w:bCs/>
          <w:snapToGrid w:val="0"/>
          <w:kern w:val="0"/>
          <w:sz w:val="24"/>
          <w:highlight w:val="none"/>
        </w:rPr>
        <w:t>也不得泄露施工单位等提供并申明的保密资料。</w:t>
      </w:r>
    </w:p>
    <w:p w14:paraId="217EF2DD">
      <w:pPr>
        <w:adjustRightInd w:val="0"/>
        <w:snapToGrid w:val="0"/>
        <w:spacing w:line="360" w:lineRule="auto"/>
        <w:ind w:firstLine="480" w:firstLineChars="200"/>
        <w:rPr>
          <w:rFonts w:ascii="宋体" w:cs="宋体"/>
          <w:sz w:val="24"/>
          <w:highlight w:val="none"/>
        </w:rPr>
      </w:pPr>
      <w:r>
        <w:rPr>
          <w:rFonts w:hint="eastAsia" w:ascii="宋体" w:cs="宋体"/>
          <w:bCs/>
          <w:snapToGrid w:val="0"/>
          <w:kern w:val="0"/>
          <w:sz w:val="24"/>
          <w:highlight w:val="none"/>
        </w:rPr>
        <w:t>7、发包人因主张赔偿而支出的律师费、公证费、取证费等费用均应包含在损失赔偿之内。</w:t>
      </w:r>
    </w:p>
    <w:p w14:paraId="3FF693C6">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六）发包人以书面形式作出的违约处理决定一经送达监理人立即生效。监理人如有足够证据证明不应由其承担违约责任的，应在收到违约处理决定后3天内以书面形式向发包人提出异议并附上有关证据；发包人在收到监理人的异议后15天内审核完毕且作出书面决定并通知监理人。</w:t>
      </w:r>
    </w:p>
    <w:p w14:paraId="23E2CFEE">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 xml:space="preserve">第二十七条 </w:t>
      </w:r>
      <w:r>
        <w:rPr>
          <w:rFonts w:hint="eastAsia" w:ascii="宋体" w:cs="宋体"/>
          <w:snapToGrid w:val="0"/>
          <w:kern w:val="0"/>
          <w:sz w:val="24"/>
          <w:highlight w:val="none"/>
        </w:rPr>
        <w:t>各方一致同意不适用本合同标准条款第二十七条的约定，承包人对质量和工期的违约，如监理人存在过错的，应按本合同相关约定承担违约责任。</w:t>
      </w:r>
    </w:p>
    <w:p w14:paraId="732DE70B">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第三十一条</w:t>
      </w:r>
      <w:r>
        <w:rPr>
          <w:rFonts w:hint="eastAsia" w:ascii="宋体" w:cs="宋体"/>
          <w:snapToGrid w:val="0"/>
          <w:kern w:val="0"/>
          <w:sz w:val="24"/>
          <w:highlight w:val="none"/>
        </w:rPr>
        <w:t xml:space="preserve"> 各方一致同意不适用本合同标准条款第三十一条的约定，由于发包人或承包人的原因使监理工作受到阻碍或延误，则监理人应当将此情况与可能产生的影响及时通知发包人，完成监理业务的时间相应延长，监理人的报酬不变。</w:t>
      </w:r>
    </w:p>
    <w:p w14:paraId="4F494D9B">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第三十二条</w:t>
      </w:r>
      <w:r>
        <w:rPr>
          <w:rFonts w:hint="eastAsia" w:ascii="宋体" w:cs="宋体"/>
          <w:snapToGrid w:val="0"/>
          <w:kern w:val="0"/>
          <w:sz w:val="24"/>
          <w:highlight w:val="none"/>
        </w:rPr>
        <w:t xml:space="preserve"> 各方一致同意不适用本合同标准条款第三十二条的约定，在实际情况发生变化，使得监理人不能全部或部分执行监理业务时，监理人应当立即通知发包人，该监理业务的完成时间应予延长。当恢复执行监理业务时，监理人应当立即恢复执行监理业务，监理人的报酬不变。</w:t>
      </w:r>
    </w:p>
    <w:p w14:paraId="47B75B83">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第三十三条</w:t>
      </w:r>
      <w:r>
        <w:rPr>
          <w:rFonts w:hint="eastAsia" w:ascii="宋体" w:cs="宋体"/>
          <w:snapToGrid w:val="0"/>
          <w:kern w:val="0"/>
          <w:sz w:val="24"/>
          <w:highlight w:val="none"/>
        </w:rPr>
        <w:t xml:space="preserve"> 各方一致同意不适用本合同标准条款第三十三条的约定，本合同的有效期一直至本合同工程保修期间届满且竣工结算完成并同时各方的责任、义务履行完毕时才终止。本合同工程保修期间，监理人仍须承担监理责任。</w:t>
      </w:r>
    </w:p>
    <w:p w14:paraId="78EB1D4F">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第三十四条</w:t>
      </w:r>
      <w:r>
        <w:rPr>
          <w:rFonts w:hint="eastAsia" w:ascii="宋体" w:cs="宋体"/>
          <w:snapToGrid w:val="0"/>
          <w:kern w:val="0"/>
          <w:sz w:val="24"/>
          <w:highlight w:val="none"/>
        </w:rPr>
        <w:t xml:space="preserve"> 各方一致同意不适用本合同标准条款第三十四条的约定，本合同未经各方协商一致，不得变更或解除。发包人根据本合同的约定单方面部分或全部解除本合同的，自发包人书面通知监理人时起部分或全部解除本合同即生效。</w:t>
      </w:r>
    </w:p>
    <w:p w14:paraId="1E4BBD1F">
      <w:pPr>
        <w:adjustRightInd w:val="0"/>
        <w:snapToGrid w:val="0"/>
        <w:spacing w:line="360" w:lineRule="auto"/>
        <w:ind w:firstLine="480" w:firstLineChars="200"/>
        <w:rPr>
          <w:rFonts w:ascii="宋体" w:cs="宋体"/>
          <w:b/>
          <w:bCs/>
          <w:snapToGrid w:val="0"/>
          <w:kern w:val="0"/>
          <w:sz w:val="24"/>
          <w:highlight w:val="none"/>
        </w:rPr>
      </w:pPr>
      <w:r>
        <w:rPr>
          <w:rFonts w:hint="eastAsia" w:ascii="宋体" w:cs="宋体"/>
          <w:snapToGrid w:val="0"/>
          <w:kern w:val="0"/>
          <w:sz w:val="24"/>
          <w:highlight w:val="none"/>
        </w:rPr>
        <w:t>本合同的修改（包括服务范围的修改），只能以各方书面同意的方式进行。</w:t>
      </w:r>
    </w:p>
    <w:p w14:paraId="06FFA849">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第三十五条</w:t>
      </w:r>
      <w:r>
        <w:rPr>
          <w:rFonts w:hint="eastAsia" w:ascii="宋体" w:cs="宋体"/>
          <w:snapToGrid w:val="0"/>
          <w:kern w:val="0"/>
          <w:sz w:val="24"/>
          <w:highlight w:val="none"/>
        </w:rPr>
        <w:t xml:space="preserve"> 各方一致同意不适用本合同标准条款第三十五条的约定。</w:t>
      </w:r>
    </w:p>
    <w:p w14:paraId="0F6C6147">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第三十六条</w:t>
      </w:r>
      <w:r>
        <w:rPr>
          <w:rFonts w:hint="eastAsia" w:ascii="宋体" w:cs="宋体"/>
          <w:snapToGrid w:val="0"/>
          <w:kern w:val="0"/>
          <w:sz w:val="24"/>
          <w:highlight w:val="none"/>
        </w:rPr>
        <w:t xml:space="preserve"> 各方一致同意不适用本合同标准条款第三十六条的约定。</w:t>
      </w:r>
    </w:p>
    <w:p w14:paraId="77CF3E44">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第三十七条</w:t>
      </w:r>
      <w:r>
        <w:rPr>
          <w:rFonts w:hint="eastAsia" w:ascii="宋体" w:cs="宋体"/>
          <w:snapToGrid w:val="0"/>
          <w:kern w:val="0"/>
          <w:sz w:val="24"/>
          <w:highlight w:val="none"/>
        </w:rPr>
        <w:t xml:space="preserve"> 各方一致同意不适用本合同标准条款第三十七条的约定，当监理人无正当理由而又未履行监理义务时，按本合同专用条款第二十六条的约定处理。</w:t>
      </w:r>
    </w:p>
    <w:p w14:paraId="06B5B13E">
      <w:pPr>
        <w:adjustRightInd w:val="0"/>
        <w:snapToGrid w:val="0"/>
        <w:spacing w:line="360" w:lineRule="auto"/>
        <w:ind w:firstLine="482" w:firstLineChars="200"/>
        <w:rPr>
          <w:rFonts w:ascii="宋体" w:cs="宋体"/>
          <w:bCs/>
          <w:snapToGrid w:val="0"/>
          <w:kern w:val="0"/>
          <w:sz w:val="24"/>
          <w:highlight w:val="none"/>
        </w:rPr>
      </w:pPr>
      <w:r>
        <w:rPr>
          <w:rFonts w:hint="eastAsia" w:ascii="宋体" w:cs="宋体"/>
          <w:b/>
          <w:bCs/>
          <w:snapToGrid w:val="0"/>
          <w:kern w:val="0"/>
          <w:sz w:val="24"/>
          <w:highlight w:val="none"/>
        </w:rPr>
        <w:t xml:space="preserve">第三十九条 </w:t>
      </w:r>
      <w:r>
        <w:rPr>
          <w:rFonts w:hint="eastAsia" w:ascii="宋体" w:cs="宋体"/>
          <w:bCs/>
          <w:snapToGrid w:val="0"/>
          <w:kern w:val="0"/>
          <w:sz w:val="24"/>
          <w:highlight w:val="none"/>
        </w:rPr>
        <w:t>各方一致同意不适用本合同标准条款第三十九条的约定，监理报酬的计算方法、支付时间与金额按本条以下约定执行：</w:t>
      </w:r>
    </w:p>
    <w:p w14:paraId="35CE98D9">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（一）监理报酬的计取</w:t>
      </w:r>
    </w:p>
    <w:p w14:paraId="3FD1FB2A">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snapToGrid w:val="0"/>
          <w:kern w:val="0"/>
          <w:sz w:val="24"/>
          <w:highlight w:val="none"/>
        </w:rPr>
        <w:t>1、</w:t>
      </w:r>
      <w:r>
        <w:rPr>
          <w:rFonts w:hint="eastAsia" w:ascii="宋体" w:cs="宋体"/>
          <w:bCs/>
          <w:snapToGrid w:val="0"/>
          <w:kern w:val="0"/>
          <w:sz w:val="24"/>
          <w:highlight w:val="none"/>
        </w:rPr>
        <w:t>本工程暂定监理含税合同价为</w:t>
      </w:r>
      <w:r>
        <w:rPr>
          <w:rFonts w:ascii="宋体" w:cs="宋体"/>
          <w:snapToGrid w:val="0"/>
          <w:kern w:val="0"/>
          <w:sz w:val="24"/>
          <w:highlight w:val="none"/>
          <w:u w:val="single"/>
          <w:lang w:val="zh-CN"/>
        </w:rPr>
        <w:t xml:space="preserve"> </w:t>
      </w:r>
      <w:r>
        <w:rPr>
          <w:rFonts w:ascii="宋体" w:cs="宋体"/>
          <w:snapToGrid w:val="0"/>
          <w:kern w:val="0"/>
          <w:sz w:val="24"/>
          <w:highlight w:val="none"/>
          <w:u w:val="single"/>
        </w:rPr>
        <w:t xml:space="preserve">   </w:t>
      </w:r>
      <w:r>
        <w:rPr>
          <w:rFonts w:ascii="宋体" w:cs="宋体"/>
          <w:snapToGrid w:val="0"/>
          <w:kern w:val="0"/>
          <w:sz w:val="24"/>
          <w:highlight w:val="none"/>
          <w:u w:val="single"/>
          <w:lang w:val="zh-CN"/>
        </w:rPr>
        <w:t xml:space="preserve">  </w:t>
      </w:r>
      <w:r>
        <w:rPr>
          <w:rFonts w:hint="eastAsia" w:ascii="宋体" w:cs="宋体"/>
          <w:bCs/>
          <w:snapToGrid w:val="0"/>
          <w:kern w:val="0"/>
          <w:sz w:val="24"/>
          <w:highlight w:val="none"/>
        </w:rPr>
        <w:t>元。暂按</w:t>
      </w:r>
      <w:r>
        <w:rPr>
          <w:rFonts w:hint="eastAsia" w:ascii="宋体" w:cs="宋体"/>
          <w:bCs/>
          <w:snapToGrid w:val="0"/>
          <w:kern w:val="0"/>
          <w:sz w:val="24"/>
          <w:highlight w:val="none"/>
          <w:lang w:val="en-US" w:eastAsia="zh-CN"/>
        </w:rPr>
        <w:t>概算建安费</w:t>
      </w:r>
      <w:r>
        <w:rPr>
          <w:rFonts w:hint="eastAsia" w:ascii="宋体" w:cs="宋体"/>
          <w:bCs/>
          <w:snapToGrid w:val="0"/>
          <w:kern w:val="0"/>
          <w:sz w:val="24"/>
          <w:highlight w:val="none"/>
        </w:rPr>
        <w:t>为计费基数，按《建设工程监理与相关服务收费标准》（发改价格[2007]670号文）规定计算的</w:t>
      </w:r>
      <w:r>
        <w:rPr>
          <w:rFonts w:hint="eastAsia" w:ascii="宋体" w:cs="宋体"/>
          <w:bCs/>
          <w:sz w:val="24"/>
          <w:highlight w:val="none"/>
        </w:rPr>
        <w:t>施工监理</w:t>
      </w:r>
      <w:r>
        <w:rPr>
          <w:rFonts w:hint="eastAsia" w:ascii="宋体" w:cs="宋体"/>
          <w:bCs/>
          <w:snapToGrid w:val="0"/>
          <w:kern w:val="0"/>
          <w:sz w:val="24"/>
          <w:highlight w:val="none"/>
        </w:rPr>
        <w:t>收费基价并结合各调整系数、下浮率计算：监理收费=监理收费基准价×（1-中标下浮率）</w:t>
      </w:r>
      <w:r>
        <w:rPr>
          <w:rFonts w:hint="eastAsia" w:ascii="宋体" w:cs="宋体"/>
          <w:bCs/>
          <w:snapToGrid w:val="0"/>
          <w:kern w:val="0"/>
          <w:sz w:val="24"/>
          <w:highlight w:val="none"/>
          <w:lang w:eastAsia="zh-CN"/>
        </w:rPr>
        <w:t>，</w:t>
      </w:r>
      <w:r>
        <w:rPr>
          <w:rFonts w:hint="eastAsia" w:ascii="宋体" w:cs="宋体"/>
          <w:bCs/>
          <w:snapToGrid w:val="0"/>
          <w:kern w:val="0"/>
          <w:sz w:val="24"/>
          <w:highlight w:val="none"/>
          <w:lang w:val="en-US" w:eastAsia="zh-CN"/>
        </w:rPr>
        <w:t>本项目中标下浮率为    %</w:t>
      </w:r>
      <w:r>
        <w:rPr>
          <w:rFonts w:hint="eastAsia" w:ascii="宋体" w:cs="宋体"/>
          <w:bCs/>
          <w:snapToGrid w:val="0"/>
          <w:kern w:val="0"/>
          <w:sz w:val="24"/>
          <w:highlight w:val="none"/>
        </w:rPr>
        <w:t>；监理服务收费基准价=监理服务收费基价×专业调整系数×工程复杂程度调整系数×高程调整系数，专业调整系数为</w:t>
      </w:r>
      <w:r>
        <w:rPr>
          <w:rFonts w:ascii="宋体" w:cs="宋体"/>
          <w:bCs/>
          <w:snapToGrid w:val="0"/>
          <w:kern w:val="0"/>
          <w:sz w:val="24"/>
          <w:highlight w:val="none"/>
        </w:rPr>
        <w:t xml:space="preserve"> 1.0 </w:t>
      </w:r>
      <w:r>
        <w:rPr>
          <w:rFonts w:hint="eastAsia" w:ascii="宋体" w:cs="宋体"/>
          <w:bCs/>
          <w:snapToGrid w:val="0"/>
          <w:kern w:val="0"/>
          <w:sz w:val="24"/>
          <w:highlight w:val="none"/>
        </w:rPr>
        <w:t>、工程复杂程度调整系数为</w:t>
      </w:r>
      <w:r>
        <w:rPr>
          <w:rFonts w:ascii="宋体" w:cs="宋体"/>
          <w:bCs/>
          <w:snapToGrid w:val="0"/>
          <w:kern w:val="0"/>
          <w:sz w:val="24"/>
          <w:highlight w:val="none"/>
        </w:rPr>
        <w:t xml:space="preserve"> 1.0 </w:t>
      </w:r>
      <w:r>
        <w:rPr>
          <w:rFonts w:hint="eastAsia" w:ascii="宋体" w:cs="宋体"/>
          <w:bCs/>
          <w:snapToGrid w:val="0"/>
          <w:kern w:val="0"/>
          <w:sz w:val="24"/>
          <w:highlight w:val="none"/>
        </w:rPr>
        <w:t>、高程调整系数为</w:t>
      </w:r>
      <w:r>
        <w:rPr>
          <w:rFonts w:ascii="宋体" w:cs="宋体"/>
          <w:bCs/>
          <w:snapToGrid w:val="0"/>
          <w:kern w:val="0"/>
          <w:sz w:val="24"/>
          <w:highlight w:val="none"/>
        </w:rPr>
        <w:t xml:space="preserve"> </w:t>
      </w:r>
      <w:r>
        <w:rPr>
          <w:rFonts w:hint="eastAsia" w:ascii="宋体" w:cs="宋体"/>
          <w:bCs/>
          <w:snapToGrid w:val="0"/>
          <w:kern w:val="0"/>
          <w:sz w:val="24"/>
          <w:highlight w:val="none"/>
        </w:rPr>
        <w:t>1.0。</w:t>
      </w:r>
    </w:p>
    <w:p w14:paraId="212EA69B">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2、监理费结算执行国家发改委、建设部《发改价格[2007]670号》</w:t>
      </w:r>
      <w:r>
        <w:rPr>
          <w:rFonts w:hint="eastAsia" w:ascii="宋体" w:cs="宋体"/>
          <w:bCs/>
          <w:sz w:val="24"/>
          <w:highlight w:val="none"/>
        </w:rPr>
        <w:t>关于施工监理收费的规定、</w:t>
      </w:r>
      <w:r>
        <w:rPr>
          <w:rStyle w:val="24"/>
          <w:rFonts w:hint="eastAsia"/>
          <w:highlight w:val="none"/>
          <w:lang w:val="en-US" w:eastAsia="zh-CN"/>
        </w:rPr>
        <w:t>区内相关部门文件要求</w:t>
      </w:r>
      <w:r>
        <w:rPr>
          <w:rFonts w:hint="eastAsia" w:ascii="宋体" w:cs="宋体"/>
          <w:bCs/>
          <w:snapToGrid w:val="0"/>
          <w:kern w:val="0"/>
          <w:sz w:val="24"/>
          <w:highlight w:val="none"/>
        </w:rPr>
        <w:t>及本合同上述约定规定,监理费结算价最终以区财政局或其授权委托单位审定结算价为准，且不得超过最高投标限价。若审计部门对本项目实施审计且审计价格低于区财政局或其授权委托单位审定结算价的，按审计确定金额支付监理费。</w:t>
      </w:r>
    </w:p>
    <w:p w14:paraId="41AA4B54">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3、在本合同约定的监理范围内，监理人不得以任何理由要求附加工作和额外工作的监理报酬。</w:t>
      </w:r>
    </w:p>
    <w:p w14:paraId="2B051B2D">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4、在本合同约定的监理范围内，当工程量增加、或设计变更或设计规模变化时，监理人工作的变化均应视为本合同约定的监理工作。</w:t>
      </w:r>
    </w:p>
    <w:p w14:paraId="6492B02A">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5、除非各方另有约定，本合同约定的服务期间，各种费率和费用不因物价变动而给予弥补或调整。</w:t>
      </w:r>
    </w:p>
    <w:p w14:paraId="69F60F4B">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6、在本合同约定的监理范围内，非因监理人原因造成工程延期，致使监理服务期出现延长，监理人的责任期也应相应延长，本合同监理报酬总额不作调整，各方另有约定的除外。</w:t>
      </w:r>
    </w:p>
    <w:p w14:paraId="6E3E1EC6">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7、如在工程实施期间，因国家政策变化、政府对本合同工程的计划调整或不可抗力等非发包人原因造成本合同工程停建的，则监理人必须接受终止服务并积极配合发包人做好善后工作，按已实际完成的监理服务内容和本合同的相关约定结清监理报酬。</w:t>
      </w:r>
    </w:p>
    <w:p w14:paraId="7727D6DA">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8、如在工程实施期间，因任何原因造成本合同工程中间停工而导致监理人必须二次或多次进出场，监理报酬总额将不会因此而有所调整，相关费用亦已经包含在本合同</w:t>
      </w:r>
      <w:r>
        <w:rPr>
          <w:rFonts w:hint="eastAsia" w:ascii="宋体" w:cs="宋体"/>
          <w:bCs/>
          <w:sz w:val="24"/>
          <w:highlight w:val="none"/>
        </w:rPr>
        <w:t>监理报酬中。本合同监理报酬含</w:t>
      </w:r>
      <w:r>
        <w:rPr>
          <w:rFonts w:hint="eastAsia" w:ascii="宋体" w:cs="宋体"/>
          <w:bCs/>
          <w:snapToGrid w:val="0"/>
          <w:kern w:val="0"/>
          <w:sz w:val="24"/>
          <w:highlight w:val="none"/>
        </w:rPr>
        <w:t>项目全部监理咨询工作所需的全部费用：监理成本、税金和利润（包括办公及检测仪器费、工资、加班费、食宿、通讯、交通及其后勤保障等）。</w:t>
      </w:r>
    </w:p>
    <w:p w14:paraId="0C115C46">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（二）监理报酬的支付</w:t>
      </w:r>
    </w:p>
    <w:p w14:paraId="6F8CBD15">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 xml:space="preserve">各方约定的监理报酬支付采取如下的  </w:t>
      </w:r>
      <w:r>
        <w:rPr>
          <w:rFonts w:hint="eastAsia" w:ascii="宋体" w:cs="宋体"/>
          <w:sz w:val="24"/>
          <w:highlight w:val="none"/>
          <w:u w:val="single"/>
        </w:rPr>
        <w:t xml:space="preserve">方式二  </w:t>
      </w:r>
      <w:r>
        <w:rPr>
          <w:rFonts w:hint="eastAsia" w:ascii="宋体" w:cs="宋体"/>
          <w:sz w:val="24"/>
          <w:highlight w:val="none"/>
        </w:rPr>
        <w:t>方式进行：</w:t>
      </w:r>
    </w:p>
    <w:p w14:paraId="0F97C02B">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方式一(按进度支付）：</w:t>
      </w:r>
    </w:p>
    <w:p w14:paraId="490DF8FE">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监理合同签订，监理人提供经发包人审批的监理规划、监理实施细则，项目监理人员组织机构经发包人审核备案，在施工单位进场后10日内，发包人一次性支付监理人首期监理费（预付款，支付监理合同价的10%）；</w:t>
      </w:r>
    </w:p>
    <w:p w14:paraId="22B9597F">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2、在监理项目完成50%时，发包人支付该项目监理合同暂定价的40%（累计支付至监理合同价的50%）；</w:t>
      </w:r>
    </w:p>
    <w:p w14:paraId="64577237">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3、工程完工初步验收后，发包人支付该项目监理合同暂定价的25%（累计支付至监理合同价的75%）；</w:t>
      </w:r>
    </w:p>
    <w:p w14:paraId="2C7227B6">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4、项目工程竣工通过验收后，发包人支付该项目监理合同暂定价的10%（累计支付至监理合同价的85%）；</w:t>
      </w:r>
    </w:p>
    <w:p w14:paraId="10C33F2B">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5、工程施工结算经区财政局审定和监理费结算经区财政局审定后，发包人支付该项目监理费至监理费结算价的95%。</w:t>
      </w:r>
    </w:p>
    <w:p w14:paraId="27B0DC17">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6、待工程质量缺陷责任期满，</w:t>
      </w:r>
      <w:r>
        <w:rPr>
          <w:rFonts w:hint="eastAsia" w:ascii="宋体" w:cs="宋体"/>
          <w:sz w:val="24"/>
          <w:highlight w:val="none"/>
        </w:rPr>
        <w:t>监理人协助发包人完成工程竣工档案备案后</w:t>
      </w:r>
      <w:r>
        <w:rPr>
          <w:rFonts w:hint="eastAsia" w:ascii="宋体" w:cs="宋体"/>
          <w:bCs/>
          <w:snapToGrid w:val="0"/>
          <w:kern w:val="0"/>
          <w:sz w:val="24"/>
          <w:highlight w:val="none"/>
        </w:rPr>
        <w:t>15天内支付该项目监理费结算价的余款（不计利息）。</w:t>
      </w:r>
    </w:p>
    <w:p w14:paraId="3B85D7CE">
      <w:pPr>
        <w:spacing w:line="360" w:lineRule="auto"/>
        <w:ind w:firstLine="240" w:firstLineChars="100"/>
        <w:rPr>
          <w:rFonts w:ascii="宋体" w:cs="宋体"/>
          <w:sz w:val="24"/>
          <w:highlight w:val="none"/>
        </w:rPr>
      </w:pPr>
      <w:r>
        <w:rPr>
          <w:rFonts w:hint="eastAsia" w:ascii="宋体" w:cs="宋体"/>
          <w:bCs/>
          <w:snapToGrid w:val="0"/>
          <w:kern w:val="0"/>
          <w:sz w:val="24"/>
          <w:highlight w:val="none"/>
        </w:rPr>
        <w:t xml:space="preserve"> 7、</w:t>
      </w:r>
      <w:r>
        <w:rPr>
          <w:rFonts w:hint="eastAsia" w:ascii="宋体" w:cs="宋体"/>
          <w:sz w:val="24"/>
          <w:highlight w:val="none"/>
        </w:rPr>
        <w:t>支付进度监理费时，需附监理人盖章确认的违约台账，如有违约罚金，需缴清当期监理费对应的违约金后方可支付该次进度监理费。</w:t>
      </w:r>
    </w:p>
    <w:p w14:paraId="012D58C7">
      <w:pPr>
        <w:spacing w:line="360" w:lineRule="auto"/>
        <w:ind w:firstLine="480" w:firstLineChars="200"/>
        <w:rPr>
          <w:rFonts w:ascii="宋体" w:cs="宋体"/>
          <w:sz w:val="24"/>
          <w:highlight w:val="none"/>
        </w:rPr>
      </w:pPr>
      <w:r>
        <w:rPr>
          <w:rFonts w:hint="eastAsia" w:ascii="宋体" w:cs="宋体"/>
          <w:sz w:val="24"/>
          <w:highlight w:val="none"/>
        </w:rPr>
        <w:t>本合同所述的支付是指发包人在收到监理人的请款申请后，在规定的时间内开始办理集中支付手续，而非款项划入监理人账户。</w:t>
      </w:r>
    </w:p>
    <w:p w14:paraId="084392A6">
      <w:pPr>
        <w:snapToGrid w:val="0"/>
        <w:spacing w:line="360" w:lineRule="auto"/>
        <w:ind w:firstLine="480" w:firstLineChars="200"/>
        <w:rPr>
          <w:rFonts w:ascii="宋体" w:cs="宋体"/>
          <w:sz w:val="24"/>
          <w:highlight w:val="none"/>
        </w:rPr>
      </w:pPr>
      <w:r>
        <w:rPr>
          <w:rFonts w:hint="eastAsia" w:ascii="宋体" w:cs="宋体"/>
          <w:sz w:val="24"/>
          <w:highlight w:val="none"/>
        </w:rPr>
        <w:t>方式二(按季度支付)：</w:t>
      </w:r>
    </w:p>
    <w:p w14:paraId="7A45AD37">
      <w:pPr>
        <w:pStyle w:val="27"/>
        <w:tabs>
          <w:tab w:val="left" w:pos="0"/>
        </w:tabs>
        <w:rPr>
          <w:rFonts w:ascii="宋体" w:cs="宋体"/>
          <w:highlight w:val="none"/>
        </w:rPr>
      </w:pPr>
      <w:r>
        <w:rPr>
          <w:rFonts w:hint="eastAsia" w:ascii="宋体" w:cs="宋体"/>
          <w:highlight w:val="none"/>
        </w:rPr>
        <w:t xml:space="preserve"> 1、监理合同签订，监理人提供经发包人审批的监理规划、监理实施细则，项目监理人员组织机构经发包人审核备案，在施工单位进场后10日内，项目管理公司代发包人一次性支付监理人首期监理费（监理合同暂定价的10%）（如因分期建设需要分期监理，按本期建筑面积在本监理合同范围总建筑面积的占比进行核算支付）。</w:t>
      </w:r>
    </w:p>
    <w:p w14:paraId="64241F70">
      <w:pPr>
        <w:pStyle w:val="27"/>
        <w:tabs>
          <w:tab w:val="left" w:pos="0"/>
        </w:tabs>
        <w:rPr>
          <w:rFonts w:ascii="宋体" w:cs="宋体"/>
          <w:highlight w:val="none"/>
        </w:rPr>
      </w:pPr>
      <w:r>
        <w:rPr>
          <w:rFonts w:hint="eastAsia" w:ascii="宋体" w:cs="宋体"/>
          <w:highlight w:val="none"/>
        </w:rPr>
        <w:t>2、支付首期监理费后，在监理期限内按</w:t>
      </w:r>
      <w:r>
        <w:rPr>
          <w:rFonts w:hint="eastAsia" w:ascii="宋体" w:cs="宋体"/>
          <w:highlight w:val="none"/>
          <w:u w:val="single"/>
        </w:rPr>
        <w:t>季度</w:t>
      </w:r>
      <w:r>
        <w:rPr>
          <w:rFonts w:hint="eastAsia" w:ascii="宋体" w:cs="宋体"/>
          <w:highlight w:val="none"/>
        </w:rPr>
        <w:t>支付监理酬费：</w:t>
      </w:r>
    </w:p>
    <w:p w14:paraId="6B5736BA">
      <w:pPr>
        <w:pStyle w:val="27"/>
        <w:tabs>
          <w:tab w:val="left" w:pos="0"/>
        </w:tabs>
        <w:rPr>
          <w:rFonts w:ascii="宋体" w:cs="宋体"/>
          <w:highlight w:val="none"/>
          <w:u w:val="single"/>
        </w:rPr>
      </w:pPr>
      <w:r>
        <w:rPr>
          <w:rFonts w:hint="eastAsia" w:ascii="宋体" w:cs="宋体"/>
          <w:highlight w:val="none"/>
          <w:u w:val="single"/>
        </w:rPr>
        <w:t>每期支付的监理费=本季度完成的施工产值/施工合同价（施工图预算审定前按暂定合同价）×暂定监理合同价×</w:t>
      </w:r>
      <w:r>
        <w:rPr>
          <w:rFonts w:ascii="宋体" w:cs="宋体"/>
          <w:highlight w:val="none"/>
          <w:u w:val="single"/>
        </w:rPr>
        <w:t xml:space="preserve"> 60 </w:t>
      </w:r>
      <w:r>
        <w:rPr>
          <w:rFonts w:hint="eastAsia" w:ascii="宋体" w:cs="宋体"/>
          <w:highlight w:val="none"/>
          <w:u w:val="single"/>
        </w:rPr>
        <w:t>%，</w:t>
      </w:r>
      <w:r>
        <w:rPr>
          <w:rFonts w:hint="eastAsia" w:ascii="宋体" w:cs="宋体"/>
          <w:bCs/>
          <w:snapToGrid w:val="0"/>
          <w:highlight w:val="none"/>
          <w:u w:val="single"/>
        </w:rPr>
        <w:t>工程完工初步验收后</w:t>
      </w:r>
      <w:r>
        <w:rPr>
          <w:rFonts w:hint="eastAsia" w:ascii="宋体" w:cs="宋体"/>
          <w:highlight w:val="none"/>
          <w:u w:val="single"/>
        </w:rPr>
        <w:t>，累计至暂定监理合同价的70%（施工产值、施工合同价、施工图预算价的范围均为监理服务范围）。</w:t>
      </w:r>
    </w:p>
    <w:p w14:paraId="113684C0">
      <w:pPr>
        <w:spacing w:line="360" w:lineRule="auto"/>
        <w:ind w:firstLine="480" w:firstLineChars="200"/>
        <w:rPr>
          <w:rFonts w:ascii="宋体" w:cs="宋体"/>
          <w:sz w:val="24"/>
          <w:highlight w:val="none"/>
        </w:rPr>
      </w:pPr>
      <w:r>
        <w:rPr>
          <w:rFonts w:hint="eastAsia" w:ascii="宋体" w:cs="宋体"/>
          <w:sz w:val="24"/>
          <w:highlight w:val="none"/>
        </w:rPr>
        <w:t>3、工程竣工验收后，项目管理公司代发包人累计支付至暂定监理合同价的75%。</w:t>
      </w:r>
    </w:p>
    <w:p w14:paraId="5801FB93">
      <w:pPr>
        <w:spacing w:line="360" w:lineRule="auto"/>
        <w:ind w:firstLine="480" w:firstLineChars="200"/>
        <w:rPr>
          <w:rFonts w:ascii="宋体" w:cs="宋体"/>
          <w:sz w:val="24"/>
          <w:highlight w:val="none"/>
        </w:rPr>
      </w:pPr>
      <w:r>
        <w:rPr>
          <w:rFonts w:hint="eastAsia" w:ascii="宋体" w:cs="宋体"/>
          <w:sz w:val="24"/>
          <w:highlight w:val="none"/>
        </w:rPr>
        <w:t>4、施工结算经区财政局审定且监理费结算办理完毕后，项目管理公司代发包人累计支付监理费至监理费结算价的95%。</w:t>
      </w:r>
    </w:p>
    <w:p w14:paraId="1BB14949">
      <w:pPr>
        <w:spacing w:line="360" w:lineRule="auto"/>
        <w:ind w:firstLine="480" w:firstLineChars="200"/>
        <w:rPr>
          <w:rFonts w:ascii="宋体" w:cs="宋体"/>
          <w:sz w:val="24"/>
          <w:highlight w:val="none"/>
        </w:rPr>
      </w:pPr>
      <w:r>
        <w:rPr>
          <w:rFonts w:hint="eastAsia" w:ascii="宋体" w:cs="宋体"/>
          <w:sz w:val="24"/>
          <w:highlight w:val="none"/>
        </w:rPr>
        <w:t>5、在满足以上约定前提下，工程质量缺陷责任期满届满，监理人协助发包人完成工程竣工档案备案后，项目管理公司代发包人支付监理费结算价余款（不计利息）。</w:t>
      </w:r>
    </w:p>
    <w:p w14:paraId="49B510B6">
      <w:pPr>
        <w:spacing w:line="360" w:lineRule="auto"/>
        <w:ind w:firstLine="480" w:firstLineChars="200"/>
        <w:rPr>
          <w:rFonts w:ascii="宋体" w:cs="宋体"/>
          <w:sz w:val="24"/>
          <w:highlight w:val="none"/>
        </w:rPr>
      </w:pPr>
      <w:r>
        <w:rPr>
          <w:rFonts w:hint="eastAsia" w:ascii="宋体" w:cs="宋体"/>
          <w:sz w:val="24"/>
          <w:highlight w:val="none"/>
        </w:rPr>
        <w:t>6、支付进度监理费时，需附监理人盖章确认的违约台账，如有违约罚金，需缴清当期监理费对应的违约金后方可支付该次进度监理费。</w:t>
      </w:r>
    </w:p>
    <w:p w14:paraId="5AB189DF">
      <w:pPr>
        <w:spacing w:line="360" w:lineRule="auto"/>
        <w:ind w:firstLine="482" w:firstLineChars="200"/>
        <w:rPr>
          <w:rFonts w:ascii="宋体" w:cs="宋体"/>
          <w:sz w:val="24"/>
          <w:highlight w:val="none"/>
        </w:rPr>
      </w:pPr>
      <w:r>
        <w:rPr>
          <w:rFonts w:hint="eastAsia" w:ascii="宋体" w:cs="宋体"/>
          <w:b/>
          <w:bCs/>
          <w:snapToGrid w:val="0"/>
          <w:kern w:val="0"/>
          <w:sz w:val="24"/>
          <w:highlight w:val="none"/>
        </w:rPr>
        <w:t>第四十一条</w:t>
      </w:r>
      <w:r>
        <w:rPr>
          <w:rFonts w:hint="eastAsia" w:ascii="宋体" w:cs="宋体"/>
          <w:bCs/>
          <w:snapToGrid w:val="0"/>
          <w:kern w:val="0"/>
          <w:sz w:val="24"/>
          <w:highlight w:val="none"/>
        </w:rPr>
        <w:t xml:space="preserve"> 发包人与监理人以及项目管理公司各方同意用人民币支付本合同涉及的相关款项。监理</w:t>
      </w:r>
      <w:r>
        <w:rPr>
          <w:rFonts w:hint="eastAsia" w:ascii="宋体" w:cs="宋体"/>
          <w:sz w:val="24"/>
          <w:highlight w:val="none"/>
        </w:rPr>
        <w:t>人指定收款账号如下：</w:t>
      </w:r>
    </w:p>
    <w:p w14:paraId="62EDC0FE">
      <w:pPr>
        <w:spacing w:line="360" w:lineRule="auto"/>
        <w:ind w:firstLine="480" w:firstLineChars="200"/>
        <w:rPr>
          <w:rFonts w:ascii="宋体" w:cs="宋体"/>
          <w:sz w:val="24"/>
          <w:highlight w:val="none"/>
        </w:rPr>
      </w:pPr>
      <w:r>
        <w:rPr>
          <w:rFonts w:hint="eastAsia" w:ascii="宋体" w:cs="宋体"/>
          <w:sz w:val="24"/>
          <w:highlight w:val="none"/>
        </w:rPr>
        <w:t>开户行：</w:t>
      </w:r>
    </w:p>
    <w:p w14:paraId="07E7FEEB">
      <w:pPr>
        <w:spacing w:line="360" w:lineRule="auto"/>
        <w:ind w:firstLine="480" w:firstLineChars="200"/>
        <w:rPr>
          <w:rFonts w:ascii="宋体" w:cs="宋体"/>
          <w:sz w:val="24"/>
          <w:highlight w:val="none"/>
        </w:rPr>
      </w:pPr>
      <w:r>
        <w:rPr>
          <w:rFonts w:hint="eastAsia" w:ascii="宋体" w:cs="宋体"/>
          <w:sz w:val="24"/>
          <w:highlight w:val="none"/>
        </w:rPr>
        <w:t>开户名称：</w:t>
      </w:r>
    </w:p>
    <w:p w14:paraId="204C3267">
      <w:pPr>
        <w:spacing w:line="360" w:lineRule="auto"/>
        <w:ind w:firstLine="480" w:firstLineChars="200"/>
        <w:rPr>
          <w:rFonts w:ascii="宋体" w:cs="宋体"/>
          <w:sz w:val="24"/>
          <w:highlight w:val="none"/>
        </w:rPr>
      </w:pPr>
      <w:r>
        <w:rPr>
          <w:rFonts w:hint="eastAsia" w:ascii="宋体" w:cs="宋体"/>
          <w:sz w:val="24"/>
          <w:highlight w:val="none"/>
        </w:rPr>
        <w:t>账号：</w:t>
      </w:r>
    </w:p>
    <w:p w14:paraId="65FF7F01">
      <w:pPr>
        <w:pStyle w:val="25"/>
        <w:ind w:firstLine="480" w:firstLineChars="200"/>
        <w:jc w:val="both"/>
        <w:rPr>
          <w:rFonts w:ascii="宋体" w:cs="宋体"/>
          <w:sz w:val="24"/>
          <w:szCs w:val="24"/>
          <w:highlight w:val="none"/>
        </w:rPr>
      </w:pPr>
      <w:r>
        <w:rPr>
          <w:rFonts w:hint="eastAsia" w:ascii="宋体" w:cs="宋体"/>
          <w:sz w:val="24"/>
          <w:szCs w:val="24"/>
          <w:highlight w:val="none"/>
        </w:rPr>
        <w:t>各方确认，发包人每次付款前，监理人应开具税务部门的增值税专用发票向发包人办理支付手续，项目管理公司代发包人支付款项，如因监理人迟延开具增值税发票导致项目管理公司延迟付款，发包人和项目管理公司不承担迟延支付责任。</w:t>
      </w:r>
    </w:p>
    <w:p w14:paraId="559684B4">
      <w:pPr>
        <w:adjustRightInd w:val="0"/>
        <w:snapToGrid w:val="0"/>
        <w:spacing w:line="360" w:lineRule="auto"/>
        <w:ind w:firstLine="482" w:firstLineChars="200"/>
        <w:rPr>
          <w:rFonts w:ascii="宋体" w:cs="宋体"/>
          <w:bCs/>
          <w:snapToGrid w:val="0"/>
          <w:kern w:val="0"/>
          <w:sz w:val="24"/>
          <w:highlight w:val="none"/>
        </w:rPr>
      </w:pPr>
      <w:r>
        <w:rPr>
          <w:rFonts w:hint="eastAsia" w:ascii="宋体" w:cs="宋体"/>
          <w:b/>
          <w:bCs/>
          <w:snapToGrid w:val="0"/>
          <w:kern w:val="0"/>
          <w:sz w:val="24"/>
          <w:highlight w:val="none"/>
        </w:rPr>
        <w:t>第四十二条</w:t>
      </w:r>
      <w:r>
        <w:rPr>
          <w:rFonts w:hint="eastAsia" w:ascii="宋体" w:cs="宋体"/>
          <w:bCs/>
          <w:snapToGrid w:val="0"/>
          <w:kern w:val="0"/>
          <w:sz w:val="24"/>
          <w:highlight w:val="none"/>
        </w:rPr>
        <w:t xml:space="preserve"> 各方一致同意不适用本合同标准条款第四十二条的约定，监理人申请发包人付款的，应按发包人及广州开发区、黄埔区规定办理请款手续。</w:t>
      </w:r>
    </w:p>
    <w:p w14:paraId="7CB0CAEE">
      <w:pPr>
        <w:adjustRightInd w:val="0"/>
        <w:snapToGrid w:val="0"/>
        <w:spacing w:line="360" w:lineRule="auto"/>
        <w:ind w:firstLine="482" w:firstLineChars="200"/>
        <w:rPr>
          <w:rFonts w:ascii="宋体" w:cs="宋体"/>
          <w:bCs/>
          <w:snapToGrid w:val="0"/>
          <w:kern w:val="0"/>
          <w:sz w:val="24"/>
          <w:highlight w:val="none"/>
        </w:rPr>
      </w:pPr>
      <w:r>
        <w:rPr>
          <w:rFonts w:hint="eastAsia" w:ascii="宋体" w:cs="宋体"/>
          <w:b/>
          <w:bCs/>
          <w:snapToGrid w:val="0"/>
          <w:kern w:val="0"/>
          <w:sz w:val="24"/>
          <w:highlight w:val="none"/>
        </w:rPr>
        <w:t>第四十三条</w:t>
      </w:r>
      <w:r>
        <w:rPr>
          <w:rFonts w:hint="eastAsia" w:ascii="宋体" w:cs="宋体"/>
          <w:bCs/>
          <w:snapToGrid w:val="0"/>
          <w:kern w:val="0"/>
          <w:sz w:val="24"/>
          <w:highlight w:val="none"/>
        </w:rPr>
        <w:t xml:space="preserve"> 各方一致同意不适用本合同标准条款第四十三条的约定，委托的建设工程监理所必要的监理人员出外考察、材料设备复试、监造，其费用支出由监理人负责解决。</w:t>
      </w:r>
    </w:p>
    <w:p w14:paraId="62652BC9">
      <w:pPr>
        <w:adjustRightInd w:val="0"/>
        <w:snapToGrid w:val="0"/>
        <w:spacing w:line="360" w:lineRule="auto"/>
        <w:ind w:firstLine="482" w:firstLineChars="200"/>
        <w:rPr>
          <w:rFonts w:ascii="宋体" w:cs="宋体"/>
          <w:bCs/>
          <w:snapToGrid w:val="0"/>
          <w:kern w:val="0"/>
          <w:sz w:val="24"/>
          <w:highlight w:val="none"/>
        </w:rPr>
      </w:pPr>
      <w:r>
        <w:rPr>
          <w:rFonts w:hint="eastAsia" w:ascii="宋体" w:cs="宋体"/>
          <w:b/>
          <w:bCs/>
          <w:snapToGrid w:val="0"/>
          <w:kern w:val="0"/>
          <w:sz w:val="24"/>
          <w:highlight w:val="none"/>
        </w:rPr>
        <w:t>第四十九条</w:t>
      </w:r>
      <w:r>
        <w:rPr>
          <w:rFonts w:hint="eastAsia" w:ascii="宋体" w:cs="宋体"/>
          <w:bCs/>
          <w:snapToGrid w:val="0"/>
          <w:kern w:val="0"/>
          <w:sz w:val="24"/>
          <w:highlight w:val="none"/>
        </w:rPr>
        <w:t xml:space="preserve"> 因履行本合同发生或与本合同有关的争议</w:t>
      </w:r>
      <w:r>
        <w:rPr>
          <w:rFonts w:hint="eastAsia" w:ascii="宋体" w:cs="宋体"/>
          <w:snapToGrid w:val="0"/>
          <w:kern w:val="0"/>
          <w:sz w:val="24"/>
          <w:highlight w:val="none"/>
        </w:rPr>
        <w:t>，各方当事人应友好协商解决。协商不成的，向工程所在地人民法院起诉，但诉讼不影响发包人同其他监理单位另行签订监理合同。</w:t>
      </w:r>
    </w:p>
    <w:p w14:paraId="233040B4">
      <w:pPr>
        <w:adjustRightInd w:val="0"/>
        <w:snapToGrid w:val="0"/>
        <w:spacing w:line="360" w:lineRule="auto"/>
        <w:ind w:firstLine="482" w:firstLineChars="200"/>
        <w:rPr>
          <w:rFonts w:ascii="宋体" w:cs="宋体"/>
          <w:spacing w:val="6"/>
          <w:sz w:val="24"/>
          <w:highlight w:val="none"/>
        </w:rPr>
      </w:pPr>
      <w:r>
        <w:rPr>
          <w:rFonts w:hint="eastAsia" w:ascii="宋体" w:cs="宋体"/>
          <w:b/>
          <w:bCs/>
          <w:snapToGrid w:val="0"/>
          <w:kern w:val="0"/>
          <w:sz w:val="24"/>
          <w:highlight w:val="none"/>
        </w:rPr>
        <w:t>第五十条</w:t>
      </w:r>
      <w:r>
        <w:rPr>
          <w:rFonts w:ascii="宋体" w:cs="宋体"/>
          <w:b/>
          <w:bCs/>
          <w:snapToGrid w:val="0"/>
          <w:kern w:val="0"/>
          <w:sz w:val="24"/>
          <w:highlight w:val="none"/>
        </w:rPr>
        <w:t xml:space="preserve"> </w:t>
      </w:r>
      <w:r>
        <w:rPr>
          <w:rFonts w:hint="eastAsia" w:ascii="宋体" w:cs="宋体"/>
          <w:b/>
          <w:bCs/>
          <w:snapToGrid w:val="0"/>
          <w:kern w:val="0"/>
          <w:sz w:val="24"/>
          <w:highlight w:val="none"/>
        </w:rPr>
        <w:t>补充条款</w:t>
      </w:r>
    </w:p>
    <w:p w14:paraId="5BEE493E">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（一）施工阶段的造价投资控制：监理人进场时必须派驻至少</w:t>
      </w:r>
      <w:r>
        <w:rPr>
          <w:rFonts w:ascii="宋体" w:cs="宋体"/>
          <w:sz w:val="24"/>
          <w:highlight w:val="none"/>
        </w:rPr>
        <w:t>1</w:t>
      </w:r>
      <w:r>
        <w:rPr>
          <w:rFonts w:hint="eastAsia" w:ascii="宋体" w:cs="宋体"/>
          <w:sz w:val="24"/>
          <w:highlight w:val="none"/>
        </w:rPr>
        <w:t>名造价工程师提供驻场服务，并接受建设单位统一工作安排，并要求建立施工阶段工程预算台账，具体要求和模式另定。</w:t>
      </w:r>
    </w:p>
    <w:p w14:paraId="4BC62C61">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二）在施工招标阶段或工程开工前，总监理工程师应组织测量专业的监理人员对发包人提供的勘察单位的地形测量资料进行审查，使用自备仪器按一定比例随机抽点复核地形图的准确性，并就地形图的可靠性、真实性和存在的问题等向发包人提交书面意见和建议。</w:t>
      </w:r>
    </w:p>
    <w:p w14:paraId="7C6DD4ED">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三）在保修期内，监理人应每三个月对工程进行一次巡视、检查（要到发包人处签到），并向发包人提交书面检查报告，发现有质量缺陷的，要及时通知发包人，会同发包人组织承包人维修，按施工保修书的条款界定责任归属。在保修期内，发包人要求监理人到达现场的，监理人必须在接到发包人通知后2天内到达现场，履行监理职责。如监理人在保修期内不履行监理职责的，发包人有权不支付余款。</w:t>
      </w:r>
    </w:p>
    <w:p w14:paraId="79D53510">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sz w:val="24"/>
          <w:highlight w:val="none"/>
        </w:rPr>
        <w:t>（四）</w:t>
      </w:r>
      <w:r>
        <w:rPr>
          <w:rFonts w:hint="eastAsia" w:ascii="宋体" w:cs="宋体"/>
          <w:bCs/>
          <w:snapToGrid w:val="0"/>
          <w:kern w:val="0"/>
          <w:sz w:val="24"/>
          <w:highlight w:val="none"/>
        </w:rPr>
        <w:t>由于监理人采取有效监管措施，致使工程施工的关键工期比计划提前5天以上（含5天）的，可抵扣监理人一般违约责任1次；关键工期提前10天以上（含10天）的，可抵扣监理人严重违约责任1次；关键线路工期提前20天以上（含20天）的，可抵扣监理人严重违约责任2次。</w:t>
      </w:r>
    </w:p>
    <w:p w14:paraId="27F30B50">
      <w:pPr>
        <w:adjustRightInd w:val="0"/>
        <w:snapToGrid w:val="0"/>
        <w:spacing w:line="360" w:lineRule="auto"/>
        <w:ind w:firstLine="480" w:firstLineChars="200"/>
        <w:rPr>
          <w:rFonts w:ascii="宋体" w:cs="宋体"/>
          <w:bCs/>
          <w:sz w:val="24"/>
          <w:highlight w:val="none"/>
        </w:rPr>
      </w:pPr>
      <w:r>
        <w:rPr>
          <w:rFonts w:hint="eastAsia" w:ascii="宋体" w:cs="宋体"/>
          <w:bCs/>
          <w:snapToGrid w:val="0"/>
          <w:kern w:val="0"/>
          <w:sz w:val="24"/>
          <w:highlight w:val="none"/>
        </w:rPr>
        <w:t>（五）由于监理人提出合理化建议，优化技术方案，被发包人采纳并实施，节约投资10万元以上（含）的，可抵扣监理人一般违约责任1次；节约投资30万元以上（含）的，可抵扣监理人一般违约责任2次；节约投资50万元以上（含）的，可抵扣监理人严重违约责任1次；节约投资100万元以上（含）的，可抵扣监理人严重违约责任2次。</w:t>
      </w:r>
    </w:p>
    <w:p w14:paraId="6865ABF8">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z w:val="24"/>
          <w:highlight w:val="none"/>
        </w:rPr>
        <w:t>（六）监理人认真履行安全文明施工管理责任，得到发包人及建设主管部门书面表彰的，可抵扣监理人严重违约责任1次；取得市安全文明样板工地的，可抵扣监理人严重违约责任2次（如本工程有工地创优市优指标硬性要求的除外）。</w:t>
      </w:r>
    </w:p>
    <w:p w14:paraId="25FE3081">
      <w:pPr>
        <w:adjustRightInd w:val="0"/>
        <w:snapToGrid w:val="0"/>
        <w:spacing w:line="360" w:lineRule="auto"/>
        <w:ind w:firstLine="480" w:firstLineChars="200"/>
        <w:rPr>
          <w:rFonts w:ascii="宋体" w:cs="宋体"/>
          <w:sz w:val="24"/>
          <w:highlight w:val="none"/>
        </w:rPr>
      </w:pPr>
      <w:r>
        <w:rPr>
          <w:rFonts w:hint="eastAsia" w:ascii="宋体" w:cs="宋体"/>
          <w:bCs/>
          <w:snapToGrid w:val="0"/>
          <w:kern w:val="0"/>
          <w:sz w:val="24"/>
          <w:highlight w:val="none"/>
        </w:rPr>
        <w:t>（七）监理人抵扣的违约处罚，可按照合同相应条款，在实际已发生的违约处罚金内返还。如项目完工后，实际可抵扣的监理人违约责任多于实际处罚的违约责任，原则上不予经济奖励，委托方视情况给予通报表扬。</w:t>
      </w:r>
    </w:p>
    <w:p w14:paraId="3A75F761">
      <w:pPr>
        <w:pStyle w:val="28"/>
        <w:spacing w:line="360" w:lineRule="auto"/>
        <w:ind w:firstLine="480" w:firstLineChars="200"/>
        <w:rPr>
          <w:rFonts w:ascii="宋体" w:cs="宋体"/>
          <w:sz w:val="24"/>
          <w:highlight w:val="none"/>
        </w:rPr>
      </w:pPr>
      <w:r>
        <w:rPr>
          <w:rFonts w:hint="eastAsia" w:ascii="宋体" w:cs="宋体"/>
          <w:sz w:val="24"/>
          <w:highlight w:val="none"/>
        </w:rPr>
        <w:t>（八）如本合同需缴纳合同印花税，监理人需在有关税务部门规定期限及结清本合同费用前，代缴按规定属发包人缴纳的部分，代缴后发包人按代缴金额实报实销。监理人</w:t>
      </w:r>
      <w:r>
        <w:rPr>
          <w:rFonts w:hint="eastAsia" w:ascii="宋体" w:cs="宋体"/>
          <w:bCs/>
          <w:sz w:val="24"/>
          <w:highlight w:val="none"/>
        </w:rPr>
        <w:t>未按规定期限代缴印花税的，因此产生的滞纳金由监理人承担。</w:t>
      </w:r>
    </w:p>
    <w:p w14:paraId="239194E4">
      <w:pPr>
        <w:spacing w:line="360" w:lineRule="auto"/>
        <w:ind w:firstLine="480" w:firstLineChars="200"/>
        <w:rPr>
          <w:rFonts w:ascii="宋体" w:cs="宋体"/>
          <w:sz w:val="24"/>
          <w:highlight w:val="none"/>
        </w:rPr>
      </w:pPr>
      <w:r>
        <w:rPr>
          <w:rFonts w:hint="eastAsia" w:ascii="宋体" w:cs="宋体"/>
          <w:sz w:val="24"/>
          <w:highlight w:val="none"/>
        </w:rPr>
        <w:t>（九）如监理人及本项目总监理工程师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解除合同。</w:t>
      </w:r>
    </w:p>
    <w:p w14:paraId="0B81047A">
      <w:pPr>
        <w:spacing w:line="360" w:lineRule="auto"/>
        <w:ind w:firstLine="480" w:firstLineChars="200"/>
        <w:rPr>
          <w:rFonts w:ascii="宋体" w:cs="宋体"/>
          <w:sz w:val="24"/>
          <w:highlight w:val="none"/>
        </w:rPr>
      </w:pPr>
      <w:r>
        <w:rPr>
          <w:rFonts w:hint="eastAsia" w:ascii="宋体" w:cs="宋体"/>
          <w:sz w:val="24"/>
          <w:highlight w:val="none"/>
        </w:rPr>
        <w:t>（十）如监理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解除合同。</w:t>
      </w:r>
    </w:p>
    <w:p w14:paraId="7698F12A">
      <w:pPr>
        <w:spacing w:line="360" w:lineRule="auto"/>
        <w:ind w:firstLine="480" w:firstLineChars="200"/>
        <w:rPr>
          <w:rFonts w:ascii="宋体" w:cs="宋体"/>
          <w:sz w:val="24"/>
          <w:highlight w:val="none"/>
        </w:rPr>
      </w:pPr>
      <w:r>
        <w:rPr>
          <w:rFonts w:hint="eastAsia" w:ascii="宋体" w:cs="宋体"/>
          <w:sz w:val="24"/>
          <w:highlight w:val="none"/>
        </w:rPr>
        <w:t>（十一）监理人应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w:t>
      </w:r>
      <w:r>
        <w:rPr>
          <w:rFonts w:ascii="宋体" w:cs="宋体"/>
          <w:sz w:val="24"/>
          <w:highlight w:val="none"/>
        </w:rPr>
        <w:t xml:space="preserve"> </w:t>
      </w:r>
      <w:r>
        <w:rPr>
          <w:rFonts w:hint="eastAsia" w:ascii="宋体" w:cs="宋体"/>
          <w:sz w:val="24"/>
          <w:highlight w:val="none"/>
        </w:rPr>
        <w:t>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如未履行承诺，经建设单位催告后逾期不履行承诺或经教育后拒不整改或整改后仍不符合相关技术标准规定的，自愿接受被发包人拒绝规定时期参与后续工程投标的后果（时限按招标文件规定或由发包人确定，自发包人发出通知之日起计）。</w:t>
      </w:r>
    </w:p>
    <w:p w14:paraId="09732A0A">
      <w:pPr>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（十三）如发包人需终止本项目或规模缩小、大幅调减工程量的，发包人均按承包人实际完成的工作量结算费用，不另行给予承包人任何补偿。</w:t>
      </w:r>
    </w:p>
    <w:p w14:paraId="6C3EACB6">
      <w:pPr>
        <w:spacing w:line="360" w:lineRule="auto"/>
        <w:ind w:firstLine="480" w:firstLineChars="200"/>
        <w:rPr>
          <w:rFonts w:hint="eastAsia" w:ascii="宋体" w:cs="宋体"/>
          <w:snapToGrid w:val="0"/>
          <w:kern w:val="0"/>
          <w:sz w:val="24"/>
          <w:highlight w:val="none"/>
        </w:rPr>
      </w:pPr>
      <w:r>
        <w:rPr>
          <w:rFonts w:hint="eastAsia" w:ascii="宋体" w:cs="宋体"/>
          <w:snapToGrid w:val="0"/>
          <w:kern w:val="0"/>
          <w:sz w:val="24"/>
          <w:highlight w:val="none"/>
        </w:rPr>
        <w:t>（十四）如项目取消或部分取消实施，监理人不得以开展前期准备工作要求发包人给予任何补偿。</w:t>
      </w:r>
    </w:p>
    <w:p w14:paraId="14129057">
      <w:pPr>
        <w:pStyle w:val="7"/>
        <w:ind w:firstLine="480" w:firstLineChars="200"/>
        <w:rPr>
          <w:rFonts w:eastAsia="宋体"/>
          <w:highlight w:val="none"/>
          <w:lang w:val="en-US" w:eastAsia="zh-CN"/>
        </w:rPr>
      </w:pPr>
      <w:r>
        <w:rPr>
          <w:rFonts w:hint="eastAsia" w:ascii="宋体" w:cs="宋体"/>
          <w:snapToGrid w:val="0"/>
          <w:kern w:val="0"/>
          <w:sz w:val="24"/>
          <w:highlight w:val="none"/>
          <w:lang w:eastAsia="zh-CN"/>
        </w:rPr>
        <w:t>（</w:t>
      </w:r>
      <w:r>
        <w:rPr>
          <w:rFonts w:hint="eastAsia" w:ascii="宋体" w:cs="宋体"/>
          <w:snapToGrid w:val="0"/>
          <w:kern w:val="0"/>
          <w:sz w:val="24"/>
          <w:highlight w:val="none"/>
          <w:lang w:val="en-US" w:eastAsia="zh-CN"/>
        </w:rPr>
        <w:t>十五</w:t>
      </w:r>
      <w:r>
        <w:rPr>
          <w:rFonts w:hint="eastAsia" w:ascii="宋体" w:cs="宋体"/>
          <w:snapToGrid w:val="0"/>
          <w:kern w:val="0"/>
          <w:sz w:val="24"/>
          <w:highlight w:val="none"/>
          <w:lang w:eastAsia="zh-CN"/>
        </w:rPr>
        <w:t>）</w:t>
      </w:r>
      <w:r>
        <w:rPr>
          <w:rFonts w:hint="eastAsia" w:ascii="宋体" w:cs="宋体"/>
          <w:snapToGrid w:val="0"/>
          <w:kern w:val="0"/>
          <w:sz w:val="24"/>
          <w:highlight w:val="none"/>
          <w:lang w:val="en-US" w:eastAsia="zh-CN"/>
        </w:rPr>
        <w:t>发包人或项目</w:t>
      </w:r>
      <w:r>
        <w:rPr>
          <w:rFonts w:hint="eastAsia" w:ascii="宋体" w:cs="宋体"/>
          <w:snapToGrid w:val="0"/>
          <w:kern w:val="0"/>
          <w:sz w:val="24"/>
          <w:highlight w:val="none"/>
          <w:lang w:val="en-US"/>
        </w:rPr>
        <w:t>管理</w:t>
      </w:r>
      <w:r>
        <w:rPr>
          <w:rFonts w:hint="eastAsia" w:ascii="宋体" w:cs="宋体"/>
          <w:snapToGrid w:val="0"/>
          <w:kern w:val="0"/>
          <w:sz w:val="24"/>
          <w:highlight w:val="none"/>
          <w:lang w:val="en-US" w:eastAsia="zh-CN"/>
        </w:rPr>
        <w:t>公司将制定相关的考核管理办法，与本合同具备同等法律效力，监理人须严格遵照执行。</w:t>
      </w:r>
    </w:p>
    <w:p w14:paraId="1ADA0C82">
      <w:pPr>
        <w:adjustRightInd w:val="0"/>
        <w:snapToGrid w:val="0"/>
        <w:spacing w:line="360" w:lineRule="auto"/>
        <w:ind w:firstLine="480" w:firstLineChars="200"/>
        <w:rPr>
          <w:rFonts w:ascii="宋体" w:cs="宋体"/>
          <w:sz w:val="24"/>
          <w:highlight w:val="none"/>
        </w:rPr>
      </w:pPr>
      <w:r>
        <w:rPr>
          <w:rFonts w:hint="eastAsia" w:ascii="宋体" w:cs="宋体"/>
          <w:bCs/>
          <w:snapToGrid w:val="0"/>
          <w:kern w:val="0"/>
          <w:sz w:val="24"/>
          <w:highlight w:val="none"/>
        </w:rPr>
        <w:t>（以下无正文）</w:t>
      </w:r>
    </w:p>
    <w:p w14:paraId="3C63A795">
      <w:pPr>
        <w:spacing w:line="360" w:lineRule="auto"/>
        <w:ind w:firstLine="480" w:firstLineChars="200"/>
        <w:rPr>
          <w:rFonts w:ascii="宋体" w:cs="宋体"/>
          <w:sz w:val="24"/>
          <w:highlight w:val="none"/>
        </w:rPr>
      </w:pPr>
      <w:r>
        <w:rPr>
          <w:rFonts w:ascii="宋体" w:cs="宋体"/>
          <w:sz w:val="24"/>
          <w:highlight w:val="none"/>
        </w:rPr>
        <w:br w:type="page"/>
      </w:r>
    </w:p>
    <w:p w14:paraId="7F461EC2">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（本页为签字盖章页，无正文）</w:t>
      </w:r>
    </w:p>
    <w:p w14:paraId="358798F9">
      <w:pPr>
        <w:adjustRightInd w:val="0"/>
        <w:snapToGrid w:val="0"/>
        <w:spacing w:line="360" w:lineRule="auto"/>
        <w:ind w:firstLine="480" w:firstLineChars="200"/>
        <w:rPr>
          <w:rFonts w:ascii="宋体" w:cs="宋体"/>
          <w:snapToGrid w:val="0"/>
          <w:kern w:val="0"/>
          <w:sz w:val="24"/>
          <w:highlight w:val="none"/>
        </w:rPr>
      </w:pPr>
    </w:p>
    <w:tbl>
      <w:tblPr>
        <w:tblStyle w:val="21"/>
        <w:tblpPr w:leftFromText="180" w:rightFromText="180" w:vertAnchor="text" w:horzAnchor="page" w:tblpX="2345" w:tblpY="334"/>
        <w:tblOverlap w:val="never"/>
        <w:tblW w:w="7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65"/>
        <w:gridCol w:w="1247"/>
        <w:gridCol w:w="3169"/>
      </w:tblGrid>
      <w:tr w14:paraId="56EA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4173F04D">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发包人：科学城(广州)城市更新集团有限公司</w:t>
            </w:r>
          </w:p>
        </w:tc>
        <w:tc>
          <w:tcPr>
            <w:tcW w:w="1247" w:type="dxa"/>
            <w:tcBorders>
              <w:top w:val="nil"/>
              <w:left w:val="nil"/>
              <w:bottom w:val="nil"/>
              <w:right w:val="nil"/>
            </w:tcBorders>
            <w:vAlign w:val="center"/>
          </w:tcPr>
          <w:p w14:paraId="6B07A2B4">
            <w:pPr>
              <w:adjustRightInd w:val="0"/>
              <w:snapToGrid w:val="0"/>
              <w:spacing w:line="360" w:lineRule="auto"/>
              <w:ind w:firstLine="480" w:firstLineChars="200"/>
              <w:rPr>
                <w:rFonts w:ascii="宋体" w:cs="宋体"/>
                <w:snapToGrid w:val="0"/>
                <w:kern w:val="0"/>
                <w:sz w:val="24"/>
                <w:highlight w:val="none"/>
              </w:rPr>
            </w:pPr>
          </w:p>
        </w:tc>
        <w:tc>
          <w:tcPr>
            <w:tcW w:w="3169" w:type="dxa"/>
            <w:tcBorders>
              <w:top w:val="nil"/>
              <w:left w:val="nil"/>
              <w:bottom w:val="nil"/>
              <w:right w:val="nil"/>
            </w:tcBorders>
            <w:vAlign w:val="center"/>
          </w:tcPr>
          <w:p w14:paraId="6BCA8047">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监理人：</w:t>
            </w:r>
          </w:p>
        </w:tc>
      </w:tr>
      <w:tr w14:paraId="4B2B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6AF0617D">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法定代表人或委托代表：</w:t>
            </w:r>
          </w:p>
        </w:tc>
        <w:tc>
          <w:tcPr>
            <w:tcW w:w="1247" w:type="dxa"/>
            <w:tcBorders>
              <w:top w:val="nil"/>
              <w:left w:val="nil"/>
              <w:bottom w:val="nil"/>
              <w:right w:val="nil"/>
            </w:tcBorders>
            <w:vAlign w:val="center"/>
          </w:tcPr>
          <w:p w14:paraId="1400C3CD">
            <w:pPr>
              <w:adjustRightInd w:val="0"/>
              <w:snapToGrid w:val="0"/>
              <w:spacing w:line="360" w:lineRule="auto"/>
              <w:ind w:firstLine="480" w:firstLineChars="200"/>
              <w:rPr>
                <w:rFonts w:ascii="宋体" w:cs="宋体"/>
                <w:snapToGrid w:val="0"/>
                <w:kern w:val="0"/>
                <w:sz w:val="24"/>
                <w:highlight w:val="none"/>
              </w:rPr>
            </w:pPr>
          </w:p>
        </w:tc>
        <w:tc>
          <w:tcPr>
            <w:tcW w:w="3169" w:type="dxa"/>
            <w:tcBorders>
              <w:top w:val="nil"/>
              <w:left w:val="nil"/>
              <w:bottom w:val="nil"/>
              <w:right w:val="nil"/>
            </w:tcBorders>
            <w:vAlign w:val="center"/>
          </w:tcPr>
          <w:p w14:paraId="095CC00A">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法定代表人或委托代表：</w:t>
            </w:r>
          </w:p>
        </w:tc>
      </w:tr>
      <w:tr w14:paraId="680DC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6978E13B">
            <w:pPr>
              <w:adjustRightInd w:val="0"/>
              <w:snapToGrid w:val="0"/>
              <w:spacing w:line="360" w:lineRule="auto"/>
              <w:rPr>
                <w:rFonts w:ascii="宋体" w:eastAsia="宋体" w:cs="宋体"/>
                <w:snapToGrid w:val="0"/>
                <w:kern w:val="0"/>
                <w:sz w:val="24"/>
                <w:highlight w:val="none"/>
                <w:lang w:val="en-US" w:eastAsia="zh-CN"/>
              </w:rPr>
            </w:pPr>
            <w:r>
              <w:rPr>
                <w:rFonts w:hint="eastAsia" w:ascii="宋体" w:cs="宋体"/>
                <w:snapToGrid w:val="0"/>
                <w:kern w:val="0"/>
                <w:sz w:val="24"/>
                <w:highlight w:val="none"/>
              </w:rPr>
              <w:t>联系人：</w:t>
            </w:r>
          </w:p>
        </w:tc>
        <w:tc>
          <w:tcPr>
            <w:tcW w:w="1247" w:type="dxa"/>
            <w:tcBorders>
              <w:top w:val="nil"/>
              <w:left w:val="nil"/>
              <w:bottom w:val="nil"/>
              <w:right w:val="nil"/>
            </w:tcBorders>
            <w:vAlign w:val="center"/>
          </w:tcPr>
          <w:p w14:paraId="2F6368DB">
            <w:pPr>
              <w:adjustRightInd w:val="0"/>
              <w:snapToGrid w:val="0"/>
              <w:spacing w:line="360" w:lineRule="auto"/>
              <w:ind w:firstLine="480" w:firstLineChars="200"/>
              <w:rPr>
                <w:rFonts w:ascii="宋体" w:cs="宋体"/>
                <w:snapToGrid w:val="0"/>
                <w:kern w:val="0"/>
                <w:sz w:val="24"/>
                <w:highlight w:val="none"/>
              </w:rPr>
            </w:pPr>
          </w:p>
        </w:tc>
        <w:tc>
          <w:tcPr>
            <w:tcW w:w="3169" w:type="dxa"/>
            <w:tcBorders>
              <w:top w:val="nil"/>
              <w:left w:val="nil"/>
              <w:bottom w:val="nil"/>
              <w:right w:val="nil"/>
            </w:tcBorders>
            <w:vAlign w:val="center"/>
          </w:tcPr>
          <w:p w14:paraId="3AE42B40">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联系人：</w:t>
            </w:r>
          </w:p>
        </w:tc>
      </w:tr>
      <w:tr w14:paraId="43EC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7FB42DD3">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联系地址：广州市黄埔区开创大道2507号601、602、603、604、701、702、703、704、801、802、803、804室</w:t>
            </w:r>
          </w:p>
        </w:tc>
        <w:tc>
          <w:tcPr>
            <w:tcW w:w="1247" w:type="dxa"/>
            <w:tcBorders>
              <w:top w:val="nil"/>
              <w:left w:val="nil"/>
              <w:bottom w:val="nil"/>
              <w:right w:val="nil"/>
            </w:tcBorders>
            <w:vAlign w:val="center"/>
          </w:tcPr>
          <w:p w14:paraId="28B0BC49">
            <w:pPr>
              <w:adjustRightInd w:val="0"/>
              <w:snapToGrid w:val="0"/>
              <w:spacing w:line="360" w:lineRule="auto"/>
              <w:ind w:firstLine="480" w:firstLineChars="200"/>
              <w:rPr>
                <w:rFonts w:ascii="宋体" w:cs="宋体"/>
                <w:snapToGrid w:val="0"/>
                <w:kern w:val="0"/>
                <w:sz w:val="24"/>
                <w:highlight w:val="none"/>
              </w:rPr>
            </w:pPr>
          </w:p>
        </w:tc>
        <w:tc>
          <w:tcPr>
            <w:tcW w:w="3169" w:type="dxa"/>
            <w:tcBorders>
              <w:top w:val="nil"/>
              <w:left w:val="nil"/>
              <w:bottom w:val="nil"/>
              <w:right w:val="nil"/>
            </w:tcBorders>
            <w:vAlign w:val="center"/>
          </w:tcPr>
          <w:p w14:paraId="0166FB0A">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联系地址：</w:t>
            </w:r>
          </w:p>
        </w:tc>
      </w:tr>
      <w:tr w14:paraId="140DF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69329D12">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电话：</w:t>
            </w:r>
          </w:p>
        </w:tc>
        <w:tc>
          <w:tcPr>
            <w:tcW w:w="1247" w:type="dxa"/>
            <w:tcBorders>
              <w:top w:val="nil"/>
              <w:left w:val="nil"/>
              <w:bottom w:val="nil"/>
              <w:right w:val="nil"/>
            </w:tcBorders>
            <w:vAlign w:val="center"/>
          </w:tcPr>
          <w:p w14:paraId="34A17F4A">
            <w:pPr>
              <w:adjustRightInd w:val="0"/>
              <w:snapToGrid w:val="0"/>
              <w:spacing w:line="360" w:lineRule="auto"/>
              <w:ind w:firstLine="480" w:firstLineChars="200"/>
              <w:rPr>
                <w:rFonts w:ascii="宋体" w:cs="宋体"/>
                <w:snapToGrid w:val="0"/>
                <w:kern w:val="0"/>
                <w:sz w:val="24"/>
                <w:highlight w:val="none"/>
              </w:rPr>
            </w:pPr>
          </w:p>
        </w:tc>
        <w:tc>
          <w:tcPr>
            <w:tcW w:w="3169" w:type="dxa"/>
            <w:tcBorders>
              <w:top w:val="nil"/>
              <w:left w:val="nil"/>
              <w:bottom w:val="nil"/>
              <w:right w:val="nil"/>
            </w:tcBorders>
            <w:vAlign w:val="center"/>
          </w:tcPr>
          <w:p w14:paraId="224538D8">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电话：</w:t>
            </w:r>
          </w:p>
        </w:tc>
      </w:tr>
    </w:tbl>
    <w:p w14:paraId="101E4E99">
      <w:pPr>
        <w:spacing w:line="360" w:lineRule="auto"/>
        <w:ind w:firstLine="480" w:firstLineChars="200"/>
        <w:rPr>
          <w:rFonts w:ascii="宋体" w:cs="宋体"/>
          <w:bCs/>
          <w:snapToGrid w:val="0"/>
          <w:kern w:val="0"/>
          <w:sz w:val="24"/>
          <w:highlight w:val="none"/>
        </w:rPr>
      </w:pPr>
    </w:p>
    <w:p w14:paraId="55EE40DF">
      <w:pPr>
        <w:spacing w:line="360" w:lineRule="auto"/>
        <w:ind w:firstLine="480" w:firstLineChars="200"/>
        <w:rPr>
          <w:rFonts w:ascii="宋体" w:cs="宋体"/>
          <w:snapToGrid w:val="0"/>
          <w:kern w:val="0"/>
          <w:sz w:val="24"/>
          <w:highlight w:val="none"/>
        </w:rPr>
      </w:pPr>
    </w:p>
    <w:p w14:paraId="75D8732D">
      <w:pPr>
        <w:spacing w:line="360" w:lineRule="auto"/>
        <w:ind w:firstLine="480" w:firstLineChars="200"/>
        <w:rPr>
          <w:rFonts w:ascii="宋体" w:cs="宋体"/>
          <w:snapToGrid w:val="0"/>
          <w:kern w:val="0"/>
          <w:sz w:val="24"/>
          <w:highlight w:val="none"/>
        </w:rPr>
      </w:pPr>
    </w:p>
    <w:p w14:paraId="7ED1C90F">
      <w:pPr>
        <w:spacing w:line="360" w:lineRule="auto"/>
        <w:ind w:firstLine="480" w:firstLineChars="200"/>
        <w:rPr>
          <w:rFonts w:ascii="宋体" w:cs="宋体"/>
          <w:snapToGrid w:val="0"/>
          <w:kern w:val="0"/>
          <w:sz w:val="24"/>
          <w:highlight w:val="none"/>
        </w:rPr>
      </w:pPr>
    </w:p>
    <w:p w14:paraId="2A7E43D2">
      <w:pPr>
        <w:spacing w:line="360" w:lineRule="auto"/>
        <w:ind w:firstLine="480" w:firstLineChars="200"/>
        <w:rPr>
          <w:rFonts w:ascii="宋体" w:cs="宋体"/>
          <w:snapToGrid w:val="0"/>
          <w:kern w:val="0"/>
          <w:sz w:val="24"/>
          <w:highlight w:val="none"/>
        </w:rPr>
      </w:pPr>
    </w:p>
    <w:p w14:paraId="15101491">
      <w:pPr>
        <w:spacing w:line="360" w:lineRule="auto"/>
        <w:ind w:firstLine="480" w:firstLineChars="200"/>
        <w:rPr>
          <w:rFonts w:ascii="宋体" w:cs="宋体"/>
          <w:snapToGrid w:val="0"/>
          <w:kern w:val="0"/>
          <w:sz w:val="24"/>
          <w:highlight w:val="none"/>
        </w:rPr>
      </w:pPr>
    </w:p>
    <w:p w14:paraId="416AA662">
      <w:pPr>
        <w:spacing w:line="360" w:lineRule="auto"/>
        <w:ind w:firstLine="480" w:firstLineChars="200"/>
        <w:rPr>
          <w:rFonts w:ascii="宋体" w:cs="宋体"/>
          <w:snapToGrid w:val="0"/>
          <w:kern w:val="0"/>
          <w:sz w:val="24"/>
          <w:highlight w:val="none"/>
        </w:rPr>
      </w:pPr>
    </w:p>
    <w:p w14:paraId="2605E036">
      <w:pPr>
        <w:spacing w:line="360" w:lineRule="auto"/>
        <w:ind w:firstLine="480" w:firstLineChars="200"/>
        <w:rPr>
          <w:rFonts w:ascii="宋体" w:cs="宋体"/>
          <w:snapToGrid w:val="0"/>
          <w:kern w:val="0"/>
          <w:sz w:val="24"/>
          <w:highlight w:val="none"/>
        </w:rPr>
      </w:pPr>
    </w:p>
    <w:p w14:paraId="23D858C1">
      <w:pPr>
        <w:spacing w:line="360" w:lineRule="auto"/>
        <w:ind w:firstLine="480" w:firstLineChars="200"/>
        <w:rPr>
          <w:rFonts w:ascii="宋体" w:cs="宋体"/>
          <w:snapToGrid w:val="0"/>
          <w:kern w:val="0"/>
          <w:sz w:val="24"/>
          <w:highlight w:val="none"/>
        </w:rPr>
      </w:pPr>
    </w:p>
    <w:p w14:paraId="65898AFB">
      <w:pPr>
        <w:spacing w:line="360" w:lineRule="auto"/>
        <w:ind w:firstLine="480" w:firstLineChars="200"/>
        <w:rPr>
          <w:rFonts w:ascii="宋体" w:cs="宋体"/>
          <w:snapToGrid w:val="0"/>
          <w:kern w:val="0"/>
          <w:sz w:val="24"/>
          <w:highlight w:val="none"/>
        </w:rPr>
      </w:pPr>
    </w:p>
    <w:p w14:paraId="67420615">
      <w:pPr>
        <w:spacing w:line="360" w:lineRule="auto"/>
        <w:ind w:firstLine="480" w:firstLineChars="200"/>
        <w:rPr>
          <w:rFonts w:ascii="宋体" w:cs="宋体"/>
          <w:snapToGrid w:val="0"/>
          <w:kern w:val="0"/>
          <w:sz w:val="24"/>
          <w:highlight w:val="none"/>
        </w:rPr>
      </w:pPr>
    </w:p>
    <w:p w14:paraId="1ACDF943">
      <w:pPr>
        <w:spacing w:line="360" w:lineRule="auto"/>
        <w:ind w:firstLine="960" w:firstLineChars="400"/>
        <w:rPr>
          <w:rFonts w:hint="eastAsia" w:ascii="宋体" w:cs="宋体"/>
          <w:snapToGrid w:val="0"/>
          <w:kern w:val="0"/>
          <w:sz w:val="24"/>
          <w:highlight w:val="none"/>
        </w:rPr>
      </w:pPr>
      <w:r>
        <w:rPr>
          <w:rFonts w:hint="eastAsia" w:ascii="宋体" w:cs="宋体"/>
          <w:snapToGrid w:val="0"/>
          <w:kern w:val="0"/>
          <w:sz w:val="24"/>
          <w:highlight w:val="none"/>
        </w:rPr>
        <w:t>项目管理公司：广州科城亨元柯庄投资运营有限公司</w:t>
      </w:r>
    </w:p>
    <w:p w14:paraId="7EA0BB67">
      <w:pPr>
        <w:spacing w:line="360" w:lineRule="auto"/>
        <w:ind w:firstLine="960" w:firstLineChars="400"/>
        <w:rPr>
          <w:rFonts w:hint="eastAsia" w:ascii="宋体" w:cs="宋体"/>
          <w:snapToGrid w:val="0"/>
          <w:kern w:val="0"/>
          <w:sz w:val="24"/>
          <w:highlight w:val="none"/>
        </w:rPr>
      </w:pPr>
      <w:r>
        <w:rPr>
          <w:rFonts w:hint="eastAsia" w:ascii="宋体" w:cs="宋体"/>
          <w:snapToGrid w:val="0"/>
          <w:kern w:val="0"/>
          <w:sz w:val="24"/>
          <w:highlight w:val="none"/>
        </w:rPr>
        <w:t>法定代表人：游焕明</w:t>
      </w:r>
    </w:p>
    <w:p w14:paraId="18DE4959">
      <w:pPr>
        <w:spacing w:line="360" w:lineRule="auto"/>
        <w:ind w:firstLine="960" w:firstLineChars="400"/>
        <w:rPr>
          <w:rFonts w:hint="eastAsia" w:ascii="宋体" w:cs="宋体"/>
          <w:snapToGrid w:val="0"/>
          <w:kern w:val="0"/>
          <w:sz w:val="24"/>
          <w:highlight w:val="none"/>
        </w:rPr>
      </w:pPr>
      <w:r>
        <w:rPr>
          <w:rFonts w:hint="eastAsia" w:ascii="宋体" w:cs="宋体"/>
          <w:snapToGrid w:val="0"/>
          <w:kern w:val="0"/>
          <w:sz w:val="24"/>
          <w:highlight w:val="none"/>
        </w:rPr>
        <w:t>联系人：</w:t>
      </w:r>
    </w:p>
    <w:p w14:paraId="7C1A945F">
      <w:pPr>
        <w:spacing w:line="360" w:lineRule="auto"/>
        <w:ind w:firstLine="960" w:firstLineChars="400"/>
        <w:rPr>
          <w:rFonts w:hint="eastAsia" w:ascii="宋体" w:cs="宋体"/>
          <w:snapToGrid w:val="0"/>
          <w:kern w:val="0"/>
          <w:sz w:val="24"/>
          <w:highlight w:val="none"/>
        </w:rPr>
      </w:pPr>
      <w:r>
        <w:rPr>
          <w:rFonts w:hint="eastAsia" w:ascii="宋体" w:cs="宋体"/>
          <w:snapToGrid w:val="0"/>
          <w:kern w:val="0"/>
          <w:sz w:val="24"/>
          <w:highlight w:val="none"/>
        </w:rPr>
        <w:t>联系电话：020-82114500</w:t>
      </w:r>
    </w:p>
    <w:p w14:paraId="2C440E30">
      <w:pPr>
        <w:spacing w:line="360" w:lineRule="auto"/>
        <w:ind w:firstLine="960" w:firstLineChars="400"/>
        <w:rPr>
          <w:rFonts w:hint="eastAsia"/>
          <w:highlight w:val="none"/>
        </w:rPr>
      </w:pPr>
      <w:r>
        <w:rPr>
          <w:rFonts w:hint="eastAsia" w:ascii="宋体" w:cs="宋体"/>
          <w:snapToGrid w:val="0"/>
          <w:kern w:val="0"/>
          <w:sz w:val="24"/>
          <w:highlight w:val="none"/>
        </w:rPr>
        <w:t>联系地址：广州市黄埔区开创大道2507号802室</w:t>
      </w:r>
    </w:p>
    <w:p w14:paraId="410F95C7">
      <w:pPr>
        <w:spacing w:line="360" w:lineRule="auto"/>
        <w:ind w:firstLine="480" w:firstLineChars="200"/>
        <w:rPr>
          <w:rFonts w:ascii="宋体" w:cs="宋体"/>
          <w:snapToGrid w:val="0"/>
          <w:kern w:val="0"/>
          <w:sz w:val="24"/>
          <w:highlight w:val="none"/>
        </w:rPr>
      </w:pPr>
    </w:p>
    <w:p w14:paraId="57710589">
      <w:pPr>
        <w:spacing w:line="360" w:lineRule="auto"/>
        <w:ind w:firstLine="480" w:firstLineChars="200"/>
        <w:rPr>
          <w:rFonts w:ascii="宋体" w:cs="宋体"/>
          <w:snapToGrid w:val="0"/>
          <w:kern w:val="0"/>
          <w:sz w:val="24"/>
          <w:highlight w:val="none"/>
        </w:rPr>
      </w:pPr>
    </w:p>
    <w:p w14:paraId="0E1B13FD">
      <w:pPr>
        <w:spacing w:line="360" w:lineRule="auto"/>
        <w:ind w:firstLine="480" w:firstLineChars="200"/>
        <w:rPr>
          <w:rFonts w:ascii="宋体" w:cs="宋体"/>
          <w:snapToGrid w:val="0"/>
          <w:kern w:val="0"/>
          <w:sz w:val="24"/>
          <w:highlight w:val="none"/>
        </w:rPr>
      </w:pPr>
    </w:p>
    <w:p w14:paraId="0555B381">
      <w:pPr>
        <w:spacing w:line="360" w:lineRule="auto"/>
        <w:rPr>
          <w:rFonts w:ascii="宋体" w:cs="宋体"/>
          <w:snapToGrid w:val="0"/>
          <w:kern w:val="0"/>
          <w:sz w:val="24"/>
          <w:highlight w:val="none"/>
        </w:rPr>
      </w:pPr>
    </w:p>
    <w:p w14:paraId="78D5DAE1">
      <w:pPr>
        <w:spacing w:line="360" w:lineRule="auto"/>
        <w:ind w:firstLine="480" w:firstLineChars="200"/>
        <w:rPr>
          <w:rFonts w:ascii="宋体" w:cs="宋体"/>
          <w:snapToGrid w:val="0"/>
          <w:kern w:val="0"/>
          <w:sz w:val="24"/>
          <w:highlight w:val="none"/>
        </w:rPr>
      </w:pPr>
    </w:p>
    <w:p w14:paraId="2BC5BF34">
      <w:pPr>
        <w:spacing w:line="360" w:lineRule="auto"/>
        <w:ind w:firstLine="480" w:firstLineChars="200"/>
        <w:rPr>
          <w:rFonts w:ascii="宋体" w:cs="宋体"/>
          <w:snapToGrid w:val="0"/>
          <w:kern w:val="0"/>
          <w:sz w:val="24"/>
          <w:highlight w:val="none"/>
        </w:rPr>
      </w:pPr>
    </w:p>
    <w:p w14:paraId="7474AA7F">
      <w:pPr>
        <w:spacing w:line="360" w:lineRule="auto"/>
        <w:ind w:firstLine="480" w:firstLineChars="200"/>
        <w:rPr>
          <w:rFonts w:ascii="宋体" w:cs="宋体"/>
          <w:snapToGrid w:val="0"/>
          <w:kern w:val="0"/>
          <w:sz w:val="24"/>
          <w:highlight w:val="none"/>
        </w:rPr>
      </w:pPr>
    </w:p>
    <w:p w14:paraId="27AB7399">
      <w:pPr>
        <w:spacing w:line="360" w:lineRule="auto"/>
        <w:ind w:firstLine="480" w:firstLineChars="200"/>
        <w:rPr>
          <w:rFonts w:ascii="宋体" w:cs="宋体"/>
          <w:snapToGrid w:val="0"/>
          <w:kern w:val="0"/>
          <w:sz w:val="24"/>
          <w:highlight w:val="none"/>
        </w:rPr>
      </w:pPr>
    </w:p>
    <w:p w14:paraId="58DBA44C">
      <w:pPr>
        <w:spacing w:line="360" w:lineRule="auto"/>
        <w:ind w:firstLine="480" w:firstLineChars="200"/>
        <w:rPr>
          <w:rFonts w:ascii="宋体" w:cs="宋体"/>
          <w:snapToGrid w:val="0"/>
          <w:kern w:val="0"/>
          <w:sz w:val="24"/>
          <w:highlight w:val="none"/>
        </w:rPr>
      </w:pPr>
    </w:p>
    <w:p w14:paraId="72AFE08A">
      <w:pPr>
        <w:spacing w:line="360" w:lineRule="auto"/>
        <w:ind w:firstLine="0"/>
        <w:rPr>
          <w:rFonts w:ascii="宋体" w:cs="宋体"/>
          <w:snapToGrid w:val="0"/>
          <w:kern w:val="0"/>
          <w:sz w:val="24"/>
          <w:highlight w:val="none"/>
        </w:rPr>
      </w:pPr>
    </w:p>
    <w:p w14:paraId="78CB01A8">
      <w:pPr>
        <w:spacing w:line="360" w:lineRule="auto"/>
        <w:ind w:firstLine="480" w:firstLineChars="200"/>
        <w:rPr>
          <w:rFonts w:ascii="宋体" w:cs="宋体"/>
          <w:snapToGrid w:val="0"/>
          <w:kern w:val="0"/>
          <w:sz w:val="24"/>
          <w:highlight w:val="none"/>
        </w:rPr>
      </w:pPr>
    </w:p>
    <w:p w14:paraId="4AF86C65">
      <w:pPr>
        <w:spacing w:line="360" w:lineRule="auto"/>
        <w:ind w:firstLine="482" w:firstLineChars="200"/>
        <w:rPr>
          <w:rFonts w:ascii="宋体" w:cs="宋体"/>
          <w:b/>
          <w:snapToGrid w:val="0"/>
          <w:kern w:val="0"/>
          <w:sz w:val="24"/>
          <w:highlight w:val="none"/>
        </w:rPr>
      </w:pPr>
      <w:r>
        <w:rPr>
          <w:rFonts w:hint="eastAsia" w:ascii="宋体" w:cs="宋体"/>
          <w:b/>
          <w:bCs/>
          <w:snapToGrid w:val="0"/>
          <w:kern w:val="0"/>
          <w:sz w:val="24"/>
          <w:highlight w:val="none"/>
        </w:rPr>
        <w:t>签订地点：广东省广州市黄埔区。</w:t>
      </w:r>
    </w:p>
    <w:p w14:paraId="44D75106">
      <w:pPr>
        <w:tabs>
          <w:tab w:val="left" w:pos="7920"/>
        </w:tabs>
        <w:autoSpaceDE w:val="0"/>
        <w:autoSpaceDN w:val="0"/>
        <w:adjustRightInd w:val="0"/>
        <w:snapToGrid w:val="0"/>
        <w:spacing w:line="360" w:lineRule="auto"/>
        <w:ind w:firstLine="482" w:firstLineChars="200"/>
        <w:jc w:val="center"/>
        <w:rPr>
          <w:rFonts w:ascii="宋体" w:cs="宋体"/>
          <w:b/>
          <w:kern w:val="0"/>
          <w:sz w:val="24"/>
          <w:highlight w:val="none"/>
        </w:rPr>
      </w:pPr>
      <w:r>
        <w:rPr>
          <w:rFonts w:hint="eastAsia" w:ascii="宋体" w:cs="宋体"/>
          <w:b/>
          <w:kern w:val="0"/>
          <w:sz w:val="24"/>
          <w:highlight w:val="none"/>
          <w:lang w:val="zh-CN"/>
        </w:rPr>
        <w:t>廉</w:t>
      </w:r>
      <w:r>
        <w:rPr>
          <w:rFonts w:hint="eastAsia" w:ascii="宋体" w:cs="宋体"/>
          <w:b/>
          <w:kern w:val="0"/>
          <w:sz w:val="24"/>
          <w:highlight w:val="none"/>
        </w:rPr>
        <w:t>洁</w:t>
      </w:r>
      <w:r>
        <w:rPr>
          <w:rFonts w:hint="eastAsia" w:ascii="宋体" w:cs="宋体"/>
          <w:b/>
          <w:kern w:val="0"/>
          <w:sz w:val="24"/>
          <w:highlight w:val="none"/>
          <w:lang w:val="zh-CN"/>
        </w:rPr>
        <w:t>协议</w:t>
      </w:r>
    </w:p>
    <w:p w14:paraId="50F936B8">
      <w:pPr>
        <w:tabs>
          <w:tab w:val="left" w:pos="7920"/>
        </w:tabs>
        <w:autoSpaceDE w:val="0"/>
        <w:autoSpaceDN w:val="0"/>
        <w:adjustRightInd w:val="0"/>
        <w:snapToGrid w:val="0"/>
        <w:spacing w:line="360" w:lineRule="auto"/>
        <w:ind w:firstLine="482" w:firstLineChars="200"/>
        <w:rPr>
          <w:rFonts w:ascii="宋体" w:cs="宋体"/>
          <w:b/>
          <w:kern w:val="0"/>
          <w:sz w:val="24"/>
          <w:highlight w:val="none"/>
        </w:rPr>
      </w:pPr>
    </w:p>
    <w:p w14:paraId="595649F0">
      <w:pPr>
        <w:tabs>
          <w:tab w:val="left" w:pos="7920"/>
        </w:tabs>
        <w:autoSpaceDE w:val="0"/>
        <w:autoSpaceDN w:val="0"/>
        <w:adjustRightInd w:val="0"/>
        <w:snapToGrid w:val="0"/>
        <w:spacing w:line="360" w:lineRule="auto"/>
        <w:ind w:firstLine="480" w:firstLineChars="200"/>
        <w:rPr>
          <w:rFonts w:ascii="宋体" w:cs="宋体"/>
          <w:kern w:val="0"/>
          <w:sz w:val="24"/>
          <w:highlight w:val="none"/>
        </w:rPr>
      </w:pPr>
      <w:r>
        <w:rPr>
          <w:rFonts w:hint="eastAsia" w:ascii="宋体" w:cs="宋体"/>
          <w:kern w:val="0"/>
          <w:sz w:val="24"/>
          <w:highlight w:val="none"/>
          <w:lang w:val="zh-CN"/>
        </w:rPr>
        <w:t>甲方</w:t>
      </w:r>
      <w:r>
        <w:rPr>
          <w:rFonts w:ascii="宋体" w:cs="宋体"/>
          <w:kern w:val="0"/>
          <w:sz w:val="24"/>
          <w:highlight w:val="none"/>
        </w:rPr>
        <w:t>:</w:t>
      </w:r>
      <w:r>
        <w:rPr>
          <w:rFonts w:hint="eastAsia" w:ascii="宋体" w:cs="宋体"/>
          <w:sz w:val="24"/>
          <w:highlight w:val="none"/>
        </w:rPr>
        <w:t>【科学城(广州)城市更新集团有限公司】</w:t>
      </w:r>
    </w:p>
    <w:p w14:paraId="06645D04">
      <w:pPr>
        <w:tabs>
          <w:tab w:val="left" w:pos="7920"/>
        </w:tabs>
        <w:autoSpaceDE w:val="0"/>
        <w:autoSpaceDN w:val="0"/>
        <w:adjustRightInd w:val="0"/>
        <w:snapToGrid w:val="0"/>
        <w:spacing w:line="360" w:lineRule="auto"/>
        <w:ind w:firstLine="480" w:firstLineChars="200"/>
        <w:rPr>
          <w:rFonts w:ascii="宋体" w:cs="宋体"/>
          <w:kern w:val="0"/>
          <w:sz w:val="24"/>
          <w:highlight w:val="none"/>
          <w:lang w:val="zh-CN"/>
        </w:rPr>
      </w:pPr>
      <w:r>
        <w:rPr>
          <w:rFonts w:hint="eastAsia" w:ascii="宋体" w:cs="宋体"/>
          <w:kern w:val="0"/>
          <w:sz w:val="24"/>
          <w:highlight w:val="none"/>
          <w:lang w:val="zh-CN"/>
        </w:rPr>
        <w:t>乙方:【</w:t>
      </w:r>
      <w:r>
        <w:rPr>
          <w:rFonts w:ascii="宋体" w:cs="宋体"/>
          <w:b/>
          <w:sz w:val="24"/>
          <w:highlight w:val="none"/>
          <w:u w:val="single"/>
          <w:shd w:val="pct10" w:color="auto" w:fill="FFFFFF"/>
        </w:rPr>
        <w:t xml:space="preserve">               </w:t>
      </w:r>
      <w:r>
        <w:rPr>
          <w:rFonts w:hint="eastAsia" w:ascii="宋体" w:cs="宋体"/>
          <w:kern w:val="0"/>
          <w:sz w:val="24"/>
          <w:highlight w:val="none"/>
          <w:lang w:val="zh-CN"/>
        </w:rPr>
        <w:t>】</w:t>
      </w:r>
    </w:p>
    <w:p w14:paraId="50A726C8">
      <w:pPr>
        <w:pStyle w:val="18"/>
        <w:spacing w:line="360" w:lineRule="auto"/>
        <w:ind w:firstLine="480" w:firstLineChars="200"/>
        <w:rPr>
          <w:rFonts w:ascii="宋体" w:cs="宋体"/>
          <w:sz w:val="24"/>
          <w:szCs w:val="24"/>
          <w:highlight w:val="none"/>
          <w:lang w:val="zh-CN"/>
        </w:rPr>
      </w:pPr>
    </w:p>
    <w:p w14:paraId="0A9BF919">
      <w:pPr>
        <w:tabs>
          <w:tab w:val="left" w:pos="7920"/>
        </w:tabs>
        <w:autoSpaceDE w:val="0"/>
        <w:autoSpaceDN w:val="0"/>
        <w:adjustRightInd w:val="0"/>
        <w:snapToGrid w:val="0"/>
        <w:spacing w:line="360" w:lineRule="auto"/>
        <w:ind w:firstLine="480" w:firstLineChars="200"/>
        <w:rPr>
          <w:rFonts w:ascii="宋体" w:cs="宋体"/>
          <w:kern w:val="0"/>
          <w:sz w:val="24"/>
          <w:highlight w:val="none"/>
          <w:lang w:val="zh-CN"/>
        </w:rPr>
      </w:pPr>
      <w:r>
        <w:rPr>
          <w:rFonts w:hint="eastAsia" w:ascii="宋体" w:cs="宋体"/>
          <w:kern w:val="0"/>
          <w:sz w:val="24"/>
          <w:highlight w:val="none"/>
          <w:lang w:val="zh-CN"/>
        </w:rPr>
        <w:t>鉴于，</w:t>
      </w:r>
      <w:r>
        <w:rPr>
          <w:rFonts w:hint="eastAsia" w:ascii="宋体" w:cs="宋体"/>
          <w:kern w:val="0"/>
          <w:sz w:val="24"/>
          <w:highlight w:val="none"/>
        </w:rPr>
        <w:t>甲、乙各方</w:t>
      </w:r>
      <w:r>
        <w:rPr>
          <w:rFonts w:hint="eastAsia" w:ascii="宋体" w:cs="宋体"/>
          <w:kern w:val="0"/>
          <w:sz w:val="24"/>
          <w:highlight w:val="none"/>
          <w:lang w:val="zh-CN"/>
        </w:rPr>
        <w:t>已签订【广州市黄埔区南岗街南岗社区亨元、柯庄片区城中村改造项目复建地块12建设项目施工建设工程监理合同】（以下简称“合同”），</w:t>
      </w:r>
      <w:r>
        <w:rPr>
          <w:rFonts w:hint="eastAsia" w:ascii="宋体" w:cs="宋体"/>
          <w:kern w:val="0"/>
          <w:sz w:val="24"/>
          <w:highlight w:val="none"/>
        </w:rPr>
        <w:t>为</w:t>
      </w:r>
      <w:r>
        <w:rPr>
          <w:rFonts w:hint="eastAsia" w:ascii="宋体" w:cs="宋体"/>
          <w:kern w:val="0"/>
          <w:sz w:val="24"/>
          <w:highlight w:val="none"/>
          <w:lang w:val="zh-CN"/>
        </w:rPr>
        <w:t>规范商业行为，维护市场公平竞争秩序，营造诚信、透明、公平与公正的合作环境，促进甲、乙</w:t>
      </w:r>
      <w:r>
        <w:rPr>
          <w:rFonts w:hint="eastAsia" w:ascii="宋体" w:cs="宋体"/>
          <w:kern w:val="0"/>
          <w:sz w:val="24"/>
          <w:highlight w:val="none"/>
        </w:rPr>
        <w:t>各方</w:t>
      </w:r>
      <w:r>
        <w:rPr>
          <w:rFonts w:hint="eastAsia" w:ascii="宋体" w:cs="宋体"/>
          <w:kern w:val="0"/>
          <w:sz w:val="24"/>
          <w:highlight w:val="none"/>
          <w:lang w:val="zh-CN"/>
        </w:rPr>
        <w:t>的业务发展和廉洁建设，</w:t>
      </w:r>
      <w:r>
        <w:rPr>
          <w:rFonts w:hint="eastAsia" w:ascii="宋体" w:cs="宋体"/>
          <w:kern w:val="0"/>
          <w:sz w:val="24"/>
          <w:highlight w:val="none"/>
        </w:rPr>
        <w:t>各方</w:t>
      </w:r>
      <w:r>
        <w:rPr>
          <w:rFonts w:hint="eastAsia" w:ascii="宋体" w:cs="宋体"/>
          <w:kern w:val="0"/>
          <w:sz w:val="24"/>
          <w:highlight w:val="none"/>
          <w:lang w:val="zh-CN"/>
        </w:rPr>
        <w:t>就廉洁建设相关事宜订立</w:t>
      </w:r>
      <w:r>
        <w:rPr>
          <w:rFonts w:hint="eastAsia" w:ascii="宋体" w:cs="宋体"/>
          <w:sz w:val="24"/>
          <w:highlight w:val="none"/>
        </w:rPr>
        <w:t>《廉洁协议》（以下简称“</w:t>
      </w:r>
      <w:r>
        <w:rPr>
          <w:rFonts w:hint="eastAsia" w:ascii="宋体" w:cs="宋体"/>
          <w:bCs/>
          <w:sz w:val="24"/>
          <w:highlight w:val="none"/>
        </w:rPr>
        <w:t>本协议”）</w:t>
      </w:r>
      <w:r>
        <w:rPr>
          <w:rFonts w:hint="eastAsia" w:ascii="宋体" w:cs="宋体"/>
          <w:kern w:val="0"/>
          <w:sz w:val="24"/>
          <w:highlight w:val="none"/>
          <w:lang w:val="zh-CN"/>
        </w:rPr>
        <w:t>，以供遵照执行。本协议不受各方业务合同变更、解除或终止、无效的影响，始终有效。</w:t>
      </w:r>
    </w:p>
    <w:p w14:paraId="4EE68913">
      <w:pPr>
        <w:pStyle w:val="30"/>
        <w:tabs>
          <w:tab w:val="left" w:pos="540"/>
        </w:tabs>
        <w:autoSpaceDE w:val="0"/>
        <w:autoSpaceDN w:val="0"/>
        <w:adjustRightInd w:val="0"/>
        <w:snapToGrid w:val="0"/>
        <w:spacing w:line="360" w:lineRule="auto"/>
        <w:rPr>
          <w:rFonts w:ascii="宋体" w:cs="宋体"/>
          <w:b/>
          <w:kern w:val="0"/>
          <w:sz w:val="24"/>
          <w:highlight w:val="none"/>
          <w:lang w:val="zh-CN"/>
        </w:rPr>
      </w:pPr>
      <w:r>
        <w:rPr>
          <w:rFonts w:ascii="宋体" w:cs="宋体"/>
          <w:b/>
          <w:kern w:val="0"/>
          <w:sz w:val="24"/>
          <w:highlight w:val="none"/>
          <w:lang w:val="zh-CN"/>
        </w:rPr>
        <w:t>1</w:t>
      </w:r>
      <w:r>
        <w:rPr>
          <w:rFonts w:ascii="宋体" w:cs="宋体"/>
          <w:b/>
          <w:kern w:val="0"/>
          <w:sz w:val="24"/>
          <w:highlight w:val="none"/>
        </w:rPr>
        <w:t>.</w:t>
      </w:r>
      <w:r>
        <w:rPr>
          <w:rFonts w:hint="eastAsia" w:ascii="宋体" w:cs="宋体"/>
          <w:b/>
          <w:kern w:val="0"/>
          <w:sz w:val="24"/>
          <w:highlight w:val="none"/>
          <w:lang w:val="zh-CN"/>
        </w:rPr>
        <w:t>廉</w:t>
      </w:r>
      <w:r>
        <w:rPr>
          <w:rFonts w:hint="eastAsia" w:ascii="宋体" w:cs="宋体"/>
          <w:b/>
          <w:kern w:val="0"/>
          <w:sz w:val="24"/>
          <w:highlight w:val="none"/>
        </w:rPr>
        <w:t>洁</w:t>
      </w:r>
      <w:r>
        <w:rPr>
          <w:rFonts w:hint="eastAsia" w:ascii="宋体" w:cs="宋体"/>
          <w:b/>
          <w:kern w:val="0"/>
          <w:sz w:val="24"/>
          <w:highlight w:val="none"/>
          <w:lang w:val="zh-CN"/>
        </w:rPr>
        <w:t>规定</w:t>
      </w:r>
    </w:p>
    <w:p w14:paraId="2D56C715">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1.1</w:t>
      </w:r>
      <w:r>
        <w:rPr>
          <w:rFonts w:ascii="宋体" w:cs="宋体"/>
          <w:b/>
          <w:kern w:val="0"/>
          <w:sz w:val="24"/>
          <w:highlight w:val="none"/>
        </w:rPr>
        <w:t xml:space="preserve"> </w:t>
      </w:r>
      <w:r>
        <w:rPr>
          <w:rFonts w:hint="eastAsia" w:ascii="宋体" w:cs="宋体"/>
          <w:kern w:val="0"/>
          <w:sz w:val="24"/>
          <w:highlight w:val="none"/>
          <w:lang w:val="zh-CN"/>
        </w:rPr>
        <w:t>各方应严格遵守国家、省、所在地区有关廉洁方面法律法规的规定。</w:t>
      </w:r>
    </w:p>
    <w:p w14:paraId="349F7E96">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1.2</w:t>
      </w:r>
      <w:r>
        <w:rPr>
          <w:rFonts w:ascii="宋体" w:cs="宋体"/>
          <w:b/>
          <w:kern w:val="0"/>
          <w:sz w:val="24"/>
          <w:highlight w:val="none"/>
        </w:rPr>
        <w:t xml:space="preserve"> </w:t>
      </w:r>
      <w:r>
        <w:rPr>
          <w:rFonts w:hint="eastAsia" w:ascii="宋体" w:cs="宋体"/>
          <w:kern w:val="0"/>
          <w:sz w:val="24"/>
          <w:highlight w:val="none"/>
          <w:lang w:val="zh-CN"/>
        </w:rPr>
        <w:t>各方应严格执行招标文件、竞价文件以及合同文件的内容，根据约定履行相关义务。</w:t>
      </w:r>
    </w:p>
    <w:p w14:paraId="194F196E">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1.3</w:t>
      </w:r>
      <w:r>
        <w:rPr>
          <w:rFonts w:ascii="宋体" w:cs="宋体"/>
          <w:b/>
          <w:kern w:val="0"/>
          <w:sz w:val="24"/>
          <w:highlight w:val="none"/>
        </w:rPr>
        <w:t xml:space="preserve"> </w:t>
      </w:r>
      <w:r>
        <w:rPr>
          <w:rFonts w:hint="eastAsia" w:ascii="宋体" w:cs="宋体"/>
          <w:kern w:val="0"/>
          <w:sz w:val="24"/>
          <w:highlight w:val="none"/>
          <w:lang w:val="zh-CN"/>
        </w:rPr>
        <w:t>合同各方当事人的业务活动应坚持公平、公开、公正和诚信的原则(法律认定的商业秘密和合同另有约定除外)，不得损害国家、集体和合同各方的利益，不得违反项目管理规章制度。</w:t>
      </w:r>
    </w:p>
    <w:p w14:paraId="74158C29">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1.4</w:t>
      </w:r>
      <w:r>
        <w:rPr>
          <w:rFonts w:ascii="宋体" w:cs="宋体"/>
          <w:b/>
          <w:kern w:val="0"/>
          <w:sz w:val="24"/>
          <w:highlight w:val="none"/>
        </w:rPr>
        <w:t xml:space="preserve"> </w:t>
      </w:r>
      <w:r>
        <w:rPr>
          <w:rFonts w:hint="eastAsia" w:ascii="宋体" w:cs="宋体"/>
          <w:kern w:val="0"/>
          <w:sz w:val="24"/>
          <w:highlight w:val="none"/>
          <w:lang w:val="zh-CN"/>
        </w:rPr>
        <w:t>发现其中一方在业务活动中有违反廉洁建设规定的行为，应及时给予提醒和纠正。</w:t>
      </w:r>
    </w:p>
    <w:p w14:paraId="1EDD4F6D">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1.5</w:t>
      </w:r>
      <w:r>
        <w:rPr>
          <w:rFonts w:ascii="宋体" w:cs="宋体"/>
          <w:b/>
          <w:kern w:val="0"/>
          <w:sz w:val="24"/>
          <w:highlight w:val="none"/>
        </w:rPr>
        <w:t xml:space="preserve"> </w:t>
      </w:r>
      <w:r>
        <w:rPr>
          <w:rFonts w:hint="eastAsia" w:ascii="宋体" w:cs="宋体"/>
          <w:kern w:val="0"/>
          <w:sz w:val="24"/>
          <w:highlight w:val="none"/>
          <w:lang w:val="zh-CN"/>
        </w:rPr>
        <w:t>发现其中一方严重违反</w:t>
      </w:r>
      <w:r>
        <w:rPr>
          <w:rFonts w:hint="eastAsia" w:ascii="宋体" w:cs="宋体"/>
          <w:kern w:val="0"/>
          <w:sz w:val="24"/>
          <w:highlight w:val="none"/>
        </w:rPr>
        <w:t>本</w:t>
      </w:r>
      <w:r>
        <w:rPr>
          <w:rFonts w:hint="eastAsia" w:ascii="宋体" w:cs="宋体"/>
          <w:kern w:val="0"/>
          <w:sz w:val="24"/>
          <w:highlight w:val="none"/>
          <w:lang w:val="zh-CN"/>
        </w:rPr>
        <w:t>协议、违规、违纪、违法等行为，有向</w:t>
      </w:r>
      <w:r>
        <w:rPr>
          <w:rFonts w:hint="eastAsia" w:ascii="宋体" w:cs="宋体"/>
          <w:kern w:val="0"/>
          <w:sz w:val="24"/>
          <w:highlight w:val="none"/>
        </w:rPr>
        <w:t>甲</w:t>
      </w:r>
      <w:r>
        <w:rPr>
          <w:rFonts w:hint="eastAsia" w:ascii="宋体" w:cs="宋体"/>
          <w:kern w:val="0"/>
          <w:sz w:val="24"/>
          <w:highlight w:val="none"/>
          <w:lang w:val="zh-CN"/>
        </w:rPr>
        <w:t>方及丙方廉洁监督部门举报、建议的权利。</w:t>
      </w:r>
    </w:p>
    <w:p w14:paraId="36657FD2">
      <w:pPr>
        <w:pStyle w:val="30"/>
        <w:tabs>
          <w:tab w:val="left" w:pos="540"/>
        </w:tabs>
        <w:autoSpaceDE w:val="0"/>
        <w:autoSpaceDN w:val="0"/>
        <w:adjustRightInd w:val="0"/>
        <w:snapToGrid w:val="0"/>
        <w:spacing w:line="360" w:lineRule="auto"/>
        <w:rPr>
          <w:rFonts w:ascii="宋体" w:cs="宋体"/>
          <w:b/>
          <w:kern w:val="0"/>
          <w:sz w:val="24"/>
          <w:highlight w:val="none"/>
          <w:lang w:val="zh-CN"/>
        </w:rPr>
      </w:pPr>
      <w:r>
        <w:rPr>
          <w:rFonts w:ascii="宋体" w:cs="宋体"/>
          <w:b/>
          <w:kern w:val="0"/>
          <w:sz w:val="24"/>
          <w:highlight w:val="none"/>
          <w:lang w:val="zh-CN"/>
        </w:rPr>
        <w:t>2</w:t>
      </w:r>
      <w:r>
        <w:rPr>
          <w:rFonts w:ascii="宋体" w:cs="宋体"/>
          <w:b/>
          <w:kern w:val="0"/>
          <w:sz w:val="24"/>
          <w:highlight w:val="none"/>
        </w:rPr>
        <w:t>.</w:t>
      </w:r>
      <w:r>
        <w:rPr>
          <w:rFonts w:hint="eastAsia" w:ascii="宋体" w:cs="宋体"/>
          <w:b/>
          <w:kern w:val="0"/>
          <w:sz w:val="24"/>
          <w:highlight w:val="none"/>
          <w:lang w:val="zh-CN"/>
        </w:rPr>
        <w:t>甲方权利义务</w:t>
      </w:r>
    </w:p>
    <w:p w14:paraId="51FF2567">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2.1</w:t>
      </w:r>
      <w:r>
        <w:rPr>
          <w:rFonts w:ascii="宋体" w:cs="宋体"/>
          <w:b/>
          <w:kern w:val="0"/>
          <w:sz w:val="24"/>
          <w:highlight w:val="none"/>
        </w:rPr>
        <w:t xml:space="preserve"> </w:t>
      </w:r>
      <w:r>
        <w:rPr>
          <w:rFonts w:hint="eastAsia" w:ascii="宋体" w:cs="宋体"/>
          <w:kern w:val="0"/>
          <w:sz w:val="24"/>
          <w:highlight w:val="none"/>
          <w:lang w:val="zh-CN"/>
        </w:rPr>
        <w:t>甲方及其工作人员（含甲方聘请的与合同履行相关的</w:t>
      </w:r>
      <w:r>
        <w:rPr>
          <w:rFonts w:hint="eastAsia" w:ascii="宋体" w:cs="宋体"/>
          <w:kern w:val="0"/>
          <w:sz w:val="24"/>
          <w:highlight w:val="none"/>
        </w:rPr>
        <w:t>劳务派遣</w:t>
      </w:r>
      <w:r>
        <w:rPr>
          <w:rFonts w:hint="eastAsia" w:ascii="宋体" w:cs="宋体"/>
          <w:kern w:val="0"/>
          <w:sz w:val="24"/>
          <w:highlight w:val="none"/>
          <w:lang w:val="zh-CN"/>
        </w:rPr>
        <w:t>人员、与合同项下项目有关的所有巡查及检查人员，以下统称“甲方人员”，下同）不得索取或接受乙方的礼金、有价证券和贵重物品，不得利用业务之便向乙方索要回扣，不得在乙方报销任何应由甲方人员个人支付的费用，不得以任何名义向乙方借钱、借物。</w:t>
      </w:r>
    </w:p>
    <w:p w14:paraId="21BEAC8B">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2.2</w:t>
      </w:r>
      <w:r>
        <w:rPr>
          <w:rFonts w:ascii="宋体" w:cs="宋体"/>
          <w:b/>
          <w:kern w:val="0"/>
          <w:sz w:val="24"/>
          <w:highlight w:val="none"/>
        </w:rPr>
        <w:t xml:space="preserve"> </w:t>
      </w:r>
      <w:r>
        <w:rPr>
          <w:rFonts w:hint="eastAsia" w:ascii="宋体" w:cs="宋体"/>
          <w:kern w:val="0"/>
          <w:sz w:val="24"/>
          <w:highlight w:val="none"/>
          <w:lang w:val="zh-CN"/>
        </w:rPr>
        <w:t>甲方人员不得参加乙方安排的宴请(工作餐除外)和娱乐活动，不得接受乙方提供的通讯、交通工具和高档办公用品等物品。</w:t>
      </w:r>
    </w:p>
    <w:p w14:paraId="70EC367A">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2.3</w:t>
      </w:r>
      <w:r>
        <w:rPr>
          <w:rFonts w:ascii="宋体" w:cs="宋体"/>
          <w:b/>
          <w:kern w:val="0"/>
          <w:sz w:val="24"/>
          <w:highlight w:val="none"/>
        </w:rPr>
        <w:t xml:space="preserve"> </w:t>
      </w:r>
      <w:r>
        <w:rPr>
          <w:rFonts w:hint="eastAsia" w:ascii="宋体" w:cs="宋体"/>
          <w:kern w:val="0"/>
          <w:sz w:val="24"/>
          <w:highlight w:val="none"/>
          <w:lang w:val="zh-CN"/>
        </w:rPr>
        <w:t>甲方人员不得要求或者接受乙方为其住房装修、婚丧嫁娶活动、配偶子女工作升学安排以及出国出境、旅游等提供方便。</w:t>
      </w:r>
    </w:p>
    <w:p w14:paraId="6D5D5B73">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2.4</w:t>
      </w:r>
      <w:r>
        <w:rPr>
          <w:rFonts w:ascii="宋体" w:cs="宋体"/>
          <w:b/>
          <w:kern w:val="0"/>
          <w:sz w:val="24"/>
          <w:highlight w:val="none"/>
        </w:rPr>
        <w:t xml:space="preserve"> </w:t>
      </w:r>
      <w:r>
        <w:rPr>
          <w:rFonts w:hint="eastAsia" w:ascii="宋体" w:cs="宋体"/>
          <w:kern w:val="0"/>
          <w:sz w:val="24"/>
          <w:highlight w:val="none"/>
          <w:lang w:val="zh-CN"/>
        </w:rPr>
        <w:t>甲方人员</w:t>
      </w:r>
      <w:r>
        <w:rPr>
          <w:rFonts w:hint="eastAsia" w:ascii="宋体" w:cs="宋体"/>
          <w:kern w:val="0"/>
          <w:sz w:val="24"/>
          <w:highlight w:val="none"/>
        </w:rPr>
        <w:t>应</w:t>
      </w:r>
      <w:r>
        <w:rPr>
          <w:rFonts w:hint="eastAsia" w:ascii="宋体" w:cs="宋体"/>
          <w:kern w:val="0"/>
          <w:sz w:val="24"/>
          <w:highlight w:val="none"/>
          <w:lang w:val="zh-CN"/>
        </w:rPr>
        <w:t>秉公办事，不准营私舞弊，不得利用职权私自为合同安排服务队伍，也不得从事与合同服务有关的各种有偿中介活动。</w:t>
      </w:r>
    </w:p>
    <w:p w14:paraId="07D0A2FB">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2.5</w:t>
      </w:r>
      <w:r>
        <w:rPr>
          <w:rFonts w:ascii="宋体" w:cs="宋体"/>
          <w:b/>
          <w:kern w:val="0"/>
          <w:sz w:val="24"/>
          <w:highlight w:val="none"/>
        </w:rPr>
        <w:t xml:space="preserve"> </w:t>
      </w:r>
      <w:r>
        <w:rPr>
          <w:rFonts w:hint="eastAsia" w:ascii="宋体" w:cs="宋体"/>
          <w:kern w:val="0"/>
          <w:sz w:val="24"/>
          <w:highlight w:val="none"/>
          <w:lang w:val="zh-CN"/>
        </w:rPr>
        <w:t>甲方人员(含其配偶、子女)不得从事与合同项目有关的材料和设备供应、分包、劳务等经济活动。</w:t>
      </w:r>
    </w:p>
    <w:p w14:paraId="136F97FF">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2.6</w:t>
      </w:r>
      <w:r>
        <w:rPr>
          <w:rFonts w:ascii="宋体" w:cs="宋体"/>
          <w:b/>
          <w:kern w:val="0"/>
          <w:sz w:val="24"/>
          <w:highlight w:val="none"/>
        </w:rPr>
        <w:t xml:space="preserve"> </w:t>
      </w:r>
      <w:r>
        <w:rPr>
          <w:rFonts w:hint="eastAsia" w:ascii="宋体" w:cs="宋体"/>
          <w:kern w:val="0"/>
          <w:sz w:val="24"/>
          <w:highlight w:val="none"/>
          <w:lang w:val="zh-CN"/>
        </w:rPr>
        <w:t>甲方与乙方发生业务往来过程中，不得有弄虚作假、以次充好、虚结虚算等违反诚信原则的行为。</w:t>
      </w:r>
    </w:p>
    <w:p w14:paraId="1794525C">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2.7</w:t>
      </w:r>
      <w:r>
        <w:rPr>
          <w:rFonts w:ascii="宋体" w:cs="宋体"/>
          <w:b/>
          <w:kern w:val="0"/>
          <w:sz w:val="24"/>
          <w:highlight w:val="none"/>
        </w:rPr>
        <w:t xml:space="preserve"> </w:t>
      </w:r>
      <w:r>
        <w:rPr>
          <w:rFonts w:hint="eastAsia" w:ascii="宋体" w:cs="宋体"/>
          <w:kern w:val="0"/>
          <w:sz w:val="24"/>
          <w:highlight w:val="none"/>
          <w:lang w:val="zh-CN"/>
        </w:rPr>
        <w:t>甲方发现乙方人员在业务活动中有违法违规或违反</w:t>
      </w:r>
      <w:r>
        <w:rPr>
          <w:rFonts w:hint="eastAsia" w:ascii="宋体" w:cs="宋体"/>
          <w:kern w:val="0"/>
          <w:sz w:val="24"/>
          <w:highlight w:val="none"/>
        </w:rPr>
        <w:t>本</w:t>
      </w:r>
      <w:r>
        <w:rPr>
          <w:rFonts w:hint="eastAsia" w:ascii="宋体" w:cs="宋体"/>
          <w:kern w:val="0"/>
          <w:sz w:val="24"/>
          <w:highlight w:val="none"/>
          <w:lang w:val="zh-CN"/>
        </w:rPr>
        <w:t>协议规定行为的，及时要求乙方采取措施制止该不廉洁行为；情节严重的，应向上级主管部门或纪检监察、司法等有关机关举报。</w:t>
      </w:r>
    </w:p>
    <w:p w14:paraId="56D37358">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2.8</w:t>
      </w:r>
      <w:r>
        <w:rPr>
          <w:rFonts w:ascii="宋体" w:cs="宋体"/>
          <w:b/>
          <w:kern w:val="0"/>
          <w:sz w:val="24"/>
          <w:highlight w:val="none"/>
        </w:rPr>
        <w:t xml:space="preserve"> </w:t>
      </w:r>
      <w:r>
        <w:rPr>
          <w:rFonts w:hint="eastAsia" w:ascii="宋体" w:cs="宋体"/>
          <w:kern w:val="0"/>
          <w:sz w:val="24"/>
          <w:highlight w:val="none"/>
          <w:lang w:val="zh-CN"/>
        </w:rPr>
        <w:t>甲方有权根据乙方对</w:t>
      </w:r>
      <w:r>
        <w:rPr>
          <w:rFonts w:hint="eastAsia" w:ascii="宋体" w:cs="宋体"/>
          <w:kern w:val="0"/>
          <w:sz w:val="24"/>
          <w:highlight w:val="none"/>
        </w:rPr>
        <w:t>本</w:t>
      </w:r>
      <w:r>
        <w:rPr>
          <w:rFonts w:hint="eastAsia" w:ascii="宋体" w:cs="宋体"/>
          <w:kern w:val="0"/>
          <w:sz w:val="24"/>
          <w:highlight w:val="none"/>
          <w:lang w:val="zh-CN"/>
        </w:rPr>
        <w:t>协议的执行情况，决定是否给予乙方参与甲方或丙方后续项目合作的权利或者工程项目的投标评分等。</w:t>
      </w:r>
    </w:p>
    <w:p w14:paraId="2CE6AB34">
      <w:pPr>
        <w:pStyle w:val="30"/>
        <w:tabs>
          <w:tab w:val="left" w:pos="540"/>
        </w:tabs>
        <w:autoSpaceDE w:val="0"/>
        <w:autoSpaceDN w:val="0"/>
        <w:adjustRightInd w:val="0"/>
        <w:snapToGrid w:val="0"/>
        <w:spacing w:line="360" w:lineRule="auto"/>
        <w:rPr>
          <w:rFonts w:ascii="宋体" w:cs="宋体"/>
          <w:b/>
          <w:kern w:val="0"/>
          <w:sz w:val="24"/>
          <w:highlight w:val="none"/>
          <w:lang w:val="zh-CN"/>
        </w:rPr>
      </w:pPr>
      <w:r>
        <w:rPr>
          <w:rFonts w:ascii="宋体" w:cs="宋体"/>
          <w:b/>
          <w:kern w:val="0"/>
          <w:sz w:val="24"/>
          <w:highlight w:val="none"/>
          <w:lang w:val="zh-CN"/>
        </w:rPr>
        <w:t>3</w:t>
      </w:r>
      <w:r>
        <w:rPr>
          <w:rFonts w:ascii="宋体" w:cs="宋体"/>
          <w:b/>
          <w:kern w:val="0"/>
          <w:sz w:val="24"/>
          <w:highlight w:val="none"/>
        </w:rPr>
        <w:t>.</w:t>
      </w:r>
      <w:r>
        <w:rPr>
          <w:rFonts w:hint="eastAsia" w:ascii="宋体" w:cs="宋体"/>
          <w:b/>
          <w:kern w:val="0"/>
          <w:sz w:val="24"/>
          <w:highlight w:val="none"/>
          <w:lang w:val="zh-CN"/>
        </w:rPr>
        <w:t>乙方权利义务</w:t>
      </w:r>
    </w:p>
    <w:p w14:paraId="4F934E3A">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3.1</w:t>
      </w:r>
      <w:r>
        <w:rPr>
          <w:rFonts w:ascii="宋体" w:cs="宋体"/>
          <w:b/>
          <w:kern w:val="0"/>
          <w:sz w:val="24"/>
          <w:highlight w:val="none"/>
        </w:rPr>
        <w:t xml:space="preserve"> </w:t>
      </w:r>
      <w:r>
        <w:rPr>
          <w:rFonts w:hint="eastAsia" w:ascii="宋体" w:cs="宋体"/>
          <w:kern w:val="0"/>
          <w:sz w:val="24"/>
          <w:highlight w:val="none"/>
          <w:lang w:val="zh-CN"/>
        </w:rPr>
        <w:t>乙方不得以任何理由向甲方人员行贿、馈赠或出借金钱、有价证券、贵重物品等。</w:t>
      </w:r>
    </w:p>
    <w:p w14:paraId="0E9F04C8">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3.2</w:t>
      </w:r>
      <w:r>
        <w:rPr>
          <w:rFonts w:ascii="宋体" w:cs="宋体"/>
          <w:b/>
          <w:kern w:val="0"/>
          <w:sz w:val="24"/>
          <w:highlight w:val="none"/>
        </w:rPr>
        <w:t xml:space="preserve"> </w:t>
      </w:r>
      <w:r>
        <w:rPr>
          <w:rFonts w:hint="eastAsia" w:ascii="宋体" w:cs="宋体"/>
          <w:kern w:val="0"/>
          <w:sz w:val="24"/>
          <w:highlight w:val="none"/>
          <w:lang w:val="zh-CN"/>
        </w:rPr>
        <w:t>乙方不得以任何名义为甲方人员报销应由甲方或其工作人员个人支付的任何费用。</w:t>
      </w:r>
    </w:p>
    <w:p w14:paraId="0CEBF9E8">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3.3</w:t>
      </w:r>
      <w:r>
        <w:rPr>
          <w:rFonts w:ascii="宋体" w:cs="宋体"/>
          <w:b/>
          <w:kern w:val="0"/>
          <w:sz w:val="24"/>
          <w:highlight w:val="none"/>
        </w:rPr>
        <w:t xml:space="preserve"> </w:t>
      </w:r>
      <w:r>
        <w:rPr>
          <w:rFonts w:hint="eastAsia" w:ascii="宋体" w:cs="宋体"/>
          <w:kern w:val="0"/>
          <w:sz w:val="24"/>
          <w:highlight w:val="none"/>
          <w:lang w:val="zh-CN"/>
        </w:rPr>
        <w:t>乙方不得以任何理由安排甲方人员参加宴请(工作餐除外)及娱乐活动。</w:t>
      </w:r>
    </w:p>
    <w:p w14:paraId="3D768FF8">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3.4</w:t>
      </w:r>
      <w:r>
        <w:rPr>
          <w:rFonts w:ascii="宋体" w:cs="宋体"/>
          <w:b/>
          <w:kern w:val="0"/>
          <w:sz w:val="24"/>
          <w:highlight w:val="none"/>
        </w:rPr>
        <w:t xml:space="preserve"> </w:t>
      </w:r>
      <w:r>
        <w:rPr>
          <w:rFonts w:hint="eastAsia" w:ascii="宋体" w:cs="宋体"/>
          <w:kern w:val="0"/>
          <w:sz w:val="24"/>
          <w:highlight w:val="none"/>
          <w:lang w:val="zh-CN"/>
        </w:rPr>
        <w:t>乙方不得为甲方个人购置或提供通讯、交通工具和高档办公用品等物品。</w:t>
      </w:r>
    </w:p>
    <w:p w14:paraId="051A37CA">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3.5</w:t>
      </w:r>
      <w:r>
        <w:rPr>
          <w:rFonts w:ascii="宋体" w:cs="宋体"/>
          <w:b/>
          <w:kern w:val="0"/>
          <w:sz w:val="24"/>
          <w:highlight w:val="none"/>
        </w:rPr>
        <w:t xml:space="preserve"> </w:t>
      </w:r>
      <w:r>
        <w:rPr>
          <w:rFonts w:hint="eastAsia" w:ascii="宋体" w:cs="宋体"/>
          <w:kern w:val="0"/>
          <w:sz w:val="24"/>
          <w:highlight w:val="none"/>
          <w:lang w:val="zh-CN"/>
        </w:rPr>
        <w:t>乙方不得为甲方人员的住房装修、婚丧嫁娶活动、配偶子女工作升学安排以及出国出境、旅游等提供方便。</w:t>
      </w:r>
    </w:p>
    <w:p w14:paraId="2E5C919B">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3.6</w:t>
      </w:r>
      <w:r>
        <w:rPr>
          <w:rFonts w:ascii="宋体" w:cs="宋体"/>
          <w:b/>
          <w:kern w:val="0"/>
          <w:sz w:val="24"/>
          <w:highlight w:val="none"/>
        </w:rPr>
        <w:t xml:space="preserve"> </w:t>
      </w:r>
      <w:r>
        <w:rPr>
          <w:rFonts w:hint="eastAsia" w:ascii="宋体" w:cs="宋体"/>
          <w:kern w:val="0"/>
          <w:sz w:val="24"/>
          <w:highlight w:val="none"/>
          <w:lang w:val="zh-CN"/>
        </w:rPr>
        <w:t>乙方不得就合同的签订或履行向任何第三方索取或接受礼金、有价证券、贵重物品。</w:t>
      </w:r>
    </w:p>
    <w:p w14:paraId="4482CA33">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3.7</w:t>
      </w:r>
      <w:r>
        <w:rPr>
          <w:rFonts w:ascii="宋体" w:cs="宋体"/>
          <w:b/>
          <w:kern w:val="0"/>
          <w:sz w:val="24"/>
          <w:highlight w:val="none"/>
        </w:rPr>
        <w:t xml:space="preserve"> </w:t>
      </w:r>
      <w:r>
        <w:rPr>
          <w:rFonts w:hint="eastAsia" w:ascii="宋体" w:cs="宋体"/>
          <w:kern w:val="0"/>
          <w:sz w:val="24"/>
          <w:highlight w:val="none"/>
          <w:lang w:val="zh-CN"/>
        </w:rPr>
        <w:t>乙方与甲方业务往来过程中，不得有弄虚作假、以次充好、虚结虚算等违反诚信原则的行为。</w:t>
      </w:r>
    </w:p>
    <w:p w14:paraId="3C3BB87B">
      <w:pPr>
        <w:autoSpaceDE w:val="0"/>
        <w:autoSpaceDN w:val="0"/>
        <w:adjustRightInd w:val="0"/>
        <w:snapToGrid w:val="0"/>
        <w:spacing w:line="360" w:lineRule="auto"/>
        <w:ind w:firstLine="482" w:firstLineChars="200"/>
        <w:rPr>
          <w:rFonts w:ascii="宋体" w:cs="宋体"/>
          <w:sz w:val="24"/>
          <w:highlight w:val="none"/>
        </w:rPr>
      </w:pPr>
      <w:r>
        <w:rPr>
          <w:rFonts w:ascii="宋体" w:cs="宋体"/>
          <w:b/>
          <w:sz w:val="24"/>
          <w:highlight w:val="none"/>
        </w:rPr>
        <w:t xml:space="preserve">3.8 </w:t>
      </w:r>
      <w:r>
        <w:rPr>
          <w:rFonts w:hint="eastAsia" w:ascii="宋体" w:cs="宋体"/>
          <w:kern w:val="0"/>
          <w:sz w:val="24"/>
          <w:highlight w:val="none"/>
          <w:lang w:val="zh-CN"/>
        </w:rPr>
        <w:t>乙方在合同履行过程中发现甲方人员有不廉洁行为的，应及时采取措施，积极有效地制止其不廉洁行为的发生，并及时告知甲方及丙方单位主管领导。</w:t>
      </w:r>
    </w:p>
    <w:p w14:paraId="4B44EE3C">
      <w:pPr>
        <w:autoSpaceDE w:val="0"/>
        <w:autoSpaceDN w:val="0"/>
        <w:adjustRightInd w:val="0"/>
        <w:snapToGrid w:val="0"/>
        <w:spacing w:line="360" w:lineRule="auto"/>
        <w:ind w:firstLine="482" w:firstLineChars="200"/>
        <w:rPr>
          <w:rFonts w:ascii="宋体" w:cs="宋体"/>
          <w:sz w:val="24"/>
          <w:highlight w:val="none"/>
        </w:rPr>
      </w:pPr>
      <w:r>
        <w:rPr>
          <w:rFonts w:ascii="宋体" w:cs="宋体"/>
          <w:b/>
          <w:sz w:val="24"/>
          <w:highlight w:val="none"/>
        </w:rPr>
        <w:t xml:space="preserve">3.9 </w:t>
      </w:r>
      <w:r>
        <w:rPr>
          <w:rFonts w:hint="eastAsia" w:ascii="宋体" w:cs="宋体"/>
          <w:sz w:val="24"/>
          <w:highlight w:val="none"/>
        </w:rPr>
        <w:t>在采购、销售、招投标等为各方业务而开展的工作中，不做任何损害甲方利益的行为，包括但不限于：</w:t>
      </w:r>
    </w:p>
    <w:p w14:paraId="0D474CDD">
      <w:pPr>
        <w:autoSpaceDE w:val="0"/>
        <w:autoSpaceDN w:val="0"/>
        <w:adjustRightInd w:val="0"/>
        <w:snapToGrid w:val="0"/>
        <w:spacing w:line="360" w:lineRule="auto"/>
        <w:ind w:firstLine="480" w:firstLineChars="200"/>
        <w:rPr>
          <w:rFonts w:ascii="宋体" w:cs="宋体"/>
          <w:sz w:val="24"/>
          <w:highlight w:val="none"/>
        </w:rPr>
      </w:pPr>
      <w:r>
        <w:rPr>
          <w:rFonts w:hint="eastAsia" w:ascii="宋体" w:cs="宋体"/>
          <w:sz w:val="24"/>
          <w:highlight w:val="none"/>
        </w:rPr>
        <w:t>（1）投标提交的相关资料全部真实、有效，绝无资质挂靠、串标、违标等情况；</w:t>
      </w:r>
    </w:p>
    <w:p w14:paraId="5D81EF37">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（2）不以任何方式向甲方工作人员或其他知情人私下了解采购、销售、招投标中的商业秘密。</w:t>
      </w:r>
    </w:p>
    <w:p w14:paraId="30EC618E">
      <w:pPr>
        <w:adjustRightInd w:val="0"/>
        <w:snapToGrid w:val="0"/>
        <w:spacing w:line="360" w:lineRule="auto"/>
        <w:ind w:firstLine="482" w:firstLineChars="200"/>
        <w:rPr>
          <w:rFonts w:ascii="宋体" w:cs="宋体"/>
          <w:sz w:val="24"/>
          <w:highlight w:val="none"/>
        </w:rPr>
      </w:pPr>
      <w:r>
        <w:rPr>
          <w:rFonts w:ascii="宋体" w:cs="宋体"/>
          <w:b/>
          <w:bCs/>
          <w:sz w:val="24"/>
          <w:highlight w:val="none"/>
        </w:rPr>
        <w:t>3.10</w:t>
      </w:r>
      <w:r>
        <w:rPr>
          <w:rFonts w:hint="eastAsia" w:ascii="宋体" w:cs="宋体"/>
          <w:sz w:val="24"/>
          <w:highlight w:val="none"/>
        </w:rPr>
        <w:t xml:space="preserve"> 乙方及乙方人员已经审阅并同意遵守甲方最新版发布的反舞弊、反贿赂相关政策，不论相关政策发布是否晚于本协议签订之日。</w:t>
      </w:r>
    </w:p>
    <w:p w14:paraId="10D7E90D">
      <w:pPr>
        <w:adjustRightInd w:val="0"/>
        <w:snapToGrid w:val="0"/>
        <w:spacing w:line="360" w:lineRule="auto"/>
        <w:ind w:firstLine="482" w:firstLineChars="200"/>
        <w:rPr>
          <w:rFonts w:ascii="宋体" w:cs="宋体"/>
          <w:kern w:val="0"/>
          <w:sz w:val="24"/>
          <w:highlight w:val="none"/>
          <w:lang w:val="zh-CN"/>
        </w:rPr>
      </w:pPr>
      <w:r>
        <w:rPr>
          <w:rFonts w:ascii="宋体" w:cs="宋体"/>
          <w:b/>
          <w:bCs/>
          <w:sz w:val="24"/>
          <w:highlight w:val="none"/>
        </w:rPr>
        <w:t>3.11</w:t>
      </w:r>
      <w:r>
        <w:rPr>
          <w:rFonts w:hint="eastAsia" w:ascii="宋体" w:cs="宋体"/>
          <w:sz w:val="24"/>
          <w:highlight w:val="none"/>
        </w:rPr>
        <w:t xml:space="preserve"> 乙方应当根据乙方人员的具体岗位、面临的舞弊和贿赂风险以及不断变化的环境（包括法律及商业环境），定期为乙方人员提供反舞弊、反贿赂意识教育培训。</w:t>
      </w:r>
    </w:p>
    <w:p w14:paraId="3B1DE500">
      <w:pPr>
        <w:pStyle w:val="30"/>
        <w:tabs>
          <w:tab w:val="left" w:pos="540"/>
        </w:tabs>
        <w:autoSpaceDE w:val="0"/>
        <w:autoSpaceDN w:val="0"/>
        <w:adjustRightInd w:val="0"/>
        <w:snapToGrid w:val="0"/>
        <w:spacing w:line="360" w:lineRule="auto"/>
        <w:rPr>
          <w:rFonts w:ascii="宋体" w:cs="宋体"/>
          <w:b/>
          <w:kern w:val="0"/>
          <w:sz w:val="24"/>
          <w:highlight w:val="none"/>
          <w:lang w:val="zh-CN"/>
        </w:rPr>
      </w:pPr>
      <w:r>
        <w:rPr>
          <w:rFonts w:ascii="宋体" w:cs="宋体"/>
          <w:b/>
          <w:kern w:val="0"/>
          <w:sz w:val="24"/>
          <w:highlight w:val="none"/>
          <w:lang w:val="zh-CN"/>
        </w:rPr>
        <w:t>4</w:t>
      </w:r>
      <w:r>
        <w:rPr>
          <w:rFonts w:ascii="宋体" w:cs="宋体"/>
          <w:b/>
          <w:kern w:val="0"/>
          <w:sz w:val="24"/>
          <w:highlight w:val="none"/>
        </w:rPr>
        <w:t>.</w:t>
      </w:r>
      <w:r>
        <w:rPr>
          <w:rFonts w:hint="eastAsia" w:ascii="宋体" w:cs="宋体"/>
          <w:b/>
          <w:kern w:val="0"/>
          <w:sz w:val="24"/>
          <w:highlight w:val="none"/>
          <w:lang w:val="zh-CN"/>
        </w:rPr>
        <w:t>违约责任</w:t>
      </w:r>
    </w:p>
    <w:p w14:paraId="1B5E51AC">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4.1</w:t>
      </w:r>
      <w:r>
        <w:rPr>
          <w:rFonts w:ascii="宋体" w:cs="宋体"/>
          <w:b/>
          <w:kern w:val="0"/>
          <w:sz w:val="24"/>
          <w:highlight w:val="none"/>
        </w:rPr>
        <w:t xml:space="preserve"> </w:t>
      </w:r>
      <w:r>
        <w:rPr>
          <w:rFonts w:hint="eastAsia" w:ascii="宋体" w:cs="宋体"/>
          <w:kern w:val="0"/>
          <w:sz w:val="24"/>
          <w:highlight w:val="none"/>
          <w:lang w:val="zh-CN"/>
        </w:rPr>
        <w:t>甲方人员违反</w:t>
      </w:r>
      <w:r>
        <w:rPr>
          <w:rFonts w:hint="eastAsia" w:ascii="宋体" w:cs="宋体"/>
          <w:kern w:val="0"/>
          <w:sz w:val="24"/>
          <w:highlight w:val="none"/>
        </w:rPr>
        <w:t>本协议廉洁</w:t>
      </w:r>
      <w:r>
        <w:rPr>
          <w:rFonts w:hint="eastAsia" w:ascii="宋体" w:cs="宋体"/>
          <w:kern w:val="0"/>
          <w:sz w:val="24"/>
          <w:highlight w:val="none"/>
          <w:lang w:val="zh-CN"/>
        </w:rPr>
        <w:t>约定，乙方应在24小时内向甲方</w:t>
      </w:r>
      <w:r>
        <w:rPr>
          <w:rFonts w:hint="eastAsia" w:ascii="宋体" w:cs="宋体"/>
          <w:kern w:val="0"/>
          <w:sz w:val="24"/>
          <w:highlight w:val="none"/>
        </w:rPr>
        <w:t>廉洁</w:t>
      </w:r>
      <w:r>
        <w:rPr>
          <w:rFonts w:hint="eastAsia" w:ascii="宋体" w:cs="宋体"/>
          <w:kern w:val="0"/>
          <w:sz w:val="24"/>
          <w:highlight w:val="none"/>
          <w:lang w:val="zh-CN"/>
        </w:rPr>
        <w:t>监督部门举报，由甲方按照</w:t>
      </w:r>
      <w:r>
        <w:rPr>
          <w:rFonts w:hint="eastAsia" w:ascii="宋体" w:cs="宋体"/>
          <w:kern w:val="0"/>
          <w:sz w:val="24"/>
          <w:highlight w:val="none"/>
        </w:rPr>
        <w:t>廉洁</w:t>
      </w:r>
      <w:r>
        <w:rPr>
          <w:rFonts w:hint="eastAsia" w:ascii="宋体" w:cs="宋体"/>
          <w:kern w:val="0"/>
          <w:sz w:val="24"/>
          <w:highlight w:val="none"/>
          <w:lang w:val="zh-CN"/>
        </w:rPr>
        <w:t>建设的有关规定由有权部门给予相应处分。</w:t>
      </w:r>
    </w:p>
    <w:p w14:paraId="655CDD71">
      <w:pPr>
        <w:autoSpaceDE w:val="0"/>
        <w:autoSpaceDN w:val="0"/>
        <w:adjustRightInd w:val="0"/>
        <w:snapToGrid w:val="0"/>
        <w:spacing w:line="360" w:lineRule="auto"/>
        <w:ind w:firstLine="482" w:firstLineChars="200"/>
        <w:textAlignment w:val="baseline"/>
        <w:rPr>
          <w:rFonts w:ascii="宋体" w:cs="宋体"/>
          <w:kern w:val="0"/>
          <w:sz w:val="24"/>
          <w:highlight w:val="none"/>
          <w:lang w:val="zh-CN"/>
        </w:rPr>
      </w:pPr>
      <w:r>
        <w:rPr>
          <w:rFonts w:ascii="宋体" w:cs="宋体"/>
          <w:b/>
          <w:kern w:val="0"/>
          <w:sz w:val="24"/>
          <w:highlight w:val="none"/>
          <w:lang w:val="zh-CN"/>
        </w:rPr>
        <w:t>4.2</w:t>
      </w:r>
      <w:r>
        <w:rPr>
          <w:rFonts w:ascii="宋体" w:cs="宋体"/>
          <w:kern w:val="0"/>
          <w:sz w:val="24"/>
          <w:highlight w:val="none"/>
        </w:rPr>
        <w:t xml:space="preserve"> </w:t>
      </w:r>
      <w:r>
        <w:rPr>
          <w:rFonts w:hint="eastAsia" w:ascii="宋体" w:cs="宋体"/>
          <w:kern w:val="0"/>
          <w:sz w:val="24"/>
          <w:highlight w:val="none"/>
          <w:lang w:val="zh-CN"/>
        </w:rPr>
        <w:t>乙方及乙方人员若有违反本协议廉洁约定，甲方有权立即单方解除与乙方的全部合作关系，冻结合同项下的款项支付，并有权追索乙方不当行为的非法所得、要求乙方赔偿由此给甲方（含甲方关联公司）造成的全部损失，该等损失包括但不限于甲方为维护自身权益而支付的诉讼费、</w:t>
      </w:r>
      <w:r>
        <w:rPr>
          <w:rFonts w:hint="eastAsia" w:ascii="宋体" w:cs="宋体"/>
          <w:kern w:val="0"/>
          <w:sz w:val="24"/>
          <w:highlight w:val="none"/>
        </w:rPr>
        <w:t>担保费、</w:t>
      </w:r>
      <w:r>
        <w:rPr>
          <w:rFonts w:hint="eastAsia" w:ascii="宋体" w:cs="宋体"/>
          <w:kern w:val="0"/>
          <w:sz w:val="24"/>
          <w:highlight w:val="none"/>
          <w:lang w:val="zh-CN"/>
        </w:rPr>
        <w:t>律师费等全部费用。</w:t>
      </w:r>
    </w:p>
    <w:p w14:paraId="2522D1CB">
      <w:pPr>
        <w:autoSpaceDE w:val="0"/>
        <w:autoSpaceDN w:val="0"/>
        <w:adjustRightInd w:val="0"/>
        <w:snapToGrid w:val="0"/>
        <w:spacing w:line="360" w:lineRule="auto"/>
        <w:ind w:firstLine="482" w:firstLineChars="200"/>
        <w:textAlignment w:val="baseline"/>
        <w:rPr>
          <w:rFonts w:ascii="宋体" w:cs="宋体"/>
          <w:kern w:val="0"/>
          <w:sz w:val="24"/>
          <w:highlight w:val="none"/>
          <w:lang w:val="zh-CN"/>
        </w:rPr>
      </w:pPr>
      <w:r>
        <w:rPr>
          <w:rFonts w:ascii="宋体" w:cs="宋体"/>
          <w:b/>
          <w:bCs/>
          <w:kern w:val="0"/>
          <w:sz w:val="24"/>
          <w:highlight w:val="none"/>
        </w:rPr>
        <w:t>4.3</w:t>
      </w:r>
      <w:r>
        <w:rPr>
          <w:rFonts w:ascii="宋体" w:cs="宋体"/>
          <w:kern w:val="0"/>
          <w:sz w:val="24"/>
          <w:highlight w:val="none"/>
        </w:rPr>
        <w:t xml:space="preserve"> </w:t>
      </w:r>
      <w:r>
        <w:rPr>
          <w:rFonts w:hint="eastAsia" w:ascii="宋体" w:cs="宋体"/>
          <w:kern w:val="0"/>
          <w:sz w:val="24"/>
          <w:highlight w:val="none"/>
          <w:lang w:val="zh-CN"/>
        </w:rPr>
        <w:t>甲方有权从应向乙方支付的任何款项中直接扣除前款所述乙方应付赔偿</w:t>
      </w:r>
      <w:r>
        <w:rPr>
          <w:rFonts w:hint="eastAsia" w:ascii="宋体" w:cs="宋体"/>
          <w:kern w:val="0"/>
          <w:sz w:val="24"/>
          <w:highlight w:val="none"/>
        </w:rPr>
        <w:t>款</w:t>
      </w:r>
      <w:r>
        <w:rPr>
          <w:rFonts w:hint="eastAsia" w:ascii="宋体" w:cs="宋体"/>
          <w:kern w:val="0"/>
          <w:sz w:val="24"/>
          <w:highlight w:val="none"/>
          <w:lang w:val="zh-CN"/>
        </w:rPr>
        <w:t>，不足部分由乙方在收到付款通知之日起5日内支付。</w:t>
      </w:r>
    </w:p>
    <w:p w14:paraId="4FBA1A78">
      <w:pPr>
        <w:autoSpaceDE w:val="0"/>
        <w:autoSpaceDN w:val="0"/>
        <w:adjustRightInd w:val="0"/>
        <w:snapToGrid w:val="0"/>
        <w:spacing w:line="360" w:lineRule="auto"/>
        <w:ind w:firstLine="482" w:firstLineChars="200"/>
        <w:textAlignment w:val="baseline"/>
        <w:rPr>
          <w:rFonts w:ascii="宋体" w:cs="宋体"/>
          <w:kern w:val="0"/>
          <w:sz w:val="24"/>
          <w:highlight w:val="none"/>
          <w:lang w:val="zh-CN"/>
        </w:rPr>
      </w:pPr>
      <w:r>
        <w:rPr>
          <w:rFonts w:ascii="宋体" w:cs="宋体"/>
          <w:b/>
          <w:bCs/>
          <w:kern w:val="0"/>
          <w:sz w:val="24"/>
          <w:highlight w:val="none"/>
        </w:rPr>
        <w:t>4.4</w:t>
      </w:r>
      <w:r>
        <w:rPr>
          <w:rFonts w:ascii="宋体" w:cs="宋体"/>
          <w:kern w:val="0"/>
          <w:sz w:val="24"/>
          <w:highlight w:val="none"/>
        </w:rPr>
        <w:t xml:space="preserve"> </w:t>
      </w:r>
      <w:r>
        <w:rPr>
          <w:rFonts w:hint="eastAsia" w:ascii="宋体" w:cs="宋体"/>
          <w:kern w:val="0"/>
          <w:sz w:val="24"/>
          <w:highlight w:val="none"/>
          <w:lang w:val="zh-CN"/>
        </w:rPr>
        <w:t>乙方及乙方人员违反本条款的行为，涉嫌犯罪的，甲方有权依法向有权机关举报，请求追究相应人员的刑事责任。同时，甲方有权将乙方加入商业伙伴黑名单，在内部进行通报，并有权限制或禁止关联公司与之开展交易等。</w:t>
      </w:r>
    </w:p>
    <w:p w14:paraId="5ECC2FA4">
      <w:pPr>
        <w:pStyle w:val="30"/>
        <w:tabs>
          <w:tab w:val="left" w:pos="540"/>
        </w:tabs>
        <w:autoSpaceDE w:val="0"/>
        <w:autoSpaceDN w:val="0"/>
        <w:adjustRightInd w:val="0"/>
        <w:snapToGrid w:val="0"/>
        <w:spacing w:line="360" w:lineRule="auto"/>
        <w:rPr>
          <w:rFonts w:ascii="宋体" w:cs="宋体"/>
          <w:b/>
          <w:kern w:val="0"/>
          <w:sz w:val="24"/>
          <w:highlight w:val="none"/>
          <w:lang w:val="zh-CN"/>
        </w:rPr>
      </w:pPr>
      <w:r>
        <w:rPr>
          <w:rFonts w:ascii="宋体" w:cs="宋体"/>
          <w:b/>
          <w:kern w:val="0"/>
          <w:sz w:val="24"/>
          <w:highlight w:val="none"/>
          <w:lang w:val="zh-CN"/>
        </w:rPr>
        <w:t>5</w:t>
      </w:r>
      <w:r>
        <w:rPr>
          <w:rFonts w:ascii="宋体" w:cs="宋体"/>
          <w:b/>
          <w:kern w:val="0"/>
          <w:sz w:val="24"/>
          <w:highlight w:val="none"/>
        </w:rPr>
        <w:t>.</w:t>
      </w:r>
      <w:r>
        <w:rPr>
          <w:rFonts w:hint="eastAsia" w:ascii="宋体" w:cs="宋体"/>
          <w:b/>
          <w:kern w:val="0"/>
          <w:sz w:val="24"/>
          <w:highlight w:val="none"/>
          <w:lang w:val="zh-CN"/>
        </w:rPr>
        <w:t>监督与</w:t>
      </w:r>
      <w:r>
        <w:rPr>
          <w:rFonts w:hint="eastAsia" w:ascii="宋体" w:cs="宋体"/>
          <w:b/>
          <w:kern w:val="0"/>
          <w:sz w:val="24"/>
          <w:highlight w:val="none"/>
        </w:rPr>
        <w:t>举报</w:t>
      </w:r>
    </w:p>
    <w:p w14:paraId="5711AADF">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5.1</w:t>
      </w:r>
      <w:r>
        <w:rPr>
          <w:rFonts w:ascii="宋体" w:cs="宋体"/>
          <w:b/>
          <w:kern w:val="0"/>
          <w:sz w:val="24"/>
          <w:highlight w:val="none"/>
        </w:rPr>
        <w:t xml:space="preserve"> </w:t>
      </w:r>
      <w:r>
        <w:rPr>
          <w:rFonts w:hint="eastAsia" w:ascii="宋体" w:cs="宋体"/>
          <w:bCs/>
          <w:kern w:val="0"/>
          <w:sz w:val="24"/>
          <w:highlight w:val="none"/>
        </w:rPr>
        <w:t>本</w:t>
      </w:r>
      <w:r>
        <w:rPr>
          <w:rFonts w:hint="eastAsia" w:ascii="宋体" w:cs="宋体"/>
          <w:kern w:val="0"/>
          <w:sz w:val="24"/>
          <w:highlight w:val="none"/>
          <w:lang w:val="zh-CN"/>
        </w:rPr>
        <w:t>协议由合同各方当事人或相关主管部门负责监督执行。</w:t>
      </w:r>
    </w:p>
    <w:p w14:paraId="29C955B2">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5.2</w:t>
      </w:r>
      <w:r>
        <w:rPr>
          <w:rFonts w:ascii="宋体" w:cs="宋体"/>
          <w:b/>
          <w:kern w:val="0"/>
          <w:sz w:val="24"/>
          <w:highlight w:val="none"/>
        </w:rPr>
        <w:t xml:space="preserve"> </w:t>
      </w:r>
      <w:r>
        <w:rPr>
          <w:rFonts w:hint="eastAsia" w:ascii="宋体" w:cs="宋体"/>
          <w:kern w:val="0"/>
          <w:sz w:val="24"/>
          <w:highlight w:val="none"/>
          <w:lang w:val="zh-CN"/>
        </w:rPr>
        <w:t>甲方人员违反</w:t>
      </w:r>
      <w:r>
        <w:rPr>
          <w:rFonts w:hint="eastAsia" w:ascii="宋体" w:cs="宋体"/>
          <w:kern w:val="0"/>
          <w:sz w:val="24"/>
          <w:highlight w:val="none"/>
        </w:rPr>
        <w:t>本</w:t>
      </w:r>
      <w:r>
        <w:rPr>
          <w:rFonts w:hint="eastAsia" w:ascii="宋体" w:cs="宋体"/>
          <w:kern w:val="0"/>
          <w:sz w:val="24"/>
          <w:highlight w:val="none"/>
          <w:lang w:val="zh-CN"/>
        </w:rPr>
        <w:t>协议相关规定的，可向甲方廉</w:t>
      </w:r>
      <w:r>
        <w:rPr>
          <w:rFonts w:hint="eastAsia" w:ascii="宋体" w:cs="宋体"/>
          <w:kern w:val="0"/>
          <w:sz w:val="24"/>
          <w:highlight w:val="none"/>
        </w:rPr>
        <w:t>洁</w:t>
      </w:r>
      <w:r>
        <w:rPr>
          <w:rFonts w:hint="eastAsia" w:ascii="宋体" w:cs="宋体"/>
          <w:kern w:val="0"/>
          <w:sz w:val="24"/>
          <w:highlight w:val="none"/>
          <w:lang w:val="zh-CN"/>
        </w:rPr>
        <w:t>监督部门举报。</w:t>
      </w:r>
    </w:p>
    <w:p w14:paraId="76C71303">
      <w:pPr>
        <w:numPr>
          <w:ilvl w:val="0"/>
          <w:numId w:val="3"/>
        </w:numPr>
        <w:autoSpaceDE w:val="0"/>
        <w:autoSpaceDN w:val="0"/>
        <w:adjustRightInd w:val="0"/>
        <w:snapToGrid w:val="0"/>
        <w:spacing w:line="360" w:lineRule="auto"/>
        <w:ind w:left="0" w:firstLine="480" w:firstLineChars="200"/>
        <w:rPr>
          <w:rFonts w:ascii="宋体" w:cs="宋体"/>
          <w:sz w:val="24"/>
          <w:highlight w:val="none"/>
        </w:rPr>
      </w:pPr>
      <w:r>
        <w:rPr>
          <w:rFonts w:hint="eastAsia" w:ascii="宋体" w:cs="宋体"/>
          <w:kern w:val="0"/>
          <w:sz w:val="24"/>
          <w:highlight w:val="none"/>
          <w:lang w:val="zh-CN"/>
        </w:rPr>
        <w:t>举报电话：【</w:t>
      </w:r>
      <w:r>
        <w:rPr>
          <w:rFonts w:ascii="宋体" w:cs="宋体"/>
          <w:kern w:val="0"/>
          <w:sz w:val="24"/>
          <w:szCs w:val="22"/>
          <w:highlight w:val="none"/>
          <w:lang w:val="zh-CN"/>
        </w:rPr>
        <w:t>020-82516756</w:t>
      </w:r>
      <w:r>
        <w:rPr>
          <w:rFonts w:hint="eastAsia" w:ascii="宋体" w:cs="宋体"/>
          <w:sz w:val="24"/>
          <w:highlight w:val="none"/>
        </w:rPr>
        <w:t>】；</w:t>
      </w:r>
    </w:p>
    <w:p w14:paraId="4BB6C8CC">
      <w:pPr>
        <w:numPr>
          <w:ilvl w:val="0"/>
          <w:numId w:val="3"/>
        </w:numPr>
        <w:autoSpaceDE w:val="0"/>
        <w:autoSpaceDN w:val="0"/>
        <w:adjustRightInd w:val="0"/>
        <w:snapToGrid w:val="0"/>
        <w:spacing w:line="360" w:lineRule="auto"/>
        <w:ind w:left="0" w:firstLine="480" w:firstLineChars="200"/>
        <w:rPr>
          <w:rFonts w:ascii="宋体" w:cs="宋体"/>
          <w:kern w:val="0"/>
          <w:sz w:val="24"/>
          <w:highlight w:val="none"/>
          <w:lang w:val="zh-CN"/>
        </w:rPr>
      </w:pPr>
      <w:r>
        <w:rPr>
          <w:rFonts w:hint="eastAsia" w:ascii="宋体" w:cs="宋体"/>
          <w:kern w:val="0"/>
          <w:sz w:val="24"/>
          <w:highlight w:val="none"/>
          <w:lang w:val="zh-CN"/>
        </w:rPr>
        <w:t>举报</w:t>
      </w:r>
      <w:r>
        <w:rPr>
          <w:rFonts w:hint="eastAsia" w:ascii="宋体" w:cs="宋体"/>
          <w:sz w:val="24"/>
          <w:highlight w:val="none"/>
        </w:rPr>
        <w:t>地址：【广州市黄埔区开达路101号2栋8楼科学城（广州）投资集团有限公司纪检监察室】，邮编【510700】</w:t>
      </w:r>
      <w:r>
        <w:rPr>
          <w:rFonts w:hint="eastAsia" w:ascii="宋体" w:cs="宋体"/>
          <w:kern w:val="0"/>
          <w:sz w:val="24"/>
          <w:highlight w:val="none"/>
          <w:lang w:val="zh-CN"/>
        </w:rPr>
        <w:t>。</w:t>
      </w:r>
    </w:p>
    <w:p w14:paraId="3A2C169A">
      <w:pPr>
        <w:pStyle w:val="30"/>
        <w:tabs>
          <w:tab w:val="left" w:pos="540"/>
        </w:tabs>
        <w:autoSpaceDE w:val="0"/>
        <w:autoSpaceDN w:val="0"/>
        <w:adjustRightInd w:val="0"/>
        <w:snapToGrid w:val="0"/>
        <w:spacing w:line="360" w:lineRule="auto"/>
        <w:rPr>
          <w:rFonts w:ascii="宋体" w:cs="宋体"/>
          <w:b/>
          <w:kern w:val="0"/>
          <w:sz w:val="24"/>
          <w:highlight w:val="none"/>
          <w:lang w:val="zh-CN"/>
        </w:rPr>
      </w:pPr>
      <w:r>
        <w:rPr>
          <w:rFonts w:ascii="宋体" w:cs="宋体"/>
          <w:b/>
          <w:kern w:val="0"/>
          <w:sz w:val="24"/>
          <w:highlight w:val="none"/>
          <w:lang w:val="zh-CN"/>
        </w:rPr>
        <w:t>6</w:t>
      </w:r>
      <w:r>
        <w:rPr>
          <w:rFonts w:ascii="宋体" w:cs="宋体"/>
          <w:b/>
          <w:kern w:val="0"/>
          <w:sz w:val="24"/>
          <w:highlight w:val="none"/>
        </w:rPr>
        <w:t>.</w:t>
      </w:r>
      <w:r>
        <w:rPr>
          <w:rFonts w:hint="eastAsia" w:ascii="宋体" w:cs="宋体"/>
          <w:b/>
          <w:kern w:val="0"/>
          <w:sz w:val="24"/>
          <w:highlight w:val="none"/>
          <w:lang w:val="zh-CN"/>
        </w:rPr>
        <w:t>其他</w:t>
      </w:r>
    </w:p>
    <w:p w14:paraId="72F0EB1A">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6.1</w:t>
      </w:r>
      <w:r>
        <w:rPr>
          <w:rFonts w:ascii="宋体" w:cs="宋体"/>
          <w:b/>
          <w:kern w:val="0"/>
          <w:sz w:val="24"/>
          <w:highlight w:val="none"/>
        </w:rPr>
        <w:t xml:space="preserve"> </w:t>
      </w:r>
      <w:r>
        <w:rPr>
          <w:rFonts w:hint="eastAsia" w:ascii="宋体" w:cs="宋体"/>
          <w:kern w:val="0"/>
          <w:sz w:val="24"/>
          <w:highlight w:val="none"/>
        </w:rPr>
        <w:t>本</w:t>
      </w:r>
      <w:r>
        <w:rPr>
          <w:rFonts w:hint="eastAsia" w:ascii="宋体" w:cs="宋体"/>
          <w:kern w:val="0"/>
          <w:sz w:val="24"/>
          <w:highlight w:val="none"/>
          <w:lang w:val="zh-CN"/>
        </w:rPr>
        <w:t>协议作为合同的附件，与合同具有同等法律效力。</w:t>
      </w:r>
    </w:p>
    <w:p w14:paraId="6DBED9B4">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6.2</w:t>
      </w:r>
      <w:r>
        <w:rPr>
          <w:rFonts w:ascii="宋体" w:cs="宋体"/>
          <w:b/>
          <w:kern w:val="0"/>
          <w:sz w:val="24"/>
          <w:highlight w:val="none"/>
        </w:rPr>
        <w:t xml:space="preserve"> </w:t>
      </w:r>
      <w:r>
        <w:rPr>
          <w:rFonts w:hint="eastAsia" w:ascii="宋体" w:cs="宋体"/>
          <w:kern w:val="0"/>
          <w:sz w:val="24"/>
          <w:highlight w:val="none"/>
        </w:rPr>
        <w:t>本</w:t>
      </w:r>
      <w:r>
        <w:rPr>
          <w:rFonts w:hint="eastAsia" w:ascii="宋体" w:cs="宋体"/>
          <w:kern w:val="0"/>
          <w:sz w:val="24"/>
          <w:highlight w:val="none"/>
          <w:lang w:val="zh-CN"/>
        </w:rPr>
        <w:t>协议自各方签字盖章之日起生效。</w:t>
      </w:r>
    </w:p>
    <w:p w14:paraId="7711B20C">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6.3</w:t>
      </w:r>
      <w:r>
        <w:rPr>
          <w:rFonts w:ascii="宋体" w:cs="宋体"/>
          <w:b/>
          <w:kern w:val="0"/>
          <w:sz w:val="24"/>
          <w:highlight w:val="none"/>
        </w:rPr>
        <w:t xml:space="preserve"> </w:t>
      </w:r>
      <w:r>
        <w:rPr>
          <w:rFonts w:hint="eastAsia" w:ascii="宋体" w:cs="宋体"/>
          <w:kern w:val="0"/>
          <w:sz w:val="24"/>
          <w:highlight w:val="none"/>
        </w:rPr>
        <w:t>本</w:t>
      </w:r>
      <w:r>
        <w:rPr>
          <w:rFonts w:hint="eastAsia" w:ascii="宋体" w:cs="宋体"/>
          <w:kern w:val="0"/>
          <w:sz w:val="24"/>
          <w:highlight w:val="none"/>
          <w:lang w:val="zh-CN"/>
        </w:rPr>
        <w:t>协议一式【</w:t>
      </w:r>
      <w:r>
        <w:rPr>
          <w:rFonts w:hint="eastAsia" w:ascii="宋体" w:cs="宋体"/>
          <w:kern w:val="0"/>
          <w:sz w:val="24"/>
          <w:highlight w:val="none"/>
        </w:rPr>
        <w:t>拾</w:t>
      </w:r>
      <w:r>
        <w:rPr>
          <w:rFonts w:hint="eastAsia" w:ascii="宋体" w:cs="宋体"/>
          <w:kern w:val="0"/>
          <w:sz w:val="24"/>
          <w:highlight w:val="none"/>
          <w:lang w:val="zh-CN"/>
        </w:rPr>
        <w:t>】份，甲、</w:t>
      </w:r>
      <w:r>
        <w:rPr>
          <w:rFonts w:hint="eastAsia" w:ascii="宋体" w:cs="宋体"/>
          <w:kern w:val="0"/>
          <w:sz w:val="24"/>
          <w:highlight w:val="none"/>
        </w:rPr>
        <w:t>乙</w:t>
      </w:r>
      <w:r>
        <w:rPr>
          <w:rFonts w:hint="eastAsia" w:ascii="宋体" w:cs="宋体"/>
          <w:kern w:val="0"/>
          <w:sz w:val="24"/>
          <w:highlight w:val="none"/>
          <w:lang w:val="zh-CN"/>
        </w:rPr>
        <w:t>方</w:t>
      </w:r>
      <w:r>
        <w:rPr>
          <w:rFonts w:hint="eastAsia" w:ascii="宋体" w:cs="宋体"/>
          <w:kern w:val="0"/>
          <w:sz w:val="24"/>
          <w:highlight w:val="none"/>
        </w:rPr>
        <w:t>各</w:t>
      </w:r>
      <w:r>
        <w:rPr>
          <w:rFonts w:hint="eastAsia" w:ascii="宋体" w:cs="宋体"/>
          <w:kern w:val="0"/>
          <w:sz w:val="24"/>
          <w:highlight w:val="none"/>
          <w:lang w:val="zh-CN"/>
        </w:rPr>
        <w:t>执【</w:t>
      </w:r>
      <w:r>
        <w:rPr>
          <w:rFonts w:hint="eastAsia" w:ascii="宋体" w:cs="宋体"/>
          <w:sz w:val="24"/>
          <w:highlight w:val="none"/>
        </w:rPr>
        <w:t>伍</w:t>
      </w:r>
      <w:r>
        <w:rPr>
          <w:rFonts w:hint="eastAsia" w:ascii="宋体" w:cs="宋体"/>
          <w:kern w:val="0"/>
          <w:sz w:val="24"/>
          <w:highlight w:val="none"/>
          <w:lang w:val="zh-CN"/>
        </w:rPr>
        <w:t>】份，各份均具有同等法律效力。</w:t>
      </w:r>
    </w:p>
    <w:p w14:paraId="4A17DE23">
      <w:pPr>
        <w:pStyle w:val="18"/>
        <w:spacing w:line="360" w:lineRule="auto"/>
        <w:ind w:firstLine="480" w:firstLineChars="200"/>
        <w:rPr>
          <w:rFonts w:ascii="宋体" w:cs="宋体"/>
          <w:kern w:val="0"/>
          <w:sz w:val="24"/>
          <w:szCs w:val="24"/>
          <w:highlight w:val="none"/>
          <w:lang w:val="zh-CN"/>
        </w:rPr>
      </w:pPr>
    </w:p>
    <w:p w14:paraId="7B389DE3">
      <w:pPr>
        <w:spacing w:line="360" w:lineRule="auto"/>
        <w:ind w:firstLine="480" w:firstLineChars="200"/>
        <w:rPr>
          <w:rFonts w:ascii="宋体" w:cs="宋体"/>
          <w:kern w:val="0"/>
          <w:sz w:val="24"/>
          <w:highlight w:val="none"/>
          <w:lang w:val="zh-CN"/>
        </w:rPr>
      </w:pPr>
    </w:p>
    <w:p w14:paraId="0806D10C">
      <w:pPr>
        <w:pStyle w:val="18"/>
        <w:spacing w:line="360" w:lineRule="auto"/>
        <w:ind w:firstLine="480" w:firstLineChars="200"/>
        <w:rPr>
          <w:rFonts w:ascii="宋体" w:cs="宋体"/>
          <w:sz w:val="24"/>
          <w:szCs w:val="24"/>
          <w:highlight w:val="none"/>
          <w:lang w:val="zh-CN"/>
        </w:rPr>
      </w:pPr>
    </w:p>
    <w:tbl>
      <w:tblPr>
        <w:tblStyle w:val="21"/>
        <w:tblW w:w="9216"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08"/>
        <w:gridCol w:w="4608"/>
      </w:tblGrid>
      <w:tr w14:paraId="0AD8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08" w:type="dxa"/>
          </w:tcPr>
          <w:p w14:paraId="05C10A94">
            <w:pPr>
              <w:autoSpaceDE w:val="0"/>
              <w:autoSpaceDN w:val="0"/>
              <w:adjustRightInd w:val="0"/>
              <w:snapToGrid w:val="0"/>
              <w:spacing w:line="360" w:lineRule="auto"/>
              <w:ind w:firstLine="480" w:firstLineChars="200"/>
              <w:textAlignment w:val="baseline"/>
              <w:rPr>
                <w:rFonts w:ascii="宋体" w:cs="宋体"/>
                <w:kern w:val="0"/>
                <w:sz w:val="24"/>
                <w:highlight w:val="none"/>
                <w:lang w:val="zh-CN"/>
              </w:rPr>
            </w:pPr>
            <w:r>
              <w:rPr>
                <w:rFonts w:hint="eastAsia" w:ascii="宋体" w:cs="宋体"/>
                <w:kern w:val="0"/>
                <w:sz w:val="24"/>
                <w:highlight w:val="none"/>
                <w:lang w:val="zh-CN"/>
              </w:rPr>
              <w:t xml:space="preserve">甲方:科学城(广州)城市更新集团有限公司（盖章）                     </w:t>
            </w:r>
          </w:p>
        </w:tc>
        <w:tc>
          <w:tcPr>
            <w:tcW w:w="4608" w:type="dxa"/>
          </w:tcPr>
          <w:p w14:paraId="1417BB2A">
            <w:pPr>
              <w:autoSpaceDE w:val="0"/>
              <w:autoSpaceDN w:val="0"/>
              <w:adjustRightInd w:val="0"/>
              <w:snapToGrid w:val="0"/>
              <w:spacing w:line="360" w:lineRule="auto"/>
              <w:ind w:firstLine="480" w:firstLineChars="200"/>
              <w:textAlignment w:val="baseline"/>
              <w:rPr>
                <w:rFonts w:ascii="宋体" w:cs="宋体"/>
                <w:kern w:val="0"/>
                <w:sz w:val="24"/>
                <w:highlight w:val="none"/>
                <w:lang w:val="zh-CN"/>
              </w:rPr>
            </w:pPr>
            <w:r>
              <w:rPr>
                <w:rFonts w:hint="eastAsia" w:ascii="宋体" w:cs="宋体"/>
                <w:kern w:val="0"/>
                <w:sz w:val="24"/>
                <w:highlight w:val="none"/>
                <w:lang w:val="zh-CN"/>
              </w:rPr>
              <w:t xml:space="preserve">乙方:(盖章)                       </w:t>
            </w:r>
          </w:p>
        </w:tc>
      </w:tr>
      <w:tr w14:paraId="32897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08" w:type="dxa"/>
          </w:tcPr>
          <w:p w14:paraId="669759A2">
            <w:pPr>
              <w:autoSpaceDE w:val="0"/>
              <w:autoSpaceDN w:val="0"/>
              <w:adjustRightInd w:val="0"/>
              <w:snapToGrid w:val="0"/>
              <w:spacing w:line="360" w:lineRule="auto"/>
              <w:ind w:firstLine="480" w:firstLineChars="200"/>
              <w:textAlignment w:val="baseline"/>
              <w:rPr>
                <w:rFonts w:ascii="宋体" w:cs="宋体"/>
                <w:kern w:val="0"/>
                <w:sz w:val="24"/>
                <w:highlight w:val="none"/>
                <w:lang w:val="zh-CN"/>
              </w:rPr>
            </w:pPr>
            <w:r>
              <w:rPr>
                <w:rFonts w:hint="eastAsia" w:ascii="宋体" w:cs="宋体"/>
                <w:kern w:val="0"/>
                <w:sz w:val="24"/>
                <w:highlight w:val="none"/>
                <w:lang w:val="zh-CN"/>
              </w:rPr>
              <w:t xml:space="preserve">法定代表人/委托代理人:(签字)      </w:t>
            </w:r>
          </w:p>
        </w:tc>
        <w:tc>
          <w:tcPr>
            <w:tcW w:w="4608" w:type="dxa"/>
          </w:tcPr>
          <w:p w14:paraId="30922969">
            <w:pPr>
              <w:autoSpaceDE w:val="0"/>
              <w:autoSpaceDN w:val="0"/>
              <w:adjustRightInd w:val="0"/>
              <w:snapToGrid w:val="0"/>
              <w:spacing w:line="360" w:lineRule="auto"/>
              <w:ind w:firstLine="480" w:firstLineChars="200"/>
              <w:textAlignment w:val="baseline"/>
              <w:rPr>
                <w:rFonts w:ascii="宋体" w:cs="宋体"/>
                <w:kern w:val="0"/>
                <w:sz w:val="24"/>
                <w:highlight w:val="none"/>
                <w:lang w:val="zh-CN"/>
              </w:rPr>
            </w:pPr>
            <w:r>
              <w:rPr>
                <w:rFonts w:hint="eastAsia" w:ascii="宋体" w:cs="宋体"/>
                <w:kern w:val="0"/>
                <w:sz w:val="24"/>
                <w:highlight w:val="none"/>
                <w:lang w:val="zh-CN"/>
              </w:rPr>
              <w:t xml:space="preserve">法定代表人/委托代理人:(签字)      </w:t>
            </w:r>
          </w:p>
        </w:tc>
      </w:tr>
    </w:tbl>
    <w:p w14:paraId="2993B2EA">
      <w:pPr>
        <w:spacing w:line="360" w:lineRule="auto"/>
        <w:ind w:firstLine="480" w:firstLineChars="200"/>
        <w:rPr>
          <w:rFonts w:ascii="宋体" w:cs="宋体"/>
          <w:bCs/>
          <w:sz w:val="24"/>
          <w:highlight w:val="none"/>
        </w:rPr>
      </w:pPr>
    </w:p>
    <w:p w14:paraId="1FDCE034">
      <w:pPr>
        <w:spacing w:line="360" w:lineRule="auto"/>
        <w:ind w:firstLine="480" w:firstLineChars="200"/>
        <w:rPr>
          <w:rFonts w:hint="eastAsia" w:ascii="宋体" w:cs="宋体"/>
          <w:bCs/>
          <w:sz w:val="24"/>
          <w:highlight w:val="none"/>
        </w:rPr>
      </w:pPr>
      <w:r>
        <w:rPr>
          <w:rFonts w:hint="eastAsia" w:ascii="宋体" w:cs="宋体"/>
          <w:sz w:val="24"/>
          <w:highlight w:val="none"/>
        </w:rPr>
        <w:t>签订</w:t>
      </w:r>
      <w:r>
        <w:rPr>
          <w:rFonts w:hint="eastAsia" w:ascii="宋体" w:cs="宋体"/>
          <w:bCs/>
          <w:sz w:val="24"/>
          <w:highlight w:val="none"/>
        </w:rPr>
        <w:t>日期：</w:t>
      </w:r>
      <w:r>
        <w:rPr>
          <w:rFonts w:ascii="宋体" w:cs="宋体"/>
          <w:kern w:val="0"/>
          <w:sz w:val="24"/>
          <w:highlight w:val="none"/>
          <w:lang w:val="zh-CN"/>
        </w:rPr>
        <w:t xml:space="preserve">     </w:t>
      </w:r>
      <w:r>
        <w:rPr>
          <w:rFonts w:hint="eastAsia" w:ascii="宋体" w:cs="宋体"/>
          <w:bCs/>
          <w:sz w:val="24"/>
          <w:highlight w:val="none"/>
        </w:rPr>
        <w:t xml:space="preserve">年 </w:t>
      </w:r>
      <w:r>
        <w:rPr>
          <w:rFonts w:ascii="宋体" w:cs="宋体"/>
          <w:kern w:val="0"/>
          <w:sz w:val="24"/>
          <w:highlight w:val="none"/>
          <w:lang w:val="zh-CN"/>
        </w:rPr>
        <w:t xml:space="preserve">     </w:t>
      </w:r>
      <w:r>
        <w:rPr>
          <w:rFonts w:hint="eastAsia" w:ascii="宋体" w:cs="宋体"/>
          <w:bCs/>
          <w:sz w:val="24"/>
          <w:highlight w:val="none"/>
        </w:rPr>
        <w:t>月</w:t>
      </w:r>
      <w:r>
        <w:rPr>
          <w:rFonts w:ascii="宋体" w:cs="宋体"/>
          <w:kern w:val="0"/>
          <w:sz w:val="24"/>
          <w:highlight w:val="none"/>
          <w:lang w:val="zh-CN"/>
        </w:rPr>
        <w:t xml:space="preserve">     </w:t>
      </w:r>
      <w:r>
        <w:rPr>
          <w:rFonts w:hint="eastAsia" w:ascii="宋体" w:cs="宋体"/>
          <w:bCs/>
          <w:sz w:val="24"/>
          <w:highlight w:val="none"/>
        </w:rPr>
        <w:t>日</w:t>
      </w:r>
    </w:p>
    <w:p w14:paraId="2596F695">
      <w:pPr>
        <w:pStyle w:val="7"/>
        <w:rPr>
          <w:rFonts w:hint="eastAsia" w:ascii="宋体" w:cs="宋体"/>
          <w:bCs/>
          <w:sz w:val="24"/>
          <w:highlight w:val="none"/>
        </w:rPr>
      </w:pPr>
    </w:p>
    <w:p w14:paraId="5EDA3E63">
      <w:pPr>
        <w:pStyle w:val="7"/>
        <w:rPr>
          <w:highlight w:val="none"/>
        </w:rPr>
      </w:pPr>
    </w:p>
    <w:p w14:paraId="3EE52148">
      <w:pPr>
        <w:spacing w:line="360" w:lineRule="auto"/>
        <w:ind w:firstLine="480" w:firstLineChars="200"/>
        <w:rPr>
          <w:rFonts w:ascii="宋体" w:cs="宋体"/>
          <w:bCs/>
          <w:sz w:val="24"/>
          <w:highlight w:val="none"/>
        </w:rPr>
      </w:pPr>
    </w:p>
    <w:p w14:paraId="6AAC748B">
      <w:pPr>
        <w:pageBreakBefore/>
        <w:widowControl w:val="0"/>
        <w:spacing w:line="360" w:lineRule="auto"/>
        <w:ind w:firstLine="482" w:firstLineChars="200"/>
        <w:rPr>
          <w:rFonts w:ascii="宋体" w:cs="宋体"/>
          <w:b/>
          <w:bCs/>
          <w:sz w:val="24"/>
          <w:highlight w:val="none"/>
        </w:rPr>
      </w:pPr>
      <w:r>
        <w:rPr>
          <w:rFonts w:hint="eastAsia" w:ascii="宋体" w:cs="宋体"/>
          <w:b/>
          <w:bCs/>
          <w:sz w:val="24"/>
          <w:highlight w:val="none"/>
        </w:rPr>
        <w:t>附录A</w:t>
      </w:r>
      <w:r>
        <w:rPr>
          <w:rFonts w:ascii="宋体" w:cs="宋体"/>
          <w:b/>
          <w:bCs/>
          <w:sz w:val="24"/>
          <w:highlight w:val="none"/>
        </w:rPr>
        <w:t xml:space="preserve">  </w:t>
      </w:r>
      <w:r>
        <w:rPr>
          <w:rFonts w:hint="eastAsia" w:ascii="宋体" w:cs="宋体"/>
          <w:b/>
          <w:bCs/>
          <w:sz w:val="24"/>
          <w:highlight w:val="none"/>
        </w:rPr>
        <w:t>相关服务的范围和内容</w:t>
      </w:r>
    </w:p>
    <w:p w14:paraId="7E1BEA55">
      <w:pPr>
        <w:adjustRightInd w:val="0"/>
        <w:snapToGrid w:val="0"/>
        <w:spacing w:line="360" w:lineRule="auto"/>
        <w:ind w:firstLine="480" w:firstLineChars="200"/>
        <w:rPr>
          <w:rFonts w:ascii="宋体" w:cs="宋体"/>
          <w:kern w:val="0"/>
          <w:sz w:val="24"/>
          <w:highlight w:val="none"/>
        </w:rPr>
      </w:pPr>
      <w:r>
        <w:rPr>
          <w:rFonts w:ascii="宋体" w:cs="宋体"/>
          <w:kern w:val="0"/>
          <w:sz w:val="24"/>
          <w:highlight w:val="none"/>
        </w:rPr>
        <w:t xml:space="preserve">A-1 </w:t>
      </w:r>
      <w:r>
        <w:rPr>
          <w:rFonts w:hint="eastAsia" w:ascii="宋体" w:cs="宋体"/>
          <w:kern w:val="0"/>
          <w:sz w:val="24"/>
          <w:highlight w:val="none"/>
        </w:rPr>
        <w:t>勘察阶段：/</w:t>
      </w:r>
    </w:p>
    <w:p w14:paraId="13DA3F03">
      <w:pPr>
        <w:snapToGrid w:val="0"/>
        <w:spacing w:line="360" w:lineRule="auto"/>
        <w:ind w:firstLine="480" w:firstLineChars="200"/>
        <w:rPr>
          <w:rFonts w:ascii="宋体" w:cs="宋体"/>
          <w:kern w:val="0"/>
          <w:sz w:val="24"/>
          <w:highlight w:val="none"/>
        </w:rPr>
      </w:pPr>
      <w:r>
        <w:rPr>
          <w:rFonts w:ascii="宋体" w:cs="宋体"/>
          <w:kern w:val="0"/>
          <w:sz w:val="24"/>
          <w:highlight w:val="none"/>
        </w:rPr>
        <w:t xml:space="preserve">A-2 </w:t>
      </w:r>
      <w:r>
        <w:rPr>
          <w:rFonts w:hint="eastAsia" w:ascii="宋体" w:cs="宋体"/>
          <w:kern w:val="0"/>
          <w:sz w:val="24"/>
          <w:highlight w:val="none"/>
        </w:rPr>
        <w:t>设计阶段：/</w:t>
      </w:r>
    </w:p>
    <w:p w14:paraId="3FCD59D3">
      <w:pPr>
        <w:snapToGrid w:val="0"/>
        <w:spacing w:line="360" w:lineRule="auto"/>
        <w:ind w:firstLine="480" w:firstLineChars="200"/>
        <w:rPr>
          <w:rFonts w:ascii="宋体" w:cs="宋体"/>
          <w:sz w:val="24"/>
          <w:highlight w:val="none"/>
        </w:rPr>
      </w:pPr>
      <w:r>
        <w:rPr>
          <w:rFonts w:ascii="宋体" w:cs="宋体"/>
          <w:kern w:val="0"/>
          <w:sz w:val="24"/>
          <w:highlight w:val="none"/>
        </w:rPr>
        <w:t xml:space="preserve">A-3 </w:t>
      </w:r>
      <w:r>
        <w:rPr>
          <w:rFonts w:hint="eastAsia" w:ascii="宋体" w:cs="宋体"/>
          <w:kern w:val="0"/>
          <w:sz w:val="24"/>
          <w:highlight w:val="none"/>
        </w:rPr>
        <w:t>保修阶段：/</w:t>
      </w:r>
    </w:p>
    <w:p w14:paraId="11A1D9E3">
      <w:pPr>
        <w:snapToGrid w:val="0"/>
        <w:spacing w:line="360" w:lineRule="auto"/>
        <w:ind w:firstLine="480" w:firstLineChars="200"/>
        <w:rPr>
          <w:rFonts w:ascii="宋体" w:cs="宋体"/>
          <w:sz w:val="24"/>
          <w:highlight w:val="none"/>
        </w:rPr>
      </w:pPr>
      <w:r>
        <w:rPr>
          <w:rFonts w:ascii="宋体" w:cs="宋体"/>
          <w:kern w:val="0"/>
          <w:sz w:val="24"/>
          <w:highlight w:val="none"/>
        </w:rPr>
        <w:t xml:space="preserve">A-4 </w:t>
      </w:r>
      <w:r>
        <w:rPr>
          <w:rFonts w:hint="eastAsia" w:ascii="宋体" w:cs="宋体"/>
          <w:sz w:val="24"/>
          <w:highlight w:val="none"/>
        </w:rPr>
        <w:t>其他（专业技术咨询、外部协调工作等）：</w:t>
      </w:r>
      <w:r>
        <w:rPr>
          <w:rFonts w:ascii="宋体" w:cs="宋体"/>
          <w:kern w:val="0"/>
          <w:sz w:val="24"/>
          <w:highlight w:val="none"/>
        </w:rPr>
        <w:t>/</w:t>
      </w:r>
    </w:p>
    <w:p w14:paraId="4AEC7F49">
      <w:pPr>
        <w:snapToGrid w:val="0"/>
        <w:spacing w:line="360" w:lineRule="auto"/>
        <w:ind w:firstLine="480" w:firstLineChars="200"/>
        <w:rPr>
          <w:rFonts w:ascii="宋体" w:cs="宋体"/>
          <w:sz w:val="24"/>
          <w:highlight w:val="none"/>
        </w:rPr>
      </w:pPr>
    </w:p>
    <w:p w14:paraId="70A970FB">
      <w:pPr>
        <w:pageBreakBefore/>
        <w:widowControl w:val="0"/>
        <w:spacing w:line="360" w:lineRule="auto"/>
        <w:ind w:firstLine="482" w:firstLineChars="200"/>
        <w:rPr>
          <w:rFonts w:ascii="宋体" w:cs="宋体"/>
          <w:b/>
          <w:bCs/>
          <w:sz w:val="24"/>
          <w:highlight w:val="none"/>
        </w:rPr>
      </w:pPr>
      <w:r>
        <w:rPr>
          <w:rFonts w:hint="eastAsia" w:ascii="宋体" w:cs="宋体"/>
          <w:b/>
          <w:bCs/>
          <w:sz w:val="24"/>
          <w:highlight w:val="none"/>
        </w:rPr>
        <w:t>附录B</w:t>
      </w:r>
      <w:r>
        <w:rPr>
          <w:rFonts w:ascii="宋体" w:cs="宋体"/>
          <w:b/>
          <w:bCs/>
          <w:sz w:val="24"/>
          <w:highlight w:val="none"/>
        </w:rPr>
        <w:t xml:space="preserve">  </w:t>
      </w:r>
      <w:r>
        <w:rPr>
          <w:rFonts w:hint="eastAsia" w:ascii="宋体" w:cs="宋体"/>
          <w:b/>
          <w:bCs/>
          <w:sz w:val="24"/>
          <w:highlight w:val="none"/>
        </w:rPr>
        <w:t>发包人提供的资料清单</w:t>
      </w:r>
    </w:p>
    <w:tbl>
      <w:tblPr>
        <w:tblStyle w:val="2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992"/>
        <w:gridCol w:w="2551"/>
        <w:gridCol w:w="2410"/>
      </w:tblGrid>
      <w:tr w14:paraId="3642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7A7CC1CB">
            <w:pPr>
              <w:spacing w:line="360" w:lineRule="auto"/>
              <w:ind w:firstLine="482" w:firstLineChars="200"/>
              <w:rPr>
                <w:rFonts w:ascii="宋体" w:cs="宋体"/>
                <w:b/>
                <w:kern w:val="0"/>
                <w:sz w:val="24"/>
                <w:highlight w:val="none"/>
              </w:rPr>
            </w:pPr>
            <w:r>
              <w:rPr>
                <w:rFonts w:hint="eastAsia" w:ascii="宋体" w:cs="宋体"/>
                <w:b/>
                <w:kern w:val="0"/>
                <w:sz w:val="24"/>
                <w:highlight w:val="none"/>
              </w:rPr>
              <w:t>名称</w:t>
            </w:r>
          </w:p>
        </w:tc>
        <w:tc>
          <w:tcPr>
            <w:tcW w:w="992" w:type="dxa"/>
            <w:tcBorders>
              <w:top w:val="single" w:color="auto" w:sz="4" w:space="0"/>
              <w:left w:val="single" w:color="auto" w:sz="4" w:space="0"/>
              <w:bottom w:val="single" w:color="auto" w:sz="4" w:space="0"/>
              <w:right w:val="single" w:color="auto" w:sz="4" w:space="0"/>
            </w:tcBorders>
            <w:vAlign w:val="center"/>
          </w:tcPr>
          <w:p w14:paraId="79B7A01C">
            <w:pPr>
              <w:spacing w:line="360" w:lineRule="auto"/>
              <w:ind w:firstLine="0"/>
              <w:rPr>
                <w:rFonts w:ascii="宋体" w:cs="宋体"/>
                <w:b/>
                <w:kern w:val="0"/>
                <w:sz w:val="24"/>
                <w:highlight w:val="none"/>
              </w:rPr>
            </w:pPr>
            <w:r>
              <w:rPr>
                <w:rFonts w:hint="eastAsia" w:ascii="宋体" w:cs="宋体"/>
                <w:b/>
                <w:kern w:val="0"/>
                <w:sz w:val="24"/>
                <w:highlight w:val="none"/>
              </w:rPr>
              <w:t>份数</w:t>
            </w:r>
          </w:p>
        </w:tc>
        <w:tc>
          <w:tcPr>
            <w:tcW w:w="2551" w:type="dxa"/>
            <w:tcBorders>
              <w:top w:val="single" w:color="auto" w:sz="4" w:space="0"/>
              <w:left w:val="single" w:color="auto" w:sz="4" w:space="0"/>
              <w:bottom w:val="single" w:color="auto" w:sz="4" w:space="0"/>
              <w:right w:val="single" w:color="auto" w:sz="4" w:space="0"/>
            </w:tcBorders>
            <w:vAlign w:val="center"/>
          </w:tcPr>
          <w:p w14:paraId="4045BC64">
            <w:pPr>
              <w:spacing w:line="360" w:lineRule="auto"/>
              <w:ind w:firstLine="482" w:firstLineChars="200"/>
              <w:rPr>
                <w:rFonts w:ascii="宋体" w:cs="宋体"/>
                <w:b/>
                <w:kern w:val="0"/>
                <w:sz w:val="24"/>
                <w:highlight w:val="none"/>
              </w:rPr>
            </w:pPr>
            <w:r>
              <w:rPr>
                <w:rFonts w:hint="eastAsia" w:ascii="宋体" w:cs="宋体"/>
                <w:b/>
                <w:kern w:val="0"/>
                <w:sz w:val="24"/>
                <w:highlight w:val="none"/>
              </w:rPr>
              <w:t>提供时间</w:t>
            </w:r>
          </w:p>
        </w:tc>
        <w:tc>
          <w:tcPr>
            <w:tcW w:w="2410" w:type="dxa"/>
            <w:tcBorders>
              <w:top w:val="single" w:color="auto" w:sz="4" w:space="0"/>
              <w:left w:val="single" w:color="auto" w:sz="4" w:space="0"/>
              <w:bottom w:val="single" w:color="auto" w:sz="4" w:space="0"/>
              <w:right w:val="single" w:color="auto" w:sz="4" w:space="0"/>
            </w:tcBorders>
            <w:vAlign w:val="center"/>
          </w:tcPr>
          <w:p w14:paraId="169272E0">
            <w:pPr>
              <w:spacing w:line="360" w:lineRule="auto"/>
              <w:ind w:firstLine="482" w:firstLineChars="200"/>
              <w:rPr>
                <w:rFonts w:ascii="宋体" w:cs="宋体"/>
                <w:b/>
                <w:kern w:val="0"/>
                <w:sz w:val="24"/>
                <w:highlight w:val="none"/>
              </w:rPr>
            </w:pPr>
            <w:r>
              <w:rPr>
                <w:rFonts w:hint="eastAsia" w:ascii="宋体" w:cs="宋体"/>
                <w:b/>
                <w:kern w:val="0"/>
                <w:sz w:val="24"/>
                <w:highlight w:val="none"/>
              </w:rPr>
              <w:t>备注</w:t>
            </w:r>
          </w:p>
        </w:tc>
      </w:tr>
      <w:tr w14:paraId="6FFA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56E0768A">
            <w:pPr>
              <w:spacing w:line="360" w:lineRule="auto"/>
              <w:ind w:firstLine="0"/>
              <w:jc w:val="left"/>
              <w:rPr>
                <w:rFonts w:ascii="宋体" w:cs="宋体"/>
                <w:kern w:val="0"/>
                <w:sz w:val="24"/>
                <w:highlight w:val="none"/>
              </w:rPr>
            </w:pPr>
            <w:r>
              <w:rPr>
                <w:rFonts w:ascii="宋体" w:cs="宋体"/>
                <w:kern w:val="0"/>
                <w:sz w:val="24"/>
                <w:highlight w:val="none"/>
              </w:rPr>
              <w:t xml:space="preserve">1. </w:t>
            </w:r>
            <w:r>
              <w:rPr>
                <w:rFonts w:hint="eastAsia" w:ascii="宋体" w:cs="宋体"/>
                <w:kern w:val="0"/>
                <w:sz w:val="24"/>
                <w:highlight w:val="none"/>
              </w:rPr>
              <w:t>工程立项文件</w:t>
            </w:r>
          </w:p>
        </w:tc>
        <w:tc>
          <w:tcPr>
            <w:tcW w:w="992" w:type="dxa"/>
            <w:tcBorders>
              <w:top w:val="single" w:color="auto" w:sz="4" w:space="0"/>
              <w:left w:val="single" w:color="auto" w:sz="4" w:space="0"/>
              <w:bottom w:val="single" w:color="auto" w:sz="4" w:space="0"/>
              <w:right w:val="single" w:color="auto" w:sz="4" w:space="0"/>
            </w:tcBorders>
            <w:vAlign w:val="center"/>
          </w:tcPr>
          <w:p w14:paraId="0126FB31">
            <w:pPr>
              <w:spacing w:line="360" w:lineRule="auto"/>
              <w:ind w:firstLine="388" w:firstLineChars="200"/>
              <w:jc w:val="left"/>
              <w:rPr>
                <w:rFonts w:ascii="宋体" w:cs="宋体"/>
                <w:sz w:val="24"/>
                <w:highlight w:val="none"/>
              </w:rPr>
            </w:pPr>
            <w:r>
              <w:rPr>
                <w:rFonts w:ascii="宋体" w:cs="宋体"/>
                <w:w w:val="81"/>
                <w:sz w:val="24"/>
                <w:highlight w:val="none"/>
              </w:rPr>
              <w:t>1</w:t>
            </w:r>
          </w:p>
        </w:tc>
        <w:tc>
          <w:tcPr>
            <w:tcW w:w="2551" w:type="dxa"/>
            <w:tcBorders>
              <w:top w:val="single" w:color="auto" w:sz="4" w:space="0"/>
              <w:left w:val="single" w:color="auto" w:sz="4" w:space="0"/>
              <w:bottom w:val="single" w:color="auto" w:sz="4" w:space="0"/>
              <w:right w:val="single" w:color="auto" w:sz="4" w:space="0"/>
            </w:tcBorders>
            <w:vAlign w:val="center"/>
          </w:tcPr>
          <w:p w14:paraId="363B7C06">
            <w:pPr>
              <w:spacing w:line="360" w:lineRule="auto"/>
              <w:ind w:firstLine="0"/>
              <w:jc w:val="left"/>
              <w:rPr>
                <w:rFonts w:ascii="宋体" w:cs="宋体"/>
                <w:sz w:val="24"/>
                <w:highlight w:val="none"/>
              </w:rPr>
            </w:pPr>
            <w:r>
              <w:rPr>
                <w:rFonts w:hint="eastAsia" w:ascii="宋体" w:cs="宋体"/>
                <w:sz w:val="24"/>
                <w:highlight w:val="none"/>
              </w:rPr>
              <w:t>开工前</w:t>
            </w:r>
            <w:r>
              <w:rPr>
                <w:rFonts w:ascii="宋体" w:cs="宋体"/>
                <w:spacing w:val="-6"/>
                <w:sz w:val="24"/>
                <w:highlight w:val="none"/>
              </w:rPr>
              <w:t xml:space="preserve"> </w:t>
            </w:r>
            <w:r>
              <w:rPr>
                <w:rFonts w:ascii="宋体" w:cs="宋体"/>
                <w:w w:val="81"/>
                <w:sz w:val="24"/>
                <w:highlight w:val="none"/>
              </w:rPr>
              <w:t>3</w:t>
            </w:r>
            <w:r>
              <w:rPr>
                <w:rFonts w:ascii="宋体" w:cs="宋体"/>
                <w:spacing w:val="6"/>
                <w:w w:val="81"/>
                <w:sz w:val="24"/>
                <w:highlight w:val="none"/>
              </w:rPr>
              <w:t xml:space="preserve"> </w:t>
            </w:r>
            <w:r>
              <w:rPr>
                <w:rFonts w:hint="eastAsia" w:ascii="宋体" w:cs="宋体"/>
                <w:sz w:val="24"/>
                <w:highlight w:val="none"/>
              </w:rPr>
              <w:t>天内</w:t>
            </w:r>
          </w:p>
        </w:tc>
        <w:tc>
          <w:tcPr>
            <w:tcW w:w="2410" w:type="dxa"/>
            <w:tcBorders>
              <w:top w:val="single" w:color="auto" w:sz="4" w:space="0"/>
              <w:left w:val="single" w:color="auto" w:sz="4" w:space="0"/>
              <w:bottom w:val="single" w:color="auto" w:sz="4" w:space="0"/>
              <w:right w:val="single" w:color="auto" w:sz="4" w:space="0"/>
            </w:tcBorders>
            <w:vAlign w:val="center"/>
          </w:tcPr>
          <w:p w14:paraId="1E6D8840">
            <w:pPr>
              <w:spacing w:line="360" w:lineRule="auto"/>
              <w:ind w:firstLine="480" w:firstLineChars="200"/>
              <w:jc w:val="left"/>
              <w:rPr>
                <w:rFonts w:ascii="宋体" w:cs="宋体"/>
                <w:sz w:val="24"/>
                <w:highlight w:val="none"/>
              </w:rPr>
            </w:pPr>
          </w:p>
        </w:tc>
      </w:tr>
      <w:tr w14:paraId="26AD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618FE564">
            <w:pPr>
              <w:spacing w:line="360" w:lineRule="auto"/>
              <w:ind w:firstLine="0"/>
              <w:jc w:val="left"/>
              <w:rPr>
                <w:rFonts w:ascii="宋体" w:cs="宋体"/>
                <w:kern w:val="0"/>
                <w:sz w:val="24"/>
                <w:highlight w:val="none"/>
              </w:rPr>
            </w:pPr>
            <w:r>
              <w:rPr>
                <w:rFonts w:ascii="宋体" w:cs="宋体"/>
                <w:kern w:val="0"/>
                <w:sz w:val="24"/>
                <w:highlight w:val="none"/>
              </w:rPr>
              <w:t xml:space="preserve">2. </w:t>
            </w:r>
            <w:r>
              <w:rPr>
                <w:rFonts w:hint="eastAsia" w:ascii="宋体" w:cs="宋体"/>
                <w:kern w:val="0"/>
                <w:sz w:val="24"/>
                <w:highlight w:val="none"/>
              </w:rPr>
              <w:t>工程勘察文件</w:t>
            </w:r>
          </w:p>
        </w:tc>
        <w:tc>
          <w:tcPr>
            <w:tcW w:w="992" w:type="dxa"/>
            <w:tcBorders>
              <w:top w:val="single" w:color="auto" w:sz="4" w:space="0"/>
              <w:left w:val="single" w:color="auto" w:sz="4" w:space="0"/>
              <w:bottom w:val="single" w:color="auto" w:sz="4" w:space="0"/>
              <w:right w:val="single" w:color="auto" w:sz="4" w:space="0"/>
            </w:tcBorders>
            <w:vAlign w:val="center"/>
          </w:tcPr>
          <w:p w14:paraId="642937F5">
            <w:pPr>
              <w:spacing w:line="360" w:lineRule="auto"/>
              <w:ind w:firstLine="388" w:firstLineChars="200"/>
              <w:jc w:val="left"/>
              <w:rPr>
                <w:rFonts w:ascii="宋体" w:cs="宋体"/>
                <w:sz w:val="24"/>
                <w:highlight w:val="none"/>
              </w:rPr>
            </w:pPr>
            <w:r>
              <w:rPr>
                <w:rFonts w:ascii="宋体" w:cs="宋体"/>
                <w:w w:val="81"/>
                <w:sz w:val="24"/>
                <w:highlight w:val="none"/>
              </w:rPr>
              <w:t>1</w:t>
            </w:r>
          </w:p>
        </w:tc>
        <w:tc>
          <w:tcPr>
            <w:tcW w:w="2551" w:type="dxa"/>
            <w:tcBorders>
              <w:top w:val="single" w:color="auto" w:sz="4" w:space="0"/>
              <w:left w:val="single" w:color="auto" w:sz="4" w:space="0"/>
              <w:bottom w:val="single" w:color="auto" w:sz="4" w:space="0"/>
              <w:right w:val="single" w:color="auto" w:sz="4" w:space="0"/>
            </w:tcBorders>
            <w:vAlign w:val="center"/>
          </w:tcPr>
          <w:p w14:paraId="60038129">
            <w:pPr>
              <w:spacing w:line="360" w:lineRule="auto"/>
              <w:ind w:firstLine="0"/>
              <w:jc w:val="left"/>
              <w:rPr>
                <w:rFonts w:ascii="宋体" w:cs="宋体"/>
                <w:sz w:val="24"/>
                <w:highlight w:val="none"/>
              </w:rPr>
            </w:pPr>
            <w:r>
              <w:rPr>
                <w:rFonts w:hint="eastAsia" w:ascii="宋体" w:cs="宋体"/>
                <w:sz w:val="24"/>
                <w:highlight w:val="none"/>
              </w:rPr>
              <w:t>开工前</w:t>
            </w:r>
            <w:r>
              <w:rPr>
                <w:rFonts w:ascii="宋体" w:cs="宋体"/>
                <w:spacing w:val="-6"/>
                <w:sz w:val="24"/>
                <w:highlight w:val="none"/>
              </w:rPr>
              <w:t xml:space="preserve"> </w:t>
            </w:r>
            <w:r>
              <w:rPr>
                <w:rFonts w:ascii="宋体" w:cs="宋体"/>
                <w:w w:val="81"/>
                <w:sz w:val="24"/>
                <w:highlight w:val="none"/>
              </w:rPr>
              <w:t>3</w:t>
            </w:r>
            <w:r>
              <w:rPr>
                <w:rFonts w:ascii="宋体" w:cs="宋体"/>
                <w:spacing w:val="6"/>
                <w:w w:val="81"/>
                <w:sz w:val="24"/>
                <w:highlight w:val="none"/>
              </w:rPr>
              <w:t xml:space="preserve"> </w:t>
            </w:r>
            <w:r>
              <w:rPr>
                <w:rFonts w:hint="eastAsia" w:ascii="宋体" w:cs="宋体"/>
                <w:sz w:val="24"/>
                <w:highlight w:val="none"/>
              </w:rPr>
              <w:t>天内</w:t>
            </w:r>
          </w:p>
        </w:tc>
        <w:tc>
          <w:tcPr>
            <w:tcW w:w="2410" w:type="dxa"/>
            <w:tcBorders>
              <w:top w:val="single" w:color="auto" w:sz="4" w:space="0"/>
              <w:left w:val="single" w:color="auto" w:sz="4" w:space="0"/>
              <w:bottom w:val="single" w:color="auto" w:sz="4" w:space="0"/>
              <w:right w:val="single" w:color="auto" w:sz="4" w:space="0"/>
            </w:tcBorders>
            <w:vAlign w:val="center"/>
          </w:tcPr>
          <w:p w14:paraId="31A19418">
            <w:pPr>
              <w:spacing w:line="360" w:lineRule="auto"/>
              <w:ind w:firstLine="480" w:firstLineChars="200"/>
              <w:jc w:val="left"/>
              <w:rPr>
                <w:rFonts w:ascii="宋体" w:cs="宋体"/>
                <w:sz w:val="24"/>
                <w:highlight w:val="none"/>
              </w:rPr>
            </w:pPr>
          </w:p>
        </w:tc>
      </w:tr>
      <w:tr w14:paraId="0336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72D84089">
            <w:pPr>
              <w:spacing w:line="360" w:lineRule="auto"/>
              <w:ind w:firstLine="0"/>
              <w:jc w:val="left"/>
              <w:rPr>
                <w:rFonts w:ascii="宋体" w:cs="宋体"/>
                <w:kern w:val="0"/>
                <w:sz w:val="24"/>
                <w:highlight w:val="none"/>
              </w:rPr>
            </w:pPr>
            <w:r>
              <w:rPr>
                <w:rFonts w:ascii="宋体" w:cs="宋体"/>
                <w:kern w:val="0"/>
                <w:sz w:val="24"/>
                <w:highlight w:val="none"/>
              </w:rPr>
              <w:t xml:space="preserve">3. </w:t>
            </w:r>
            <w:r>
              <w:rPr>
                <w:rFonts w:hint="eastAsia" w:ascii="宋体" w:cs="宋体"/>
                <w:kern w:val="0"/>
                <w:sz w:val="24"/>
                <w:highlight w:val="none"/>
              </w:rPr>
              <w:t>工程设计及施工图纸</w:t>
            </w:r>
          </w:p>
        </w:tc>
        <w:tc>
          <w:tcPr>
            <w:tcW w:w="992" w:type="dxa"/>
            <w:tcBorders>
              <w:top w:val="single" w:color="auto" w:sz="4" w:space="0"/>
              <w:left w:val="single" w:color="auto" w:sz="4" w:space="0"/>
              <w:bottom w:val="single" w:color="auto" w:sz="4" w:space="0"/>
              <w:right w:val="single" w:color="auto" w:sz="4" w:space="0"/>
            </w:tcBorders>
            <w:vAlign w:val="center"/>
          </w:tcPr>
          <w:p w14:paraId="5EF7A7D2">
            <w:pPr>
              <w:spacing w:line="360" w:lineRule="auto"/>
              <w:ind w:firstLine="388" w:firstLineChars="200"/>
              <w:jc w:val="left"/>
              <w:rPr>
                <w:rFonts w:ascii="宋体" w:cs="宋体"/>
                <w:sz w:val="24"/>
                <w:highlight w:val="none"/>
              </w:rPr>
            </w:pPr>
            <w:r>
              <w:rPr>
                <w:rFonts w:ascii="宋体" w:cs="宋体"/>
                <w:w w:val="81"/>
                <w:sz w:val="24"/>
                <w:highlight w:val="none"/>
              </w:rPr>
              <w:t>2</w:t>
            </w:r>
          </w:p>
        </w:tc>
        <w:tc>
          <w:tcPr>
            <w:tcW w:w="2551" w:type="dxa"/>
            <w:tcBorders>
              <w:top w:val="single" w:color="auto" w:sz="4" w:space="0"/>
              <w:left w:val="single" w:color="auto" w:sz="4" w:space="0"/>
              <w:bottom w:val="single" w:color="auto" w:sz="4" w:space="0"/>
              <w:right w:val="single" w:color="auto" w:sz="4" w:space="0"/>
            </w:tcBorders>
            <w:vAlign w:val="center"/>
          </w:tcPr>
          <w:p w14:paraId="5A374E24">
            <w:pPr>
              <w:spacing w:line="360" w:lineRule="auto"/>
              <w:ind w:firstLine="0"/>
              <w:jc w:val="left"/>
              <w:rPr>
                <w:rFonts w:ascii="宋体" w:cs="宋体"/>
                <w:sz w:val="24"/>
                <w:highlight w:val="none"/>
              </w:rPr>
            </w:pPr>
            <w:r>
              <w:rPr>
                <w:rFonts w:hint="eastAsia" w:ascii="宋体" w:cs="宋体"/>
                <w:spacing w:val="-6"/>
                <w:sz w:val="24"/>
                <w:highlight w:val="none"/>
              </w:rPr>
              <w:t xml:space="preserve">开工前 </w:t>
            </w:r>
            <w:r>
              <w:rPr>
                <w:rFonts w:ascii="宋体" w:cs="宋体"/>
                <w:w w:val="81"/>
                <w:sz w:val="24"/>
                <w:highlight w:val="none"/>
              </w:rPr>
              <w:t>3</w:t>
            </w:r>
            <w:r>
              <w:rPr>
                <w:rFonts w:ascii="宋体" w:cs="宋体"/>
                <w:spacing w:val="6"/>
                <w:w w:val="81"/>
                <w:sz w:val="24"/>
                <w:highlight w:val="none"/>
              </w:rPr>
              <w:t xml:space="preserve"> </w:t>
            </w:r>
            <w:r>
              <w:rPr>
                <w:rFonts w:hint="eastAsia" w:ascii="宋体" w:cs="宋体"/>
                <w:sz w:val="24"/>
                <w:highlight w:val="none"/>
              </w:rPr>
              <w:t>天内</w:t>
            </w:r>
          </w:p>
        </w:tc>
        <w:tc>
          <w:tcPr>
            <w:tcW w:w="2410" w:type="dxa"/>
            <w:tcBorders>
              <w:top w:val="single" w:color="auto" w:sz="4" w:space="0"/>
              <w:left w:val="single" w:color="auto" w:sz="4" w:space="0"/>
              <w:bottom w:val="single" w:color="auto" w:sz="4" w:space="0"/>
              <w:right w:val="single" w:color="auto" w:sz="4" w:space="0"/>
            </w:tcBorders>
            <w:vAlign w:val="center"/>
          </w:tcPr>
          <w:p w14:paraId="3F8B3149">
            <w:pPr>
              <w:spacing w:line="360" w:lineRule="auto"/>
              <w:ind w:firstLine="480" w:firstLineChars="200"/>
              <w:jc w:val="left"/>
              <w:rPr>
                <w:rFonts w:ascii="宋体" w:cs="宋体"/>
                <w:sz w:val="24"/>
                <w:highlight w:val="none"/>
              </w:rPr>
            </w:pPr>
          </w:p>
        </w:tc>
      </w:tr>
      <w:tr w14:paraId="1CDD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23AA1CAD">
            <w:pPr>
              <w:spacing w:line="360" w:lineRule="auto"/>
              <w:ind w:firstLine="0"/>
              <w:jc w:val="left"/>
              <w:rPr>
                <w:rFonts w:ascii="宋体" w:cs="宋体"/>
                <w:kern w:val="0"/>
                <w:sz w:val="24"/>
                <w:highlight w:val="none"/>
              </w:rPr>
            </w:pPr>
            <w:r>
              <w:rPr>
                <w:rFonts w:ascii="宋体" w:cs="宋体"/>
                <w:kern w:val="0"/>
                <w:sz w:val="24"/>
                <w:highlight w:val="none"/>
              </w:rPr>
              <w:t xml:space="preserve">4. </w:t>
            </w:r>
            <w:r>
              <w:rPr>
                <w:rFonts w:hint="eastAsia" w:ascii="宋体" w:cs="宋体"/>
                <w:kern w:val="0"/>
                <w:sz w:val="24"/>
                <w:highlight w:val="none"/>
              </w:rPr>
              <w:t>工程承包合同及其他相关合同</w:t>
            </w:r>
          </w:p>
        </w:tc>
        <w:tc>
          <w:tcPr>
            <w:tcW w:w="992" w:type="dxa"/>
            <w:tcBorders>
              <w:top w:val="single" w:color="auto" w:sz="4" w:space="0"/>
              <w:left w:val="single" w:color="auto" w:sz="4" w:space="0"/>
              <w:bottom w:val="single" w:color="auto" w:sz="4" w:space="0"/>
              <w:right w:val="single" w:color="auto" w:sz="4" w:space="0"/>
            </w:tcBorders>
            <w:vAlign w:val="center"/>
          </w:tcPr>
          <w:p w14:paraId="217813E0">
            <w:pPr>
              <w:spacing w:line="360" w:lineRule="auto"/>
              <w:ind w:firstLine="388" w:firstLineChars="200"/>
              <w:jc w:val="left"/>
              <w:rPr>
                <w:rFonts w:ascii="宋体" w:cs="宋体"/>
                <w:sz w:val="24"/>
                <w:highlight w:val="none"/>
              </w:rPr>
            </w:pPr>
            <w:r>
              <w:rPr>
                <w:rFonts w:ascii="宋体" w:cs="宋体"/>
                <w:w w:val="81"/>
                <w:sz w:val="24"/>
                <w:highlight w:val="none"/>
              </w:rPr>
              <w:t>1</w:t>
            </w:r>
          </w:p>
        </w:tc>
        <w:tc>
          <w:tcPr>
            <w:tcW w:w="2551" w:type="dxa"/>
            <w:tcBorders>
              <w:top w:val="single" w:color="auto" w:sz="4" w:space="0"/>
              <w:left w:val="single" w:color="auto" w:sz="4" w:space="0"/>
              <w:bottom w:val="single" w:color="auto" w:sz="4" w:space="0"/>
              <w:right w:val="single" w:color="auto" w:sz="4" w:space="0"/>
            </w:tcBorders>
            <w:vAlign w:val="center"/>
          </w:tcPr>
          <w:p w14:paraId="23DFDE76">
            <w:pPr>
              <w:spacing w:line="360" w:lineRule="auto"/>
              <w:ind w:firstLine="0"/>
              <w:jc w:val="left"/>
              <w:rPr>
                <w:rFonts w:ascii="宋体" w:cs="宋体"/>
                <w:sz w:val="24"/>
                <w:highlight w:val="none"/>
              </w:rPr>
            </w:pPr>
            <w:r>
              <w:rPr>
                <w:rFonts w:hint="eastAsia" w:ascii="宋体" w:cs="宋体"/>
                <w:sz w:val="24"/>
                <w:highlight w:val="none"/>
              </w:rPr>
              <w:t>工程开工前</w:t>
            </w:r>
            <w:r>
              <w:rPr>
                <w:rFonts w:ascii="宋体" w:cs="宋体"/>
                <w:spacing w:val="-6"/>
                <w:sz w:val="24"/>
                <w:highlight w:val="none"/>
              </w:rPr>
              <w:t xml:space="preserve"> </w:t>
            </w:r>
            <w:r>
              <w:rPr>
                <w:rFonts w:ascii="宋体" w:cs="宋体"/>
                <w:w w:val="81"/>
                <w:sz w:val="24"/>
                <w:highlight w:val="none"/>
              </w:rPr>
              <w:t>3</w:t>
            </w:r>
            <w:r>
              <w:rPr>
                <w:rFonts w:ascii="宋体" w:cs="宋体"/>
                <w:spacing w:val="6"/>
                <w:w w:val="81"/>
                <w:sz w:val="24"/>
                <w:highlight w:val="none"/>
              </w:rPr>
              <w:t xml:space="preserve"> </w:t>
            </w:r>
            <w:r>
              <w:rPr>
                <w:rFonts w:hint="eastAsia" w:ascii="宋体" w:cs="宋体"/>
                <w:sz w:val="24"/>
                <w:highlight w:val="none"/>
              </w:rPr>
              <w:t>天</w:t>
            </w:r>
          </w:p>
        </w:tc>
        <w:tc>
          <w:tcPr>
            <w:tcW w:w="2410" w:type="dxa"/>
            <w:tcBorders>
              <w:top w:val="single" w:color="auto" w:sz="4" w:space="0"/>
              <w:left w:val="single" w:color="auto" w:sz="4" w:space="0"/>
              <w:bottom w:val="single" w:color="auto" w:sz="4" w:space="0"/>
              <w:right w:val="single" w:color="auto" w:sz="4" w:space="0"/>
            </w:tcBorders>
            <w:vAlign w:val="center"/>
          </w:tcPr>
          <w:p w14:paraId="2DCE4871">
            <w:pPr>
              <w:spacing w:line="360" w:lineRule="auto"/>
              <w:ind w:firstLine="480" w:firstLineChars="200"/>
              <w:jc w:val="left"/>
              <w:rPr>
                <w:rFonts w:ascii="宋体" w:cs="宋体"/>
                <w:sz w:val="24"/>
                <w:highlight w:val="none"/>
              </w:rPr>
            </w:pPr>
          </w:p>
        </w:tc>
      </w:tr>
      <w:tr w14:paraId="2F4B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624DC6B0">
            <w:pPr>
              <w:spacing w:line="360" w:lineRule="auto"/>
              <w:ind w:firstLine="0"/>
              <w:jc w:val="left"/>
              <w:rPr>
                <w:rFonts w:ascii="宋体" w:cs="宋体"/>
                <w:kern w:val="0"/>
                <w:sz w:val="24"/>
                <w:highlight w:val="none"/>
              </w:rPr>
            </w:pPr>
            <w:r>
              <w:rPr>
                <w:rFonts w:ascii="宋体" w:cs="宋体"/>
                <w:kern w:val="0"/>
                <w:sz w:val="24"/>
                <w:highlight w:val="none"/>
              </w:rPr>
              <w:t xml:space="preserve">5. </w:t>
            </w:r>
            <w:r>
              <w:rPr>
                <w:rFonts w:hint="eastAsia" w:ascii="宋体" w:cs="宋体"/>
                <w:kern w:val="0"/>
                <w:sz w:val="24"/>
                <w:highlight w:val="none"/>
              </w:rPr>
              <w:t>施工许可文件</w:t>
            </w:r>
          </w:p>
        </w:tc>
        <w:tc>
          <w:tcPr>
            <w:tcW w:w="992" w:type="dxa"/>
            <w:tcBorders>
              <w:top w:val="single" w:color="auto" w:sz="4" w:space="0"/>
              <w:left w:val="single" w:color="auto" w:sz="4" w:space="0"/>
              <w:bottom w:val="single" w:color="auto" w:sz="4" w:space="0"/>
              <w:right w:val="single" w:color="auto" w:sz="4" w:space="0"/>
            </w:tcBorders>
            <w:vAlign w:val="center"/>
          </w:tcPr>
          <w:p w14:paraId="7B8224B3">
            <w:pPr>
              <w:spacing w:line="360" w:lineRule="auto"/>
              <w:ind w:firstLine="388" w:firstLineChars="200"/>
              <w:jc w:val="left"/>
              <w:rPr>
                <w:rFonts w:ascii="宋体" w:cs="宋体"/>
                <w:sz w:val="24"/>
                <w:highlight w:val="none"/>
              </w:rPr>
            </w:pPr>
            <w:r>
              <w:rPr>
                <w:rFonts w:ascii="宋体" w:cs="宋体"/>
                <w:w w:val="81"/>
                <w:sz w:val="24"/>
                <w:highlight w:val="none"/>
              </w:rPr>
              <w:t>1</w:t>
            </w:r>
          </w:p>
        </w:tc>
        <w:tc>
          <w:tcPr>
            <w:tcW w:w="2551" w:type="dxa"/>
            <w:tcBorders>
              <w:top w:val="single" w:color="auto" w:sz="4" w:space="0"/>
              <w:left w:val="single" w:color="auto" w:sz="4" w:space="0"/>
              <w:bottom w:val="single" w:color="auto" w:sz="4" w:space="0"/>
              <w:right w:val="single" w:color="auto" w:sz="4" w:space="0"/>
            </w:tcBorders>
            <w:vAlign w:val="center"/>
          </w:tcPr>
          <w:p w14:paraId="67CAEE59">
            <w:pPr>
              <w:spacing w:line="360" w:lineRule="auto"/>
              <w:ind w:firstLine="0"/>
              <w:jc w:val="left"/>
              <w:rPr>
                <w:rFonts w:ascii="宋体" w:cs="宋体"/>
                <w:sz w:val="24"/>
                <w:highlight w:val="none"/>
              </w:rPr>
            </w:pPr>
            <w:r>
              <w:rPr>
                <w:rFonts w:hint="eastAsia" w:ascii="宋体" w:cs="宋体"/>
                <w:kern w:val="0"/>
                <w:sz w:val="24"/>
                <w:highlight w:val="none"/>
              </w:rPr>
              <w:t>施工许可证发出后</w:t>
            </w:r>
          </w:p>
        </w:tc>
        <w:tc>
          <w:tcPr>
            <w:tcW w:w="2410" w:type="dxa"/>
            <w:tcBorders>
              <w:top w:val="single" w:color="auto" w:sz="4" w:space="0"/>
              <w:left w:val="single" w:color="auto" w:sz="4" w:space="0"/>
              <w:bottom w:val="single" w:color="auto" w:sz="4" w:space="0"/>
              <w:right w:val="single" w:color="auto" w:sz="4" w:space="0"/>
            </w:tcBorders>
            <w:vAlign w:val="center"/>
          </w:tcPr>
          <w:p w14:paraId="133A1A1A">
            <w:pPr>
              <w:spacing w:line="360" w:lineRule="auto"/>
              <w:ind w:firstLine="480" w:firstLineChars="200"/>
              <w:jc w:val="left"/>
              <w:rPr>
                <w:rFonts w:ascii="宋体" w:cs="宋体"/>
                <w:sz w:val="24"/>
                <w:highlight w:val="none"/>
              </w:rPr>
            </w:pPr>
          </w:p>
        </w:tc>
      </w:tr>
      <w:tr w14:paraId="47DF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7E9D13D0">
            <w:pPr>
              <w:spacing w:line="360" w:lineRule="auto"/>
              <w:ind w:firstLine="0"/>
              <w:jc w:val="left"/>
              <w:rPr>
                <w:rFonts w:ascii="宋体" w:cs="宋体"/>
                <w:kern w:val="0"/>
                <w:sz w:val="24"/>
                <w:highlight w:val="none"/>
              </w:rPr>
            </w:pPr>
            <w:r>
              <w:rPr>
                <w:rFonts w:ascii="宋体" w:cs="宋体"/>
                <w:kern w:val="0"/>
                <w:sz w:val="24"/>
                <w:highlight w:val="none"/>
              </w:rPr>
              <w:t xml:space="preserve">6. </w:t>
            </w:r>
            <w:r>
              <w:rPr>
                <w:rFonts w:hint="eastAsia" w:ascii="宋体" w:cs="宋体"/>
                <w:kern w:val="0"/>
                <w:sz w:val="24"/>
                <w:highlight w:val="none"/>
              </w:rPr>
              <w:t>其他文件</w:t>
            </w:r>
          </w:p>
        </w:tc>
        <w:tc>
          <w:tcPr>
            <w:tcW w:w="992" w:type="dxa"/>
            <w:tcBorders>
              <w:top w:val="single" w:color="auto" w:sz="4" w:space="0"/>
              <w:left w:val="single" w:color="auto" w:sz="4" w:space="0"/>
              <w:bottom w:val="single" w:color="auto" w:sz="4" w:space="0"/>
              <w:right w:val="single" w:color="auto" w:sz="4" w:space="0"/>
            </w:tcBorders>
            <w:vAlign w:val="center"/>
          </w:tcPr>
          <w:p w14:paraId="7E450FC5">
            <w:pPr>
              <w:spacing w:line="360" w:lineRule="auto"/>
              <w:ind w:firstLine="388" w:firstLineChars="200"/>
              <w:jc w:val="left"/>
              <w:rPr>
                <w:rFonts w:ascii="宋体" w:cs="宋体"/>
                <w:sz w:val="24"/>
                <w:highlight w:val="none"/>
              </w:rPr>
            </w:pPr>
            <w:r>
              <w:rPr>
                <w:rFonts w:ascii="宋体" w:cs="宋体"/>
                <w:w w:val="81"/>
                <w:sz w:val="24"/>
                <w:highlight w:val="none"/>
              </w:rPr>
              <w:t>1</w:t>
            </w:r>
          </w:p>
        </w:tc>
        <w:tc>
          <w:tcPr>
            <w:tcW w:w="2551" w:type="dxa"/>
            <w:tcBorders>
              <w:top w:val="single" w:color="auto" w:sz="4" w:space="0"/>
              <w:left w:val="single" w:color="auto" w:sz="4" w:space="0"/>
              <w:bottom w:val="single" w:color="auto" w:sz="4" w:space="0"/>
              <w:right w:val="single" w:color="auto" w:sz="4" w:space="0"/>
            </w:tcBorders>
            <w:vAlign w:val="center"/>
          </w:tcPr>
          <w:p w14:paraId="04C9EE46">
            <w:pPr>
              <w:spacing w:line="360" w:lineRule="auto"/>
              <w:ind w:firstLine="0"/>
              <w:jc w:val="left"/>
              <w:rPr>
                <w:rFonts w:ascii="宋体" w:cs="宋体"/>
                <w:sz w:val="24"/>
                <w:highlight w:val="none"/>
              </w:rPr>
            </w:pPr>
            <w:r>
              <w:rPr>
                <w:rFonts w:hint="eastAsia" w:ascii="宋体" w:cs="宋体"/>
                <w:sz w:val="24"/>
                <w:highlight w:val="none"/>
              </w:rPr>
              <w:t>根据需要提供</w:t>
            </w:r>
          </w:p>
        </w:tc>
        <w:tc>
          <w:tcPr>
            <w:tcW w:w="2410" w:type="dxa"/>
            <w:tcBorders>
              <w:top w:val="single" w:color="auto" w:sz="4" w:space="0"/>
              <w:left w:val="single" w:color="auto" w:sz="4" w:space="0"/>
              <w:bottom w:val="single" w:color="auto" w:sz="4" w:space="0"/>
              <w:right w:val="single" w:color="auto" w:sz="4" w:space="0"/>
            </w:tcBorders>
            <w:vAlign w:val="center"/>
          </w:tcPr>
          <w:p w14:paraId="4027AF64">
            <w:pPr>
              <w:spacing w:line="360" w:lineRule="auto"/>
              <w:ind w:firstLine="0"/>
              <w:jc w:val="left"/>
              <w:rPr>
                <w:rFonts w:ascii="宋体" w:cs="宋体"/>
                <w:sz w:val="24"/>
                <w:highlight w:val="none"/>
              </w:rPr>
            </w:pPr>
            <w:r>
              <w:rPr>
                <w:rFonts w:hint="eastAsia" w:ascii="宋体" w:cs="宋体"/>
                <w:sz w:val="24"/>
                <w:highlight w:val="none"/>
              </w:rPr>
              <w:t>与工程有关的资料</w:t>
            </w:r>
          </w:p>
        </w:tc>
      </w:tr>
      <w:tr w14:paraId="66BC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59499C6C">
            <w:pPr>
              <w:spacing w:line="360" w:lineRule="auto"/>
              <w:ind w:firstLine="480" w:firstLineChars="200"/>
              <w:rPr>
                <w:rFonts w:ascii="宋体" w:cs="宋体"/>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6EB0CDD">
            <w:pPr>
              <w:spacing w:line="360" w:lineRule="auto"/>
              <w:ind w:firstLine="480" w:firstLineChars="200"/>
              <w:rPr>
                <w:rFonts w:ascii="宋体" w:cs="宋体"/>
                <w:kern w:val="0"/>
                <w:sz w:val="24"/>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0707860B">
            <w:pPr>
              <w:spacing w:line="360" w:lineRule="auto"/>
              <w:ind w:firstLine="480" w:firstLineChars="200"/>
              <w:rPr>
                <w:rFonts w:ascii="宋体" w:cs="宋体"/>
                <w:kern w:val="0"/>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57D3333">
            <w:pPr>
              <w:spacing w:line="360" w:lineRule="auto"/>
              <w:ind w:firstLine="480" w:firstLineChars="200"/>
              <w:rPr>
                <w:rFonts w:ascii="宋体" w:cs="宋体"/>
                <w:kern w:val="0"/>
                <w:sz w:val="24"/>
                <w:highlight w:val="none"/>
              </w:rPr>
            </w:pPr>
          </w:p>
        </w:tc>
      </w:tr>
    </w:tbl>
    <w:p w14:paraId="7A8E1C9A">
      <w:pPr>
        <w:spacing w:line="360" w:lineRule="auto"/>
        <w:ind w:firstLine="482" w:firstLineChars="200"/>
        <w:rPr>
          <w:rFonts w:ascii="宋体" w:cs="宋体"/>
          <w:b/>
          <w:kern w:val="0"/>
          <w:sz w:val="24"/>
          <w:highlight w:val="none"/>
        </w:rPr>
        <w:sectPr>
          <w:footerReference r:id="rId5" w:type="first"/>
          <w:footerReference r:id="rId3" w:type="default"/>
          <w:footerReference r:id="rId4" w:type="even"/>
          <w:pgSz w:w="11906" w:h="16838"/>
          <w:pgMar w:top="1418" w:right="1418" w:bottom="1418" w:left="1418" w:header="737" w:footer="737" w:gutter="0"/>
          <w:cols w:space="720" w:num="1"/>
          <w:titlePg/>
          <w:docGrid w:linePitch="312" w:charSpace="0"/>
        </w:sectPr>
      </w:pPr>
    </w:p>
    <w:p w14:paraId="24AA7C48">
      <w:pPr>
        <w:spacing w:line="360" w:lineRule="auto"/>
        <w:ind w:firstLine="482" w:firstLineChars="200"/>
        <w:rPr>
          <w:rFonts w:ascii="宋体" w:cs="宋体"/>
          <w:sz w:val="24"/>
          <w:highlight w:val="none"/>
        </w:rPr>
      </w:pPr>
      <w:r>
        <w:rPr>
          <w:rFonts w:ascii="宋体" w:cs="宋体"/>
          <w:b/>
          <w:kern w:val="0"/>
          <w:sz w:val="24"/>
          <w:highlight w:val="none"/>
        </w:rPr>
        <w:t xml:space="preserve"> B</w:t>
      </w:r>
      <w:r>
        <w:rPr>
          <w:rFonts w:hint="eastAsia" w:ascii="宋体" w:cs="宋体"/>
          <w:sz w:val="24"/>
          <w:highlight w:val="none"/>
        </w:rPr>
        <w:t>附件：</w:t>
      </w:r>
    </w:p>
    <w:p w14:paraId="14CA7388">
      <w:pPr>
        <w:pStyle w:val="29"/>
        <w:adjustRightInd w:val="0"/>
        <w:snapToGrid w:val="0"/>
        <w:spacing w:line="360" w:lineRule="auto"/>
        <w:jc w:val="both"/>
        <w:rPr>
          <w:rFonts w:ascii="宋体" w:cs="宋体"/>
          <w:b/>
          <w:bCs/>
          <w:sz w:val="24"/>
          <w:szCs w:val="24"/>
          <w:highlight w:val="none"/>
        </w:rPr>
      </w:pPr>
      <w:r>
        <w:rPr>
          <w:rFonts w:hint="eastAsia" w:ascii="宋体" w:cs="宋体"/>
          <w:b/>
          <w:bCs/>
          <w:sz w:val="24"/>
          <w:szCs w:val="24"/>
          <w:highlight w:val="none"/>
        </w:rPr>
        <w:t>项目监理机构配备情况表</w:t>
      </w:r>
    </w:p>
    <w:tbl>
      <w:tblPr>
        <w:tblStyle w:val="21"/>
        <w:tblW w:w="14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475"/>
        <w:gridCol w:w="1264"/>
        <w:gridCol w:w="1701"/>
        <w:gridCol w:w="1134"/>
        <w:gridCol w:w="1701"/>
        <w:gridCol w:w="1575"/>
        <w:gridCol w:w="1475"/>
        <w:gridCol w:w="1094"/>
        <w:gridCol w:w="1700"/>
      </w:tblGrid>
      <w:tr w14:paraId="4664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blHeader/>
          <w:jc w:val="center"/>
        </w:trPr>
        <w:tc>
          <w:tcPr>
            <w:tcW w:w="1476" w:type="dxa"/>
            <w:vMerge w:val="restart"/>
            <w:tcBorders>
              <w:top w:val="single" w:color="auto" w:sz="4" w:space="0"/>
              <w:left w:val="single" w:color="auto" w:sz="4" w:space="0"/>
              <w:bottom w:val="single" w:color="auto" w:sz="4" w:space="0"/>
              <w:right w:val="single" w:color="auto" w:sz="4" w:space="0"/>
            </w:tcBorders>
            <w:vAlign w:val="center"/>
          </w:tcPr>
          <w:p w14:paraId="6F0E1B48">
            <w:pPr>
              <w:spacing w:line="360" w:lineRule="auto"/>
              <w:ind w:firstLine="0"/>
              <w:jc w:val="center"/>
              <w:rPr>
                <w:rFonts w:ascii="宋体" w:cs="宋体"/>
                <w:b/>
                <w:sz w:val="24"/>
                <w:highlight w:val="none"/>
              </w:rPr>
            </w:pPr>
            <w:r>
              <w:rPr>
                <w:rFonts w:ascii="宋体" w:cs="宋体"/>
                <w:b/>
                <w:sz w:val="24"/>
                <w:highlight w:val="none"/>
              </w:rPr>
              <w:br w:type="page"/>
            </w:r>
            <w:r>
              <w:rPr>
                <w:rFonts w:hint="eastAsia" w:ascii="宋体" w:cs="宋体"/>
                <w:b/>
                <w:sz w:val="24"/>
                <w:highlight w:val="none"/>
              </w:rPr>
              <w:t>职务</w:t>
            </w:r>
          </w:p>
        </w:tc>
        <w:tc>
          <w:tcPr>
            <w:tcW w:w="1475" w:type="dxa"/>
            <w:vMerge w:val="restart"/>
            <w:tcBorders>
              <w:top w:val="single" w:color="auto" w:sz="4" w:space="0"/>
              <w:left w:val="single" w:color="auto" w:sz="4" w:space="0"/>
              <w:bottom w:val="single" w:color="auto" w:sz="4" w:space="0"/>
              <w:right w:val="single" w:color="auto" w:sz="4" w:space="0"/>
            </w:tcBorders>
            <w:vAlign w:val="center"/>
          </w:tcPr>
          <w:p w14:paraId="67C38ECE">
            <w:pPr>
              <w:spacing w:line="360" w:lineRule="auto"/>
              <w:ind w:firstLine="0"/>
              <w:jc w:val="center"/>
              <w:rPr>
                <w:rFonts w:ascii="宋体" w:cs="宋体"/>
                <w:b/>
                <w:sz w:val="24"/>
                <w:highlight w:val="none"/>
              </w:rPr>
            </w:pPr>
            <w:r>
              <w:rPr>
                <w:rFonts w:hint="eastAsia" w:ascii="宋体" w:cs="宋体"/>
                <w:b/>
                <w:sz w:val="24"/>
                <w:highlight w:val="none"/>
              </w:rPr>
              <w:t>姓名</w:t>
            </w:r>
          </w:p>
        </w:tc>
        <w:tc>
          <w:tcPr>
            <w:tcW w:w="1264" w:type="dxa"/>
            <w:vMerge w:val="restart"/>
            <w:tcBorders>
              <w:top w:val="single" w:color="auto" w:sz="4" w:space="0"/>
              <w:left w:val="single" w:color="auto" w:sz="4" w:space="0"/>
              <w:bottom w:val="single" w:color="auto" w:sz="4" w:space="0"/>
              <w:right w:val="single" w:color="auto" w:sz="4" w:space="0"/>
            </w:tcBorders>
            <w:vAlign w:val="center"/>
          </w:tcPr>
          <w:p w14:paraId="55681515">
            <w:pPr>
              <w:spacing w:line="360" w:lineRule="auto"/>
              <w:ind w:firstLine="0"/>
              <w:jc w:val="center"/>
              <w:rPr>
                <w:rFonts w:ascii="宋体" w:cs="宋体"/>
                <w:b/>
                <w:sz w:val="24"/>
                <w:highlight w:val="none"/>
              </w:rPr>
            </w:pPr>
            <w:r>
              <w:rPr>
                <w:rFonts w:hint="eastAsia" w:ascii="宋体" w:cs="宋体"/>
                <w:b/>
                <w:sz w:val="24"/>
                <w:highlight w:val="none"/>
              </w:rPr>
              <w:t>职称</w:t>
            </w:r>
          </w:p>
        </w:tc>
        <w:tc>
          <w:tcPr>
            <w:tcW w:w="7586" w:type="dxa"/>
            <w:gridSpan w:val="5"/>
            <w:tcBorders>
              <w:top w:val="single" w:color="auto" w:sz="4" w:space="0"/>
              <w:left w:val="single" w:color="auto" w:sz="4" w:space="0"/>
              <w:bottom w:val="single" w:color="auto" w:sz="4" w:space="0"/>
              <w:right w:val="single" w:color="auto" w:sz="4" w:space="0"/>
            </w:tcBorders>
            <w:vAlign w:val="center"/>
          </w:tcPr>
          <w:p w14:paraId="3A023ADC">
            <w:pPr>
              <w:spacing w:line="360" w:lineRule="auto"/>
              <w:ind w:firstLine="0"/>
              <w:jc w:val="center"/>
              <w:rPr>
                <w:rFonts w:ascii="宋体" w:cs="宋体"/>
                <w:b/>
                <w:sz w:val="24"/>
                <w:highlight w:val="none"/>
              </w:rPr>
            </w:pPr>
            <w:r>
              <w:rPr>
                <w:rFonts w:hint="eastAsia" w:ascii="宋体" w:cs="宋体"/>
                <w:b/>
                <w:sz w:val="24"/>
                <w:highlight w:val="none"/>
              </w:rPr>
              <w:t>执业或职业资格证明</w:t>
            </w:r>
          </w:p>
        </w:tc>
        <w:tc>
          <w:tcPr>
            <w:tcW w:w="2794" w:type="dxa"/>
            <w:gridSpan w:val="2"/>
            <w:tcBorders>
              <w:top w:val="single" w:color="auto" w:sz="4" w:space="0"/>
              <w:left w:val="single" w:color="auto" w:sz="4" w:space="0"/>
              <w:bottom w:val="single" w:color="auto" w:sz="4" w:space="0"/>
              <w:right w:val="single" w:color="auto" w:sz="4" w:space="0"/>
            </w:tcBorders>
            <w:vAlign w:val="center"/>
          </w:tcPr>
          <w:p w14:paraId="1CCEA9D8">
            <w:pPr>
              <w:spacing w:line="360" w:lineRule="auto"/>
              <w:ind w:firstLine="0"/>
              <w:jc w:val="center"/>
              <w:rPr>
                <w:rFonts w:ascii="宋体" w:cs="宋体"/>
                <w:b/>
                <w:sz w:val="24"/>
                <w:highlight w:val="none"/>
              </w:rPr>
            </w:pPr>
            <w:r>
              <w:rPr>
                <w:rFonts w:hint="eastAsia" w:ascii="宋体" w:cs="宋体"/>
                <w:b/>
                <w:sz w:val="24"/>
                <w:highlight w:val="none"/>
              </w:rPr>
              <w:t>已承担完工工程情况</w:t>
            </w:r>
          </w:p>
        </w:tc>
      </w:tr>
      <w:tr w14:paraId="3CA1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blHeader/>
          <w:jc w:val="center"/>
        </w:trPr>
        <w:tc>
          <w:tcPr>
            <w:tcW w:w="1476" w:type="dxa"/>
            <w:vMerge w:val="continue"/>
            <w:tcBorders>
              <w:top w:val="single" w:color="auto" w:sz="4" w:space="0"/>
              <w:left w:val="single" w:color="auto" w:sz="4" w:space="0"/>
              <w:bottom w:val="single" w:color="auto" w:sz="4" w:space="0"/>
              <w:right w:val="single" w:color="auto" w:sz="4" w:space="0"/>
            </w:tcBorders>
            <w:vAlign w:val="center"/>
          </w:tcPr>
          <w:p w14:paraId="220545DE"/>
        </w:tc>
        <w:tc>
          <w:tcPr>
            <w:tcW w:w="1475" w:type="dxa"/>
            <w:vMerge w:val="continue"/>
            <w:tcBorders>
              <w:top w:val="single" w:color="auto" w:sz="4" w:space="0"/>
              <w:left w:val="single" w:color="auto" w:sz="4" w:space="0"/>
              <w:bottom w:val="single" w:color="auto" w:sz="4" w:space="0"/>
              <w:right w:val="single" w:color="auto" w:sz="4" w:space="0"/>
            </w:tcBorders>
            <w:vAlign w:val="center"/>
          </w:tcPr>
          <w:p w14:paraId="2E777767"/>
        </w:tc>
        <w:tc>
          <w:tcPr>
            <w:tcW w:w="1264" w:type="dxa"/>
            <w:vMerge w:val="continue"/>
            <w:tcBorders>
              <w:top w:val="single" w:color="auto" w:sz="4" w:space="0"/>
              <w:left w:val="single" w:color="auto" w:sz="4" w:space="0"/>
              <w:bottom w:val="single" w:color="auto" w:sz="4" w:space="0"/>
              <w:right w:val="single" w:color="auto" w:sz="4" w:space="0"/>
            </w:tcBorders>
            <w:vAlign w:val="center"/>
          </w:tcPr>
          <w:p w14:paraId="2173ABB6"/>
        </w:tc>
        <w:tc>
          <w:tcPr>
            <w:tcW w:w="1701" w:type="dxa"/>
            <w:tcBorders>
              <w:top w:val="single" w:color="auto" w:sz="4" w:space="0"/>
              <w:left w:val="single" w:color="auto" w:sz="4" w:space="0"/>
              <w:bottom w:val="single" w:color="auto" w:sz="4" w:space="0"/>
              <w:right w:val="single" w:color="auto" w:sz="4" w:space="0"/>
            </w:tcBorders>
            <w:vAlign w:val="center"/>
          </w:tcPr>
          <w:p w14:paraId="386C3758">
            <w:pPr>
              <w:spacing w:line="360" w:lineRule="auto"/>
              <w:ind w:firstLine="0"/>
              <w:jc w:val="center"/>
              <w:rPr>
                <w:rFonts w:ascii="宋体" w:cs="宋体"/>
                <w:b/>
                <w:sz w:val="24"/>
                <w:highlight w:val="none"/>
              </w:rPr>
            </w:pPr>
            <w:r>
              <w:rPr>
                <w:rFonts w:hint="eastAsia" w:ascii="宋体" w:cs="宋体"/>
                <w:b/>
                <w:sz w:val="24"/>
                <w:highlight w:val="none"/>
              </w:rPr>
              <w:t>证书名称</w:t>
            </w:r>
          </w:p>
        </w:tc>
        <w:tc>
          <w:tcPr>
            <w:tcW w:w="1134" w:type="dxa"/>
            <w:tcBorders>
              <w:top w:val="single" w:color="auto" w:sz="4" w:space="0"/>
              <w:left w:val="single" w:color="auto" w:sz="4" w:space="0"/>
              <w:bottom w:val="single" w:color="auto" w:sz="4" w:space="0"/>
              <w:right w:val="single" w:color="auto" w:sz="4" w:space="0"/>
            </w:tcBorders>
            <w:vAlign w:val="center"/>
          </w:tcPr>
          <w:p w14:paraId="0B29EE89">
            <w:pPr>
              <w:spacing w:line="360" w:lineRule="auto"/>
              <w:ind w:firstLine="0"/>
              <w:jc w:val="center"/>
              <w:rPr>
                <w:rFonts w:ascii="宋体" w:cs="宋体"/>
                <w:b/>
                <w:sz w:val="24"/>
                <w:highlight w:val="none"/>
              </w:rPr>
            </w:pPr>
            <w:r>
              <w:rPr>
                <w:rFonts w:hint="eastAsia" w:ascii="宋体" w:cs="宋体"/>
                <w:b/>
                <w:sz w:val="24"/>
                <w:highlight w:val="none"/>
              </w:rPr>
              <w:t>级别</w:t>
            </w:r>
          </w:p>
        </w:tc>
        <w:tc>
          <w:tcPr>
            <w:tcW w:w="1701" w:type="dxa"/>
            <w:tcBorders>
              <w:top w:val="single" w:color="auto" w:sz="4" w:space="0"/>
              <w:left w:val="single" w:color="auto" w:sz="4" w:space="0"/>
              <w:bottom w:val="single" w:color="auto" w:sz="4" w:space="0"/>
              <w:right w:val="single" w:color="auto" w:sz="4" w:space="0"/>
            </w:tcBorders>
            <w:vAlign w:val="center"/>
          </w:tcPr>
          <w:p w14:paraId="22E6AA70">
            <w:pPr>
              <w:spacing w:line="360" w:lineRule="auto"/>
              <w:ind w:firstLine="0"/>
              <w:jc w:val="center"/>
              <w:rPr>
                <w:rFonts w:ascii="宋体" w:cs="宋体"/>
                <w:b/>
                <w:sz w:val="24"/>
                <w:highlight w:val="none"/>
              </w:rPr>
            </w:pPr>
            <w:r>
              <w:rPr>
                <w:rFonts w:hint="eastAsia" w:ascii="宋体" w:cs="宋体"/>
                <w:b/>
                <w:sz w:val="24"/>
                <w:highlight w:val="none"/>
              </w:rPr>
              <w:t>证号</w:t>
            </w:r>
          </w:p>
        </w:tc>
        <w:tc>
          <w:tcPr>
            <w:tcW w:w="1575" w:type="dxa"/>
            <w:tcBorders>
              <w:top w:val="single" w:color="auto" w:sz="4" w:space="0"/>
              <w:left w:val="single" w:color="auto" w:sz="4" w:space="0"/>
              <w:bottom w:val="single" w:color="auto" w:sz="4" w:space="0"/>
              <w:right w:val="single" w:color="auto" w:sz="4" w:space="0"/>
            </w:tcBorders>
            <w:vAlign w:val="center"/>
          </w:tcPr>
          <w:p w14:paraId="1DF64DDD">
            <w:pPr>
              <w:spacing w:line="360" w:lineRule="auto"/>
              <w:ind w:firstLine="0"/>
              <w:jc w:val="center"/>
              <w:rPr>
                <w:rFonts w:ascii="宋体" w:cs="宋体"/>
                <w:b/>
                <w:sz w:val="24"/>
                <w:highlight w:val="none"/>
              </w:rPr>
            </w:pPr>
            <w:r>
              <w:rPr>
                <w:rFonts w:hint="eastAsia" w:ascii="宋体" w:cs="宋体"/>
                <w:b/>
                <w:sz w:val="24"/>
                <w:highlight w:val="none"/>
              </w:rPr>
              <w:t>专业</w:t>
            </w:r>
          </w:p>
        </w:tc>
        <w:tc>
          <w:tcPr>
            <w:tcW w:w="1475" w:type="dxa"/>
            <w:tcBorders>
              <w:top w:val="single" w:color="auto" w:sz="4" w:space="0"/>
              <w:left w:val="single" w:color="auto" w:sz="4" w:space="0"/>
              <w:bottom w:val="single" w:color="auto" w:sz="4" w:space="0"/>
              <w:right w:val="single" w:color="auto" w:sz="4" w:space="0"/>
            </w:tcBorders>
            <w:vAlign w:val="center"/>
          </w:tcPr>
          <w:p w14:paraId="0B5C2953">
            <w:pPr>
              <w:spacing w:line="360" w:lineRule="auto"/>
              <w:ind w:firstLine="0"/>
              <w:jc w:val="center"/>
              <w:rPr>
                <w:rFonts w:ascii="宋体" w:cs="宋体"/>
                <w:b/>
                <w:sz w:val="24"/>
                <w:highlight w:val="none"/>
              </w:rPr>
            </w:pPr>
            <w:r>
              <w:rPr>
                <w:rFonts w:hint="eastAsia" w:ascii="宋体" w:cs="宋体"/>
                <w:b/>
                <w:sz w:val="24"/>
                <w:highlight w:val="none"/>
              </w:rPr>
              <w:t>原服务单位</w:t>
            </w:r>
          </w:p>
        </w:tc>
        <w:tc>
          <w:tcPr>
            <w:tcW w:w="1094" w:type="dxa"/>
            <w:tcBorders>
              <w:top w:val="single" w:color="auto" w:sz="4" w:space="0"/>
              <w:left w:val="single" w:color="auto" w:sz="4" w:space="0"/>
              <w:bottom w:val="single" w:color="auto" w:sz="4" w:space="0"/>
              <w:right w:val="single" w:color="auto" w:sz="4" w:space="0"/>
            </w:tcBorders>
            <w:vAlign w:val="center"/>
          </w:tcPr>
          <w:p w14:paraId="6E75450E">
            <w:pPr>
              <w:spacing w:line="360" w:lineRule="auto"/>
              <w:ind w:firstLine="0"/>
              <w:jc w:val="center"/>
              <w:rPr>
                <w:rFonts w:ascii="宋体" w:cs="宋体"/>
                <w:b/>
                <w:sz w:val="24"/>
                <w:highlight w:val="none"/>
              </w:rPr>
            </w:pPr>
            <w:r>
              <w:rPr>
                <w:rFonts w:hint="eastAsia" w:ascii="宋体" w:cs="宋体"/>
                <w:b/>
                <w:sz w:val="24"/>
                <w:highlight w:val="none"/>
              </w:rPr>
              <w:t>项目数</w:t>
            </w:r>
          </w:p>
        </w:tc>
        <w:tc>
          <w:tcPr>
            <w:tcW w:w="1700" w:type="dxa"/>
            <w:tcBorders>
              <w:top w:val="single" w:color="auto" w:sz="4" w:space="0"/>
              <w:left w:val="single" w:color="auto" w:sz="4" w:space="0"/>
              <w:bottom w:val="single" w:color="auto" w:sz="4" w:space="0"/>
              <w:right w:val="single" w:color="auto" w:sz="4" w:space="0"/>
            </w:tcBorders>
            <w:vAlign w:val="center"/>
          </w:tcPr>
          <w:p w14:paraId="08A9D93F">
            <w:pPr>
              <w:spacing w:line="360" w:lineRule="auto"/>
              <w:ind w:firstLine="0"/>
              <w:jc w:val="center"/>
              <w:rPr>
                <w:rFonts w:ascii="宋体" w:cs="宋体"/>
                <w:b/>
                <w:sz w:val="24"/>
                <w:highlight w:val="none"/>
              </w:rPr>
            </w:pPr>
            <w:r>
              <w:rPr>
                <w:rFonts w:hint="eastAsia" w:ascii="宋体" w:cs="宋体"/>
                <w:b/>
                <w:sz w:val="24"/>
                <w:highlight w:val="none"/>
              </w:rPr>
              <w:t>主要项目名称</w:t>
            </w:r>
          </w:p>
        </w:tc>
      </w:tr>
      <w:tr w14:paraId="3631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5E614115">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3CCBA664">
            <w:pPr>
              <w:spacing w:line="360" w:lineRule="auto"/>
              <w:ind w:firstLine="480" w:firstLineChars="200"/>
              <w:rPr>
                <w:rFonts w:ascii="宋体" w:cs="宋体"/>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37AA4B25">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5173CF8">
            <w:pPr>
              <w:spacing w:line="360" w:lineRule="auto"/>
              <w:ind w:firstLine="480" w:firstLineChars="200"/>
              <w:rPr>
                <w:rFonts w:asci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3EC7C0D">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03938CE">
            <w:pPr>
              <w:spacing w:line="360" w:lineRule="auto"/>
              <w:ind w:firstLine="480" w:firstLineChars="200"/>
              <w:rPr>
                <w:rFonts w:ascii="宋体" w:cs="宋体"/>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6E5CEB8F">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29BF6D37">
            <w:pPr>
              <w:spacing w:line="360" w:lineRule="auto"/>
              <w:ind w:firstLine="480" w:firstLineChars="200"/>
              <w:rPr>
                <w:rFonts w:ascii="宋体" w:cs="宋体"/>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6BB14896">
            <w:pPr>
              <w:spacing w:line="360" w:lineRule="auto"/>
              <w:ind w:firstLine="480" w:firstLineChars="200"/>
              <w:rPr>
                <w:rFonts w:ascii="宋体" w:cs="宋体"/>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0EC9882A">
            <w:pPr>
              <w:spacing w:line="360" w:lineRule="auto"/>
              <w:ind w:firstLine="480" w:firstLineChars="200"/>
              <w:rPr>
                <w:rFonts w:ascii="宋体" w:cs="宋体"/>
                <w:sz w:val="24"/>
                <w:highlight w:val="none"/>
              </w:rPr>
            </w:pPr>
          </w:p>
        </w:tc>
      </w:tr>
      <w:tr w14:paraId="7096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5F55F947">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01445E24">
            <w:pPr>
              <w:spacing w:line="360" w:lineRule="auto"/>
              <w:ind w:firstLine="480" w:firstLineChars="200"/>
              <w:rPr>
                <w:rFonts w:ascii="宋体" w:cs="宋体"/>
                <w:bCs/>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02AC41B5">
            <w:pPr>
              <w:spacing w:line="360" w:lineRule="auto"/>
              <w:ind w:firstLine="480" w:firstLineChars="200"/>
              <w:rPr>
                <w:rFonts w:ascii="宋体" w:cs="宋体"/>
                <w:bCs/>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610AC6F">
            <w:pPr>
              <w:spacing w:line="360" w:lineRule="auto"/>
              <w:ind w:firstLine="480" w:firstLineChars="200"/>
              <w:rPr>
                <w:rFonts w:ascii="宋体" w:cs="宋体"/>
                <w:bCs/>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236C8E8">
            <w:pPr>
              <w:spacing w:line="360" w:lineRule="auto"/>
              <w:ind w:firstLine="480" w:firstLineChars="200"/>
              <w:rPr>
                <w:rFonts w:ascii="宋体" w:cs="宋体"/>
                <w:bCs/>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8C5FF13">
            <w:pPr>
              <w:spacing w:line="360" w:lineRule="auto"/>
              <w:ind w:firstLine="480" w:firstLineChars="200"/>
              <w:rPr>
                <w:rFonts w:ascii="宋体" w:cs="宋体"/>
                <w:bCs/>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2CD927B9">
            <w:pPr>
              <w:spacing w:line="360" w:lineRule="auto"/>
              <w:ind w:firstLine="480" w:firstLineChars="200"/>
              <w:rPr>
                <w:rFonts w:ascii="宋体" w:cs="宋体"/>
                <w:bCs/>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5CB6A88E">
            <w:pPr>
              <w:spacing w:line="360" w:lineRule="auto"/>
              <w:ind w:firstLine="480" w:firstLineChars="200"/>
              <w:rPr>
                <w:rFonts w:ascii="宋体" w:cs="宋体"/>
                <w:bCs/>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5E98B086">
            <w:pPr>
              <w:spacing w:line="360" w:lineRule="auto"/>
              <w:ind w:firstLine="480" w:firstLineChars="200"/>
              <w:rPr>
                <w:rFonts w:ascii="宋体" w:cs="宋体"/>
                <w:bCs/>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4ECEDBB7">
            <w:pPr>
              <w:spacing w:line="360" w:lineRule="auto"/>
              <w:ind w:firstLine="480" w:firstLineChars="200"/>
              <w:rPr>
                <w:rFonts w:ascii="宋体" w:cs="宋体"/>
                <w:bCs/>
                <w:sz w:val="24"/>
                <w:highlight w:val="none"/>
              </w:rPr>
            </w:pPr>
          </w:p>
        </w:tc>
      </w:tr>
      <w:tr w14:paraId="14E6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7A3A5703">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0DCFCCBB">
            <w:pPr>
              <w:spacing w:line="360" w:lineRule="auto"/>
              <w:ind w:firstLine="480" w:firstLineChars="200"/>
              <w:rPr>
                <w:rFonts w:ascii="宋体" w:cs="宋体"/>
                <w:bCs/>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1E1E4FD8">
            <w:pPr>
              <w:spacing w:line="360" w:lineRule="auto"/>
              <w:ind w:firstLine="480" w:firstLineChars="200"/>
              <w:rPr>
                <w:rFonts w:ascii="宋体" w:cs="宋体"/>
                <w:bCs/>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F6DA833">
            <w:pPr>
              <w:spacing w:line="360" w:lineRule="auto"/>
              <w:ind w:firstLine="480" w:firstLineChars="200"/>
              <w:rPr>
                <w:rFonts w:ascii="宋体" w:cs="宋体"/>
                <w:bCs/>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58C8628">
            <w:pPr>
              <w:spacing w:line="360" w:lineRule="auto"/>
              <w:ind w:firstLine="480" w:firstLineChars="200"/>
              <w:rPr>
                <w:rFonts w:ascii="宋体" w:cs="宋体"/>
                <w:bCs/>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65B0BC1">
            <w:pPr>
              <w:spacing w:line="360" w:lineRule="auto"/>
              <w:ind w:firstLine="480" w:firstLineChars="200"/>
              <w:rPr>
                <w:rFonts w:ascii="宋体" w:cs="宋体"/>
                <w:bCs/>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5C838450">
            <w:pPr>
              <w:spacing w:line="360" w:lineRule="auto"/>
              <w:ind w:firstLine="480" w:firstLineChars="200"/>
              <w:rPr>
                <w:rFonts w:ascii="宋体" w:cs="宋体"/>
                <w:bCs/>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21A3561E">
            <w:pPr>
              <w:spacing w:line="360" w:lineRule="auto"/>
              <w:ind w:firstLine="480" w:firstLineChars="200"/>
              <w:rPr>
                <w:rFonts w:ascii="宋体" w:cs="宋体"/>
                <w:bCs/>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03BCC7A8">
            <w:pPr>
              <w:spacing w:line="360" w:lineRule="auto"/>
              <w:ind w:firstLine="480" w:firstLineChars="200"/>
              <w:rPr>
                <w:rFonts w:ascii="宋体" w:cs="宋体"/>
                <w:bCs/>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0E73B7DA">
            <w:pPr>
              <w:spacing w:line="360" w:lineRule="auto"/>
              <w:ind w:firstLine="480" w:firstLineChars="200"/>
              <w:rPr>
                <w:rFonts w:ascii="宋体" w:cs="宋体"/>
                <w:bCs/>
                <w:sz w:val="24"/>
                <w:highlight w:val="none"/>
              </w:rPr>
            </w:pPr>
          </w:p>
        </w:tc>
      </w:tr>
      <w:tr w14:paraId="0433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5DF41CDF">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13A038F4">
            <w:pPr>
              <w:spacing w:line="360" w:lineRule="auto"/>
              <w:ind w:firstLine="480" w:firstLineChars="200"/>
              <w:rPr>
                <w:rFonts w:ascii="宋体" w:cs="宋体"/>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1F40AA6B">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FA4DB78">
            <w:pPr>
              <w:spacing w:line="360" w:lineRule="auto"/>
              <w:ind w:firstLine="480" w:firstLineChars="200"/>
              <w:rPr>
                <w:rFonts w:ascii="宋体" w:cs="宋体"/>
                <w:bCs/>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75A1009">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1152B6F">
            <w:pPr>
              <w:spacing w:line="360" w:lineRule="auto"/>
              <w:ind w:firstLine="480" w:firstLineChars="200"/>
              <w:rPr>
                <w:rFonts w:ascii="宋体" w:cs="宋体"/>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3758B536">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125C028A">
            <w:pPr>
              <w:spacing w:line="360" w:lineRule="auto"/>
              <w:ind w:firstLine="480" w:firstLineChars="200"/>
              <w:rPr>
                <w:rFonts w:ascii="宋体" w:cs="宋体"/>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483FEE16">
            <w:pPr>
              <w:spacing w:line="360" w:lineRule="auto"/>
              <w:ind w:firstLine="480" w:firstLineChars="200"/>
              <w:rPr>
                <w:rFonts w:ascii="宋体" w:cs="宋体"/>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0C7B0629">
            <w:pPr>
              <w:spacing w:line="360" w:lineRule="auto"/>
              <w:ind w:firstLine="480" w:firstLineChars="200"/>
              <w:rPr>
                <w:rFonts w:ascii="宋体" w:cs="宋体"/>
                <w:sz w:val="24"/>
                <w:highlight w:val="none"/>
              </w:rPr>
            </w:pPr>
          </w:p>
        </w:tc>
      </w:tr>
      <w:tr w14:paraId="34F6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08F1F0EE">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78D2F6DF">
            <w:pPr>
              <w:spacing w:line="360" w:lineRule="auto"/>
              <w:ind w:firstLine="480" w:firstLineChars="200"/>
              <w:rPr>
                <w:rFonts w:ascii="宋体" w:cs="宋体"/>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0F3E411B">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DF9796E">
            <w:pPr>
              <w:spacing w:line="360" w:lineRule="auto"/>
              <w:ind w:firstLine="480" w:firstLineChars="200"/>
              <w:rPr>
                <w:rFonts w:asci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60E72AD">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AB46077">
            <w:pPr>
              <w:spacing w:line="360" w:lineRule="auto"/>
              <w:ind w:firstLine="480" w:firstLineChars="200"/>
              <w:rPr>
                <w:rFonts w:ascii="宋体" w:cs="宋体"/>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1859BD3D">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74795657">
            <w:pPr>
              <w:spacing w:line="360" w:lineRule="auto"/>
              <w:ind w:firstLine="480" w:firstLineChars="200"/>
              <w:rPr>
                <w:rFonts w:ascii="宋体" w:cs="宋体"/>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2FE1514F">
            <w:pPr>
              <w:spacing w:line="360" w:lineRule="auto"/>
              <w:ind w:firstLine="480" w:firstLineChars="200"/>
              <w:rPr>
                <w:rFonts w:ascii="宋体" w:cs="宋体"/>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6E4F75CE">
            <w:pPr>
              <w:spacing w:line="360" w:lineRule="auto"/>
              <w:ind w:firstLine="480" w:firstLineChars="200"/>
              <w:rPr>
                <w:rFonts w:ascii="宋体" w:cs="宋体"/>
                <w:sz w:val="24"/>
                <w:highlight w:val="none"/>
              </w:rPr>
            </w:pPr>
          </w:p>
        </w:tc>
      </w:tr>
      <w:tr w14:paraId="24F9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703EC9C6">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0FC23B01">
            <w:pPr>
              <w:spacing w:line="360" w:lineRule="auto"/>
              <w:ind w:firstLine="480" w:firstLineChars="200"/>
              <w:rPr>
                <w:rFonts w:ascii="宋体" w:cs="宋体"/>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631C2B56">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816E2D3">
            <w:pPr>
              <w:spacing w:line="360" w:lineRule="auto"/>
              <w:ind w:firstLine="480" w:firstLineChars="200"/>
              <w:rPr>
                <w:rFonts w:asci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E09DB6C">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6BAFC58">
            <w:pPr>
              <w:spacing w:line="360" w:lineRule="auto"/>
              <w:ind w:firstLine="480" w:firstLineChars="200"/>
              <w:rPr>
                <w:rFonts w:ascii="宋体" w:cs="宋体"/>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47365F2B">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0DF6D13C">
            <w:pPr>
              <w:spacing w:line="360" w:lineRule="auto"/>
              <w:ind w:firstLine="480" w:firstLineChars="200"/>
              <w:rPr>
                <w:rFonts w:ascii="宋体" w:cs="宋体"/>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413C0375">
            <w:pPr>
              <w:spacing w:line="360" w:lineRule="auto"/>
              <w:ind w:firstLine="480" w:firstLineChars="200"/>
              <w:rPr>
                <w:rFonts w:ascii="宋体" w:cs="宋体"/>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1CB37C3D">
            <w:pPr>
              <w:spacing w:line="360" w:lineRule="auto"/>
              <w:ind w:firstLine="480" w:firstLineChars="200"/>
              <w:rPr>
                <w:rFonts w:ascii="宋体" w:cs="宋体"/>
                <w:sz w:val="24"/>
                <w:highlight w:val="none"/>
              </w:rPr>
            </w:pPr>
          </w:p>
        </w:tc>
      </w:tr>
      <w:tr w14:paraId="787D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7A3C3164">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2664D380">
            <w:pPr>
              <w:spacing w:line="360" w:lineRule="auto"/>
              <w:ind w:firstLine="480" w:firstLineChars="200"/>
              <w:rPr>
                <w:rFonts w:ascii="宋体" w:cs="宋体"/>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0A1D7C0D">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3A27D6B">
            <w:pPr>
              <w:spacing w:line="360" w:lineRule="auto"/>
              <w:ind w:firstLine="480" w:firstLineChars="200"/>
              <w:rPr>
                <w:rFonts w:asci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4C2DA4E">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840C3F9">
            <w:pPr>
              <w:spacing w:line="360" w:lineRule="auto"/>
              <w:ind w:firstLine="480" w:firstLineChars="200"/>
              <w:rPr>
                <w:rFonts w:ascii="宋体" w:cs="宋体"/>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2839492B">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244FE190">
            <w:pPr>
              <w:spacing w:line="360" w:lineRule="auto"/>
              <w:ind w:firstLine="480" w:firstLineChars="200"/>
              <w:rPr>
                <w:rFonts w:ascii="宋体" w:cs="宋体"/>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29649398">
            <w:pPr>
              <w:spacing w:line="360" w:lineRule="auto"/>
              <w:ind w:firstLine="480" w:firstLineChars="200"/>
              <w:rPr>
                <w:rFonts w:ascii="宋体" w:cs="宋体"/>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79A43AC2">
            <w:pPr>
              <w:spacing w:line="360" w:lineRule="auto"/>
              <w:ind w:firstLine="480" w:firstLineChars="200"/>
              <w:rPr>
                <w:rFonts w:ascii="宋体" w:cs="宋体"/>
                <w:sz w:val="24"/>
                <w:highlight w:val="none"/>
              </w:rPr>
            </w:pPr>
          </w:p>
        </w:tc>
      </w:tr>
      <w:tr w14:paraId="164B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1BBAAE2C">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77BC94E1">
            <w:pPr>
              <w:spacing w:line="360" w:lineRule="auto"/>
              <w:ind w:firstLine="480" w:firstLineChars="200"/>
              <w:rPr>
                <w:rFonts w:ascii="宋体" w:cs="宋体"/>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77FF9661">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E70E6D7">
            <w:pPr>
              <w:spacing w:line="360" w:lineRule="auto"/>
              <w:ind w:firstLine="480" w:firstLineChars="200"/>
              <w:rPr>
                <w:rFonts w:asci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44A8D98">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22B6F65">
            <w:pPr>
              <w:spacing w:line="360" w:lineRule="auto"/>
              <w:ind w:firstLine="480" w:firstLineChars="200"/>
              <w:rPr>
                <w:rFonts w:ascii="宋体" w:cs="宋体"/>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6DA686C6">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6AAAC275">
            <w:pPr>
              <w:spacing w:line="360" w:lineRule="auto"/>
              <w:ind w:firstLine="480" w:firstLineChars="200"/>
              <w:rPr>
                <w:rFonts w:ascii="宋体" w:cs="宋体"/>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346FB4BB">
            <w:pPr>
              <w:spacing w:line="360" w:lineRule="auto"/>
              <w:ind w:firstLine="480" w:firstLineChars="200"/>
              <w:rPr>
                <w:rFonts w:ascii="宋体" w:cs="宋体"/>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732EE465">
            <w:pPr>
              <w:spacing w:line="360" w:lineRule="auto"/>
              <w:ind w:firstLine="480" w:firstLineChars="200"/>
              <w:rPr>
                <w:rFonts w:ascii="宋体" w:cs="宋体"/>
                <w:sz w:val="24"/>
                <w:highlight w:val="none"/>
              </w:rPr>
            </w:pPr>
          </w:p>
        </w:tc>
      </w:tr>
    </w:tbl>
    <w:p w14:paraId="05FF6CF1">
      <w:pPr>
        <w:spacing w:line="360" w:lineRule="auto"/>
        <w:ind w:firstLine="480" w:firstLineChars="200"/>
        <w:rPr>
          <w:rFonts w:ascii="宋体" w:cs="宋体"/>
          <w:sz w:val="24"/>
          <w:highlight w:val="none"/>
        </w:rPr>
      </w:pPr>
      <w:r>
        <w:rPr>
          <w:rFonts w:ascii="宋体" w:cs="宋体"/>
          <w:sz w:val="24"/>
          <w:highlight w:val="none"/>
        </w:rPr>
        <w:br w:type="page"/>
      </w:r>
    </w:p>
    <w:p w14:paraId="7307D71C">
      <w:pPr>
        <w:pStyle w:val="4"/>
        <w:ind w:firstLine="482" w:firstLineChars="200"/>
        <w:rPr>
          <w:rFonts w:ascii="宋体" w:cs="宋体"/>
          <w:szCs w:val="24"/>
          <w:highlight w:val="none"/>
        </w:rPr>
        <w:sectPr>
          <w:pgSz w:w="16838" w:h="11906" w:orient="landscape"/>
          <w:pgMar w:top="1803" w:right="1440" w:bottom="1803" w:left="1440" w:header="851" w:footer="992" w:gutter="0"/>
          <w:cols w:space="720" w:num="1"/>
          <w:rtlGutter w:val="1"/>
          <w:docGrid w:type="lines" w:linePitch="319" w:charSpace="0"/>
        </w:sectPr>
      </w:pPr>
      <w:bookmarkStart w:id="0" w:name="_Toc27299"/>
      <w:bookmarkStart w:id="1" w:name="_Toc19434"/>
      <w:bookmarkStart w:id="2" w:name="_Toc539"/>
      <w:bookmarkStart w:id="3" w:name="_Toc514170160"/>
    </w:p>
    <w:p w14:paraId="29C95E29">
      <w:pPr>
        <w:pStyle w:val="4"/>
        <w:ind w:firstLine="482" w:firstLineChars="200"/>
        <w:rPr>
          <w:rFonts w:ascii="宋体" w:cs="宋体"/>
          <w:szCs w:val="24"/>
          <w:highlight w:val="none"/>
        </w:rPr>
      </w:pPr>
      <w:r>
        <w:rPr>
          <w:rFonts w:ascii="宋体" w:cs="宋体"/>
          <w:kern w:val="0"/>
          <w:szCs w:val="24"/>
          <w:highlight w:val="none"/>
        </w:rPr>
        <w:t>B</w:t>
      </w:r>
      <w:r>
        <w:rPr>
          <w:rFonts w:hint="eastAsia" w:ascii="宋体" w:cs="宋体"/>
          <w:b w:val="0"/>
          <w:bCs w:val="0"/>
          <w:szCs w:val="24"/>
          <w:highlight w:val="none"/>
        </w:rPr>
        <w:t>附件：</w:t>
      </w:r>
    </w:p>
    <w:p w14:paraId="52A35FE1">
      <w:pPr>
        <w:pStyle w:val="4"/>
        <w:ind w:firstLine="482" w:firstLineChars="200"/>
        <w:rPr>
          <w:rFonts w:ascii="宋体" w:cs="宋体"/>
          <w:szCs w:val="24"/>
          <w:highlight w:val="none"/>
        </w:rPr>
      </w:pPr>
      <w:r>
        <w:rPr>
          <w:rFonts w:hint="eastAsia" w:ascii="宋体" w:cs="宋体"/>
          <w:szCs w:val="24"/>
          <w:highlight w:val="none"/>
        </w:rPr>
        <w:t>拟投入本项目的主要试验检测仪器设备</w:t>
      </w:r>
    </w:p>
    <w:tbl>
      <w:tblPr>
        <w:tblStyle w:val="21"/>
        <w:tblW w:w="8280" w:type="dxa"/>
        <w:tblInd w:w="3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3"/>
        <w:gridCol w:w="1095"/>
        <w:gridCol w:w="780"/>
        <w:gridCol w:w="750"/>
        <w:gridCol w:w="795"/>
        <w:gridCol w:w="1275"/>
        <w:gridCol w:w="1260"/>
        <w:gridCol w:w="1542"/>
      </w:tblGrid>
      <w:tr w14:paraId="3435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exact"/>
        </w:trPr>
        <w:tc>
          <w:tcPr>
            <w:tcW w:w="783" w:type="dxa"/>
            <w:tcBorders>
              <w:top w:val="single" w:color="000000" w:sz="4" w:space="0"/>
              <w:left w:val="single" w:color="000000" w:sz="4" w:space="0"/>
              <w:bottom w:val="single" w:color="000000" w:sz="4" w:space="0"/>
              <w:right w:val="single" w:color="000000" w:sz="4" w:space="0"/>
            </w:tcBorders>
          </w:tcPr>
          <w:p w14:paraId="6379FE22">
            <w:pPr>
              <w:spacing w:line="360" w:lineRule="auto"/>
              <w:ind w:firstLine="0"/>
              <w:rPr>
                <w:rFonts w:ascii="宋体" w:cs="宋体"/>
                <w:sz w:val="24"/>
                <w:highlight w:val="none"/>
              </w:rPr>
            </w:pPr>
            <w:r>
              <w:rPr>
                <w:rFonts w:hint="eastAsia" w:ascii="宋体" w:cs="宋体"/>
                <w:sz w:val="24"/>
                <w:highlight w:val="none"/>
              </w:rPr>
              <w:t>序号</w:t>
            </w:r>
          </w:p>
        </w:tc>
        <w:tc>
          <w:tcPr>
            <w:tcW w:w="1095" w:type="dxa"/>
            <w:tcBorders>
              <w:top w:val="single" w:color="000000" w:sz="4" w:space="0"/>
              <w:left w:val="single" w:color="000000" w:sz="4" w:space="0"/>
              <w:bottom w:val="single" w:color="000000" w:sz="4" w:space="0"/>
              <w:right w:val="single" w:color="000000" w:sz="4" w:space="0"/>
            </w:tcBorders>
          </w:tcPr>
          <w:p w14:paraId="67F43160">
            <w:pPr>
              <w:spacing w:line="360" w:lineRule="auto"/>
              <w:ind w:firstLine="0"/>
              <w:rPr>
                <w:rFonts w:hint="eastAsia" w:ascii="宋体" w:cs="宋体"/>
                <w:sz w:val="24"/>
                <w:highlight w:val="none"/>
              </w:rPr>
            </w:pPr>
            <w:r>
              <w:rPr>
                <w:rFonts w:hint="eastAsia" w:ascii="宋体" w:cs="宋体"/>
                <w:sz w:val="24"/>
                <w:highlight w:val="none"/>
              </w:rPr>
              <w:t>仪器</w:t>
            </w:r>
          </w:p>
          <w:p w14:paraId="5E43EB68">
            <w:pPr>
              <w:spacing w:line="360" w:lineRule="auto"/>
              <w:ind w:firstLine="0"/>
              <w:rPr>
                <w:rFonts w:hint="eastAsia" w:ascii="宋体" w:cs="宋体"/>
                <w:sz w:val="24"/>
                <w:highlight w:val="none"/>
              </w:rPr>
            </w:pPr>
            <w:r>
              <w:rPr>
                <w:rFonts w:hint="eastAsia" w:ascii="宋体" w:cs="宋体"/>
                <w:spacing w:val="-2"/>
                <w:sz w:val="24"/>
                <w:highlight w:val="none"/>
              </w:rPr>
              <w:t>设</w:t>
            </w:r>
            <w:r>
              <w:rPr>
                <w:rFonts w:hint="eastAsia" w:ascii="宋体" w:cs="宋体"/>
                <w:sz w:val="24"/>
                <w:highlight w:val="none"/>
              </w:rPr>
              <w:t>备</w:t>
            </w:r>
          </w:p>
          <w:p w14:paraId="4ED0A144">
            <w:pPr>
              <w:spacing w:line="360" w:lineRule="auto"/>
              <w:ind w:firstLine="0"/>
              <w:rPr>
                <w:rFonts w:ascii="宋体" w:cs="宋体"/>
                <w:sz w:val="24"/>
                <w:highlight w:val="none"/>
              </w:rPr>
            </w:pPr>
            <w:r>
              <w:rPr>
                <w:rFonts w:hint="eastAsia" w:ascii="宋体" w:cs="宋体"/>
                <w:sz w:val="24"/>
                <w:highlight w:val="none"/>
              </w:rPr>
              <w:t>名称</w:t>
            </w:r>
          </w:p>
        </w:tc>
        <w:tc>
          <w:tcPr>
            <w:tcW w:w="780" w:type="dxa"/>
            <w:tcBorders>
              <w:top w:val="single" w:color="000000" w:sz="4" w:space="0"/>
              <w:left w:val="single" w:color="000000" w:sz="4" w:space="0"/>
              <w:bottom w:val="single" w:color="000000" w:sz="4" w:space="0"/>
              <w:right w:val="single" w:color="000000" w:sz="4" w:space="0"/>
            </w:tcBorders>
          </w:tcPr>
          <w:p w14:paraId="750D91E2">
            <w:pPr>
              <w:spacing w:line="360" w:lineRule="auto"/>
              <w:ind w:firstLine="0"/>
              <w:rPr>
                <w:rFonts w:hint="eastAsia" w:ascii="宋体" w:cs="宋体"/>
                <w:sz w:val="24"/>
                <w:highlight w:val="none"/>
              </w:rPr>
            </w:pPr>
            <w:r>
              <w:rPr>
                <w:rFonts w:hint="eastAsia" w:ascii="宋体" w:cs="宋体"/>
                <w:sz w:val="24"/>
                <w:highlight w:val="none"/>
              </w:rPr>
              <w:t>型号</w:t>
            </w:r>
          </w:p>
          <w:p w14:paraId="3944D04D">
            <w:pPr>
              <w:spacing w:line="360" w:lineRule="auto"/>
              <w:ind w:firstLine="0"/>
              <w:rPr>
                <w:rFonts w:ascii="宋体" w:cs="宋体"/>
                <w:sz w:val="24"/>
                <w:highlight w:val="none"/>
              </w:rPr>
            </w:pPr>
            <w:r>
              <w:rPr>
                <w:rFonts w:hint="eastAsia" w:ascii="宋体" w:cs="宋体"/>
                <w:sz w:val="24"/>
                <w:highlight w:val="none"/>
              </w:rPr>
              <w:t>规格</w:t>
            </w:r>
          </w:p>
        </w:tc>
        <w:tc>
          <w:tcPr>
            <w:tcW w:w="750" w:type="dxa"/>
            <w:tcBorders>
              <w:top w:val="single" w:color="000000" w:sz="4" w:space="0"/>
              <w:left w:val="single" w:color="000000" w:sz="4" w:space="0"/>
              <w:bottom w:val="single" w:color="000000" w:sz="4" w:space="0"/>
              <w:right w:val="single" w:color="000000" w:sz="4" w:space="0"/>
            </w:tcBorders>
          </w:tcPr>
          <w:p w14:paraId="3DAA892A">
            <w:pPr>
              <w:spacing w:line="360" w:lineRule="auto"/>
              <w:ind w:firstLine="0"/>
              <w:rPr>
                <w:rFonts w:ascii="宋体" w:cs="宋体"/>
                <w:sz w:val="24"/>
                <w:highlight w:val="none"/>
              </w:rPr>
            </w:pPr>
            <w:r>
              <w:rPr>
                <w:rFonts w:hint="eastAsia" w:ascii="宋体" w:cs="宋体"/>
                <w:sz w:val="24"/>
                <w:highlight w:val="none"/>
              </w:rPr>
              <w:t>数量</w:t>
            </w:r>
          </w:p>
        </w:tc>
        <w:tc>
          <w:tcPr>
            <w:tcW w:w="795" w:type="dxa"/>
            <w:tcBorders>
              <w:top w:val="single" w:color="000000" w:sz="4" w:space="0"/>
              <w:left w:val="single" w:color="000000" w:sz="4" w:space="0"/>
              <w:bottom w:val="single" w:color="000000" w:sz="4" w:space="0"/>
              <w:right w:val="single" w:color="000000" w:sz="4" w:space="0"/>
            </w:tcBorders>
          </w:tcPr>
          <w:p w14:paraId="21E6B790">
            <w:pPr>
              <w:spacing w:line="360" w:lineRule="auto"/>
              <w:ind w:firstLine="0"/>
              <w:rPr>
                <w:rFonts w:hint="eastAsia" w:ascii="宋体" w:cs="宋体"/>
                <w:sz w:val="24"/>
                <w:highlight w:val="none"/>
              </w:rPr>
            </w:pPr>
            <w:r>
              <w:rPr>
                <w:rFonts w:hint="eastAsia" w:ascii="宋体" w:cs="宋体"/>
                <w:sz w:val="24"/>
                <w:highlight w:val="none"/>
              </w:rPr>
              <w:t>国别</w:t>
            </w:r>
          </w:p>
          <w:p w14:paraId="024CEC3D">
            <w:pPr>
              <w:spacing w:line="360" w:lineRule="auto"/>
              <w:ind w:firstLine="0"/>
              <w:rPr>
                <w:rFonts w:ascii="宋体" w:cs="宋体"/>
                <w:sz w:val="24"/>
                <w:highlight w:val="none"/>
              </w:rPr>
            </w:pPr>
            <w:r>
              <w:rPr>
                <w:rFonts w:hint="eastAsia" w:ascii="宋体" w:cs="宋体"/>
                <w:sz w:val="24"/>
                <w:highlight w:val="none"/>
              </w:rPr>
              <w:t>产地</w:t>
            </w:r>
          </w:p>
        </w:tc>
        <w:tc>
          <w:tcPr>
            <w:tcW w:w="1275" w:type="dxa"/>
            <w:tcBorders>
              <w:top w:val="single" w:color="000000" w:sz="4" w:space="0"/>
              <w:left w:val="single" w:color="000000" w:sz="4" w:space="0"/>
              <w:bottom w:val="single" w:color="000000" w:sz="4" w:space="0"/>
              <w:right w:val="single" w:color="000000" w:sz="4" w:space="0"/>
            </w:tcBorders>
          </w:tcPr>
          <w:p w14:paraId="079CC64B">
            <w:pPr>
              <w:spacing w:line="360" w:lineRule="auto"/>
              <w:ind w:firstLine="0"/>
              <w:rPr>
                <w:rFonts w:hint="eastAsia" w:ascii="宋体" w:cs="宋体"/>
                <w:sz w:val="24"/>
                <w:highlight w:val="none"/>
              </w:rPr>
            </w:pPr>
            <w:r>
              <w:rPr>
                <w:rFonts w:hint="eastAsia" w:ascii="宋体" w:cs="宋体"/>
                <w:sz w:val="24"/>
                <w:highlight w:val="none"/>
              </w:rPr>
              <w:t>制造</w:t>
            </w:r>
          </w:p>
          <w:p w14:paraId="401A72A6">
            <w:pPr>
              <w:spacing w:line="360" w:lineRule="auto"/>
              <w:ind w:firstLine="0"/>
              <w:rPr>
                <w:rFonts w:ascii="宋体" w:cs="宋体"/>
                <w:sz w:val="24"/>
                <w:highlight w:val="none"/>
              </w:rPr>
            </w:pPr>
            <w:r>
              <w:rPr>
                <w:rFonts w:hint="eastAsia" w:ascii="宋体" w:cs="宋体"/>
                <w:sz w:val="24"/>
                <w:highlight w:val="none"/>
              </w:rPr>
              <w:t>年份</w:t>
            </w:r>
          </w:p>
        </w:tc>
        <w:tc>
          <w:tcPr>
            <w:tcW w:w="1260" w:type="dxa"/>
            <w:tcBorders>
              <w:top w:val="single" w:color="000000" w:sz="4" w:space="0"/>
              <w:left w:val="single" w:color="000000" w:sz="4" w:space="0"/>
              <w:bottom w:val="single" w:color="000000" w:sz="4" w:space="0"/>
              <w:right w:val="single" w:color="000000" w:sz="4" w:space="0"/>
            </w:tcBorders>
          </w:tcPr>
          <w:p w14:paraId="7174813E">
            <w:pPr>
              <w:spacing w:line="360" w:lineRule="auto"/>
              <w:ind w:firstLine="0"/>
              <w:rPr>
                <w:rFonts w:ascii="宋体" w:cs="宋体"/>
                <w:sz w:val="24"/>
                <w:highlight w:val="none"/>
              </w:rPr>
            </w:pPr>
            <w:r>
              <w:rPr>
                <w:rFonts w:hint="eastAsia" w:ascii="宋体" w:cs="宋体"/>
                <w:sz w:val="24"/>
                <w:highlight w:val="none"/>
              </w:rPr>
              <w:t>用途</w:t>
            </w:r>
          </w:p>
        </w:tc>
        <w:tc>
          <w:tcPr>
            <w:tcW w:w="1542" w:type="dxa"/>
            <w:tcBorders>
              <w:top w:val="single" w:color="000000" w:sz="4" w:space="0"/>
              <w:left w:val="single" w:color="000000" w:sz="4" w:space="0"/>
              <w:bottom w:val="single" w:color="000000" w:sz="4" w:space="0"/>
              <w:right w:val="single" w:color="000000" w:sz="4" w:space="0"/>
            </w:tcBorders>
          </w:tcPr>
          <w:p w14:paraId="627F07F7">
            <w:pPr>
              <w:spacing w:line="360" w:lineRule="auto"/>
              <w:ind w:firstLine="0"/>
              <w:rPr>
                <w:rFonts w:ascii="宋体" w:cs="宋体"/>
                <w:sz w:val="24"/>
                <w:highlight w:val="none"/>
              </w:rPr>
            </w:pPr>
            <w:r>
              <w:rPr>
                <w:rFonts w:hint="eastAsia" w:ascii="宋体" w:cs="宋体"/>
                <w:sz w:val="24"/>
                <w:highlight w:val="none"/>
              </w:rPr>
              <w:t>备注</w:t>
            </w:r>
          </w:p>
        </w:tc>
      </w:tr>
      <w:tr w14:paraId="0D91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67ACFF6D">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374A4D38">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59C24B99">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74F15F62">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089A3105">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2C9AEC14">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6EE3A71A">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061890B8">
            <w:pPr>
              <w:spacing w:line="360" w:lineRule="auto"/>
              <w:ind w:firstLine="480" w:firstLineChars="200"/>
              <w:rPr>
                <w:rFonts w:ascii="宋体" w:cs="宋体"/>
                <w:sz w:val="24"/>
                <w:highlight w:val="none"/>
              </w:rPr>
            </w:pPr>
          </w:p>
        </w:tc>
      </w:tr>
      <w:tr w14:paraId="4CC0E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2D6E3073">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3CA66D54">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3C30A14F">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14F03E54">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291AA206">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3A40B5FF">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148C29A4">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64998F72">
            <w:pPr>
              <w:spacing w:line="360" w:lineRule="auto"/>
              <w:ind w:firstLine="480" w:firstLineChars="200"/>
              <w:rPr>
                <w:rFonts w:ascii="宋体" w:cs="宋体"/>
                <w:sz w:val="24"/>
                <w:highlight w:val="none"/>
              </w:rPr>
            </w:pPr>
          </w:p>
        </w:tc>
      </w:tr>
      <w:tr w14:paraId="3435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783" w:type="dxa"/>
            <w:tcBorders>
              <w:top w:val="single" w:color="000000" w:sz="4" w:space="0"/>
              <w:left w:val="single" w:color="000000" w:sz="4" w:space="0"/>
              <w:bottom w:val="single" w:color="000000" w:sz="4" w:space="0"/>
              <w:right w:val="single" w:color="000000" w:sz="4" w:space="0"/>
            </w:tcBorders>
          </w:tcPr>
          <w:p w14:paraId="4CB29FE4">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3F00FDE2">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554BB3B2">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7B2F9C1A">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6A5A4B66">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6C626040">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6B548DDC">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77CC8F1C">
            <w:pPr>
              <w:spacing w:line="360" w:lineRule="auto"/>
              <w:ind w:firstLine="480" w:firstLineChars="200"/>
              <w:rPr>
                <w:rFonts w:ascii="宋体" w:cs="宋体"/>
                <w:sz w:val="24"/>
                <w:highlight w:val="none"/>
              </w:rPr>
            </w:pPr>
          </w:p>
        </w:tc>
      </w:tr>
      <w:tr w14:paraId="0C0F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7ACE5386">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638E065B">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59AD7F05">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5971208B">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79D1E7CF">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71BDC50A">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34649B56">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256AF562">
            <w:pPr>
              <w:spacing w:line="360" w:lineRule="auto"/>
              <w:ind w:firstLine="480" w:firstLineChars="200"/>
              <w:rPr>
                <w:rFonts w:ascii="宋体" w:cs="宋体"/>
                <w:sz w:val="24"/>
                <w:highlight w:val="none"/>
              </w:rPr>
            </w:pPr>
          </w:p>
        </w:tc>
      </w:tr>
      <w:tr w14:paraId="303EF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trPr>
        <w:tc>
          <w:tcPr>
            <w:tcW w:w="783" w:type="dxa"/>
            <w:tcBorders>
              <w:top w:val="single" w:color="000000" w:sz="4" w:space="0"/>
              <w:left w:val="single" w:color="000000" w:sz="4" w:space="0"/>
              <w:bottom w:val="single" w:color="000000" w:sz="4" w:space="0"/>
              <w:right w:val="single" w:color="000000" w:sz="4" w:space="0"/>
            </w:tcBorders>
          </w:tcPr>
          <w:p w14:paraId="49B18F3E">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1CDDFA97">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4D29CE4C">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5289F6FD">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6F790344">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2F18F28E">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214239F3">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4467C0E9">
            <w:pPr>
              <w:spacing w:line="360" w:lineRule="auto"/>
              <w:ind w:firstLine="480" w:firstLineChars="200"/>
              <w:rPr>
                <w:rFonts w:ascii="宋体" w:cs="宋体"/>
                <w:sz w:val="24"/>
                <w:highlight w:val="none"/>
              </w:rPr>
            </w:pPr>
          </w:p>
        </w:tc>
      </w:tr>
      <w:tr w14:paraId="1C14D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trPr>
        <w:tc>
          <w:tcPr>
            <w:tcW w:w="783" w:type="dxa"/>
            <w:tcBorders>
              <w:top w:val="single" w:color="000000" w:sz="4" w:space="0"/>
              <w:left w:val="single" w:color="000000" w:sz="4" w:space="0"/>
              <w:bottom w:val="single" w:color="000000" w:sz="4" w:space="0"/>
              <w:right w:val="single" w:color="000000" w:sz="4" w:space="0"/>
            </w:tcBorders>
          </w:tcPr>
          <w:p w14:paraId="3E0071BC">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19C904A8">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6CD3E68B">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6DA7E1BD">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557BFE7B">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0AFED0BB">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22C195F3">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3F7941CD">
            <w:pPr>
              <w:spacing w:line="360" w:lineRule="auto"/>
              <w:ind w:firstLine="480" w:firstLineChars="200"/>
              <w:rPr>
                <w:rFonts w:ascii="宋体" w:cs="宋体"/>
                <w:sz w:val="24"/>
                <w:highlight w:val="none"/>
              </w:rPr>
            </w:pPr>
          </w:p>
        </w:tc>
      </w:tr>
      <w:tr w14:paraId="3203A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3703D2F6">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3C4AD27E">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2E449409">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0BBB4CEB">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0020646D">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4BE9A6E4">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7CCF3B0F">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023AC45C">
            <w:pPr>
              <w:spacing w:line="360" w:lineRule="auto"/>
              <w:ind w:firstLine="480" w:firstLineChars="200"/>
              <w:rPr>
                <w:rFonts w:ascii="宋体" w:cs="宋体"/>
                <w:sz w:val="24"/>
                <w:highlight w:val="none"/>
              </w:rPr>
            </w:pPr>
          </w:p>
        </w:tc>
      </w:tr>
      <w:tr w14:paraId="1E37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exact"/>
        </w:trPr>
        <w:tc>
          <w:tcPr>
            <w:tcW w:w="783" w:type="dxa"/>
            <w:tcBorders>
              <w:top w:val="single" w:color="000000" w:sz="4" w:space="0"/>
              <w:left w:val="single" w:color="000000" w:sz="4" w:space="0"/>
              <w:bottom w:val="single" w:color="000000" w:sz="4" w:space="0"/>
              <w:right w:val="single" w:color="000000" w:sz="4" w:space="0"/>
            </w:tcBorders>
          </w:tcPr>
          <w:p w14:paraId="15148ACF">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3E22944D">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1563D598">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526F3F21">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3D686270">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52D68EF8">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4A26ECBB">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7C28CCBA">
            <w:pPr>
              <w:spacing w:line="360" w:lineRule="auto"/>
              <w:ind w:firstLine="480" w:firstLineChars="200"/>
              <w:rPr>
                <w:rFonts w:ascii="宋体" w:cs="宋体"/>
                <w:sz w:val="24"/>
                <w:highlight w:val="none"/>
              </w:rPr>
            </w:pPr>
          </w:p>
        </w:tc>
      </w:tr>
      <w:tr w14:paraId="78CED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27C2F31E">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5585F1AF">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1D22C802">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71B51F2E">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12770A9A">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741144A9">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043177DC">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24A81E2F">
            <w:pPr>
              <w:spacing w:line="360" w:lineRule="auto"/>
              <w:ind w:firstLine="480" w:firstLineChars="200"/>
              <w:rPr>
                <w:rFonts w:ascii="宋体" w:cs="宋体"/>
                <w:sz w:val="24"/>
                <w:highlight w:val="none"/>
              </w:rPr>
            </w:pPr>
          </w:p>
        </w:tc>
      </w:tr>
      <w:tr w14:paraId="4C23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783" w:type="dxa"/>
            <w:tcBorders>
              <w:top w:val="single" w:color="000000" w:sz="4" w:space="0"/>
              <w:left w:val="single" w:color="000000" w:sz="4" w:space="0"/>
              <w:bottom w:val="single" w:color="000000" w:sz="4" w:space="0"/>
              <w:right w:val="single" w:color="000000" w:sz="4" w:space="0"/>
            </w:tcBorders>
          </w:tcPr>
          <w:p w14:paraId="4042A69C">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50DDD1E5">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5D54E5EE">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031B97E5">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7B1B92A5">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1439AD33">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547147F6">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654CAB38">
            <w:pPr>
              <w:spacing w:line="360" w:lineRule="auto"/>
              <w:ind w:firstLine="480" w:firstLineChars="200"/>
              <w:rPr>
                <w:rFonts w:ascii="宋体" w:cs="宋体"/>
                <w:sz w:val="24"/>
                <w:highlight w:val="none"/>
              </w:rPr>
            </w:pPr>
          </w:p>
        </w:tc>
      </w:tr>
      <w:tr w14:paraId="62E5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02B5021C">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54A82D8A">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744BF234">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26696016">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666D026B">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2D880271">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3D8B6FE9">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35685BB2">
            <w:pPr>
              <w:spacing w:line="360" w:lineRule="auto"/>
              <w:ind w:firstLine="480" w:firstLineChars="200"/>
              <w:rPr>
                <w:rFonts w:ascii="宋体" w:cs="宋体"/>
                <w:sz w:val="24"/>
                <w:highlight w:val="none"/>
              </w:rPr>
            </w:pPr>
          </w:p>
        </w:tc>
      </w:tr>
      <w:tr w14:paraId="0E60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09F2E240">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07830566">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164860E8">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6D4994A0">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7094675B">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29620A4D">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59B34918">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3E752183">
            <w:pPr>
              <w:spacing w:line="360" w:lineRule="auto"/>
              <w:ind w:firstLine="480" w:firstLineChars="200"/>
              <w:rPr>
                <w:rFonts w:ascii="宋体" w:cs="宋体"/>
                <w:sz w:val="24"/>
                <w:highlight w:val="none"/>
              </w:rPr>
            </w:pPr>
          </w:p>
        </w:tc>
      </w:tr>
      <w:tr w14:paraId="4BD9A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73905F29">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125A2433">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74F5D551">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7C185DA8">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6C85533C">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1A71BAF5">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32766A8A">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1BA59283">
            <w:pPr>
              <w:spacing w:line="360" w:lineRule="auto"/>
              <w:ind w:firstLine="480" w:firstLineChars="200"/>
              <w:rPr>
                <w:rFonts w:ascii="宋体" w:cs="宋体"/>
                <w:sz w:val="24"/>
                <w:highlight w:val="none"/>
              </w:rPr>
            </w:pPr>
          </w:p>
        </w:tc>
      </w:tr>
      <w:tr w14:paraId="0AD48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trPr>
        <w:tc>
          <w:tcPr>
            <w:tcW w:w="783" w:type="dxa"/>
            <w:tcBorders>
              <w:top w:val="single" w:color="000000" w:sz="4" w:space="0"/>
              <w:left w:val="single" w:color="000000" w:sz="4" w:space="0"/>
              <w:bottom w:val="single" w:color="000000" w:sz="4" w:space="0"/>
              <w:right w:val="single" w:color="000000" w:sz="4" w:space="0"/>
            </w:tcBorders>
          </w:tcPr>
          <w:p w14:paraId="7519E9A9">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4253FE45">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34845B7B">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6613F193">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0CD7EFEA">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15261DE1">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1EF63710">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7E8396BE">
            <w:pPr>
              <w:spacing w:line="360" w:lineRule="auto"/>
              <w:ind w:firstLine="480" w:firstLineChars="200"/>
              <w:rPr>
                <w:rFonts w:ascii="宋体" w:cs="宋体"/>
                <w:sz w:val="24"/>
                <w:highlight w:val="none"/>
              </w:rPr>
            </w:pPr>
          </w:p>
        </w:tc>
      </w:tr>
      <w:tr w14:paraId="17D6C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0E435022">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06787366">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4DCAD90C">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654F7CAB">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11140702">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4E58E29C">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4BA06EE0">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07FDFA6A">
            <w:pPr>
              <w:spacing w:line="360" w:lineRule="auto"/>
              <w:ind w:firstLine="480" w:firstLineChars="200"/>
              <w:rPr>
                <w:rFonts w:ascii="宋体" w:cs="宋体"/>
                <w:sz w:val="24"/>
                <w:highlight w:val="none"/>
              </w:rPr>
            </w:pPr>
          </w:p>
        </w:tc>
      </w:tr>
      <w:tr w14:paraId="2CF5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3F49608D">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20021961">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65429B99">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133FD21D">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295B8840">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4351E240">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1121DE8D">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56073B8B">
            <w:pPr>
              <w:spacing w:line="360" w:lineRule="auto"/>
              <w:ind w:firstLine="480" w:firstLineChars="200"/>
              <w:rPr>
                <w:rFonts w:ascii="宋体" w:cs="宋体"/>
                <w:sz w:val="24"/>
                <w:highlight w:val="none"/>
              </w:rPr>
            </w:pPr>
          </w:p>
        </w:tc>
      </w:tr>
      <w:tr w14:paraId="61B1C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783" w:type="dxa"/>
            <w:tcBorders>
              <w:top w:val="single" w:color="000000" w:sz="4" w:space="0"/>
              <w:left w:val="single" w:color="000000" w:sz="4" w:space="0"/>
              <w:bottom w:val="single" w:color="000000" w:sz="4" w:space="0"/>
              <w:right w:val="single" w:color="000000" w:sz="4" w:space="0"/>
            </w:tcBorders>
          </w:tcPr>
          <w:p w14:paraId="7A2F99FC">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5FF6CCB5">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1B0DE21E">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70D24BB3">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3A139E12">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1DDFA1F0">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459C002A">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4B08CFCA">
            <w:pPr>
              <w:spacing w:line="360" w:lineRule="auto"/>
              <w:ind w:firstLine="480" w:firstLineChars="200"/>
              <w:rPr>
                <w:rFonts w:ascii="宋体" w:cs="宋体"/>
                <w:sz w:val="24"/>
                <w:highlight w:val="none"/>
              </w:rPr>
            </w:pPr>
          </w:p>
        </w:tc>
      </w:tr>
      <w:tr w14:paraId="1783D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4FCC0A22">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02B4F490">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1BD18DB0">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024730B5">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6B6BBA0C">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57694D41">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14EB1362">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2C8D5C3E">
            <w:pPr>
              <w:spacing w:line="360" w:lineRule="auto"/>
              <w:ind w:firstLine="480" w:firstLineChars="200"/>
              <w:rPr>
                <w:rFonts w:ascii="宋体" w:cs="宋体"/>
                <w:sz w:val="24"/>
                <w:highlight w:val="none"/>
              </w:rPr>
            </w:pPr>
          </w:p>
        </w:tc>
      </w:tr>
      <w:tr w14:paraId="50C1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exact"/>
        </w:trPr>
        <w:tc>
          <w:tcPr>
            <w:tcW w:w="783" w:type="dxa"/>
            <w:tcBorders>
              <w:top w:val="single" w:color="000000" w:sz="4" w:space="0"/>
              <w:left w:val="single" w:color="000000" w:sz="4" w:space="0"/>
              <w:bottom w:val="single" w:color="000000" w:sz="4" w:space="0"/>
              <w:right w:val="single" w:color="000000" w:sz="4" w:space="0"/>
            </w:tcBorders>
          </w:tcPr>
          <w:p w14:paraId="052AA2E5">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184C6E5C">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169FEB13">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772C06E2">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0AAED971">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3033B153">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0EEA8801">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1CF916B6">
            <w:pPr>
              <w:spacing w:line="360" w:lineRule="auto"/>
              <w:ind w:firstLine="480" w:firstLineChars="200"/>
              <w:rPr>
                <w:rFonts w:ascii="宋体" w:cs="宋体"/>
                <w:sz w:val="24"/>
                <w:highlight w:val="none"/>
              </w:rPr>
            </w:pPr>
          </w:p>
        </w:tc>
      </w:tr>
      <w:tr w14:paraId="26634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exact"/>
        </w:trPr>
        <w:tc>
          <w:tcPr>
            <w:tcW w:w="783" w:type="dxa"/>
            <w:tcBorders>
              <w:top w:val="single" w:color="000000" w:sz="4" w:space="0"/>
              <w:left w:val="single" w:color="000000" w:sz="4" w:space="0"/>
              <w:bottom w:val="single" w:color="000000" w:sz="4" w:space="0"/>
              <w:right w:val="single" w:color="000000" w:sz="4" w:space="0"/>
            </w:tcBorders>
          </w:tcPr>
          <w:p w14:paraId="10606B6F">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2ECF1279">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057BB838">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702342A2">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7A853D4F">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743D7388">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28AEA4C4">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7BE416D0">
            <w:pPr>
              <w:spacing w:line="360" w:lineRule="auto"/>
              <w:ind w:firstLine="480" w:firstLineChars="200"/>
              <w:rPr>
                <w:rFonts w:ascii="宋体" w:cs="宋体"/>
                <w:sz w:val="24"/>
                <w:highlight w:val="none"/>
              </w:rPr>
            </w:pPr>
          </w:p>
        </w:tc>
      </w:tr>
    </w:tbl>
    <w:p w14:paraId="0054CAA7">
      <w:pPr>
        <w:spacing w:line="360" w:lineRule="auto"/>
        <w:ind w:firstLine="482" w:firstLineChars="200"/>
        <w:rPr>
          <w:rFonts w:ascii="宋体" w:cs="宋体"/>
          <w:b/>
          <w:sz w:val="24"/>
          <w:highlight w:val="none"/>
        </w:rPr>
      </w:pPr>
    </w:p>
    <w:bookmarkEnd w:id="0"/>
    <w:bookmarkEnd w:id="1"/>
    <w:bookmarkEnd w:id="2"/>
    <w:bookmarkEnd w:id="3"/>
    <w:p w14:paraId="40CFC37E">
      <w:pPr>
        <w:spacing w:line="360" w:lineRule="auto"/>
        <w:ind w:firstLine="480" w:firstLineChars="200"/>
        <w:rPr>
          <w:rFonts w:ascii="宋体" w:cs="宋体"/>
          <w:sz w:val="24"/>
          <w:highlight w:val="none"/>
        </w:rPr>
      </w:pPr>
    </w:p>
    <w:sectPr>
      <w:pgSz w:w="11906" w:h="16838"/>
      <w:pgMar w:top="1440" w:right="1803" w:bottom="1440" w:left="1803" w:header="851" w:footer="992" w:gutter="0"/>
      <w:cols w:space="720" w:num="1"/>
      <w:rtlGutter w:val="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84F4D">
    <w:pPr>
      <w:pStyle w:val="14"/>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文本框 2"/>
              <wp:cNvGraphicFramePr/>
              <a:graphic xmlns:a="http://schemas.openxmlformats.org/drawingml/2006/main">
                <a:graphicData uri="http://schemas.microsoft.com/office/word/2010/wordprocessingShape">
                  <wps:wsp>
                    <wps:cNvSpPr/>
                    <wps:spPr>
                      <a:xfrm>
                        <a:off x="0" y="0"/>
                        <a:ext cx="57950" cy="139674"/>
                      </a:xfrm>
                      <a:prstGeom prst="rect">
                        <a:avLst/>
                      </a:prstGeom>
                      <a:noFill/>
                      <a:ln w="9525" cap="flat" cmpd="sng">
                        <a:noFill/>
                        <a:prstDash val="solid"/>
                        <a:round/>
                      </a:ln>
                    </wps:spPr>
                    <wps:txbx>
                      <w:txbxContent>
                        <w:p w14:paraId="61C03F92">
                          <w:pPr>
                            <w:pStyle w:val="14"/>
                            <w:jc w:val="center"/>
                          </w:pPr>
                          <w:r>
                            <w:rPr>
                              <w:b/>
                            </w:rPr>
                            <w:fldChar w:fldCharType="begin"/>
                          </w:r>
                          <w:r>
                            <w:rPr>
                              <w:b/>
                            </w:rPr>
                            <w:instrText xml:space="preserve">PAGE</w:instrText>
                          </w:r>
                          <w:r>
                            <w:rPr>
                              <w:b/>
                              <w:sz w:val="24"/>
                            </w:rPr>
                            <w:fldChar w:fldCharType="separate"/>
                          </w:r>
                          <w:r>
                            <w:rPr>
                              <w:b/>
                            </w:rPr>
                            <w:t>21</w:t>
                          </w:r>
                          <w:r>
                            <w:rPr>
                              <w:b/>
                              <w:sz w:val="24"/>
                            </w:rPr>
                            <w:fldChar w:fldCharType="end"/>
                          </w:r>
                          <w:r>
                            <w:rPr>
                              <w:lang w:val="zh-CN"/>
                            </w:rPr>
                            <w:t xml:space="preserve"> </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BE4XocCAgAA8wMAAA4AAABkcnMvZTJvRG9jLnhtbK1TS44TMRTcI3EH&#10;y3vSSSAzpJXOCBENQkIw0sABHLc7bck/veekOxwAbsCKDfs5V87Bszuf0bCZBZvu8q/eq3J5cdNb&#10;w3YKUHtX8clozJly0tfabSr+7evtq7ecYRSuFsY7VfG9Qn6zfPli0YVSTX3rTa2AEYnDsgsVb2MM&#10;ZVGgbJUVOPJBOVpsPFgRaQibogbREbs1xXQ8vio6D3UALxUiza6GRX5khOcQ+qbRUq283Frl4sAK&#10;yohIkrDVAfkyd9s0SsYvTYMqMlNxUhrzl4oQXqdvsVyIcgMitFoeWxDPaeGJJiu0o6JnqpWIgm1B&#10;/0NltQSPvokj6W0xCMmOkIrJ+Ik3960IKmshqzGcTcf/Rys/7+6A6ZqSwJkTli788Ovn4ffD4c8P&#10;Nk32dAFL2nUf7uA4QoJJa9+ATX9Swfps6f5sqeojkzQ5u57PyGtJK5PX86vrN4myuJwNgPGD8pYl&#10;UHGgC8s+it0njMPW05ZUyvlbbQzNi9I41lV8PpvOiF5QEBsKAEEbSAy6TaZ5tD/RrAS2bCcoC+iN&#10;rofbB7919VDKOGouCR4kJhT7dU+LCa59vSez6O1Qp62H75x1lJyKO3oonJmPji4mhewE4ATWJyCc&#10;pIMVp0YH+D4OYdwG0JuWeMe5bwzvtpG0ZgsutY/dURayicfcprA9Huddl7e6/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68/W0AAAAAIBAAAPAAAAAAAAAAEAIAAAACIAAABkcnMvZG93bnJldi54&#10;bWxQSwECFAAUAAAACACHTuJAEThehwICAADzAwAADgAAAAAAAAABACAAAAAfAQAAZHJzL2Uyb0Rv&#10;Yy54bWxQSwUGAAAAAAYABgBZAQAAkwUAAAAA&#10;">
              <v:fill on="f" focussize="0,0"/>
              <v:stroke on="f" joinstyle="round"/>
              <v:imagedata o:title=""/>
              <o:lock v:ext="edit" aspectratio="f"/>
              <v:textbox inset="0mm,0mm,0mm,0mm" style="mso-fit-shape-to-text:t;">
                <w:txbxContent>
                  <w:p w14:paraId="61C03F92">
                    <w:pPr>
                      <w:pStyle w:val="14"/>
                      <w:jc w:val="center"/>
                    </w:pPr>
                    <w:r>
                      <w:rPr>
                        <w:b/>
                      </w:rPr>
                      <w:fldChar w:fldCharType="begin"/>
                    </w:r>
                    <w:r>
                      <w:rPr>
                        <w:b/>
                      </w:rPr>
                      <w:instrText xml:space="preserve">PAGE</w:instrText>
                    </w:r>
                    <w:r>
                      <w:rPr>
                        <w:b/>
                        <w:sz w:val="24"/>
                      </w:rPr>
                      <w:fldChar w:fldCharType="separate"/>
                    </w:r>
                    <w:r>
                      <w:rPr>
                        <w:b/>
                      </w:rPr>
                      <w:t>21</w:t>
                    </w:r>
                    <w:r>
                      <w:rPr>
                        <w:b/>
                        <w:sz w:val="24"/>
                      </w:rPr>
                      <w:fldChar w:fldCharType="end"/>
                    </w:r>
                    <w:r>
                      <w:rPr>
                        <w:lang w:val="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7ED94">
    <w:pPr>
      <w:pStyle w:val="14"/>
      <w:framePr w:wrap="around" w:vAnchor="text" w:hAnchor="margin" w:xAlign="center" w:y="1"/>
      <w:rPr>
        <w:rStyle w:val="23"/>
      </w:rPr>
    </w:pPr>
    <w:r>
      <w:rPr>
        <w:rStyle w:val="23"/>
      </w:rPr>
      <w:fldChar w:fldCharType="begin"/>
    </w:r>
    <w:r>
      <w:rPr>
        <w:rStyle w:val="23"/>
      </w:rPr>
      <w:instrText xml:space="preserve">PAGE  </w:instrText>
    </w:r>
    <w:r>
      <w:fldChar w:fldCharType="separate"/>
    </w:r>
    <w:r>
      <w:rPr>
        <w:vanish/>
      </w:rPr>
      <w:t xml:space="preserve"> </w:t>
    </w:r>
    <w:r>
      <w:fldChar w:fldCharType="end"/>
    </w:r>
  </w:p>
  <w:p w14:paraId="7226066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52231">
    <w:pPr>
      <w:pStyle w:val="14"/>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4" name="文本框 1"/>
              <wp:cNvGraphicFramePr/>
              <a:graphic xmlns:a="http://schemas.openxmlformats.org/drawingml/2006/main">
                <a:graphicData uri="http://schemas.microsoft.com/office/word/2010/wordprocessingShape">
                  <wps:wsp>
                    <wps:cNvSpPr/>
                    <wps:spPr>
                      <a:xfrm>
                        <a:off x="0" y="0"/>
                        <a:ext cx="57785" cy="139700"/>
                      </a:xfrm>
                      <a:prstGeom prst="rect">
                        <a:avLst/>
                      </a:prstGeom>
                      <a:noFill/>
                      <a:ln w="9525" cap="flat" cmpd="sng">
                        <a:noFill/>
                        <a:prstDash val="solid"/>
                        <a:round/>
                      </a:ln>
                    </wps:spPr>
                    <wps:txbx>
                      <w:txbxContent>
                        <w:p w14:paraId="008D799F">
                          <w:pPr>
                            <w:pStyle w:val="14"/>
                            <w:jc w:val="center"/>
                          </w:pPr>
                          <w:r>
                            <w:fldChar w:fldCharType="begin"/>
                          </w:r>
                          <w:r>
                            <w:instrText xml:space="preserve">PAGE   \* MERGEFORMAT</w:instrText>
                          </w:r>
                          <w:r>
                            <w:fldChar w:fldCharType="separate"/>
                          </w:r>
                          <w:r>
                            <w:rPr>
                              <w:lang w:val="zh-CN"/>
                            </w:rP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NkHSckEAgAA8wMAAA4AAABkcnMvZTJvRG9jLnhtbK1TzY7TMBC+I/EO&#10;lu80aaHsbtV0hagWISFYaeEBXMdpLPlPM26T8gDwBpy4cN/n6nMwdtLuarnsgUsytsffzPfN5+V1&#10;bw3bK0DtXcWnk5Iz5aSvtdtW/NvXm1eXnGEUrhbGO1Xxg0J+vXr5YtmFhZr51ptaASMQh4suVLyN&#10;MSyKAmWrrMCJD8rRYePBikhL2BY1iI7QrSlmZfm26DzUAbxUiLS7Hg75iAjPAfRNo6Vae7mzysUB&#10;FZQRkShhqwPyVe62aZSMX5oGVWSm4sQ05i8VoXiTvsVqKRZbEKHVcmxBPKeFJ5ys0I6KnqHWIgq2&#10;A/0PlNUSPPomTqS3xUAkK0IspuUTbe5aEVTmQlJjOIuO/w9Wft7fAtN1xd9w5oSlgR9//Tz+vj/+&#10;+cGmSZ4u4IKy7sItjCukMHHtG7DpTyxYnyU9nCVVfWSSNucXF5dzziSdTF9fXZRZ8eLhbgCMH5S3&#10;LAUVBxpY1lHsP2GkepR6SkmlnL/RxuShGce6il/NZwlekBEbMgCFNhAZdNsM8yg/wawFtmwvyAvo&#10;ja6H6YPfuXooZRxVTIQHiimK/aYfeW98fSCx6O1Qp62H75x15JyKO3oonJmPjgaTTHYK4BRsToFw&#10;ki5WnBodwvdxMOMugN62hFvmvjG820XimiVIbQy1x+7IC1mZ0bfJbI/XOevhra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Lrz9bQAAAAAgEAAA8AAAAAAAAAAQAgAAAAIgAAAGRycy9kb3ducmV2&#10;LnhtbFBLAQIUABQAAAAIAIdO4kDZB0nJBAIAAPMDAAAOAAAAAAAAAAEAIAAAAB8BAABkcnMvZTJv&#10;RG9jLnhtbFBLBQYAAAAABgAGAFkBAACVBQAAAAA=&#10;">
              <v:fill on="f" focussize="0,0"/>
              <v:stroke on="f" joinstyle="round"/>
              <v:imagedata o:title=""/>
              <o:lock v:ext="edit" aspectratio="f"/>
              <v:textbox inset="0mm,0mm,0mm,0mm" style="mso-fit-shape-to-text:t;">
                <w:txbxContent>
                  <w:p w14:paraId="008D799F">
                    <w:pPr>
                      <w:pStyle w:val="14"/>
                      <w:jc w:val="center"/>
                    </w:pPr>
                    <w:r>
                      <w:fldChar w:fldCharType="begin"/>
                    </w:r>
                    <w:r>
                      <w:instrText xml:space="preserve">PAGE   \* MERGEFORMAT</w:instrText>
                    </w:r>
                    <w:r>
                      <w:fldChar w:fldCharType="separate"/>
                    </w:r>
                    <w:r>
                      <w:rPr>
                        <w:lang w:val="zh-CN"/>
                      </w:rPr>
                      <w:t>1</w:t>
                    </w:r>
                    <w:r>
                      <w:fldChar w:fldCharType="end"/>
                    </w:r>
                  </w:p>
                </w:txbxContent>
              </v:textbox>
            </v:rect>
          </w:pict>
        </mc:Fallback>
      </mc:AlternateContent>
    </w:r>
  </w:p>
  <w:p w14:paraId="323CB9DC">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0E701"/>
    <w:multiLevelType w:val="singleLevel"/>
    <w:tmpl w:val="AF40E701"/>
    <w:lvl w:ilvl="0" w:tentative="0">
      <w:start w:val="5"/>
      <w:numFmt w:val="decimal"/>
      <w:suff w:val="nothing"/>
      <w:lvlText w:val="%1、"/>
      <w:lvlJc w:val="left"/>
    </w:lvl>
  </w:abstractNum>
  <w:abstractNum w:abstractNumId="1">
    <w:nsid w:val="BB39D74F"/>
    <w:multiLevelType w:val="multilevel"/>
    <w:tmpl w:val="BB39D74F"/>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FD1EBFB0"/>
    <w:multiLevelType w:val="singleLevel"/>
    <w:tmpl w:val="FD1EBFB0"/>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readOnly"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Y2MxMWY3YWUzNGNjZmJmOTRmYmM1YTdmMGM5MTRiNDUifQ=="/>
  </w:docVars>
  <w:rsids>
    <w:rsidRoot w:val="00000000"/>
    <w:rsid w:val="227C4E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uiPriority w:val="0"/>
    <w:pPr>
      <w:keepNext/>
      <w:keepLines/>
      <w:widowControl w:val="0"/>
      <w:spacing w:before="340" w:after="330" w:line="576" w:lineRule="auto"/>
      <w:outlineLvl w:val="0"/>
    </w:pPr>
    <w:rPr>
      <w:b/>
      <w:kern w:val="44"/>
      <w:sz w:val="44"/>
    </w:rPr>
  </w:style>
  <w:style w:type="paragraph" w:styleId="3">
    <w:name w:val="heading 2"/>
    <w:basedOn w:val="1"/>
    <w:next w:val="1"/>
    <w:autoRedefine/>
    <w:uiPriority w:val="0"/>
    <w:pPr>
      <w:keepNext/>
      <w:keepLines/>
      <w:widowControl w:val="0"/>
      <w:spacing w:before="260" w:after="260" w:line="410" w:lineRule="auto"/>
      <w:outlineLvl w:val="1"/>
    </w:pPr>
    <w:rPr>
      <w:rFonts w:ascii="Arial" w:hAnsi="Arial" w:eastAsia="黑体"/>
      <w:b/>
      <w:kern w:val="0"/>
      <w:sz w:val="32"/>
    </w:rPr>
  </w:style>
  <w:style w:type="paragraph" w:styleId="4">
    <w:name w:val="heading 3"/>
    <w:basedOn w:val="1"/>
    <w:next w:val="1"/>
    <w:autoRedefine/>
    <w:uiPriority w:val="0"/>
    <w:pPr>
      <w:keepNext/>
      <w:keepLines/>
      <w:widowControl w:val="0"/>
      <w:spacing w:line="360" w:lineRule="auto"/>
      <w:outlineLvl w:val="2"/>
    </w:pPr>
    <w:rPr>
      <w:b/>
      <w:bCs/>
      <w:sz w:val="24"/>
      <w:szCs w:val="32"/>
    </w:rPr>
  </w:style>
  <w:style w:type="character" w:default="1" w:styleId="22">
    <w:name w:val="Default Paragraph Font"/>
    <w:uiPriority w:val="0"/>
  </w:style>
  <w:style w:type="table" w:default="1" w:styleId="21">
    <w:name w:val="Normal Table"/>
    <w:semiHidden/>
    <w:uiPriority w:val="0"/>
    <w:tblPr>
      <w:tblCellMar>
        <w:top w:w="0" w:type="dxa"/>
        <w:left w:w="108" w:type="dxa"/>
        <w:bottom w:w="0" w:type="dxa"/>
        <w:right w:w="108" w:type="dxa"/>
      </w:tblCellMar>
    </w:tblPr>
  </w:style>
  <w:style w:type="paragraph" w:styleId="5">
    <w:name w:val="Normal Indent"/>
    <w:basedOn w:val="1"/>
    <w:next w:val="1"/>
    <w:autoRedefine/>
    <w:uiPriority w:val="0"/>
    <w:pPr>
      <w:ind w:firstLine="420"/>
    </w:pPr>
    <w:rPr>
      <w:rFonts w:ascii="Times New Roman" w:hAnsi="Times New Roman"/>
      <w:szCs w:val="20"/>
    </w:rPr>
  </w:style>
  <w:style w:type="paragraph" w:styleId="6">
    <w:name w:val="annotation text"/>
    <w:basedOn w:val="1"/>
    <w:autoRedefine/>
    <w:uiPriority w:val="0"/>
    <w:pPr>
      <w:jc w:val="left"/>
    </w:pPr>
  </w:style>
  <w:style w:type="paragraph" w:styleId="7">
    <w:name w:val="Body Text"/>
    <w:basedOn w:val="1"/>
    <w:next w:val="1"/>
    <w:uiPriority w:val="0"/>
    <w:pPr>
      <w:spacing w:after="120"/>
    </w:pPr>
    <w:rPr>
      <w:kern w:val="0"/>
      <w:sz w:val="20"/>
    </w:rPr>
  </w:style>
  <w:style w:type="paragraph" w:styleId="8">
    <w:name w:val="Body Text Indent"/>
    <w:basedOn w:val="1"/>
    <w:next w:val="1"/>
    <w:autoRedefine/>
    <w:uiPriority w:val="0"/>
    <w:pPr>
      <w:autoSpaceDE w:val="0"/>
      <w:autoSpaceDN w:val="0"/>
      <w:adjustRightInd w:val="0"/>
      <w:spacing w:line="0" w:lineRule="atLeast"/>
      <w:ind w:firstLine="525"/>
      <w:textAlignment w:val="top"/>
    </w:pPr>
    <w:rPr>
      <w:rFonts w:ascii="宋体"/>
      <w:color w:val="000000"/>
    </w:rPr>
  </w:style>
  <w:style w:type="paragraph" w:styleId="9">
    <w:name w:val="toc 5"/>
    <w:basedOn w:val="1"/>
    <w:next w:val="1"/>
    <w:autoRedefine/>
    <w:uiPriority w:val="0"/>
    <w:pPr>
      <w:ind w:left="1680"/>
    </w:pPr>
  </w:style>
  <w:style w:type="paragraph" w:styleId="10">
    <w:name w:val="toc 3"/>
    <w:basedOn w:val="1"/>
    <w:next w:val="1"/>
    <w:autoRedefine/>
    <w:qFormat/>
    <w:uiPriority w:val="0"/>
    <w:pPr>
      <w:ind w:left="840"/>
    </w:pPr>
  </w:style>
  <w:style w:type="paragraph" w:styleId="11">
    <w:name w:val="Plain Text"/>
    <w:basedOn w:val="1"/>
    <w:autoRedefine/>
    <w:uiPriority w:val="0"/>
    <w:rPr>
      <w:rFonts w:ascii="宋体"/>
      <w:kern w:val="0"/>
      <w:sz w:val="20"/>
      <w:szCs w:val="21"/>
    </w:rPr>
  </w:style>
  <w:style w:type="paragraph" w:styleId="12">
    <w:name w:val="Date"/>
    <w:basedOn w:val="1"/>
    <w:next w:val="1"/>
    <w:autoRedefine/>
    <w:qFormat/>
    <w:uiPriority w:val="0"/>
    <w:rPr>
      <w:rFonts w:eastAsia="黑体"/>
      <w:kern w:val="0"/>
      <w:sz w:val="28"/>
      <w:szCs w:val="20"/>
    </w:rPr>
  </w:style>
  <w:style w:type="paragraph" w:styleId="13">
    <w:name w:val="Balloon Text"/>
    <w:basedOn w:val="1"/>
    <w:autoRedefine/>
    <w:uiPriority w:val="0"/>
    <w:rPr>
      <w:sz w:val="18"/>
      <w:szCs w:val="18"/>
    </w:rPr>
  </w:style>
  <w:style w:type="paragraph" w:styleId="14">
    <w:name w:val="footer"/>
    <w:basedOn w:val="1"/>
    <w:autoRedefine/>
    <w:uiPriority w:val="0"/>
    <w:pPr>
      <w:tabs>
        <w:tab w:val="center" w:pos="4153"/>
        <w:tab w:val="right" w:pos="8306"/>
      </w:tabs>
      <w:snapToGrid w:val="0"/>
      <w:jc w:val="left"/>
    </w:pPr>
    <w:rPr>
      <w:sz w:val="18"/>
    </w:rPr>
  </w:style>
  <w:style w:type="paragraph" w:styleId="15">
    <w:name w:val="header"/>
    <w:basedOn w:val="1"/>
    <w:autoRedefine/>
    <w:uiPriority w:val="0"/>
    <w:pPr>
      <w:tabs>
        <w:tab w:val="center" w:pos="4153"/>
        <w:tab w:val="right" w:pos="8306"/>
      </w:tabs>
      <w:snapToGrid w:val="0"/>
    </w:pPr>
    <w:rPr>
      <w:sz w:val="18"/>
    </w:rPr>
  </w:style>
  <w:style w:type="paragraph" w:styleId="16">
    <w:name w:val="toc 1"/>
    <w:basedOn w:val="1"/>
    <w:next w:val="1"/>
    <w:autoRedefine/>
    <w:uiPriority w:val="0"/>
  </w:style>
  <w:style w:type="paragraph" w:styleId="17">
    <w:name w:val="toc 4"/>
    <w:basedOn w:val="1"/>
    <w:next w:val="1"/>
    <w:autoRedefine/>
    <w:uiPriority w:val="0"/>
    <w:pPr>
      <w:ind w:left="1260"/>
    </w:pPr>
  </w:style>
  <w:style w:type="paragraph" w:styleId="18">
    <w:name w:val="toc 2"/>
    <w:basedOn w:val="1"/>
    <w:next w:val="1"/>
    <w:autoRedefine/>
    <w:uiPriority w:val="0"/>
    <w:pPr>
      <w:keepNext/>
      <w:keepLines/>
      <w:widowControl w:val="0"/>
      <w:tabs>
        <w:tab w:val="left" w:pos="880"/>
        <w:tab w:val="right" w:leader="dot" w:pos="9072"/>
      </w:tabs>
    </w:pPr>
    <w:rPr>
      <w:smallCaps/>
      <w:sz w:val="18"/>
      <w:szCs w:val="18"/>
      <w:lang w:bidi="en-US"/>
    </w:rPr>
  </w:style>
  <w:style w:type="paragraph" w:styleId="19">
    <w:name w:val="annotation subject"/>
    <w:basedOn w:val="6"/>
    <w:next w:val="6"/>
    <w:qFormat/>
    <w:uiPriority w:val="0"/>
    <w:rPr>
      <w:b/>
      <w:bCs/>
    </w:rPr>
  </w:style>
  <w:style w:type="paragraph" w:styleId="20">
    <w:name w:val="Body Text First Indent 2"/>
    <w:basedOn w:val="8"/>
    <w:autoRedefine/>
    <w:uiPriority w:val="0"/>
    <w:pPr>
      <w:ind w:firstLine="200" w:firstLineChars="200"/>
    </w:pPr>
    <w:rPr>
      <w:rFonts w:ascii="Calibri" w:hAnsi="Calibri"/>
    </w:rPr>
  </w:style>
  <w:style w:type="character" w:styleId="23">
    <w:name w:val="page number"/>
    <w:autoRedefine/>
    <w:qFormat/>
    <w:uiPriority w:val="0"/>
    <w:rPr>
      <w:rFonts w:ascii="Calibri" w:hAnsi="Calibri" w:eastAsia="宋体" w:cs="Times New Roman"/>
      <w:lang w:bidi="ar-SA"/>
    </w:rPr>
  </w:style>
  <w:style w:type="character" w:styleId="24">
    <w:name w:val="annotation reference"/>
    <w:basedOn w:val="22"/>
    <w:autoRedefine/>
    <w:qFormat/>
    <w:uiPriority w:val="0"/>
    <w:rPr>
      <w:sz w:val="21"/>
      <w:szCs w:val="21"/>
    </w:rPr>
  </w:style>
  <w:style w:type="paragraph" w:customStyle="1" w:styleId="25">
    <w:name w:val="_Style 3"/>
    <w:basedOn w:val="1"/>
    <w:autoRedefine/>
    <w:qFormat/>
    <w:uiPriority w:val="0"/>
    <w:pPr>
      <w:spacing w:line="360" w:lineRule="auto"/>
      <w:jc w:val="center"/>
    </w:pPr>
    <w:rPr>
      <w:szCs w:val="20"/>
    </w:rPr>
  </w:style>
  <w:style w:type="paragraph" w:customStyle="1" w:styleId="26">
    <w:name w:val="Heading2"/>
    <w:basedOn w:val="1"/>
    <w:next w:val="1"/>
    <w:autoRedefine/>
    <w:qFormat/>
    <w:uiPriority w:val="0"/>
    <w:pPr>
      <w:keepNext/>
      <w:keepLines/>
      <w:widowControl w:val="0"/>
      <w:spacing w:before="260" w:after="260" w:line="413" w:lineRule="auto"/>
    </w:pPr>
    <w:rPr>
      <w:rFonts w:ascii="Arial" w:hAnsi="Arial" w:eastAsia="黑体"/>
      <w:kern w:val="0"/>
      <w:sz w:val="32"/>
      <w:szCs w:val="32"/>
    </w:rPr>
  </w:style>
  <w:style w:type="paragraph" w:customStyle="1" w:styleId="27">
    <w:name w:val="文一"/>
    <w:basedOn w:val="1"/>
    <w:autoRedefine/>
    <w:qFormat/>
    <w:uiPriority w:val="0"/>
    <w:pPr>
      <w:topLinePunct/>
      <w:adjustRightInd w:val="0"/>
      <w:snapToGrid w:val="0"/>
      <w:spacing w:line="360" w:lineRule="auto"/>
      <w:ind w:firstLine="200" w:firstLineChars="200"/>
    </w:pPr>
    <w:rPr>
      <w:spacing w:val="4"/>
      <w:kern w:val="0"/>
      <w:sz w:val="24"/>
    </w:rPr>
  </w:style>
  <w:style w:type="paragraph" w:customStyle="1" w:styleId="28">
    <w:name w:val="正文 New New New New New New New New New New New New New"/>
    <w:autoRedefine/>
    <w:uiPriority w:val="0"/>
    <w:pPr>
      <w:widowControl w:val="0"/>
      <w:jc w:val="both"/>
    </w:pPr>
    <w:rPr>
      <w:rFonts w:ascii="Calibri" w:hAnsi="Calibri" w:eastAsia="宋体" w:cs="Times New Roman"/>
      <w:kern w:val="2"/>
      <w:sz w:val="30"/>
      <w:szCs w:val="24"/>
      <w:lang w:val="en-US" w:eastAsia="zh-CN" w:bidi="ar-SA"/>
    </w:rPr>
  </w:style>
  <w:style w:type="paragraph" w:styleId="29">
    <w:name w:val="List Paragraph"/>
    <w:basedOn w:val="1"/>
    <w:autoRedefine/>
    <w:uiPriority w:val="0"/>
    <w:pPr>
      <w:widowControl/>
      <w:ind w:firstLine="200" w:firstLineChars="200"/>
      <w:jc w:val="left"/>
    </w:pPr>
    <w:rPr>
      <w:szCs w:val="22"/>
    </w:rPr>
  </w:style>
  <w:style w:type="paragraph" w:customStyle="1" w:styleId="30">
    <w:name w:val="列出段落1"/>
    <w:basedOn w:val="1"/>
    <w:autoRedefine/>
    <w:uiPriority w:val="0"/>
    <w:pPr>
      <w:ind w:firstLine="200" w:firstLineChars="200"/>
    </w:pPr>
  </w:style>
  <w:style w:type="paragraph" w:customStyle="1" w:styleId="31">
    <w:name w:val="正文 New"/>
    <w:autoRedefine/>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32">
    <w:name w:val="纯文本 New"/>
    <w:basedOn w:val="31"/>
    <w:autoRedefine/>
    <w:uiPriority w:val="0"/>
    <w:rPr>
      <w:rFonts w:ascii="宋体" w:cs="Courier New"/>
      <w:sz w:val="21"/>
      <w:szCs w:val="21"/>
    </w:rPr>
  </w:style>
  <w:style w:type="paragraph" w:customStyle="1" w:styleId="33">
    <w:name w:val="正文文本缩进 31"/>
    <w:basedOn w:val="1"/>
    <w:autoRedefine/>
    <w:uiPriority w:val="0"/>
    <w:pPr>
      <w:snapToGrid w:val="0"/>
      <w:spacing w:line="360" w:lineRule="auto"/>
      <w:ind w:left="20" w:firstLine="189" w:firstLineChars="189"/>
    </w:pPr>
    <w:rPr>
      <w:rFonts w:ascii="仿宋_GB2312" w:eastAsia="仿宋_GB2312"/>
      <w:sz w:val="28"/>
    </w:rPr>
  </w:style>
  <w:style w:type="paragraph" w:customStyle="1" w:styleId="34">
    <w:name w:val="Default"/>
    <w:autoRedefine/>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正文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修订1"/>
    <w:qFormat/>
    <w:uiPriority w:val="0"/>
    <w:rPr>
      <w:rFonts w:ascii="Calibri" w:hAnsi="Calibri" w:eastAsia="宋体" w:cs="Times New Roman"/>
      <w:kern w:val="2"/>
      <w:sz w:val="21"/>
      <w:szCs w:val="24"/>
      <w:lang w:val="en-US" w:eastAsia="zh-CN" w:bidi="ar-SA"/>
    </w:rPr>
  </w:style>
  <w:style w:type="paragraph" w:customStyle="1" w:styleId="37">
    <w:name w:val="修订2"/>
    <w:uiPriority w:val="0"/>
    <w:rPr>
      <w:rFonts w:ascii="Calibri" w:hAnsi="Calibri" w:eastAsia="宋体" w:cs="Times New Roman"/>
      <w:kern w:val="2"/>
      <w:sz w:val="21"/>
      <w:szCs w:val="24"/>
      <w:lang w:val="en-US" w:eastAsia="zh-CN" w:bidi="ar-SA"/>
    </w:rPr>
  </w:style>
  <w:style w:type="paragraph" w:customStyle="1" w:styleId="38">
    <w:name w:val="Revision"/>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47</Pages>
  <Words>30388</Words>
  <Characters>30856</Characters>
  <Lines>1581</Lines>
  <Paragraphs>625</Paragraphs>
  <TotalTime>44</TotalTime>
  <ScaleCrop>false</ScaleCrop>
  <LinksUpToDate>false</LinksUpToDate>
  <CharactersWithSpaces>31336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2025-01-13T09:59:00Z</dcterms:created>
  <dc:creator>Administrator</dc:creator>
  <cp:lastModifiedBy>sunny</cp:lastModifiedBy>
  <dcterms:modified xsi:type="dcterms:W3CDTF">2025-09-26T01:16:14Z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F002B4B936D4519A730ECA68557713B6_43</vt:lpwstr>
  </property>
  <property fmtid="{D5CDD505-2E9C-101B-9397-08002B2CF9AE}" pid="4" name="_KSOProductBuildMID">
    <vt:lpwstr>CPWFP6GD7RRQ0TBG9ZR8DL0S7ZCMOYPR9U0XLJD8XFBRTFWTZRBRVCJFFYYHPDRRAXM6SOLIZIWD8LNJROFTDF8O89CMWMLBAOOOIHB3591B5B88C31DECF35D3A02926241BE3E</vt:lpwstr>
  </property>
  <property fmtid="{D5CDD505-2E9C-101B-9397-08002B2CF9AE}" pid="5" name="_KSOProductBuildSID">
    <vt:lpwstr>25BDF74084DC12282EEC41CD5DC8077E</vt:lpwstr>
  </property>
  <property fmtid="{D5CDD505-2E9C-101B-9397-08002B2CF9AE}" pid="6" name="KSOTemplateDocerSaveRecord">
    <vt:lpwstr>eyJoZGlkIjoiYWIyNTdjODhmZjlkNDYyNzY3MGEwYWI5YWJhMDRhY2UiLCJ1c2VySWQiOiI0NjU5NjI5NzgifQ==</vt:lpwstr>
  </property>
</Properties>
</file>