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117FE">
      <w:pPr>
        <w:jc w:val="center"/>
        <w:rPr>
          <w:rFonts w:hint="eastAsia" w:ascii="宋体" w:hAnsi="宋体" w:eastAsia="宋体" w:cs="Times New Roman"/>
          <w:b/>
          <w:color w:val="auto"/>
          <w:kern w:val="2"/>
          <w:sz w:val="40"/>
          <w:szCs w:val="56"/>
          <w:highlight w:val="none"/>
          <w:lang w:eastAsia="zh-CN"/>
        </w:rPr>
      </w:pPr>
    </w:p>
    <w:p w14:paraId="2A0A393C">
      <w:pPr>
        <w:pStyle w:val="13"/>
        <w:rPr>
          <w:rFonts w:hint="eastAsia" w:cs="Times New Roman"/>
          <w:color w:val="auto"/>
          <w:highlight w:val="none"/>
          <w:lang w:eastAsia="zh-CN"/>
        </w:rPr>
      </w:pPr>
    </w:p>
    <w:p w14:paraId="4D3DBB9F">
      <w:pPr>
        <w:spacing w:line="360" w:lineRule="auto"/>
        <w:jc w:val="center"/>
        <w:rPr>
          <w:rFonts w:hint="eastAsia" w:ascii="宋体" w:hAnsi="宋体" w:cs="Times New Roman"/>
          <w:b/>
          <w:color w:val="auto"/>
          <w:kern w:val="2"/>
          <w:sz w:val="36"/>
          <w:szCs w:val="36"/>
          <w:highlight w:val="none"/>
          <w:lang w:eastAsia="zh-CN"/>
        </w:rPr>
      </w:pPr>
      <w:r>
        <w:rPr>
          <w:rFonts w:hint="eastAsia" w:ascii="宋体" w:hAnsi="宋体" w:cs="Times New Roman"/>
          <w:b/>
          <w:color w:val="auto"/>
          <w:kern w:val="2"/>
          <w:sz w:val="36"/>
          <w:szCs w:val="36"/>
          <w:highlight w:val="none"/>
          <w:lang w:eastAsia="zh-CN"/>
        </w:rPr>
        <w:t>东沙角43、45、47、49、51、53号危旧房屋修复改造工程</w:t>
      </w:r>
    </w:p>
    <w:p w14:paraId="57545122">
      <w:pPr>
        <w:spacing w:line="360" w:lineRule="auto"/>
        <w:jc w:val="center"/>
        <w:rPr>
          <w:rFonts w:hint="default" w:ascii="宋体" w:hAnsi="宋体" w:eastAsia="宋体" w:cs="宋体"/>
          <w:b/>
          <w:bCs/>
          <w:color w:val="auto"/>
          <w:sz w:val="36"/>
          <w:szCs w:val="36"/>
          <w:highlight w:val="none"/>
          <w:lang w:val="en-US" w:eastAsia="zh-CN"/>
        </w:rPr>
      </w:pPr>
      <w:r>
        <w:rPr>
          <w:rFonts w:hint="eastAsia" w:ascii="宋体" w:hAnsi="宋体" w:cs="Times New Roman"/>
          <w:b/>
          <w:color w:val="auto"/>
          <w:kern w:val="2"/>
          <w:sz w:val="36"/>
          <w:szCs w:val="36"/>
          <w:highlight w:val="none"/>
          <w:lang w:val="en-US" w:eastAsia="zh-CN"/>
        </w:rPr>
        <w:t>施工总承包</w:t>
      </w:r>
    </w:p>
    <w:p w14:paraId="03B92CB9">
      <w:pPr>
        <w:rPr>
          <w:rFonts w:hint="eastAsia" w:ascii="宋体" w:hAnsi="宋体" w:eastAsia="宋体" w:cs="宋体"/>
          <w:b/>
          <w:bCs/>
          <w:color w:val="auto"/>
          <w:sz w:val="20"/>
          <w:szCs w:val="20"/>
          <w:highlight w:val="none"/>
          <w:lang w:eastAsia="zh-CN"/>
        </w:rPr>
      </w:pPr>
    </w:p>
    <w:p w14:paraId="0085515E">
      <w:pPr>
        <w:pStyle w:val="14"/>
        <w:tabs>
          <w:tab w:val="left" w:pos="567"/>
        </w:tabs>
        <w:ind w:left="440"/>
        <w:rPr>
          <w:rFonts w:hint="eastAsia" w:ascii="Times New Roman" w:hAnsi="Times New Roman" w:eastAsia="宋体" w:cs="Times New Roman"/>
          <w:color w:val="auto"/>
          <w:highlight w:val="none"/>
          <w:lang w:eastAsia="zh-CN"/>
        </w:rPr>
      </w:pPr>
    </w:p>
    <w:p w14:paraId="5861376D">
      <w:pPr>
        <w:pStyle w:val="14"/>
        <w:tabs>
          <w:tab w:val="left" w:pos="567"/>
        </w:tabs>
        <w:ind w:left="440"/>
        <w:rPr>
          <w:rFonts w:hint="eastAsia" w:ascii="Times New Roman" w:hAnsi="Times New Roman" w:eastAsia="宋体" w:cs="Times New Roman"/>
          <w:color w:val="auto"/>
          <w:highlight w:val="none"/>
          <w:lang w:eastAsia="zh-CN"/>
        </w:rPr>
      </w:pPr>
    </w:p>
    <w:p w14:paraId="23A6E4DE">
      <w:pPr>
        <w:pStyle w:val="14"/>
        <w:tabs>
          <w:tab w:val="left" w:pos="567"/>
        </w:tabs>
        <w:ind w:left="0" w:leftChars="0" w:firstLine="0" w:firstLineChars="0"/>
        <w:rPr>
          <w:rFonts w:ascii="宋体" w:hAnsi="宋体" w:eastAsia="宋体" w:cs="Times New Roman"/>
          <w:b/>
          <w:color w:val="auto"/>
          <w:sz w:val="96"/>
          <w:szCs w:val="84"/>
          <w:highlight w:val="none"/>
          <w:lang w:eastAsia="zh-CN"/>
        </w:rPr>
      </w:pPr>
    </w:p>
    <w:p w14:paraId="7AC445C1">
      <w:pPr>
        <w:jc w:val="center"/>
        <w:rPr>
          <w:rFonts w:ascii="宋体" w:hAnsi="宋体" w:eastAsia="宋体" w:cs="Times New Roman"/>
          <w:b/>
          <w:color w:val="auto"/>
          <w:kern w:val="2"/>
          <w:sz w:val="96"/>
          <w:szCs w:val="84"/>
          <w:highlight w:val="none"/>
          <w:lang w:eastAsia="zh-CN"/>
        </w:rPr>
      </w:pPr>
      <w:r>
        <w:rPr>
          <w:rFonts w:ascii="宋体" w:hAnsi="宋体" w:eastAsia="宋体" w:cs="Times New Roman"/>
          <w:b/>
          <w:color w:val="auto"/>
          <w:kern w:val="2"/>
          <w:sz w:val="96"/>
          <w:szCs w:val="84"/>
          <w:highlight w:val="none"/>
          <w:lang w:eastAsia="zh-CN"/>
        </w:rPr>
        <w:t>招标</w:t>
      </w:r>
      <w:r>
        <w:rPr>
          <w:rFonts w:hint="eastAsia" w:ascii="宋体" w:hAnsi="宋体" w:eastAsia="宋体" w:cs="Times New Roman"/>
          <w:b/>
          <w:color w:val="auto"/>
          <w:kern w:val="2"/>
          <w:sz w:val="96"/>
          <w:szCs w:val="84"/>
          <w:highlight w:val="none"/>
          <w:lang w:val="en-US" w:eastAsia="zh-CN"/>
        </w:rPr>
        <w:t>公告</w:t>
      </w:r>
    </w:p>
    <w:p w14:paraId="5475BBD8">
      <w:pPr>
        <w:rPr>
          <w:rFonts w:ascii="宋体" w:hAnsi="宋体" w:eastAsia="宋体" w:cs="宋体"/>
          <w:color w:val="auto"/>
          <w:sz w:val="44"/>
          <w:szCs w:val="44"/>
          <w:highlight w:val="none"/>
          <w:lang w:eastAsia="zh-CN"/>
        </w:rPr>
      </w:pPr>
    </w:p>
    <w:p w14:paraId="3D6A8B93">
      <w:pPr>
        <w:rPr>
          <w:rFonts w:ascii="宋体" w:hAnsi="宋体" w:eastAsia="宋体" w:cs="宋体"/>
          <w:color w:val="auto"/>
          <w:sz w:val="44"/>
          <w:szCs w:val="44"/>
          <w:highlight w:val="none"/>
          <w:lang w:eastAsia="zh-CN"/>
        </w:rPr>
      </w:pPr>
    </w:p>
    <w:p w14:paraId="3DC71A35">
      <w:pPr>
        <w:rPr>
          <w:rFonts w:ascii="宋体" w:hAnsi="宋体" w:eastAsia="宋体" w:cs="宋体"/>
          <w:color w:val="auto"/>
          <w:sz w:val="44"/>
          <w:szCs w:val="44"/>
          <w:highlight w:val="none"/>
          <w:lang w:eastAsia="zh-CN"/>
        </w:rPr>
      </w:pPr>
    </w:p>
    <w:p w14:paraId="3D1DBFAD">
      <w:pPr>
        <w:pStyle w:val="14"/>
        <w:tabs>
          <w:tab w:val="left" w:pos="567"/>
        </w:tabs>
        <w:ind w:left="0" w:leftChars="0" w:firstLine="0" w:firstLineChars="0"/>
        <w:rPr>
          <w:rFonts w:ascii="宋体" w:hAnsi="宋体" w:eastAsia="宋体" w:cs="宋体"/>
          <w:color w:val="auto"/>
          <w:sz w:val="33"/>
          <w:szCs w:val="33"/>
          <w:highlight w:val="none"/>
          <w:lang w:eastAsia="zh-CN"/>
        </w:rPr>
      </w:pPr>
    </w:p>
    <w:p w14:paraId="3448866C">
      <w:pPr>
        <w:pStyle w:val="14"/>
        <w:tabs>
          <w:tab w:val="left" w:pos="567"/>
        </w:tabs>
        <w:ind w:left="0" w:leftChars="0" w:firstLine="0" w:firstLineChars="0"/>
        <w:rPr>
          <w:rFonts w:ascii="宋体" w:hAnsi="宋体" w:eastAsia="宋体" w:cs="宋体"/>
          <w:color w:val="auto"/>
          <w:sz w:val="33"/>
          <w:szCs w:val="33"/>
          <w:highlight w:val="none"/>
          <w:lang w:eastAsia="zh-CN"/>
        </w:rPr>
      </w:pPr>
    </w:p>
    <w:p w14:paraId="2CD8F3F3">
      <w:pPr>
        <w:pStyle w:val="14"/>
        <w:tabs>
          <w:tab w:val="left" w:pos="567"/>
        </w:tabs>
        <w:ind w:left="440" w:firstLine="660"/>
        <w:rPr>
          <w:rFonts w:ascii="宋体" w:hAnsi="宋体" w:eastAsia="宋体" w:cs="宋体"/>
          <w:color w:val="auto"/>
          <w:sz w:val="33"/>
          <w:szCs w:val="33"/>
          <w:highlight w:val="none"/>
          <w:lang w:eastAsia="zh-CN"/>
        </w:rPr>
      </w:pPr>
    </w:p>
    <w:p w14:paraId="6A7A5EFA">
      <w:pPr>
        <w:spacing w:before="8"/>
        <w:rPr>
          <w:rFonts w:ascii="宋体" w:hAnsi="宋体" w:eastAsia="宋体" w:cs="宋体"/>
          <w:color w:val="auto"/>
          <w:sz w:val="33"/>
          <w:szCs w:val="33"/>
          <w:highlight w:val="none"/>
          <w:lang w:eastAsia="zh-CN"/>
        </w:rPr>
      </w:pPr>
    </w:p>
    <w:p w14:paraId="78707278">
      <w:pPr>
        <w:spacing w:line="360" w:lineRule="auto"/>
        <w:ind w:firstLine="964" w:firstLineChars="300"/>
        <w:rPr>
          <w:rFonts w:hint="eastAsia" w:ascii="宋体" w:hAnsi="宋体" w:cs="Times New Roman"/>
          <w:b/>
          <w:color w:val="auto"/>
          <w:sz w:val="32"/>
          <w:szCs w:val="32"/>
          <w:highlight w:val="none"/>
          <w:lang w:eastAsia="zh-CN"/>
        </w:rPr>
      </w:pPr>
      <w:r>
        <w:rPr>
          <w:rFonts w:hint="eastAsia" w:ascii="宋体" w:hAnsi="宋体" w:cs="Times New Roman"/>
          <w:b/>
          <w:color w:val="auto"/>
          <w:sz w:val="32"/>
          <w:szCs w:val="32"/>
          <w:highlight w:val="none"/>
          <w:lang w:eastAsia="zh-CN"/>
        </w:rPr>
        <w:t>招   标   人: 广州市越秀区代建项目管理中心</w:t>
      </w:r>
    </w:p>
    <w:p w14:paraId="60E4F5C8">
      <w:pPr>
        <w:spacing w:line="360" w:lineRule="auto"/>
        <w:ind w:firstLine="964" w:firstLineChars="300"/>
        <w:rPr>
          <w:rFonts w:ascii="宋体" w:hAnsi="宋体" w:cs="Times New Roman"/>
          <w:b/>
          <w:color w:val="auto"/>
          <w:sz w:val="32"/>
          <w:szCs w:val="32"/>
          <w:highlight w:val="none"/>
          <w:lang w:eastAsia="zh-CN"/>
        </w:rPr>
      </w:pPr>
      <w:r>
        <w:rPr>
          <w:rFonts w:hint="eastAsia" w:ascii="宋体" w:hAnsi="宋体" w:cs="Times New Roman"/>
          <w:b/>
          <w:color w:val="auto"/>
          <w:sz w:val="32"/>
          <w:szCs w:val="32"/>
          <w:highlight w:val="none"/>
          <w:lang w:eastAsia="zh-CN"/>
        </w:rPr>
        <w:t>招标代理机构：</w:t>
      </w:r>
      <w:r>
        <w:rPr>
          <w:rFonts w:hint="eastAsia" w:ascii="宋体" w:hAnsi="宋体" w:cs="Times New Roman"/>
          <w:b/>
          <w:color w:val="auto"/>
          <w:sz w:val="32"/>
          <w:highlight w:val="none"/>
          <w:lang w:eastAsia="zh-CN"/>
        </w:rPr>
        <w:t>广州群生招标代理有限公司</w:t>
      </w:r>
    </w:p>
    <w:p w14:paraId="1305091F">
      <w:pPr>
        <w:widowControl w:val="0"/>
        <w:spacing w:line="480" w:lineRule="auto"/>
        <w:jc w:val="center"/>
        <w:rPr>
          <w:rFonts w:ascii="宋体" w:hAnsi="宋体" w:eastAsia="宋体" w:cs="Times New Roman"/>
          <w:color w:val="auto"/>
          <w:kern w:val="2"/>
          <w:sz w:val="24"/>
          <w:szCs w:val="24"/>
          <w:highlight w:val="none"/>
          <w:u w:val="single"/>
          <w:lang w:val="en-US" w:eastAsia="zh-CN" w:bidi="ar-SA"/>
        </w:rPr>
      </w:pPr>
      <w:r>
        <w:rPr>
          <w:rFonts w:hint="eastAsia" w:ascii="宋体" w:hAnsi="宋体" w:cs="Times New Roman"/>
          <w:b/>
          <w:color w:val="auto"/>
          <w:sz w:val="32"/>
          <w:szCs w:val="32"/>
          <w:highlight w:val="none"/>
          <w:lang w:eastAsia="zh-CN"/>
        </w:rPr>
        <w:t>日</w:t>
      </w:r>
      <w:r>
        <w:rPr>
          <w:rFonts w:hint="eastAsia" w:ascii="宋体" w:hAnsi="宋体" w:eastAsia="宋体" w:cs="Times New Roman"/>
          <w:b/>
          <w:color w:val="auto"/>
          <w:sz w:val="32"/>
          <w:szCs w:val="32"/>
          <w:highlight w:val="none"/>
          <w:lang w:eastAsia="zh-CN"/>
        </w:rPr>
        <w:t xml:space="preserve"> </w:t>
      </w:r>
      <w:r>
        <w:rPr>
          <w:rFonts w:hint="eastAsia" w:ascii="宋体" w:hAnsi="宋体" w:cs="Times New Roman"/>
          <w:b/>
          <w:color w:val="auto"/>
          <w:sz w:val="32"/>
          <w:szCs w:val="32"/>
          <w:highlight w:val="none"/>
          <w:lang w:eastAsia="zh-CN"/>
        </w:rPr>
        <w:t>期：</w:t>
      </w:r>
      <w:r>
        <w:rPr>
          <w:rFonts w:hint="eastAsia" w:ascii="宋体" w:hAnsi="宋体" w:eastAsia="宋体" w:cs="Times New Roman"/>
          <w:b/>
          <w:color w:val="auto"/>
          <w:sz w:val="32"/>
          <w:szCs w:val="32"/>
          <w:highlight w:val="none"/>
          <w:lang w:eastAsia="zh-CN"/>
        </w:rPr>
        <w:t>202</w:t>
      </w:r>
      <w:r>
        <w:rPr>
          <w:rFonts w:hint="eastAsia" w:ascii="宋体" w:hAnsi="宋体" w:eastAsia="宋体" w:cs="Times New Roman"/>
          <w:b/>
          <w:color w:val="auto"/>
          <w:sz w:val="32"/>
          <w:szCs w:val="32"/>
          <w:highlight w:val="none"/>
          <w:lang w:val="en-US" w:eastAsia="zh-CN"/>
        </w:rPr>
        <w:t>5</w:t>
      </w:r>
      <w:r>
        <w:rPr>
          <w:rFonts w:hint="eastAsia" w:ascii="宋体" w:hAnsi="宋体" w:eastAsia="宋体" w:cs="Times New Roman"/>
          <w:b/>
          <w:color w:val="auto"/>
          <w:sz w:val="32"/>
          <w:szCs w:val="32"/>
          <w:highlight w:val="none"/>
          <w:lang w:eastAsia="zh-CN"/>
        </w:rPr>
        <w:t>年</w:t>
      </w:r>
    </w:p>
    <w:p w14:paraId="1C9F8CAA">
      <w:pPr>
        <w:rPr>
          <w:rFonts w:ascii="宋体" w:hAnsi="宋体" w:eastAsia="宋体" w:cs="Times New Roman"/>
          <w:color w:val="auto"/>
          <w:kern w:val="2"/>
          <w:sz w:val="24"/>
          <w:szCs w:val="24"/>
          <w:highlight w:val="none"/>
          <w:u w:val="single"/>
          <w:lang w:val="en-US" w:eastAsia="zh-CN" w:bidi="ar-SA"/>
        </w:rPr>
      </w:pPr>
      <w:r>
        <w:rPr>
          <w:rFonts w:ascii="宋体" w:hAnsi="宋体" w:eastAsia="宋体" w:cs="Times New Roman"/>
          <w:color w:val="auto"/>
          <w:kern w:val="2"/>
          <w:sz w:val="24"/>
          <w:szCs w:val="24"/>
          <w:highlight w:val="none"/>
          <w:u w:val="single"/>
          <w:lang w:val="en-US" w:eastAsia="zh-CN" w:bidi="ar-SA"/>
        </w:rPr>
        <w:br w:type="page"/>
      </w:r>
    </w:p>
    <w:p w14:paraId="4AB5DDA9">
      <w:pPr>
        <w:widowControl w:val="0"/>
        <w:spacing w:line="480" w:lineRule="auto"/>
        <w:jc w:val="center"/>
        <w:rPr>
          <w:rFonts w:ascii="宋体" w:hAnsi="宋体" w:eastAsia="宋体" w:cs="Times New Roman"/>
          <w:b/>
          <w:bCs/>
          <w:color w:val="auto"/>
          <w:kern w:val="2"/>
          <w:sz w:val="24"/>
          <w:szCs w:val="24"/>
          <w:highlight w:val="none"/>
          <w:u w:val="single"/>
          <w:lang w:val="en-US" w:eastAsia="zh-CN" w:bidi="ar-SA"/>
        </w:rPr>
      </w:pPr>
      <w:r>
        <w:rPr>
          <w:rFonts w:hint="eastAsia" w:ascii="宋体" w:hAnsi="宋体" w:cs="Times New Roman"/>
          <w:b/>
          <w:bCs/>
          <w:color w:val="auto"/>
          <w:kern w:val="2"/>
          <w:sz w:val="24"/>
          <w:szCs w:val="24"/>
          <w:highlight w:val="none"/>
          <w:u w:val="single"/>
          <w:lang w:val="en-US" w:eastAsia="zh-CN" w:bidi="ar-SA"/>
        </w:rPr>
        <w:t>东沙角43、45、47、49、51、53号危旧房屋修复改造工程施工总承包</w:t>
      </w:r>
      <w:r>
        <w:rPr>
          <w:rFonts w:hint="eastAsia" w:ascii="宋体" w:hAnsi="宋体" w:eastAsia="宋体" w:cs="Times New Roman"/>
          <w:b/>
          <w:bCs/>
          <w:color w:val="auto"/>
          <w:kern w:val="2"/>
          <w:sz w:val="24"/>
          <w:szCs w:val="24"/>
          <w:highlight w:val="none"/>
          <w:u w:val="single"/>
          <w:lang w:val="en-US" w:eastAsia="zh-CN" w:bidi="ar-SA"/>
        </w:rPr>
        <w:t>招标公告</w:t>
      </w:r>
    </w:p>
    <w:p w14:paraId="6B4532DE">
      <w:pPr>
        <w:keepNext w:val="0"/>
        <w:keepLines w:val="0"/>
        <w:pageBreakBefore w:val="0"/>
        <w:kinsoku/>
        <w:wordWrap/>
        <w:overflowPunct/>
        <w:topLinePunct w:val="0"/>
        <w:autoSpaceDE/>
        <w:autoSpaceDN/>
        <w:bidi w:val="0"/>
        <w:adjustRightInd w:val="0"/>
        <w:snapToGrid w:val="0"/>
        <w:spacing w:line="360" w:lineRule="auto"/>
        <w:ind w:left="120" w:leftChars="57" w:firstLine="417" w:firstLineChars="174"/>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根据</w:t>
      </w:r>
      <w:r>
        <w:rPr>
          <w:rFonts w:ascii="宋体" w:hAnsi="宋体" w:cs="Times New Roman"/>
          <w:color w:val="auto"/>
          <w:sz w:val="24"/>
          <w:szCs w:val="22"/>
          <w:highlight w:val="none"/>
          <w:u w:val="single"/>
        </w:rPr>
        <w:t xml:space="preserve"> </w:t>
      </w:r>
      <w:r>
        <w:rPr>
          <w:rFonts w:hint="eastAsia" w:ascii="宋体" w:hAnsi="宋体" w:cs="Times New Roman"/>
          <w:color w:val="auto"/>
          <w:sz w:val="24"/>
          <w:szCs w:val="22"/>
          <w:highlight w:val="none"/>
          <w:u w:val="single"/>
        </w:rPr>
        <w:t>广东省企业投资项目备案证</w:t>
      </w:r>
      <w:r>
        <w:rPr>
          <w:rFonts w:hint="eastAsia" w:ascii="宋体" w:hAnsi="宋体" w:cs="Times New Roman"/>
          <w:color w:val="auto"/>
          <w:sz w:val="24"/>
          <w:szCs w:val="22"/>
          <w:highlight w:val="none"/>
          <w:u w:val="single"/>
          <w:lang w:eastAsia="zh-CN"/>
        </w:rPr>
        <w:t>（2501-440104-04-01-944137）</w:t>
      </w:r>
      <w:r>
        <w:rPr>
          <w:rFonts w:ascii="宋体" w:hAnsi="宋体" w:cs="Times New Roman"/>
          <w:color w:val="auto"/>
          <w:sz w:val="24"/>
          <w:szCs w:val="22"/>
          <w:highlight w:val="none"/>
          <w:u w:val="single"/>
        </w:rPr>
        <w:t xml:space="preserve"> </w:t>
      </w:r>
      <w:r>
        <w:rPr>
          <w:rFonts w:hint="eastAsia" w:ascii="宋体" w:hAnsi="宋体" w:cs="Times New Roman"/>
          <w:color w:val="auto"/>
          <w:sz w:val="24"/>
          <w:szCs w:val="22"/>
          <w:highlight w:val="none"/>
        </w:rPr>
        <w:t>批准，</w:t>
      </w:r>
      <w:r>
        <w:rPr>
          <w:rFonts w:hint="eastAsia" w:ascii="宋体" w:hAnsi="宋体" w:eastAsia="宋体" w:cs="宋体"/>
          <w:color w:val="auto"/>
          <w:sz w:val="24"/>
          <w:szCs w:val="22"/>
          <w:highlight w:val="none"/>
        </w:rPr>
        <w:t>并且图纸和技术资料满足施工需要，</w:t>
      </w:r>
      <w:r>
        <w:rPr>
          <w:rFonts w:hint="eastAsia" w:ascii="宋体" w:hAnsi="宋体" w:cs="宋体"/>
          <w:color w:val="auto"/>
          <w:sz w:val="24"/>
          <w:szCs w:val="22"/>
          <w:highlight w:val="none"/>
          <w:u w:val="single"/>
          <w:lang w:eastAsia="zh-CN"/>
        </w:rPr>
        <w:t>广州市越秀区代建项目管理中心</w:t>
      </w:r>
      <w:r>
        <w:rPr>
          <w:rFonts w:hint="eastAsia" w:ascii="宋体" w:hAnsi="宋体" w:eastAsia="宋体" w:cs="宋体"/>
          <w:color w:val="auto"/>
          <w:sz w:val="24"/>
          <w:szCs w:val="22"/>
          <w:highlight w:val="none"/>
        </w:rPr>
        <w:t>现对</w:t>
      </w:r>
      <w:r>
        <w:rPr>
          <w:rFonts w:hint="eastAsia" w:ascii="宋体" w:hAnsi="宋体" w:cs="宋体"/>
          <w:color w:val="auto"/>
          <w:sz w:val="24"/>
          <w:szCs w:val="22"/>
          <w:highlight w:val="none"/>
          <w:u w:val="single"/>
          <w:lang w:eastAsia="zh-CN"/>
        </w:rPr>
        <w:t>东沙角43、45、47、49、51、53号危旧房屋修复改造工程</w:t>
      </w:r>
      <w:r>
        <w:rPr>
          <w:rFonts w:hint="eastAsia" w:ascii="宋体" w:hAnsi="宋体" w:eastAsia="宋体" w:cs="宋体"/>
          <w:color w:val="auto"/>
          <w:sz w:val="24"/>
          <w:szCs w:val="22"/>
          <w:highlight w:val="none"/>
        </w:rPr>
        <w:t>工程施工进行施工总承包公开招标，选定承包人</w:t>
      </w:r>
      <w:r>
        <w:rPr>
          <w:rFonts w:hint="eastAsia" w:ascii="宋体" w:hAnsi="宋体" w:cs="Times New Roman"/>
          <w:color w:val="auto"/>
          <w:sz w:val="24"/>
          <w:szCs w:val="22"/>
          <w:highlight w:val="none"/>
        </w:rPr>
        <w:t>。</w:t>
      </w:r>
    </w:p>
    <w:p w14:paraId="2F7C49E1">
      <w:pPr>
        <w:keepNext w:val="0"/>
        <w:keepLines w:val="0"/>
        <w:pageBreakBefore w:val="0"/>
        <w:tabs>
          <w:tab w:val="center" w:pos="4415"/>
        </w:tabs>
        <w:kinsoku/>
        <w:wordWrap/>
        <w:overflowPunct/>
        <w:topLinePunct w:val="0"/>
        <w:autoSpaceDE/>
        <w:autoSpaceDN/>
        <w:bidi w:val="0"/>
        <w:adjustRightInd w:val="0"/>
        <w:snapToGrid w:val="0"/>
        <w:spacing w:line="360" w:lineRule="auto"/>
        <w:ind w:left="2315" w:leftChars="255" w:hanging="1780" w:hangingChars="742"/>
        <w:textAlignment w:val="auto"/>
        <w:rPr>
          <w:rFonts w:hint="default" w:ascii="宋体" w:hAnsi="宋体" w:eastAsia="宋体" w:cs="Times New Roman"/>
          <w:color w:val="auto"/>
          <w:sz w:val="24"/>
          <w:szCs w:val="22"/>
          <w:highlight w:val="none"/>
          <w:u w:val="single"/>
          <w:lang w:val="en-US" w:eastAsia="zh-CN"/>
        </w:rPr>
      </w:pPr>
      <w:r>
        <w:rPr>
          <w:rFonts w:hint="eastAsia" w:ascii="宋体" w:hAnsi="宋体" w:cs="Times New Roman"/>
          <w:color w:val="auto"/>
          <w:sz w:val="24"/>
          <w:szCs w:val="22"/>
          <w:highlight w:val="none"/>
        </w:rPr>
        <w:t>一、工程名称：</w:t>
      </w:r>
      <w:r>
        <w:rPr>
          <w:rFonts w:hint="eastAsia" w:ascii="宋体" w:hAnsi="宋体" w:cs="Times New Roman"/>
          <w:color w:val="auto"/>
          <w:sz w:val="24"/>
          <w:szCs w:val="22"/>
          <w:highlight w:val="none"/>
          <w:u w:val="single"/>
          <w:lang w:eastAsia="zh-CN"/>
        </w:rPr>
        <w:t>东沙角43、45、47、49、51、53号危旧房屋修复改造工程</w:t>
      </w:r>
      <w:r>
        <w:rPr>
          <w:rFonts w:hint="eastAsia" w:ascii="宋体" w:hAnsi="宋体" w:cs="Times New Roman"/>
          <w:color w:val="auto"/>
          <w:sz w:val="24"/>
          <w:szCs w:val="22"/>
          <w:highlight w:val="none"/>
          <w:u w:val="single"/>
          <w:lang w:val="en-US" w:eastAsia="zh-CN"/>
        </w:rPr>
        <w:t>施工总承包</w:t>
      </w:r>
    </w:p>
    <w:p w14:paraId="192FED43">
      <w:pPr>
        <w:keepNext w:val="0"/>
        <w:keepLines w:val="0"/>
        <w:pageBreakBefore w:val="0"/>
        <w:tabs>
          <w:tab w:val="center" w:pos="4415"/>
        </w:tabs>
        <w:kinsoku/>
        <w:wordWrap/>
        <w:overflowPunct/>
        <w:topLinePunct w:val="0"/>
        <w:autoSpaceDE/>
        <w:autoSpaceDN/>
        <w:bidi w:val="0"/>
        <w:adjustRightInd w:val="0"/>
        <w:snapToGrid w:val="0"/>
        <w:spacing w:line="360" w:lineRule="auto"/>
        <w:ind w:firstLine="1017" w:firstLineChars="424"/>
        <w:textAlignment w:val="auto"/>
        <w:rPr>
          <w:rFonts w:hint="eastAsia" w:ascii="宋体" w:hAnsi="宋体" w:eastAsia="宋体" w:cs="Times New Roman"/>
          <w:color w:val="auto"/>
          <w:sz w:val="24"/>
          <w:szCs w:val="22"/>
          <w:highlight w:val="none"/>
          <w:u w:val="single"/>
          <w:lang w:eastAsia="zh-CN"/>
        </w:rPr>
      </w:pPr>
      <w:r>
        <w:rPr>
          <w:rFonts w:hint="eastAsia" w:ascii="宋体" w:hAnsi="Calibri" w:cs="Times New Roman"/>
          <w:color w:val="auto"/>
          <w:sz w:val="24"/>
          <w:szCs w:val="22"/>
          <w:highlight w:val="none"/>
        </w:rPr>
        <w:t>项目代码：</w:t>
      </w:r>
      <w:r>
        <w:rPr>
          <w:rFonts w:hint="eastAsia" w:ascii="宋体" w:hAnsi="宋体" w:cs="Times New Roman"/>
          <w:color w:val="auto"/>
          <w:sz w:val="24"/>
          <w:szCs w:val="22"/>
          <w:highlight w:val="none"/>
          <w:u w:val="single"/>
          <w:lang w:eastAsia="zh-CN"/>
        </w:rPr>
        <w:t>2501-440104-04-01-944137</w:t>
      </w:r>
    </w:p>
    <w:p w14:paraId="2E6199DA">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Calibri" w:eastAsia="宋体" w:cs="Times New Roman"/>
          <w:color w:val="auto"/>
          <w:sz w:val="24"/>
          <w:szCs w:val="22"/>
          <w:highlight w:val="none"/>
          <w:u w:val="single"/>
          <w:lang w:eastAsia="zh-CN"/>
        </w:rPr>
      </w:pPr>
      <w:r>
        <w:rPr>
          <w:rFonts w:hint="eastAsia" w:ascii="宋体" w:hAnsi="宋体" w:cs="Times New Roman"/>
          <w:color w:val="auto"/>
          <w:sz w:val="24"/>
          <w:szCs w:val="22"/>
          <w:highlight w:val="none"/>
        </w:rPr>
        <w:t>二、招标单位：</w:t>
      </w:r>
      <w:r>
        <w:rPr>
          <w:rFonts w:hint="eastAsia" w:ascii="宋体" w:hAnsi="宋体" w:cs="Times New Roman"/>
          <w:color w:val="auto"/>
          <w:sz w:val="24"/>
          <w:szCs w:val="22"/>
          <w:highlight w:val="none"/>
          <w:u w:val="single"/>
          <w:lang w:eastAsia="zh-CN"/>
        </w:rPr>
        <w:t>广州市越秀区代建项目管理中心</w:t>
      </w:r>
    </w:p>
    <w:p w14:paraId="1CDAA7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textAlignment w:val="auto"/>
        <w:rPr>
          <w:rFonts w:ascii="宋体" w:hAnsi="宋体" w:cs="Times New Roman"/>
          <w:color w:val="auto"/>
          <w:sz w:val="24"/>
          <w:szCs w:val="22"/>
          <w:highlight w:val="none"/>
          <w:u w:val="single"/>
        </w:rPr>
      </w:pPr>
      <w:r>
        <w:rPr>
          <w:rFonts w:hint="eastAsia" w:ascii="宋体" w:hAnsi="宋体"/>
          <w:color w:val="auto"/>
          <w:sz w:val="24"/>
          <w:highlight w:val="none"/>
        </w:rPr>
        <w:t>联系人：</w:t>
      </w:r>
      <w:r>
        <w:rPr>
          <w:rFonts w:hint="eastAsia" w:ascii="宋体" w:hAnsi="宋体"/>
          <w:color w:val="auto"/>
          <w:sz w:val="24"/>
          <w:szCs w:val="24"/>
          <w:highlight w:val="none"/>
          <w:u w:val="single"/>
          <w:lang w:val="en-US" w:eastAsia="zh-CN"/>
        </w:rPr>
        <w:t>杜</w:t>
      </w:r>
      <w:r>
        <w:rPr>
          <w:rFonts w:hint="eastAsia" w:ascii="宋体" w:hAnsi="宋体"/>
          <w:color w:val="auto"/>
          <w:sz w:val="24"/>
          <w:szCs w:val="24"/>
          <w:highlight w:val="none"/>
          <w:u w:val="single"/>
        </w:rPr>
        <w:t>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szCs w:val="24"/>
          <w:highlight w:val="none"/>
          <w:u w:val="single"/>
        </w:rPr>
        <w:t>020-83520212</w:t>
      </w:r>
    </w:p>
    <w:p w14:paraId="16A064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textAlignment w:val="auto"/>
        <w:rPr>
          <w:rFonts w:ascii="宋体" w:hAnsi="宋体" w:cs="Times New Roman"/>
          <w:color w:val="auto"/>
          <w:sz w:val="24"/>
          <w:szCs w:val="22"/>
          <w:highlight w:val="none"/>
          <w:u w:val="single"/>
        </w:rPr>
      </w:pPr>
      <w:r>
        <w:rPr>
          <w:rFonts w:hint="eastAsia" w:ascii="宋体" w:hAnsi="宋体" w:cs="Times New Roman"/>
          <w:color w:val="auto"/>
          <w:sz w:val="24"/>
          <w:szCs w:val="22"/>
          <w:highlight w:val="none"/>
        </w:rPr>
        <w:t>联系地址：</w:t>
      </w:r>
      <w:r>
        <w:rPr>
          <w:rFonts w:hint="eastAsia" w:ascii="宋体" w:hAnsi="宋体" w:cs="Times New Roman"/>
          <w:color w:val="auto"/>
          <w:sz w:val="24"/>
          <w:szCs w:val="22"/>
          <w:highlight w:val="none"/>
          <w:u w:val="single"/>
        </w:rPr>
        <w:t>广州市越秀区东华西路永胜街51号</w:t>
      </w:r>
    </w:p>
    <w:p w14:paraId="5EFDAE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textAlignment w:val="auto"/>
        <w:rPr>
          <w:rFonts w:ascii="宋体" w:hAnsi="Calibri" w:cs="Times New Roman"/>
          <w:color w:val="auto"/>
          <w:sz w:val="24"/>
          <w:szCs w:val="22"/>
          <w:highlight w:val="none"/>
          <w:u w:val="single"/>
        </w:rPr>
      </w:pPr>
      <w:r>
        <w:rPr>
          <w:rFonts w:hint="eastAsia" w:ascii="宋体" w:hAnsi="宋体" w:cs="Times New Roman"/>
          <w:color w:val="auto"/>
          <w:sz w:val="24"/>
          <w:szCs w:val="22"/>
          <w:highlight w:val="none"/>
        </w:rPr>
        <w:t>招标代理机构：</w:t>
      </w:r>
      <w:r>
        <w:rPr>
          <w:rFonts w:hint="eastAsia" w:ascii="宋体" w:hAnsi="宋体" w:cs="Times New Roman"/>
          <w:color w:val="auto"/>
          <w:sz w:val="24"/>
          <w:szCs w:val="22"/>
          <w:highlight w:val="none"/>
          <w:u w:val="single"/>
        </w:rPr>
        <w:t>广州群生招标代理有限公司</w:t>
      </w:r>
    </w:p>
    <w:p w14:paraId="1D9592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textAlignment w:val="auto"/>
        <w:rPr>
          <w:rFonts w:ascii="宋体" w:hAnsi="宋体" w:cs="Times New Roman"/>
          <w:color w:val="auto"/>
          <w:sz w:val="24"/>
          <w:szCs w:val="22"/>
          <w:highlight w:val="none"/>
          <w:u w:val="single"/>
        </w:rPr>
      </w:pPr>
      <w:r>
        <w:rPr>
          <w:rFonts w:hint="eastAsia" w:ascii="宋体" w:hAnsi="宋体" w:cs="Times New Roman"/>
          <w:color w:val="auto"/>
          <w:sz w:val="24"/>
          <w:szCs w:val="22"/>
          <w:highlight w:val="none"/>
        </w:rPr>
        <w:t>联系人：</w:t>
      </w:r>
      <w:r>
        <w:rPr>
          <w:rFonts w:hint="eastAsia" w:ascii="宋体" w:hAnsi="宋体" w:cs="Times New Roman"/>
          <w:color w:val="auto"/>
          <w:sz w:val="24"/>
          <w:szCs w:val="22"/>
          <w:highlight w:val="none"/>
          <w:u w:val="single"/>
        </w:rPr>
        <w:t>陈工</w:t>
      </w:r>
      <w:r>
        <w:rPr>
          <w:rFonts w:ascii="宋体" w:hAnsi="宋体" w:cs="Times New Roman"/>
          <w:color w:val="auto"/>
          <w:sz w:val="24"/>
          <w:szCs w:val="22"/>
          <w:highlight w:val="none"/>
        </w:rPr>
        <w:t xml:space="preserve">      </w:t>
      </w:r>
      <w:r>
        <w:rPr>
          <w:rFonts w:hint="eastAsia" w:ascii="宋体" w:hAnsi="宋体" w:cs="Times New Roman"/>
          <w:color w:val="auto"/>
          <w:sz w:val="24"/>
          <w:szCs w:val="22"/>
          <w:highlight w:val="none"/>
        </w:rPr>
        <w:t>联系电话：</w:t>
      </w:r>
      <w:r>
        <w:rPr>
          <w:rFonts w:hint="eastAsia" w:ascii="宋体" w:hAnsi="宋体" w:cs="Times New Roman"/>
          <w:color w:val="auto"/>
          <w:sz w:val="24"/>
          <w:szCs w:val="22"/>
          <w:highlight w:val="none"/>
          <w:u w:val="single"/>
        </w:rPr>
        <w:t>020-83812782</w:t>
      </w:r>
    </w:p>
    <w:p w14:paraId="595EAC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textAlignment w:val="auto"/>
        <w:rPr>
          <w:rFonts w:ascii="Calibri" w:hAnsi="Calibri" w:cs="Times New Roman"/>
          <w:color w:val="auto"/>
          <w:szCs w:val="22"/>
          <w:highlight w:val="none"/>
        </w:rPr>
      </w:pPr>
      <w:r>
        <w:rPr>
          <w:rFonts w:hint="eastAsia" w:ascii="宋体" w:hAnsi="宋体" w:cs="Times New Roman"/>
          <w:color w:val="auto"/>
          <w:sz w:val="24"/>
          <w:szCs w:val="22"/>
          <w:highlight w:val="none"/>
        </w:rPr>
        <w:t>联系地址：</w:t>
      </w:r>
      <w:r>
        <w:rPr>
          <w:rFonts w:hint="eastAsia" w:ascii="宋体" w:hAnsi="宋体" w:cs="Times New Roman"/>
          <w:color w:val="auto"/>
          <w:sz w:val="24"/>
          <w:szCs w:val="22"/>
          <w:highlight w:val="none"/>
          <w:u w:val="single"/>
        </w:rPr>
        <w:t>广州市东风东路555号粤海集团大厦2203-2204室</w:t>
      </w:r>
    </w:p>
    <w:p w14:paraId="20CD42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w:t>
      </w:r>
      <w:r>
        <w:rPr>
          <w:rFonts w:hint="eastAsia" w:ascii="宋体" w:hAnsi="宋体" w:eastAsia="宋体" w:cs="Times New Roman"/>
          <w:color w:val="auto"/>
          <w:sz w:val="24"/>
          <w:szCs w:val="22"/>
          <w:highlight w:val="none"/>
        </w:rPr>
        <w:t>标监督</w:t>
      </w:r>
      <w:r>
        <w:rPr>
          <w:rFonts w:hint="eastAsia" w:ascii="宋体" w:hAnsi="宋体" w:eastAsia="宋体" w:cs="宋体"/>
          <w:color w:val="auto"/>
          <w:sz w:val="24"/>
          <w:szCs w:val="24"/>
          <w:highlight w:val="none"/>
        </w:rPr>
        <w:t>机构：</w:t>
      </w:r>
      <w:r>
        <w:rPr>
          <w:rFonts w:hint="eastAsia" w:ascii="宋体" w:hAnsi="宋体" w:eastAsia="宋体" w:cs="宋体"/>
          <w:color w:val="auto"/>
          <w:sz w:val="24"/>
          <w:szCs w:val="24"/>
          <w:highlight w:val="none"/>
          <w:u w:val="single"/>
          <w:lang w:val="en-US" w:eastAsia="zh-CN"/>
        </w:rPr>
        <w:t>广州市越秀区建设工程招投标管理中心</w:t>
      </w:r>
    </w:p>
    <w:p w14:paraId="23DD9C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8" w:firstLineChars="441"/>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37668900</w:t>
      </w:r>
    </w:p>
    <w:p w14:paraId="384E8E32">
      <w:pPr>
        <w:pStyle w:val="8"/>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1058" w:firstLineChars="441"/>
        <w:textAlignment w:val="auto"/>
        <w:rPr>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val="en-US" w:eastAsia="zh-CN"/>
        </w:rPr>
        <w:t>广州市越秀区东华东路353号锦桦荟336室</w:t>
      </w:r>
    </w:p>
    <w:p w14:paraId="6E4E8DE9">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u w:val="single"/>
        </w:rPr>
      </w:pPr>
      <w:r>
        <w:rPr>
          <w:rFonts w:hint="eastAsia" w:ascii="宋体" w:hAnsi="宋体" w:cs="Times New Roman"/>
          <w:color w:val="auto"/>
          <w:sz w:val="24"/>
          <w:szCs w:val="22"/>
          <w:highlight w:val="none"/>
        </w:rPr>
        <w:t>三、建设地点：</w:t>
      </w:r>
      <w:r>
        <w:rPr>
          <w:rFonts w:hint="eastAsia" w:ascii="宋体" w:hAnsi="宋体" w:cs="Times New Roman"/>
          <w:color w:val="auto"/>
          <w:sz w:val="24"/>
          <w:szCs w:val="22"/>
          <w:highlight w:val="none"/>
          <w:u w:val="single"/>
        </w:rPr>
        <w:t>广州市越秀区珠光街道东沙角路43、45、47、49、51、53号</w:t>
      </w:r>
    </w:p>
    <w:p w14:paraId="50B3E327">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宋体" w:eastAsia="宋体" w:cs="Times New Roman"/>
          <w:color w:val="auto"/>
          <w:sz w:val="24"/>
          <w:szCs w:val="22"/>
          <w:highlight w:val="none"/>
          <w:u w:val="single"/>
          <w:lang w:val="en-US" w:eastAsia="zh-CN"/>
        </w:rPr>
      </w:pPr>
      <w:r>
        <w:rPr>
          <w:rFonts w:hint="eastAsia" w:ascii="宋体" w:hAnsi="宋体" w:cs="Times New Roman"/>
          <w:color w:val="auto"/>
          <w:sz w:val="24"/>
          <w:szCs w:val="22"/>
          <w:highlight w:val="none"/>
        </w:rPr>
        <w:t>四、项目概况</w:t>
      </w:r>
      <w:r>
        <w:rPr>
          <w:rFonts w:hint="eastAsia" w:ascii="宋体" w:hAnsi="宋体" w:cs="Times New Roman"/>
          <w:color w:val="auto"/>
          <w:sz w:val="24"/>
          <w:szCs w:val="22"/>
          <w:highlight w:val="none"/>
          <w:lang w:eastAsia="zh-CN"/>
        </w:rPr>
        <w:t>：</w:t>
      </w:r>
      <w:r>
        <w:rPr>
          <w:rFonts w:hint="eastAsia" w:ascii="宋体" w:hAnsi="宋体" w:cs="Times New Roman"/>
          <w:color w:val="auto"/>
          <w:sz w:val="24"/>
          <w:szCs w:val="22"/>
          <w:highlight w:val="none"/>
          <w:u w:val="single"/>
          <w:lang w:eastAsia="zh-CN"/>
        </w:rPr>
        <w:t>项目涉及越秀区东沙角路43号、45号、47号、49号、51号、53号6栋建筑（连体楼）合计建筑面积约1691平方米，合计占地面积约470.97平方米。建设内容一是重建东沙角路43号、45号2栋3层半建筑物；二是对东沙角路47号、49号、51号、53号等4栋3层建筑物/连体楼进行加固修缮，包括结构加固、立面修缮、水电安装等工程内容。</w:t>
      </w:r>
    </w:p>
    <w:p w14:paraId="4CDF5612">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宋体" w:cs="Times New Roman"/>
          <w:color w:val="auto"/>
          <w:sz w:val="24"/>
          <w:szCs w:val="22"/>
          <w:highlight w:val="none"/>
        </w:rPr>
      </w:pPr>
      <w:r>
        <w:rPr>
          <w:rFonts w:hint="eastAsia" w:ascii="宋体" w:hAnsi="宋体" w:cs="Times New Roman"/>
          <w:color w:val="auto"/>
          <w:sz w:val="24"/>
          <w:szCs w:val="22"/>
          <w:highlight w:val="none"/>
        </w:rPr>
        <w:t>五、标段划分及各标段招标内容、规模和最高投标限价：</w:t>
      </w:r>
    </w:p>
    <w:p w14:paraId="7DC9F9FA">
      <w:pPr>
        <w:keepNext w:val="0"/>
        <w:keepLines w:val="0"/>
        <w:pageBreakBefore w:val="0"/>
        <w:widowControl/>
        <w:kinsoku/>
        <w:wordWrap/>
        <w:overflowPunct/>
        <w:topLinePunct w:val="0"/>
        <w:autoSpaceDE/>
        <w:autoSpaceDN/>
        <w:bidi w:val="0"/>
        <w:adjustRightInd w:val="0"/>
        <w:snapToGrid w:val="0"/>
        <w:spacing w:line="360" w:lineRule="auto"/>
        <w:ind w:left="0" w:leftChars="0" w:firstLine="638" w:firstLineChars="266"/>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bidi="ar"/>
        </w:rPr>
        <w:t>1、标段划分：</w:t>
      </w:r>
      <w:r>
        <w:rPr>
          <w:rFonts w:hint="eastAsia" w:ascii="宋体" w:hAnsi="宋体" w:cs="宋体"/>
          <w:color w:val="auto"/>
          <w:kern w:val="0"/>
          <w:sz w:val="24"/>
          <w:szCs w:val="24"/>
          <w:highlight w:val="none"/>
          <w:u w:val="single"/>
          <w:shd w:val="clear" w:color="auto" w:fill="FFFFFF"/>
          <w:lang w:bidi="ar"/>
        </w:rPr>
        <w:t>本工程划分为</w:t>
      </w:r>
      <w:r>
        <w:rPr>
          <w:rFonts w:hint="eastAsia" w:ascii="宋体" w:hAnsi="宋体" w:cs="宋体"/>
          <w:color w:val="auto"/>
          <w:kern w:val="0"/>
          <w:sz w:val="24"/>
          <w:szCs w:val="24"/>
          <w:highlight w:val="none"/>
          <w:u w:val="single"/>
          <w:shd w:val="clear" w:color="auto" w:fill="FFFFFF"/>
          <w:lang w:val="en-US" w:eastAsia="zh-CN" w:bidi="ar"/>
        </w:rPr>
        <w:t>1</w:t>
      </w:r>
      <w:r>
        <w:rPr>
          <w:rFonts w:hint="eastAsia" w:ascii="宋体" w:hAnsi="宋体" w:cs="宋体"/>
          <w:color w:val="auto"/>
          <w:kern w:val="0"/>
          <w:sz w:val="24"/>
          <w:szCs w:val="24"/>
          <w:highlight w:val="none"/>
          <w:u w:val="single"/>
          <w:shd w:val="clear" w:color="auto" w:fill="FFFFFF"/>
          <w:lang w:bidi="ar"/>
        </w:rPr>
        <w:t>个标段。</w:t>
      </w:r>
    </w:p>
    <w:p w14:paraId="6C21F829">
      <w:pPr>
        <w:pStyle w:val="22"/>
        <w:keepNext w:val="0"/>
        <w:keepLines w:val="0"/>
        <w:pageBreakBefore w:val="0"/>
        <w:widowControl/>
        <w:kinsoku/>
        <w:wordWrap/>
        <w:overflowPunct/>
        <w:topLinePunct w:val="0"/>
        <w:autoSpaceDE/>
        <w:autoSpaceDN/>
        <w:bidi w:val="0"/>
        <w:adjustRightInd w:val="0"/>
        <w:snapToGrid w:val="0"/>
        <w:spacing w:line="360" w:lineRule="auto"/>
        <w:ind w:left="0" w:leftChars="0" w:firstLine="638" w:firstLineChars="266"/>
        <w:jc w:val="left"/>
        <w:textAlignment w:val="auto"/>
        <w:rPr>
          <w:rFonts w:hint="eastAsia" w:ascii="宋体" w:hAnsi="Calibri" w:cs="宋体"/>
          <w:color w:val="auto"/>
          <w:highlight w:val="none"/>
          <w:lang w:eastAsia="zh-CN"/>
        </w:rPr>
      </w:pPr>
      <w:r>
        <w:rPr>
          <w:rFonts w:hint="eastAsia" w:ascii="宋体" w:hAnsi="宋体" w:eastAsia="宋体" w:cs="宋体"/>
          <w:snapToGrid/>
          <w:color w:val="auto"/>
          <w:spacing w:val="0"/>
          <w:kern w:val="0"/>
          <w:sz w:val="24"/>
          <w:szCs w:val="24"/>
          <w:highlight w:val="none"/>
          <w:shd w:val="clear" w:color="auto" w:fill="FFFFFF"/>
          <w:lang w:val="en-US" w:eastAsia="zh-CN" w:bidi="ar"/>
        </w:rPr>
        <w:t>2、</w:t>
      </w:r>
      <w:bookmarkStart w:id="0" w:name="OLE_LINK4"/>
      <w:bookmarkEnd w:id="0"/>
      <w:bookmarkStart w:id="1" w:name="OLE_LINK3"/>
      <w:bookmarkStart w:id="2" w:name="OLE_LINK2"/>
      <w:r>
        <w:rPr>
          <w:rFonts w:hint="eastAsia" w:ascii="宋体" w:hAnsi="宋体" w:eastAsia="宋体" w:cs="宋体"/>
          <w:snapToGrid/>
          <w:color w:val="auto"/>
          <w:spacing w:val="0"/>
          <w:kern w:val="0"/>
          <w:sz w:val="24"/>
          <w:szCs w:val="24"/>
          <w:highlight w:val="none"/>
          <w:shd w:val="clear" w:color="auto" w:fill="FFFFFF"/>
          <w:lang w:val="en-US" w:eastAsia="zh-CN" w:bidi="ar"/>
        </w:rPr>
        <w:t>招</w:t>
      </w:r>
      <w:r>
        <w:rPr>
          <w:rFonts w:hint="eastAsia" w:ascii="宋体" w:hAnsi="宋体" w:eastAsia="宋体" w:cs="宋体"/>
          <w:color w:val="auto"/>
          <w:kern w:val="0"/>
          <w:sz w:val="24"/>
          <w:szCs w:val="24"/>
          <w:highlight w:val="none"/>
          <w:shd w:val="clear" w:color="auto" w:fill="FFFFFF"/>
          <w:lang w:bidi="ar"/>
        </w:rPr>
        <w:t>标内容</w:t>
      </w:r>
      <w:bookmarkEnd w:id="1"/>
      <w:bookmarkEnd w:id="2"/>
      <w:r>
        <w:rPr>
          <w:rFonts w:hint="eastAsia" w:ascii="宋体" w:hAnsi="宋体" w:eastAsia="宋体" w:cs="宋体"/>
          <w:color w:val="auto"/>
          <w:kern w:val="0"/>
          <w:sz w:val="24"/>
          <w:szCs w:val="24"/>
          <w:highlight w:val="none"/>
          <w:shd w:val="clear" w:color="auto" w:fill="FFFFFF"/>
          <w:lang w:val="en-US" w:eastAsia="zh-CN" w:bidi="ar"/>
        </w:rPr>
        <w:t>及规模</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Times New Roman"/>
          <w:color w:val="auto"/>
          <w:sz w:val="24"/>
          <w:szCs w:val="22"/>
          <w:highlight w:val="none"/>
          <w:u w:val="single"/>
          <w:lang w:eastAsia="zh-CN"/>
        </w:rPr>
        <w:t>本项目涉及越秀区东沙角路43号、45号、47号、49号、51号、53号6栋建筑（连体楼）合计建筑面积约</w:t>
      </w:r>
      <w:bookmarkStart w:id="3" w:name="_GoBack"/>
      <w:r>
        <w:rPr>
          <w:rFonts w:hint="eastAsia" w:ascii="宋体" w:hAnsi="宋体" w:cs="Times New Roman"/>
          <w:color w:val="auto"/>
          <w:sz w:val="24"/>
          <w:szCs w:val="22"/>
          <w:highlight w:val="none"/>
          <w:u w:val="single"/>
          <w:lang w:eastAsia="zh-CN"/>
        </w:rPr>
        <w:t>1691</w:t>
      </w:r>
      <w:bookmarkEnd w:id="3"/>
      <w:r>
        <w:rPr>
          <w:rFonts w:hint="eastAsia" w:ascii="宋体" w:hAnsi="宋体" w:cs="Times New Roman"/>
          <w:color w:val="auto"/>
          <w:sz w:val="24"/>
          <w:szCs w:val="22"/>
          <w:highlight w:val="none"/>
          <w:u w:val="single"/>
          <w:lang w:eastAsia="zh-CN"/>
        </w:rPr>
        <w:t>平方米，合计占地面积约470.97平方米。建设内容一是重建东沙角路43号、45号2栋3层半建筑物；二是对东沙角路47号、49号、51号、53号等4栋3层建筑物/连体楼进行加固修缮，包括结构加固、立面修缮、水电安装等工程内容。</w:t>
      </w:r>
    </w:p>
    <w:p w14:paraId="307367AF">
      <w:pPr>
        <w:pStyle w:val="23"/>
        <w:spacing w:line="432" w:lineRule="auto"/>
        <w:ind w:firstLine="538"/>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施工总承包管理和配合服务，包括对本项目由发包人另行发包的专业工程实施总承包管理和配合服务，包括但不限于①提供垂直运输设备（塔吊、施工电梯）的运输服务；②提供外墙脚手架的使用，提供材料堆放及周转场地；③施工总承包单位负责向各专业施工单位提供施工及生活用水、用电接驳点，根据工期要求提供各项专业工程进场计划，合理安排穿插施工，对施工组织设计实施技术管理，对其他各专业系统的交叉施工进行综合协调和管理，并对各系统调试及竣工验收实施组织与管理； ④负责垃圾清运，及相关专业工程遗留的封边封口等完善收尾工作。⑤负责项目深化设计工作，包括不限于幕墙、门窗、钢结构、二次装修、外水</w:t>
      </w:r>
      <w:r>
        <w:rPr>
          <w:rFonts w:hint="eastAsia" w:ascii="宋体" w:hAnsi="宋体"/>
          <w:color w:val="auto"/>
          <w:sz w:val="24"/>
          <w:szCs w:val="24"/>
          <w:highlight w:val="none"/>
          <w:u w:val="single"/>
          <w:lang w:eastAsia="zh-CN"/>
        </w:rPr>
        <w:t>外</w:t>
      </w:r>
      <w:r>
        <w:rPr>
          <w:rFonts w:hint="eastAsia" w:ascii="宋体" w:hAnsi="宋体"/>
          <w:color w:val="auto"/>
          <w:sz w:val="24"/>
          <w:szCs w:val="24"/>
          <w:highlight w:val="none"/>
          <w:u w:val="single"/>
        </w:rPr>
        <w:t>电</w:t>
      </w:r>
      <w:r>
        <w:rPr>
          <w:rFonts w:hint="eastAsia" w:ascii="宋体" w:hAnsi="宋体"/>
          <w:color w:val="auto"/>
          <w:sz w:val="24"/>
          <w:szCs w:val="24"/>
          <w:highlight w:val="none"/>
          <w:u w:val="single"/>
          <w:lang w:eastAsia="zh-CN"/>
        </w:rPr>
        <w:t>燃气</w:t>
      </w:r>
      <w:r>
        <w:rPr>
          <w:rFonts w:hint="eastAsia" w:ascii="宋体" w:hAnsi="宋体"/>
          <w:color w:val="auto"/>
          <w:sz w:val="24"/>
          <w:szCs w:val="24"/>
          <w:highlight w:val="none"/>
          <w:u w:val="single"/>
        </w:rPr>
        <w:t>等，深化设计的费用已经包括在合同总价中由承包人综合考虑。相关费用已包含在合同价内，不另支付</w:t>
      </w:r>
      <w:r>
        <w:rPr>
          <w:rFonts w:hint="eastAsia" w:ascii="宋体" w:hAnsi="宋体"/>
          <w:color w:val="auto"/>
          <w:sz w:val="24"/>
          <w:szCs w:val="24"/>
          <w:highlight w:val="none"/>
          <w:u w:val="single"/>
          <w:lang w:eastAsia="zh-CN"/>
        </w:rPr>
        <w:t>。</w:t>
      </w:r>
    </w:p>
    <w:p w14:paraId="75096827">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协助办理工程开工、验收、竣工等所需的各项相关手续，包括但不限于施工许可证（或临时施工许可证）、临水临电工程的报装及接驳、报建手续、施工占道手续、建筑废弃物处置证、排污手续、排水接驳、爆破工程所需办理的爆破作业单位许可证、水质检测、</w:t>
      </w:r>
      <w:r>
        <w:rPr>
          <w:rFonts w:hint="eastAsia" w:ascii="宋体" w:hAnsi="宋体"/>
          <w:color w:val="auto"/>
          <w:sz w:val="24"/>
          <w:szCs w:val="24"/>
          <w:highlight w:val="none"/>
          <w:u w:val="single"/>
          <w:lang w:eastAsia="zh-CN"/>
        </w:rPr>
        <w:t>永久</w:t>
      </w:r>
      <w:r>
        <w:rPr>
          <w:rFonts w:hint="eastAsia" w:ascii="宋体" w:hAnsi="宋体"/>
          <w:color w:val="auto"/>
          <w:sz w:val="24"/>
          <w:szCs w:val="24"/>
          <w:highlight w:val="none"/>
          <w:u w:val="single"/>
        </w:rPr>
        <w:t>排水许可证、永久用水及永久用电的报装及验收、燃气工程的报装及验收、通信工程的报装及验收、车库出入口驳接、排污口规范化、噪音排放、环保检测、卫生验收、消防验收、人防验收、防雷验收、绿色建筑验收、节能备案及验收、规划验收、质量验收、竣工验收备案和竣工结算</w:t>
      </w:r>
      <w:r>
        <w:rPr>
          <w:rFonts w:hint="eastAsia" w:ascii="宋体" w:hAnsi="宋体" w:eastAsia="宋体" w:cs="Times New Roman"/>
          <w:color w:val="auto"/>
          <w:sz w:val="24"/>
          <w:szCs w:val="24"/>
          <w:highlight w:val="none"/>
          <w:u w:val="single"/>
        </w:rPr>
        <w:t>资料归档移交、组织创优工作,并承担办理上述手续中需承包人承担的费用。</w:t>
      </w:r>
    </w:p>
    <w:p w14:paraId="3CE07EC8">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4</w:t>
      </w:r>
      <w:r>
        <w:rPr>
          <w:rFonts w:hint="eastAsia" w:ascii="宋体" w:hAnsi="宋体" w:eastAsia="宋体" w:cs="Times New Roman"/>
          <w:color w:val="auto"/>
          <w:sz w:val="24"/>
          <w:szCs w:val="24"/>
          <w:highlight w:val="none"/>
          <w:u w:val="single"/>
        </w:rPr>
        <w:t>）承包人应根据本项目建设的实际情况，充分考虑施工过程中会出现的分段、分期的施工需要，对因此存在的施工场地移交、转场、机械多次进退场等影响施工进度的因素，包括临时通道、周边房屋加固保护、地下管线</w:t>
      </w:r>
      <w:r>
        <w:rPr>
          <w:rFonts w:hint="eastAsia" w:ascii="宋体" w:hAnsi="宋体" w:eastAsia="宋体" w:cs="Times New Roman"/>
          <w:color w:val="auto"/>
          <w:sz w:val="24"/>
          <w:szCs w:val="24"/>
          <w:highlight w:val="none"/>
          <w:u w:val="single"/>
          <w:lang w:eastAsia="zh-CN"/>
        </w:rPr>
        <w:t>物探及</w:t>
      </w:r>
      <w:r>
        <w:rPr>
          <w:rFonts w:hint="eastAsia" w:ascii="宋体" w:hAnsi="宋体" w:eastAsia="宋体" w:cs="Times New Roman"/>
          <w:color w:val="auto"/>
          <w:sz w:val="24"/>
          <w:szCs w:val="24"/>
          <w:highlight w:val="none"/>
          <w:u w:val="single"/>
        </w:rPr>
        <w:t>保护、地铁隧道保护、树木保护、围墙保护、文物保护等，承包人应通过制订合理的、有针对性的施工方案，以保证施工进度及施工质量，同时服从并配合发包人及监理单位的管理。为此造成的所有费用均由承包人在投标时自行综合考虑在投标报价中。如承包人在项目实施过程中，因与相关部门、单位、用户等发生争议、争执而影响本工程建设的，责任一概由承包人承担。</w:t>
      </w:r>
    </w:p>
    <w:p w14:paraId="6687D87C">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5</w:t>
      </w:r>
      <w:r>
        <w:rPr>
          <w:rFonts w:hint="eastAsia" w:ascii="宋体" w:hAnsi="宋体" w:eastAsia="宋体" w:cs="Times New Roman"/>
          <w:color w:val="auto"/>
          <w:sz w:val="24"/>
          <w:szCs w:val="24"/>
          <w:highlight w:val="none"/>
          <w:u w:val="single"/>
        </w:rPr>
        <w:t>）承包人应根据本项目建设的实际情况，充分考虑施工过程中会出现的对周边居民的影响，采取的针对性的减震、降噪、降尘措施和相关的与居民沟通、专家座谈、检测监测结果再复核、临时疏导协调等，为确保施工的顺利进行产生的费用均已含在合同总价中，不得向发包人要求补偿。</w:t>
      </w:r>
    </w:p>
    <w:p w14:paraId="214E7773">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eastAsia="zh-CN"/>
        </w:rPr>
        <w:t>6</w:t>
      </w:r>
      <w:r>
        <w:rPr>
          <w:rFonts w:hint="eastAsia" w:ascii="宋体" w:hAnsi="宋体" w:eastAsia="宋体" w:cs="Times New Roman"/>
          <w:color w:val="auto"/>
          <w:sz w:val="24"/>
          <w:szCs w:val="24"/>
          <w:highlight w:val="none"/>
          <w:u w:val="single"/>
        </w:rPr>
        <w:t>）因施工场地与周边住宅区距离较近，后期施工阶段可能需要考虑避免对周边居民日常生活和出行造成干扰，承包人必须切实解决周边居民提出的需求，此费用均已含在合同总价中，不得向发包人要求补偿。因本项目位于老城区，承包人应具有相关项目管理经验，项目施工过程中，必须做好周边居民的协调工作，如因周边居民协调工作不到位、或因周边居民投诉项目造成停工的，工期延误费、协调费及工人误工费等相关费用，均已含在合同总价中由承包人综合考虑。</w:t>
      </w:r>
    </w:p>
    <w:p w14:paraId="4AB275CE">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hint="eastAsia" w:ascii="宋体" w:hAnsi="宋体" w:cs="Times New Roman"/>
          <w:color w:val="auto"/>
          <w:sz w:val="24"/>
          <w:szCs w:val="24"/>
          <w:highlight w:val="none"/>
          <w:u w:val="single"/>
          <w:lang w:val="en-US" w:eastAsia="zh-CN"/>
        </w:rPr>
        <w:t>7</w:t>
      </w:r>
      <w:r>
        <w:rPr>
          <w:rFonts w:hint="eastAsia" w:ascii="宋体" w:hAnsi="宋体" w:eastAsia="宋体" w:cs="Times New Roman"/>
          <w:color w:val="auto"/>
          <w:sz w:val="24"/>
          <w:szCs w:val="24"/>
          <w:highlight w:val="none"/>
          <w:u w:val="single"/>
        </w:rPr>
        <w:t>）承包人应综合考虑由土石方运输、混凝土材料运输、材料运输车辆及大型机械进出带来的相应影响，由此产生的工期延误费及工人或车辆误工费均已含在合同总价中，承包人不得因此向发包人要求补偿。</w:t>
      </w:r>
    </w:p>
    <w:p w14:paraId="4DDD2FD2">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hint="eastAsia" w:ascii="宋体" w:hAnsi="宋体" w:cs="Times New Roman"/>
          <w:color w:val="auto"/>
          <w:sz w:val="24"/>
          <w:szCs w:val="24"/>
          <w:highlight w:val="none"/>
          <w:u w:val="single"/>
          <w:lang w:val="en-US" w:eastAsia="zh-CN"/>
        </w:rPr>
        <w:t>8</w:t>
      </w:r>
      <w:r>
        <w:rPr>
          <w:rFonts w:hint="eastAsia" w:ascii="宋体" w:hAnsi="宋体" w:eastAsia="宋体" w:cs="Times New Roman"/>
          <w:color w:val="auto"/>
          <w:sz w:val="24"/>
          <w:szCs w:val="24"/>
          <w:highlight w:val="none"/>
          <w:u w:val="single"/>
        </w:rPr>
        <w:t>）本工程处于考古区域内，考古开始和完成时间暂不明确，可能存在工期的不确定性，由此</w:t>
      </w:r>
      <w:r>
        <w:rPr>
          <w:rFonts w:hint="eastAsia" w:ascii="宋体" w:hAnsi="宋体" w:eastAsia="宋体" w:cs="Times New Roman"/>
          <w:color w:val="auto"/>
          <w:sz w:val="24"/>
          <w:szCs w:val="24"/>
          <w:highlight w:val="none"/>
          <w:u w:val="single"/>
          <w:lang w:val="en-US" w:eastAsia="zh-CN"/>
        </w:rPr>
        <w:t>配合考古</w:t>
      </w:r>
      <w:r>
        <w:rPr>
          <w:rFonts w:hint="eastAsia" w:ascii="宋体" w:hAnsi="宋体" w:eastAsia="宋体" w:cs="Times New Roman"/>
          <w:color w:val="auto"/>
          <w:sz w:val="24"/>
          <w:szCs w:val="24"/>
          <w:highlight w:val="none"/>
          <w:u w:val="single"/>
        </w:rPr>
        <w:t>产生的费用(配合围蔽、开挖、转运、土方外运、值班、水电等)由承包人综合考虑在合同总价中，不得向发包人要求补偿。</w:t>
      </w:r>
    </w:p>
    <w:p w14:paraId="26D27444">
      <w:pPr>
        <w:pStyle w:val="23"/>
        <w:spacing w:line="432" w:lineRule="auto"/>
        <w:ind w:firstLine="538"/>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hint="eastAsia" w:ascii="宋体" w:hAnsi="宋体" w:cs="Times New Roman"/>
          <w:color w:val="auto"/>
          <w:sz w:val="24"/>
          <w:szCs w:val="24"/>
          <w:highlight w:val="none"/>
          <w:u w:val="single"/>
          <w:lang w:val="en-US" w:eastAsia="zh-CN"/>
        </w:rPr>
        <w:t>9</w:t>
      </w:r>
      <w:r>
        <w:rPr>
          <w:rFonts w:hint="eastAsia" w:ascii="宋体" w:hAnsi="宋体" w:eastAsia="宋体" w:cs="Times New Roman"/>
          <w:color w:val="auto"/>
          <w:sz w:val="24"/>
          <w:szCs w:val="24"/>
          <w:highlight w:val="none"/>
          <w:u w:val="single"/>
        </w:rPr>
        <w:t>）本工程区域内的</w:t>
      </w:r>
      <w:r>
        <w:rPr>
          <w:rFonts w:hint="eastAsia" w:ascii="宋体" w:hAnsi="宋体" w:cs="Times New Roman"/>
          <w:color w:val="auto"/>
          <w:sz w:val="24"/>
          <w:szCs w:val="24"/>
          <w:highlight w:val="none"/>
          <w:u w:val="single"/>
          <w:lang w:eastAsia="zh-CN"/>
        </w:rPr>
        <w:t>周边</w:t>
      </w:r>
      <w:r>
        <w:rPr>
          <w:rFonts w:hint="eastAsia" w:ascii="宋体" w:hAnsi="宋体" w:eastAsia="宋体" w:cs="Times New Roman"/>
          <w:color w:val="auto"/>
          <w:sz w:val="24"/>
          <w:szCs w:val="24"/>
          <w:highlight w:val="none"/>
          <w:u w:val="single"/>
        </w:rPr>
        <w:t>建筑加固保护、</w:t>
      </w:r>
      <w:r>
        <w:rPr>
          <w:rFonts w:hint="eastAsia" w:ascii="宋体" w:hAnsi="宋体" w:eastAsia="宋体" w:cs="Times New Roman"/>
          <w:color w:val="auto"/>
          <w:sz w:val="24"/>
          <w:szCs w:val="24"/>
          <w:highlight w:val="none"/>
          <w:u w:val="single"/>
          <w:lang w:val="en-US" w:eastAsia="zh-CN"/>
        </w:rPr>
        <w:t>树木保护</w:t>
      </w:r>
      <w:r>
        <w:rPr>
          <w:rFonts w:hint="eastAsia" w:ascii="宋体" w:hAnsi="宋体" w:eastAsia="宋体" w:cs="Times New Roman"/>
          <w:color w:val="auto"/>
          <w:sz w:val="24"/>
          <w:szCs w:val="24"/>
          <w:highlight w:val="none"/>
          <w:u w:val="single"/>
        </w:rPr>
        <w:t>，编制的相关专项施工方案需经有关单位批准，由此产生的费</w:t>
      </w:r>
      <w:r>
        <w:rPr>
          <w:rFonts w:hint="eastAsia" w:ascii="宋体" w:hAnsi="宋体" w:eastAsia="宋体" w:cs="Times New Roman"/>
          <w:color w:val="auto"/>
          <w:sz w:val="24"/>
          <w:szCs w:val="24"/>
          <w:highlight w:val="none"/>
          <w:u w:val="single"/>
          <w:lang w:val="en-US" w:eastAsia="zh-CN"/>
        </w:rPr>
        <w:t>用</w:t>
      </w:r>
      <w:r>
        <w:rPr>
          <w:rFonts w:hint="eastAsia" w:ascii="宋体" w:hAnsi="宋体" w:eastAsia="宋体" w:cs="Times New Roman"/>
          <w:color w:val="auto"/>
          <w:sz w:val="24"/>
          <w:szCs w:val="24"/>
          <w:highlight w:val="none"/>
          <w:u w:val="single"/>
        </w:rPr>
        <w:t>由承包人综合考虑在合同总价中，不得向发包人要求补偿。</w:t>
      </w:r>
    </w:p>
    <w:p w14:paraId="77AED52B">
      <w:pPr>
        <w:pStyle w:val="20"/>
        <w:keepNext w:val="0"/>
        <w:keepLines w:val="0"/>
        <w:pageBreakBefore w:val="0"/>
        <w:kinsoku/>
        <w:wordWrap/>
        <w:overflowPunct/>
        <w:topLinePunct w:val="0"/>
        <w:autoSpaceDE/>
        <w:autoSpaceDN/>
        <w:bidi w:val="0"/>
        <w:adjustRightInd w:val="0"/>
        <w:snapToGrid w:val="0"/>
        <w:spacing w:before="79" w:line="360" w:lineRule="auto"/>
        <w:ind w:left="19" w:leftChars="9" w:right="106" w:firstLine="698" w:firstLineChars="291"/>
        <w:textAlignment w:val="auto"/>
        <w:rPr>
          <w:rFonts w:hint="default" w:eastAsia="宋体"/>
          <w:color w:val="auto"/>
          <w:highlight w:val="none"/>
          <w:lang w:val="en-US" w:eastAsia="zh-CN"/>
        </w:rPr>
      </w:pPr>
      <w:r>
        <w:rPr>
          <w:rFonts w:hint="eastAsia" w:hAnsi="宋体" w:cs="Times New Roman"/>
          <w:color w:val="auto"/>
          <w:sz w:val="24"/>
          <w:szCs w:val="24"/>
          <w:highlight w:val="none"/>
          <w:u w:val="single"/>
          <w:lang w:val="en-US" w:eastAsia="zh-CN"/>
        </w:rPr>
        <w:t>3、最高投标限价：人民币</w:t>
      </w:r>
      <w:r>
        <w:rPr>
          <w:rFonts w:hint="eastAsia"/>
          <w:color w:val="auto"/>
          <w:spacing w:val="3"/>
          <w:highlight w:val="none"/>
          <w:u w:val="single"/>
          <w:lang w:val="en-US" w:eastAsia="zh-CN"/>
        </w:rPr>
        <w:t>10358715.17</w:t>
      </w:r>
      <w:r>
        <w:rPr>
          <w:rFonts w:hint="eastAsia" w:hAnsi="宋体" w:cs="Times New Roman"/>
          <w:color w:val="auto"/>
          <w:sz w:val="24"/>
          <w:szCs w:val="24"/>
          <w:highlight w:val="none"/>
          <w:u w:val="single"/>
          <w:lang w:val="en-US" w:eastAsia="zh-CN"/>
        </w:rPr>
        <w:t>元，其中，措施项目费为人民币</w:t>
      </w:r>
      <w:r>
        <w:rPr>
          <w:rFonts w:hint="eastAsia"/>
          <w:color w:val="auto"/>
          <w:spacing w:val="3"/>
          <w:highlight w:val="none"/>
          <w:u w:val="single"/>
          <w:lang w:val="en-US" w:eastAsia="zh-CN"/>
        </w:rPr>
        <w:t>670,429.39</w:t>
      </w:r>
      <w:r>
        <w:rPr>
          <w:rFonts w:hint="eastAsia" w:hAnsi="宋体" w:cs="Times New Roman"/>
          <w:color w:val="auto"/>
          <w:sz w:val="24"/>
          <w:szCs w:val="24"/>
          <w:highlight w:val="none"/>
          <w:u w:val="single"/>
          <w:lang w:val="en-US" w:eastAsia="zh-CN"/>
        </w:rPr>
        <w:t>元</w:t>
      </w:r>
      <w:r>
        <w:rPr>
          <w:rFonts w:hint="eastAsia" w:cs="Times New Roman"/>
          <w:color w:val="auto"/>
          <w:sz w:val="24"/>
          <w:szCs w:val="24"/>
          <w:highlight w:val="none"/>
          <w:u w:val="single"/>
          <w:lang w:val="en-US" w:eastAsia="zh-CN"/>
        </w:rPr>
        <w:t>，暂列金额</w:t>
      </w:r>
      <w:r>
        <w:rPr>
          <w:rFonts w:hint="eastAsia" w:hAnsi="宋体" w:cs="Times New Roman"/>
          <w:color w:val="auto"/>
          <w:sz w:val="24"/>
          <w:szCs w:val="24"/>
          <w:highlight w:val="none"/>
          <w:u w:val="single"/>
          <w:lang w:val="en-US" w:eastAsia="zh-CN"/>
        </w:rPr>
        <w:t>为人民币</w:t>
      </w:r>
      <w:r>
        <w:rPr>
          <w:rFonts w:hint="eastAsia" w:cs="Times New Roman"/>
          <w:color w:val="auto"/>
          <w:sz w:val="24"/>
          <w:szCs w:val="24"/>
          <w:highlight w:val="none"/>
          <w:u w:val="single"/>
          <w:lang w:val="en-US" w:eastAsia="zh-CN"/>
        </w:rPr>
        <w:t>618,858.15元，暂估价</w:t>
      </w:r>
      <w:r>
        <w:rPr>
          <w:rFonts w:hint="eastAsia" w:hAnsi="宋体" w:cs="Times New Roman"/>
          <w:color w:val="auto"/>
          <w:sz w:val="24"/>
          <w:szCs w:val="24"/>
          <w:highlight w:val="none"/>
          <w:u w:val="single"/>
          <w:lang w:val="en-US" w:eastAsia="zh-CN"/>
        </w:rPr>
        <w:t>为人民币2,044,100.21</w:t>
      </w:r>
      <w:r>
        <w:rPr>
          <w:rFonts w:hint="eastAsia" w:cs="Times New Roman"/>
          <w:color w:val="auto"/>
          <w:sz w:val="24"/>
          <w:szCs w:val="24"/>
          <w:highlight w:val="none"/>
          <w:u w:val="single"/>
          <w:lang w:val="en-US" w:eastAsia="zh-CN"/>
        </w:rPr>
        <w:t>元。</w:t>
      </w:r>
    </w:p>
    <w:p w14:paraId="77756E34">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宋体" w:cs="Times New Roman"/>
          <w:color w:val="auto"/>
          <w:sz w:val="24"/>
          <w:szCs w:val="22"/>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14:paraId="15C32873">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六、资金来源：</w:t>
      </w:r>
      <w:r>
        <w:rPr>
          <w:rFonts w:hint="eastAsia" w:ascii="宋体" w:hAnsi="宋体" w:cs="宋体"/>
          <w:color w:val="auto"/>
          <w:sz w:val="24"/>
          <w:szCs w:val="24"/>
          <w:highlight w:val="none"/>
          <w:u w:val="single"/>
          <w:lang w:eastAsia="zh-CN"/>
        </w:rPr>
        <w:t>企业</w:t>
      </w:r>
      <w:r>
        <w:rPr>
          <w:rFonts w:hint="eastAsia" w:ascii="宋体" w:hAnsi="宋体" w:cs="宋体"/>
          <w:color w:val="auto"/>
          <w:sz w:val="24"/>
          <w:szCs w:val="24"/>
          <w:highlight w:val="none"/>
          <w:u w:val="single"/>
          <w:lang w:val="en-US" w:eastAsia="zh-CN"/>
        </w:rPr>
        <w:t>自筹</w:t>
      </w:r>
      <w:r>
        <w:rPr>
          <w:rFonts w:hint="eastAsia" w:ascii="宋体" w:hAnsi="宋体" w:eastAsia="宋体" w:cs="宋体"/>
          <w:color w:val="auto"/>
          <w:sz w:val="24"/>
          <w:szCs w:val="24"/>
          <w:highlight w:val="none"/>
          <w:u w:val="single"/>
          <w:lang w:val="en-US" w:eastAsia="zh-CN"/>
        </w:rPr>
        <w:t>资金</w:t>
      </w:r>
    </w:p>
    <w:p w14:paraId="638BA30F">
      <w:pPr>
        <w:keepNext w:val="0"/>
        <w:keepLines w:val="0"/>
        <w:pageBreakBefore w:val="0"/>
        <w:kinsoku/>
        <w:wordWrap/>
        <w:overflowPunct/>
        <w:topLinePunct w:val="0"/>
        <w:autoSpaceDE/>
        <w:autoSpaceDN/>
        <w:bidi w:val="0"/>
        <w:adjustRightInd w:val="0"/>
        <w:snapToGrid w:val="0"/>
        <w:spacing w:line="360" w:lineRule="auto"/>
        <w:ind w:left="120" w:leftChars="57" w:firstLine="417" w:firstLineChars="17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注：政府投资项目一律不得以建筑业企业带资承包的方式进行建设。</w:t>
      </w:r>
    </w:p>
    <w:p w14:paraId="6D3BA836">
      <w:pPr>
        <w:keepNext w:val="0"/>
        <w:keepLines w:val="0"/>
        <w:pageBreakBefore w:val="0"/>
        <w:kinsoku/>
        <w:wordWrap/>
        <w:overflowPunct/>
        <w:topLinePunct w:val="0"/>
        <w:autoSpaceDE/>
        <w:autoSpaceDN/>
        <w:bidi w:val="0"/>
        <w:adjustRightInd w:val="0"/>
        <w:snapToGrid w:val="0"/>
        <w:spacing w:line="360" w:lineRule="auto"/>
        <w:ind w:left="43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公告发布日期、递交投标文件时间与开标时间：</w:t>
      </w:r>
    </w:p>
    <w:p w14:paraId="6046E7BE">
      <w:pPr>
        <w:keepNext w:val="0"/>
        <w:keepLines w:val="0"/>
        <w:pageBreakBefore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1、公告发布日期（含本日）：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2102B5C">
      <w:pPr>
        <w:keepNext w:val="0"/>
        <w:keepLines w:val="0"/>
        <w:pageBreakBefore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凡有意参加投标者，请登录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交易平台网站下载电子招标文件。</w:t>
      </w:r>
    </w:p>
    <w:p w14:paraId="44F433E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注：发布招标公告的时间为招标公告发出之日起至投标截止时间止。</w:t>
      </w:r>
    </w:p>
    <w:p w14:paraId="33CF42F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2、递交投标文件起始时间：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7211247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7960091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3、开标开始时间：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5D1F60D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7074758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广州交易集团有限公司（广州公共资源交易中心）网站http:// www.gzggzy.cn）《房屋建筑和市政基础设施工程全流程电子化项目专章》。</w:t>
      </w:r>
      <w:r>
        <w:rPr>
          <w:rFonts w:hint="eastAsia" w:ascii="宋体" w:hAnsi="宋体" w:eastAsia="宋体" w:cs="宋体"/>
          <w:color w:val="auto"/>
          <w:sz w:val="24"/>
          <w:szCs w:val="24"/>
          <w:highlight w:val="none"/>
        </w:rPr>
        <w:t xml:space="preserve"> </w:t>
      </w:r>
    </w:p>
    <w:p w14:paraId="339FC8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在投标登记时，投标人应按要求在交易系统中填写《拟投入施工项目管理团队人员信息表》（详见招标文件第四章投标文件格式），表中的主要项目管理人员信息作为投标文件的一部分，将由交易系统提取后供各相关单位在中标人履约时进行比对、查核。</w:t>
      </w:r>
    </w:p>
    <w:p w14:paraId="55543D1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八、招标文件获取方式：</w:t>
      </w:r>
    </w:p>
    <w:p w14:paraId="46CA48F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Calibri"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交易平台网站发布。招标文件</w:t>
      </w:r>
      <w:r>
        <w:rPr>
          <w:rFonts w:hint="eastAsia" w:ascii="宋体" w:hAnsi="宋体" w:eastAsia="宋体" w:cs="宋体"/>
          <w:color w:val="auto"/>
          <w:kern w:val="0"/>
          <w:sz w:val="24"/>
          <w:szCs w:val="24"/>
          <w:highlight w:val="none"/>
        </w:rPr>
        <w:t>一经在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发布，视为发售给投标人，招标文件由投标人自行在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网站下载。</w:t>
      </w:r>
    </w:p>
    <w:p w14:paraId="0F3F35C5">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宋体" w:cs="Times New Roman"/>
          <w:color w:val="auto"/>
          <w:sz w:val="24"/>
          <w:szCs w:val="22"/>
          <w:highlight w:val="none"/>
        </w:rPr>
        <w:t>九、投标人合格条件：</w:t>
      </w:r>
    </w:p>
    <w:p w14:paraId="2DE8E422">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ascii="宋体" w:hAnsi="宋体" w:cs="Times New Roman"/>
          <w:color w:val="auto"/>
          <w:sz w:val="24"/>
          <w:szCs w:val="22"/>
          <w:highlight w:val="none"/>
        </w:rPr>
        <w:t>1</w:t>
      </w:r>
      <w:r>
        <w:rPr>
          <w:rFonts w:hint="eastAsia" w:ascii="宋体" w:hAnsi="宋体" w:cs="Times New Roman"/>
          <w:color w:val="auto"/>
          <w:sz w:val="24"/>
          <w:szCs w:val="22"/>
          <w:highlight w:val="none"/>
        </w:rPr>
        <w:t>、投标人参加投标的意思表达清楚，投标人代表被授权有效。</w:t>
      </w:r>
    </w:p>
    <w:p w14:paraId="45E1DE7F">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ascii="宋体" w:hAnsi="宋体" w:cs="Times New Roman"/>
          <w:color w:val="auto"/>
          <w:sz w:val="24"/>
          <w:szCs w:val="22"/>
          <w:highlight w:val="none"/>
        </w:rPr>
        <w:t>2</w:t>
      </w:r>
      <w:r>
        <w:rPr>
          <w:rFonts w:hint="eastAsia" w:ascii="宋体" w:hAnsi="宋体" w:cs="Times New Roman"/>
          <w:color w:val="auto"/>
          <w:sz w:val="24"/>
          <w:szCs w:val="22"/>
          <w:highlight w:val="none"/>
        </w:rPr>
        <w:t>、投标人均具有独立法人资格，按国家法律经营。</w:t>
      </w:r>
    </w:p>
    <w:p w14:paraId="16B72E69">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ascii="宋体" w:hAnsi="宋体" w:cs="Times New Roman"/>
          <w:color w:val="auto"/>
          <w:sz w:val="24"/>
          <w:szCs w:val="22"/>
          <w:highlight w:val="none"/>
        </w:rPr>
        <w:t>3</w:t>
      </w:r>
      <w:r>
        <w:rPr>
          <w:rFonts w:hint="eastAsia" w:ascii="宋体" w:hAnsi="宋体" w:cs="Times New Roman"/>
          <w:color w:val="auto"/>
          <w:sz w:val="24"/>
          <w:szCs w:val="22"/>
          <w:highlight w:val="none"/>
        </w:rPr>
        <w:t>、投标人均持有建设行政主管部门颁发的有效期内的企业资质证书及安全生产许可证；</w:t>
      </w:r>
    </w:p>
    <w:p w14:paraId="0201D1CC">
      <w:pPr>
        <w:keepNext w:val="0"/>
        <w:keepLines w:val="0"/>
        <w:pageBreakBefore w:val="0"/>
        <w:widowControl w:val="0"/>
        <w:kinsoku/>
        <w:wordWrap/>
        <w:overflowPunct/>
        <w:topLinePunct w:val="0"/>
        <w:autoSpaceDE/>
        <w:autoSpaceDN/>
        <w:bidi w:val="0"/>
        <w:adjustRightInd w:val="0"/>
        <w:snapToGrid w:val="0"/>
        <w:spacing w:line="360" w:lineRule="auto"/>
        <w:ind w:firstLine="539"/>
        <w:jc w:val="both"/>
        <w:textAlignment w:val="auto"/>
        <w:rPr>
          <w:rFonts w:ascii="宋体" w:hAnsi="宋体" w:eastAsia="宋体" w:cs="Times New Roman"/>
          <w:color w:val="auto"/>
          <w:sz w:val="24"/>
          <w:szCs w:val="24"/>
          <w:highlight w:val="none"/>
          <w:lang w:val="en-US" w:eastAsia="zh-CN" w:bidi="ar-SA"/>
        </w:rPr>
      </w:pPr>
      <w:r>
        <w:rPr>
          <w:rFonts w:ascii="宋体" w:hAnsi="宋体" w:eastAsia="宋体" w:cs="Times New Roman"/>
          <w:color w:val="auto"/>
          <w:sz w:val="24"/>
          <w:szCs w:val="24"/>
          <w:highlight w:val="none"/>
          <w:lang w:val="en-US" w:eastAsia="zh-CN" w:bidi="ar-SA"/>
        </w:rPr>
        <w:t>4</w:t>
      </w:r>
      <w:r>
        <w:rPr>
          <w:rFonts w:hint="eastAsia" w:ascii="宋体" w:hAnsi="宋体" w:eastAsia="宋体" w:cs="Times New Roman"/>
          <w:color w:val="auto"/>
          <w:sz w:val="24"/>
          <w:szCs w:val="24"/>
          <w:highlight w:val="none"/>
          <w:lang w:val="en-US" w:eastAsia="zh-CN" w:bidi="ar-SA"/>
        </w:rPr>
        <w:t>、投标人应具备以下资质：</w:t>
      </w:r>
    </w:p>
    <w:p w14:paraId="0E37C0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投标人具有承接本工程所需的</w:t>
      </w:r>
      <w:r>
        <w:rPr>
          <w:rFonts w:hint="eastAsia" w:ascii="宋体" w:hAnsi="宋体" w:eastAsia="宋体" w:cs="Times New Roman"/>
          <w:color w:val="auto"/>
          <w:sz w:val="24"/>
          <w:szCs w:val="24"/>
          <w:highlight w:val="none"/>
          <w:u w:val="single"/>
          <w:lang w:val="en-US" w:eastAsia="zh-CN" w:bidi="ar-SA"/>
        </w:rPr>
        <w:t>建筑工程施工总承包三级</w:t>
      </w:r>
      <w:r>
        <w:rPr>
          <w:rFonts w:hint="eastAsia" w:ascii="宋体" w:hAnsi="宋体" w:eastAsia="宋体" w:cs="Times New Roman"/>
          <w:color w:val="auto"/>
          <w:sz w:val="24"/>
          <w:szCs w:val="24"/>
          <w:highlight w:val="none"/>
          <w:lang w:val="en-US" w:eastAsia="zh-CN" w:bidi="ar-SA"/>
        </w:rPr>
        <w:t>或以上级别施工总承包资质；（注：应选择符合招标内容的一种施工总承包资质；联合体的，以资质等级低的一方为等级标准）。投标人拟担任本工程项目负责人的人员为：</w:t>
      </w:r>
      <w:r>
        <w:rPr>
          <w:rFonts w:hint="eastAsia" w:ascii="宋体" w:hAnsi="宋体" w:eastAsia="宋体" w:cs="Times New Roman"/>
          <w:color w:val="auto"/>
          <w:sz w:val="24"/>
          <w:szCs w:val="24"/>
          <w:highlight w:val="none"/>
          <w:u w:val="single"/>
          <w:lang w:val="en-US" w:eastAsia="zh-CN" w:bidi="ar-SA"/>
        </w:rPr>
        <w:t>建筑工程</w:t>
      </w:r>
      <w:r>
        <w:rPr>
          <w:rFonts w:hint="eastAsia" w:ascii="宋体" w:hAnsi="宋体" w:eastAsia="宋体" w:cs="Times New Roman"/>
          <w:color w:val="auto"/>
          <w:sz w:val="24"/>
          <w:szCs w:val="24"/>
          <w:highlight w:val="none"/>
          <w:lang w:val="en-US" w:eastAsia="zh-CN" w:bidi="ar-SA"/>
        </w:rPr>
        <w:t>专业</w:t>
      </w:r>
      <w:r>
        <w:rPr>
          <w:rFonts w:hint="eastAsia" w:ascii="宋体" w:hAnsi="宋体" w:cs="Times New Roman"/>
          <w:color w:val="auto"/>
          <w:sz w:val="24"/>
          <w:szCs w:val="24"/>
          <w:highlight w:val="none"/>
          <w:u w:val="single"/>
          <w:lang w:val="en-US" w:eastAsia="zh-CN" w:bidi="ar-SA"/>
        </w:rPr>
        <w:t>二</w:t>
      </w:r>
      <w:r>
        <w:rPr>
          <w:rFonts w:hint="eastAsia" w:ascii="宋体" w:hAnsi="宋体" w:eastAsia="宋体" w:cs="Times New Roman"/>
          <w:color w:val="auto"/>
          <w:sz w:val="24"/>
          <w:szCs w:val="24"/>
          <w:highlight w:val="none"/>
          <w:lang w:val="en-US" w:eastAsia="zh-CN" w:bidi="ar-SA"/>
        </w:rPr>
        <w:t>级或以上级别的注册建造师；</w:t>
      </w:r>
    </w:p>
    <w:p w14:paraId="75C490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E28C24F">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lang w:val="en-US" w:eastAsia="zh-CN" w:bidi="ar-SA"/>
        </w:rPr>
        <w:t>、</w:t>
      </w:r>
      <w:r>
        <w:rPr>
          <w:rFonts w:hint="eastAsia" w:ascii="宋体" w:hAnsi="宋体" w:eastAsia="宋体" w:cs="Times New Roman"/>
          <w:color w:val="auto"/>
          <w:sz w:val="24"/>
          <w:szCs w:val="24"/>
          <w:highlight w:val="none"/>
          <w:lang w:val="en-US" w:eastAsia="zh-CN" w:bidi="ar-SA"/>
        </w:rPr>
        <w:t>广东省住房和城乡建设厅关于做好有关建设工程企业资质证书换领工作的通知（粤建许函〔2024〕124号）等相关规定。根据上述文件的要求，投标人需办理企业资质有效期延续的，应当按照相关规定及时办理。</w:t>
      </w:r>
    </w:p>
    <w:p w14:paraId="5069D435">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C3237EF">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6CFB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4E57BC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5、项目负责</w:t>
      </w:r>
      <w:r>
        <w:rPr>
          <w:rFonts w:ascii="宋体" w:hAnsi="宋体" w:eastAsia="宋体" w:cs="Times New Roman"/>
          <w:color w:val="auto"/>
          <w:sz w:val="24"/>
          <w:szCs w:val="24"/>
          <w:highlight w:val="none"/>
          <w:lang w:val="en-US" w:eastAsia="zh-CN" w:bidi="ar-SA"/>
        </w:rPr>
        <w:t>人持有安全</w:t>
      </w:r>
      <w:r>
        <w:rPr>
          <w:rFonts w:hint="eastAsia" w:ascii="宋体" w:hAnsi="宋体" w:eastAsia="宋体" w:cs="Times New Roman"/>
          <w:color w:val="auto"/>
          <w:sz w:val="24"/>
          <w:szCs w:val="24"/>
          <w:highlight w:val="none"/>
          <w:lang w:val="en-US" w:eastAsia="zh-CN" w:bidi="ar-SA"/>
        </w:rPr>
        <w:t>生产</w:t>
      </w:r>
      <w:r>
        <w:rPr>
          <w:rFonts w:ascii="宋体" w:hAnsi="宋体" w:eastAsia="宋体" w:cs="Times New Roman"/>
          <w:color w:val="auto"/>
          <w:sz w:val="24"/>
          <w:szCs w:val="24"/>
          <w:highlight w:val="none"/>
          <w:lang w:val="en-US" w:eastAsia="zh-CN" w:bidi="ar-SA"/>
        </w:rPr>
        <w:t>考核合格证（B类）或</w:t>
      </w:r>
      <w:r>
        <w:rPr>
          <w:rFonts w:hint="eastAsia" w:ascii="宋体" w:hAnsi="宋体" w:eastAsia="宋体" w:cs="Times New Roman"/>
          <w:color w:val="auto"/>
          <w:sz w:val="24"/>
          <w:szCs w:val="24"/>
          <w:highlight w:val="none"/>
          <w:lang w:val="en-US" w:eastAsia="zh-CN" w:bidi="ar-SA"/>
        </w:rPr>
        <w:t>建筑施工企业项目负责人安全生产考核合格证书；</w:t>
      </w:r>
    </w:p>
    <w:p w14:paraId="1C8730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lang w:val="en-US" w:eastAsia="zh-CN" w:bidi="ar-SA"/>
        </w:rPr>
        <w:t>6、投标人拟担任本工程技术负责人的资格要求为：</w:t>
      </w:r>
      <w:r>
        <w:rPr>
          <w:rFonts w:hint="eastAsia" w:ascii="宋体" w:hAnsi="宋体" w:eastAsia="宋体" w:cs="Times New Roman"/>
          <w:color w:val="auto"/>
          <w:sz w:val="24"/>
          <w:szCs w:val="24"/>
          <w:highlight w:val="none"/>
          <w:u w:val="single"/>
          <w:lang w:val="en-US" w:eastAsia="zh-CN" w:bidi="ar-SA"/>
        </w:rPr>
        <w:t>建筑工程相关专业中级工程师或以上技术职称</w:t>
      </w:r>
      <w:r>
        <w:rPr>
          <w:rFonts w:hint="eastAsia" w:ascii="宋体" w:hAnsi="宋体" w:cs="Times New Roman"/>
          <w:color w:val="auto"/>
          <w:sz w:val="24"/>
          <w:szCs w:val="24"/>
          <w:highlight w:val="none"/>
          <w:u w:val="single"/>
          <w:lang w:val="en-US" w:eastAsia="zh-CN" w:bidi="ar-SA"/>
        </w:rPr>
        <w:t>。</w:t>
      </w:r>
    </w:p>
    <w:p w14:paraId="34C632C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Times New Roman"/>
          <w:color w:val="auto"/>
          <w:sz w:val="24"/>
          <w:szCs w:val="24"/>
          <w:highlight w:val="none"/>
        </w:rPr>
        <w:t>注：</w:t>
      </w:r>
      <w:r>
        <w:rPr>
          <w:rFonts w:hint="eastAsia" w:ascii="宋体" w:hAnsi="宋体" w:eastAsia="宋体" w:cs="宋体"/>
          <w:color w:val="auto"/>
          <w:sz w:val="24"/>
          <w:szCs w:val="24"/>
          <w:highlight w:val="none"/>
          <w:lang w:val="en-US" w:eastAsia="zh-CN" w:bidi="ar-SA"/>
        </w:rPr>
        <w:t>①</w:t>
      </w:r>
      <w:r>
        <w:rPr>
          <w:rFonts w:hint="eastAsia" w:ascii="宋体" w:hAnsi="宋体" w:eastAsia="宋体" w:cs="宋体"/>
          <w:color w:val="auto"/>
          <w:sz w:val="24"/>
          <w:szCs w:val="24"/>
          <w:highlight w:val="none"/>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16CA16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②采用其他资质的项目，宜要求技术负责人具备项目相适应专业的中级或以上职称。</w:t>
      </w:r>
    </w:p>
    <w:p w14:paraId="1BD60D60">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kern w:val="0"/>
          <w:sz w:val="24"/>
          <w:szCs w:val="22"/>
          <w:highlight w:val="none"/>
        </w:rPr>
      </w:pPr>
      <w:r>
        <w:rPr>
          <w:rFonts w:hint="eastAsia" w:ascii="宋体" w:hAnsi="宋体" w:cs="Times New Roman"/>
          <w:color w:val="auto"/>
          <w:kern w:val="0"/>
          <w:sz w:val="24"/>
          <w:szCs w:val="22"/>
          <w:highlight w:val="none"/>
        </w:rPr>
        <w:t>7、</w:t>
      </w:r>
      <w:r>
        <w:rPr>
          <w:rFonts w:hint="eastAsia" w:ascii="宋体" w:hAnsi="宋体" w:cs="Times New Roman"/>
          <w:color w:val="auto"/>
          <w:sz w:val="24"/>
          <w:szCs w:val="24"/>
          <w:highlight w:val="none"/>
        </w:rPr>
        <w:t>专职安全员须具有安全生产考核合格证（</w:t>
      </w:r>
      <w:r>
        <w:rPr>
          <w:rFonts w:ascii="宋体" w:hAnsi="宋体" w:cs="Times New Roman"/>
          <w:color w:val="auto"/>
          <w:sz w:val="24"/>
          <w:szCs w:val="24"/>
          <w:highlight w:val="none"/>
        </w:rPr>
        <w:t>C</w:t>
      </w:r>
      <w:r>
        <w:rPr>
          <w:rFonts w:hint="eastAsia" w:ascii="宋体" w:hAnsi="宋体" w:cs="Times New Roman"/>
          <w:color w:val="auto"/>
          <w:sz w:val="24"/>
          <w:szCs w:val="24"/>
          <w:highlight w:val="none"/>
        </w:rPr>
        <w:t>类）</w:t>
      </w:r>
      <w:r>
        <w:rPr>
          <w:rFonts w:hint="eastAsia" w:ascii="宋体" w:hAnsi="宋体" w:cs="Times New Roman"/>
          <w:color w:val="auto"/>
          <w:kern w:val="0"/>
          <w:sz w:val="24"/>
          <w:szCs w:val="22"/>
          <w:highlight w:val="none"/>
        </w:rPr>
        <w:t>或建筑施工企业专职安全生产管理人员安全生产考核合格证书。</w:t>
      </w:r>
    </w:p>
    <w:p w14:paraId="5D7451DA">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宋体" w:cs="Times New Roman"/>
          <w:color w:val="auto"/>
          <w:sz w:val="24"/>
          <w:szCs w:val="22"/>
          <w:highlight w:val="none"/>
        </w:rPr>
      </w:pPr>
      <w:r>
        <w:rPr>
          <w:rFonts w:hint="eastAsia" w:ascii="宋体" w:hAnsi="宋体" w:cs="Times New Roman"/>
          <w:color w:val="auto"/>
          <w:sz w:val="24"/>
          <w:szCs w:val="22"/>
          <w:highlight w:val="none"/>
        </w:rPr>
        <w:t>8、提交社保文件的要求：投标申请人须保证授权的委托代理人及项目部主要组成人员（项目负责人、技术负责人（如有）、专职安全员）均为本单位的正式职工，必须具有离投标截止时间最近的至少1个月（时间为：2025年</w:t>
      </w:r>
      <w:r>
        <w:rPr>
          <w:rFonts w:hint="eastAsia" w:ascii="宋体" w:hAnsi="宋体" w:cs="Times New Roman"/>
          <w:color w:val="auto"/>
          <w:sz w:val="24"/>
          <w:szCs w:val="22"/>
          <w:highlight w:val="none"/>
          <w:lang w:val="en-US" w:eastAsia="zh-CN"/>
        </w:rPr>
        <w:t>9</w:t>
      </w:r>
      <w:r>
        <w:rPr>
          <w:rFonts w:hint="eastAsia" w:ascii="宋体" w:hAnsi="宋体" w:cs="Times New Roman"/>
          <w:color w:val="auto"/>
          <w:sz w:val="24"/>
          <w:szCs w:val="22"/>
          <w:highlight w:val="none"/>
        </w:rPr>
        <w:t>月</w:t>
      </w:r>
      <w:r>
        <w:rPr>
          <w:rFonts w:hint="eastAsia" w:ascii="宋体" w:hAnsi="宋体" w:cs="Times New Roman"/>
          <w:color w:val="auto"/>
          <w:sz w:val="24"/>
          <w:szCs w:val="22"/>
          <w:highlight w:val="none"/>
          <w:lang w:val="en-US" w:eastAsia="zh-CN"/>
        </w:rPr>
        <w:t>或</w:t>
      </w:r>
      <w:r>
        <w:rPr>
          <w:rFonts w:hint="eastAsia" w:ascii="宋体" w:hAnsi="宋体" w:cs="Times New Roman"/>
          <w:color w:val="auto"/>
          <w:sz w:val="24"/>
          <w:szCs w:val="22"/>
          <w:highlight w:val="none"/>
        </w:rPr>
        <w:t>2025年</w:t>
      </w:r>
      <w:r>
        <w:rPr>
          <w:rFonts w:hint="eastAsia" w:ascii="宋体" w:hAnsi="宋体" w:cs="Times New Roman"/>
          <w:color w:val="auto"/>
          <w:sz w:val="24"/>
          <w:szCs w:val="22"/>
          <w:highlight w:val="none"/>
          <w:lang w:val="en-US" w:eastAsia="zh-CN"/>
        </w:rPr>
        <w:t>10</w:t>
      </w:r>
      <w:r>
        <w:rPr>
          <w:rFonts w:hint="eastAsia" w:ascii="宋体" w:hAnsi="宋体" w:cs="Times New Roman"/>
          <w:color w:val="auto"/>
          <w:sz w:val="24"/>
          <w:szCs w:val="22"/>
          <w:highlight w:val="none"/>
        </w:rPr>
        <w:t>月）在本单位缴纳的社保证明文件。</w:t>
      </w:r>
    </w:p>
    <w:p w14:paraId="3173DB98">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宋体" w:cs="Times New Roman"/>
          <w:color w:val="auto"/>
          <w:sz w:val="24"/>
          <w:szCs w:val="22"/>
          <w:highlight w:val="none"/>
          <w:lang w:val="en-US" w:eastAsia="zh-CN"/>
        </w:rPr>
        <w:t>9、</w:t>
      </w:r>
      <w:r>
        <w:rPr>
          <w:rFonts w:hint="eastAsia" w:ascii="宋体" w:hAnsi="宋体" w:cs="Times New Roman"/>
          <w:color w:val="auto"/>
          <w:sz w:val="24"/>
          <w:szCs w:val="22"/>
          <w:highlight w:val="none"/>
        </w:rPr>
        <w:t>投标人已按照附件一的内容签署的投标人声明。</w:t>
      </w:r>
    </w:p>
    <w:p w14:paraId="73A64EB4">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宋体" w:cs="Times New Roman"/>
          <w:color w:val="auto"/>
          <w:sz w:val="24"/>
          <w:szCs w:val="24"/>
          <w:highlight w:val="none"/>
          <w:lang w:val="en-US" w:eastAsia="zh-CN"/>
        </w:rPr>
        <w:t>10</w:t>
      </w:r>
      <w:r>
        <w:rPr>
          <w:rFonts w:hint="eastAsia" w:ascii="宋体" w:hAnsi="宋体" w:cs="Times New Roman"/>
          <w:color w:val="auto"/>
          <w:sz w:val="24"/>
          <w:szCs w:val="24"/>
          <w:highlight w:val="none"/>
        </w:rPr>
        <w:t>、关于联合体投标：</w:t>
      </w:r>
      <w:r>
        <w:rPr>
          <w:rFonts w:hint="eastAsia" w:ascii="宋体" w:hAnsi="宋体" w:eastAsia="宋体" w:cs="宋体"/>
          <w:color w:val="auto"/>
          <w:sz w:val="24"/>
          <w:szCs w:val="24"/>
          <w:highlight w:val="none"/>
          <w:u w:val="single"/>
        </w:rPr>
        <w:t>本项目不接受联合体投标</w:t>
      </w:r>
      <w:r>
        <w:rPr>
          <w:rFonts w:hint="eastAsia" w:ascii="宋体" w:hAnsi="宋体" w:eastAsia="宋体" w:cs="宋体"/>
          <w:color w:val="auto"/>
          <w:sz w:val="24"/>
          <w:szCs w:val="24"/>
          <w:highlight w:val="none"/>
          <w:u w:val="single"/>
          <w:lang w:eastAsia="zh-CN"/>
        </w:rPr>
        <w:t>。</w:t>
      </w:r>
    </w:p>
    <w:p w14:paraId="726EC5A8">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宋体" w:cs="Times New Roman"/>
          <w:color w:val="auto"/>
          <w:sz w:val="24"/>
          <w:szCs w:val="22"/>
          <w:highlight w:val="none"/>
        </w:rPr>
      </w:pPr>
      <w:r>
        <w:rPr>
          <w:rFonts w:ascii="宋体" w:hAnsi="宋体" w:cs="Times New Roman"/>
          <w:color w:val="auto"/>
          <w:sz w:val="24"/>
          <w:szCs w:val="22"/>
          <w:highlight w:val="none"/>
        </w:rPr>
        <w:t>1</w:t>
      </w:r>
      <w:r>
        <w:rPr>
          <w:rFonts w:hint="eastAsia" w:ascii="宋体" w:hAnsi="宋体" w:cs="Times New Roman"/>
          <w:color w:val="auto"/>
          <w:sz w:val="24"/>
          <w:szCs w:val="22"/>
          <w:highlight w:val="none"/>
          <w:lang w:val="en-US" w:eastAsia="zh-CN"/>
        </w:rPr>
        <w:t>1</w:t>
      </w:r>
      <w:r>
        <w:rPr>
          <w:rFonts w:ascii="宋体" w:hAnsi="宋体" w:cs="Times New Roman"/>
          <w:color w:val="auto"/>
          <w:sz w:val="24"/>
          <w:szCs w:val="22"/>
          <w:highlight w:val="none"/>
        </w:rPr>
        <w:t>、资格审查前，投标人须在</w:t>
      </w:r>
      <w:r>
        <w:rPr>
          <w:rFonts w:hint="eastAsia" w:ascii="宋体" w:hAnsi="宋体" w:cs="Times New Roman"/>
          <w:color w:val="auto"/>
          <w:sz w:val="24"/>
          <w:szCs w:val="22"/>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0351B893">
      <w:pPr>
        <w:keepNext w:val="0"/>
        <w:keepLines w:val="0"/>
        <w:pageBreakBefore w:val="0"/>
        <w:kinsoku/>
        <w:wordWrap/>
        <w:overflowPunct/>
        <w:topLinePunct w:val="0"/>
        <w:autoSpaceDE/>
        <w:autoSpaceDN/>
        <w:bidi w:val="0"/>
        <w:adjustRightInd w:val="0"/>
        <w:snapToGrid w:val="0"/>
        <w:spacing w:line="360" w:lineRule="auto"/>
        <w:ind w:firstLine="470" w:firstLineChars="224"/>
        <w:textAlignment w:val="auto"/>
        <w:rPr>
          <w:rFonts w:ascii="宋体" w:hAnsi="宋体" w:cs="Times New Roman"/>
          <w:color w:val="auto"/>
          <w:sz w:val="24"/>
          <w:szCs w:val="22"/>
          <w:highlight w:val="none"/>
        </w:rPr>
      </w:pPr>
      <w:r>
        <w:rPr>
          <w:rFonts w:ascii="Calibri" w:hAnsi="Calibri" w:cs="Times New Roman"/>
          <w:color w:val="auto"/>
          <w:szCs w:val="22"/>
          <w:highlight w:val="none"/>
        </w:rPr>
        <w:fldChar w:fldCharType="begin"/>
      </w:r>
      <w:r>
        <w:rPr>
          <w:rFonts w:ascii="Calibri" w:hAnsi="Calibri" w:cs="Times New Roman"/>
          <w:color w:val="auto"/>
          <w:szCs w:val="22"/>
          <w:highlight w:val="none"/>
        </w:rPr>
        <w:instrText xml:space="preserve"> HYPERLINK "http://zfcj.gz.gov.cn/zwgk/zsdwxxgkzl/gzsjzyglfwzx/bszy/content/post_8484886.html）" </w:instrText>
      </w:r>
      <w:r>
        <w:rPr>
          <w:rFonts w:ascii="Calibri" w:hAnsi="Calibri" w:cs="Times New Roman"/>
          <w:color w:val="auto"/>
          <w:szCs w:val="22"/>
          <w:highlight w:val="none"/>
        </w:rPr>
        <w:fldChar w:fldCharType="separate"/>
      </w:r>
      <w:r>
        <w:rPr>
          <w:rFonts w:ascii="宋体" w:hAnsi="宋体" w:cs="Times New Roman"/>
          <w:color w:val="auto"/>
          <w:sz w:val="24"/>
          <w:szCs w:val="22"/>
          <w:highlight w:val="none"/>
          <w:u w:val="single"/>
        </w:rPr>
        <w:t>http://zfcj.gz.gov.cn/zwgk/zsdwxxgkzl/gzsjzyglfwzx/bszy/content/post_8484886.html）</w:t>
      </w:r>
      <w:r>
        <w:rPr>
          <w:rFonts w:ascii="宋体" w:hAnsi="宋体" w:cs="Times New Roman"/>
          <w:color w:val="auto"/>
          <w:sz w:val="24"/>
          <w:szCs w:val="22"/>
          <w:highlight w:val="none"/>
          <w:u w:val="single"/>
        </w:rPr>
        <w:fldChar w:fldCharType="end"/>
      </w:r>
      <w:r>
        <w:rPr>
          <w:rFonts w:hint="eastAsia" w:ascii="宋体" w:hAnsi="宋体" w:cs="Times New Roman"/>
          <w:color w:val="auto"/>
          <w:sz w:val="24"/>
          <w:szCs w:val="22"/>
          <w:highlight w:val="none"/>
          <w:u w:val="single"/>
        </w:rPr>
        <w:t>。</w:t>
      </w:r>
    </w:p>
    <w:p w14:paraId="362ABDCA">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宋体" w:cs="Times New Roman"/>
          <w:color w:val="auto"/>
          <w:sz w:val="24"/>
          <w:szCs w:val="24"/>
          <w:highlight w:val="none"/>
        </w:rPr>
      </w:pPr>
      <w:r>
        <w:rPr>
          <w:rFonts w:hint="eastAsia" w:ascii="宋体" w:hAnsi="宋体" w:cs="Times New Roman"/>
          <w:color w:val="auto"/>
          <w:sz w:val="24"/>
          <w:szCs w:val="22"/>
          <w:highlight w:val="none"/>
        </w:rPr>
        <w:t>1</w:t>
      </w:r>
      <w:r>
        <w:rPr>
          <w:rFonts w:hint="eastAsia" w:ascii="宋体" w:hAnsi="宋体" w:cs="Times New Roman"/>
          <w:color w:val="auto"/>
          <w:sz w:val="24"/>
          <w:szCs w:val="22"/>
          <w:highlight w:val="none"/>
          <w:lang w:val="en-US" w:eastAsia="zh-CN"/>
        </w:rPr>
        <w:t>2</w:t>
      </w:r>
      <w:r>
        <w:rPr>
          <w:rFonts w:hint="eastAsia" w:ascii="宋体" w:hAnsi="宋体" w:cs="Times New Roman"/>
          <w:color w:val="auto"/>
          <w:sz w:val="24"/>
          <w:szCs w:val="22"/>
          <w:highlight w:val="none"/>
        </w:rPr>
        <w:t>、</w:t>
      </w:r>
      <w:r>
        <w:rPr>
          <w:rFonts w:hint="eastAsia" w:ascii="宋体" w:hAnsi="宋体" w:cs="Times New Roman"/>
          <w:color w:val="auto"/>
          <w:sz w:val="24"/>
          <w:szCs w:val="24"/>
          <w:highlight w:val="none"/>
        </w:rPr>
        <w:t>投标人未出现以下情形：与其它投标人的单位负责人为同一人或者存在控股、管理关系的（按投标人提供的《投标人声明》</w:t>
      </w:r>
      <w:r>
        <w:rPr>
          <w:rFonts w:hint="eastAsia" w:ascii="宋体" w:hAnsi="宋体" w:cs="Times New Roman"/>
          <w:b/>
          <w:bCs/>
          <w:color w:val="auto"/>
          <w:sz w:val="24"/>
          <w:szCs w:val="24"/>
          <w:highlight w:val="none"/>
        </w:rPr>
        <w:t>第九条</w:t>
      </w:r>
      <w:r>
        <w:rPr>
          <w:rFonts w:hint="eastAsia" w:ascii="宋体" w:hAnsi="宋体" w:cs="Times New Roman"/>
          <w:color w:val="auto"/>
          <w:sz w:val="24"/>
          <w:szCs w:val="24"/>
          <w:highlight w:val="none"/>
        </w:rPr>
        <w:t>内容进行评审）。如不同投标申请人出现单位负责人为同一人或者存在控股、管理关系的情形，则</w:t>
      </w:r>
      <w:r>
        <w:rPr>
          <w:rFonts w:hint="eastAsia" w:ascii="宋体" w:hAnsi="宋体" w:eastAsia="宋体" w:cs="宋体"/>
          <w:color w:val="auto"/>
          <w:sz w:val="24"/>
          <w:szCs w:val="24"/>
          <w:highlight w:val="none"/>
          <w:u w:val="single"/>
        </w:rPr>
        <w:t>相关投标均无效</w:t>
      </w:r>
      <w:r>
        <w:rPr>
          <w:rFonts w:hint="eastAsia" w:ascii="宋体" w:hAnsi="宋体" w:cs="Times New Roman"/>
          <w:color w:val="auto"/>
          <w:sz w:val="24"/>
          <w:szCs w:val="24"/>
          <w:highlight w:val="none"/>
        </w:rPr>
        <w:t>。</w:t>
      </w:r>
    </w:p>
    <w:p w14:paraId="51F3DA47">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1</w:t>
      </w:r>
      <w:r>
        <w:rPr>
          <w:rFonts w:hint="eastAsia" w:ascii="宋体" w:hAnsi="宋体" w:cs="Times New Roman"/>
          <w:color w:val="auto"/>
          <w:sz w:val="24"/>
          <w:szCs w:val="24"/>
          <w:highlight w:val="none"/>
          <w:lang w:val="en-US" w:eastAsia="zh-CN"/>
        </w:rPr>
        <w:t>3</w:t>
      </w:r>
      <w:r>
        <w:rPr>
          <w:rFonts w:hint="eastAsia" w:ascii="宋体" w:hAnsi="宋体" w:cs="Times New Roman"/>
          <w:color w:val="auto"/>
          <w:sz w:val="24"/>
          <w:szCs w:val="24"/>
          <w:highlight w:val="none"/>
        </w:rPr>
        <w:t>、未被列入拖欠农民工工资失信联合惩戒对象名单。</w:t>
      </w:r>
    </w:p>
    <w:p w14:paraId="1602E0D5">
      <w:pPr>
        <w:keepNext w:val="0"/>
        <w:keepLines w:val="0"/>
        <w:pageBreakBefore w:val="0"/>
        <w:widowControl w:val="0"/>
        <w:tabs>
          <w:tab w:val="left" w:pos="7380"/>
        </w:tabs>
        <w:kinsoku/>
        <w:wordWrap/>
        <w:overflowPunct/>
        <w:topLinePunct w:val="0"/>
        <w:autoSpaceDE/>
        <w:autoSpaceDN/>
        <w:bidi w:val="0"/>
        <w:adjustRightInd w:val="0"/>
        <w:snapToGrid w:val="0"/>
        <w:spacing w:after="0" w:line="360" w:lineRule="auto"/>
        <w:ind w:firstLine="523" w:firstLineChars="218"/>
        <w:jc w:val="both"/>
        <w:textAlignment w:val="auto"/>
        <w:rPr>
          <w:rFonts w:ascii="宋体" w:hAnsi="Times New Roman"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注：未在招标公告第九条单列的资审合格条件，不作为资审不合格的依据。</w:t>
      </w:r>
    </w:p>
    <w:p w14:paraId="5175579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Calibri" w:cs="宋体"/>
          <w:color w:val="auto"/>
          <w:sz w:val="24"/>
          <w:szCs w:val="24"/>
          <w:highlight w:val="none"/>
        </w:rPr>
      </w:pPr>
      <w:r>
        <w:rPr>
          <w:rFonts w:hint="eastAsia" w:ascii="宋体" w:hAnsi="宋体" w:cs="宋体"/>
          <w:color w:val="auto"/>
          <w:sz w:val="24"/>
          <w:szCs w:val="24"/>
          <w:highlight w:val="none"/>
        </w:rPr>
        <w:t>十、资格审查方式：</w:t>
      </w:r>
    </w:p>
    <w:p w14:paraId="33F2928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Calibri"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256D00A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highlight w:val="none"/>
        </w:rPr>
        <w:t>交易平台</w:t>
      </w:r>
      <w:r>
        <w:rPr>
          <w:rFonts w:hint="eastAsia" w:ascii="宋体" w:hAnsi="宋体" w:cs="Times New Roman"/>
          <w:color w:val="auto"/>
          <w:sz w:val="24"/>
          <w:szCs w:val="22"/>
          <w:highlight w:val="none"/>
        </w:rPr>
        <w:t>和广东省招标投标监管网公示，</w:t>
      </w:r>
      <w:r>
        <w:rPr>
          <w:rFonts w:hint="eastAsia" w:ascii="宋体" w:hAnsi="宋体" w:cs="Times New Roman"/>
          <w:bCs/>
          <w:color w:val="auto"/>
          <w:sz w:val="24"/>
          <w:szCs w:val="22"/>
          <w:highlight w:val="none"/>
        </w:rPr>
        <w:t>公示时间不得少于3日。</w:t>
      </w:r>
    </w:p>
    <w:p w14:paraId="628FE6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十二、满足资格审查合格条件的投标人不足 3 名或通过有效性审查的投标人不足3名时为招标失败。招标人分析招标失败原因，修正招标方案，报有关管理部门核准后，重新组织招标。</w:t>
      </w:r>
    </w:p>
    <w:p w14:paraId="051D6245">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宋体" w:cs="Times New Roman"/>
          <w:color w:val="auto"/>
          <w:sz w:val="24"/>
          <w:szCs w:val="22"/>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3DFB88B">
      <w:pPr>
        <w:keepNext w:val="0"/>
        <w:keepLines w:val="0"/>
        <w:pageBreakBefore w:val="0"/>
        <w:kinsoku/>
        <w:wordWrap/>
        <w:overflowPunct/>
        <w:topLinePunct w:val="0"/>
        <w:autoSpaceDE/>
        <w:autoSpaceDN/>
        <w:bidi w:val="0"/>
        <w:adjustRightInd w:val="0"/>
        <w:snapToGrid w:val="0"/>
        <w:spacing w:line="360" w:lineRule="auto"/>
        <w:ind w:firstLine="537" w:firstLineChars="224"/>
        <w:jc w:val="left"/>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7275BE0">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4"/>
          <w:highlight w:val="none"/>
        </w:rPr>
      </w:pPr>
      <w:r>
        <w:rPr>
          <w:rFonts w:hint="eastAsia" w:ascii="宋体" w:hAnsi="宋体" w:cs="Times New Roman"/>
          <w:color w:val="auto"/>
          <w:sz w:val="24"/>
          <w:szCs w:val="22"/>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E69161E">
      <w:pPr>
        <w:keepNext w:val="0"/>
        <w:keepLines w:val="0"/>
        <w:pageBreakBefore w:val="0"/>
        <w:kinsoku/>
        <w:wordWrap/>
        <w:overflowPunct/>
        <w:topLinePunct w:val="0"/>
        <w:autoSpaceDE/>
        <w:autoSpaceDN/>
        <w:bidi w:val="0"/>
        <w:adjustRightInd w:val="0"/>
        <w:snapToGrid w:val="0"/>
        <w:spacing w:line="360" w:lineRule="auto"/>
        <w:ind w:left="239" w:leftChars="114" w:firstLine="297" w:firstLineChars="124"/>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十五、潜在投标人或利害关系人对本招标公告及招标文件有异议的，应当在投标截止时间10日前向招标人书面提出。</w:t>
      </w:r>
    </w:p>
    <w:p w14:paraId="673E00C4">
      <w:pPr>
        <w:keepNext w:val="0"/>
        <w:keepLines w:val="0"/>
        <w:pageBreakBefore w:val="0"/>
        <w:kinsoku/>
        <w:wordWrap/>
        <w:overflowPunct/>
        <w:topLinePunct w:val="0"/>
        <w:autoSpaceDE/>
        <w:autoSpaceDN/>
        <w:bidi w:val="0"/>
        <w:adjustRightInd w:val="0"/>
        <w:snapToGrid w:val="0"/>
        <w:spacing w:line="360" w:lineRule="auto"/>
        <w:ind w:left="239" w:leftChars="114" w:firstLine="297" w:firstLineChars="1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广州市越秀区代建项目管理中心</w:t>
      </w:r>
    </w:p>
    <w:p w14:paraId="62767885">
      <w:pPr>
        <w:keepNext w:val="0"/>
        <w:keepLines w:val="0"/>
        <w:pageBreakBefore w:val="0"/>
        <w:kinsoku/>
        <w:wordWrap/>
        <w:overflowPunct/>
        <w:topLinePunct w:val="0"/>
        <w:autoSpaceDE/>
        <w:autoSpaceDN/>
        <w:bidi w:val="0"/>
        <w:adjustRightInd w:val="0"/>
        <w:snapToGrid w:val="0"/>
        <w:spacing w:line="360" w:lineRule="auto"/>
        <w:ind w:left="239" w:leftChars="114" w:firstLine="297" w:firstLineChars="1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异议受理电话：</w:t>
      </w:r>
      <w:r>
        <w:rPr>
          <w:rFonts w:hint="eastAsia" w:ascii="宋体" w:hAnsi="宋体"/>
          <w:color w:val="auto"/>
          <w:sz w:val="24"/>
          <w:highlight w:val="none"/>
          <w:u w:val="single"/>
          <w:lang w:eastAsia="zh-CN"/>
        </w:rPr>
        <w:t>020-83520212</w:t>
      </w:r>
    </w:p>
    <w:p w14:paraId="4786B58F">
      <w:pPr>
        <w:keepNext w:val="0"/>
        <w:keepLines w:val="0"/>
        <w:pageBreakBefore w:val="0"/>
        <w:kinsoku/>
        <w:wordWrap/>
        <w:overflowPunct/>
        <w:topLinePunct w:val="0"/>
        <w:autoSpaceDE/>
        <w:autoSpaceDN/>
        <w:bidi w:val="0"/>
        <w:adjustRightInd w:val="0"/>
        <w:snapToGrid w:val="0"/>
        <w:spacing w:line="360" w:lineRule="auto"/>
        <w:ind w:left="239" w:leftChars="114" w:firstLine="297" w:firstLineChars="124"/>
        <w:textAlignment w:val="auto"/>
        <w:rPr>
          <w:rFonts w:ascii="宋体" w:hAnsi="宋体" w:cs="Times New Roman"/>
          <w:color w:val="auto"/>
          <w:sz w:val="24"/>
          <w:szCs w:val="22"/>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广州市越秀区东华西路永胜街51号</w:t>
      </w:r>
    </w:p>
    <w:p w14:paraId="5FACE4E1">
      <w:pPr>
        <w:keepNext w:val="0"/>
        <w:keepLines w:val="0"/>
        <w:pageBreakBefore w:val="0"/>
        <w:kinsoku/>
        <w:wordWrap/>
        <w:overflowPunct/>
        <w:topLinePunct w:val="0"/>
        <w:autoSpaceDE/>
        <w:autoSpaceDN/>
        <w:bidi w:val="0"/>
        <w:adjustRightInd w:val="0"/>
        <w:snapToGrid w:val="0"/>
        <w:spacing w:line="360" w:lineRule="auto"/>
        <w:ind w:left="239" w:leftChars="114" w:firstLine="297" w:firstLineChars="124"/>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634EE19">
      <w:pPr>
        <w:keepNext w:val="0"/>
        <w:keepLines w:val="0"/>
        <w:pageBreakBefore w:val="0"/>
        <w:kinsoku/>
        <w:wordWrap/>
        <w:overflowPunct/>
        <w:topLinePunct w:val="0"/>
        <w:autoSpaceDE/>
        <w:autoSpaceDN/>
        <w:bidi w:val="0"/>
        <w:adjustRightInd w:val="0"/>
        <w:snapToGrid w:val="0"/>
        <w:spacing w:line="360" w:lineRule="auto"/>
        <w:ind w:left="239" w:leftChars="114" w:firstLine="297" w:firstLineChars="124"/>
        <w:textAlignment w:val="auto"/>
        <w:rPr>
          <w:rFonts w:hint="eastAsia" w:ascii="宋体" w:hAnsi="Calibri" w:eastAsia="宋体" w:cs="Times New Roman"/>
          <w:color w:val="auto"/>
          <w:sz w:val="24"/>
          <w:szCs w:val="22"/>
          <w:highlight w:val="none"/>
          <w:lang w:val="en-US" w:eastAsia="zh-CN"/>
        </w:rPr>
      </w:pPr>
      <w:r>
        <w:rPr>
          <w:rFonts w:hint="eastAsia" w:ascii="宋体" w:hAnsi="宋体" w:cs="Times New Roman"/>
          <w:color w:val="auto"/>
          <w:sz w:val="24"/>
          <w:szCs w:val="22"/>
          <w:highlight w:val="none"/>
        </w:rPr>
        <w:t>十六、本公告在广州交易集团有限公司（广州公共资源交易中心）官网（网址：http://www.gzggzy.cn）、广东省招标投标监管网（网址：</w:t>
      </w:r>
      <w:r>
        <w:rPr>
          <w:rFonts w:ascii="宋体" w:hAnsi="宋体" w:cs="Times New Roman"/>
          <w:color w:val="auto"/>
          <w:sz w:val="24"/>
          <w:szCs w:val="22"/>
          <w:highlight w:val="none"/>
        </w:rPr>
        <w:t>http://zbtb.gd.gov.cn</w:t>
      </w:r>
      <w:r>
        <w:rPr>
          <w:rFonts w:hint="eastAsia" w:ascii="宋体" w:hAnsi="宋体" w:cs="Times New Roman"/>
          <w:color w:val="auto"/>
          <w:sz w:val="24"/>
          <w:szCs w:val="22"/>
          <w:highlight w:val="none"/>
        </w:rPr>
        <w:t>）和中国招标投标公共服务平台（网址：http://www.cebpubservice.com/）发布，本公告的修改、补充，在广州交易集团有限公司（广州公共资源交易中心）官网发布。</w:t>
      </w:r>
      <w:r>
        <w:rPr>
          <w:rFonts w:hint="eastAsia" w:ascii="宋体" w:hAnsi="宋体" w:cs="Times New Roman"/>
          <w:color w:val="auto"/>
          <w:sz w:val="24"/>
          <w:szCs w:val="22"/>
          <w:highlight w:val="none"/>
          <w:lang w:val="en-US" w:eastAsia="zh-CN"/>
        </w:rPr>
        <w:t>本项目中标结果公示</w:t>
      </w:r>
      <w:r>
        <w:rPr>
          <w:rFonts w:hint="eastAsia" w:ascii="宋体" w:hAnsi="宋体" w:cs="Times New Roman"/>
          <w:color w:val="auto"/>
          <w:sz w:val="24"/>
          <w:szCs w:val="22"/>
          <w:highlight w:val="none"/>
        </w:rPr>
        <w:t>广州交易集团有限公司（广州公共资源交易中心）官网（网址：http://www.gzggzy.cn）、广东省招标投标监管网（网址：</w:t>
      </w:r>
      <w:r>
        <w:rPr>
          <w:rFonts w:ascii="宋体" w:hAnsi="宋体" w:cs="Times New Roman"/>
          <w:color w:val="auto"/>
          <w:sz w:val="24"/>
          <w:szCs w:val="22"/>
          <w:highlight w:val="none"/>
        </w:rPr>
        <w:t>http://zbtb.gd.gov.cn</w:t>
      </w:r>
      <w:r>
        <w:rPr>
          <w:rFonts w:hint="eastAsia" w:ascii="宋体" w:hAnsi="宋体" w:cs="Times New Roman"/>
          <w:color w:val="auto"/>
          <w:sz w:val="24"/>
          <w:szCs w:val="22"/>
          <w:highlight w:val="none"/>
        </w:rPr>
        <w:t>）和中国招标投标公共服务平台（网址：http://www.cebpubservice.com/）</w:t>
      </w:r>
      <w:r>
        <w:rPr>
          <w:rFonts w:hint="eastAsia" w:ascii="宋体" w:hAnsi="宋体" w:cs="Times New Roman"/>
          <w:color w:val="auto"/>
          <w:sz w:val="24"/>
          <w:szCs w:val="22"/>
          <w:highlight w:val="none"/>
          <w:lang w:val="en-US" w:eastAsia="zh-CN"/>
        </w:rPr>
        <w:t>发布。</w:t>
      </w:r>
    </w:p>
    <w:p w14:paraId="45249F75">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宋体" w:cs="Times New Roman"/>
          <w:color w:val="auto"/>
          <w:sz w:val="24"/>
          <w:szCs w:val="22"/>
          <w:highlight w:val="none"/>
        </w:rPr>
        <w:t>十七、本招标公告及招标文件使用GZZB2018-3招标文件范本。本公告与范本内容不同之处均以下划线标明，所有标明下划线部分属于本公告的组成部分，同其他部分具有同样的效力。</w:t>
      </w:r>
    </w:p>
    <w:p w14:paraId="33E5976C">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宋体" w:cs="Times New Roman"/>
          <w:b/>
          <w:bCs/>
          <w:color w:val="auto"/>
          <w:sz w:val="24"/>
          <w:szCs w:val="22"/>
          <w:highlight w:val="none"/>
        </w:rPr>
      </w:pPr>
      <w:r>
        <w:rPr>
          <w:rFonts w:hint="eastAsia" w:ascii="宋体" w:hAnsi="宋体" w:cs="Times New Roman"/>
          <w:color w:val="auto"/>
          <w:sz w:val="24"/>
          <w:szCs w:val="22"/>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21AAB6D">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Calibri" w:cs="Times New Roman"/>
          <w:color w:val="auto"/>
          <w:sz w:val="24"/>
          <w:szCs w:val="22"/>
          <w:highlight w:val="none"/>
        </w:rPr>
      </w:pPr>
      <w:r>
        <w:rPr>
          <w:rFonts w:hint="eastAsia" w:ascii="宋体" w:hAnsi="Calibri" w:cs="Times New Roman"/>
          <w:color w:val="auto"/>
          <w:sz w:val="24"/>
          <w:szCs w:val="22"/>
          <w:highlight w:val="none"/>
        </w:rPr>
        <w:t>十九、 《投诉处理决定书》和《行政处理决定书》在</w:t>
      </w:r>
      <w:r>
        <w:rPr>
          <w:rFonts w:hint="eastAsia" w:ascii="宋体" w:hAnsi="宋体" w:cs="Times New Roman"/>
          <w:color w:val="auto"/>
          <w:sz w:val="24"/>
          <w:szCs w:val="22"/>
          <w:highlight w:val="none"/>
        </w:rPr>
        <w:t>广州市住房和城乡建设局</w:t>
      </w:r>
      <w:r>
        <w:rPr>
          <w:rFonts w:hint="eastAsia" w:ascii="宋体" w:hAnsi="Calibri" w:cs="Times New Roman"/>
          <w:color w:val="auto"/>
          <w:sz w:val="24"/>
          <w:szCs w:val="22"/>
          <w:highlight w:val="none"/>
        </w:rPr>
        <w:t>网站上公布的，视为送达其他与决定书有关的当事人。</w:t>
      </w:r>
    </w:p>
    <w:p w14:paraId="68CA1C0B">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ascii="宋体" w:hAnsi="Calibri" w:cs="Times New Roman"/>
          <w:color w:val="auto"/>
          <w:sz w:val="24"/>
          <w:szCs w:val="22"/>
          <w:highlight w:val="none"/>
        </w:rPr>
      </w:pPr>
      <w:r>
        <w:rPr>
          <w:rFonts w:hint="eastAsia" w:ascii="宋体" w:hAnsi="Calibri" w:cs="Times New Roman"/>
          <w:color w:val="auto"/>
          <w:sz w:val="24"/>
          <w:szCs w:val="22"/>
          <w:highlight w:val="none"/>
        </w:rPr>
        <w:t>特别提示：投标人在本项目招标人的工程项目中存在下列行为的，将被拒绝一</w:t>
      </w:r>
      <w:r>
        <w:rPr>
          <w:rFonts w:hint="eastAsia" w:ascii="宋体" w:hAnsi="Calibri" w:cs="Times New Roman"/>
          <w:color w:val="auto"/>
          <w:sz w:val="24"/>
          <w:szCs w:val="22"/>
          <w:highlight w:val="none"/>
          <w:lang w:val="en-US" w:eastAsia="zh-CN"/>
        </w:rPr>
        <w:t>年</w:t>
      </w:r>
      <w:r>
        <w:rPr>
          <w:rFonts w:hint="eastAsia" w:ascii="宋体" w:hAnsi="Calibri" w:cs="Times New Roman"/>
          <w:color w:val="auto"/>
          <w:sz w:val="24"/>
          <w:szCs w:val="22"/>
          <w:highlight w:val="none"/>
        </w:rPr>
        <w:t>内参与招标人后续工程投标。（注：自招标人发出通知之日起计）：</w:t>
      </w:r>
    </w:p>
    <w:p w14:paraId="1CC8EE4C">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1.将中标工程转包或者违法分包的;</w:t>
      </w:r>
    </w:p>
    <w:p w14:paraId="0F61EED2">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2.在中标工程中不执行质量、安全生产相关规定的，造成质量或安全事故的；</w:t>
      </w:r>
    </w:p>
    <w:p w14:paraId="06C23B92">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3.出让投标资格的；</w:t>
      </w:r>
    </w:p>
    <w:p w14:paraId="0C823B6C">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4.存在围标或串标情形的;</w:t>
      </w:r>
    </w:p>
    <w:p w14:paraId="41EDFA06">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5.在投标文件中提供虚假材料的；</w:t>
      </w:r>
    </w:p>
    <w:p w14:paraId="18B61CF5">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6.存在少放、不放业绩、奖项等客观评审资料，减少自身竞争力情形的；</w:t>
      </w:r>
    </w:p>
    <w:p w14:paraId="1A6A3CCE">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7.存在行贿情形的;</w:t>
      </w:r>
    </w:p>
    <w:p w14:paraId="196FC0A6">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8.拖欠农民工工资的；</w:t>
      </w:r>
    </w:p>
    <w:p w14:paraId="4DD2C4C5">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9.未按照国家、省、市有关建筑施工实名制管理和工人工资支付分账管理的规定执行，被行政监管部门处罚的；</w:t>
      </w:r>
    </w:p>
    <w:p w14:paraId="63B48E25">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hint="eastAsia" w:ascii="宋体" w:hAnsi="Calibri" w:cs="Times New Roman"/>
          <w:color w:val="auto"/>
          <w:sz w:val="24"/>
          <w:szCs w:val="22"/>
          <w:highlight w:val="none"/>
        </w:rPr>
      </w:pPr>
      <w:r>
        <w:rPr>
          <w:rFonts w:hint="eastAsia" w:ascii="宋体" w:hAnsi="Calibri" w:cs="Times New Roman"/>
          <w:color w:val="auto"/>
          <w:sz w:val="24"/>
          <w:szCs w:val="22"/>
          <w:highlight w:val="none"/>
        </w:rPr>
        <w:t>10.中标人在项目实施过程中选取的专业分包单位或劳务企业或劳务班组长与投标时不一致的（如有）；</w:t>
      </w:r>
    </w:p>
    <w:p w14:paraId="3EF1D791">
      <w:pPr>
        <w:keepNext w:val="0"/>
        <w:keepLines w:val="0"/>
        <w:pageBreakBefore w:val="0"/>
        <w:widowControl/>
        <w:kinsoku/>
        <w:wordWrap/>
        <w:overflowPunct/>
        <w:topLinePunct w:val="0"/>
        <w:autoSpaceDE/>
        <w:autoSpaceDN/>
        <w:bidi w:val="0"/>
        <w:adjustRightInd w:val="0"/>
        <w:snapToGrid w:val="0"/>
        <w:spacing w:line="360" w:lineRule="auto"/>
        <w:ind w:firstLine="540" w:firstLineChars="224"/>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000000"/>
          <w:kern w:val="0"/>
          <w:sz w:val="24"/>
          <w:szCs w:val="24"/>
        </w:rPr>
        <w:t>11.本项目投标时拟派的专职安全员在其他项目中有任职且在本项目开工前未完成更换确保专职安全员只在本项目上任职的;</w:t>
      </w:r>
    </w:p>
    <w:p w14:paraId="47CEB94F">
      <w:pPr>
        <w:keepNext w:val="0"/>
        <w:keepLines w:val="0"/>
        <w:pageBreakBefore w:val="0"/>
        <w:widowControl/>
        <w:kinsoku/>
        <w:wordWrap/>
        <w:overflowPunct/>
        <w:topLinePunct w:val="0"/>
        <w:autoSpaceDE/>
        <w:autoSpaceDN/>
        <w:bidi w:val="0"/>
        <w:adjustRightInd w:val="0"/>
        <w:snapToGrid w:val="0"/>
        <w:spacing w:line="360" w:lineRule="auto"/>
        <w:ind w:firstLine="537" w:firstLineChars="224"/>
        <w:jc w:val="left"/>
        <w:textAlignment w:val="auto"/>
        <w:rPr>
          <w:rFonts w:ascii="宋体" w:hAnsi="Calibri" w:cs="Times New Roman"/>
          <w:color w:val="auto"/>
          <w:sz w:val="24"/>
          <w:szCs w:val="22"/>
          <w:highlight w:val="none"/>
        </w:rPr>
      </w:pPr>
      <w:r>
        <w:rPr>
          <w:rFonts w:hint="eastAsia" w:ascii="宋体" w:hAnsi="Calibri" w:cs="Times New Roman"/>
          <w:color w:val="auto"/>
          <w:sz w:val="24"/>
          <w:szCs w:val="22"/>
          <w:highlight w:val="none"/>
        </w:rPr>
        <w:t>1</w:t>
      </w:r>
      <w:r>
        <w:rPr>
          <w:rFonts w:hint="eastAsia" w:ascii="宋体" w:hAnsi="Calibri" w:cs="Times New Roman"/>
          <w:color w:val="auto"/>
          <w:sz w:val="24"/>
          <w:szCs w:val="22"/>
          <w:highlight w:val="none"/>
          <w:lang w:val="en-US" w:eastAsia="zh-CN"/>
        </w:rPr>
        <w:t>2</w:t>
      </w:r>
      <w:r>
        <w:rPr>
          <w:rFonts w:hint="eastAsia" w:ascii="宋体" w:hAnsi="Calibri" w:cs="Times New Roman"/>
          <w:color w:val="auto"/>
          <w:sz w:val="24"/>
          <w:szCs w:val="22"/>
          <w:highlight w:val="none"/>
        </w:rPr>
        <w:t>.</w:t>
      </w:r>
      <w:r>
        <w:rPr>
          <w:rFonts w:hint="eastAsia" w:ascii="宋体"/>
          <w:color w:val="auto"/>
          <w:sz w:val="24"/>
          <w:highlight w:val="none"/>
          <w:u w:val="single"/>
        </w:rPr>
        <w:t>存在因过错行为被生效法律文书认定承担违约或侵权责任的</w:t>
      </w:r>
      <w:r>
        <w:rPr>
          <w:rFonts w:hint="eastAsia" w:ascii="宋体" w:hAnsi="宋体"/>
          <w:color w:val="auto"/>
          <w:sz w:val="24"/>
          <w:highlight w:val="none"/>
        </w:rPr>
        <w:t>。</w:t>
      </w:r>
    </w:p>
    <w:p w14:paraId="643369D2">
      <w:pPr>
        <w:keepNext w:val="0"/>
        <w:keepLines w:val="0"/>
        <w:pageBreakBefore w:val="0"/>
        <w:kinsoku/>
        <w:wordWrap/>
        <w:overflowPunct/>
        <w:topLinePunct w:val="0"/>
        <w:autoSpaceDE/>
        <w:autoSpaceDN/>
        <w:bidi w:val="0"/>
        <w:adjustRightInd w:val="0"/>
        <w:snapToGrid w:val="0"/>
        <w:spacing w:line="360" w:lineRule="auto"/>
        <w:ind w:right="1348" w:rightChars="642" w:firstLine="5760" w:firstLineChars="2400"/>
        <w:textAlignment w:val="auto"/>
        <w:rPr>
          <w:rFonts w:ascii="宋体" w:hAnsi="宋体" w:cs="Times New Roman"/>
          <w:color w:val="auto"/>
          <w:sz w:val="24"/>
          <w:szCs w:val="22"/>
          <w:highlight w:val="none"/>
        </w:rPr>
      </w:pPr>
    </w:p>
    <w:p w14:paraId="0719AE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578" w:firstLineChars="1491"/>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lang w:eastAsia="zh-CN"/>
        </w:rPr>
        <w:t>广州市越秀区代建项目管理中心</w:t>
      </w:r>
    </w:p>
    <w:p w14:paraId="6404F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559" w:firstLineChars="1483"/>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招标代理机构：广州群生招标代理有限公司</w:t>
      </w:r>
    </w:p>
    <w:p w14:paraId="23AD1D0D">
      <w:pPr>
        <w:pStyle w:val="4"/>
        <w:keepNext w:val="0"/>
        <w:keepLines w:val="0"/>
        <w:pageBreakBefore w:val="0"/>
        <w:widowControl w:val="0"/>
        <w:kinsoku/>
        <w:wordWrap/>
        <w:overflowPunct/>
        <w:topLinePunct w:val="0"/>
        <w:autoSpaceDE/>
        <w:autoSpaceDN/>
        <w:bidi w:val="0"/>
        <w:adjustRightInd w:val="0"/>
        <w:snapToGrid w:val="0"/>
        <w:spacing w:before="0" w:line="360" w:lineRule="auto"/>
        <w:ind w:left="0" w:right="1436" w:rightChars="684"/>
        <w:jc w:val="right"/>
        <w:textAlignment w:val="auto"/>
        <w:rPr>
          <w:color w:val="auto"/>
          <w:highlight w:val="none"/>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hAnsi="宋体"/>
          <w:color w:val="auto"/>
          <w:sz w:val="24"/>
          <w:highlight w:val="none"/>
          <w:u w:val="single"/>
          <w:lang w:val="en-US" w:eastAsia="zh-CN"/>
        </w:rPr>
        <w:t>9</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8B28A3A">
      <w:pPr>
        <w:spacing w:line="48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14:paraId="09774AEF">
      <w:pPr>
        <w:spacing w:line="360" w:lineRule="auto"/>
        <w:rPr>
          <w:rFonts w:ascii="Calibri" w:hAnsi="Calibri" w:cs="Times New Roman"/>
          <w:b/>
          <w:color w:val="auto"/>
          <w:sz w:val="44"/>
          <w:szCs w:val="22"/>
          <w:highlight w:val="none"/>
        </w:rPr>
      </w:pPr>
      <w:r>
        <w:rPr>
          <w:rFonts w:hint="eastAsia" w:ascii="宋体" w:hAnsi="宋体" w:cs="Times New Roman"/>
          <w:color w:val="auto"/>
          <w:sz w:val="24"/>
          <w:szCs w:val="22"/>
          <w:highlight w:val="none"/>
        </w:rPr>
        <w:t>附件一：</w:t>
      </w:r>
    </w:p>
    <w:p w14:paraId="5896DC88">
      <w:pPr>
        <w:jc w:val="center"/>
        <w:rPr>
          <w:rFonts w:ascii="Calibri" w:hAnsi="Calibri" w:cs="Times New Roman"/>
          <w:b/>
          <w:color w:val="auto"/>
          <w:sz w:val="44"/>
          <w:szCs w:val="44"/>
          <w:highlight w:val="none"/>
        </w:rPr>
      </w:pPr>
      <w:r>
        <w:rPr>
          <w:rFonts w:hint="eastAsia" w:ascii="Calibri" w:hAnsi="Calibri" w:cs="Times New Roman"/>
          <w:b/>
          <w:color w:val="auto"/>
          <w:kern w:val="0"/>
          <w:sz w:val="44"/>
          <w:szCs w:val="44"/>
          <w:highlight w:val="none"/>
        </w:rPr>
        <w:t>投标人</w:t>
      </w:r>
      <w:r>
        <w:rPr>
          <w:rFonts w:hint="eastAsia" w:ascii="Calibri" w:hAnsi="Calibri" w:cs="Times New Roman"/>
          <w:b/>
          <w:color w:val="auto"/>
          <w:sz w:val="44"/>
          <w:szCs w:val="44"/>
          <w:highlight w:val="none"/>
        </w:rPr>
        <w:t>声明</w:t>
      </w:r>
    </w:p>
    <w:p w14:paraId="453888BA">
      <w:pPr>
        <w:jc w:val="center"/>
        <w:rPr>
          <w:rFonts w:ascii="Calibri" w:hAnsi="Calibri" w:cs="Times New Roman"/>
          <w:b/>
          <w:color w:val="auto"/>
          <w:sz w:val="44"/>
          <w:szCs w:val="44"/>
          <w:highlight w:val="none"/>
        </w:rPr>
      </w:pPr>
    </w:p>
    <w:p w14:paraId="108B6197">
      <w:pPr>
        <w:widowControl w:val="0"/>
        <w:spacing w:line="360" w:lineRule="auto"/>
        <w:ind w:firstLine="0"/>
        <w:jc w:val="both"/>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广州市越秀区建设和水务局、广州市越秀区建设工程招投标管理中心、广州市越秀区代建项目管理中心：</w:t>
      </w:r>
    </w:p>
    <w:p w14:paraId="47931B66">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本公司就参加</w:t>
      </w:r>
      <w:r>
        <w:rPr>
          <w:rFonts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投标工作，作出郑重声明：</w:t>
      </w:r>
    </w:p>
    <w:p w14:paraId="4336B7F9">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一、本公司保证投标文件及其后提供的一切材料都是真实的。如我司成为本项目中标候选人，我司同意并授权招标人将我司投标文件商务部分的人员、业绩、奖项等资料进行公开。</w:t>
      </w:r>
    </w:p>
    <w:p w14:paraId="3F2FD87E">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三、本公司不存在下列情形之一：</w:t>
      </w:r>
    </w:p>
    <w:p w14:paraId="396C2A42">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（一）为招标人不具有独立法人资格的附属机构（单位）；</w:t>
      </w:r>
    </w:p>
    <w:p w14:paraId="5262D3EF">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（二）为本标段前期准备提供设计或咨询服务或者与本项目设计人或提供咨询服务的机构存在隶属关系的；</w:t>
      </w:r>
    </w:p>
    <w:p w14:paraId="780FFEFA">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（三）为本标段监理人或者与本标段监理人存在隶属关系或者其他利害关系；</w:t>
      </w:r>
    </w:p>
    <w:p w14:paraId="30741A18">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（四）为本标段的代建人；</w:t>
      </w:r>
    </w:p>
    <w:p w14:paraId="6D6497AF">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（五）为本标段提供招标代理服务的；</w:t>
      </w:r>
    </w:p>
    <w:p w14:paraId="4A757C98">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（六）与本标段的监理人或代建人或招标代理机构同为一个法定代表人的；</w:t>
      </w:r>
    </w:p>
    <w:p w14:paraId="61FCE3B9">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（七）与本标段的监理人或代建人或招标代理机构互相控股或参股的；</w:t>
      </w:r>
    </w:p>
    <w:p w14:paraId="7410AC86">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（八）与本标段的监理人或代建人或招标代理机构相互任职或工作的；</w:t>
      </w:r>
    </w:p>
    <w:p w14:paraId="6362EC7A">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（九）与本标段的检测机构有隶属关系或者其他利害关系；</w:t>
      </w:r>
    </w:p>
    <w:p w14:paraId="1CCB40B5">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 xml:space="preserve">（十）与招标人存在利害关系且可能影响招标公正性； </w:t>
      </w:r>
    </w:p>
    <w:p w14:paraId="1B3B8E12">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（十一）被依法暂停或取消投标资格的；（</w:t>
      </w:r>
      <w:r>
        <w:rPr>
          <w:rFonts w:hint="eastAsia" w:ascii="宋体" w:hAnsi="宋体" w:eastAsia="宋体" w:cs="Times New Roman"/>
          <w:color w:val="000000"/>
          <w:sz w:val="21"/>
          <w:szCs w:val="21"/>
          <w:lang w:val="zh-CN" w:eastAsia="zh-CN" w:bidi="ar-SA"/>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Times New Roman"/>
          <w:color w:val="000000"/>
          <w:sz w:val="21"/>
          <w:szCs w:val="21"/>
          <w:lang w:val="en-US" w:eastAsia="zh-CN" w:bidi="ar-SA"/>
        </w:rPr>
        <w:t xml:space="preserve">） </w:t>
      </w:r>
    </w:p>
    <w:p w14:paraId="5DA07C09">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（十二）被责令停产停业、暂扣或者吊销许可证、暂扣或者吊销执照的（</w:t>
      </w:r>
      <w:r>
        <w:rPr>
          <w:rFonts w:hint="eastAsia" w:ascii="宋体" w:hAnsi="宋体" w:eastAsia="宋体" w:cs="Times New Roman"/>
          <w:color w:val="000000"/>
          <w:sz w:val="21"/>
          <w:szCs w:val="21"/>
          <w:lang w:val="zh-CN" w:eastAsia="zh-CN" w:bidi="ar-SA"/>
        </w:rPr>
        <w:t>本项事实应当以根据《中华人民共和国行政处罚法》依法作出并已经生效的行政处罚决定为认定依据。</w:t>
      </w:r>
      <w:r>
        <w:rPr>
          <w:rFonts w:hint="eastAsia" w:ascii="宋体" w:hAnsi="宋体" w:eastAsia="宋体" w:cs="Times New Roman"/>
          <w:color w:val="000000"/>
          <w:sz w:val="21"/>
          <w:szCs w:val="21"/>
          <w:lang w:val="en-US" w:eastAsia="zh-CN" w:bidi="ar-SA"/>
        </w:rPr>
        <w:t>）；</w:t>
      </w:r>
    </w:p>
    <w:p w14:paraId="6046A4D7">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（十三）进入清算程序，或被宣布破产，或其他丧失履约能力的情形；</w:t>
      </w:r>
    </w:p>
    <w:p w14:paraId="1C71CBD1">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（十四）在最近三年内有严重违约或重大工程质量问题的；（</w:t>
      </w:r>
      <w:r>
        <w:rPr>
          <w:rFonts w:hint="eastAsia" w:ascii="宋体" w:hAnsi="宋体" w:eastAsia="宋体" w:cs="Times New Roman"/>
          <w:color w:val="000000"/>
          <w:sz w:val="21"/>
          <w:szCs w:val="21"/>
          <w:lang w:val="zh-CN" w:eastAsia="zh-CN" w:bidi="ar-SA"/>
        </w:rPr>
        <w:t>“严重违约”事实应当以</w:t>
      </w:r>
      <w:r>
        <w:rPr>
          <w:rFonts w:hint="eastAsia" w:ascii="宋体" w:hAnsi="宋体" w:eastAsia="宋体" w:cs="Times New Roman"/>
          <w:color w:val="000000"/>
          <w:sz w:val="21"/>
          <w:szCs w:val="21"/>
          <w:lang w:val="en-US" w:eastAsia="zh-CN" w:bidi="ar-S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（十五）法律法规规定的其他情形。</w:t>
      </w:r>
    </w:p>
    <w:p w14:paraId="31173C78">
      <w:pPr>
        <w:widowControl w:val="0"/>
        <w:numPr>
          <w:ilvl w:val="0"/>
          <w:numId w:val="1"/>
        </w:numPr>
        <w:spacing w:line="360" w:lineRule="auto"/>
        <w:ind w:left="1"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本公司保证：本项目拟派的项目负责人</w:t>
      </w:r>
      <w:r>
        <w:rPr>
          <w:rFonts w:hint="eastAsia" w:ascii="宋体" w:hAnsi="宋体" w:eastAsia="宋体" w:cs="Times New Roman"/>
          <w:b/>
          <w:bCs/>
          <w:color w:val="000000"/>
          <w:sz w:val="21"/>
          <w:szCs w:val="21"/>
          <w:lang w:val="en-US" w:eastAsia="zh-CN" w:bidi="ar-SA"/>
        </w:rPr>
        <w:t>投标截止时</w:t>
      </w:r>
      <w:r>
        <w:rPr>
          <w:rFonts w:hint="eastAsia" w:ascii="宋体" w:hAnsi="宋体" w:eastAsia="宋体" w:cs="Times New Roman"/>
          <w:color w:val="000000"/>
          <w:sz w:val="21"/>
          <w:szCs w:val="21"/>
          <w:lang w:val="en-US" w:eastAsia="zh-CN" w:bidi="ar-SA"/>
        </w:rPr>
        <w:t>没有在其他在建项目中任施工单位项目负责人。</w:t>
      </w:r>
    </w:p>
    <w:p w14:paraId="2E68AC07">
      <w:pPr>
        <w:widowControl w:val="0"/>
        <w:numPr>
          <w:ilvl w:val="0"/>
          <w:numId w:val="1"/>
        </w:numPr>
        <w:spacing w:line="360" w:lineRule="auto"/>
        <w:ind w:left="1" w:firstLine="629"/>
        <w:jc w:val="both"/>
        <w:rPr>
          <w:rFonts w:ascii="宋体" w:hAnsi="宋体" w:eastAsia="宋体" w:cs="Times New Roman"/>
          <w:b/>
          <w:bCs/>
          <w:color w:val="000000"/>
          <w:sz w:val="21"/>
          <w:szCs w:val="21"/>
          <w:lang w:val="en-US" w:eastAsia="zh-CN" w:bidi="ar-SA"/>
        </w:rPr>
      </w:pPr>
      <w:r>
        <w:rPr>
          <w:rFonts w:hint="eastAsia" w:ascii="宋体" w:hAnsi="宋体" w:eastAsia="宋体" w:cs="Times New Roman"/>
          <w:b/>
          <w:bCs/>
          <w:color w:val="000000"/>
          <w:sz w:val="21"/>
          <w:szCs w:val="21"/>
          <w:lang w:val="en-US" w:eastAsia="zh-CN" w:bidi="ar-SA"/>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widowControl w:val="0"/>
        <w:numPr>
          <w:ilvl w:val="0"/>
          <w:numId w:val="1"/>
        </w:numPr>
        <w:spacing w:line="360" w:lineRule="auto"/>
        <w:ind w:left="1"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七</w:t>
      </w:r>
      <w:r>
        <w:rPr>
          <w:rFonts w:hint="eastAsia" w:ascii="宋体" w:hAnsi="宋体" w:eastAsia="宋体" w:cs="Times New Roman"/>
          <w:color w:val="000000"/>
          <w:sz w:val="21"/>
          <w:szCs w:val="21"/>
          <w:lang w:val="en-US" w:eastAsia="zh-CN" w:bidi="ar-SA"/>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1FD94CD">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八</w:t>
      </w:r>
      <w:r>
        <w:rPr>
          <w:rFonts w:hint="eastAsia" w:ascii="宋体" w:hAnsi="宋体" w:eastAsia="宋体" w:cs="Times New Roman"/>
          <w:color w:val="000000"/>
          <w:sz w:val="21"/>
          <w:szCs w:val="21"/>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13C217B">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九、</w:t>
      </w:r>
      <w:r>
        <w:rPr>
          <w:rFonts w:hint="eastAsia" w:ascii="宋体" w:hAnsi="宋体" w:eastAsia="宋体" w:cs="Times New Roman"/>
          <w:color w:val="000000"/>
          <w:sz w:val="21"/>
          <w:szCs w:val="21"/>
          <w:lang w:val="en-US" w:eastAsia="zh-CN" w:bidi="ar-SA"/>
        </w:rPr>
        <w:t>与本公司单位负责人为同一人或者与本公司存在控股、管理关系的其他单位包括：</w:t>
      </w:r>
      <w:r>
        <w:rPr>
          <w:rFonts w:hint="eastAsia"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。（注：本条由投标人如实填写，如有，应列出全部满足招标公告资质要求的相关单位的名称；如无，则填写“无”。）</w:t>
      </w:r>
    </w:p>
    <w:p w14:paraId="363D2B2F">
      <w:pPr>
        <w:widowControl w:val="0"/>
        <w:spacing w:line="36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w:t>
      </w:r>
      <w:r>
        <w:rPr>
          <w:rFonts w:hint="eastAsia" w:ascii="宋体" w:hAnsi="宋体" w:eastAsia="宋体" w:cs="Times New Roman"/>
          <w:color w:val="000000"/>
          <w:sz w:val="21"/>
          <w:szCs w:val="21"/>
          <w:lang w:val="en-US" w:eastAsia="zh-CN" w:bidi="ar-SA"/>
        </w:rPr>
        <w:t>本公司拟委派专职安全员兼任本工程的工地余泥渣土运输与排放管理员，严格遵守建设工程余泥渣土运输与排放管理制度，执行“一不准进、三不准出”规定，选择合法的余泥渣土运输单位及排放点。</w:t>
      </w:r>
    </w:p>
    <w:p w14:paraId="7BD01321">
      <w:pPr>
        <w:widowControl w:val="0"/>
        <w:spacing w:line="360" w:lineRule="auto"/>
        <w:ind w:firstLine="632" w:firstLineChars="300"/>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十一</w:t>
      </w:r>
      <w:r>
        <w:rPr>
          <w:rFonts w:hint="eastAsia" w:ascii="宋体" w:hAnsi="宋体" w:eastAsia="宋体" w:cs="Times New Roman"/>
          <w:color w:val="000000"/>
          <w:sz w:val="21"/>
          <w:szCs w:val="21"/>
          <w:lang w:val="en-US" w:eastAsia="zh-CN" w:bidi="ar-SA"/>
        </w:rPr>
        <w:t>、本公司承诺，中标后将按招标人要求，积极响应广州市关于投身“百千万工程”的号召，主动参与建筑业结对帮扶。</w:t>
      </w:r>
    </w:p>
    <w:p w14:paraId="52D4630A">
      <w:pPr>
        <w:widowControl w:val="0"/>
        <w:spacing w:line="360" w:lineRule="auto"/>
        <w:ind w:firstLine="632" w:firstLineChars="300"/>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十二、</w:t>
      </w:r>
      <w:r>
        <w:rPr>
          <w:rFonts w:hint="eastAsia" w:ascii="宋体" w:hAnsi="宋体" w:eastAsia="宋体" w:cs="Times New Roman"/>
          <w:color w:val="000000"/>
          <w:sz w:val="21"/>
          <w:szCs w:val="21"/>
          <w:lang w:val="en-US" w:eastAsia="zh-CN" w:bidi="ar-SA"/>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5AD9443">
      <w:pPr>
        <w:widowControl w:val="0"/>
        <w:spacing w:line="360" w:lineRule="auto"/>
        <w:ind w:firstLine="632" w:firstLineChars="300"/>
        <w:jc w:val="both"/>
        <w:rPr>
          <w:rFonts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000000"/>
          <w:sz w:val="21"/>
          <w:szCs w:val="21"/>
          <w:lang w:val="en-US" w:eastAsia="zh-CN" w:bidi="ar-SA"/>
        </w:rPr>
        <w:t>十三、</w:t>
      </w:r>
      <w:r>
        <w:rPr>
          <w:rFonts w:hint="eastAsia" w:ascii="宋体" w:hAnsi="宋体" w:eastAsia="宋体" w:cs="Times New Roman"/>
          <w:color w:val="000000"/>
          <w:sz w:val="21"/>
          <w:szCs w:val="21"/>
          <w:lang w:val="en-US" w:eastAsia="zh-CN" w:bidi="ar-SA"/>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10DEA7E">
      <w:pPr>
        <w:widowControl w:val="0"/>
        <w:spacing w:line="360" w:lineRule="auto"/>
        <w:ind w:firstLine="629"/>
        <w:jc w:val="both"/>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特此声明</w:t>
      </w:r>
    </w:p>
    <w:p w14:paraId="53C4233C">
      <w:pPr>
        <w:widowControl w:val="0"/>
        <w:spacing w:line="480" w:lineRule="auto"/>
        <w:ind w:left="0" w:right="1449" w:firstLine="0"/>
        <w:jc w:val="center"/>
        <w:rPr>
          <w:rFonts w:ascii="宋体" w:hAnsi="宋体" w:eastAsia="宋体" w:cs="Times New Roman"/>
          <w:color w:val="auto"/>
          <w:sz w:val="21"/>
          <w:szCs w:val="21"/>
          <w:highlight w:val="none"/>
          <w:lang w:val="en-US" w:eastAsia="zh-CN" w:bidi="ar-SA"/>
        </w:rPr>
      </w:pPr>
      <w:r>
        <w:rPr>
          <w:rFonts w:hint="eastAsia" w:ascii="宋体" w:hAnsi="宋体" w:cs="Times New Roman"/>
          <w:color w:val="auto"/>
          <w:sz w:val="21"/>
          <w:szCs w:val="21"/>
          <w:highlight w:val="none"/>
          <w:lang w:val="en-US" w:eastAsia="zh-CN" w:bidi="ar-SA"/>
        </w:rPr>
        <w:t xml:space="preserve">   </w:t>
      </w:r>
      <w:r>
        <w:rPr>
          <w:rFonts w:hint="eastAsia" w:ascii="宋体" w:hAnsi="宋体" w:eastAsia="宋体" w:cs="Times New Roman"/>
          <w:color w:val="auto"/>
          <w:sz w:val="21"/>
          <w:szCs w:val="21"/>
          <w:highlight w:val="none"/>
          <w:lang w:val="en-US" w:eastAsia="zh-CN" w:bidi="ar-SA"/>
        </w:rPr>
        <w:t>声明企业：</w:t>
      </w:r>
    </w:p>
    <w:p w14:paraId="7DAE9737">
      <w:pPr>
        <w:widowControl w:val="0"/>
        <w:spacing w:line="480" w:lineRule="auto"/>
        <w:ind w:right="1179" w:firstLine="0"/>
        <w:jc w:val="both"/>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 xml:space="preserve">                             项目负责人签字：</w:t>
      </w:r>
    </w:p>
    <w:p w14:paraId="1A8BB2A6">
      <w:pPr>
        <w:widowControl w:val="0"/>
        <w:spacing w:line="480" w:lineRule="auto"/>
        <w:ind w:right="879" w:firstLine="1890" w:firstLineChars="900"/>
        <w:jc w:val="left"/>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 xml:space="preserve">           技术负责人签字：</w:t>
      </w:r>
    </w:p>
    <w:p w14:paraId="56EE25F3">
      <w:pPr>
        <w:widowControl w:val="0"/>
        <w:spacing w:line="480" w:lineRule="auto"/>
        <w:ind w:right="879" w:firstLine="1890" w:firstLineChars="900"/>
        <w:jc w:val="right"/>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年</w:t>
      </w:r>
      <w:r>
        <w:rPr>
          <w:rFonts w:ascii="宋体" w:hAnsi="宋体" w:eastAsia="宋体" w:cs="Times New Roman"/>
          <w:color w:val="auto"/>
          <w:sz w:val="21"/>
          <w:szCs w:val="21"/>
          <w:highlight w:val="none"/>
          <w:lang w:val="en-US" w:eastAsia="zh-CN" w:bidi="ar-SA"/>
        </w:rPr>
        <w:t xml:space="preserve">   </w:t>
      </w:r>
      <w:r>
        <w:rPr>
          <w:rFonts w:hint="eastAsia" w:ascii="宋体" w:hAnsi="宋体" w:eastAsia="宋体" w:cs="Times New Roman"/>
          <w:color w:val="auto"/>
          <w:sz w:val="21"/>
          <w:szCs w:val="21"/>
          <w:highlight w:val="none"/>
          <w:lang w:val="en-US" w:eastAsia="zh-CN" w:bidi="ar-SA"/>
        </w:rPr>
        <w:t>月</w:t>
      </w:r>
      <w:r>
        <w:rPr>
          <w:rFonts w:ascii="宋体" w:hAnsi="宋体" w:eastAsia="宋体" w:cs="Times New Roman"/>
          <w:color w:val="auto"/>
          <w:sz w:val="21"/>
          <w:szCs w:val="21"/>
          <w:highlight w:val="none"/>
          <w:lang w:val="en-US" w:eastAsia="zh-CN" w:bidi="ar-SA"/>
        </w:rPr>
        <w:t xml:space="preserve">   </w:t>
      </w:r>
      <w:r>
        <w:rPr>
          <w:rFonts w:hint="eastAsia" w:ascii="宋体" w:hAnsi="宋体" w:eastAsia="宋体" w:cs="Times New Roman"/>
          <w:color w:val="auto"/>
          <w:sz w:val="21"/>
          <w:szCs w:val="21"/>
          <w:highlight w:val="none"/>
          <w:lang w:val="en-US" w:eastAsia="zh-CN" w:bidi="ar-SA"/>
        </w:rPr>
        <w:t>日</w:t>
      </w:r>
    </w:p>
    <w:p w14:paraId="58A033F2">
      <w:pPr>
        <w:spacing w:line="480" w:lineRule="auto"/>
        <w:rPr>
          <w:rFonts w:ascii="宋体" w:hAnsi="Calibri" w:cs="Times New Roman"/>
          <w:color w:val="auto"/>
          <w:szCs w:val="21"/>
          <w:highlight w:val="none"/>
        </w:rPr>
      </w:pPr>
      <w:r>
        <w:rPr>
          <w:rFonts w:hint="eastAsia" w:ascii="宋体" w:hAnsi="宋体" w:cs="Times New Roman"/>
          <w:color w:val="auto"/>
          <w:szCs w:val="21"/>
          <w:highlight w:val="none"/>
        </w:rPr>
        <w:t xml:space="preserve">                                                    </w:t>
      </w:r>
    </w:p>
    <w:p w14:paraId="323BD22B">
      <w:pPr>
        <w:rPr>
          <w:rFonts w:hint="eastAsia" w:ascii="宋体" w:hAnsi="宋体" w:cs="Times New Roman"/>
          <w:color w:val="auto"/>
          <w:szCs w:val="21"/>
          <w:highlight w:val="none"/>
        </w:rPr>
      </w:pPr>
      <w:r>
        <w:rPr>
          <w:rFonts w:hint="eastAsia" w:ascii="宋体" w:hAnsi="宋体" w:cs="Times New Roman"/>
          <w:color w:val="auto"/>
          <w:szCs w:val="21"/>
          <w:highlight w:val="none"/>
        </w:rPr>
        <w:t>注：招标人应当要求投标人的项目负责人和技术负责人签字。</w:t>
      </w:r>
    </w:p>
    <w:p w14:paraId="128D3483">
      <w:pPr>
        <w:rPr>
          <w:rFonts w:hint="eastAsia" w:eastAsia="宋体" w:cs="Times New Roman"/>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0438">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separate"/>
    </w:r>
    <w:r>
      <w:rPr>
        <w:rFonts w:ascii="Calibri" w:hAnsi="Calibri" w:eastAsia="宋体" w:cs="Times New Roman"/>
        <w:kern w:val="2"/>
        <w:sz w:val="21"/>
        <w:szCs w:val="22"/>
        <w:lang w:val="en-US" w:eastAsia="zh-CN" w:bidi="ar-SA"/>
      </w:rPr>
      <w:t>14</w:t>
    </w:r>
    <w:r>
      <w:rPr>
        <w:rFonts w:ascii="Calibri" w:hAnsi="Calibri" w:eastAsia="宋体" w:cs="Times New Roman"/>
        <w:kern w:val="2"/>
        <w:sz w:val="21"/>
        <w:szCs w:val="22"/>
        <w:lang w:val="en-US" w:eastAsia="zh-CN" w:bidi="ar-SA"/>
      </w:rPr>
      <w:fldChar w:fldCharType="end"/>
    </w:r>
  </w:p>
  <w:p w14:paraId="136E67B3">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708B">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end"/>
    </w:r>
  </w:p>
  <w:p w14:paraId="2050182D">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D5500"/>
    <w:rsid w:val="024E1F1A"/>
    <w:rsid w:val="02782DC2"/>
    <w:rsid w:val="03983709"/>
    <w:rsid w:val="03BF24DD"/>
    <w:rsid w:val="043F6672"/>
    <w:rsid w:val="04E22862"/>
    <w:rsid w:val="081F666E"/>
    <w:rsid w:val="083C3FD8"/>
    <w:rsid w:val="0A3F4C31"/>
    <w:rsid w:val="0C3B1537"/>
    <w:rsid w:val="130853BC"/>
    <w:rsid w:val="1F604F65"/>
    <w:rsid w:val="1FAE220B"/>
    <w:rsid w:val="20EC7B5E"/>
    <w:rsid w:val="210F5BF7"/>
    <w:rsid w:val="244563A6"/>
    <w:rsid w:val="246062EC"/>
    <w:rsid w:val="27B60582"/>
    <w:rsid w:val="2A94151D"/>
    <w:rsid w:val="2B633548"/>
    <w:rsid w:val="2C2D198B"/>
    <w:rsid w:val="30C00829"/>
    <w:rsid w:val="31E407E4"/>
    <w:rsid w:val="32C37397"/>
    <w:rsid w:val="35C42453"/>
    <w:rsid w:val="3BCA16F3"/>
    <w:rsid w:val="40C66397"/>
    <w:rsid w:val="421F34A1"/>
    <w:rsid w:val="42CE3CD6"/>
    <w:rsid w:val="43234C4F"/>
    <w:rsid w:val="458360FC"/>
    <w:rsid w:val="4C3621E8"/>
    <w:rsid w:val="4F3F4BCC"/>
    <w:rsid w:val="50C63685"/>
    <w:rsid w:val="52DC1E16"/>
    <w:rsid w:val="57D00372"/>
    <w:rsid w:val="587355EF"/>
    <w:rsid w:val="587B53BC"/>
    <w:rsid w:val="58A12453"/>
    <w:rsid w:val="593B494A"/>
    <w:rsid w:val="5B7B2664"/>
    <w:rsid w:val="5D7D1310"/>
    <w:rsid w:val="5DFE3EA4"/>
    <w:rsid w:val="5E4609EC"/>
    <w:rsid w:val="628A56A4"/>
    <w:rsid w:val="63865BB3"/>
    <w:rsid w:val="68542E44"/>
    <w:rsid w:val="6871653B"/>
    <w:rsid w:val="6A224DA0"/>
    <w:rsid w:val="6B9B2FA3"/>
    <w:rsid w:val="6BC911ED"/>
    <w:rsid w:val="6C2145B1"/>
    <w:rsid w:val="6C8265CA"/>
    <w:rsid w:val="6CDC0624"/>
    <w:rsid w:val="6D0D3ABB"/>
    <w:rsid w:val="6E6D5500"/>
    <w:rsid w:val="6F372A02"/>
    <w:rsid w:val="701F4514"/>
    <w:rsid w:val="720269C1"/>
    <w:rsid w:val="724B701E"/>
    <w:rsid w:val="727210E9"/>
    <w:rsid w:val="72DA2F46"/>
    <w:rsid w:val="744A30EB"/>
    <w:rsid w:val="772634E2"/>
    <w:rsid w:val="777C512D"/>
    <w:rsid w:val="7B6D4751"/>
    <w:rsid w:val="7CD6006E"/>
    <w:rsid w:val="7D991C19"/>
    <w:rsid w:val="7DB549FF"/>
    <w:rsid w:val="7EEF7B59"/>
    <w:rsid w:val="7F5C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3">
    <w:name w:val="heading 1"/>
    <w:basedOn w:val="1"/>
    <w:next w:val="1"/>
    <w:link w:val="18"/>
    <w:qFormat/>
    <w:uiPriority w:val="0"/>
    <w:pPr>
      <w:keepNext/>
      <w:keepLines/>
      <w:spacing w:before="340" w:after="330" w:line="578" w:lineRule="auto"/>
      <w:outlineLvl w:val="0"/>
    </w:pPr>
    <w:rPr>
      <w:rFonts w:ascii="Times New Roman" w:hAnsi="Times New Roman" w:eastAsia="宋体"/>
      <w:b/>
      <w:kern w:val="44"/>
      <w:sz w:val="48"/>
      <w:szCs w:val="20"/>
    </w:rPr>
  </w:style>
  <w:style w:type="paragraph" w:styleId="4">
    <w:name w:val="heading 2"/>
    <w:basedOn w:val="1"/>
    <w:next w:val="1"/>
    <w:qFormat/>
    <w:uiPriority w:val="0"/>
    <w:pPr>
      <w:widowControl w:val="0"/>
      <w:tabs>
        <w:tab w:val="left" w:pos="576"/>
      </w:tabs>
      <w:spacing w:before="260"/>
      <w:ind w:left="576" w:hanging="576"/>
      <w:jc w:val="left"/>
      <w:outlineLvl w:val="1"/>
    </w:pPr>
    <w:rPr>
      <w:rFonts w:ascii="宋体" w:hAnsi="Arial" w:eastAsia="宋体" w:cs="Times New Roman"/>
      <w:bCs/>
      <w:kern w:val="0"/>
      <w:sz w:val="28"/>
      <w:szCs w:val="32"/>
      <w:lang w:val="en-US" w:eastAsia="zh-CN" w:bidi="ar-SA"/>
    </w:rPr>
  </w:style>
  <w:style w:type="paragraph" w:styleId="5">
    <w:name w:val="heading 4"/>
    <w:basedOn w:val="1"/>
    <w:next w:val="6"/>
    <w:link w:val="19"/>
    <w:autoRedefine/>
    <w:semiHidden/>
    <w:unhideWhenUsed/>
    <w:qFormat/>
    <w:uiPriority w:val="0"/>
    <w:pPr>
      <w:autoSpaceDE w:val="0"/>
      <w:autoSpaceDN w:val="0"/>
      <w:adjustRightInd w:val="0"/>
      <w:snapToGrid w:val="0"/>
      <w:spacing w:line="360" w:lineRule="auto"/>
      <w:outlineLvl w:val="3"/>
    </w:pPr>
    <w:rPr>
      <w:rFonts w:ascii="宋体" w:hAnsi="宋体" w:cs="宋体"/>
      <w:b/>
      <w:color w:val="000000"/>
      <w:kern w:val="0"/>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before="120" w:beforeLines="0"/>
    </w:pPr>
    <w:rPr>
      <w:rFonts w:ascii="Arial" w:hAnsi="Arial"/>
      <w:sz w:val="24"/>
    </w:rPr>
  </w:style>
  <w:style w:type="paragraph" w:styleId="6">
    <w:name w:val="Normal Indent"/>
    <w:basedOn w:val="1"/>
    <w:autoRedefine/>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9"/>
    <w:qFormat/>
    <w:uiPriority w:val="0"/>
    <w:pPr>
      <w:spacing w:after="120" w:afterLines="0" w:afterAutospacing="0"/>
    </w:pPr>
  </w:style>
  <w:style w:type="paragraph" w:customStyle="1" w:styleId="9">
    <w:name w:val="reader-word-layer reader-word-s9-33"/>
    <w:next w:val="10"/>
    <w:qFormat/>
    <w:uiPriority w:val="0"/>
    <w:pPr>
      <w:spacing w:before="280" w:after="280"/>
      <w:ind w:firstLine="5632"/>
      <w:jc w:val="both"/>
    </w:pPr>
    <w:rPr>
      <w:rFonts w:ascii="Times New Roman" w:hAnsi="Times New Roman" w:eastAsia="宋体" w:cs="Times New Roman"/>
      <w:kern w:val="2"/>
      <w:sz w:val="21"/>
      <w:szCs w:val="24"/>
      <w:lang w:val="en-US" w:eastAsia="zh-CN" w:bidi="ar-SA"/>
    </w:rPr>
  </w:style>
  <w:style w:type="paragraph" w:customStyle="1" w:styleId="10">
    <w:name w:val="Char Char Char Char Char Char1 Char"/>
    <w:next w:val="1"/>
    <w:qFormat/>
    <w:uiPriority w:val="0"/>
    <w:pPr>
      <w:spacing w:after="160" w:line="240" w:lineRule="exact"/>
    </w:pPr>
    <w:rPr>
      <w:rFonts w:ascii="Verdana" w:hAnsi="Verdana" w:eastAsia="宋体" w:cs="Times New Roman"/>
      <w:sz w:val="24"/>
      <w:lang w:val="en-US" w:eastAsia="en-US" w:bidi="ar-SA"/>
    </w:rPr>
  </w:style>
  <w:style w:type="paragraph" w:styleId="11">
    <w:name w:val="Body Text Indent"/>
    <w:next w:val="12"/>
    <w:qFormat/>
    <w:uiPriority w:val="99"/>
    <w:pPr>
      <w:widowControl w:val="0"/>
      <w:ind w:firstLine="570"/>
      <w:jc w:val="both"/>
    </w:pPr>
    <w:rPr>
      <w:rFonts w:ascii="Times New Roman" w:hAnsi="Times New Roman" w:eastAsia="宋体" w:cs="Times New Roman"/>
      <w:kern w:val="0"/>
      <w:sz w:val="28"/>
      <w:szCs w:val="20"/>
      <w:lang w:val="en-US" w:eastAsia="zh-CN" w:bidi="ar-SA"/>
    </w:rPr>
  </w:style>
  <w:style w:type="paragraph" w:styleId="12">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3">
    <w:name w:val="Plain Text"/>
    <w:next w:val="1"/>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Body Text First Indent 2"/>
    <w:qFormat/>
    <w:uiPriority w:val="0"/>
    <w:pPr>
      <w:widowControl w:val="0"/>
      <w:spacing w:after="120" w:line="240" w:lineRule="auto"/>
      <w:ind w:left="200" w:leftChars="200" w:firstLine="200" w:firstLineChars="200"/>
      <w:jc w:val="both"/>
    </w:pPr>
    <w:rPr>
      <w:rFonts w:ascii="Calibri" w:hAnsi="Calibri" w:eastAsia="宋体" w:cs="Times New Roman"/>
      <w:kern w:val="2"/>
      <w:sz w:val="21"/>
      <w:szCs w:val="24"/>
      <w:lang w:val="en-US" w:eastAsia="zh-CN" w:bidi="ar-SA"/>
    </w:rPr>
  </w:style>
  <w:style w:type="paragraph" w:customStyle="1" w:styleId="17">
    <w:name w:val="样式1"/>
    <w:basedOn w:val="3"/>
    <w:qFormat/>
    <w:uiPriority w:val="0"/>
    <w:rPr>
      <w:rFonts w:ascii="Times New Roman" w:hAnsi="Times New Roman"/>
    </w:rPr>
  </w:style>
  <w:style w:type="character" w:customStyle="1" w:styleId="18">
    <w:name w:val="标题 1 字符"/>
    <w:link w:val="3"/>
    <w:qFormat/>
    <w:uiPriority w:val="0"/>
    <w:rPr>
      <w:rFonts w:ascii="Times New Roman" w:hAnsi="Times New Roman" w:eastAsia="宋体"/>
      <w:b/>
      <w:kern w:val="44"/>
      <w:sz w:val="48"/>
      <w:lang w:val="en-US" w:eastAsia="zh-CN" w:bidi="ar-SA"/>
    </w:rPr>
  </w:style>
  <w:style w:type="character" w:customStyle="1" w:styleId="19">
    <w:name w:val="标题 4 Char"/>
    <w:link w:val="5"/>
    <w:qFormat/>
    <w:uiPriority w:val="0"/>
    <w:rPr>
      <w:rFonts w:ascii="宋体" w:hAnsi="宋体" w:eastAsia="宋体" w:cs="宋体"/>
      <w:b/>
      <w:color w:val="000000"/>
      <w:sz w:val="28"/>
      <w:lang w:val="en-US" w:eastAsia="zh-CN" w:bidi="ar-SA"/>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9522</Words>
  <Characters>10119</Characters>
  <Lines>0</Lines>
  <Paragraphs>0</Paragraphs>
  <TotalTime>192</TotalTime>
  <ScaleCrop>false</ScaleCrop>
  <LinksUpToDate>false</LinksUpToDate>
  <CharactersWithSpaces>10359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2024-12-31T07:49:00Z</dcterms:created>
  <dc:creator>admin</dc:creator>
  <cp:lastModifiedBy>admin</cp:lastModifiedBy>
  <cp:lastPrinted>2025-03-25T03:01:00Z</cp:lastPrinted>
  <dcterms:modified xsi:type="dcterms:W3CDTF">2025-10-09T11:06:15Z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D4A63919173D4F449B4B84C3BD4961E7_13</vt:lpwstr>
  </property>
  <property fmtid="{D5CDD505-2E9C-101B-9397-08002B2CF9AE}" pid="4" name="KSOTemplateDocerSaveRecord">
    <vt:lpwstr>eyJoZGlkIjoiN2M2YWNlOTlhNjM2YzhhZWMzYjYwOTg3OTU1ZmQwYzYiLCJ1c2VySWQiOiI0MjMwMjExNjEifQ==</vt:lpwstr>
  </property>
</Properties>
</file>