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7666D">
      <w:pPr>
        <w:spacing w:line="480" w:lineRule="auto"/>
        <w:jc w:val="center"/>
        <w:rPr>
          <w:rFonts w:hint="eastAsia" w:ascii="宋体" w:hAnsi="宋体" w:cs="宋体"/>
          <w:b/>
          <w:spacing w:val="-6"/>
          <w:sz w:val="36"/>
          <w:szCs w:val="36"/>
          <w:lang w:eastAsia="zh-CN"/>
        </w:rPr>
      </w:pPr>
      <w:r>
        <w:rPr>
          <w:rFonts w:hint="eastAsia" w:ascii="宋体" w:hAnsi="宋体" w:cs="宋体"/>
          <w:b/>
          <w:spacing w:val="-6"/>
          <w:sz w:val="36"/>
          <w:szCs w:val="36"/>
          <w:lang w:eastAsia="zh-CN"/>
        </w:rPr>
        <w:t>中山大学中山眼科中心区庄院区综合能力提升</w:t>
      </w:r>
    </w:p>
    <w:p w14:paraId="2DC04E20">
      <w:pPr>
        <w:spacing w:line="480" w:lineRule="auto"/>
        <w:jc w:val="center"/>
        <w:rPr>
          <w:rFonts w:hint="eastAsia" w:ascii="宋体" w:hAnsi="宋体" w:eastAsia="宋体" w:cs="宋体"/>
          <w:b/>
          <w:spacing w:val="-6"/>
          <w:sz w:val="36"/>
          <w:szCs w:val="36"/>
          <w:lang w:eastAsia="zh-CN"/>
        </w:rPr>
      </w:pPr>
      <w:r>
        <w:rPr>
          <w:rFonts w:hint="eastAsia" w:ascii="宋体" w:hAnsi="宋体" w:cs="宋体"/>
          <w:b/>
          <w:spacing w:val="-6"/>
          <w:sz w:val="36"/>
          <w:szCs w:val="36"/>
          <w:lang w:eastAsia="zh-CN"/>
        </w:rPr>
        <w:t>项目设计施工总承包</w:t>
      </w:r>
    </w:p>
    <w:p w14:paraId="078FCB2E"/>
    <w:p w14:paraId="0624DE4C"/>
    <w:p w14:paraId="20449BDD"/>
    <w:p w14:paraId="569BC162"/>
    <w:p w14:paraId="5BB3AE53"/>
    <w:p w14:paraId="3F1D06EC"/>
    <w:p w14:paraId="5A9CB0E5"/>
    <w:p w14:paraId="67912000"/>
    <w:p w14:paraId="48A0A6D6"/>
    <w:p w14:paraId="413DE195"/>
    <w:p w14:paraId="4046672B">
      <w:pPr>
        <w:jc w:val="center"/>
        <w:rPr>
          <w:rFonts w:hint="eastAsia" w:ascii="宋体" w:hAnsi="宋体" w:cs="宋体"/>
          <w:sz w:val="96"/>
          <w:szCs w:val="96"/>
        </w:rPr>
      </w:pPr>
      <w:r>
        <w:rPr>
          <w:rFonts w:hint="eastAsia" w:ascii="宋体" w:hAnsi="宋体" w:cs="宋体"/>
          <w:sz w:val="96"/>
          <w:szCs w:val="96"/>
        </w:rPr>
        <w:t>招标文件</w:t>
      </w:r>
    </w:p>
    <w:p w14:paraId="73E6EA49"/>
    <w:p w14:paraId="395B40C6"/>
    <w:p w14:paraId="304A8773"/>
    <w:p w14:paraId="6C5C4353"/>
    <w:p w14:paraId="1BCDF215"/>
    <w:p w14:paraId="072FC80F"/>
    <w:p w14:paraId="2B3BF174"/>
    <w:p w14:paraId="67F3F58D"/>
    <w:p w14:paraId="58C7DF5C"/>
    <w:p w14:paraId="51A78295"/>
    <w:p w14:paraId="458ACBBF"/>
    <w:p w14:paraId="78533A87"/>
    <w:p w14:paraId="2E432894"/>
    <w:p w14:paraId="75CE4181"/>
    <w:p w14:paraId="5AB7E8B3"/>
    <w:p w14:paraId="05B85797">
      <w:pPr>
        <w:ind w:left="1134" w:leftChars="540"/>
        <w:jc w:val="left"/>
        <w:rPr>
          <w:rFonts w:hint="eastAsia" w:ascii="宋体" w:hAnsi="宋体" w:cs="宋体"/>
          <w:sz w:val="28"/>
          <w:szCs w:val="28"/>
        </w:rPr>
      </w:pPr>
      <w:r>
        <w:rPr>
          <w:rFonts w:hint="eastAsia" w:ascii="宋体" w:hAnsi="宋体" w:cs="宋体"/>
          <w:sz w:val="28"/>
          <w:szCs w:val="28"/>
        </w:rPr>
        <w:t>招   标   人：</w:t>
      </w:r>
      <w:r>
        <w:rPr>
          <w:rFonts w:hint="eastAsia" w:ascii="宋体" w:hAnsi="宋体" w:cs="宋体"/>
          <w:sz w:val="28"/>
          <w:szCs w:val="28"/>
          <w:u w:val="single"/>
        </w:rPr>
        <w:t xml:space="preserve">中山大学中山眼科中心 </w:t>
      </w:r>
    </w:p>
    <w:p w14:paraId="51AFE530">
      <w:pPr>
        <w:ind w:left="1134" w:leftChars="540"/>
        <w:jc w:val="left"/>
        <w:rPr>
          <w:rFonts w:hint="eastAsia" w:ascii="宋体" w:hAnsi="宋体" w:cs="宋体"/>
          <w:sz w:val="28"/>
          <w:szCs w:val="28"/>
          <w:u w:val="single"/>
        </w:rPr>
      </w:pPr>
      <w:r>
        <w:rPr>
          <w:rFonts w:hint="eastAsia" w:ascii="宋体" w:hAnsi="宋体" w:cs="宋体"/>
          <w:sz w:val="28"/>
          <w:szCs w:val="28"/>
        </w:rPr>
        <w:t>招标代理单位：</w:t>
      </w:r>
      <w:r>
        <w:rPr>
          <w:rFonts w:hint="eastAsia" w:ascii="宋体" w:hAnsi="宋体" w:cs="宋体"/>
          <w:sz w:val="28"/>
          <w:szCs w:val="28"/>
          <w:u w:val="single"/>
        </w:rPr>
        <w:t xml:space="preserve">广州中经招标有限公司 </w:t>
      </w:r>
    </w:p>
    <w:p w14:paraId="75C61691">
      <w:pPr>
        <w:jc w:val="center"/>
        <w:rPr>
          <w:rFonts w:hint="eastAsia" w:ascii="宋体" w:hAnsi="宋体" w:cs="宋体"/>
          <w:sz w:val="28"/>
          <w:szCs w:val="28"/>
          <w:u w:val="single"/>
        </w:rPr>
      </w:pPr>
    </w:p>
    <w:p w14:paraId="5833B438">
      <w:pPr>
        <w:jc w:val="center"/>
        <w:rPr>
          <w:rFonts w:hint="eastAsia" w:ascii="宋体" w:hAnsi="宋体" w:cs="宋体"/>
          <w:sz w:val="28"/>
          <w:szCs w:val="28"/>
        </w:rPr>
      </w:pPr>
      <w:r>
        <w:rPr>
          <w:rFonts w:hint="eastAsia" w:ascii="宋体" w:hAnsi="宋体" w:cs="宋体"/>
          <w:sz w:val="28"/>
          <w:szCs w:val="28"/>
          <w:u w:val="single"/>
        </w:rPr>
        <w:t xml:space="preserve"> 2025 </w:t>
      </w:r>
      <w:r>
        <w:rPr>
          <w:rFonts w:hint="eastAsia" w:ascii="宋体" w:hAnsi="宋体" w:cs="宋体"/>
          <w:sz w:val="28"/>
          <w:szCs w:val="28"/>
        </w:rPr>
        <w:t>年</w:t>
      </w:r>
      <w:r>
        <w:rPr>
          <w:rFonts w:hint="eastAsia" w:ascii="宋体" w:hAnsi="宋体" w:cs="宋体"/>
          <w:sz w:val="28"/>
          <w:szCs w:val="28"/>
          <w:u w:val="single"/>
          <w:lang w:val="en-US" w:eastAsia="zh-CN"/>
        </w:rPr>
        <w:t>9</w:t>
      </w:r>
      <w:r>
        <w:rPr>
          <w:rFonts w:hint="eastAsia" w:ascii="宋体" w:hAnsi="宋体" w:cs="宋体"/>
          <w:sz w:val="28"/>
          <w:szCs w:val="28"/>
        </w:rPr>
        <w:t>月</w:t>
      </w:r>
    </w:p>
    <w:p w14:paraId="4A0F1EA6">
      <w:pPr>
        <w:pStyle w:val="25"/>
      </w:pPr>
    </w:p>
    <w:p w14:paraId="0F31A933">
      <w:pPr>
        <w:spacing w:line="400" w:lineRule="exact"/>
        <w:ind w:firstLine="420"/>
        <w:rPr>
          <w:rFonts w:hint="eastAsia" w:ascii="宋体" w:hAnsi="宋体" w:cs="宋体"/>
        </w:rPr>
        <w:sectPr>
          <w:footerReference r:id="rId4" w:type="first"/>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bookmarkStart w:id="0" w:name="_Toc144974478"/>
      <w:bookmarkStart w:id="1" w:name="_Toc152042286"/>
    </w:p>
    <w:p w14:paraId="2418A808">
      <w:pPr>
        <w:pStyle w:val="3"/>
      </w:pPr>
      <w:bookmarkStart w:id="2" w:name="_Toc247527532"/>
      <w:bookmarkStart w:id="3" w:name="_Toc11895"/>
      <w:bookmarkStart w:id="4" w:name="_Toc300834926"/>
      <w:bookmarkStart w:id="5" w:name="_Toc134304509"/>
      <w:r>
        <w:rPr>
          <w:rFonts w:hint="eastAsia"/>
        </w:rPr>
        <w:t>目  录</w:t>
      </w:r>
      <w:bookmarkEnd w:id="0"/>
      <w:bookmarkEnd w:id="1"/>
      <w:bookmarkEnd w:id="2"/>
      <w:bookmarkEnd w:id="3"/>
      <w:bookmarkEnd w:id="4"/>
      <w:bookmarkEnd w:id="5"/>
    </w:p>
    <w:p w14:paraId="68D4DC04">
      <w:pPr>
        <w:pStyle w:val="16"/>
        <w:tabs>
          <w:tab w:val="right" w:leader="dot" w:pos="9628"/>
        </w:tabs>
        <w:rPr>
          <w:rFonts w:ascii="Calibri" w:hAnsi="Calibri"/>
          <w:b w:val="0"/>
          <w:bCs w:val="0"/>
          <w:caps w:val="0"/>
          <w:sz w:val="21"/>
          <w:szCs w:val="22"/>
        </w:rPr>
      </w:pPr>
      <w:bookmarkStart w:id="6" w:name="_Toc247527533"/>
      <w:bookmarkStart w:id="7" w:name="_Toc247513932"/>
      <w:bookmarkStart w:id="8" w:name="_Toc152045511"/>
      <w:bookmarkStart w:id="9" w:name="_Toc152042287"/>
      <w:bookmarkStart w:id="10" w:name="_Toc144974479"/>
      <w:r>
        <w:rPr>
          <w:rFonts w:hint="eastAsia" w:ascii="宋体" w:hAnsi="宋体" w:cs="宋体"/>
          <w:caps w:val="0"/>
        </w:rPr>
        <w:fldChar w:fldCharType="begin"/>
      </w:r>
      <w:r>
        <w:rPr>
          <w:rFonts w:hint="eastAsia" w:ascii="宋体" w:hAnsi="宋体" w:cs="宋体"/>
          <w:caps w:val="0"/>
        </w:rPr>
        <w:instrText xml:space="preserve"> TOC \o "1-3" \h \z \u </w:instrText>
      </w:r>
      <w:r>
        <w:rPr>
          <w:rFonts w:hint="eastAsia" w:ascii="宋体" w:hAnsi="宋体" w:cs="宋体"/>
          <w:caps w:val="0"/>
        </w:rPr>
        <w:fldChar w:fldCharType="separate"/>
      </w:r>
      <w:r>
        <w:fldChar w:fldCharType="begin"/>
      </w:r>
      <w:r>
        <w:instrText xml:space="preserve"> HYPERLINK \l "_Toc134304509" </w:instrText>
      </w:r>
      <w:r>
        <w:fldChar w:fldCharType="separate"/>
      </w:r>
      <w:r>
        <w:rPr>
          <w:rStyle w:val="23"/>
          <w:rFonts w:hint="eastAsia"/>
        </w:rPr>
        <w:t>目录</w:t>
      </w:r>
      <w:r>
        <w:tab/>
      </w:r>
      <w:r>
        <w:fldChar w:fldCharType="begin"/>
      </w:r>
      <w:r>
        <w:instrText xml:space="preserve"> PAGEREF _Toc134304509 \h </w:instrText>
      </w:r>
      <w:r>
        <w:fldChar w:fldCharType="separate"/>
      </w:r>
      <w:r>
        <w:t>- 2 -</w:t>
      </w:r>
      <w:r>
        <w:fldChar w:fldCharType="end"/>
      </w:r>
      <w:r>
        <w:fldChar w:fldCharType="end"/>
      </w:r>
    </w:p>
    <w:p w14:paraId="08A0E76B">
      <w:pPr>
        <w:pStyle w:val="16"/>
        <w:tabs>
          <w:tab w:val="right" w:leader="dot" w:pos="9628"/>
        </w:tabs>
        <w:rPr>
          <w:rFonts w:ascii="Calibri" w:hAnsi="Calibri"/>
          <w:b w:val="0"/>
          <w:bCs w:val="0"/>
          <w:caps w:val="0"/>
          <w:sz w:val="21"/>
          <w:szCs w:val="22"/>
        </w:rPr>
      </w:pPr>
      <w:r>
        <w:fldChar w:fldCharType="begin"/>
      </w:r>
      <w:r>
        <w:instrText xml:space="preserve"> HYPERLINK \l "_Toc134304510" </w:instrText>
      </w:r>
      <w:r>
        <w:fldChar w:fldCharType="separate"/>
      </w:r>
      <w:r>
        <w:rPr>
          <w:rStyle w:val="23"/>
          <w:rFonts w:hint="eastAsia"/>
        </w:rPr>
        <w:t>第一卷</w:t>
      </w:r>
      <w:r>
        <w:tab/>
      </w:r>
      <w:r>
        <w:fldChar w:fldCharType="begin"/>
      </w:r>
      <w:r>
        <w:instrText xml:space="preserve"> PAGEREF _Toc134304510 \h </w:instrText>
      </w:r>
      <w:r>
        <w:fldChar w:fldCharType="separate"/>
      </w:r>
      <w:r>
        <w:t>- 5 -</w:t>
      </w:r>
      <w:r>
        <w:fldChar w:fldCharType="end"/>
      </w:r>
      <w:r>
        <w:fldChar w:fldCharType="end"/>
      </w:r>
    </w:p>
    <w:p w14:paraId="5E0EEDC0">
      <w:pPr>
        <w:pStyle w:val="16"/>
        <w:tabs>
          <w:tab w:val="right" w:leader="dot" w:pos="9628"/>
        </w:tabs>
        <w:rPr>
          <w:rFonts w:ascii="Calibri" w:hAnsi="Calibri"/>
          <w:b w:val="0"/>
          <w:bCs w:val="0"/>
          <w:caps w:val="0"/>
          <w:sz w:val="21"/>
          <w:szCs w:val="22"/>
        </w:rPr>
      </w:pPr>
      <w:r>
        <w:fldChar w:fldCharType="begin"/>
      </w:r>
      <w:r>
        <w:instrText xml:space="preserve"> HYPERLINK \l "_Toc134304511" </w:instrText>
      </w:r>
      <w:r>
        <w:fldChar w:fldCharType="separate"/>
      </w:r>
      <w:r>
        <w:rPr>
          <w:rStyle w:val="23"/>
          <w:rFonts w:hint="eastAsia"/>
        </w:rPr>
        <w:t>第一章招标公告</w:t>
      </w:r>
      <w:r>
        <w:tab/>
      </w:r>
      <w:r>
        <w:fldChar w:fldCharType="begin"/>
      </w:r>
      <w:r>
        <w:instrText xml:space="preserve"> PAGEREF _Toc134304511 \h </w:instrText>
      </w:r>
      <w:r>
        <w:fldChar w:fldCharType="separate"/>
      </w:r>
      <w:r>
        <w:t>- 6 -</w:t>
      </w:r>
      <w:r>
        <w:fldChar w:fldCharType="end"/>
      </w:r>
      <w:r>
        <w:fldChar w:fldCharType="end"/>
      </w:r>
    </w:p>
    <w:p w14:paraId="1F8B60D7">
      <w:pPr>
        <w:pStyle w:val="16"/>
        <w:tabs>
          <w:tab w:val="right" w:leader="dot" w:pos="9628"/>
        </w:tabs>
        <w:rPr>
          <w:rFonts w:ascii="Calibri" w:hAnsi="Calibri"/>
          <w:b w:val="0"/>
          <w:bCs w:val="0"/>
          <w:caps w:val="0"/>
          <w:sz w:val="21"/>
          <w:szCs w:val="22"/>
        </w:rPr>
      </w:pPr>
      <w:r>
        <w:fldChar w:fldCharType="begin"/>
      </w:r>
      <w:r>
        <w:instrText xml:space="preserve"> HYPERLINK \l "_Toc134304521" </w:instrText>
      </w:r>
      <w:r>
        <w:fldChar w:fldCharType="separate"/>
      </w:r>
      <w:r>
        <w:rPr>
          <w:rStyle w:val="23"/>
          <w:rFonts w:hint="eastAsia"/>
        </w:rPr>
        <w:t>第二章投标人须知</w:t>
      </w:r>
      <w:r>
        <w:tab/>
      </w:r>
      <w:r>
        <w:fldChar w:fldCharType="begin"/>
      </w:r>
      <w:r>
        <w:instrText xml:space="preserve"> PAGEREF _Toc134304521 \h </w:instrText>
      </w:r>
      <w:r>
        <w:fldChar w:fldCharType="separate"/>
      </w:r>
      <w:r>
        <w:t>- 7 -</w:t>
      </w:r>
      <w:r>
        <w:fldChar w:fldCharType="end"/>
      </w:r>
      <w:r>
        <w:fldChar w:fldCharType="end"/>
      </w:r>
    </w:p>
    <w:p w14:paraId="64415BE1">
      <w:pPr>
        <w:pStyle w:val="17"/>
        <w:tabs>
          <w:tab w:val="right" w:leader="dot" w:pos="9628"/>
        </w:tabs>
        <w:rPr>
          <w:rFonts w:ascii="Calibri" w:hAnsi="Calibri"/>
          <w:smallCaps w:val="0"/>
          <w:sz w:val="21"/>
          <w:szCs w:val="22"/>
        </w:rPr>
      </w:pPr>
      <w:r>
        <w:fldChar w:fldCharType="begin"/>
      </w:r>
      <w:r>
        <w:instrText xml:space="preserve"> HYPERLINK \l "_Toc134304522" </w:instrText>
      </w:r>
      <w:r>
        <w:fldChar w:fldCharType="separate"/>
      </w:r>
      <w:r>
        <w:rPr>
          <w:rStyle w:val="23"/>
          <w:rFonts w:hint="eastAsia"/>
        </w:rPr>
        <w:t>投标人须知前附表</w:t>
      </w:r>
      <w:r>
        <w:tab/>
      </w:r>
      <w:r>
        <w:fldChar w:fldCharType="begin"/>
      </w:r>
      <w:r>
        <w:instrText xml:space="preserve"> PAGEREF _Toc134304522 \h </w:instrText>
      </w:r>
      <w:r>
        <w:fldChar w:fldCharType="separate"/>
      </w:r>
      <w:r>
        <w:t>- 7 -</w:t>
      </w:r>
      <w:r>
        <w:fldChar w:fldCharType="end"/>
      </w:r>
      <w:r>
        <w:fldChar w:fldCharType="end"/>
      </w:r>
    </w:p>
    <w:p w14:paraId="706F6B1E">
      <w:pPr>
        <w:pStyle w:val="17"/>
        <w:tabs>
          <w:tab w:val="right" w:leader="dot" w:pos="9628"/>
        </w:tabs>
        <w:rPr>
          <w:rFonts w:ascii="Calibri" w:hAnsi="Calibri"/>
          <w:smallCaps w:val="0"/>
          <w:sz w:val="21"/>
          <w:szCs w:val="22"/>
        </w:rPr>
      </w:pPr>
      <w:r>
        <w:fldChar w:fldCharType="begin"/>
      </w:r>
      <w:r>
        <w:instrText xml:space="preserve"> HYPERLINK \l "_Toc134304523" </w:instrText>
      </w:r>
      <w:r>
        <w:fldChar w:fldCharType="separate"/>
      </w:r>
      <w:r>
        <w:rPr>
          <w:rStyle w:val="23"/>
        </w:rPr>
        <w:t xml:space="preserve">1. </w:t>
      </w:r>
      <w:r>
        <w:rPr>
          <w:rStyle w:val="23"/>
          <w:rFonts w:hint="eastAsia"/>
        </w:rPr>
        <w:t>总则</w:t>
      </w:r>
      <w:r>
        <w:tab/>
      </w:r>
      <w:r>
        <w:fldChar w:fldCharType="begin"/>
      </w:r>
      <w:r>
        <w:instrText xml:space="preserve"> PAGEREF _Toc134304523 \h </w:instrText>
      </w:r>
      <w:r>
        <w:fldChar w:fldCharType="separate"/>
      </w:r>
      <w:r>
        <w:t>- 16 -</w:t>
      </w:r>
      <w:r>
        <w:fldChar w:fldCharType="end"/>
      </w:r>
      <w:r>
        <w:fldChar w:fldCharType="end"/>
      </w:r>
    </w:p>
    <w:p w14:paraId="5C7AC147">
      <w:pPr>
        <w:pStyle w:val="12"/>
        <w:tabs>
          <w:tab w:val="right" w:leader="dot" w:pos="9628"/>
        </w:tabs>
        <w:rPr>
          <w:rFonts w:ascii="Calibri" w:hAnsi="Calibri"/>
          <w:iCs w:val="0"/>
          <w:sz w:val="21"/>
          <w:szCs w:val="22"/>
        </w:rPr>
      </w:pPr>
      <w:r>
        <w:fldChar w:fldCharType="begin"/>
      </w:r>
      <w:r>
        <w:instrText xml:space="preserve"> HYPERLINK \l "_Toc134304524" </w:instrText>
      </w:r>
      <w:r>
        <w:fldChar w:fldCharType="separate"/>
      </w:r>
      <w:r>
        <w:rPr>
          <w:rStyle w:val="23"/>
        </w:rPr>
        <w:t xml:space="preserve">1.1 </w:t>
      </w:r>
      <w:r>
        <w:rPr>
          <w:rStyle w:val="23"/>
          <w:rFonts w:hint="eastAsia"/>
        </w:rPr>
        <w:t>项目概况</w:t>
      </w:r>
      <w:r>
        <w:tab/>
      </w:r>
      <w:r>
        <w:fldChar w:fldCharType="begin"/>
      </w:r>
      <w:r>
        <w:instrText xml:space="preserve"> PAGEREF _Toc134304524 \h </w:instrText>
      </w:r>
      <w:r>
        <w:fldChar w:fldCharType="separate"/>
      </w:r>
      <w:r>
        <w:t>- 16 -</w:t>
      </w:r>
      <w:r>
        <w:fldChar w:fldCharType="end"/>
      </w:r>
      <w:r>
        <w:fldChar w:fldCharType="end"/>
      </w:r>
    </w:p>
    <w:p w14:paraId="4B1D3532">
      <w:pPr>
        <w:pStyle w:val="12"/>
        <w:tabs>
          <w:tab w:val="right" w:leader="dot" w:pos="9628"/>
        </w:tabs>
        <w:rPr>
          <w:rFonts w:ascii="Calibri" w:hAnsi="Calibri"/>
          <w:iCs w:val="0"/>
          <w:sz w:val="21"/>
          <w:szCs w:val="22"/>
        </w:rPr>
      </w:pPr>
      <w:r>
        <w:fldChar w:fldCharType="begin"/>
      </w:r>
      <w:r>
        <w:instrText xml:space="preserve"> HYPERLINK \l "_Toc134304525" </w:instrText>
      </w:r>
      <w:r>
        <w:fldChar w:fldCharType="separate"/>
      </w:r>
      <w:r>
        <w:rPr>
          <w:rStyle w:val="23"/>
        </w:rPr>
        <w:t xml:space="preserve">1.2 </w:t>
      </w:r>
      <w:r>
        <w:rPr>
          <w:rStyle w:val="23"/>
          <w:rFonts w:hint="eastAsia"/>
        </w:rPr>
        <w:t>项目的资金来源和落实情况</w:t>
      </w:r>
      <w:r>
        <w:tab/>
      </w:r>
      <w:r>
        <w:fldChar w:fldCharType="begin"/>
      </w:r>
      <w:r>
        <w:instrText xml:space="preserve"> PAGEREF _Toc134304525 \h </w:instrText>
      </w:r>
      <w:r>
        <w:fldChar w:fldCharType="separate"/>
      </w:r>
      <w:r>
        <w:t>- 16 -</w:t>
      </w:r>
      <w:r>
        <w:fldChar w:fldCharType="end"/>
      </w:r>
      <w:r>
        <w:fldChar w:fldCharType="end"/>
      </w:r>
    </w:p>
    <w:p w14:paraId="5F409D2B">
      <w:pPr>
        <w:pStyle w:val="12"/>
        <w:tabs>
          <w:tab w:val="right" w:leader="dot" w:pos="9628"/>
        </w:tabs>
        <w:rPr>
          <w:rFonts w:ascii="Calibri" w:hAnsi="Calibri"/>
          <w:iCs w:val="0"/>
          <w:sz w:val="21"/>
          <w:szCs w:val="22"/>
        </w:rPr>
      </w:pPr>
      <w:r>
        <w:fldChar w:fldCharType="begin"/>
      </w:r>
      <w:r>
        <w:instrText xml:space="preserve"> HYPERLINK \l "_Toc134304526" </w:instrText>
      </w:r>
      <w:r>
        <w:fldChar w:fldCharType="separate"/>
      </w:r>
      <w:r>
        <w:rPr>
          <w:rStyle w:val="23"/>
        </w:rPr>
        <w:t xml:space="preserve">1.3 </w:t>
      </w:r>
      <w:r>
        <w:rPr>
          <w:rStyle w:val="23"/>
          <w:rFonts w:hint="eastAsia"/>
        </w:rPr>
        <w:t>招标范围、计划工期和质量标准</w:t>
      </w:r>
      <w:r>
        <w:tab/>
      </w:r>
      <w:r>
        <w:fldChar w:fldCharType="begin"/>
      </w:r>
      <w:r>
        <w:instrText xml:space="preserve"> PAGEREF _Toc134304526 \h </w:instrText>
      </w:r>
      <w:r>
        <w:fldChar w:fldCharType="separate"/>
      </w:r>
      <w:r>
        <w:t>- 16 -</w:t>
      </w:r>
      <w:r>
        <w:fldChar w:fldCharType="end"/>
      </w:r>
      <w:r>
        <w:fldChar w:fldCharType="end"/>
      </w:r>
    </w:p>
    <w:p w14:paraId="749754B1">
      <w:pPr>
        <w:pStyle w:val="12"/>
        <w:tabs>
          <w:tab w:val="right" w:leader="dot" w:pos="9628"/>
        </w:tabs>
        <w:rPr>
          <w:rFonts w:ascii="Calibri" w:hAnsi="Calibri"/>
          <w:iCs w:val="0"/>
          <w:sz w:val="21"/>
          <w:szCs w:val="22"/>
        </w:rPr>
      </w:pPr>
      <w:r>
        <w:fldChar w:fldCharType="begin"/>
      </w:r>
      <w:r>
        <w:instrText xml:space="preserve"> HYPERLINK \l "_Toc134304527" </w:instrText>
      </w:r>
      <w:r>
        <w:fldChar w:fldCharType="separate"/>
      </w:r>
      <w:r>
        <w:rPr>
          <w:rStyle w:val="23"/>
        </w:rPr>
        <w:t xml:space="preserve">1.4 </w:t>
      </w:r>
      <w:r>
        <w:rPr>
          <w:rStyle w:val="23"/>
          <w:rFonts w:hint="eastAsia"/>
        </w:rPr>
        <w:t>投标人资格要求（适用于未进行资格预审的）</w:t>
      </w:r>
      <w:r>
        <w:tab/>
      </w:r>
      <w:r>
        <w:fldChar w:fldCharType="begin"/>
      </w:r>
      <w:r>
        <w:instrText xml:space="preserve"> PAGEREF _Toc134304527 \h </w:instrText>
      </w:r>
      <w:r>
        <w:fldChar w:fldCharType="separate"/>
      </w:r>
      <w:r>
        <w:t>- 16 -</w:t>
      </w:r>
      <w:r>
        <w:fldChar w:fldCharType="end"/>
      </w:r>
      <w:r>
        <w:fldChar w:fldCharType="end"/>
      </w:r>
    </w:p>
    <w:p w14:paraId="20D92217">
      <w:pPr>
        <w:pStyle w:val="12"/>
        <w:tabs>
          <w:tab w:val="right" w:leader="dot" w:pos="9628"/>
        </w:tabs>
        <w:rPr>
          <w:rFonts w:ascii="Calibri" w:hAnsi="Calibri"/>
          <w:iCs w:val="0"/>
          <w:sz w:val="21"/>
          <w:szCs w:val="22"/>
        </w:rPr>
      </w:pPr>
      <w:r>
        <w:fldChar w:fldCharType="begin"/>
      </w:r>
      <w:r>
        <w:instrText xml:space="preserve"> HYPERLINK \l "_Toc134304528" </w:instrText>
      </w:r>
      <w:r>
        <w:fldChar w:fldCharType="separate"/>
      </w:r>
      <w:r>
        <w:rPr>
          <w:rStyle w:val="23"/>
        </w:rPr>
        <w:t xml:space="preserve">1.5 </w:t>
      </w:r>
      <w:r>
        <w:rPr>
          <w:rStyle w:val="23"/>
          <w:rFonts w:hint="eastAsia"/>
        </w:rPr>
        <w:t>费用承担和设计成果补偿</w:t>
      </w:r>
      <w:r>
        <w:tab/>
      </w:r>
      <w:r>
        <w:fldChar w:fldCharType="begin"/>
      </w:r>
      <w:r>
        <w:instrText xml:space="preserve"> PAGEREF _Toc134304528 \h </w:instrText>
      </w:r>
      <w:r>
        <w:fldChar w:fldCharType="separate"/>
      </w:r>
      <w:r>
        <w:t>- 17 -</w:t>
      </w:r>
      <w:r>
        <w:fldChar w:fldCharType="end"/>
      </w:r>
      <w:r>
        <w:fldChar w:fldCharType="end"/>
      </w:r>
    </w:p>
    <w:p w14:paraId="437B990B">
      <w:pPr>
        <w:pStyle w:val="12"/>
        <w:tabs>
          <w:tab w:val="right" w:leader="dot" w:pos="9628"/>
        </w:tabs>
        <w:rPr>
          <w:rFonts w:ascii="Calibri" w:hAnsi="Calibri"/>
          <w:iCs w:val="0"/>
          <w:sz w:val="21"/>
          <w:szCs w:val="22"/>
        </w:rPr>
      </w:pPr>
      <w:r>
        <w:fldChar w:fldCharType="begin"/>
      </w:r>
      <w:r>
        <w:instrText xml:space="preserve"> HYPERLINK \l "_Toc134304529" </w:instrText>
      </w:r>
      <w:r>
        <w:fldChar w:fldCharType="separate"/>
      </w:r>
      <w:r>
        <w:rPr>
          <w:rStyle w:val="23"/>
        </w:rPr>
        <w:t xml:space="preserve">1.6 </w:t>
      </w:r>
      <w:r>
        <w:rPr>
          <w:rStyle w:val="23"/>
          <w:rFonts w:hint="eastAsia"/>
        </w:rPr>
        <w:t>保密</w:t>
      </w:r>
      <w:r>
        <w:tab/>
      </w:r>
      <w:r>
        <w:fldChar w:fldCharType="begin"/>
      </w:r>
      <w:r>
        <w:instrText xml:space="preserve"> PAGEREF _Toc134304529 \h </w:instrText>
      </w:r>
      <w:r>
        <w:fldChar w:fldCharType="separate"/>
      </w:r>
      <w:r>
        <w:t>- 18 -</w:t>
      </w:r>
      <w:r>
        <w:fldChar w:fldCharType="end"/>
      </w:r>
      <w:r>
        <w:fldChar w:fldCharType="end"/>
      </w:r>
    </w:p>
    <w:p w14:paraId="0AB596E1">
      <w:pPr>
        <w:pStyle w:val="12"/>
        <w:tabs>
          <w:tab w:val="right" w:leader="dot" w:pos="9628"/>
        </w:tabs>
        <w:rPr>
          <w:rFonts w:ascii="Calibri" w:hAnsi="Calibri"/>
          <w:iCs w:val="0"/>
          <w:sz w:val="21"/>
          <w:szCs w:val="22"/>
        </w:rPr>
      </w:pPr>
      <w:r>
        <w:fldChar w:fldCharType="begin"/>
      </w:r>
      <w:r>
        <w:instrText xml:space="preserve"> HYPERLINK \l "_Toc134304530" </w:instrText>
      </w:r>
      <w:r>
        <w:fldChar w:fldCharType="separate"/>
      </w:r>
      <w:r>
        <w:rPr>
          <w:rStyle w:val="23"/>
        </w:rPr>
        <w:t xml:space="preserve">1.7 </w:t>
      </w:r>
      <w:r>
        <w:rPr>
          <w:rStyle w:val="23"/>
          <w:rFonts w:hint="eastAsia"/>
        </w:rPr>
        <w:t>语言文字</w:t>
      </w:r>
      <w:r>
        <w:tab/>
      </w:r>
      <w:r>
        <w:fldChar w:fldCharType="begin"/>
      </w:r>
      <w:r>
        <w:instrText xml:space="preserve"> PAGEREF _Toc134304530 \h </w:instrText>
      </w:r>
      <w:r>
        <w:fldChar w:fldCharType="separate"/>
      </w:r>
      <w:r>
        <w:t>- 18 -</w:t>
      </w:r>
      <w:r>
        <w:fldChar w:fldCharType="end"/>
      </w:r>
      <w:r>
        <w:fldChar w:fldCharType="end"/>
      </w:r>
    </w:p>
    <w:p w14:paraId="37BA8DCD">
      <w:pPr>
        <w:pStyle w:val="12"/>
        <w:tabs>
          <w:tab w:val="right" w:leader="dot" w:pos="9628"/>
        </w:tabs>
        <w:rPr>
          <w:rFonts w:ascii="Calibri" w:hAnsi="Calibri"/>
          <w:iCs w:val="0"/>
          <w:sz w:val="21"/>
          <w:szCs w:val="22"/>
        </w:rPr>
      </w:pPr>
      <w:r>
        <w:fldChar w:fldCharType="begin"/>
      </w:r>
      <w:r>
        <w:instrText xml:space="preserve"> HYPERLINK \l "_Toc134304531" </w:instrText>
      </w:r>
      <w:r>
        <w:fldChar w:fldCharType="separate"/>
      </w:r>
      <w:r>
        <w:rPr>
          <w:rStyle w:val="23"/>
        </w:rPr>
        <w:t xml:space="preserve">1.8 </w:t>
      </w:r>
      <w:r>
        <w:rPr>
          <w:rStyle w:val="23"/>
          <w:rFonts w:hint="eastAsia"/>
        </w:rPr>
        <w:t>计量单位</w:t>
      </w:r>
      <w:r>
        <w:tab/>
      </w:r>
      <w:r>
        <w:fldChar w:fldCharType="begin"/>
      </w:r>
      <w:r>
        <w:instrText xml:space="preserve"> PAGEREF _Toc134304531 \h </w:instrText>
      </w:r>
      <w:r>
        <w:fldChar w:fldCharType="separate"/>
      </w:r>
      <w:r>
        <w:t>- 18 -</w:t>
      </w:r>
      <w:r>
        <w:fldChar w:fldCharType="end"/>
      </w:r>
      <w:r>
        <w:fldChar w:fldCharType="end"/>
      </w:r>
    </w:p>
    <w:p w14:paraId="3004C134">
      <w:pPr>
        <w:pStyle w:val="12"/>
        <w:tabs>
          <w:tab w:val="right" w:leader="dot" w:pos="9628"/>
        </w:tabs>
        <w:rPr>
          <w:rFonts w:ascii="Calibri" w:hAnsi="Calibri"/>
          <w:iCs w:val="0"/>
          <w:sz w:val="21"/>
          <w:szCs w:val="22"/>
        </w:rPr>
      </w:pPr>
      <w:r>
        <w:fldChar w:fldCharType="begin"/>
      </w:r>
      <w:r>
        <w:instrText xml:space="preserve"> HYPERLINK \l "_Toc134304532" </w:instrText>
      </w:r>
      <w:r>
        <w:fldChar w:fldCharType="separate"/>
      </w:r>
      <w:r>
        <w:rPr>
          <w:rStyle w:val="23"/>
        </w:rPr>
        <w:t xml:space="preserve">1.9 </w:t>
      </w:r>
      <w:r>
        <w:rPr>
          <w:rStyle w:val="23"/>
          <w:rFonts w:hint="eastAsia"/>
        </w:rPr>
        <w:t>踏勘现场</w:t>
      </w:r>
      <w:r>
        <w:tab/>
      </w:r>
      <w:r>
        <w:fldChar w:fldCharType="begin"/>
      </w:r>
      <w:r>
        <w:instrText xml:space="preserve"> PAGEREF _Toc134304532 \h </w:instrText>
      </w:r>
      <w:r>
        <w:fldChar w:fldCharType="separate"/>
      </w:r>
      <w:r>
        <w:t>- 18 -</w:t>
      </w:r>
      <w:r>
        <w:fldChar w:fldCharType="end"/>
      </w:r>
      <w:r>
        <w:fldChar w:fldCharType="end"/>
      </w:r>
    </w:p>
    <w:p w14:paraId="024D2282">
      <w:pPr>
        <w:pStyle w:val="12"/>
        <w:tabs>
          <w:tab w:val="right" w:leader="dot" w:pos="9628"/>
        </w:tabs>
        <w:rPr>
          <w:rFonts w:ascii="Calibri" w:hAnsi="Calibri"/>
          <w:iCs w:val="0"/>
          <w:sz w:val="21"/>
          <w:szCs w:val="22"/>
        </w:rPr>
      </w:pPr>
      <w:r>
        <w:fldChar w:fldCharType="begin"/>
      </w:r>
      <w:r>
        <w:instrText xml:space="preserve"> HYPERLINK \l "_Toc134304533" </w:instrText>
      </w:r>
      <w:r>
        <w:fldChar w:fldCharType="separate"/>
      </w:r>
      <w:r>
        <w:rPr>
          <w:rStyle w:val="23"/>
        </w:rPr>
        <w:t xml:space="preserve">1.10 </w:t>
      </w:r>
      <w:r>
        <w:rPr>
          <w:rStyle w:val="23"/>
          <w:rFonts w:hint="eastAsia"/>
        </w:rPr>
        <w:t>招标答疑</w:t>
      </w:r>
      <w:r>
        <w:tab/>
      </w:r>
      <w:r>
        <w:fldChar w:fldCharType="begin"/>
      </w:r>
      <w:r>
        <w:instrText xml:space="preserve"> PAGEREF _Toc134304533 \h </w:instrText>
      </w:r>
      <w:r>
        <w:fldChar w:fldCharType="separate"/>
      </w:r>
      <w:r>
        <w:t>- 18 -</w:t>
      </w:r>
      <w:r>
        <w:fldChar w:fldCharType="end"/>
      </w:r>
      <w:r>
        <w:fldChar w:fldCharType="end"/>
      </w:r>
    </w:p>
    <w:p w14:paraId="7A0D7A81">
      <w:pPr>
        <w:pStyle w:val="12"/>
        <w:tabs>
          <w:tab w:val="right" w:leader="dot" w:pos="9628"/>
        </w:tabs>
        <w:rPr>
          <w:rFonts w:ascii="Calibri" w:hAnsi="Calibri"/>
          <w:iCs w:val="0"/>
          <w:sz w:val="21"/>
          <w:szCs w:val="22"/>
        </w:rPr>
      </w:pPr>
      <w:r>
        <w:fldChar w:fldCharType="begin"/>
      </w:r>
      <w:r>
        <w:instrText xml:space="preserve"> HYPERLINK \l "_Toc134304534" </w:instrText>
      </w:r>
      <w:r>
        <w:fldChar w:fldCharType="separate"/>
      </w:r>
      <w:r>
        <w:rPr>
          <w:rStyle w:val="23"/>
        </w:rPr>
        <w:t xml:space="preserve">1.11 </w:t>
      </w:r>
      <w:r>
        <w:rPr>
          <w:rStyle w:val="23"/>
          <w:rFonts w:hint="eastAsia"/>
        </w:rPr>
        <w:t>分包</w:t>
      </w:r>
      <w:r>
        <w:tab/>
      </w:r>
      <w:r>
        <w:fldChar w:fldCharType="begin"/>
      </w:r>
      <w:r>
        <w:instrText xml:space="preserve"> PAGEREF _Toc134304534 \h </w:instrText>
      </w:r>
      <w:r>
        <w:fldChar w:fldCharType="separate"/>
      </w:r>
      <w:r>
        <w:t>- 19 -</w:t>
      </w:r>
      <w:r>
        <w:fldChar w:fldCharType="end"/>
      </w:r>
      <w:r>
        <w:fldChar w:fldCharType="end"/>
      </w:r>
    </w:p>
    <w:p w14:paraId="7B2294BC">
      <w:pPr>
        <w:pStyle w:val="12"/>
        <w:tabs>
          <w:tab w:val="right" w:leader="dot" w:pos="9628"/>
        </w:tabs>
        <w:rPr>
          <w:rFonts w:ascii="Calibri" w:hAnsi="Calibri"/>
          <w:iCs w:val="0"/>
          <w:sz w:val="21"/>
          <w:szCs w:val="22"/>
        </w:rPr>
      </w:pPr>
      <w:r>
        <w:fldChar w:fldCharType="begin"/>
      </w:r>
      <w:r>
        <w:instrText xml:space="preserve"> HYPERLINK \l "_Toc134304535" </w:instrText>
      </w:r>
      <w:r>
        <w:fldChar w:fldCharType="separate"/>
      </w:r>
      <w:r>
        <w:rPr>
          <w:rStyle w:val="23"/>
        </w:rPr>
        <w:t xml:space="preserve">1.12 </w:t>
      </w:r>
      <w:r>
        <w:rPr>
          <w:rStyle w:val="23"/>
          <w:rFonts w:hint="eastAsia"/>
        </w:rPr>
        <w:t>偏离</w:t>
      </w:r>
      <w:r>
        <w:tab/>
      </w:r>
      <w:r>
        <w:fldChar w:fldCharType="begin"/>
      </w:r>
      <w:r>
        <w:instrText xml:space="preserve"> PAGEREF _Toc134304535 \h </w:instrText>
      </w:r>
      <w:r>
        <w:fldChar w:fldCharType="separate"/>
      </w:r>
      <w:r>
        <w:t>- 19 -</w:t>
      </w:r>
      <w:r>
        <w:fldChar w:fldCharType="end"/>
      </w:r>
      <w:r>
        <w:fldChar w:fldCharType="end"/>
      </w:r>
    </w:p>
    <w:p w14:paraId="1F95B1EF">
      <w:pPr>
        <w:pStyle w:val="17"/>
        <w:tabs>
          <w:tab w:val="right" w:leader="dot" w:pos="9628"/>
        </w:tabs>
        <w:rPr>
          <w:rFonts w:ascii="Calibri" w:hAnsi="Calibri"/>
          <w:smallCaps w:val="0"/>
          <w:sz w:val="21"/>
          <w:szCs w:val="22"/>
        </w:rPr>
      </w:pPr>
      <w:r>
        <w:fldChar w:fldCharType="begin"/>
      </w:r>
      <w:r>
        <w:instrText xml:space="preserve"> HYPERLINK \l "_Toc134304536" </w:instrText>
      </w:r>
      <w:r>
        <w:fldChar w:fldCharType="separate"/>
      </w:r>
      <w:r>
        <w:rPr>
          <w:rStyle w:val="23"/>
        </w:rPr>
        <w:t xml:space="preserve">2. </w:t>
      </w:r>
      <w:r>
        <w:rPr>
          <w:rStyle w:val="23"/>
          <w:rFonts w:hint="eastAsia"/>
        </w:rPr>
        <w:t>招标文件</w:t>
      </w:r>
      <w:r>
        <w:tab/>
      </w:r>
      <w:r>
        <w:fldChar w:fldCharType="begin"/>
      </w:r>
      <w:r>
        <w:instrText xml:space="preserve"> PAGEREF _Toc134304536 \h </w:instrText>
      </w:r>
      <w:r>
        <w:fldChar w:fldCharType="separate"/>
      </w:r>
      <w:r>
        <w:t>- 19 -</w:t>
      </w:r>
      <w:r>
        <w:fldChar w:fldCharType="end"/>
      </w:r>
      <w:r>
        <w:fldChar w:fldCharType="end"/>
      </w:r>
    </w:p>
    <w:p w14:paraId="1F4D7B36">
      <w:pPr>
        <w:pStyle w:val="12"/>
        <w:tabs>
          <w:tab w:val="right" w:leader="dot" w:pos="9628"/>
        </w:tabs>
        <w:rPr>
          <w:rFonts w:ascii="Calibri" w:hAnsi="Calibri"/>
          <w:iCs w:val="0"/>
          <w:sz w:val="21"/>
          <w:szCs w:val="22"/>
        </w:rPr>
      </w:pPr>
      <w:r>
        <w:fldChar w:fldCharType="begin"/>
      </w:r>
      <w:r>
        <w:instrText xml:space="preserve"> HYPERLINK \l "_Toc134304537" </w:instrText>
      </w:r>
      <w:r>
        <w:fldChar w:fldCharType="separate"/>
      </w:r>
      <w:r>
        <w:rPr>
          <w:rStyle w:val="23"/>
        </w:rPr>
        <w:t xml:space="preserve">2.1 </w:t>
      </w:r>
      <w:r>
        <w:rPr>
          <w:rStyle w:val="23"/>
          <w:rFonts w:hint="eastAsia"/>
        </w:rPr>
        <w:t>招标文件的组成</w:t>
      </w:r>
      <w:r>
        <w:tab/>
      </w:r>
      <w:r>
        <w:fldChar w:fldCharType="begin"/>
      </w:r>
      <w:r>
        <w:instrText xml:space="preserve"> PAGEREF _Toc134304537 \h </w:instrText>
      </w:r>
      <w:r>
        <w:fldChar w:fldCharType="separate"/>
      </w:r>
      <w:r>
        <w:t>- 19 -</w:t>
      </w:r>
      <w:r>
        <w:fldChar w:fldCharType="end"/>
      </w:r>
      <w:r>
        <w:fldChar w:fldCharType="end"/>
      </w:r>
    </w:p>
    <w:p w14:paraId="01E612F9">
      <w:pPr>
        <w:pStyle w:val="12"/>
        <w:tabs>
          <w:tab w:val="right" w:leader="dot" w:pos="9628"/>
        </w:tabs>
        <w:rPr>
          <w:rFonts w:ascii="Calibri" w:hAnsi="Calibri"/>
          <w:iCs w:val="0"/>
          <w:sz w:val="21"/>
          <w:szCs w:val="22"/>
        </w:rPr>
      </w:pPr>
      <w:r>
        <w:fldChar w:fldCharType="begin"/>
      </w:r>
      <w:r>
        <w:instrText xml:space="preserve"> HYPERLINK \l "_Toc134304538" </w:instrText>
      </w:r>
      <w:r>
        <w:fldChar w:fldCharType="separate"/>
      </w:r>
      <w:r>
        <w:rPr>
          <w:rStyle w:val="23"/>
        </w:rPr>
        <w:t xml:space="preserve">2.2 </w:t>
      </w:r>
      <w:r>
        <w:rPr>
          <w:rStyle w:val="23"/>
          <w:rFonts w:hint="eastAsia"/>
        </w:rPr>
        <w:t>招标文件的澄清</w:t>
      </w:r>
      <w:r>
        <w:tab/>
      </w:r>
      <w:r>
        <w:fldChar w:fldCharType="begin"/>
      </w:r>
      <w:r>
        <w:instrText xml:space="preserve"> PAGEREF _Toc134304538 \h </w:instrText>
      </w:r>
      <w:r>
        <w:fldChar w:fldCharType="separate"/>
      </w:r>
      <w:r>
        <w:t>- 20 -</w:t>
      </w:r>
      <w:r>
        <w:fldChar w:fldCharType="end"/>
      </w:r>
      <w:r>
        <w:fldChar w:fldCharType="end"/>
      </w:r>
    </w:p>
    <w:p w14:paraId="533E8178">
      <w:pPr>
        <w:pStyle w:val="12"/>
        <w:tabs>
          <w:tab w:val="right" w:leader="dot" w:pos="9628"/>
        </w:tabs>
        <w:rPr>
          <w:rFonts w:ascii="Calibri" w:hAnsi="Calibri"/>
          <w:iCs w:val="0"/>
          <w:sz w:val="21"/>
          <w:szCs w:val="22"/>
        </w:rPr>
      </w:pPr>
      <w:r>
        <w:fldChar w:fldCharType="begin"/>
      </w:r>
      <w:r>
        <w:instrText xml:space="preserve"> HYPERLINK \l "_Toc134304539" </w:instrText>
      </w:r>
      <w:r>
        <w:fldChar w:fldCharType="separate"/>
      </w:r>
      <w:r>
        <w:rPr>
          <w:rStyle w:val="23"/>
        </w:rPr>
        <w:t xml:space="preserve">2.3 </w:t>
      </w:r>
      <w:r>
        <w:rPr>
          <w:rStyle w:val="23"/>
          <w:rFonts w:hint="eastAsia"/>
        </w:rPr>
        <w:t>招标文件的修改</w:t>
      </w:r>
      <w:r>
        <w:tab/>
      </w:r>
      <w:r>
        <w:fldChar w:fldCharType="begin"/>
      </w:r>
      <w:r>
        <w:instrText xml:space="preserve"> PAGEREF _Toc134304539 \h </w:instrText>
      </w:r>
      <w:r>
        <w:fldChar w:fldCharType="separate"/>
      </w:r>
      <w:r>
        <w:t>- 20 -</w:t>
      </w:r>
      <w:r>
        <w:fldChar w:fldCharType="end"/>
      </w:r>
      <w:r>
        <w:fldChar w:fldCharType="end"/>
      </w:r>
    </w:p>
    <w:p w14:paraId="63BC4D1D">
      <w:pPr>
        <w:pStyle w:val="17"/>
        <w:tabs>
          <w:tab w:val="right" w:leader="dot" w:pos="9628"/>
        </w:tabs>
        <w:rPr>
          <w:rFonts w:ascii="Calibri" w:hAnsi="Calibri"/>
          <w:smallCaps w:val="0"/>
          <w:sz w:val="21"/>
          <w:szCs w:val="22"/>
        </w:rPr>
      </w:pPr>
      <w:r>
        <w:fldChar w:fldCharType="begin"/>
      </w:r>
      <w:r>
        <w:instrText xml:space="preserve"> HYPERLINK \l "_Toc134304540" </w:instrText>
      </w:r>
      <w:r>
        <w:fldChar w:fldCharType="separate"/>
      </w:r>
      <w:r>
        <w:rPr>
          <w:rStyle w:val="23"/>
        </w:rPr>
        <w:t xml:space="preserve">3. </w:t>
      </w:r>
      <w:r>
        <w:rPr>
          <w:rStyle w:val="23"/>
          <w:rFonts w:hint="eastAsia"/>
        </w:rPr>
        <w:t>投标文件</w:t>
      </w:r>
      <w:r>
        <w:tab/>
      </w:r>
      <w:r>
        <w:fldChar w:fldCharType="begin"/>
      </w:r>
      <w:r>
        <w:instrText xml:space="preserve"> PAGEREF _Toc134304540 \h </w:instrText>
      </w:r>
      <w:r>
        <w:fldChar w:fldCharType="separate"/>
      </w:r>
      <w:r>
        <w:t>- 21 -</w:t>
      </w:r>
      <w:r>
        <w:fldChar w:fldCharType="end"/>
      </w:r>
      <w:r>
        <w:fldChar w:fldCharType="end"/>
      </w:r>
    </w:p>
    <w:p w14:paraId="0A849F97">
      <w:pPr>
        <w:pStyle w:val="12"/>
        <w:tabs>
          <w:tab w:val="right" w:leader="dot" w:pos="9628"/>
        </w:tabs>
        <w:rPr>
          <w:rFonts w:ascii="Calibri" w:hAnsi="Calibri"/>
          <w:iCs w:val="0"/>
          <w:sz w:val="21"/>
          <w:szCs w:val="22"/>
        </w:rPr>
      </w:pPr>
      <w:r>
        <w:fldChar w:fldCharType="begin"/>
      </w:r>
      <w:r>
        <w:instrText xml:space="preserve"> HYPERLINK \l "_Toc134304541" </w:instrText>
      </w:r>
      <w:r>
        <w:fldChar w:fldCharType="separate"/>
      </w:r>
      <w:r>
        <w:rPr>
          <w:rStyle w:val="23"/>
        </w:rPr>
        <w:t xml:space="preserve">3.1 </w:t>
      </w:r>
      <w:r>
        <w:rPr>
          <w:rStyle w:val="23"/>
          <w:rFonts w:hint="eastAsia"/>
        </w:rPr>
        <w:t>投标文件的组成</w:t>
      </w:r>
      <w:r>
        <w:tab/>
      </w:r>
      <w:r>
        <w:fldChar w:fldCharType="begin"/>
      </w:r>
      <w:r>
        <w:instrText xml:space="preserve"> PAGEREF _Toc134304541 \h </w:instrText>
      </w:r>
      <w:r>
        <w:fldChar w:fldCharType="separate"/>
      </w:r>
      <w:r>
        <w:t>- 21 -</w:t>
      </w:r>
      <w:r>
        <w:fldChar w:fldCharType="end"/>
      </w:r>
      <w:r>
        <w:fldChar w:fldCharType="end"/>
      </w:r>
    </w:p>
    <w:p w14:paraId="7D0FBB4B">
      <w:pPr>
        <w:pStyle w:val="12"/>
        <w:tabs>
          <w:tab w:val="right" w:leader="dot" w:pos="9628"/>
        </w:tabs>
        <w:rPr>
          <w:rFonts w:ascii="Calibri" w:hAnsi="Calibri"/>
          <w:iCs w:val="0"/>
          <w:sz w:val="21"/>
          <w:szCs w:val="22"/>
        </w:rPr>
      </w:pPr>
      <w:r>
        <w:fldChar w:fldCharType="begin"/>
      </w:r>
      <w:r>
        <w:instrText xml:space="preserve"> HYPERLINK \l "_Toc134304542" </w:instrText>
      </w:r>
      <w:r>
        <w:fldChar w:fldCharType="separate"/>
      </w:r>
      <w:r>
        <w:rPr>
          <w:rStyle w:val="23"/>
        </w:rPr>
        <w:t xml:space="preserve">3.2 </w:t>
      </w:r>
      <w:r>
        <w:rPr>
          <w:rStyle w:val="23"/>
          <w:rFonts w:hint="eastAsia"/>
        </w:rPr>
        <w:t>投标报价</w:t>
      </w:r>
      <w:r>
        <w:tab/>
      </w:r>
      <w:r>
        <w:fldChar w:fldCharType="begin"/>
      </w:r>
      <w:r>
        <w:instrText xml:space="preserve"> PAGEREF _Toc134304542 \h </w:instrText>
      </w:r>
      <w:r>
        <w:fldChar w:fldCharType="separate"/>
      </w:r>
      <w:r>
        <w:t>- 22 -</w:t>
      </w:r>
      <w:r>
        <w:fldChar w:fldCharType="end"/>
      </w:r>
      <w:r>
        <w:fldChar w:fldCharType="end"/>
      </w:r>
    </w:p>
    <w:p w14:paraId="62749318">
      <w:pPr>
        <w:pStyle w:val="12"/>
        <w:tabs>
          <w:tab w:val="right" w:leader="dot" w:pos="9628"/>
        </w:tabs>
        <w:rPr>
          <w:rFonts w:ascii="Calibri" w:hAnsi="Calibri"/>
          <w:iCs w:val="0"/>
          <w:sz w:val="21"/>
          <w:szCs w:val="22"/>
        </w:rPr>
      </w:pPr>
      <w:r>
        <w:fldChar w:fldCharType="begin"/>
      </w:r>
      <w:r>
        <w:instrText xml:space="preserve"> HYPERLINK \l "_Toc134304543" </w:instrText>
      </w:r>
      <w:r>
        <w:fldChar w:fldCharType="separate"/>
      </w:r>
      <w:r>
        <w:rPr>
          <w:rStyle w:val="23"/>
        </w:rPr>
        <w:t xml:space="preserve">3.3 </w:t>
      </w:r>
      <w:r>
        <w:rPr>
          <w:rStyle w:val="23"/>
          <w:rFonts w:hint="eastAsia"/>
        </w:rPr>
        <w:t>投标有效期</w:t>
      </w:r>
      <w:r>
        <w:tab/>
      </w:r>
      <w:r>
        <w:fldChar w:fldCharType="begin"/>
      </w:r>
      <w:r>
        <w:instrText xml:space="preserve"> PAGEREF _Toc134304543 \h </w:instrText>
      </w:r>
      <w:r>
        <w:fldChar w:fldCharType="separate"/>
      </w:r>
      <w:r>
        <w:t>- 23 -</w:t>
      </w:r>
      <w:r>
        <w:fldChar w:fldCharType="end"/>
      </w:r>
      <w:r>
        <w:fldChar w:fldCharType="end"/>
      </w:r>
    </w:p>
    <w:p w14:paraId="53631DE8">
      <w:pPr>
        <w:pStyle w:val="12"/>
        <w:tabs>
          <w:tab w:val="right" w:leader="dot" w:pos="9628"/>
        </w:tabs>
        <w:rPr>
          <w:rFonts w:ascii="Calibri" w:hAnsi="Calibri"/>
          <w:iCs w:val="0"/>
          <w:sz w:val="21"/>
          <w:szCs w:val="22"/>
        </w:rPr>
      </w:pPr>
      <w:r>
        <w:fldChar w:fldCharType="begin"/>
      </w:r>
      <w:r>
        <w:instrText xml:space="preserve"> HYPERLINK \l "_Toc134304544" </w:instrText>
      </w:r>
      <w:r>
        <w:fldChar w:fldCharType="separate"/>
      </w:r>
      <w:r>
        <w:rPr>
          <w:rStyle w:val="23"/>
        </w:rPr>
        <w:t xml:space="preserve">3.4 </w:t>
      </w:r>
      <w:r>
        <w:rPr>
          <w:rStyle w:val="23"/>
          <w:rFonts w:hint="eastAsia"/>
        </w:rPr>
        <w:t>投标保证金</w:t>
      </w:r>
      <w:r>
        <w:tab/>
      </w:r>
      <w:r>
        <w:fldChar w:fldCharType="begin"/>
      </w:r>
      <w:r>
        <w:instrText xml:space="preserve"> PAGEREF _Toc134304544 \h </w:instrText>
      </w:r>
      <w:r>
        <w:fldChar w:fldCharType="separate"/>
      </w:r>
      <w:r>
        <w:t>- 23 -</w:t>
      </w:r>
      <w:r>
        <w:fldChar w:fldCharType="end"/>
      </w:r>
      <w:r>
        <w:fldChar w:fldCharType="end"/>
      </w:r>
    </w:p>
    <w:p w14:paraId="79384E59">
      <w:pPr>
        <w:pStyle w:val="12"/>
        <w:tabs>
          <w:tab w:val="right" w:leader="dot" w:pos="9628"/>
        </w:tabs>
        <w:rPr>
          <w:rFonts w:ascii="Calibri" w:hAnsi="Calibri"/>
          <w:iCs w:val="0"/>
          <w:sz w:val="21"/>
          <w:szCs w:val="22"/>
        </w:rPr>
      </w:pPr>
      <w:r>
        <w:fldChar w:fldCharType="begin"/>
      </w:r>
      <w:r>
        <w:instrText xml:space="preserve"> HYPERLINK \l "_Toc134304545" </w:instrText>
      </w:r>
      <w:r>
        <w:fldChar w:fldCharType="separate"/>
      </w:r>
      <w:r>
        <w:rPr>
          <w:rStyle w:val="23"/>
        </w:rPr>
        <w:t xml:space="preserve">3.5 </w:t>
      </w:r>
      <w:r>
        <w:rPr>
          <w:rStyle w:val="23"/>
          <w:rFonts w:hint="eastAsia"/>
        </w:rPr>
        <w:t>资格审查资料（适用于未进行资格预审的）</w:t>
      </w:r>
      <w:r>
        <w:tab/>
      </w:r>
      <w:r>
        <w:fldChar w:fldCharType="begin"/>
      </w:r>
      <w:r>
        <w:instrText xml:space="preserve"> PAGEREF _Toc134304545 \h </w:instrText>
      </w:r>
      <w:r>
        <w:fldChar w:fldCharType="separate"/>
      </w:r>
      <w:r>
        <w:t>- 23 -</w:t>
      </w:r>
      <w:r>
        <w:fldChar w:fldCharType="end"/>
      </w:r>
      <w:r>
        <w:fldChar w:fldCharType="end"/>
      </w:r>
    </w:p>
    <w:p w14:paraId="2BF2E728">
      <w:pPr>
        <w:pStyle w:val="12"/>
        <w:tabs>
          <w:tab w:val="right" w:leader="dot" w:pos="9628"/>
        </w:tabs>
        <w:rPr>
          <w:rFonts w:ascii="Calibri" w:hAnsi="Calibri"/>
          <w:iCs w:val="0"/>
          <w:sz w:val="21"/>
          <w:szCs w:val="22"/>
        </w:rPr>
      </w:pPr>
      <w:r>
        <w:fldChar w:fldCharType="begin"/>
      </w:r>
      <w:r>
        <w:instrText xml:space="preserve"> HYPERLINK \l "_Toc134304546" </w:instrText>
      </w:r>
      <w:r>
        <w:fldChar w:fldCharType="separate"/>
      </w:r>
      <w:r>
        <w:rPr>
          <w:rStyle w:val="23"/>
        </w:rPr>
        <w:t xml:space="preserve">3.6 </w:t>
      </w:r>
      <w:r>
        <w:rPr>
          <w:rStyle w:val="23"/>
          <w:rFonts w:hint="eastAsia"/>
        </w:rPr>
        <w:t>备选投标方案</w:t>
      </w:r>
      <w:r>
        <w:tab/>
      </w:r>
      <w:r>
        <w:fldChar w:fldCharType="begin"/>
      </w:r>
      <w:r>
        <w:instrText xml:space="preserve"> PAGEREF _Toc134304546 \h </w:instrText>
      </w:r>
      <w:r>
        <w:fldChar w:fldCharType="separate"/>
      </w:r>
      <w:r>
        <w:t>- 24 -</w:t>
      </w:r>
      <w:r>
        <w:fldChar w:fldCharType="end"/>
      </w:r>
      <w:r>
        <w:fldChar w:fldCharType="end"/>
      </w:r>
    </w:p>
    <w:p w14:paraId="76077B71">
      <w:pPr>
        <w:pStyle w:val="12"/>
        <w:tabs>
          <w:tab w:val="right" w:leader="dot" w:pos="9628"/>
        </w:tabs>
        <w:rPr>
          <w:rFonts w:ascii="Calibri" w:hAnsi="Calibri"/>
          <w:iCs w:val="0"/>
          <w:sz w:val="21"/>
          <w:szCs w:val="22"/>
        </w:rPr>
      </w:pPr>
      <w:r>
        <w:fldChar w:fldCharType="begin"/>
      </w:r>
      <w:r>
        <w:instrText xml:space="preserve"> HYPERLINK \l "_Toc134304547" </w:instrText>
      </w:r>
      <w:r>
        <w:fldChar w:fldCharType="separate"/>
      </w:r>
      <w:r>
        <w:rPr>
          <w:rStyle w:val="23"/>
        </w:rPr>
        <w:t xml:space="preserve">3.7 </w:t>
      </w:r>
      <w:r>
        <w:rPr>
          <w:rStyle w:val="23"/>
          <w:rFonts w:hint="eastAsia"/>
        </w:rPr>
        <w:t>投标文件的编制</w:t>
      </w:r>
      <w:r>
        <w:tab/>
      </w:r>
      <w:r>
        <w:fldChar w:fldCharType="begin"/>
      </w:r>
      <w:r>
        <w:instrText xml:space="preserve"> PAGEREF _Toc134304547 \h </w:instrText>
      </w:r>
      <w:r>
        <w:fldChar w:fldCharType="separate"/>
      </w:r>
      <w:r>
        <w:t>- 24 -</w:t>
      </w:r>
      <w:r>
        <w:fldChar w:fldCharType="end"/>
      </w:r>
      <w:r>
        <w:fldChar w:fldCharType="end"/>
      </w:r>
    </w:p>
    <w:p w14:paraId="7DE203E5">
      <w:pPr>
        <w:pStyle w:val="17"/>
        <w:tabs>
          <w:tab w:val="right" w:leader="dot" w:pos="9628"/>
        </w:tabs>
        <w:rPr>
          <w:rFonts w:ascii="Calibri" w:hAnsi="Calibri"/>
          <w:smallCaps w:val="0"/>
          <w:sz w:val="21"/>
          <w:szCs w:val="22"/>
        </w:rPr>
      </w:pPr>
      <w:r>
        <w:fldChar w:fldCharType="begin"/>
      </w:r>
      <w:r>
        <w:instrText xml:space="preserve"> HYPERLINK \l "_Toc134304548" </w:instrText>
      </w:r>
      <w:r>
        <w:fldChar w:fldCharType="separate"/>
      </w:r>
      <w:r>
        <w:rPr>
          <w:rStyle w:val="23"/>
        </w:rPr>
        <w:t xml:space="preserve">4. </w:t>
      </w:r>
      <w:r>
        <w:rPr>
          <w:rStyle w:val="23"/>
          <w:rFonts w:hint="eastAsia"/>
        </w:rPr>
        <w:t>投标</w:t>
      </w:r>
      <w:r>
        <w:tab/>
      </w:r>
      <w:r>
        <w:fldChar w:fldCharType="begin"/>
      </w:r>
      <w:r>
        <w:instrText xml:space="preserve"> PAGEREF _Toc134304548 \h </w:instrText>
      </w:r>
      <w:r>
        <w:fldChar w:fldCharType="separate"/>
      </w:r>
      <w:r>
        <w:t>- 24 -</w:t>
      </w:r>
      <w:r>
        <w:fldChar w:fldCharType="end"/>
      </w:r>
      <w:r>
        <w:fldChar w:fldCharType="end"/>
      </w:r>
    </w:p>
    <w:p w14:paraId="0DB4BA28">
      <w:pPr>
        <w:pStyle w:val="12"/>
        <w:tabs>
          <w:tab w:val="right" w:leader="dot" w:pos="9628"/>
        </w:tabs>
        <w:rPr>
          <w:rFonts w:ascii="Calibri" w:hAnsi="Calibri"/>
          <w:iCs w:val="0"/>
          <w:sz w:val="21"/>
          <w:szCs w:val="22"/>
        </w:rPr>
      </w:pPr>
      <w:r>
        <w:fldChar w:fldCharType="begin"/>
      </w:r>
      <w:r>
        <w:instrText xml:space="preserve"> HYPERLINK \l "_Toc134304549" </w:instrText>
      </w:r>
      <w:r>
        <w:fldChar w:fldCharType="separate"/>
      </w:r>
      <w:r>
        <w:rPr>
          <w:rStyle w:val="23"/>
        </w:rPr>
        <w:t xml:space="preserve">4.1 </w:t>
      </w:r>
      <w:r>
        <w:rPr>
          <w:rStyle w:val="23"/>
          <w:rFonts w:hint="eastAsia"/>
        </w:rPr>
        <w:t>投标文件的密封和标记</w:t>
      </w:r>
      <w:r>
        <w:tab/>
      </w:r>
      <w:r>
        <w:fldChar w:fldCharType="begin"/>
      </w:r>
      <w:r>
        <w:instrText xml:space="preserve"> PAGEREF _Toc134304549 \h </w:instrText>
      </w:r>
      <w:r>
        <w:fldChar w:fldCharType="separate"/>
      </w:r>
      <w:r>
        <w:t>- 24 -</w:t>
      </w:r>
      <w:r>
        <w:fldChar w:fldCharType="end"/>
      </w:r>
      <w:r>
        <w:fldChar w:fldCharType="end"/>
      </w:r>
    </w:p>
    <w:p w14:paraId="1AE883C4">
      <w:pPr>
        <w:pStyle w:val="12"/>
        <w:tabs>
          <w:tab w:val="right" w:leader="dot" w:pos="9628"/>
        </w:tabs>
        <w:rPr>
          <w:rFonts w:ascii="Calibri" w:hAnsi="Calibri"/>
          <w:iCs w:val="0"/>
          <w:sz w:val="21"/>
          <w:szCs w:val="22"/>
        </w:rPr>
      </w:pPr>
      <w:r>
        <w:fldChar w:fldCharType="begin"/>
      </w:r>
      <w:r>
        <w:instrText xml:space="preserve"> HYPERLINK \l "_Toc134304550" </w:instrText>
      </w:r>
      <w:r>
        <w:fldChar w:fldCharType="separate"/>
      </w:r>
      <w:r>
        <w:rPr>
          <w:rStyle w:val="23"/>
        </w:rPr>
        <w:t xml:space="preserve">4.2 </w:t>
      </w:r>
      <w:r>
        <w:rPr>
          <w:rStyle w:val="23"/>
          <w:rFonts w:hint="eastAsia"/>
        </w:rPr>
        <w:t>投标文件的递交</w:t>
      </w:r>
      <w:r>
        <w:tab/>
      </w:r>
      <w:r>
        <w:fldChar w:fldCharType="begin"/>
      </w:r>
      <w:r>
        <w:instrText xml:space="preserve"> PAGEREF _Toc134304550 \h </w:instrText>
      </w:r>
      <w:r>
        <w:fldChar w:fldCharType="separate"/>
      </w:r>
      <w:r>
        <w:t>- 25 -</w:t>
      </w:r>
      <w:r>
        <w:fldChar w:fldCharType="end"/>
      </w:r>
      <w:r>
        <w:fldChar w:fldCharType="end"/>
      </w:r>
    </w:p>
    <w:p w14:paraId="34973EEB">
      <w:pPr>
        <w:pStyle w:val="12"/>
        <w:tabs>
          <w:tab w:val="right" w:leader="dot" w:pos="9628"/>
        </w:tabs>
        <w:rPr>
          <w:rFonts w:ascii="Calibri" w:hAnsi="Calibri"/>
          <w:iCs w:val="0"/>
          <w:sz w:val="21"/>
          <w:szCs w:val="22"/>
        </w:rPr>
      </w:pPr>
      <w:r>
        <w:fldChar w:fldCharType="begin"/>
      </w:r>
      <w:r>
        <w:instrText xml:space="preserve"> HYPERLINK \l "_Toc134304551" </w:instrText>
      </w:r>
      <w:r>
        <w:fldChar w:fldCharType="separate"/>
      </w:r>
      <w:r>
        <w:rPr>
          <w:rStyle w:val="23"/>
        </w:rPr>
        <w:t xml:space="preserve">4.3 </w:t>
      </w:r>
      <w:r>
        <w:rPr>
          <w:rStyle w:val="23"/>
          <w:rFonts w:hint="eastAsia"/>
        </w:rPr>
        <w:t>投标文件的修改与撤回</w:t>
      </w:r>
      <w:r>
        <w:tab/>
      </w:r>
      <w:r>
        <w:fldChar w:fldCharType="begin"/>
      </w:r>
      <w:r>
        <w:instrText xml:space="preserve"> PAGEREF _Toc134304551 \h </w:instrText>
      </w:r>
      <w:r>
        <w:fldChar w:fldCharType="separate"/>
      </w:r>
      <w:r>
        <w:t>- 25 -</w:t>
      </w:r>
      <w:r>
        <w:fldChar w:fldCharType="end"/>
      </w:r>
      <w:r>
        <w:fldChar w:fldCharType="end"/>
      </w:r>
    </w:p>
    <w:p w14:paraId="64A89BD9">
      <w:pPr>
        <w:pStyle w:val="17"/>
        <w:tabs>
          <w:tab w:val="right" w:leader="dot" w:pos="9628"/>
        </w:tabs>
        <w:rPr>
          <w:rFonts w:ascii="Calibri" w:hAnsi="Calibri"/>
          <w:smallCaps w:val="0"/>
          <w:sz w:val="21"/>
          <w:szCs w:val="22"/>
        </w:rPr>
      </w:pPr>
      <w:r>
        <w:fldChar w:fldCharType="begin"/>
      </w:r>
      <w:r>
        <w:instrText xml:space="preserve"> HYPERLINK \l "_Toc134304552" </w:instrText>
      </w:r>
      <w:r>
        <w:fldChar w:fldCharType="separate"/>
      </w:r>
      <w:r>
        <w:rPr>
          <w:rStyle w:val="23"/>
        </w:rPr>
        <w:t xml:space="preserve">5. </w:t>
      </w:r>
      <w:r>
        <w:rPr>
          <w:rStyle w:val="23"/>
          <w:rFonts w:hint="eastAsia"/>
        </w:rPr>
        <w:t>开标</w:t>
      </w:r>
      <w:r>
        <w:tab/>
      </w:r>
      <w:r>
        <w:fldChar w:fldCharType="begin"/>
      </w:r>
      <w:r>
        <w:instrText xml:space="preserve"> PAGEREF _Toc134304552 \h </w:instrText>
      </w:r>
      <w:r>
        <w:fldChar w:fldCharType="separate"/>
      </w:r>
      <w:r>
        <w:t>- 25 -</w:t>
      </w:r>
      <w:r>
        <w:fldChar w:fldCharType="end"/>
      </w:r>
      <w:r>
        <w:fldChar w:fldCharType="end"/>
      </w:r>
    </w:p>
    <w:p w14:paraId="6D67D90C">
      <w:pPr>
        <w:pStyle w:val="12"/>
        <w:tabs>
          <w:tab w:val="right" w:leader="dot" w:pos="9628"/>
        </w:tabs>
        <w:rPr>
          <w:rFonts w:ascii="Calibri" w:hAnsi="Calibri"/>
          <w:iCs w:val="0"/>
          <w:sz w:val="21"/>
          <w:szCs w:val="22"/>
        </w:rPr>
      </w:pPr>
      <w:r>
        <w:fldChar w:fldCharType="begin"/>
      </w:r>
      <w:r>
        <w:instrText xml:space="preserve"> HYPERLINK \l "_Toc134304553" </w:instrText>
      </w:r>
      <w:r>
        <w:fldChar w:fldCharType="separate"/>
      </w:r>
      <w:r>
        <w:rPr>
          <w:rStyle w:val="23"/>
        </w:rPr>
        <w:t xml:space="preserve">5.1 </w:t>
      </w:r>
      <w:r>
        <w:rPr>
          <w:rStyle w:val="23"/>
          <w:rFonts w:hint="eastAsia"/>
        </w:rPr>
        <w:t>开标时间和地点</w:t>
      </w:r>
      <w:r>
        <w:tab/>
      </w:r>
      <w:r>
        <w:fldChar w:fldCharType="begin"/>
      </w:r>
      <w:r>
        <w:instrText xml:space="preserve"> PAGEREF _Toc134304553 \h </w:instrText>
      </w:r>
      <w:r>
        <w:fldChar w:fldCharType="separate"/>
      </w:r>
      <w:r>
        <w:t>- 25 -</w:t>
      </w:r>
      <w:r>
        <w:fldChar w:fldCharType="end"/>
      </w:r>
      <w:r>
        <w:fldChar w:fldCharType="end"/>
      </w:r>
    </w:p>
    <w:p w14:paraId="512A1EB6">
      <w:pPr>
        <w:pStyle w:val="12"/>
        <w:tabs>
          <w:tab w:val="right" w:leader="dot" w:pos="9628"/>
        </w:tabs>
        <w:rPr>
          <w:rFonts w:ascii="Calibri" w:hAnsi="Calibri"/>
          <w:iCs w:val="0"/>
          <w:sz w:val="21"/>
          <w:szCs w:val="22"/>
        </w:rPr>
      </w:pPr>
      <w:r>
        <w:fldChar w:fldCharType="begin"/>
      </w:r>
      <w:r>
        <w:instrText xml:space="preserve"> HYPERLINK \l "_Toc134304554" </w:instrText>
      </w:r>
      <w:r>
        <w:fldChar w:fldCharType="separate"/>
      </w:r>
      <w:r>
        <w:rPr>
          <w:rStyle w:val="23"/>
        </w:rPr>
        <w:t xml:space="preserve">5.2 </w:t>
      </w:r>
      <w:r>
        <w:rPr>
          <w:rStyle w:val="23"/>
          <w:rFonts w:hint="eastAsia"/>
        </w:rPr>
        <w:t>开标程序</w:t>
      </w:r>
      <w:r>
        <w:tab/>
      </w:r>
      <w:r>
        <w:fldChar w:fldCharType="begin"/>
      </w:r>
      <w:r>
        <w:instrText xml:space="preserve"> PAGEREF _Toc134304554 \h </w:instrText>
      </w:r>
      <w:r>
        <w:fldChar w:fldCharType="separate"/>
      </w:r>
      <w:r>
        <w:t>- 25 -</w:t>
      </w:r>
      <w:r>
        <w:fldChar w:fldCharType="end"/>
      </w:r>
      <w:r>
        <w:fldChar w:fldCharType="end"/>
      </w:r>
    </w:p>
    <w:p w14:paraId="195D2CC5">
      <w:pPr>
        <w:pStyle w:val="12"/>
        <w:tabs>
          <w:tab w:val="right" w:leader="dot" w:pos="9628"/>
        </w:tabs>
        <w:rPr>
          <w:rFonts w:ascii="Calibri" w:hAnsi="Calibri"/>
          <w:iCs w:val="0"/>
          <w:sz w:val="21"/>
          <w:szCs w:val="22"/>
        </w:rPr>
      </w:pPr>
      <w:r>
        <w:fldChar w:fldCharType="begin"/>
      </w:r>
      <w:r>
        <w:instrText xml:space="preserve"> HYPERLINK \l "_Toc134304555" </w:instrText>
      </w:r>
      <w:r>
        <w:fldChar w:fldCharType="separate"/>
      </w:r>
      <w:r>
        <w:rPr>
          <w:rStyle w:val="23"/>
        </w:rPr>
        <w:t xml:space="preserve">5.3 </w:t>
      </w:r>
      <w:r>
        <w:rPr>
          <w:rStyle w:val="23"/>
          <w:rFonts w:hint="eastAsia"/>
        </w:rPr>
        <w:t>开标异议</w:t>
      </w:r>
      <w:r>
        <w:tab/>
      </w:r>
      <w:r>
        <w:fldChar w:fldCharType="begin"/>
      </w:r>
      <w:r>
        <w:instrText xml:space="preserve"> PAGEREF _Toc134304555 \h </w:instrText>
      </w:r>
      <w:r>
        <w:fldChar w:fldCharType="separate"/>
      </w:r>
      <w:r>
        <w:t>- 26 -</w:t>
      </w:r>
      <w:r>
        <w:fldChar w:fldCharType="end"/>
      </w:r>
      <w:r>
        <w:fldChar w:fldCharType="end"/>
      </w:r>
    </w:p>
    <w:p w14:paraId="45A89326">
      <w:pPr>
        <w:pStyle w:val="17"/>
        <w:tabs>
          <w:tab w:val="right" w:leader="dot" w:pos="9628"/>
        </w:tabs>
        <w:rPr>
          <w:rFonts w:ascii="Calibri" w:hAnsi="Calibri"/>
          <w:smallCaps w:val="0"/>
          <w:sz w:val="21"/>
          <w:szCs w:val="22"/>
        </w:rPr>
      </w:pPr>
      <w:r>
        <w:fldChar w:fldCharType="begin"/>
      </w:r>
      <w:r>
        <w:instrText xml:space="preserve"> HYPERLINK \l "_Toc134304556" </w:instrText>
      </w:r>
      <w:r>
        <w:fldChar w:fldCharType="separate"/>
      </w:r>
      <w:r>
        <w:rPr>
          <w:rStyle w:val="23"/>
        </w:rPr>
        <w:t>6.</w:t>
      </w:r>
      <w:r>
        <w:rPr>
          <w:rStyle w:val="23"/>
          <w:rFonts w:hint="eastAsia"/>
        </w:rPr>
        <w:t>评标</w:t>
      </w:r>
      <w:r>
        <w:tab/>
      </w:r>
      <w:r>
        <w:fldChar w:fldCharType="begin"/>
      </w:r>
      <w:r>
        <w:instrText xml:space="preserve"> PAGEREF _Toc134304556 \h </w:instrText>
      </w:r>
      <w:r>
        <w:fldChar w:fldCharType="separate"/>
      </w:r>
      <w:r>
        <w:t>- 27 -</w:t>
      </w:r>
      <w:r>
        <w:fldChar w:fldCharType="end"/>
      </w:r>
      <w:r>
        <w:fldChar w:fldCharType="end"/>
      </w:r>
    </w:p>
    <w:p w14:paraId="2550CAB2">
      <w:pPr>
        <w:pStyle w:val="12"/>
        <w:tabs>
          <w:tab w:val="right" w:leader="dot" w:pos="9628"/>
        </w:tabs>
        <w:rPr>
          <w:rFonts w:ascii="Calibri" w:hAnsi="Calibri"/>
          <w:iCs w:val="0"/>
          <w:sz w:val="21"/>
          <w:szCs w:val="22"/>
        </w:rPr>
      </w:pPr>
      <w:r>
        <w:fldChar w:fldCharType="begin"/>
      </w:r>
      <w:r>
        <w:instrText xml:space="preserve"> HYPERLINK \l "_Toc134304557" </w:instrText>
      </w:r>
      <w:r>
        <w:fldChar w:fldCharType="separate"/>
      </w:r>
      <w:r>
        <w:rPr>
          <w:rStyle w:val="23"/>
        </w:rPr>
        <w:t xml:space="preserve">6.1 </w:t>
      </w:r>
      <w:r>
        <w:rPr>
          <w:rStyle w:val="23"/>
          <w:rFonts w:hint="eastAsia"/>
        </w:rPr>
        <w:t>评标委员会</w:t>
      </w:r>
      <w:r>
        <w:tab/>
      </w:r>
      <w:r>
        <w:fldChar w:fldCharType="begin"/>
      </w:r>
      <w:r>
        <w:instrText xml:space="preserve"> PAGEREF _Toc134304557 \h </w:instrText>
      </w:r>
      <w:r>
        <w:fldChar w:fldCharType="separate"/>
      </w:r>
      <w:r>
        <w:t>- 27 -</w:t>
      </w:r>
      <w:r>
        <w:fldChar w:fldCharType="end"/>
      </w:r>
      <w:r>
        <w:fldChar w:fldCharType="end"/>
      </w:r>
    </w:p>
    <w:p w14:paraId="3BF0978C">
      <w:pPr>
        <w:pStyle w:val="12"/>
        <w:tabs>
          <w:tab w:val="right" w:leader="dot" w:pos="9628"/>
        </w:tabs>
        <w:rPr>
          <w:rFonts w:ascii="Calibri" w:hAnsi="Calibri"/>
          <w:iCs w:val="0"/>
          <w:sz w:val="21"/>
          <w:szCs w:val="22"/>
        </w:rPr>
      </w:pPr>
      <w:r>
        <w:fldChar w:fldCharType="begin"/>
      </w:r>
      <w:r>
        <w:instrText xml:space="preserve"> HYPERLINK \l "_Toc134304558" </w:instrText>
      </w:r>
      <w:r>
        <w:fldChar w:fldCharType="separate"/>
      </w:r>
      <w:r>
        <w:rPr>
          <w:rStyle w:val="23"/>
        </w:rPr>
        <w:t xml:space="preserve">6.2 </w:t>
      </w:r>
      <w:r>
        <w:rPr>
          <w:rStyle w:val="23"/>
          <w:rFonts w:hint="eastAsia"/>
        </w:rPr>
        <w:t>评标原则</w:t>
      </w:r>
      <w:r>
        <w:tab/>
      </w:r>
      <w:r>
        <w:fldChar w:fldCharType="begin"/>
      </w:r>
      <w:r>
        <w:instrText xml:space="preserve"> PAGEREF _Toc134304558 \h </w:instrText>
      </w:r>
      <w:r>
        <w:fldChar w:fldCharType="separate"/>
      </w:r>
      <w:r>
        <w:t>- 27 -</w:t>
      </w:r>
      <w:r>
        <w:fldChar w:fldCharType="end"/>
      </w:r>
      <w:r>
        <w:fldChar w:fldCharType="end"/>
      </w:r>
    </w:p>
    <w:p w14:paraId="12247FBB">
      <w:pPr>
        <w:pStyle w:val="12"/>
        <w:tabs>
          <w:tab w:val="right" w:leader="dot" w:pos="9628"/>
        </w:tabs>
        <w:rPr>
          <w:rFonts w:ascii="Calibri" w:hAnsi="Calibri"/>
          <w:iCs w:val="0"/>
          <w:sz w:val="21"/>
          <w:szCs w:val="22"/>
        </w:rPr>
      </w:pPr>
      <w:r>
        <w:fldChar w:fldCharType="begin"/>
      </w:r>
      <w:r>
        <w:instrText xml:space="preserve"> HYPERLINK \l "_Toc134304559" </w:instrText>
      </w:r>
      <w:r>
        <w:fldChar w:fldCharType="separate"/>
      </w:r>
      <w:r>
        <w:rPr>
          <w:rStyle w:val="23"/>
        </w:rPr>
        <w:t xml:space="preserve">6.3 </w:t>
      </w:r>
      <w:r>
        <w:rPr>
          <w:rStyle w:val="23"/>
          <w:rFonts w:hint="eastAsia"/>
        </w:rPr>
        <w:t>评标</w:t>
      </w:r>
      <w:r>
        <w:tab/>
      </w:r>
      <w:r>
        <w:fldChar w:fldCharType="begin"/>
      </w:r>
      <w:r>
        <w:instrText xml:space="preserve"> PAGEREF _Toc134304559 \h </w:instrText>
      </w:r>
      <w:r>
        <w:fldChar w:fldCharType="separate"/>
      </w:r>
      <w:r>
        <w:t>- 27 -</w:t>
      </w:r>
      <w:r>
        <w:fldChar w:fldCharType="end"/>
      </w:r>
      <w:r>
        <w:fldChar w:fldCharType="end"/>
      </w:r>
    </w:p>
    <w:p w14:paraId="24B99F6E">
      <w:pPr>
        <w:pStyle w:val="17"/>
        <w:tabs>
          <w:tab w:val="right" w:leader="dot" w:pos="9628"/>
        </w:tabs>
        <w:rPr>
          <w:rFonts w:ascii="Calibri" w:hAnsi="Calibri"/>
          <w:smallCaps w:val="0"/>
          <w:sz w:val="21"/>
          <w:szCs w:val="22"/>
        </w:rPr>
      </w:pPr>
      <w:r>
        <w:fldChar w:fldCharType="begin"/>
      </w:r>
      <w:r>
        <w:instrText xml:space="preserve"> HYPERLINK \l "_Toc134304560" </w:instrText>
      </w:r>
      <w:r>
        <w:fldChar w:fldCharType="separate"/>
      </w:r>
      <w:r>
        <w:rPr>
          <w:rStyle w:val="23"/>
        </w:rPr>
        <w:t xml:space="preserve">7. </w:t>
      </w:r>
      <w:r>
        <w:rPr>
          <w:rStyle w:val="23"/>
          <w:rFonts w:hint="eastAsia"/>
        </w:rPr>
        <w:t>合同授予</w:t>
      </w:r>
      <w:r>
        <w:tab/>
      </w:r>
      <w:r>
        <w:fldChar w:fldCharType="begin"/>
      </w:r>
      <w:r>
        <w:instrText xml:space="preserve"> PAGEREF _Toc134304560 \h </w:instrText>
      </w:r>
      <w:r>
        <w:fldChar w:fldCharType="separate"/>
      </w:r>
      <w:r>
        <w:t>- 28 -</w:t>
      </w:r>
      <w:r>
        <w:fldChar w:fldCharType="end"/>
      </w:r>
      <w:r>
        <w:fldChar w:fldCharType="end"/>
      </w:r>
    </w:p>
    <w:p w14:paraId="783989A0">
      <w:pPr>
        <w:pStyle w:val="12"/>
        <w:tabs>
          <w:tab w:val="right" w:leader="dot" w:pos="9628"/>
        </w:tabs>
        <w:rPr>
          <w:rFonts w:ascii="Calibri" w:hAnsi="Calibri"/>
          <w:iCs w:val="0"/>
          <w:sz w:val="21"/>
          <w:szCs w:val="22"/>
        </w:rPr>
      </w:pPr>
      <w:r>
        <w:fldChar w:fldCharType="begin"/>
      </w:r>
      <w:r>
        <w:instrText xml:space="preserve"> HYPERLINK \l "_Toc134304561" </w:instrText>
      </w:r>
      <w:r>
        <w:fldChar w:fldCharType="separate"/>
      </w:r>
      <w:r>
        <w:rPr>
          <w:rStyle w:val="23"/>
        </w:rPr>
        <w:t xml:space="preserve">7.1 </w:t>
      </w:r>
      <w:r>
        <w:rPr>
          <w:rStyle w:val="23"/>
          <w:rFonts w:hint="eastAsia"/>
        </w:rPr>
        <w:t>定标方式</w:t>
      </w:r>
      <w:r>
        <w:tab/>
      </w:r>
      <w:r>
        <w:fldChar w:fldCharType="begin"/>
      </w:r>
      <w:r>
        <w:instrText xml:space="preserve"> PAGEREF _Toc134304561 \h </w:instrText>
      </w:r>
      <w:r>
        <w:fldChar w:fldCharType="separate"/>
      </w:r>
      <w:r>
        <w:t>- 28 -</w:t>
      </w:r>
      <w:r>
        <w:fldChar w:fldCharType="end"/>
      </w:r>
      <w:r>
        <w:fldChar w:fldCharType="end"/>
      </w:r>
    </w:p>
    <w:p w14:paraId="3015A7F2">
      <w:pPr>
        <w:pStyle w:val="12"/>
        <w:tabs>
          <w:tab w:val="right" w:leader="dot" w:pos="9628"/>
        </w:tabs>
        <w:rPr>
          <w:rFonts w:ascii="Calibri" w:hAnsi="Calibri"/>
          <w:iCs w:val="0"/>
          <w:sz w:val="21"/>
          <w:szCs w:val="22"/>
        </w:rPr>
      </w:pPr>
      <w:r>
        <w:fldChar w:fldCharType="begin"/>
      </w:r>
      <w:r>
        <w:instrText xml:space="preserve"> HYPERLINK \l "_Toc134304562" </w:instrText>
      </w:r>
      <w:r>
        <w:fldChar w:fldCharType="separate"/>
      </w:r>
      <w:r>
        <w:rPr>
          <w:rStyle w:val="23"/>
        </w:rPr>
        <w:t xml:space="preserve">7.2 </w:t>
      </w:r>
      <w:r>
        <w:rPr>
          <w:rStyle w:val="23"/>
          <w:rFonts w:hint="eastAsia"/>
        </w:rPr>
        <w:t>中标候选人公示</w:t>
      </w:r>
      <w:r>
        <w:tab/>
      </w:r>
      <w:r>
        <w:fldChar w:fldCharType="begin"/>
      </w:r>
      <w:r>
        <w:instrText xml:space="preserve"> PAGEREF _Toc134304562 \h </w:instrText>
      </w:r>
      <w:r>
        <w:fldChar w:fldCharType="separate"/>
      </w:r>
      <w:r>
        <w:t>- 28 -</w:t>
      </w:r>
      <w:r>
        <w:fldChar w:fldCharType="end"/>
      </w:r>
      <w:r>
        <w:fldChar w:fldCharType="end"/>
      </w:r>
    </w:p>
    <w:p w14:paraId="5A837C7C">
      <w:pPr>
        <w:pStyle w:val="12"/>
        <w:tabs>
          <w:tab w:val="right" w:leader="dot" w:pos="9628"/>
        </w:tabs>
        <w:rPr>
          <w:rFonts w:ascii="Calibri" w:hAnsi="Calibri"/>
          <w:iCs w:val="0"/>
          <w:sz w:val="21"/>
          <w:szCs w:val="22"/>
        </w:rPr>
      </w:pPr>
      <w:r>
        <w:fldChar w:fldCharType="begin"/>
      </w:r>
      <w:r>
        <w:instrText xml:space="preserve"> HYPERLINK \l "_Toc134304563" </w:instrText>
      </w:r>
      <w:r>
        <w:fldChar w:fldCharType="separate"/>
      </w:r>
      <w:r>
        <w:rPr>
          <w:rStyle w:val="23"/>
        </w:rPr>
        <w:t xml:space="preserve">7.3 </w:t>
      </w:r>
      <w:r>
        <w:rPr>
          <w:rStyle w:val="23"/>
          <w:rFonts w:hint="eastAsia"/>
        </w:rPr>
        <w:t>中标通知</w:t>
      </w:r>
      <w:r>
        <w:tab/>
      </w:r>
      <w:r>
        <w:fldChar w:fldCharType="begin"/>
      </w:r>
      <w:r>
        <w:instrText xml:space="preserve"> PAGEREF _Toc134304563 \h </w:instrText>
      </w:r>
      <w:r>
        <w:fldChar w:fldCharType="separate"/>
      </w:r>
      <w:r>
        <w:t>- 28 -</w:t>
      </w:r>
      <w:r>
        <w:fldChar w:fldCharType="end"/>
      </w:r>
      <w:r>
        <w:fldChar w:fldCharType="end"/>
      </w:r>
    </w:p>
    <w:p w14:paraId="5950AE24">
      <w:pPr>
        <w:pStyle w:val="12"/>
        <w:tabs>
          <w:tab w:val="right" w:leader="dot" w:pos="9628"/>
        </w:tabs>
        <w:rPr>
          <w:rFonts w:ascii="Calibri" w:hAnsi="Calibri"/>
          <w:iCs w:val="0"/>
          <w:sz w:val="21"/>
          <w:szCs w:val="22"/>
        </w:rPr>
      </w:pPr>
      <w:r>
        <w:fldChar w:fldCharType="begin"/>
      </w:r>
      <w:r>
        <w:instrText xml:space="preserve"> HYPERLINK \l "_Toc134304564" </w:instrText>
      </w:r>
      <w:r>
        <w:fldChar w:fldCharType="separate"/>
      </w:r>
      <w:r>
        <w:rPr>
          <w:rStyle w:val="23"/>
        </w:rPr>
        <w:t xml:space="preserve">7.4 </w:t>
      </w:r>
      <w:r>
        <w:rPr>
          <w:rStyle w:val="23"/>
          <w:rFonts w:hint="eastAsia"/>
        </w:rPr>
        <w:t>履约担保</w:t>
      </w:r>
      <w:r>
        <w:tab/>
      </w:r>
      <w:r>
        <w:fldChar w:fldCharType="begin"/>
      </w:r>
      <w:r>
        <w:instrText xml:space="preserve"> PAGEREF _Toc134304564 \h </w:instrText>
      </w:r>
      <w:r>
        <w:fldChar w:fldCharType="separate"/>
      </w:r>
      <w:r>
        <w:t>- 28 -</w:t>
      </w:r>
      <w:r>
        <w:fldChar w:fldCharType="end"/>
      </w:r>
      <w:r>
        <w:fldChar w:fldCharType="end"/>
      </w:r>
    </w:p>
    <w:p w14:paraId="7F53B7A2">
      <w:pPr>
        <w:pStyle w:val="12"/>
        <w:tabs>
          <w:tab w:val="right" w:leader="dot" w:pos="9628"/>
        </w:tabs>
        <w:rPr>
          <w:rFonts w:ascii="Calibri" w:hAnsi="Calibri"/>
          <w:iCs w:val="0"/>
          <w:sz w:val="21"/>
          <w:szCs w:val="22"/>
        </w:rPr>
      </w:pPr>
      <w:r>
        <w:fldChar w:fldCharType="begin"/>
      </w:r>
      <w:r>
        <w:instrText xml:space="preserve"> HYPERLINK \l "_Toc134304565" </w:instrText>
      </w:r>
      <w:r>
        <w:fldChar w:fldCharType="separate"/>
      </w:r>
      <w:r>
        <w:rPr>
          <w:rStyle w:val="23"/>
        </w:rPr>
        <w:t xml:space="preserve">7.5 </w:t>
      </w:r>
      <w:r>
        <w:rPr>
          <w:rStyle w:val="23"/>
          <w:rFonts w:hint="eastAsia"/>
        </w:rPr>
        <w:t>签订合同</w:t>
      </w:r>
      <w:r>
        <w:tab/>
      </w:r>
      <w:r>
        <w:fldChar w:fldCharType="begin"/>
      </w:r>
      <w:r>
        <w:instrText xml:space="preserve"> PAGEREF _Toc134304565 \h </w:instrText>
      </w:r>
      <w:r>
        <w:fldChar w:fldCharType="separate"/>
      </w:r>
      <w:r>
        <w:t>- 28 -</w:t>
      </w:r>
      <w:r>
        <w:fldChar w:fldCharType="end"/>
      </w:r>
      <w:r>
        <w:fldChar w:fldCharType="end"/>
      </w:r>
    </w:p>
    <w:p w14:paraId="67D633A6">
      <w:pPr>
        <w:pStyle w:val="17"/>
        <w:tabs>
          <w:tab w:val="right" w:leader="dot" w:pos="9628"/>
        </w:tabs>
        <w:rPr>
          <w:rFonts w:ascii="Calibri" w:hAnsi="Calibri"/>
          <w:smallCaps w:val="0"/>
          <w:sz w:val="21"/>
          <w:szCs w:val="22"/>
        </w:rPr>
      </w:pPr>
      <w:r>
        <w:fldChar w:fldCharType="begin"/>
      </w:r>
      <w:r>
        <w:instrText xml:space="preserve"> HYPERLINK \l "_Toc134304566" </w:instrText>
      </w:r>
      <w:r>
        <w:fldChar w:fldCharType="separate"/>
      </w:r>
      <w:r>
        <w:rPr>
          <w:rStyle w:val="23"/>
        </w:rPr>
        <w:t xml:space="preserve">8. </w:t>
      </w:r>
      <w:r>
        <w:rPr>
          <w:rStyle w:val="23"/>
          <w:rFonts w:hint="eastAsia"/>
        </w:rPr>
        <w:t>纪律和监督</w:t>
      </w:r>
      <w:r>
        <w:tab/>
      </w:r>
      <w:r>
        <w:fldChar w:fldCharType="begin"/>
      </w:r>
      <w:r>
        <w:instrText xml:space="preserve"> PAGEREF _Toc134304566 \h </w:instrText>
      </w:r>
      <w:r>
        <w:fldChar w:fldCharType="separate"/>
      </w:r>
      <w:r>
        <w:t>- 29 -</w:t>
      </w:r>
      <w:r>
        <w:fldChar w:fldCharType="end"/>
      </w:r>
      <w:r>
        <w:fldChar w:fldCharType="end"/>
      </w:r>
    </w:p>
    <w:p w14:paraId="1EBCD79B">
      <w:pPr>
        <w:pStyle w:val="12"/>
        <w:tabs>
          <w:tab w:val="right" w:leader="dot" w:pos="9628"/>
        </w:tabs>
        <w:rPr>
          <w:rFonts w:ascii="Calibri" w:hAnsi="Calibri"/>
          <w:iCs w:val="0"/>
          <w:sz w:val="21"/>
          <w:szCs w:val="22"/>
        </w:rPr>
      </w:pPr>
      <w:r>
        <w:fldChar w:fldCharType="begin"/>
      </w:r>
      <w:r>
        <w:instrText xml:space="preserve"> HYPERLINK \l "_Toc134304567" </w:instrText>
      </w:r>
      <w:r>
        <w:fldChar w:fldCharType="separate"/>
      </w:r>
      <w:r>
        <w:rPr>
          <w:rStyle w:val="23"/>
        </w:rPr>
        <w:t xml:space="preserve">8.1 </w:t>
      </w:r>
      <w:r>
        <w:rPr>
          <w:rStyle w:val="23"/>
          <w:rFonts w:hint="eastAsia"/>
        </w:rPr>
        <w:t>对招标人的纪律要求</w:t>
      </w:r>
      <w:r>
        <w:tab/>
      </w:r>
      <w:r>
        <w:fldChar w:fldCharType="begin"/>
      </w:r>
      <w:r>
        <w:instrText xml:space="preserve"> PAGEREF _Toc134304567 \h </w:instrText>
      </w:r>
      <w:r>
        <w:fldChar w:fldCharType="separate"/>
      </w:r>
      <w:r>
        <w:t>- 29 -</w:t>
      </w:r>
      <w:r>
        <w:fldChar w:fldCharType="end"/>
      </w:r>
      <w:r>
        <w:fldChar w:fldCharType="end"/>
      </w:r>
    </w:p>
    <w:p w14:paraId="42676F33">
      <w:pPr>
        <w:pStyle w:val="12"/>
        <w:tabs>
          <w:tab w:val="right" w:leader="dot" w:pos="9628"/>
        </w:tabs>
        <w:rPr>
          <w:rFonts w:ascii="Calibri" w:hAnsi="Calibri"/>
          <w:iCs w:val="0"/>
          <w:sz w:val="21"/>
          <w:szCs w:val="22"/>
        </w:rPr>
      </w:pPr>
      <w:r>
        <w:fldChar w:fldCharType="begin"/>
      </w:r>
      <w:r>
        <w:instrText xml:space="preserve"> HYPERLINK \l "_Toc134304568" </w:instrText>
      </w:r>
      <w:r>
        <w:fldChar w:fldCharType="separate"/>
      </w:r>
      <w:r>
        <w:rPr>
          <w:rStyle w:val="23"/>
        </w:rPr>
        <w:t xml:space="preserve">8.2 </w:t>
      </w:r>
      <w:r>
        <w:rPr>
          <w:rStyle w:val="23"/>
          <w:rFonts w:hint="eastAsia"/>
        </w:rPr>
        <w:t>对投标人的纪律要求</w:t>
      </w:r>
      <w:r>
        <w:tab/>
      </w:r>
      <w:r>
        <w:fldChar w:fldCharType="begin"/>
      </w:r>
      <w:r>
        <w:instrText xml:space="preserve"> PAGEREF _Toc134304568 \h </w:instrText>
      </w:r>
      <w:r>
        <w:fldChar w:fldCharType="separate"/>
      </w:r>
      <w:r>
        <w:t>- 29 -</w:t>
      </w:r>
      <w:r>
        <w:fldChar w:fldCharType="end"/>
      </w:r>
      <w:r>
        <w:fldChar w:fldCharType="end"/>
      </w:r>
    </w:p>
    <w:p w14:paraId="70A5DEC9">
      <w:pPr>
        <w:pStyle w:val="12"/>
        <w:tabs>
          <w:tab w:val="right" w:leader="dot" w:pos="9628"/>
        </w:tabs>
        <w:rPr>
          <w:rFonts w:ascii="Calibri" w:hAnsi="Calibri"/>
          <w:iCs w:val="0"/>
          <w:sz w:val="21"/>
          <w:szCs w:val="22"/>
        </w:rPr>
      </w:pPr>
      <w:r>
        <w:fldChar w:fldCharType="begin"/>
      </w:r>
      <w:r>
        <w:instrText xml:space="preserve"> HYPERLINK \l "_Toc134304569" </w:instrText>
      </w:r>
      <w:r>
        <w:fldChar w:fldCharType="separate"/>
      </w:r>
      <w:r>
        <w:rPr>
          <w:rStyle w:val="23"/>
        </w:rPr>
        <w:t xml:space="preserve">8.3 </w:t>
      </w:r>
      <w:r>
        <w:rPr>
          <w:rStyle w:val="23"/>
          <w:rFonts w:hint="eastAsia"/>
        </w:rPr>
        <w:t>对评标委员会成员的纪律要求</w:t>
      </w:r>
      <w:r>
        <w:tab/>
      </w:r>
      <w:r>
        <w:fldChar w:fldCharType="begin"/>
      </w:r>
      <w:r>
        <w:instrText xml:space="preserve"> PAGEREF _Toc134304569 \h </w:instrText>
      </w:r>
      <w:r>
        <w:fldChar w:fldCharType="separate"/>
      </w:r>
      <w:r>
        <w:t>- 29 -</w:t>
      </w:r>
      <w:r>
        <w:fldChar w:fldCharType="end"/>
      </w:r>
      <w:r>
        <w:fldChar w:fldCharType="end"/>
      </w:r>
    </w:p>
    <w:p w14:paraId="184BF0C4">
      <w:pPr>
        <w:pStyle w:val="12"/>
        <w:tabs>
          <w:tab w:val="right" w:leader="dot" w:pos="9628"/>
        </w:tabs>
        <w:rPr>
          <w:rFonts w:ascii="Calibri" w:hAnsi="Calibri"/>
          <w:iCs w:val="0"/>
          <w:sz w:val="21"/>
          <w:szCs w:val="22"/>
        </w:rPr>
      </w:pPr>
      <w:r>
        <w:fldChar w:fldCharType="begin"/>
      </w:r>
      <w:r>
        <w:instrText xml:space="preserve"> HYPERLINK \l "_Toc134304570" </w:instrText>
      </w:r>
      <w:r>
        <w:fldChar w:fldCharType="separate"/>
      </w:r>
      <w:r>
        <w:rPr>
          <w:rStyle w:val="23"/>
        </w:rPr>
        <w:t xml:space="preserve">8.4 </w:t>
      </w:r>
      <w:r>
        <w:rPr>
          <w:rStyle w:val="23"/>
          <w:rFonts w:hint="eastAsia"/>
        </w:rPr>
        <w:t>对与评标活动有关的工作人员的纪律要求</w:t>
      </w:r>
      <w:r>
        <w:tab/>
      </w:r>
      <w:r>
        <w:fldChar w:fldCharType="begin"/>
      </w:r>
      <w:r>
        <w:instrText xml:space="preserve"> PAGEREF _Toc134304570 \h </w:instrText>
      </w:r>
      <w:r>
        <w:fldChar w:fldCharType="separate"/>
      </w:r>
      <w:r>
        <w:t>- 29 -</w:t>
      </w:r>
      <w:r>
        <w:fldChar w:fldCharType="end"/>
      </w:r>
      <w:r>
        <w:fldChar w:fldCharType="end"/>
      </w:r>
    </w:p>
    <w:p w14:paraId="46DB8D00">
      <w:pPr>
        <w:pStyle w:val="12"/>
        <w:tabs>
          <w:tab w:val="right" w:leader="dot" w:pos="9628"/>
        </w:tabs>
        <w:rPr>
          <w:rFonts w:ascii="Calibri" w:hAnsi="Calibri"/>
          <w:iCs w:val="0"/>
          <w:sz w:val="21"/>
          <w:szCs w:val="22"/>
        </w:rPr>
      </w:pPr>
      <w:r>
        <w:fldChar w:fldCharType="begin"/>
      </w:r>
      <w:r>
        <w:instrText xml:space="preserve"> HYPERLINK \l "_Toc134304571" </w:instrText>
      </w:r>
      <w:r>
        <w:fldChar w:fldCharType="separate"/>
      </w:r>
      <w:r>
        <w:rPr>
          <w:rStyle w:val="23"/>
        </w:rPr>
        <w:t xml:space="preserve">8.5 </w:t>
      </w:r>
      <w:r>
        <w:rPr>
          <w:rStyle w:val="23"/>
          <w:rFonts w:hint="eastAsia"/>
        </w:rPr>
        <w:t>投诉</w:t>
      </w:r>
      <w:r>
        <w:tab/>
      </w:r>
      <w:r>
        <w:fldChar w:fldCharType="begin"/>
      </w:r>
      <w:r>
        <w:instrText xml:space="preserve"> PAGEREF _Toc134304571 \h </w:instrText>
      </w:r>
      <w:r>
        <w:fldChar w:fldCharType="separate"/>
      </w:r>
      <w:r>
        <w:t>- 29 -</w:t>
      </w:r>
      <w:r>
        <w:fldChar w:fldCharType="end"/>
      </w:r>
      <w:r>
        <w:fldChar w:fldCharType="end"/>
      </w:r>
    </w:p>
    <w:p w14:paraId="119E4991">
      <w:pPr>
        <w:pStyle w:val="17"/>
        <w:tabs>
          <w:tab w:val="right" w:leader="dot" w:pos="9628"/>
        </w:tabs>
        <w:rPr>
          <w:rFonts w:ascii="Calibri" w:hAnsi="Calibri"/>
          <w:smallCaps w:val="0"/>
          <w:sz w:val="21"/>
          <w:szCs w:val="22"/>
        </w:rPr>
      </w:pPr>
      <w:r>
        <w:fldChar w:fldCharType="begin"/>
      </w:r>
      <w:r>
        <w:instrText xml:space="preserve"> HYPERLINK \l "_Toc134304572" </w:instrText>
      </w:r>
      <w:r>
        <w:fldChar w:fldCharType="separate"/>
      </w:r>
      <w:r>
        <w:rPr>
          <w:rStyle w:val="23"/>
        </w:rPr>
        <w:t xml:space="preserve">9. </w:t>
      </w:r>
      <w:r>
        <w:rPr>
          <w:rStyle w:val="23"/>
          <w:rFonts w:hint="eastAsia"/>
        </w:rPr>
        <w:t>需要补充的其他内容</w:t>
      </w:r>
      <w:r>
        <w:tab/>
      </w:r>
      <w:r>
        <w:fldChar w:fldCharType="begin"/>
      </w:r>
      <w:r>
        <w:instrText xml:space="preserve"> PAGEREF _Toc134304572 \h </w:instrText>
      </w:r>
      <w:r>
        <w:fldChar w:fldCharType="separate"/>
      </w:r>
      <w:r>
        <w:t>- 30 -</w:t>
      </w:r>
      <w:r>
        <w:fldChar w:fldCharType="end"/>
      </w:r>
      <w:r>
        <w:fldChar w:fldCharType="end"/>
      </w:r>
    </w:p>
    <w:p w14:paraId="6D255141">
      <w:pPr>
        <w:pStyle w:val="17"/>
        <w:tabs>
          <w:tab w:val="right" w:leader="dot" w:pos="9628"/>
        </w:tabs>
        <w:rPr>
          <w:rFonts w:ascii="Calibri" w:hAnsi="Calibri"/>
          <w:smallCaps w:val="0"/>
          <w:sz w:val="21"/>
          <w:szCs w:val="22"/>
        </w:rPr>
      </w:pPr>
      <w:r>
        <w:fldChar w:fldCharType="begin"/>
      </w:r>
      <w:r>
        <w:instrText xml:space="preserve"> HYPERLINK \l "_Toc134304573" </w:instrText>
      </w:r>
      <w:r>
        <w:fldChar w:fldCharType="separate"/>
      </w:r>
      <w:r>
        <w:rPr>
          <w:rStyle w:val="23"/>
        </w:rPr>
        <w:t xml:space="preserve">10. </w:t>
      </w:r>
      <w:r>
        <w:rPr>
          <w:rStyle w:val="23"/>
          <w:rFonts w:hint="eastAsia"/>
        </w:rPr>
        <w:t>电子招标投标</w:t>
      </w:r>
      <w:r>
        <w:tab/>
      </w:r>
      <w:r>
        <w:fldChar w:fldCharType="begin"/>
      </w:r>
      <w:r>
        <w:instrText xml:space="preserve"> PAGEREF _Toc134304573 \h </w:instrText>
      </w:r>
      <w:r>
        <w:fldChar w:fldCharType="separate"/>
      </w:r>
      <w:r>
        <w:t>- 30 -</w:t>
      </w:r>
      <w:r>
        <w:fldChar w:fldCharType="end"/>
      </w:r>
      <w:r>
        <w:fldChar w:fldCharType="end"/>
      </w:r>
    </w:p>
    <w:p w14:paraId="7D5D2805">
      <w:pPr>
        <w:pStyle w:val="12"/>
        <w:tabs>
          <w:tab w:val="right" w:leader="dot" w:pos="9628"/>
        </w:tabs>
        <w:rPr>
          <w:rFonts w:ascii="Calibri" w:hAnsi="Calibri"/>
          <w:iCs w:val="0"/>
          <w:sz w:val="21"/>
          <w:szCs w:val="22"/>
        </w:rPr>
      </w:pPr>
      <w:r>
        <w:fldChar w:fldCharType="begin"/>
      </w:r>
      <w:r>
        <w:instrText xml:space="preserve"> HYPERLINK \l "_Toc134304574" </w:instrText>
      </w:r>
      <w:r>
        <w:fldChar w:fldCharType="separate"/>
      </w:r>
      <w:r>
        <w:rPr>
          <w:rStyle w:val="23"/>
          <w:rFonts w:hint="eastAsia"/>
        </w:rPr>
        <w:t>附件二：问题澄清通知</w:t>
      </w:r>
      <w:r>
        <w:tab/>
      </w:r>
      <w:r>
        <w:fldChar w:fldCharType="begin"/>
      </w:r>
      <w:r>
        <w:instrText xml:space="preserve"> PAGEREF _Toc134304574 \h </w:instrText>
      </w:r>
      <w:r>
        <w:fldChar w:fldCharType="separate"/>
      </w:r>
      <w:r>
        <w:t>- 32 -</w:t>
      </w:r>
      <w:r>
        <w:fldChar w:fldCharType="end"/>
      </w:r>
      <w:r>
        <w:fldChar w:fldCharType="end"/>
      </w:r>
    </w:p>
    <w:p w14:paraId="12B92188">
      <w:pPr>
        <w:pStyle w:val="12"/>
        <w:tabs>
          <w:tab w:val="right" w:leader="dot" w:pos="9628"/>
        </w:tabs>
        <w:rPr>
          <w:rFonts w:ascii="Calibri" w:hAnsi="Calibri"/>
          <w:iCs w:val="0"/>
          <w:sz w:val="21"/>
          <w:szCs w:val="22"/>
        </w:rPr>
      </w:pPr>
      <w:r>
        <w:fldChar w:fldCharType="begin"/>
      </w:r>
      <w:r>
        <w:instrText xml:space="preserve"> HYPERLINK \l "_Toc134304575" </w:instrText>
      </w:r>
      <w:r>
        <w:fldChar w:fldCharType="separate"/>
      </w:r>
      <w:r>
        <w:rPr>
          <w:rStyle w:val="23"/>
          <w:rFonts w:hint="eastAsia"/>
        </w:rPr>
        <w:t>附件三：问题的澄清</w:t>
      </w:r>
      <w:r>
        <w:tab/>
      </w:r>
      <w:r>
        <w:fldChar w:fldCharType="begin"/>
      </w:r>
      <w:r>
        <w:instrText xml:space="preserve"> PAGEREF _Toc134304575 \h </w:instrText>
      </w:r>
      <w:r>
        <w:fldChar w:fldCharType="separate"/>
      </w:r>
      <w:r>
        <w:t>- 33 -</w:t>
      </w:r>
      <w:r>
        <w:fldChar w:fldCharType="end"/>
      </w:r>
      <w:r>
        <w:fldChar w:fldCharType="end"/>
      </w:r>
    </w:p>
    <w:p w14:paraId="32DD069D">
      <w:pPr>
        <w:pStyle w:val="16"/>
        <w:tabs>
          <w:tab w:val="right" w:leader="dot" w:pos="9628"/>
        </w:tabs>
        <w:rPr>
          <w:rFonts w:ascii="Calibri" w:hAnsi="Calibri"/>
          <w:b w:val="0"/>
          <w:bCs w:val="0"/>
          <w:caps w:val="0"/>
          <w:sz w:val="21"/>
          <w:szCs w:val="22"/>
        </w:rPr>
      </w:pPr>
      <w:r>
        <w:fldChar w:fldCharType="begin"/>
      </w:r>
      <w:r>
        <w:instrText xml:space="preserve"> HYPERLINK \l "_Toc134304576" </w:instrText>
      </w:r>
      <w:r>
        <w:fldChar w:fldCharType="separate"/>
      </w:r>
      <w:r>
        <w:rPr>
          <w:rStyle w:val="23"/>
          <w:rFonts w:hint="eastAsia" w:ascii="宋体" w:hAnsi="宋体" w:cs="宋体"/>
        </w:rPr>
        <w:t>第三章评标办法（综合评估法）</w:t>
      </w:r>
      <w:r>
        <w:tab/>
      </w:r>
      <w:r>
        <w:fldChar w:fldCharType="begin"/>
      </w:r>
      <w:r>
        <w:instrText xml:space="preserve"> PAGEREF _Toc134304576 \h </w:instrText>
      </w:r>
      <w:r>
        <w:fldChar w:fldCharType="separate"/>
      </w:r>
      <w:r>
        <w:t>- 35 -</w:t>
      </w:r>
      <w:r>
        <w:fldChar w:fldCharType="end"/>
      </w:r>
      <w:r>
        <w:fldChar w:fldCharType="end"/>
      </w:r>
    </w:p>
    <w:p w14:paraId="4B281883">
      <w:pPr>
        <w:pStyle w:val="17"/>
        <w:tabs>
          <w:tab w:val="right" w:leader="dot" w:pos="9628"/>
        </w:tabs>
        <w:rPr>
          <w:rFonts w:ascii="Calibri" w:hAnsi="Calibri"/>
          <w:smallCaps w:val="0"/>
          <w:sz w:val="21"/>
          <w:szCs w:val="22"/>
        </w:rPr>
      </w:pPr>
      <w:r>
        <w:fldChar w:fldCharType="begin"/>
      </w:r>
      <w:r>
        <w:instrText xml:space="preserve"> HYPERLINK \l "_Toc134304577" </w:instrText>
      </w:r>
      <w:r>
        <w:fldChar w:fldCharType="separate"/>
      </w:r>
      <w:r>
        <w:rPr>
          <w:rStyle w:val="23"/>
          <w:rFonts w:hint="eastAsia" w:ascii="宋体" w:hAnsi="宋体" w:cs="宋体"/>
        </w:rPr>
        <w:t>评标办法前附表</w:t>
      </w:r>
      <w:r>
        <w:tab/>
      </w:r>
      <w:r>
        <w:fldChar w:fldCharType="begin"/>
      </w:r>
      <w:r>
        <w:instrText xml:space="preserve"> PAGEREF _Toc134304577 \h </w:instrText>
      </w:r>
      <w:r>
        <w:fldChar w:fldCharType="separate"/>
      </w:r>
      <w:r>
        <w:t>- 35 -</w:t>
      </w:r>
      <w:r>
        <w:fldChar w:fldCharType="end"/>
      </w:r>
      <w:r>
        <w:fldChar w:fldCharType="end"/>
      </w:r>
    </w:p>
    <w:p w14:paraId="7F212171">
      <w:pPr>
        <w:pStyle w:val="17"/>
        <w:tabs>
          <w:tab w:val="right" w:leader="dot" w:pos="9628"/>
        </w:tabs>
        <w:rPr>
          <w:rFonts w:ascii="Calibri" w:hAnsi="Calibri"/>
          <w:smallCaps w:val="0"/>
          <w:sz w:val="21"/>
          <w:szCs w:val="22"/>
        </w:rPr>
      </w:pPr>
      <w:r>
        <w:fldChar w:fldCharType="begin"/>
      </w:r>
      <w:r>
        <w:instrText xml:space="preserve"> HYPERLINK \l "_Toc134304578" </w:instrText>
      </w:r>
      <w:r>
        <w:fldChar w:fldCharType="separate"/>
      </w:r>
      <w:r>
        <w:rPr>
          <w:rStyle w:val="23"/>
        </w:rPr>
        <w:t xml:space="preserve">1. </w:t>
      </w:r>
      <w:r>
        <w:rPr>
          <w:rStyle w:val="23"/>
          <w:rFonts w:hint="eastAsia"/>
        </w:rPr>
        <w:t>评标方法</w:t>
      </w:r>
      <w:r>
        <w:tab/>
      </w:r>
      <w:r>
        <w:fldChar w:fldCharType="begin"/>
      </w:r>
      <w:r>
        <w:instrText xml:space="preserve"> PAGEREF _Toc134304578 \h </w:instrText>
      </w:r>
      <w:r>
        <w:fldChar w:fldCharType="separate"/>
      </w:r>
      <w:r>
        <w:t>- 46 -</w:t>
      </w:r>
      <w:r>
        <w:fldChar w:fldCharType="end"/>
      </w:r>
      <w:r>
        <w:fldChar w:fldCharType="end"/>
      </w:r>
    </w:p>
    <w:p w14:paraId="685FD444">
      <w:pPr>
        <w:pStyle w:val="17"/>
        <w:tabs>
          <w:tab w:val="right" w:leader="dot" w:pos="9628"/>
        </w:tabs>
        <w:rPr>
          <w:rFonts w:ascii="Calibri" w:hAnsi="Calibri"/>
          <w:smallCaps w:val="0"/>
          <w:sz w:val="21"/>
          <w:szCs w:val="22"/>
        </w:rPr>
      </w:pPr>
      <w:r>
        <w:fldChar w:fldCharType="begin"/>
      </w:r>
      <w:r>
        <w:instrText xml:space="preserve"> HYPERLINK \l "_Toc134304579" </w:instrText>
      </w:r>
      <w:r>
        <w:fldChar w:fldCharType="separate"/>
      </w:r>
      <w:r>
        <w:rPr>
          <w:rStyle w:val="23"/>
        </w:rPr>
        <w:t xml:space="preserve">2. </w:t>
      </w:r>
      <w:r>
        <w:rPr>
          <w:rStyle w:val="23"/>
          <w:rFonts w:hint="eastAsia"/>
        </w:rPr>
        <w:t>评审标准</w:t>
      </w:r>
      <w:r>
        <w:tab/>
      </w:r>
      <w:r>
        <w:fldChar w:fldCharType="begin"/>
      </w:r>
      <w:r>
        <w:instrText xml:space="preserve"> PAGEREF _Toc134304579 \h </w:instrText>
      </w:r>
      <w:r>
        <w:fldChar w:fldCharType="separate"/>
      </w:r>
      <w:r>
        <w:t>- 46 -</w:t>
      </w:r>
      <w:r>
        <w:fldChar w:fldCharType="end"/>
      </w:r>
      <w:r>
        <w:fldChar w:fldCharType="end"/>
      </w:r>
    </w:p>
    <w:p w14:paraId="4C11AA39">
      <w:pPr>
        <w:pStyle w:val="12"/>
        <w:tabs>
          <w:tab w:val="right" w:leader="dot" w:pos="9628"/>
        </w:tabs>
        <w:rPr>
          <w:rFonts w:ascii="Calibri" w:hAnsi="Calibri"/>
          <w:iCs w:val="0"/>
          <w:sz w:val="21"/>
          <w:szCs w:val="22"/>
        </w:rPr>
      </w:pPr>
      <w:r>
        <w:fldChar w:fldCharType="begin"/>
      </w:r>
      <w:r>
        <w:instrText xml:space="preserve"> HYPERLINK \l "_Toc134304580" </w:instrText>
      </w:r>
      <w:r>
        <w:fldChar w:fldCharType="separate"/>
      </w:r>
      <w:r>
        <w:rPr>
          <w:rStyle w:val="23"/>
        </w:rPr>
        <w:t xml:space="preserve">2.1 </w:t>
      </w:r>
      <w:r>
        <w:rPr>
          <w:rStyle w:val="23"/>
          <w:rFonts w:hint="eastAsia"/>
        </w:rPr>
        <w:t>初步评审标准</w:t>
      </w:r>
      <w:r>
        <w:tab/>
      </w:r>
      <w:r>
        <w:fldChar w:fldCharType="begin"/>
      </w:r>
      <w:r>
        <w:instrText xml:space="preserve"> PAGEREF _Toc134304580 \h </w:instrText>
      </w:r>
      <w:r>
        <w:fldChar w:fldCharType="separate"/>
      </w:r>
      <w:r>
        <w:t>- 46 -</w:t>
      </w:r>
      <w:r>
        <w:fldChar w:fldCharType="end"/>
      </w:r>
      <w:r>
        <w:fldChar w:fldCharType="end"/>
      </w:r>
    </w:p>
    <w:p w14:paraId="3D3E9D0B">
      <w:pPr>
        <w:pStyle w:val="12"/>
        <w:tabs>
          <w:tab w:val="right" w:leader="dot" w:pos="9628"/>
        </w:tabs>
        <w:rPr>
          <w:rFonts w:ascii="Calibri" w:hAnsi="Calibri"/>
          <w:iCs w:val="0"/>
          <w:sz w:val="21"/>
          <w:szCs w:val="22"/>
        </w:rPr>
      </w:pPr>
      <w:r>
        <w:fldChar w:fldCharType="begin"/>
      </w:r>
      <w:r>
        <w:instrText xml:space="preserve"> HYPERLINK \l "_Toc134304581" </w:instrText>
      </w:r>
      <w:r>
        <w:fldChar w:fldCharType="separate"/>
      </w:r>
      <w:r>
        <w:rPr>
          <w:rStyle w:val="23"/>
        </w:rPr>
        <w:t xml:space="preserve">2.2 </w:t>
      </w:r>
      <w:r>
        <w:rPr>
          <w:rStyle w:val="23"/>
          <w:rFonts w:hint="eastAsia"/>
        </w:rPr>
        <w:t>分值构成与评分标准</w:t>
      </w:r>
      <w:r>
        <w:tab/>
      </w:r>
      <w:r>
        <w:fldChar w:fldCharType="begin"/>
      </w:r>
      <w:r>
        <w:instrText xml:space="preserve"> PAGEREF _Toc134304581 \h </w:instrText>
      </w:r>
      <w:r>
        <w:fldChar w:fldCharType="separate"/>
      </w:r>
      <w:r>
        <w:t>- 46 -</w:t>
      </w:r>
      <w:r>
        <w:fldChar w:fldCharType="end"/>
      </w:r>
      <w:r>
        <w:fldChar w:fldCharType="end"/>
      </w:r>
    </w:p>
    <w:p w14:paraId="353F9871">
      <w:pPr>
        <w:pStyle w:val="17"/>
        <w:tabs>
          <w:tab w:val="right" w:leader="dot" w:pos="9628"/>
        </w:tabs>
        <w:rPr>
          <w:rFonts w:ascii="Calibri" w:hAnsi="Calibri"/>
          <w:smallCaps w:val="0"/>
          <w:sz w:val="21"/>
          <w:szCs w:val="22"/>
        </w:rPr>
      </w:pPr>
      <w:r>
        <w:fldChar w:fldCharType="begin"/>
      </w:r>
      <w:r>
        <w:instrText xml:space="preserve"> HYPERLINK \l "_Toc134304582" </w:instrText>
      </w:r>
      <w:r>
        <w:fldChar w:fldCharType="separate"/>
      </w:r>
      <w:r>
        <w:rPr>
          <w:rStyle w:val="23"/>
        </w:rPr>
        <w:t xml:space="preserve">3. </w:t>
      </w:r>
      <w:r>
        <w:rPr>
          <w:rStyle w:val="23"/>
          <w:rFonts w:hint="eastAsia"/>
        </w:rPr>
        <w:t>评标程序</w:t>
      </w:r>
      <w:r>
        <w:tab/>
      </w:r>
      <w:r>
        <w:fldChar w:fldCharType="begin"/>
      </w:r>
      <w:r>
        <w:instrText xml:space="preserve"> PAGEREF _Toc134304582 \h </w:instrText>
      </w:r>
      <w:r>
        <w:fldChar w:fldCharType="separate"/>
      </w:r>
      <w:r>
        <w:t>- 47 -</w:t>
      </w:r>
      <w:r>
        <w:fldChar w:fldCharType="end"/>
      </w:r>
      <w:r>
        <w:fldChar w:fldCharType="end"/>
      </w:r>
    </w:p>
    <w:p w14:paraId="4AC80D84">
      <w:pPr>
        <w:pStyle w:val="12"/>
        <w:tabs>
          <w:tab w:val="right" w:leader="dot" w:pos="9628"/>
        </w:tabs>
        <w:rPr>
          <w:rFonts w:ascii="Calibri" w:hAnsi="Calibri"/>
          <w:iCs w:val="0"/>
          <w:sz w:val="21"/>
          <w:szCs w:val="22"/>
        </w:rPr>
      </w:pPr>
      <w:r>
        <w:fldChar w:fldCharType="begin"/>
      </w:r>
      <w:r>
        <w:instrText xml:space="preserve"> HYPERLINK \l "_Toc134304583" </w:instrText>
      </w:r>
      <w:r>
        <w:fldChar w:fldCharType="separate"/>
      </w:r>
      <w:r>
        <w:rPr>
          <w:rStyle w:val="23"/>
        </w:rPr>
        <w:t xml:space="preserve">3.1 </w:t>
      </w:r>
      <w:r>
        <w:rPr>
          <w:rStyle w:val="23"/>
          <w:rFonts w:hint="eastAsia"/>
        </w:rPr>
        <w:t>形式审查及资格审查（由施工评审组负责）</w:t>
      </w:r>
      <w:r>
        <w:tab/>
      </w:r>
      <w:r>
        <w:fldChar w:fldCharType="begin"/>
      </w:r>
      <w:r>
        <w:instrText xml:space="preserve"> PAGEREF _Toc134304583 \h </w:instrText>
      </w:r>
      <w:r>
        <w:fldChar w:fldCharType="separate"/>
      </w:r>
      <w:r>
        <w:t>- 47 -</w:t>
      </w:r>
      <w:r>
        <w:fldChar w:fldCharType="end"/>
      </w:r>
      <w:r>
        <w:fldChar w:fldCharType="end"/>
      </w:r>
    </w:p>
    <w:p w14:paraId="40F03521">
      <w:pPr>
        <w:pStyle w:val="12"/>
        <w:tabs>
          <w:tab w:val="right" w:leader="dot" w:pos="9628"/>
        </w:tabs>
        <w:rPr>
          <w:rFonts w:ascii="Calibri" w:hAnsi="Calibri"/>
          <w:iCs w:val="0"/>
          <w:sz w:val="21"/>
          <w:szCs w:val="22"/>
        </w:rPr>
      </w:pPr>
      <w:r>
        <w:fldChar w:fldCharType="begin"/>
      </w:r>
      <w:r>
        <w:instrText xml:space="preserve"> HYPERLINK \l "_Toc134304584" </w:instrText>
      </w:r>
      <w:r>
        <w:fldChar w:fldCharType="separate"/>
      </w:r>
      <w:r>
        <w:rPr>
          <w:rStyle w:val="23"/>
        </w:rPr>
        <w:t xml:space="preserve">3.2 </w:t>
      </w:r>
      <w:r>
        <w:rPr>
          <w:rStyle w:val="23"/>
          <w:rFonts w:hint="eastAsia"/>
        </w:rPr>
        <w:t>设计方案评审（由设计评审组负责）</w:t>
      </w:r>
      <w:r>
        <w:tab/>
      </w:r>
      <w:r>
        <w:fldChar w:fldCharType="begin"/>
      </w:r>
      <w:r>
        <w:instrText xml:space="preserve"> PAGEREF _Toc134304584 \h </w:instrText>
      </w:r>
      <w:r>
        <w:fldChar w:fldCharType="separate"/>
      </w:r>
      <w:r>
        <w:t>- 48 -</w:t>
      </w:r>
      <w:r>
        <w:fldChar w:fldCharType="end"/>
      </w:r>
      <w:r>
        <w:fldChar w:fldCharType="end"/>
      </w:r>
    </w:p>
    <w:p w14:paraId="19679E48">
      <w:pPr>
        <w:pStyle w:val="12"/>
        <w:tabs>
          <w:tab w:val="right" w:leader="dot" w:pos="9628"/>
        </w:tabs>
        <w:rPr>
          <w:rFonts w:ascii="Calibri" w:hAnsi="Calibri"/>
          <w:iCs w:val="0"/>
          <w:sz w:val="21"/>
          <w:szCs w:val="22"/>
        </w:rPr>
      </w:pPr>
      <w:r>
        <w:fldChar w:fldCharType="begin"/>
      </w:r>
      <w:r>
        <w:instrText xml:space="preserve"> HYPERLINK \l "_Toc134304585" </w:instrText>
      </w:r>
      <w:r>
        <w:fldChar w:fldCharType="separate"/>
      </w:r>
      <w:r>
        <w:rPr>
          <w:rStyle w:val="23"/>
        </w:rPr>
        <w:t xml:space="preserve">3.3 </w:t>
      </w:r>
      <w:r>
        <w:rPr>
          <w:rStyle w:val="23"/>
          <w:rFonts w:hint="eastAsia"/>
        </w:rPr>
        <w:t>工程总承包实施方案评审（由施工评审组负责）</w:t>
      </w:r>
      <w:r>
        <w:tab/>
      </w:r>
      <w:r>
        <w:fldChar w:fldCharType="begin"/>
      </w:r>
      <w:r>
        <w:instrText xml:space="preserve"> PAGEREF _Toc134304585 \h </w:instrText>
      </w:r>
      <w:r>
        <w:fldChar w:fldCharType="separate"/>
      </w:r>
      <w:r>
        <w:t>- 48 -</w:t>
      </w:r>
      <w:r>
        <w:fldChar w:fldCharType="end"/>
      </w:r>
      <w:r>
        <w:fldChar w:fldCharType="end"/>
      </w:r>
    </w:p>
    <w:p w14:paraId="56FAFFB9">
      <w:pPr>
        <w:pStyle w:val="12"/>
        <w:tabs>
          <w:tab w:val="right" w:leader="dot" w:pos="9628"/>
        </w:tabs>
        <w:rPr>
          <w:rFonts w:ascii="Calibri" w:hAnsi="Calibri"/>
          <w:iCs w:val="0"/>
          <w:sz w:val="21"/>
          <w:szCs w:val="22"/>
        </w:rPr>
      </w:pPr>
      <w:r>
        <w:fldChar w:fldCharType="begin"/>
      </w:r>
      <w:r>
        <w:instrText xml:space="preserve"> HYPERLINK \l "_Toc134304586" </w:instrText>
      </w:r>
      <w:r>
        <w:fldChar w:fldCharType="separate"/>
      </w:r>
      <w:r>
        <w:rPr>
          <w:rStyle w:val="23"/>
        </w:rPr>
        <w:t xml:space="preserve">34 </w:t>
      </w:r>
      <w:r>
        <w:rPr>
          <w:rStyle w:val="23"/>
          <w:rFonts w:hint="eastAsia"/>
        </w:rPr>
        <w:t>投标报价得分（由施工评审组评委负责）</w:t>
      </w:r>
      <w:r>
        <w:tab/>
      </w:r>
      <w:r>
        <w:fldChar w:fldCharType="begin"/>
      </w:r>
      <w:r>
        <w:instrText xml:space="preserve"> PAGEREF _Toc134304586 \h </w:instrText>
      </w:r>
      <w:r>
        <w:fldChar w:fldCharType="separate"/>
      </w:r>
      <w:r>
        <w:t>- 49 -</w:t>
      </w:r>
      <w:r>
        <w:fldChar w:fldCharType="end"/>
      </w:r>
      <w:r>
        <w:fldChar w:fldCharType="end"/>
      </w:r>
    </w:p>
    <w:p w14:paraId="03C170A5">
      <w:pPr>
        <w:pStyle w:val="12"/>
        <w:tabs>
          <w:tab w:val="right" w:leader="dot" w:pos="9628"/>
        </w:tabs>
        <w:rPr>
          <w:rFonts w:ascii="Calibri" w:hAnsi="Calibri"/>
          <w:iCs w:val="0"/>
          <w:sz w:val="21"/>
          <w:szCs w:val="22"/>
        </w:rPr>
      </w:pPr>
      <w:r>
        <w:fldChar w:fldCharType="begin"/>
      </w:r>
      <w:r>
        <w:instrText xml:space="preserve"> HYPERLINK \l "_Toc134304587" </w:instrText>
      </w:r>
      <w:r>
        <w:fldChar w:fldCharType="separate"/>
      </w:r>
      <w:r>
        <w:rPr>
          <w:rStyle w:val="23"/>
        </w:rPr>
        <w:t xml:space="preserve">3.4 </w:t>
      </w:r>
      <w:r>
        <w:rPr>
          <w:rStyle w:val="23"/>
          <w:rFonts w:hint="eastAsia"/>
        </w:rPr>
        <w:t>评审汇总（由施工评审组评委负责）</w:t>
      </w:r>
      <w:r>
        <w:tab/>
      </w:r>
      <w:r>
        <w:fldChar w:fldCharType="begin"/>
      </w:r>
      <w:r>
        <w:instrText xml:space="preserve"> PAGEREF _Toc134304587 \h </w:instrText>
      </w:r>
      <w:r>
        <w:fldChar w:fldCharType="separate"/>
      </w:r>
      <w:r>
        <w:t>- 50 -</w:t>
      </w:r>
      <w:r>
        <w:fldChar w:fldCharType="end"/>
      </w:r>
      <w:r>
        <w:fldChar w:fldCharType="end"/>
      </w:r>
    </w:p>
    <w:p w14:paraId="40908C03">
      <w:pPr>
        <w:pStyle w:val="12"/>
        <w:tabs>
          <w:tab w:val="right" w:leader="dot" w:pos="9628"/>
        </w:tabs>
        <w:rPr>
          <w:rFonts w:ascii="Calibri" w:hAnsi="Calibri"/>
          <w:iCs w:val="0"/>
          <w:sz w:val="21"/>
          <w:szCs w:val="22"/>
        </w:rPr>
      </w:pPr>
      <w:r>
        <w:fldChar w:fldCharType="begin"/>
      </w:r>
      <w:r>
        <w:instrText xml:space="preserve"> HYPERLINK \l "_Toc134304588" </w:instrText>
      </w:r>
      <w:r>
        <w:fldChar w:fldCharType="separate"/>
      </w:r>
      <w:r>
        <w:rPr>
          <w:rStyle w:val="23"/>
        </w:rPr>
        <w:t xml:space="preserve">3.5 </w:t>
      </w:r>
      <w:r>
        <w:rPr>
          <w:rStyle w:val="23"/>
          <w:rFonts w:hint="eastAsia"/>
        </w:rPr>
        <w:t>投标文件的澄清和补正</w:t>
      </w:r>
      <w:r>
        <w:tab/>
      </w:r>
      <w:r>
        <w:fldChar w:fldCharType="begin"/>
      </w:r>
      <w:r>
        <w:instrText xml:space="preserve"> PAGEREF _Toc134304588 \h </w:instrText>
      </w:r>
      <w:r>
        <w:fldChar w:fldCharType="separate"/>
      </w:r>
      <w:r>
        <w:t>- 50 -</w:t>
      </w:r>
      <w:r>
        <w:fldChar w:fldCharType="end"/>
      </w:r>
      <w:r>
        <w:fldChar w:fldCharType="end"/>
      </w:r>
    </w:p>
    <w:p w14:paraId="1A9004F3">
      <w:pPr>
        <w:pStyle w:val="12"/>
        <w:tabs>
          <w:tab w:val="right" w:leader="dot" w:pos="9628"/>
        </w:tabs>
        <w:rPr>
          <w:rFonts w:ascii="Calibri" w:hAnsi="Calibri"/>
          <w:iCs w:val="0"/>
          <w:sz w:val="21"/>
          <w:szCs w:val="22"/>
        </w:rPr>
      </w:pPr>
      <w:r>
        <w:fldChar w:fldCharType="begin"/>
      </w:r>
      <w:r>
        <w:instrText xml:space="preserve"> HYPERLINK \l "_Toc134304589" </w:instrText>
      </w:r>
      <w:r>
        <w:fldChar w:fldCharType="separate"/>
      </w:r>
      <w:r>
        <w:rPr>
          <w:rStyle w:val="23"/>
        </w:rPr>
        <w:t xml:space="preserve">3.6 </w:t>
      </w:r>
      <w:r>
        <w:rPr>
          <w:rStyle w:val="23"/>
          <w:rFonts w:hint="eastAsia"/>
        </w:rPr>
        <w:t>评标结果</w:t>
      </w:r>
      <w:r>
        <w:tab/>
      </w:r>
      <w:r>
        <w:fldChar w:fldCharType="begin"/>
      </w:r>
      <w:r>
        <w:instrText xml:space="preserve"> PAGEREF _Toc134304589 \h </w:instrText>
      </w:r>
      <w:r>
        <w:fldChar w:fldCharType="separate"/>
      </w:r>
      <w:r>
        <w:t>- 50 -</w:t>
      </w:r>
      <w:r>
        <w:fldChar w:fldCharType="end"/>
      </w:r>
      <w:r>
        <w:fldChar w:fldCharType="end"/>
      </w:r>
    </w:p>
    <w:p w14:paraId="6555FAA7">
      <w:pPr>
        <w:pStyle w:val="16"/>
        <w:tabs>
          <w:tab w:val="right" w:leader="dot" w:pos="9628"/>
        </w:tabs>
        <w:rPr>
          <w:rFonts w:ascii="Calibri" w:hAnsi="Calibri"/>
          <w:b w:val="0"/>
          <w:bCs w:val="0"/>
          <w:caps w:val="0"/>
          <w:sz w:val="21"/>
          <w:szCs w:val="22"/>
        </w:rPr>
      </w:pPr>
      <w:r>
        <w:fldChar w:fldCharType="begin"/>
      </w:r>
      <w:r>
        <w:instrText xml:space="preserve"> HYPERLINK \l "_Toc134304590" </w:instrText>
      </w:r>
      <w:r>
        <w:fldChar w:fldCharType="separate"/>
      </w:r>
      <w:r>
        <w:rPr>
          <w:rStyle w:val="23"/>
          <w:rFonts w:hint="eastAsia"/>
        </w:rPr>
        <w:t>第四章合同条款及格式</w:t>
      </w:r>
      <w:r>
        <w:tab/>
      </w:r>
      <w:r>
        <w:fldChar w:fldCharType="begin"/>
      </w:r>
      <w:r>
        <w:instrText xml:space="preserve"> PAGEREF _Toc134304590 \h </w:instrText>
      </w:r>
      <w:r>
        <w:fldChar w:fldCharType="separate"/>
      </w:r>
      <w:r>
        <w:t>- 52 -</w:t>
      </w:r>
      <w:r>
        <w:fldChar w:fldCharType="end"/>
      </w:r>
      <w:r>
        <w:fldChar w:fldCharType="end"/>
      </w:r>
    </w:p>
    <w:p w14:paraId="0701EB9C">
      <w:pPr>
        <w:pStyle w:val="16"/>
        <w:tabs>
          <w:tab w:val="right" w:leader="dot" w:pos="9628"/>
        </w:tabs>
        <w:rPr>
          <w:rFonts w:ascii="Calibri" w:hAnsi="Calibri"/>
          <w:b w:val="0"/>
          <w:bCs w:val="0"/>
          <w:caps w:val="0"/>
          <w:sz w:val="21"/>
          <w:szCs w:val="22"/>
        </w:rPr>
      </w:pPr>
      <w:r>
        <w:fldChar w:fldCharType="begin"/>
      </w:r>
      <w:r>
        <w:instrText xml:space="preserve"> HYPERLINK \l "_Toc134304591" </w:instrText>
      </w:r>
      <w:r>
        <w:fldChar w:fldCharType="separate"/>
      </w:r>
      <w:r>
        <w:rPr>
          <w:rStyle w:val="23"/>
          <w:rFonts w:hint="eastAsia"/>
        </w:rPr>
        <w:t>第二卷</w:t>
      </w:r>
      <w:r>
        <w:tab/>
      </w:r>
      <w:r>
        <w:fldChar w:fldCharType="begin"/>
      </w:r>
      <w:r>
        <w:instrText xml:space="preserve"> PAGEREF _Toc134304591 \h </w:instrText>
      </w:r>
      <w:r>
        <w:fldChar w:fldCharType="separate"/>
      </w:r>
      <w:r>
        <w:t>- 53 -</w:t>
      </w:r>
      <w:r>
        <w:fldChar w:fldCharType="end"/>
      </w:r>
      <w:r>
        <w:fldChar w:fldCharType="end"/>
      </w:r>
    </w:p>
    <w:p w14:paraId="0533280C">
      <w:pPr>
        <w:pStyle w:val="16"/>
        <w:tabs>
          <w:tab w:val="right" w:leader="dot" w:pos="9628"/>
        </w:tabs>
        <w:rPr>
          <w:rFonts w:ascii="Calibri" w:hAnsi="Calibri"/>
          <w:b w:val="0"/>
          <w:bCs w:val="0"/>
          <w:caps w:val="0"/>
          <w:sz w:val="21"/>
          <w:szCs w:val="22"/>
        </w:rPr>
      </w:pPr>
      <w:r>
        <w:fldChar w:fldCharType="begin"/>
      </w:r>
      <w:r>
        <w:instrText xml:space="preserve"> HYPERLINK \l "_Toc134304592" </w:instrText>
      </w:r>
      <w:r>
        <w:fldChar w:fldCharType="separate"/>
      </w:r>
      <w:r>
        <w:rPr>
          <w:rStyle w:val="23"/>
          <w:rFonts w:hint="eastAsia"/>
        </w:rPr>
        <w:t>第五章招标人要求</w:t>
      </w:r>
      <w:r>
        <w:tab/>
      </w:r>
      <w:r>
        <w:fldChar w:fldCharType="begin"/>
      </w:r>
      <w:r>
        <w:instrText xml:space="preserve"> PAGEREF _Toc134304592 \h </w:instrText>
      </w:r>
      <w:r>
        <w:fldChar w:fldCharType="separate"/>
      </w:r>
      <w:r>
        <w:t>- 54 -</w:t>
      </w:r>
      <w:r>
        <w:fldChar w:fldCharType="end"/>
      </w:r>
      <w:r>
        <w:fldChar w:fldCharType="end"/>
      </w:r>
    </w:p>
    <w:p w14:paraId="1EC00B8D">
      <w:pPr>
        <w:pStyle w:val="16"/>
        <w:tabs>
          <w:tab w:val="right" w:leader="dot" w:pos="9628"/>
        </w:tabs>
        <w:rPr>
          <w:rFonts w:ascii="Calibri" w:hAnsi="Calibri"/>
          <w:b w:val="0"/>
          <w:bCs w:val="0"/>
          <w:caps w:val="0"/>
          <w:sz w:val="21"/>
          <w:szCs w:val="22"/>
        </w:rPr>
      </w:pPr>
      <w:r>
        <w:fldChar w:fldCharType="begin"/>
      </w:r>
      <w:r>
        <w:instrText xml:space="preserve"> HYPERLINK \l "_Toc134304593" </w:instrText>
      </w:r>
      <w:r>
        <w:fldChar w:fldCharType="separate"/>
      </w:r>
      <w:r>
        <w:rPr>
          <w:rStyle w:val="23"/>
          <w:rFonts w:hint="eastAsia"/>
        </w:rPr>
        <w:t>第六章招标人提供的资料</w:t>
      </w:r>
      <w:r>
        <w:tab/>
      </w:r>
      <w:r>
        <w:fldChar w:fldCharType="begin"/>
      </w:r>
      <w:r>
        <w:instrText xml:space="preserve"> PAGEREF _Toc134304593 \h </w:instrText>
      </w:r>
      <w:r>
        <w:fldChar w:fldCharType="separate"/>
      </w:r>
      <w:r>
        <w:t>- 56 -</w:t>
      </w:r>
      <w:r>
        <w:fldChar w:fldCharType="end"/>
      </w:r>
      <w:r>
        <w:fldChar w:fldCharType="end"/>
      </w:r>
    </w:p>
    <w:p w14:paraId="2C57BD3B">
      <w:pPr>
        <w:pStyle w:val="16"/>
        <w:tabs>
          <w:tab w:val="right" w:leader="dot" w:pos="9628"/>
        </w:tabs>
        <w:rPr>
          <w:rFonts w:ascii="Calibri" w:hAnsi="Calibri"/>
          <w:b w:val="0"/>
          <w:bCs w:val="0"/>
          <w:caps w:val="0"/>
          <w:sz w:val="21"/>
          <w:szCs w:val="22"/>
        </w:rPr>
      </w:pPr>
      <w:r>
        <w:fldChar w:fldCharType="begin"/>
      </w:r>
      <w:r>
        <w:instrText xml:space="preserve"> HYPERLINK \l "_Toc134304594" </w:instrText>
      </w:r>
      <w:r>
        <w:fldChar w:fldCharType="separate"/>
      </w:r>
      <w:r>
        <w:rPr>
          <w:rStyle w:val="23"/>
          <w:rFonts w:hint="eastAsia"/>
        </w:rPr>
        <w:t>第三卷</w:t>
      </w:r>
      <w:r>
        <w:tab/>
      </w:r>
      <w:r>
        <w:fldChar w:fldCharType="begin"/>
      </w:r>
      <w:r>
        <w:instrText xml:space="preserve"> PAGEREF _Toc134304594 \h </w:instrText>
      </w:r>
      <w:r>
        <w:fldChar w:fldCharType="separate"/>
      </w:r>
      <w:r>
        <w:t>- 57 -</w:t>
      </w:r>
      <w:r>
        <w:fldChar w:fldCharType="end"/>
      </w:r>
      <w:r>
        <w:fldChar w:fldCharType="end"/>
      </w:r>
    </w:p>
    <w:p w14:paraId="62C27715">
      <w:pPr>
        <w:pStyle w:val="16"/>
        <w:tabs>
          <w:tab w:val="right" w:leader="dot" w:pos="9628"/>
        </w:tabs>
        <w:rPr>
          <w:rFonts w:ascii="Calibri" w:hAnsi="Calibri"/>
          <w:b w:val="0"/>
          <w:bCs w:val="0"/>
          <w:caps w:val="0"/>
          <w:sz w:val="21"/>
          <w:szCs w:val="22"/>
        </w:rPr>
      </w:pPr>
      <w:r>
        <w:fldChar w:fldCharType="begin"/>
      </w:r>
      <w:r>
        <w:instrText xml:space="preserve"> HYPERLINK \l "_Toc134304595" </w:instrText>
      </w:r>
      <w:r>
        <w:fldChar w:fldCharType="separate"/>
      </w:r>
      <w:r>
        <w:rPr>
          <w:rStyle w:val="23"/>
          <w:rFonts w:hint="eastAsia"/>
        </w:rPr>
        <w:t>第七章投标文件格式</w:t>
      </w:r>
      <w:r>
        <w:tab/>
      </w:r>
      <w:r>
        <w:fldChar w:fldCharType="begin"/>
      </w:r>
      <w:r>
        <w:instrText xml:space="preserve"> PAGEREF _Toc134304595 \h </w:instrText>
      </w:r>
      <w:r>
        <w:fldChar w:fldCharType="separate"/>
      </w:r>
      <w:r>
        <w:t>- 58 -</w:t>
      </w:r>
      <w:r>
        <w:fldChar w:fldCharType="end"/>
      </w:r>
      <w:r>
        <w:fldChar w:fldCharType="end"/>
      </w:r>
    </w:p>
    <w:p w14:paraId="4A256E39">
      <w:pPr>
        <w:pStyle w:val="17"/>
        <w:tabs>
          <w:tab w:val="right" w:leader="dot" w:pos="9628"/>
        </w:tabs>
        <w:rPr>
          <w:rFonts w:ascii="Calibri" w:hAnsi="Calibri"/>
          <w:smallCaps w:val="0"/>
          <w:sz w:val="21"/>
          <w:szCs w:val="22"/>
        </w:rPr>
      </w:pPr>
      <w:r>
        <w:fldChar w:fldCharType="begin"/>
      </w:r>
      <w:r>
        <w:instrText xml:space="preserve"> HYPERLINK \l "_Toc134304596" </w:instrText>
      </w:r>
      <w:r>
        <w:fldChar w:fldCharType="separate"/>
      </w:r>
      <w:r>
        <w:rPr>
          <w:rStyle w:val="23"/>
          <w:rFonts w:hint="eastAsia" w:ascii="宋体" w:hAnsi="宋体" w:cs="宋体"/>
          <w:bCs/>
        </w:rPr>
        <w:t>格式</w:t>
      </w:r>
      <w:r>
        <w:rPr>
          <w:rStyle w:val="23"/>
          <w:rFonts w:ascii="宋体" w:hAnsi="宋体" w:cs="宋体"/>
          <w:bCs/>
        </w:rPr>
        <w:t>1</w:t>
      </w:r>
      <w:r>
        <w:tab/>
      </w:r>
      <w:r>
        <w:fldChar w:fldCharType="begin"/>
      </w:r>
      <w:r>
        <w:instrText xml:space="preserve"> PAGEREF _Toc134304596 \h </w:instrText>
      </w:r>
      <w:r>
        <w:fldChar w:fldCharType="separate"/>
      </w:r>
      <w:r>
        <w:t>- 59 -</w:t>
      </w:r>
      <w:r>
        <w:fldChar w:fldCharType="end"/>
      </w:r>
      <w:r>
        <w:fldChar w:fldCharType="end"/>
      </w:r>
    </w:p>
    <w:p w14:paraId="4C326F54">
      <w:pPr>
        <w:pStyle w:val="17"/>
        <w:tabs>
          <w:tab w:val="right" w:leader="dot" w:pos="9628"/>
        </w:tabs>
        <w:rPr>
          <w:rFonts w:ascii="Calibri" w:hAnsi="Calibri"/>
          <w:smallCaps w:val="0"/>
          <w:sz w:val="21"/>
          <w:szCs w:val="22"/>
        </w:rPr>
      </w:pPr>
      <w:r>
        <w:fldChar w:fldCharType="begin"/>
      </w:r>
      <w:r>
        <w:instrText xml:space="preserve"> HYPERLINK \l "_Toc134304597" </w:instrText>
      </w:r>
      <w:r>
        <w:fldChar w:fldCharType="separate"/>
      </w:r>
      <w:r>
        <w:rPr>
          <w:rStyle w:val="23"/>
          <w:rFonts w:hint="eastAsia" w:ascii="宋体" w:hAnsi="宋体" w:cs="宋体"/>
          <w:bCs/>
        </w:rPr>
        <w:t>格式</w:t>
      </w:r>
      <w:r>
        <w:rPr>
          <w:rStyle w:val="23"/>
          <w:rFonts w:ascii="宋体" w:hAnsi="宋体" w:cs="宋体"/>
          <w:bCs/>
        </w:rPr>
        <w:t>2</w:t>
      </w:r>
      <w:r>
        <w:tab/>
      </w:r>
      <w:r>
        <w:fldChar w:fldCharType="begin"/>
      </w:r>
      <w:r>
        <w:instrText xml:space="preserve"> PAGEREF _Toc134304597 \h </w:instrText>
      </w:r>
      <w:r>
        <w:fldChar w:fldCharType="separate"/>
      </w:r>
      <w:r>
        <w:t>- 60 -</w:t>
      </w:r>
      <w:r>
        <w:fldChar w:fldCharType="end"/>
      </w:r>
      <w:r>
        <w:fldChar w:fldCharType="end"/>
      </w:r>
    </w:p>
    <w:p w14:paraId="527040AB">
      <w:pPr>
        <w:pStyle w:val="17"/>
        <w:tabs>
          <w:tab w:val="right" w:leader="dot" w:pos="9628"/>
        </w:tabs>
        <w:rPr>
          <w:rFonts w:ascii="Calibri" w:hAnsi="Calibri"/>
          <w:smallCaps w:val="0"/>
          <w:sz w:val="21"/>
          <w:szCs w:val="22"/>
        </w:rPr>
      </w:pPr>
      <w:r>
        <w:fldChar w:fldCharType="begin"/>
      </w:r>
      <w:r>
        <w:instrText xml:space="preserve"> HYPERLINK \l "_Toc134304598" </w:instrText>
      </w:r>
      <w:r>
        <w:fldChar w:fldCharType="separate"/>
      </w:r>
      <w:r>
        <w:rPr>
          <w:rStyle w:val="23"/>
          <w:rFonts w:hint="eastAsia" w:ascii="宋体" w:hAnsi="宋体" w:cs="宋体"/>
          <w:bCs/>
        </w:rPr>
        <w:t>格式</w:t>
      </w:r>
      <w:r>
        <w:rPr>
          <w:rStyle w:val="23"/>
          <w:rFonts w:ascii="宋体" w:hAnsi="宋体" w:cs="宋体"/>
          <w:bCs/>
        </w:rPr>
        <w:t>3</w:t>
      </w:r>
      <w:r>
        <w:tab/>
      </w:r>
      <w:r>
        <w:fldChar w:fldCharType="begin"/>
      </w:r>
      <w:r>
        <w:instrText xml:space="preserve"> PAGEREF _Toc134304598 \h </w:instrText>
      </w:r>
      <w:r>
        <w:fldChar w:fldCharType="separate"/>
      </w:r>
      <w:r>
        <w:t>- 62 -</w:t>
      </w:r>
      <w:r>
        <w:fldChar w:fldCharType="end"/>
      </w:r>
      <w:r>
        <w:fldChar w:fldCharType="end"/>
      </w:r>
    </w:p>
    <w:p w14:paraId="723C8EDE">
      <w:pPr>
        <w:pStyle w:val="17"/>
        <w:tabs>
          <w:tab w:val="right" w:leader="dot" w:pos="9628"/>
        </w:tabs>
        <w:rPr>
          <w:rFonts w:ascii="Calibri" w:hAnsi="Calibri"/>
          <w:smallCaps w:val="0"/>
          <w:sz w:val="21"/>
          <w:szCs w:val="22"/>
        </w:rPr>
      </w:pPr>
      <w:r>
        <w:fldChar w:fldCharType="begin"/>
      </w:r>
      <w:r>
        <w:instrText xml:space="preserve"> HYPERLINK \l "_Toc134304599" </w:instrText>
      </w:r>
      <w:r>
        <w:fldChar w:fldCharType="separate"/>
      </w:r>
      <w:r>
        <w:rPr>
          <w:rStyle w:val="23"/>
          <w:rFonts w:hint="eastAsia" w:ascii="宋体" w:hAnsi="宋体" w:cs="宋体"/>
          <w:bCs/>
        </w:rPr>
        <w:t>格式</w:t>
      </w:r>
      <w:r>
        <w:rPr>
          <w:rStyle w:val="23"/>
          <w:rFonts w:ascii="宋体" w:hAnsi="宋体" w:cs="宋体"/>
          <w:bCs/>
        </w:rPr>
        <w:t>4</w:t>
      </w:r>
      <w:r>
        <w:tab/>
      </w:r>
      <w:r>
        <w:fldChar w:fldCharType="begin"/>
      </w:r>
      <w:r>
        <w:instrText xml:space="preserve"> PAGEREF _Toc134304599 \h </w:instrText>
      </w:r>
      <w:r>
        <w:fldChar w:fldCharType="separate"/>
      </w:r>
      <w:r>
        <w:t>- 63 -</w:t>
      </w:r>
      <w:r>
        <w:fldChar w:fldCharType="end"/>
      </w:r>
      <w:r>
        <w:fldChar w:fldCharType="end"/>
      </w:r>
    </w:p>
    <w:p w14:paraId="20BA0961">
      <w:pPr>
        <w:pStyle w:val="17"/>
        <w:tabs>
          <w:tab w:val="right" w:leader="dot" w:pos="9628"/>
        </w:tabs>
        <w:rPr>
          <w:rFonts w:ascii="Calibri" w:hAnsi="Calibri"/>
          <w:smallCaps w:val="0"/>
          <w:sz w:val="21"/>
          <w:szCs w:val="22"/>
        </w:rPr>
      </w:pPr>
      <w:r>
        <w:fldChar w:fldCharType="begin"/>
      </w:r>
      <w:r>
        <w:instrText xml:space="preserve"> HYPERLINK \l "_Toc134304600" </w:instrText>
      </w:r>
      <w:r>
        <w:fldChar w:fldCharType="separate"/>
      </w:r>
      <w:r>
        <w:rPr>
          <w:rStyle w:val="23"/>
          <w:rFonts w:hint="eastAsia" w:ascii="宋体" w:hAnsi="宋体" w:cs="宋体"/>
          <w:bCs/>
        </w:rPr>
        <w:t>格式</w:t>
      </w:r>
      <w:r>
        <w:rPr>
          <w:rStyle w:val="23"/>
          <w:rFonts w:ascii="宋体" w:hAnsi="宋体" w:cs="宋体"/>
          <w:bCs/>
        </w:rPr>
        <w:t>5</w:t>
      </w:r>
      <w:r>
        <w:tab/>
      </w:r>
      <w:r>
        <w:fldChar w:fldCharType="begin"/>
      </w:r>
      <w:r>
        <w:instrText xml:space="preserve"> PAGEREF _Toc134304600 \h </w:instrText>
      </w:r>
      <w:r>
        <w:fldChar w:fldCharType="separate"/>
      </w:r>
      <w:r>
        <w:t>- 64 -</w:t>
      </w:r>
      <w:r>
        <w:fldChar w:fldCharType="end"/>
      </w:r>
      <w:r>
        <w:fldChar w:fldCharType="end"/>
      </w:r>
    </w:p>
    <w:p w14:paraId="64B5B016">
      <w:pPr>
        <w:ind w:firstLine="420"/>
      </w:pPr>
      <w:r>
        <w:rPr>
          <w:rFonts w:hint="eastAsia" w:ascii="宋体" w:hAnsi="宋体"/>
        </w:rPr>
        <w:fldChar w:fldCharType="end"/>
      </w:r>
    </w:p>
    <w:p w14:paraId="7EC4EE9E">
      <w:pPr>
        <w:pStyle w:val="25"/>
      </w:pPr>
    </w:p>
    <w:p w14:paraId="306C5AB4">
      <w:pPr>
        <w:pStyle w:val="25"/>
        <w:sectPr>
          <w:footerReference r:id="rId5" w:type="default"/>
          <w:pgSz w:w="11906" w:h="16838"/>
          <w:pgMar w:top="1418" w:right="1134" w:bottom="1418" w:left="1134"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0488624F">
      <w:pPr>
        <w:pStyle w:val="25"/>
      </w:pPr>
    </w:p>
    <w:p w14:paraId="10013DBE">
      <w:pPr>
        <w:pStyle w:val="25"/>
      </w:pPr>
    </w:p>
    <w:p w14:paraId="6D2A900A">
      <w:pPr>
        <w:pStyle w:val="25"/>
      </w:pPr>
    </w:p>
    <w:p w14:paraId="3F9A8D8C">
      <w:pPr>
        <w:pStyle w:val="25"/>
      </w:pPr>
    </w:p>
    <w:p w14:paraId="7D85B213">
      <w:pPr>
        <w:pStyle w:val="3"/>
        <w:rPr>
          <w:rFonts w:hint="eastAsia"/>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bookmarkStart w:id="11" w:name="_Toc134304510"/>
      <w:bookmarkStart w:id="12" w:name="_Toc31879"/>
      <w:r>
        <w:rPr>
          <w:rFonts w:hint="eastAsia"/>
        </w:rPr>
        <w:t>第一卷</w:t>
      </w:r>
      <w:bookmarkEnd w:id="6"/>
      <w:bookmarkEnd w:id="7"/>
      <w:bookmarkEnd w:id="11"/>
      <w:bookmarkEnd w:id="12"/>
    </w:p>
    <w:p w14:paraId="2DBFB74B">
      <w:pPr>
        <w:spacing w:line="360" w:lineRule="auto"/>
        <w:jc w:val="center"/>
        <w:rPr>
          <w:rFonts w:hint="eastAsia"/>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Times New Roman" w:hAnsi="Times New Roman" w:eastAsia="宋体" w:cs="Times New Roman"/>
          <w:b/>
          <w:bCs/>
          <w:kern w:val="44"/>
          <w:sz w:val="44"/>
          <w:szCs w:val="44"/>
          <w:lang w:val="en-US" w:eastAsia="zh-CN" w:bidi="ar-SA"/>
        </w:rPr>
        <w:t>第一章招标公告</w:t>
      </w:r>
      <w:bookmarkEnd w:id="8"/>
      <w:bookmarkEnd w:id="9"/>
      <w:bookmarkEnd w:id="10"/>
      <w:bookmarkStart w:id="13" w:name="_Toc28794"/>
      <w:r>
        <w:rPr>
          <w:rFonts w:hint="eastAsia" w:ascii="Times New Roman" w:hAnsi="Times New Roman" w:eastAsia="宋体" w:cs="Times New Roman"/>
          <w:b/>
          <w:bCs/>
          <w:kern w:val="44"/>
          <w:sz w:val="44"/>
          <w:szCs w:val="44"/>
          <w:lang w:val="en-US" w:eastAsia="zh-CN" w:bidi="ar-SA"/>
        </w:rPr>
        <w:br w:type="textWrapping"/>
      </w:r>
      <w:r>
        <w:rPr>
          <w:rFonts w:hint="eastAsia" w:cs="Times New Roman"/>
          <w:b/>
          <w:bCs/>
          <w:kern w:val="44"/>
          <w:sz w:val="44"/>
          <w:szCs w:val="44"/>
          <w:lang w:val="en-US" w:eastAsia="zh-CN" w:bidi="ar-SA"/>
        </w:rPr>
        <w:t>（另册）</w:t>
      </w:r>
    </w:p>
    <w:p w14:paraId="45A5356F">
      <w:pPr>
        <w:rPr>
          <w:rFonts w:hint="eastAsia"/>
          <w:lang w:val="en-US" w:eastAsia="zh-CN"/>
        </w:rPr>
      </w:pPr>
    </w:p>
    <w:bookmarkEnd w:id="13"/>
    <w:p w14:paraId="451D0026">
      <w:pPr>
        <w:pStyle w:val="3"/>
        <w:jc w:val="center"/>
      </w:pPr>
      <w:bookmarkStart w:id="14" w:name="_Toc152045527"/>
      <w:bookmarkStart w:id="15" w:name="_Toc144974495"/>
      <w:bookmarkStart w:id="16" w:name="_Toc247513950"/>
      <w:bookmarkStart w:id="17" w:name="_Toc152042303"/>
      <w:bookmarkStart w:id="18" w:name="_Toc247527551"/>
      <w:bookmarkStart w:id="19" w:name="_Toc134304521"/>
      <w:bookmarkStart w:id="20" w:name="_Toc16711"/>
      <w:r>
        <w:rPr>
          <w:rFonts w:hint="eastAsia"/>
        </w:rPr>
        <w:t>第二章 投标人须知</w:t>
      </w:r>
      <w:bookmarkEnd w:id="14"/>
      <w:bookmarkEnd w:id="15"/>
      <w:bookmarkEnd w:id="16"/>
      <w:bookmarkEnd w:id="17"/>
      <w:bookmarkEnd w:id="18"/>
      <w:bookmarkEnd w:id="19"/>
      <w:bookmarkEnd w:id="20"/>
    </w:p>
    <w:p w14:paraId="134E37E4">
      <w:pPr>
        <w:pStyle w:val="2"/>
        <w:jc w:val="center"/>
      </w:pPr>
      <w:bookmarkStart w:id="21" w:name="_Toc247513951"/>
      <w:bookmarkStart w:id="22" w:name="_Toc152045528"/>
      <w:bookmarkStart w:id="23" w:name="_Toc247527552"/>
      <w:bookmarkStart w:id="24" w:name="_Toc152042304"/>
      <w:bookmarkStart w:id="25" w:name="_Toc134304522"/>
      <w:bookmarkStart w:id="26" w:name="_Toc9681"/>
      <w:bookmarkStart w:id="27" w:name="_Toc144974496"/>
      <w:r>
        <w:rPr>
          <w:rFonts w:hint="eastAsia"/>
        </w:rPr>
        <w:t>投标人须知前附表</w:t>
      </w:r>
      <w:bookmarkEnd w:id="21"/>
      <w:bookmarkEnd w:id="22"/>
      <w:bookmarkEnd w:id="23"/>
      <w:bookmarkEnd w:id="24"/>
      <w:bookmarkEnd w:id="25"/>
      <w:bookmarkEnd w:id="26"/>
      <w:bookmarkEnd w:id="27"/>
    </w:p>
    <w:tbl>
      <w:tblPr>
        <w:tblStyle w:val="21"/>
        <w:tblW w:w="91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2345"/>
        <w:gridCol w:w="8"/>
        <w:gridCol w:w="5659"/>
      </w:tblGrid>
      <w:tr w14:paraId="4EB06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blHeader/>
        </w:trPr>
        <w:tc>
          <w:tcPr>
            <w:tcW w:w="1165" w:type="dxa"/>
            <w:noWrap w:val="0"/>
            <w:vAlign w:val="center"/>
          </w:tcPr>
          <w:p w14:paraId="32C9BC4D">
            <w:pPr>
              <w:jc w:val="center"/>
              <w:rPr>
                <w:rFonts w:hint="eastAsia" w:ascii="宋体" w:hAnsi="宋体" w:cs="宋体"/>
                <w:b/>
                <w:szCs w:val="21"/>
              </w:rPr>
            </w:pPr>
            <w:r>
              <w:rPr>
                <w:rFonts w:hint="eastAsia" w:ascii="宋体" w:hAnsi="宋体" w:cs="宋体"/>
                <w:b/>
                <w:szCs w:val="21"/>
              </w:rPr>
              <w:t>条款号</w:t>
            </w:r>
          </w:p>
        </w:tc>
        <w:tc>
          <w:tcPr>
            <w:tcW w:w="2353" w:type="dxa"/>
            <w:gridSpan w:val="2"/>
            <w:noWrap w:val="0"/>
            <w:vAlign w:val="center"/>
          </w:tcPr>
          <w:p w14:paraId="6FDD7B94">
            <w:pPr>
              <w:jc w:val="center"/>
              <w:rPr>
                <w:rFonts w:hint="eastAsia" w:ascii="宋体" w:hAnsi="宋体" w:cs="宋体"/>
                <w:b/>
                <w:szCs w:val="21"/>
              </w:rPr>
            </w:pPr>
            <w:r>
              <w:rPr>
                <w:rFonts w:hint="eastAsia" w:ascii="宋体" w:hAnsi="宋体" w:cs="宋体"/>
                <w:b/>
                <w:szCs w:val="21"/>
              </w:rPr>
              <w:t>条  款  名  称</w:t>
            </w:r>
          </w:p>
        </w:tc>
        <w:tc>
          <w:tcPr>
            <w:tcW w:w="5659" w:type="dxa"/>
            <w:noWrap w:val="0"/>
            <w:vAlign w:val="center"/>
          </w:tcPr>
          <w:p w14:paraId="193BB39E">
            <w:pPr>
              <w:jc w:val="center"/>
              <w:rPr>
                <w:rFonts w:hint="eastAsia" w:ascii="宋体" w:hAnsi="宋体" w:cs="宋体"/>
                <w:b/>
                <w:szCs w:val="21"/>
              </w:rPr>
            </w:pPr>
            <w:r>
              <w:rPr>
                <w:rFonts w:hint="eastAsia" w:ascii="宋体" w:hAnsi="宋体" w:cs="宋体"/>
                <w:b/>
                <w:szCs w:val="21"/>
              </w:rPr>
              <w:t>编  列  内  容</w:t>
            </w:r>
          </w:p>
        </w:tc>
      </w:tr>
      <w:tr w14:paraId="2A867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1165" w:type="dxa"/>
            <w:noWrap w:val="0"/>
            <w:vAlign w:val="center"/>
          </w:tcPr>
          <w:p w14:paraId="2F023144">
            <w:pPr>
              <w:jc w:val="center"/>
              <w:rPr>
                <w:rFonts w:hint="eastAsia" w:ascii="宋体" w:hAnsi="宋体" w:cs="宋体"/>
                <w:szCs w:val="21"/>
              </w:rPr>
            </w:pPr>
            <w:r>
              <w:rPr>
                <w:rFonts w:hint="eastAsia" w:ascii="宋体" w:hAnsi="宋体" w:cs="宋体"/>
                <w:szCs w:val="21"/>
              </w:rPr>
              <w:t>1.1.2</w:t>
            </w:r>
          </w:p>
        </w:tc>
        <w:tc>
          <w:tcPr>
            <w:tcW w:w="2345" w:type="dxa"/>
            <w:noWrap w:val="0"/>
            <w:vAlign w:val="center"/>
          </w:tcPr>
          <w:p w14:paraId="40B0C0A6">
            <w:pPr>
              <w:jc w:val="center"/>
              <w:rPr>
                <w:rFonts w:hint="eastAsia" w:ascii="宋体" w:hAnsi="宋体" w:cs="宋体"/>
                <w:szCs w:val="21"/>
              </w:rPr>
            </w:pPr>
            <w:r>
              <w:rPr>
                <w:rFonts w:hint="eastAsia" w:ascii="宋体" w:hAnsi="宋体" w:cs="宋体"/>
                <w:szCs w:val="21"/>
              </w:rPr>
              <w:t>招标人</w:t>
            </w:r>
          </w:p>
        </w:tc>
        <w:tc>
          <w:tcPr>
            <w:tcW w:w="5667" w:type="dxa"/>
            <w:gridSpan w:val="2"/>
            <w:noWrap w:val="0"/>
            <w:vAlign w:val="center"/>
          </w:tcPr>
          <w:p w14:paraId="070BA698">
            <w:pPr>
              <w:snapToGrid w:val="0"/>
              <w:rPr>
                <w:rFonts w:hint="eastAsia" w:ascii="宋体" w:hAnsi="宋体" w:cs="宋体"/>
                <w:szCs w:val="21"/>
                <w:u w:val="single"/>
              </w:rPr>
            </w:pPr>
            <w:r>
              <w:rPr>
                <w:rFonts w:hint="eastAsia" w:ascii="宋体" w:hAnsi="宋体" w:cs="宋体"/>
                <w:szCs w:val="21"/>
              </w:rPr>
              <w:t>名  称：</w:t>
            </w:r>
            <w:r>
              <w:rPr>
                <w:rFonts w:hint="eastAsia" w:ascii="宋体" w:hAnsi="宋体" w:cs="宋体"/>
                <w:szCs w:val="21"/>
                <w:u w:val="single"/>
              </w:rPr>
              <w:t>中山大学中山眼科中心</w:t>
            </w:r>
          </w:p>
          <w:p w14:paraId="0024EFBA">
            <w:pPr>
              <w:snapToGrid w:val="0"/>
              <w:rPr>
                <w:rFonts w:hint="eastAsia" w:ascii="宋体" w:hAnsi="宋体" w:cs="宋体"/>
                <w:szCs w:val="21"/>
                <w:u w:val="single"/>
              </w:rPr>
            </w:pPr>
            <w:r>
              <w:rPr>
                <w:rFonts w:hint="eastAsia" w:ascii="宋体" w:hAnsi="宋体" w:cs="宋体"/>
                <w:szCs w:val="21"/>
              </w:rPr>
              <w:t>地  址：</w:t>
            </w:r>
            <w:r>
              <w:rPr>
                <w:rFonts w:hint="eastAsia" w:ascii="宋体" w:hAnsi="宋体" w:cs="宋体"/>
                <w:szCs w:val="21"/>
                <w:u w:val="single"/>
              </w:rPr>
              <w:t>广州市天河区金穗路7号</w:t>
            </w:r>
          </w:p>
          <w:p w14:paraId="3A879ED4">
            <w:pPr>
              <w:snapToGrid w:val="0"/>
              <w:rPr>
                <w:rFonts w:hint="eastAsia" w:ascii="宋体" w:hAnsi="宋体" w:cs="宋体"/>
                <w:szCs w:val="21"/>
              </w:rPr>
            </w:pPr>
            <w:r>
              <w:rPr>
                <w:rFonts w:hint="eastAsia" w:ascii="宋体" w:hAnsi="宋体" w:cs="宋体"/>
                <w:szCs w:val="21"/>
              </w:rPr>
              <w:t>联系人：</w:t>
            </w:r>
            <w:r>
              <w:rPr>
                <w:rFonts w:hint="eastAsia" w:ascii="宋体" w:hAnsi="宋体" w:cs="宋体"/>
                <w:szCs w:val="21"/>
                <w:u w:val="single"/>
              </w:rPr>
              <w:t>甄老师</w:t>
            </w:r>
          </w:p>
          <w:p w14:paraId="67EF67B9">
            <w:pPr>
              <w:snapToGrid w:val="0"/>
              <w:rPr>
                <w:rFonts w:hint="eastAsia" w:ascii="宋体" w:hAnsi="宋体" w:cs="宋体"/>
                <w:szCs w:val="21"/>
              </w:rPr>
            </w:pPr>
            <w:r>
              <w:rPr>
                <w:rFonts w:hint="eastAsia" w:ascii="宋体" w:hAnsi="宋体" w:cs="宋体"/>
                <w:szCs w:val="21"/>
              </w:rPr>
              <w:t>电  话：</w:t>
            </w:r>
            <w:r>
              <w:rPr>
                <w:rFonts w:hint="eastAsia" w:ascii="宋体" w:hAnsi="宋体" w:cs="宋体"/>
                <w:szCs w:val="21"/>
                <w:u w:val="single"/>
              </w:rPr>
              <w:t>020-66648765</w:t>
            </w:r>
          </w:p>
        </w:tc>
      </w:tr>
      <w:tr w14:paraId="145BF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165" w:type="dxa"/>
            <w:noWrap w:val="0"/>
            <w:vAlign w:val="center"/>
          </w:tcPr>
          <w:p w14:paraId="3CDD274F">
            <w:pPr>
              <w:jc w:val="center"/>
              <w:rPr>
                <w:rFonts w:hint="eastAsia" w:ascii="宋体" w:hAnsi="宋体" w:cs="宋体"/>
                <w:szCs w:val="21"/>
              </w:rPr>
            </w:pPr>
            <w:r>
              <w:rPr>
                <w:rFonts w:hint="eastAsia" w:ascii="宋体" w:hAnsi="宋体" w:cs="宋体"/>
                <w:szCs w:val="21"/>
              </w:rPr>
              <w:t>1.1.3</w:t>
            </w:r>
          </w:p>
        </w:tc>
        <w:tc>
          <w:tcPr>
            <w:tcW w:w="2353" w:type="dxa"/>
            <w:gridSpan w:val="2"/>
            <w:noWrap w:val="0"/>
            <w:vAlign w:val="center"/>
          </w:tcPr>
          <w:p w14:paraId="044EEACD">
            <w:pPr>
              <w:jc w:val="center"/>
              <w:rPr>
                <w:rFonts w:hint="eastAsia" w:ascii="宋体" w:hAnsi="宋体" w:cs="宋体"/>
                <w:szCs w:val="21"/>
              </w:rPr>
            </w:pPr>
            <w:r>
              <w:rPr>
                <w:rFonts w:hint="eastAsia" w:ascii="宋体" w:hAnsi="宋体" w:cs="宋体"/>
                <w:szCs w:val="21"/>
              </w:rPr>
              <w:t>招标代理机构</w:t>
            </w:r>
          </w:p>
        </w:tc>
        <w:tc>
          <w:tcPr>
            <w:tcW w:w="5659" w:type="dxa"/>
            <w:noWrap w:val="0"/>
            <w:vAlign w:val="center"/>
          </w:tcPr>
          <w:p w14:paraId="4FB662C1">
            <w:pPr>
              <w:snapToGrid w:val="0"/>
              <w:rPr>
                <w:rFonts w:hint="eastAsia" w:ascii="宋体" w:hAnsi="宋体" w:cs="宋体"/>
                <w:szCs w:val="21"/>
              </w:rPr>
            </w:pPr>
            <w:r>
              <w:rPr>
                <w:rFonts w:hint="eastAsia" w:ascii="宋体" w:hAnsi="宋体" w:cs="宋体"/>
                <w:szCs w:val="21"/>
              </w:rPr>
              <w:t>名  称：</w:t>
            </w:r>
            <w:r>
              <w:rPr>
                <w:rFonts w:hint="eastAsia" w:ascii="宋体" w:hAnsi="宋体" w:cs="宋体"/>
                <w:szCs w:val="21"/>
                <w:u w:val="single"/>
              </w:rPr>
              <w:t>广州中经招标有限公司</w:t>
            </w:r>
          </w:p>
          <w:p w14:paraId="5B386D72">
            <w:pPr>
              <w:snapToGrid w:val="0"/>
              <w:rPr>
                <w:rFonts w:hint="eastAsia" w:ascii="宋体" w:hAnsi="宋体" w:cs="宋体"/>
                <w:szCs w:val="21"/>
                <w:u w:val="single"/>
              </w:rPr>
            </w:pPr>
            <w:r>
              <w:rPr>
                <w:rFonts w:hint="eastAsia" w:ascii="宋体" w:hAnsi="宋体" w:cs="宋体"/>
                <w:szCs w:val="21"/>
              </w:rPr>
              <w:t>地  址：</w:t>
            </w:r>
            <w:r>
              <w:rPr>
                <w:rFonts w:hint="eastAsia" w:ascii="宋体" w:hAnsi="宋体" w:cs="宋体"/>
                <w:szCs w:val="21"/>
                <w:u w:val="single"/>
              </w:rPr>
              <w:t>广州市越秀区寺右一马路18号泰恒大厦14楼1409室</w:t>
            </w:r>
          </w:p>
          <w:p w14:paraId="11789963">
            <w:pPr>
              <w:snapToGrid w:val="0"/>
              <w:rPr>
                <w:rFonts w:hint="eastAsia" w:ascii="宋体" w:hAnsi="宋体" w:cs="宋体"/>
                <w:szCs w:val="21"/>
              </w:rPr>
            </w:pPr>
            <w:r>
              <w:rPr>
                <w:rFonts w:hint="eastAsia" w:ascii="宋体" w:hAnsi="宋体" w:cs="宋体"/>
                <w:szCs w:val="21"/>
              </w:rPr>
              <w:t>联系人：</w:t>
            </w:r>
            <w:r>
              <w:rPr>
                <w:rFonts w:hint="eastAsia" w:ascii="宋体" w:hAnsi="宋体" w:cs="宋体"/>
                <w:szCs w:val="21"/>
                <w:u w:val="single"/>
              </w:rPr>
              <w:t>何工</w:t>
            </w:r>
          </w:p>
          <w:p w14:paraId="22B29C64">
            <w:pPr>
              <w:snapToGrid w:val="0"/>
              <w:rPr>
                <w:rFonts w:hint="eastAsia" w:ascii="宋体" w:hAnsi="宋体" w:cs="宋体"/>
                <w:szCs w:val="21"/>
              </w:rPr>
            </w:pPr>
            <w:r>
              <w:rPr>
                <w:rFonts w:hint="eastAsia" w:ascii="宋体" w:hAnsi="宋体" w:cs="宋体"/>
                <w:szCs w:val="21"/>
              </w:rPr>
              <w:t>电  话：</w:t>
            </w:r>
            <w:r>
              <w:rPr>
                <w:rFonts w:hint="eastAsia" w:ascii="宋体" w:hAnsi="宋体" w:cs="宋体"/>
                <w:szCs w:val="21"/>
                <w:u w:val="single"/>
              </w:rPr>
              <w:t>020-87385151</w:t>
            </w:r>
          </w:p>
        </w:tc>
      </w:tr>
      <w:tr w14:paraId="31CE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06951119">
            <w:pPr>
              <w:jc w:val="center"/>
              <w:rPr>
                <w:rFonts w:hint="eastAsia" w:ascii="宋体" w:hAnsi="宋体" w:cs="宋体"/>
                <w:szCs w:val="21"/>
              </w:rPr>
            </w:pPr>
            <w:r>
              <w:rPr>
                <w:rFonts w:hint="eastAsia" w:ascii="宋体" w:hAnsi="宋体" w:cs="宋体"/>
                <w:szCs w:val="21"/>
              </w:rPr>
              <w:t>1.1.4</w:t>
            </w:r>
          </w:p>
        </w:tc>
        <w:tc>
          <w:tcPr>
            <w:tcW w:w="2353" w:type="dxa"/>
            <w:gridSpan w:val="2"/>
            <w:noWrap w:val="0"/>
            <w:vAlign w:val="center"/>
          </w:tcPr>
          <w:p w14:paraId="3A105D66">
            <w:pPr>
              <w:jc w:val="center"/>
              <w:rPr>
                <w:rFonts w:hint="eastAsia" w:ascii="宋体" w:hAnsi="宋体" w:cs="宋体"/>
                <w:szCs w:val="21"/>
              </w:rPr>
            </w:pPr>
            <w:r>
              <w:rPr>
                <w:rFonts w:hint="eastAsia" w:ascii="宋体" w:hAnsi="宋体" w:cs="宋体"/>
                <w:szCs w:val="21"/>
              </w:rPr>
              <w:t>项目名称</w:t>
            </w:r>
          </w:p>
        </w:tc>
        <w:tc>
          <w:tcPr>
            <w:tcW w:w="5659" w:type="dxa"/>
            <w:noWrap w:val="0"/>
            <w:vAlign w:val="center"/>
          </w:tcPr>
          <w:p w14:paraId="7A895B83">
            <w:pPr>
              <w:rPr>
                <w:rFonts w:hint="eastAsia" w:ascii="宋体" w:hAnsi="宋体" w:eastAsia="宋体" w:cs="宋体"/>
                <w:szCs w:val="21"/>
                <w:lang w:eastAsia="zh-CN"/>
              </w:rPr>
            </w:pPr>
            <w:r>
              <w:rPr>
                <w:rFonts w:hint="eastAsia" w:ascii="宋体" w:hAnsi="宋体" w:cs="宋体"/>
                <w:szCs w:val="21"/>
                <w:u w:val="single"/>
                <w:lang w:eastAsia="zh-CN"/>
              </w:rPr>
              <w:t>中山大学中山眼科中心区庄院区综合能力提升项目设计施工总承包</w:t>
            </w:r>
          </w:p>
        </w:tc>
      </w:tr>
      <w:tr w14:paraId="75ABC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4F7F4EB4">
            <w:pPr>
              <w:jc w:val="center"/>
              <w:rPr>
                <w:rFonts w:hint="eastAsia" w:ascii="宋体" w:hAnsi="宋体" w:cs="宋体"/>
                <w:szCs w:val="21"/>
              </w:rPr>
            </w:pPr>
            <w:r>
              <w:rPr>
                <w:rFonts w:hint="eastAsia" w:ascii="宋体" w:hAnsi="宋体" w:cs="宋体"/>
                <w:szCs w:val="21"/>
              </w:rPr>
              <w:t>1.1.5</w:t>
            </w:r>
          </w:p>
        </w:tc>
        <w:tc>
          <w:tcPr>
            <w:tcW w:w="2353" w:type="dxa"/>
            <w:gridSpan w:val="2"/>
            <w:noWrap w:val="0"/>
            <w:vAlign w:val="center"/>
          </w:tcPr>
          <w:p w14:paraId="002ECB97">
            <w:pPr>
              <w:jc w:val="center"/>
              <w:rPr>
                <w:rFonts w:hint="eastAsia" w:ascii="宋体" w:hAnsi="宋体" w:cs="宋体"/>
                <w:szCs w:val="21"/>
              </w:rPr>
            </w:pPr>
            <w:r>
              <w:rPr>
                <w:rFonts w:hint="eastAsia" w:ascii="宋体" w:hAnsi="宋体" w:cs="宋体"/>
                <w:szCs w:val="21"/>
              </w:rPr>
              <w:t>建设地点</w:t>
            </w:r>
          </w:p>
        </w:tc>
        <w:tc>
          <w:tcPr>
            <w:tcW w:w="5659" w:type="dxa"/>
            <w:noWrap w:val="0"/>
            <w:vAlign w:val="center"/>
          </w:tcPr>
          <w:p w14:paraId="3BED7FA9">
            <w:pPr>
              <w:rPr>
                <w:rFonts w:hint="eastAsia" w:ascii="宋体" w:hAnsi="宋体" w:cs="宋体"/>
                <w:szCs w:val="21"/>
              </w:rPr>
            </w:pPr>
            <w:r>
              <w:rPr>
                <w:rFonts w:hint="eastAsia" w:ascii="宋体" w:hAnsi="宋体" w:cs="宋体"/>
                <w:szCs w:val="21"/>
              </w:rPr>
              <w:t>详</w:t>
            </w:r>
            <w:r>
              <w:rPr>
                <w:rFonts w:hint="eastAsia" w:ascii="宋体" w:hAnsi="宋体" w:cs="宋体"/>
                <w:kern w:val="0"/>
                <w:szCs w:val="21"/>
              </w:rPr>
              <w:t>见本项目招标公告</w:t>
            </w:r>
          </w:p>
        </w:tc>
      </w:tr>
      <w:tr w14:paraId="3F7FA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21C4804D">
            <w:pPr>
              <w:jc w:val="center"/>
              <w:rPr>
                <w:rFonts w:hint="eastAsia" w:ascii="宋体" w:hAnsi="宋体" w:cs="宋体"/>
                <w:szCs w:val="21"/>
              </w:rPr>
            </w:pPr>
            <w:r>
              <w:rPr>
                <w:rFonts w:hint="eastAsia" w:ascii="宋体" w:hAnsi="宋体" w:cs="宋体"/>
                <w:szCs w:val="21"/>
              </w:rPr>
              <w:t>1.2.1</w:t>
            </w:r>
          </w:p>
        </w:tc>
        <w:tc>
          <w:tcPr>
            <w:tcW w:w="2353" w:type="dxa"/>
            <w:gridSpan w:val="2"/>
            <w:noWrap w:val="0"/>
            <w:vAlign w:val="center"/>
          </w:tcPr>
          <w:p w14:paraId="165A5D88">
            <w:pPr>
              <w:jc w:val="center"/>
              <w:rPr>
                <w:rFonts w:hint="eastAsia" w:ascii="宋体" w:hAnsi="宋体" w:cs="宋体"/>
                <w:szCs w:val="21"/>
              </w:rPr>
            </w:pPr>
            <w:r>
              <w:rPr>
                <w:rFonts w:hint="eastAsia" w:ascii="宋体" w:hAnsi="宋体" w:cs="宋体"/>
                <w:szCs w:val="21"/>
              </w:rPr>
              <w:t>资金来源及比例</w:t>
            </w:r>
          </w:p>
        </w:tc>
        <w:tc>
          <w:tcPr>
            <w:tcW w:w="5659" w:type="dxa"/>
            <w:noWrap w:val="0"/>
            <w:vAlign w:val="center"/>
          </w:tcPr>
          <w:p w14:paraId="732D1E69">
            <w:pPr>
              <w:rPr>
                <w:rFonts w:hint="eastAsia" w:ascii="宋体" w:hAnsi="宋体" w:cs="宋体"/>
                <w:szCs w:val="21"/>
              </w:rPr>
            </w:pPr>
            <w:r>
              <w:rPr>
                <w:rFonts w:hint="eastAsia" w:ascii="宋体" w:hAnsi="宋体" w:cs="宋体"/>
                <w:szCs w:val="21"/>
              </w:rPr>
              <w:t>详</w:t>
            </w:r>
            <w:r>
              <w:rPr>
                <w:rFonts w:hint="eastAsia" w:ascii="宋体" w:hAnsi="宋体" w:cs="宋体"/>
                <w:kern w:val="0"/>
                <w:szCs w:val="21"/>
              </w:rPr>
              <w:t>见本项目招标公告</w:t>
            </w:r>
          </w:p>
        </w:tc>
      </w:tr>
      <w:tr w14:paraId="7A940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51D59D44">
            <w:pPr>
              <w:jc w:val="center"/>
              <w:rPr>
                <w:rFonts w:hint="eastAsia" w:ascii="宋体" w:hAnsi="宋体" w:cs="宋体"/>
                <w:szCs w:val="21"/>
              </w:rPr>
            </w:pPr>
            <w:r>
              <w:rPr>
                <w:rFonts w:hint="eastAsia" w:ascii="宋体" w:hAnsi="宋体" w:cs="宋体"/>
                <w:szCs w:val="21"/>
              </w:rPr>
              <w:t>1.2.2</w:t>
            </w:r>
          </w:p>
        </w:tc>
        <w:tc>
          <w:tcPr>
            <w:tcW w:w="2353" w:type="dxa"/>
            <w:gridSpan w:val="2"/>
            <w:noWrap w:val="0"/>
            <w:vAlign w:val="center"/>
          </w:tcPr>
          <w:p w14:paraId="3C4C48E6">
            <w:pPr>
              <w:jc w:val="center"/>
              <w:rPr>
                <w:rFonts w:hint="eastAsia" w:ascii="宋体" w:hAnsi="宋体" w:cs="宋体"/>
                <w:szCs w:val="21"/>
              </w:rPr>
            </w:pPr>
            <w:r>
              <w:rPr>
                <w:rFonts w:hint="eastAsia" w:ascii="宋体" w:hAnsi="宋体" w:cs="宋体"/>
                <w:szCs w:val="21"/>
              </w:rPr>
              <w:t>资金落实情况</w:t>
            </w:r>
          </w:p>
        </w:tc>
        <w:tc>
          <w:tcPr>
            <w:tcW w:w="5659" w:type="dxa"/>
            <w:noWrap w:val="0"/>
            <w:vAlign w:val="center"/>
          </w:tcPr>
          <w:p w14:paraId="429BD8F4">
            <w:pPr>
              <w:rPr>
                <w:rFonts w:hint="eastAsia" w:ascii="宋体" w:hAnsi="宋体" w:cs="宋体"/>
                <w:szCs w:val="21"/>
              </w:rPr>
            </w:pPr>
            <w:r>
              <w:rPr>
                <w:rFonts w:hint="eastAsia" w:ascii="宋体" w:hAnsi="宋体" w:cs="宋体"/>
                <w:szCs w:val="21"/>
              </w:rPr>
              <w:t>资金已落实</w:t>
            </w:r>
          </w:p>
        </w:tc>
      </w:tr>
      <w:tr w14:paraId="5BE51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5EF4DA06">
            <w:pPr>
              <w:jc w:val="center"/>
              <w:rPr>
                <w:rFonts w:hint="eastAsia" w:ascii="宋体" w:hAnsi="宋体" w:cs="宋体"/>
                <w:szCs w:val="21"/>
              </w:rPr>
            </w:pPr>
            <w:r>
              <w:rPr>
                <w:rFonts w:hint="eastAsia" w:ascii="宋体" w:hAnsi="宋体" w:cs="宋体"/>
                <w:szCs w:val="21"/>
              </w:rPr>
              <w:t>1.3.1</w:t>
            </w:r>
          </w:p>
        </w:tc>
        <w:tc>
          <w:tcPr>
            <w:tcW w:w="2353" w:type="dxa"/>
            <w:gridSpan w:val="2"/>
            <w:noWrap w:val="0"/>
            <w:vAlign w:val="center"/>
          </w:tcPr>
          <w:p w14:paraId="2CC3EC89">
            <w:pPr>
              <w:jc w:val="center"/>
              <w:rPr>
                <w:rFonts w:hint="eastAsia" w:ascii="宋体" w:hAnsi="宋体" w:cs="宋体"/>
                <w:szCs w:val="21"/>
              </w:rPr>
            </w:pPr>
            <w:r>
              <w:rPr>
                <w:rFonts w:hint="eastAsia" w:ascii="宋体" w:hAnsi="宋体" w:cs="宋体"/>
                <w:szCs w:val="21"/>
              </w:rPr>
              <w:t>招标范围</w:t>
            </w:r>
          </w:p>
        </w:tc>
        <w:tc>
          <w:tcPr>
            <w:tcW w:w="5659" w:type="dxa"/>
            <w:noWrap w:val="0"/>
            <w:vAlign w:val="center"/>
          </w:tcPr>
          <w:p w14:paraId="7EA7D0F9">
            <w:pPr>
              <w:rPr>
                <w:rFonts w:hint="eastAsia" w:ascii="宋体" w:hAnsi="宋体" w:cs="宋体"/>
                <w:szCs w:val="21"/>
              </w:rPr>
            </w:pPr>
            <w:r>
              <w:rPr>
                <w:rFonts w:hint="eastAsia" w:ascii="宋体" w:hAnsi="宋体" w:cs="宋体"/>
                <w:szCs w:val="21"/>
              </w:rPr>
              <w:t>详见本项目招标公告及合同约定条款</w:t>
            </w:r>
          </w:p>
        </w:tc>
      </w:tr>
      <w:tr w14:paraId="19DC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61EA0455">
            <w:pPr>
              <w:jc w:val="center"/>
              <w:rPr>
                <w:rFonts w:hint="eastAsia" w:ascii="宋体" w:hAnsi="宋体" w:cs="宋体"/>
                <w:szCs w:val="21"/>
              </w:rPr>
            </w:pPr>
            <w:r>
              <w:rPr>
                <w:rFonts w:hint="eastAsia" w:ascii="宋体" w:hAnsi="宋体" w:cs="宋体"/>
                <w:szCs w:val="21"/>
              </w:rPr>
              <w:t>1.3.2</w:t>
            </w:r>
          </w:p>
        </w:tc>
        <w:tc>
          <w:tcPr>
            <w:tcW w:w="2353" w:type="dxa"/>
            <w:gridSpan w:val="2"/>
            <w:noWrap w:val="0"/>
            <w:vAlign w:val="center"/>
          </w:tcPr>
          <w:p w14:paraId="5C6F6DF4">
            <w:pPr>
              <w:jc w:val="center"/>
              <w:rPr>
                <w:rFonts w:hint="eastAsia" w:ascii="宋体" w:hAnsi="宋体" w:cs="宋体"/>
                <w:szCs w:val="21"/>
              </w:rPr>
            </w:pPr>
            <w:r>
              <w:rPr>
                <w:rFonts w:hint="eastAsia" w:ascii="宋体" w:hAnsi="宋体" w:cs="宋体"/>
                <w:szCs w:val="21"/>
              </w:rPr>
              <w:t>计划工期</w:t>
            </w:r>
          </w:p>
        </w:tc>
        <w:tc>
          <w:tcPr>
            <w:tcW w:w="5659" w:type="dxa"/>
            <w:noWrap w:val="0"/>
            <w:vAlign w:val="center"/>
          </w:tcPr>
          <w:p w14:paraId="240D5008">
            <w:pPr>
              <w:spacing w:line="0" w:lineRule="atLeast"/>
              <w:rPr>
                <w:rFonts w:hint="eastAsia" w:ascii="宋体" w:hAnsi="宋体" w:cs="宋体"/>
                <w:szCs w:val="21"/>
                <w:u w:val="single"/>
              </w:rPr>
            </w:pPr>
            <w:r>
              <w:rPr>
                <w:rFonts w:hint="eastAsia" w:ascii="宋体" w:hAnsi="宋体" w:cs="宋体"/>
                <w:szCs w:val="21"/>
              </w:rPr>
              <w:t>总工期</w:t>
            </w:r>
            <w:r>
              <w:rPr>
                <w:rFonts w:hint="eastAsia" w:ascii="宋体" w:hAnsi="宋体" w:cs="宋体"/>
                <w:szCs w:val="21"/>
                <w:u w:val="single"/>
              </w:rPr>
              <w:t>：</w:t>
            </w:r>
            <w:r>
              <w:rPr>
                <w:rFonts w:hint="eastAsia" w:ascii="宋体" w:hAnsi="宋体" w:cs="宋体"/>
                <w:szCs w:val="21"/>
                <w:u w:val="single"/>
                <w:lang w:val="en-US" w:eastAsia="zh-CN"/>
              </w:rPr>
              <w:t>16个月</w:t>
            </w:r>
            <w:r>
              <w:rPr>
                <w:rFonts w:hint="eastAsia" w:ascii="宋体" w:hAnsi="宋体" w:cs="宋体"/>
                <w:szCs w:val="21"/>
                <w:u w:val="single"/>
              </w:rPr>
              <w:t>（具体开工日期以取得施工许可证或招标人发出的进场通知书之日起计算为准实际开工日期以批准的开工报告为准）</w:t>
            </w:r>
          </w:p>
          <w:p w14:paraId="625882D5">
            <w:pPr>
              <w:pStyle w:val="2"/>
              <w:spacing w:before="0" w:after="0" w:line="0" w:lineRule="atLeast"/>
              <w:rPr>
                <w:rFonts w:hint="eastAsia"/>
              </w:rPr>
            </w:pPr>
            <w:r>
              <w:rPr>
                <w:rFonts w:hint="eastAsia" w:ascii="宋体" w:hAnsi="宋体" w:eastAsia="宋体" w:cs="宋体"/>
                <w:b w:val="0"/>
                <w:bCs w:val="0"/>
                <w:sz w:val="21"/>
                <w:szCs w:val="21"/>
                <w:u w:val="single"/>
              </w:rPr>
              <w:t>因涉及医疗腾挪需要，总工期分为两期进行。第一期工程：负一层至14层（其中8至11层、14层装修作为病房改造国债项目腾挪用房性质进行装修）工期约12个月，暂定2025年开工。第二期工程：待病房改造国债项目1号楼新建完成并正式投入使用后，按照实际功能需求再启动3号楼的8至11层、14层的最终装修改造，工期约4个月，二期工程开工时间以甲方开工令为准。最后根据实际验收材料完成竣工验收及备案。</w:t>
            </w:r>
          </w:p>
        </w:tc>
      </w:tr>
      <w:tr w14:paraId="17F67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74224B39">
            <w:pPr>
              <w:jc w:val="center"/>
              <w:rPr>
                <w:rFonts w:hint="eastAsia" w:ascii="宋体" w:hAnsi="宋体" w:cs="宋体"/>
                <w:szCs w:val="21"/>
              </w:rPr>
            </w:pPr>
            <w:r>
              <w:rPr>
                <w:rFonts w:hint="eastAsia" w:ascii="宋体" w:hAnsi="宋体" w:cs="宋体"/>
                <w:szCs w:val="21"/>
              </w:rPr>
              <w:t>1.3.3</w:t>
            </w:r>
          </w:p>
        </w:tc>
        <w:tc>
          <w:tcPr>
            <w:tcW w:w="2353" w:type="dxa"/>
            <w:gridSpan w:val="2"/>
            <w:noWrap w:val="0"/>
            <w:vAlign w:val="center"/>
          </w:tcPr>
          <w:p w14:paraId="6153A382">
            <w:pPr>
              <w:jc w:val="center"/>
              <w:rPr>
                <w:rFonts w:hint="eastAsia" w:ascii="宋体" w:hAnsi="宋体" w:cs="宋体"/>
                <w:szCs w:val="21"/>
              </w:rPr>
            </w:pPr>
            <w:r>
              <w:rPr>
                <w:rFonts w:hint="eastAsia" w:ascii="宋体" w:hAnsi="宋体" w:cs="宋体"/>
                <w:szCs w:val="21"/>
              </w:rPr>
              <w:t>质量标准</w:t>
            </w:r>
          </w:p>
        </w:tc>
        <w:tc>
          <w:tcPr>
            <w:tcW w:w="5659" w:type="dxa"/>
            <w:noWrap w:val="0"/>
            <w:vAlign w:val="center"/>
          </w:tcPr>
          <w:p w14:paraId="3C698EBD">
            <w:pPr>
              <w:adjustRightInd w:val="0"/>
              <w:rPr>
                <w:rFonts w:hint="eastAsia" w:ascii="宋体" w:hAnsi="宋体" w:cs="宋体"/>
                <w:bCs/>
                <w:snapToGrid w:val="0"/>
                <w:kern w:val="0"/>
                <w:szCs w:val="21"/>
              </w:rPr>
            </w:pPr>
            <w:r>
              <w:rPr>
                <w:rFonts w:hint="eastAsia" w:ascii="宋体" w:hAnsi="宋体" w:cs="宋体"/>
                <w:bCs/>
                <w:snapToGrid w:val="0"/>
                <w:kern w:val="0"/>
                <w:szCs w:val="21"/>
              </w:rPr>
              <w:t>1</w:t>
            </w:r>
            <w:r>
              <w:rPr>
                <w:rFonts w:hint="eastAsia" w:ascii="宋体" w:hAnsi="宋体" w:cs="宋体"/>
                <w:szCs w:val="21"/>
              </w:rPr>
              <w:t>．</w:t>
            </w:r>
            <w:r>
              <w:rPr>
                <w:rFonts w:hint="eastAsia" w:ascii="宋体" w:hAnsi="宋体" w:cs="宋体"/>
                <w:bCs/>
                <w:snapToGrid w:val="0"/>
                <w:kern w:val="0"/>
                <w:szCs w:val="21"/>
              </w:rPr>
              <w:t>设计要求：符合《建设工程质量管理条例》、《建设工程勘察设计管理条例》等国家及地方有关工程设计管理法规和规章，达到国家及行业相关规范技术标准等要求。</w:t>
            </w:r>
          </w:p>
          <w:p w14:paraId="18A3E82C">
            <w:pPr>
              <w:adjustRightInd w:val="0"/>
              <w:rPr>
                <w:rFonts w:hint="eastAsia" w:ascii="宋体" w:hAnsi="宋体" w:cs="宋体"/>
                <w:bCs/>
                <w:snapToGrid w:val="0"/>
                <w:kern w:val="0"/>
                <w:szCs w:val="21"/>
              </w:rPr>
            </w:pPr>
            <w:r>
              <w:rPr>
                <w:rFonts w:hint="eastAsia" w:ascii="宋体" w:hAnsi="宋体" w:cs="宋体"/>
                <w:bCs/>
                <w:snapToGrid w:val="0"/>
                <w:kern w:val="0"/>
                <w:szCs w:val="21"/>
              </w:rPr>
              <w:t>2</w:t>
            </w:r>
            <w:r>
              <w:rPr>
                <w:rFonts w:hint="eastAsia" w:ascii="宋体" w:hAnsi="宋体" w:cs="宋体"/>
                <w:szCs w:val="21"/>
              </w:rPr>
              <w:t>．</w:t>
            </w:r>
            <w:r>
              <w:rPr>
                <w:rFonts w:hint="eastAsia" w:ascii="宋体" w:hAnsi="宋体" w:cs="宋体"/>
                <w:bCs/>
                <w:snapToGrid w:val="0"/>
                <w:kern w:val="0"/>
                <w:szCs w:val="21"/>
              </w:rPr>
              <w:t>施工要求：符合设计图纸要求和国家、省、市相关法律法规规定要求及行业颁发的工程质量合格标准。</w:t>
            </w:r>
          </w:p>
        </w:tc>
      </w:tr>
      <w:tr w14:paraId="352A0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165" w:type="dxa"/>
            <w:noWrap w:val="0"/>
            <w:vAlign w:val="center"/>
          </w:tcPr>
          <w:p w14:paraId="30A9B1CF">
            <w:pPr>
              <w:jc w:val="center"/>
              <w:rPr>
                <w:rFonts w:hint="eastAsia" w:ascii="宋体" w:hAnsi="宋体" w:cs="宋体"/>
                <w:szCs w:val="21"/>
              </w:rPr>
            </w:pPr>
            <w:r>
              <w:rPr>
                <w:rFonts w:hint="eastAsia" w:ascii="宋体" w:hAnsi="宋体" w:cs="宋体"/>
                <w:szCs w:val="21"/>
              </w:rPr>
              <w:t>1.4.1</w:t>
            </w:r>
          </w:p>
        </w:tc>
        <w:tc>
          <w:tcPr>
            <w:tcW w:w="2353" w:type="dxa"/>
            <w:gridSpan w:val="2"/>
            <w:noWrap w:val="0"/>
            <w:vAlign w:val="center"/>
          </w:tcPr>
          <w:p w14:paraId="10742159">
            <w:pPr>
              <w:jc w:val="center"/>
              <w:rPr>
                <w:rFonts w:hint="eastAsia" w:ascii="宋体" w:hAnsi="宋体" w:cs="宋体"/>
                <w:szCs w:val="21"/>
              </w:rPr>
            </w:pPr>
            <w:r>
              <w:rPr>
                <w:rFonts w:hint="eastAsia" w:ascii="宋体" w:hAnsi="宋体" w:cs="宋体"/>
                <w:szCs w:val="21"/>
              </w:rPr>
              <w:t>投标人资质条件、能力和信誉</w:t>
            </w:r>
          </w:p>
        </w:tc>
        <w:tc>
          <w:tcPr>
            <w:tcW w:w="5659" w:type="dxa"/>
            <w:noWrap w:val="0"/>
            <w:vAlign w:val="center"/>
          </w:tcPr>
          <w:p w14:paraId="72068E2A">
            <w:pPr>
              <w:rPr>
                <w:rFonts w:hint="eastAsia" w:ascii="新宋体" w:hAnsi="新宋体" w:eastAsia="新宋体" w:cs="新宋体"/>
                <w:szCs w:val="21"/>
              </w:rPr>
            </w:pPr>
            <w:r>
              <w:rPr>
                <w:rFonts w:hint="eastAsia" w:ascii="新宋体" w:hAnsi="新宋体" w:eastAsia="新宋体" w:cs="新宋体"/>
                <w:szCs w:val="21"/>
              </w:rPr>
              <w:t>资质条件：</w:t>
            </w:r>
            <w:r>
              <w:rPr>
                <w:rFonts w:hint="eastAsia" w:ascii="新宋体" w:hAnsi="新宋体" w:eastAsia="新宋体" w:cs="新宋体"/>
                <w:szCs w:val="21"/>
                <w:u w:val="single"/>
              </w:rPr>
              <w:t>见招标公告投标人资格要求</w:t>
            </w:r>
          </w:p>
          <w:p w14:paraId="6701EA6A">
            <w:pPr>
              <w:rPr>
                <w:rFonts w:hint="eastAsia" w:ascii="新宋体" w:hAnsi="新宋体" w:eastAsia="新宋体" w:cs="新宋体"/>
                <w:szCs w:val="21"/>
                <w:u w:val="single"/>
              </w:rPr>
            </w:pPr>
            <w:r>
              <w:rPr>
                <w:rFonts w:hint="eastAsia" w:ascii="新宋体" w:hAnsi="新宋体" w:eastAsia="新宋体" w:cs="新宋体"/>
                <w:szCs w:val="21"/>
              </w:rPr>
              <w:t>财务要求：</w:t>
            </w:r>
            <w:r>
              <w:rPr>
                <w:rFonts w:hint="eastAsia" w:ascii="新宋体" w:hAnsi="新宋体" w:eastAsia="新宋体" w:cs="新宋体"/>
                <w:u w:val="single"/>
              </w:rPr>
              <w:t xml:space="preserve">/  </w:t>
            </w:r>
          </w:p>
          <w:p w14:paraId="69816F3A">
            <w:pPr>
              <w:rPr>
                <w:rFonts w:hint="eastAsia" w:ascii="新宋体" w:hAnsi="新宋体" w:eastAsia="新宋体" w:cs="新宋体"/>
                <w:szCs w:val="21"/>
              </w:rPr>
            </w:pPr>
            <w:r>
              <w:rPr>
                <w:rFonts w:hint="eastAsia" w:ascii="新宋体" w:hAnsi="新宋体" w:eastAsia="新宋体" w:cs="新宋体"/>
                <w:szCs w:val="21"/>
              </w:rPr>
              <w:t>设计业绩要求：</w:t>
            </w:r>
            <w:r>
              <w:rPr>
                <w:rFonts w:hint="eastAsia" w:ascii="新宋体" w:hAnsi="新宋体" w:eastAsia="新宋体" w:cs="新宋体"/>
                <w:u w:val="single"/>
              </w:rPr>
              <w:t xml:space="preserve">/  </w:t>
            </w:r>
          </w:p>
          <w:p w14:paraId="18A66B2A">
            <w:pPr>
              <w:rPr>
                <w:rFonts w:hint="eastAsia" w:ascii="新宋体" w:hAnsi="新宋体" w:eastAsia="新宋体" w:cs="新宋体"/>
                <w:szCs w:val="21"/>
              </w:rPr>
            </w:pPr>
            <w:r>
              <w:rPr>
                <w:rFonts w:hint="eastAsia" w:ascii="新宋体" w:hAnsi="新宋体" w:eastAsia="新宋体" w:cs="新宋体"/>
                <w:szCs w:val="21"/>
              </w:rPr>
              <w:t>施工业绩要求：</w:t>
            </w:r>
            <w:r>
              <w:rPr>
                <w:rFonts w:hint="eastAsia" w:ascii="新宋体" w:hAnsi="新宋体" w:eastAsia="新宋体" w:cs="新宋体"/>
                <w:u w:val="single"/>
              </w:rPr>
              <w:t xml:space="preserve">/  </w:t>
            </w:r>
          </w:p>
          <w:p w14:paraId="02DE5657">
            <w:pPr>
              <w:rPr>
                <w:rFonts w:hint="eastAsia" w:ascii="新宋体" w:hAnsi="新宋体" w:eastAsia="新宋体" w:cs="新宋体"/>
                <w:szCs w:val="21"/>
              </w:rPr>
            </w:pPr>
            <w:r>
              <w:rPr>
                <w:rFonts w:hint="eastAsia" w:ascii="新宋体" w:hAnsi="新宋体" w:eastAsia="新宋体" w:cs="新宋体"/>
                <w:szCs w:val="21"/>
              </w:rPr>
              <w:t>信誉要求：</w:t>
            </w:r>
            <w:r>
              <w:rPr>
                <w:rFonts w:hint="eastAsia" w:ascii="新宋体" w:hAnsi="新宋体" w:eastAsia="新宋体" w:cs="新宋体"/>
                <w:u w:val="single"/>
              </w:rPr>
              <w:t xml:space="preserve">/  </w:t>
            </w:r>
          </w:p>
          <w:p w14:paraId="1E29B0BD">
            <w:pPr>
              <w:rPr>
                <w:rFonts w:hint="eastAsia" w:ascii="新宋体" w:hAnsi="新宋体" w:eastAsia="新宋体" w:cs="新宋体"/>
                <w:szCs w:val="21"/>
                <w:u w:val="single"/>
              </w:rPr>
            </w:pPr>
            <w:r>
              <w:rPr>
                <w:rFonts w:hint="eastAsia" w:ascii="新宋体" w:hAnsi="新宋体" w:eastAsia="新宋体" w:cs="新宋体"/>
                <w:szCs w:val="21"/>
              </w:rPr>
              <w:t>项目负责人（兼施工负责人）的资格要求：</w:t>
            </w:r>
            <w:r>
              <w:rPr>
                <w:rFonts w:hint="eastAsia" w:ascii="新宋体" w:hAnsi="新宋体" w:eastAsia="新宋体" w:cs="新宋体"/>
                <w:szCs w:val="21"/>
                <w:u w:val="single"/>
              </w:rPr>
              <w:t>见招标公告投标人资格要求</w:t>
            </w:r>
          </w:p>
          <w:p w14:paraId="74B55A63">
            <w:pPr>
              <w:rPr>
                <w:rFonts w:hint="eastAsia" w:ascii="新宋体" w:hAnsi="新宋体" w:eastAsia="新宋体" w:cs="新宋体"/>
                <w:szCs w:val="21"/>
              </w:rPr>
            </w:pPr>
            <w:r>
              <w:rPr>
                <w:rFonts w:hint="eastAsia" w:ascii="新宋体" w:hAnsi="新宋体" w:eastAsia="新宋体" w:cs="新宋体"/>
                <w:szCs w:val="21"/>
              </w:rPr>
              <w:t>设计负责人的资格要求：</w:t>
            </w:r>
            <w:r>
              <w:rPr>
                <w:rFonts w:hint="eastAsia" w:ascii="新宋体" w:hAnsi="新宋体" w:eastAsia="新宋体" w:cs="新宋体"/>
                <w:szCs w:val="21"/>
                <w:u w:val="single"/>
              </w:rPr>
              <w:t>见</w:t>
            </w:r>
            <w:bookmarkStart w:id="28" w:name="OLE_LINK1"/>
            <w:r>
              <w:rPr>
                <w:rFonts w:hint="eastAsia" w:ascii="新宋体" w:hAnsi="新宋体" w:eastAsia="新宋体" w:cs="新宋体"/>
                <w:szCs w:val="21"/>
                <w:u w:val="single"/>
              </w:rPr>
              <w:t>招标公告投标人资格要求</w:t>
            </w:r>
            <w:bookmarkEnd w:id="28"/>
          </w:p>
          <w:p w14:paraId="7D6C6BF4">
            <w:pPr>
              <w:rPr>
                <w:rFonts w:hint="eastAsia" w:ascii="新宋体" w:hAnsi="新宋体" w:eastAsia="新宋体" w:cs="新宋体"/>
                <w:strike/>
                <w:szCs w:val="21"/>
              </w:rPr>
            </w:pPr>
            <w:r>
              <w:rPr>
                <w:rFonts w:hint="eastAsia" w:ascii="新宋体" w:hAnsi="新宋体" w:eastAsia="新宋体" w:cs="新宋体"/>
                <w:strike/>
                <w:szCs w:val="21"/>
              </w:rPr>
              <w:t>施工负责人的资格要求：</w:t>
            </w:r>
            <w:r>
              <w:rPr>
                <w:rFonts w:hint="eastAsia" w:ascii="新宋体" w:hAnsi="新宋体" w:eastAsia="新宋体" w:cs="新宋体"/>
                <w:strike/>
                <w:szCs w:val="21"/>
                <w:u w:val="single"/>
              </w:rPr>
              <w:t>见招标公告投标人资格要求</w:t>
            </w:r>
          </w:p>
          <w:p w14:paraId="6E1ACB1F">
            <w:pPr>
              <w:rPr>
                <w:rFonts w:hint="eastAsia" w:ascii="新宋体" w:hAnsi="新宋体" w:eastAsia="新宋体" w:cs="新宋体"/>
              </w:rPr>
            </w:pPr>
            <w:r>
              <w:rPr>
                <w:rFonts w:hint="eastAsia" w:ascii="新宋体" w:hAnsi="新宋体" w:eastAsia="新宋体" w:cs="新宋体"/>
              </w:rPr>
              <w:t>技术负责人资格要求：</w:t>
            </w:r>
            <w:r>
              <w:rPr>
                <w:rFonts w:hint="eastAsia" w:ascii="新宋体" w:hAnsi="新宋体" w:eastAsia="新宋体" w:cs="新宋体"/>
                <w:szCs w:val="21"/>
                <w:u w:val="single"/>
              </w:rPr>
              <w:t>见招标公告投标人资格要求</w:t>
            </w:r>
          </w:p>
          <w:p w14:paraId="67B5D792">
            <w:pPr>
              <w:rPr>
                <w:rFonts w:hint="eastAsia" w:ascii="新宋体" w:hAnsi="新宋体" w:eastAsia="新宋体" w:cs="新宋体"/>
              </w:rPr>
            </w:pPr>
            <w:r>
              <w:rPr>
                <w:rFonts w:hint="eastAsia" w:ascii="新宋体" w:hAnsi="新宋体" w:eastAsia="新宋体" w:cs="新宋体"/>
              </w:rPr>
              <w:t>专职安全员资格要求：</w:t>
            </w:r>
            <w:r>
              <w:rPr>
                <w:rFonts w:hint="eastAsia" w:ascii="新宋体" w:hAnsi="新宋体" w:eastAsia="新宋体" w:cs="新宋体"/>
                <w:szCs w:val="21"/>
                <w:u w:val="single"/>
              </w:rPr>
              <w:t>见招标公告投标人资格要求</w:t>
            </w:r>
          </w:p>
          <w:p w14:paraId="71297D36">
            <w:pPr>
              <w:rPr>
                <w:rFonts w:hint="eastAsia" w:ascii="新宋体" w:hAnsi="新宋体" w:eastAsia="新宋体" w:cs="新宋体"/>
                <w:szCs w:val="21"/>
              </w:rPr>
            </w:pPr>
            <w:r>
              <w:rPr>
                <w:rFonts w:hint="eastAsia" w:ascii="新宋体" w:hAnsi="新宋体" w:eastAsia="新宋体" w:cs="新宋体"/>
                <w:szCs w:val="21"/>
              </w:rPr>
              <w:t>项目管理机构及人员：</w:t>
            </w:r>
            <w:r>
              <w:rPr>
                <w:rFonts w:hint="eastAsia" w:ascii="新宋体" w:hAnsi="新宋体" w:eastAsia="新宋体" w:cs="新宋体"/>
                <w:u w:val="single"/>
              </w:rPr>
              <w:t xml:space="preserve">/  </w:t>
            </w:r>
          </w:p>
          <w:p w14:paraId="6059690E">
            <w:pPr>
              <w:rPr>
                <w:rFonts w:hint="eastAsia" w:ascii="宋体" w:hAnsi="宋体" w:cs="宋体"/>
                <w:szCs w:val="21"/>
              </w:rPr>
            </w:pPr>
            <w:r>
              <w:rPr>
                <w:rFonts w:hint="eastAsia" w:ascii="新宋体" w:hAnsi="新宋体" w:eastAsia="新宋体" w:cs="新宋体"/>
                <w:szCs w:val="21"/>
              </w:rPr>
              <w:t>其他要求：</w:t>
            </w:r>
            <w:r>
              <w:rPr>
                <w:rFonts w:hint="eastAsia" w:ascii="新宋体" w:hAnsi="新宋体" w:eastAsia="新宋体" w:cs="新宋体"/>
                <w:szCs w:val="21"/>
                <w:u w:val="single"/>
              </w:rPr>
              <w:t>见招标公告投标人资格要求</w:t>
            </w:r>
          </w:p>
        </w:tc>
      </w:tr>
      <w:tr w14:paraId="6158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44357D4A">
            <w:pPr>
              <w:jc w:val="center"/>
              <w:rPr>
                <w:rFonts w:hint="eastAsia" w:ascii="宋体" w:hAnsi="宋体" w:cs="宋体"/>
                <w:szCs w:val="21"/>
              </w:rPr>
            </w:pPr>
            <w:r>
              <w:rPr>
                <w:rFonts w:hint="eastAsia" w:ascii="宋体" w:hAnsi="宋体" w:cs="宋体"/>
                <w:szCs w:val="21"/>
              </w:rPr>
              <w:t>1.4.2</w:t>
            </w:r>
          </w:p>
        </w:tc>
        <w:tc>
          <w:tcPr>
            <w:tcW w:w="2353" w:type="dxa"/>
            <w:gridSpan w:val="2"/>
            <w:noWrap w:val="0"/>
            <w:vAlign w:val="center"/>
          </w:tcPr>
          <w:p w14:paraId="03C349F3">
            <w:pPr>
              <w:jc w:val="center"/>
              <w:rPr>
                <w:rFonts w:hint="eastAsia" w:ascii="宋体" w:hAnsi="宋体" w:cs="宋体"/>
                <w:szCs w:val="21"/>
              </w:rPr>
            </w:pPr>
            <w:r>
              <w:rPr>
                <w:rFonts w:hint="eastAsia" w:ascii="宋体" w:hAnsi="宋体" w:cs="宋体"/>
                <w:szCs w:val="21"/>
              </w:rPr>
              <w:t>是否接受联合体投标</w:t>
            </w:r>
          </w:p>
        </w:tc>
        <w:tc>
          <w:tcPr>
            <w:tcW w:w="5659" w:type="dxa"/>
            <w:noWrap w:val="0"/>
            <w:vAlign w:val="center"/>
          </w:tcPr>
          <w:p w14:paraId="498F0917">
            <w:pPr>
              <w:pStyle w:val="8"/>
              <w:topLinePunct/>
              <w:rPr>
                <w:rFonts w:hint="eastAsia" w:hAnsi="宋体" w:cs="宋体"/>
                <w:sz w:val="21"/>
                <w:szCs w:val="21"/>
              </w:rPr>
            </w:pPr>
            <w:r>
              <w:rPr>
                <w:rFonts w:hint="eastAsia" w:hAnsi="宋体" w:cs="宋体"/>
                <w:sz w:val="21"/>
                <w:szCs w:val="21"/>
              </w:rPr>
              <w:t>□不接受</w:t>
            </w:r>
          </w:p>
          <w:p w14:paraId="02BF498C">
            <w:pPr>
              <w:rPr>
                <w:rFonts w:hint="eastAsia" w:ascii="宋体" w:hAnsi="宋体" w:cs="宋体"/>
                <w:szCs w:val="21"/>
              </w:rPr>
            </w:pPr>
            <w:r>
              <w:rPr>
                <w:rFonts w:hint="eastAsia" w:ascii="宋体" w:hAnsi="宋体" w:cs="宋体"/>
                <w:kern w:val="0"/>
                <w:szCs w:val="21"/>
              </w:rPr>
              <w:t>■</w:t>
            </w:r>
            <w:r>
              <w:rPr>
                <w:rFonts w:hint="eastAsia" w:ascii="宋体" w:hAnsi="宋体" w:cs="宋体"/>
                <w:szCs w:val="21"/>
              </w:rPr>
              <w:t>接受，应满足下列要求：</w:t>
            </w:r>
            <w:r>
              <w:rPr>
                <w:rFonts w:hint="eastAsia" w:ascii="宋体" w:hAnsi="宋体" w:cs="宋体"/>
                <w:kern w:val="0"/>
                <w:szCs w:val="21"/>
                <w:u w:val="single"/>
              </w:rPr>
              <w:t>见本项目招标公告要求</w:t>
            </w:r>
          </w:p>
        </w:tc>
      </w:tr>
      <w:tr w14:paraId="2FB1A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00B54E29">
            <w:pPr>
              <w:jc w:val="center"/>
              <w:rPr>
                <w:rFonts w:hint="eastAsia" w:ascii="宋体" w:hAnsi="宋体" w:cs="宋体"/>
                <w:szCs w:val="21"/>
              </w:rPr>
            </w:pPr>
            <w:r>
              <w:rPr>
                <w:rFonts w:hint="eastAsia" w:ascii="宋体" w:hAnsi="宋体" w:cs="宋体"/>
                <w:szCs w:val="21"/>
              </w:rPr>
              <w:t>1.5</w:t>
            </w:r>
          </w:p>
        </w:tc>
        <w:tc>
          <w:tcPr>
            <w:tcW w:w="2353" w:type="dxa"/>
            <w:gridSpan w:val="2"/>
            <w:noWrap w:val="0"/>
            <w:vAlign w:val="center"/>
          </w:tcPr>
          <w:p w14:paraId="5B4452B0">
            <w:pPr>
              <w:jc w:val="center"/>
              <w:rPr>
                <w:rFonts w:hint="eastAsia" w:ascii="宋体" w:hAnsi="宋体" w:cs="宋体"/>
                <w:szCs w:val="21"/>
              </w:rPr>
            </w:pPr>
            <w:r>
              <w:rPr>
                <w:rFonts w:hint="eastAsia" w:ascii="宋体" w:hAnsi="宋体" w:cs="宋体"/>
                <w:szCs w:val="21"/>
              </w:rPr>
              <w:t>费用承担和设计成果补偿</w:t>
            </w:r>
          </w:p>
        </w:tc>
        <w:tc>
          <w:tcPr>
            <w:tcW w:w="5659" w:type="dxa"/>
            <w:noWrap w:val="0"/>
            <w:vAlign w:val="center"/>
          </w:tcPr>
          <w:p w14:paraId="179CBC46">
            <w:pPr>
              <w:rPr>
                <w:rFonts w:hint="eastAsia" w:ascii="宋体" w:hAnsi="宋体" w:cs="宋体"/>
                <w:szCs w:val="21"/>
              </w:rPr>
            </w:pPr>
            <w:r>
              <w:rPr>
                <w:rFonts w:hint="eastAsia" w:ascii="宋体" w:hAnsi="宋体" w:cs="宋体"/>
                <w:szCs w:val="21"/>
              </w:rPr>
              <w:t>■不补偿</w:t>
            </w:r>
          </w:p>
          <w:p w14:paraId="57FB624E">
            <w:pPr>
              <w:rPr>
                <w:rFonts w:hint="eastAsia" w:ascii="宋体" w:hAnsi="宋体" w:cs="宋体"/>
                <w:szCs w:val="21"/>
              </w:rPr>
            </w:pPr>
            <w:r>
              <w:rPr>
                <w:rFonts w:hint="eastAsia" w:ascii="宋体" w:hAnsi="宋体" w:cs="宋体"/>
                <w:kern w:val="0"/>
                <w:szCs w:val="21"/>
              </w:rPr>
              <w:t>□</w:t>
            </w:r>
            <w:r>
              <w:rPr>
                <w:rFonts w:hint="eastAsia" w:ascii="宋体" w:hAnsi="宋体" w:cs="宋体"/>
                <w:szCs w:val="21"/>
              </w:rPr>
              <w:t>补偿，补偿标准：见</w:t>
            </w:r>
            <w:r>
              <w:rPr>
                <w:rFonts w:hint="eastAsia" w:ascii="宋体" w:hAnsi="宋体" w:cs="宋体"/>
                <w:kern w:val="0"/>
                <w:szCs w:val="21"/>
              </w:rPr>
              <w:t>本项目</w:t>
            </w:r>
            <w:r>
              <w:rPr>
                <w:rFonts w:hint="eastAsia" w:ascii="宋体" w:hAnsi="宋体" w:cs="宋体"/>
                <w:szCs w:val="21"/>
              </w:rPr>
              <w:t>招标公告</w:t>
            </w:r>
          </w:p>
        </w:tc>
      </w:tr>
      <w:tr w14:paraId="242BD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7E554F1D">
            <w:pPr>
              <w:jc w:val="center"/>
              <w:rPr>
                <w:rFonts w:hint="eastAsia" w:ascii="宋体" w:hAnsi="宋体" w:cs="宋体"/>
                <w:szCs w:val="21"/>
              </w:rPr>
            </w:pPr>
            <w:r>
              <w:rPr>
                <w:rFonts w:hint="eastAsia" w:ascii="宋体" w:hAnsi="宋体" w:cs="宋体"/>
                <w:szCs w:val="21"/>
              </w:rPr>
              <w:t>1.9.1</w:t>
            </w:r>
          </w:p>
        </w:tc>
        <w:tc>
          <w:tcPr>
            <w:tcW w:w="2353" w:type="dxa"/>
            <w:gridSpan w:val="2"/>
            <w:noWrap w:val="0"/>
            <w:vAlign w:val="center"/>
          </w:tcPr>
          <w:p w14:paraId="70D3CB7F">
            <w:pPr>
              <w:jc w:val="center"/>
              <w:rPr>
                <w:rFonts w:hint="eastAsia" w:ascii="宋体" w:hAnsi="宋体" w:cs="宋体"/>
                <w:szCs w:val="21"/>
              </w:rPr>
            </w:pPr>
            <w:r>
              <w:rPr>
                <w:rFonts w:hint="eastAsia" w:ascii="宋体" w:hAnsi="宋体" w:cs="宋体"/>
                <w:szCs w:val="21"/>
              </w:rPr>
              <w:t>踏勘</w:t>
            </w:r>
          </w:p>
        </w:tc>
        <w:tc>
          <w:tcPr>
            <w:tcW w:w="5659" w:type="dxa"/>
            <w:noWrap w:val="0"/>
            <w:vAlign w:val="center"/>
          </w:tcPr>
          <w:p w14:paraId="1B9D0C63">
            <w:pPr>
              <w:rPr>
                <w:rFonts w:hint="eastAsia" w:ascii="宋体" w:hAnsi="宋体" w:cs="宋体"/>
                <w:szCs w:val="21"/>
              </w:rPr>
            </w:pPr>
            <w:r>
              <w:rPr>
                <w:rFonts w:hint="eastAsia" w:ascii="宋体" w:hAnsi="宋体" w:cs="宋体"/>
                <w:kern w:val="0"/>
                <w:szCs w:val="21"/>
              </w:rPr>
              <w:t>■</w:t>
            </w:r>
            <w:r>
              <w:rPr>
                <w:rFonts w:hint="eastAsia" w:ascii="宋体" w:hAnsi="宋体" w:cs="宋体"/>
                <w:szCs w:val="21"/>
              </w:rPr>
              <w:t>不组织：自行踏勘。</w:t>
            </w:r>
          </w:p>
          <w:p w14:paraId="2033100A">
            <w:pPr>
              <w:rPr>
                <w:rFonts w:hint="eastAsia" w:ascii="宋体" w:hAnsi="宋体" w:cs="宋体"/>
                <w:szCs w:val="21"/>
                <w:u w:val="single"/>
              </w:rPr>
            </w:pPr>
            <w:r>
              <w:rPr>
                <w:rFonts w:hint="eastAsia" w:ascii="宋体" w:hAnsi="宋体" w:cs="宋体"/>
                <w:szCs w:val="21"/>
              </w:rPr>
              <w:t>□组织，踏勘时间：</w:t>
            </w:r>
          </w:p>
          <w:p w14:paraId="2B04C259">
            <w:pPr>
              <w:rPr>
                <w:rFonts w:hint="eastAsia" w:ascii="宋体" w:hAnsi="宋体" w:cs="宋体"/>
                <w:szCs w:val="21"/>
              </w:rPr>
            </w:pPr>
            <w:r>
              <w:rPr>
                <w:rFonts w:hint="eastAsia" w:ascii="宋体" w:hAnsi="宋体" w:cs="宋体"/>
                <w:szCs w:val="21"/>
              </w:rPr>
              <w:t>踏勘集中地点：</w:t>
            </w:r>
          </w:p>
        </w:tc>
      </w:tr>
      <w:tr w14:paraId="6A7C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65" w:type="dxa"/>
            <w:noWrap w:val="0"/>
            <w:vAlign w:val="center"/>
          </w:tcPr>
          <w:p w14:paraId="3C98F94A">
            <w:pPr>
              <w:jc w:val="center"/>
              <w:rPr>
                <w:rFonts w:hint="eastAsia" w:ascii="宋体" w:hAnsi="宋体" w:cs="宋体"/>
                <w:szCs w:val="21"/>
              </w:rPr>
            </w:pPr>
            <w:r>
              <w:rPr>
                <w:rFonts w:hint="eastAsia" w:ascii="宋体" w:hAnsi="宋体" w:cs="宋体"/>
                <w:szCs w:val="21"/>
              </w:rPr>
              <w:t>1.10.1</w:t>
            </w:r>
          </w:p>
        </w:tc>
        <w:tc>
          <w:tcPr>
            <w:tcW w:w="2353" w:type="dxa"/>
            <w:gridSpan w:val="2"/>
            <w:noWrap w:val="0"/>
            <w:vAlign w:val="center"/>
          </w:tcPr>
          <w:p w14:paraId="42BA6590">
            <w:pPr>
              <w:jc w:val="center"/>
              <w:rPr>
                <w:rFonts w:hint="eastAsia" w:ascii="宋体" w:hAnsi="宋体" w:cs="宋体"/>
                <w:szCs w:val="21"/>
              </w:rPr>
            </w:pPr>
            <w:r>
              <w:rPr>
                <w:rFonts w:hint="eastAsia" w:ascii="宋体" w:hAnsi="宋体" w:cs="宋体"/>
                <w:szCs w:val="21"/>
              </w:rPr>
              <w:t>投标预备会</w:t>
            </w:r>
          </w:p>
        </w:tc>
        <w:tc>
          <w:tcPr>
            <w:tcW w:w="5659" w:type="dxa"/>
            <w:noWrap w:val="0"/>
            <w:vAlign w:val="center"/>
          </w:tcPr>
          <w:p w14:paraId="5181ED3E">
            <w:pPr>
              <w:pStyle w:val="8"/>
              <w:topLinePunct/>
              <w:rPr>
                <w:rFonts w:hint="eastAsia" w:hAnsi="宋体" w:cs="宋体"/>
                <w:sz w:val="21"/>
                <w:szCs w:val="21"/>
              </w:rPr>
            </w:pPr>
            <w:r>
              <w:rPr>
                <w:rFonts w:hint="eastAsia" w:hAnsi="宋体" w:cs="宋体"/>
                <w:sz w:val="21"/>
                <w:szCs w:val="21"/>
              </w:rPr>
              <w:t>■不召开</w:t>
            </w:r>
          </w:p>
          <w:p w14:paraId="04F3518D">
            <w:pPr>
              <w:widowControl/>
              <w:rPr>
                <w:rFonts w:hint="eastAsia" w:ascii="宋体" w:hAnsi="宋体" w:cs="宋体"/>
                <w:kern w:val="0"/>
                <w:szCs w:val="21"/>
              </w:rPr>
            </w:pPr>
            <w:r>
              <w:rPr>
                <w:rFonts w:hint="eastAsia" w:ascii="宋体" w:hAnsi="宋体" w:cs="宋体"/>
                <w:szCs w:val="21"/>
              </w:rPr>
              <w:t>□</w:t>
            </w:r>
            <w:r>
              <w:rPr>
                <w:rFonts w:hint="eastAsia" w:ascii="宋体" w:hAnsi="宋体" w:cs="宋体"/>
                <w:kern w:val="0"/>
                <w:szCs w:val="21"/>
              </w:rPr>
              <w:t>召开，召开时间：另行通知</w:t>
            </w:r>
          </w:p>
          <w:p w14:paraId="34ABE30D">
            <w:pPr>
              <w:rPr>
                <w:rFonts w:hint="eastAsia" w:ascii="宋体" w:hAnsi="宋体" w:cs="宋体"/>
                <w:szCs w:val="21"/>
              </w:rPr>
            </w:pPr>
            <w:r>
              <w:rPr>
                <w:rFonts w:hint="eastAsia" w:ascii="宋体" w:hAnsi="宋体" w:cs="宋体"/>
                <w:kern w:val="0"/>
                <w:szCs w:val="21"/>
              </w:rPr>
              <w:t>召开地点</w:t>
            </w:r>
            <w:r>
              <w:rPr>
                <w:rFonts w:hint="eastAsia" w:ascii="宋体" w:hAnsi="宋体" w:cs="宋体"/>
                <w:szCs w:val="21"/>
              </w:rPr>
              <w:t>：</w:t>
            </w:r>
          </w:p>
        </w:tc>
      </w:tr>
      <w:tr w14:paraId="37158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0B760B09">
            <w:pPr>
              <w:jc w:val="center"/>
              <w:rPr>
                <w:rFonts w:hint="eastAsia" w:ascii="宋体" w:hAnsi="宋体" w:cs="宋体"/>
                <w:szCs w:val="21"/>
              </w:rPr>
            </w:pPr>
            <w:r>
              <w:rPr>
                <w:rFonts w:hint="eastAsia" w:ascii="宋体" w:hAnsi="宋体" w:cs="宋体"/>
                <w:szCs w:val="21"/>
              </w:rPr>
              <w:t>1.10.2</w:t>
            </w:r>
          </w:p>
        </w:tc>
        <w:tc>
          <w:tcPr>
            <w:tcW w:w="2353" w:type="dxa"/>
            <w:gridSpan w:val="2"/>
            <w:noWrap w:val="0"/>
            <w:vAlign w:val="center"/>
          </w:tcPr>
          <w:p w14:paraId="1D791BDD">
            <w:pPr>
              <w:jc w:val="center"/>
              <w:rPr>
                <w:rFonts w:hint="eastAsia" w:ascii="宋体" w:hAnsi="宋体" w:cs="宋体"/>
                <w:szCs w:val="21"/>
              </w:rPr>
            </w:pPr>
            <w:r>
              <w:rPr>
                <w:rFonts w:hint="eastAsia" w:ascii="宋体" w:hAnsi="宋体" w:cs="宋体"/>
                <w:szCs w:val="21"/>
              </w:rPr>
              <w:t>投标人提出问题的截止时间</w:t>
            </w:r>
          </w:p>
        </w:tc>
        <w:tc>
          <w:tcPr>
            <w:tcW w:w="5659" w:type="dxa"/>
            <w:noWrap w:val="0"/>
            <w:vAlign w:val="center"/>
          </w:tcPr>
          <w:p w14:paraId="0BA73686">
            <w:pPr>
              <w:rPr>
                <w:rFonts w:hint="eastAsia" w:ascii="宋体" w:hAnsi="宋体" w:cs="宋体"/>
                <w:kern w:val="0"/>
                <w:szCs w:val="21"/>
              </w:rPr>
            </w:pPr>
            <w:r>
              <w:rPr>
                <w:rFonts w:hint="eastAsia" w:ascii="宋体" w:hAnsi="宋体" w:cs="宋体"/>
                <w:kern w:val="0"/>
                <w:szCs w:val="21"/>
              </w:rPr>
              <w:t>时间：在提交投标文件截止时间18天前提出。</w:t>
            </w:r>
          </w:p>
          <w:p w14:paraId="4DBC462D">
            <w:pPr>
              <w:rPr>
                <w:rFonts w:hint="eastAsia" w:ascii="宋体" w:hAnsi="宋体" w:cs="宋体"/>
                <w:kern w:val="0"/>
                <w:szCs w:val="21"/>
              </w:rPr>
            </w:pPr>
            <w:r>
              <w:rPr>
                <w:rFonts w:hint="eastAsia" w:ascii="宋体" w:hAnsi="宋体" w:cs="宋体"/>
                <w:kern w:val="0"/>
                <w:szCs w:val="21"/>
              </w:rPr>
              <w:t>形式：投标人疑问通过网上提交。</w:t>
            </w:r>
          </w:p>
          <w:p w14:paraId="7E8F5450">
            <w:pPr>
              <w:rPr>
                <w:rFonts w:hint="eastAsia" w:ascii="宋体" w:hAnsi="宋体" w:cs="宋体"/>
                <w:szCs w:val="21"/>
              </w:rPr>
            </w:pPr>
            <w:r>
              <w:rPr>
                <w:rFonts w:hint="eastAsia" w:ascii="宋体" w:hAnsi="宋体" w:cs="宋体"/>
                <w:kern w:val="0"/>
                <w:szCs w:val="21"/>
              </w:rPr>
              <w:t>具体操作方法详见《建设工程全流程电子化项目操作指南》。</w:t>
            </w:r>
          </w:p>
        </w:tc>
      </w:tr>
      <w:tr w14:paraId="4754F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7A9CDA76">
            <w:pPr>
              <w:jc w:val="center"/>
              <w:rPr>
                <w:rFonts w:hint="eastAsia" w:ascii="宋体" w:hAnsi="宋体" w:cs="宋体"/>
                <w:szCs w:val="21"/>
              </w:rPr>
            </w:pPr>
            <w:r>
              <w:rPr>
                <w:rFonts w:hint="eastAsia" w:ascii="宋体" w:hAnsi="宋体" w:cs="宋体"/>
                <w:szCs w:val="21"/>
              </w:rPr>
              <w:t>1.10.3</w:t>
            </w:r>
          </w:p>
        </w:tc>
        <w:tc>
          <w:tcPr>
            <w:tcW w:w="2353" w:type="dxa"/>
            <w:gridSpan w:val="2"/>
            <w:noWrap w:val="0"/>
            <w:vAlign w:val="center"/>
          </w:tcPr>
          <w:p w14:paraId="631CF4CF">
            <w:pPr>
              <w:jc w:val="center"/>
              <w:rPr>
                <w:rFonts w:hint="eastAsia" w:ascii="宋体" w:hAnsi="宋体" w:cs="宋体"/>
                <w:szCs w:val="21"/>
              </w:rPr>
            </w:pPr>
            <w:r>
              <w:rPr>
                <w:rFonts w:hint="eastAsia" w:ascii="宋体" w:hAnsi="宋体" w:cs="宋体"/>
                <w:szCs w:val="21"/>
              </w:rPr>
              <w:t>招标人书面澄清的时间</w:t>
            </w:r>
          </w:p>
        </w:tc>
        <w:tc>
          <w:tcPr>
            <w:tcW w:w="5659" w:type="dxa"/>
            <w:noWrap w:val="0"/>
            <w:vAlign w:val="center"/>
          </w:tcPr>
          <w:p w14:paraId="4C52F3DC">
            <w:pPr>
              <w:rPr>
                <w:rFonts w:hint="eastAsia" w:ascii="宋体" w:hAnsi="宋体" w:cs="宋体"/>
                <w:szCs w:val="21"/>
              </w:rPr>
            </w:pPr>
            <w:r>
              <w:rPr>
                <w:rFonts w:hint="eastAsia" w:ascii="宋体" w:hAnsi="宋体" w:cs="宋体"/>
                <w:szCs w:val="21"/>
              </w:rPr>
              <w:t>投标截止时间15天前</w:t>
            </w:r>
          </w:p>
        </w:tc>
      </w:tr>
      <w:tr w14:paraId="51888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5" w:type="dxa"/>
            <w:noWrap w:val="0"/>
            <w:vAlign w:val="center"/>
          </w:tcPr>
          <w:p w14:paraId="75DB3DC5">
            <w:pPr>
              <w:jc w:val="center"/>
              <w:rPr>
                <w:rFonts w:hint="eastAsia" w:ascii="宋体" w:hAnsi="宋体" w:cs="宋体"/>
                <w:szCs w:val="21"/>
              </w:rPr>
            </w:pPr>
            <w:r>
              <w:rPr>
                <w:rFonts w:hint="eastAsia" w:ascii="宋体" w:hAnsi="宋体" w:cs="宋体"/>
                <w:szCs w:val="21"/>
              </w:rPr>
              <w:t>1.11.1</w:t>
            </w:r>
          </w:p>
        </w:tc>
        <w:tc>
          <w:tcPr>
            <w:tcW w:w="2353" w:type="dxa"/>
            <w:gridSpan w:val="2"/>
            <w:noWrap w:val="0"/>
            <w:vAlign w:val="center"/>
          </w:tcPr>
          <w:p w14:paraId="321D8240">
            <w:pPr>
              <w:jc w:val="center"/>
              <w:rPr>
                <w:rFonts w:hint="eastAsia" w:ascii="宋体" w:hAnsi="宋体" w:cs="宋体"/>
                <w:szCs w:val="21"/>
              </w:rPr>
            </w:pPr>
            <w:r>
              <w:rPr>
                <w:rFonts w:hint="eastAsia" w:ascii="宋体" w:hAnsi="宋体" w:cs="宋体"/>
                <w:szCs w:val="21"/>
              </w:rPr>
              <w:t>招标人规定由分包人承担的工作</w:t>
            </w:r>
          </w:p>
        </w:tc>
        <w:tc>
          <w:tcPr>
            <w:tcW w:w="5659" w:type="dxa"/>
            <w:noWrap w:val="0"/>
            <w:vAlign w:val="center"/>
          </w:tcPr>
          <w:p w14:paraId="7447994A">
            <w:pPr>
              <w:rPr>
                <w:rFonts w:hint="eastAsia" w:ascii="宋体" w:hAnsi="宋体" w:cs="宋体"/>
                <w:szCs w:val="21"/>
              </w:rPr>
            </w:pPr>
            <w:r>
              <w:rPr>
                <w:rFonts w:hint="eastAsia" w:ascii="宋体" w:hAnsi="宋体" w:cs="宋体"/>
                <w:szCs w:val="21"/>
              </w:rPr>
              <w:t>无</w:t>
            </w:r>
          </w:p>
        </w:tc>
      </w:tr>
      <w:tr w14:paraId="18D06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0AE4B220">
            <w:pPr>
              <w:jc w:val="center"/>
              <w:rPr>
                <w:rFonts w:hint="eastAsia" w:ascii="宋体" w:hAnsi="宋体" w:cs="宋体"/>
                <w:szCs w:val="21"/>
              </w:rPr>
            </w:pPr>
            <w:r>
              <w:rPr>
                <w:rFonts w:hint="eastAsia" w:ascii="宋体" w:hAnsi="宋体" w:cs="宋体"/>
                <w:szCs w:val="21"/>
              </w:rPr>
              <w:t>1.11.2</w:t>
            </w:r>
          </w:p>
        </w:tc>
        <w:tc>
          <w:tcPr>
            <w:tcW w:w="2353" w:type="dxa"/>
            <w:gridSpan w:val="2"/>
            <w:noWrap w:val="0"/>
            <w:vAlign w:val="center"/>
          </w:tcPr>
          <w:p w14:paraId="3837B5EE">
            <w:pPr>
              <w:jc w:val="center"/>
              <w:rPr>
                <w:rFonts w:hint="eastAsia" w:ascii="宋体" w:hAnsi="宋体" w:cs="宋体"/>
                <w:szCs w:val="21"/>
              </w:rPr>
            </w:pPr>
            <w:r>
              <w:rPr>
                <w:rFonts w:hint="eastAsia" w:ascii="宋体" w:hAnsi="宋体" w:cs="宋体"/>
                <w:szCs w:val="21"/>
              </w:rPr>
              <w:t>投标人拟分包的工作</w:t>
            </w:r>
          </w:p>
        </w:tc>
        <w:tc>
          <w:tcPr>
            <w:tcW w:w="5659" w:type="dxa"/>
            <w:noWrap w:val="0"/>
            <w:vAlign w:val="center"/>
          </w:tcPr>
          <w:p w14:paraId="6092CD17">
            <w:pPr>
              <w:topLinePunct/>
              <w:rPr>
                <w:rFonts w:hint="eastAsia" w:hAnsi="宋体" w:cs="宋体"/>
                <w:szCs w:val="21"/>
              </w:rPr>
            </w:pPr>
            <w:r>
              <w:rPr>
                <w:rFonts w:hint="eastAsia" w:hAnsi="宋体" w:cs="宋体"/>
                <w:szCs w:val="21"/>
              </w:rPr>
              <w:t>□不允许</w:t>
            </w:r>
          </w:p>
          <w:p w14:paraId="57F7690A">
            <w:pPr>
              <w:rPr>
                <w:rFonts w:hint="eastAsia" w:ascii="宋体" w:hAnsi="宋体" w:cs="宋体"/>
                <w:szCs w:val="21"/>
              </w:rPr>
            </w:pPr>
            <w:r>
              <w:rPr>
                <w:rFonts w:hint="eastAsia" w:hAnsi="宋体" w:cs="宋体"/>
                <w:szCs w:val="21"/>
              </w:rPr>
              <w:t>■允许，</w:t>
            </w:r>
            <w:r>
              <w:rPr>
                <w:rFonts w:hint="eastAsia" w:ascii="宋体" w:hAnsi="宋体" w:cs="宋体"/>
                <w:szCs w:val="21"/>
              </w:rPr>
              <w:t>对于非主体、非关键性工程，承包人不具备相应资质的，需经招标人审核批准后分包给具有相应资质和能力的专业单位实施，但不得再次分包。</w:t>
            </w:r>
          </w:p>
        </w:tc>
      </w:tr>
      <w:tr w14:paraId="7A80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63F86182">
            <w:pPr>
              <w:jc w:val="center"/>
              <w:rPr>
                <w:rFonts w:hint="eastAsia" w:ascii="宋体" w:hAnsi="宋体" w:cs="宋体"/>
                <w:szCs w:val="21"/>
              </w:rPr>
            </w:pPr>
            <w:r>
              <w:rPr>
                <w:rFonts w:hint="eastAsia" w:ascii="宋体" w:hAnsi="宋体" w:cs="宋体"/>
                <w:szCs w:val="21"/>
              </w:rPr>
              <w:t>1.12</w:t>
            </w:r>
          </w:p>
        </w:tc>
        <w:tc>
          <w:tcPr>
            <w:tcW w:w="2353" w:type="dxa"/>
            <w:gridSpan w:val="2"/>
            <w:noWrap w:val="0"/>
            <w:vAlign w:val="center"/>
          </w:tcPr>
          <w:p w14:paraId="202105B9">
            <w:pPr>
              <w:jc w:val="center"/>
              <w:rPr>
                <w:rFonts w:hint="eastAsia" w:ascii="宋体" w:hAnsi="宋体" w:cs="宋体"/>
                <w:szCs w:val="21"/>
              </w:rPr>
            </w:pPr>
            <w:r>
              <w:rPr>
                <w:rFonts w:hint="eastAsia" w:ascii="宋体" w:hAnsi="宋体" w:cs="宋体"/>
                <w:szCs w:val="21"/>
              </w:rPr>
              <w:t>偏离</w:t>
            </w:r>
          </w:p>
        </w:tc>
        <w:tc>
          <w:tcPr>
            <w:tcW w:w="5659" w:type="dxa"/>
            <w:noWrap w:val="0"/>
            <w:vAlign w:val="center"/>
          </w:tcPr>
          <w:p w14:paraId="6B562F42">
            <w:pPr>
              <w:pStyle w:val="8"/>
              <w:topLinePunct/>
              <w:rPr>
                <w:rFonts w:hint="eastAsia" w:hAnsi="宋体" w:cs="宋体"/>
                <w:sz w:val="21"/>
                <w:szCs w:val="21"/>
              </w:rPr>
            </w:pPr>
            <w:r>
              <w:rPr>
                <w:rFonts w:hint="eastAsia" w:hAnsi="宋体" w:cs="宋体"/>
                <w:sz w:val="21"/>
                <w:szCs w:val="21"/>
              </w:rPr>
              <w:t>■不允许</w:t>
            </w:r>
          </w:p>
          <w:p w14:paraId="34EEAF63">
            <w:pPr>
              <w:pStyle w:val="8"/>
              <w:topLinePunct/>
              <w:rPr>
                <w:rFonts w:hint="eastAsia" w:hAnsi="宋体" w:cs="宋体"/>
                <w:sz w:val="21"/>
                <w:szCs w:val="21"/>
              </w:rPr>
            </w:pPr>
            <w:r>
              <w:rPr>
                <w:rFonts w:hint="eastAsia" w:hAnsi="宋体" w:cs="宋体"/>
                <w:sz w:val="21"/>
                <w:szCs w:val="21"/>
              </w:rPr>
              <w:t>□允许，允许偏离的内容、偏离范围和幅度：</w:t>
            </w:r>
          </w:p>
        </w:tc>
      </w:tr>
      <w:tr w14:paraId="0236D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594BE368">
            <w:pPr>
              <w:jc w:val="center"/>
              <w:rPr>
                <w:rFonts w:hint="eastAsia" w:ascii="宋体" w:hAnsi="宋体" w:cs="宋体"/>
                <w:szCs w:val="21"/>
              </w:rPr>
            </w:pPr>
            <w:r>
              <w:rPr>
                <w:rFonts w:hint="eastAsia" w:ascii="宋体" w:hAnsi="宋体" w:cs="宋体"/>
                <w:szCs w:val="21"/>
              </w:rPr>
              <w:t>2.1</w:t>
            </w:r>
          </w:p>
        </w:tc>
        <w:tc>
          <w:tcPr>
            <w:tcW w:w="2353" w:type="dxa"/>
            <w:gridSpan w:val="2"/>
            <w:noWrap w:val="0"/>
            <w:vAlign w:val="center"/>
          </w:tcPr>
          <w:p w14:paraId="14FA45F8">
            <w:pPr>
              <w:jc w:val="center"/>
              <w:rPr>
                <w:rFonts w:hint="eastAsia" w:ascii="宋体" w:hAnsi="宋体" w:cs="宋体"/>
                <w:szCs w:val="21"/>
              </w:rPr>
            </w:pPr>
            <w:r>
              <w:rPr>
                <w:rFonts w:hint="eastAsia" w:ascii="宋体" w:hAnsi="宋体" w:cs="宋体"/>
                <w:szCs w:val="21"/>
              </w:rPr>
              <w:t>构成招标文件的其他资料</w:t>
            </w:r>
          </w:p>
        </w:tc>
        <w:tc>
          <w:tcPr>
            <w:tcW w:w="5659" w:type="dxa"/>
            <w:noWrap w:val="0"/>
            <w:vAlign w:val="center"/>
          </w:tcPr>
          <w:p w14:paraId="6072775E">
            <w:pPr>
              <w:rPr>
                <w:rFonts w:hint="eastAsia" w:ascii="宋体" w:hAnsi="宋体" w:cs="宋体"/>
                <w:szCs w:val="21"/>
              </w:rPr>
            </w:pPr>
            <w:r>
              <w:rPr>
                <w:rFonts w:hint="eastAsia" w:ascii="宋体" w:hAnsi="宋体" w:cs="宋体"/>
                <w:szCs w:val="21"/>
              </w:rPr>
              <w:t>设计任务书、</w:t>
            </w:r>
            <w:r>
              <w:rPr>
                <w:rFonts w:hint="eastAsia" w:ascii="宋体" w:hAnsi="宋体" w:cs="宋体"/>
                <w:kern w:val="0"/>
                <w:szCs w:val="21"/>
              </w:rPr>
              <w:t>答疑纪要、澄清文件等（如有）</w:t>
            </w:r>
          </w:p>
        </w:tc>
      </w:tr>
      <w:tr w14:paraId="558A9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2D29BA68">
            <w:pPr>
              <w:jc w:val="center"/>
              <w:rPr>
                <w:rFonts w:hint="eastAsia" w:ascii="宋体" w:hAnsi="宋体" w:cs="宋体"/>
                <w:szCs w:val="21"/>
              </w:rPr>
            </w:pPr>
            <w:r>
              <w:rPr>
                <w:rFonts w:hint="eastAsia" w:ascii="宋体" w:hAnsi="宋体" w:cs="宋体"/>
                <w:szCs w:val="21"/>
              </w:rPr>
              <w:t>2.2.1</w:t>
            </w:r>
          </w:p>
        </w:tc>
        <w:tc>
          <w:tcPr>
            <w:tcW w:w="2353" w:type="dxa"/>
            <w:gridSpan w:val="2"/>
            <w:noWrap w:val="0"/>
            <w:vAlign w:val="center"/>
          </w:tcPr>
          <w:p w14:paraId="3C0AD346">
            <w:pPr>
              <w:jc w:val="center"/>
              <w:rPr>
                <w:rFonts w:hint="eastAsia" w:ascii="宋体" w:hAnsi="宋体" w:cs="宋体"/>
                <w:szCs w:val="21"/>
              </w:rPr>
            </w:pPr>
            <w:r>
              <w:rPr>
                <w:rFonts w:hint="eastAsia" w:ascii="宋体" w:hAnsi="宋体" w:cs="宋体"/>
                <w:szCs w:val="21"/>
              </w:rPr>
              <w:t>投标人要求澄清招标文件的截止时间</w:t>
            </w:r>
          </w:p>
        </w:tc>
        <w:tc>
          <w:tcPr>
            <w:tcW w:w="5659" w:type="dxa"/>
            <w:noWrap w:val="0"/>
            <w:vAlign w:val="center"/>
          </w:tcPr>
          <w:p w14:paraId="503549C6">
            <w:pPr>
              <w:rPr>
                <w:rFonts w:hint="eastAsia" w:ascii="宋体" w:hAnsi="宋体" w:cs="宋体"/>
                <w:szCs w:val="21"/>
              </w:rPr>
            </w:pPr>
            <w:r>
              <w:rPr>
                <w:rFonts w:hint="eastAsia" w:ascii="宋体" w:hAnsi="宋体" w:cs="宋体"/>
                <w:szCs w:val="21"/>
              </w:rPr>
              <w:t>同投标人提出问题的截止时间</w:t>
            </w:r>
          </w:p>
        </w:tc>
      </w:tr>
      <w:tr w14:paraId="692F4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65" w:type="dxa"/>
            <w:noWrap w:val="0"/>
            <w:vAlign w:val="center"/>
          </w:tcPr>
          <w:p w14:paraId="51089D51">
            <w:pPr>
              <w:jc w:val="center"/>
              <w:rPr>
                <w:rFonts w:hint="eastAsia" w:ascii="宋体" w:hAnsi="宋体" w:cs="宋体"/>
                <w:szCs w:val="21"/>
              </w:rPr>
            </w:pPr>
            <w:r>
              <w:rPr>
                <w:rFonts w:hint="eastAsia" w:ascii="宋体" w:hAnsi="宋体" w:cs="宋体"/>
                <w:szCs w:val="21"/>
              </w:rPr>
              <w:t>2.2.2</w:t>
            </w:r>
          </w:p>
        </w:tc>
        <w:tc>
          <w:tcPr>
            <w:tcW w:w="2353" w:type="dxa"/>
            <w:gridSpan w:val="2"/>
            <w:noWrap w:val="0"/>
            <w:vAlign w:val="center"/>
          </w:tcPr>
          <w:p w14:paraId="0BD63D0F">
            <w:pPr>
              <w:jc w:val="center"/>
              <w:rPr>
                <w:rFonts w:hint="eastAsia" w:ascii="宋体" w:hAnsi="宋体" w:cs="宋体"/>
                <w:szCs w:val="21"/>
              </w:rPr>
            </w:pPr>
            <w:r>
              <w:rPr>
                <w:rFonts w:hint="eastAsia" w:ascii="宋体" w:hAnsi="宋体" w:cs="宋体"/>
                <w:szCs w:val="21"/>
              </w:rPr>
              <w:t>投标截止时间</w:t>
            </w:r>
          </w:p>
        </w:tc>
        <w:tc>
          <w:tcPr>
            <w:tcW w:w="5659" w:type="dxa"/>
            <w:noWrap w:val="0"/>
            <w:vAlign w:val="center"/>
          </w:tcPr>
          <w:p w14:paraId="355CC589">
            <w:pPr>
              <w:rPr>
                <w:rFonts w:hint="eastAsia" w:ascii="宋体" w:hAnsi="宋体" w:cs="宋体"/>
                <w:szCs w:val="21"/>
              </w:rPr>
            </w:pPr>
            <w:r>
              <w:rPr>
                <w:rFonts w:hint="eastAsia" w:ascii="宋体" w:hAnsi="宋体" w:cs="宋体"/>
                <w:szCs w:val="21"/>
              </w:rPr>
              <w:t>详</w:t>
            </w:r>
            <w:r>
              <w:rPr>
                <w:rFonts w:hint="eastAsia" w:ascii="宋体" w:hAnsi="宋体" w:cs="宋体"/>
                <w:kern w:val="0"/>
                <w:szCs w:val="21"/>
              </w:rPr>
              <w:t>见本项目招标公告</w:t>
            </w:r>
          </w:p>
        </w:tc>
      </w:tr>
      <w:tr w14:paraId="56F44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5A34392D">
            <w:pPr>
              <w:jc w:val="center"/>
              <w:rPr>
                <w:rFonts w:hint="eastAsia" w:ascii="宋体" w:hAnsi="宋体" w:cs="宋体"/>
                <w:szCs w:val="21"/>
              </w:rPr>
            </w:pPr>
            <w:r>
              <w:rPr>
                <w:rFonts w:hint="eastAsia" w:ascii="宋体" w:hAnsi="宋体" w:cs="宋体"/>
                <w:szCs w:val="21"/>
              </w:rPr>
              <w:t>2.2.3</w:t>
            </w:r>
          </w:p>
        </w:tc>
        <w:tc>
          <w:tcPr>
            <w:tcW w:w="2353" w:type="dxa"/>
            <w:gridSpan w:val="2"/>
            <w:noWrap w:val="0"/>
            <w:vAlign w:val="center"/>
          </w:tcPr>
          <w:p w14:paraId="602BAEB3">
            <w:pPr>
              <w:jc w:val="center"/>
              <w:rPr>
                <w:rFonts w:hint="eastAsia" w:ascii="宋体" w:hAnsi="宋体" w:cs="宋体"/>
                <w:szCs w:val="21"/>
              </w:rPr>
            </w:pPr>
            <w:r>
              <w:rPr>
                <w:rFonts w:hint="eastAsia" w:ascii="宋体" w:hAnsi="宋体" w:cs="宋体"/>
                <w:szCs w:val="21"/>
              </w:rPr>
              <w:t>投标人确认收到招标文件澄清的时间</w:t>
            </w:r>
          </w:p>
        </w:tc>
        <w:tc>
          <w:tcPr>
            <w:tcW w:w="5659" w:type="dxa"/>
            <w:noWrap w:val="0"/>
            <w:vAlign w:val="center"/>
          </w:tcPr>
          <w:p w14:paraId="009FA51B">
            <w:pPr>
              <w:rPr>
                <w:rFonts w:hint="eastAsia" w:ascii="宋体" w:hAnsi="宋体" w:cs="宋体"/>
                <w:szCs w:val="21"/>
              </w:rPr>
            </w:pPr>
            <w:r>
              <w:rPr>
                <w:rFonts w:hint="eastAsia" w:ascii="宋体" w:hAnsi="宋体" w:cs="宋体"/>
                <w:szCs w:val="21"/>
              </w:rPr>
              <w:t>招标文件澄清在交易平台网站通过项目答疑专区网上公开发布，发出即视作收到，以交易平台网站发布时间作为送达时间。无需投标人确认。投标人应自行关注，招标人不再一一通知。</w:t>
            </w:r>
          </w:p>
        </w:tc>
      </w:tr>
      <w:tr w14:paraId="0E5B7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1036357D">
            <w:pPr>
              <w:jc w:val="center"/>
              <w:rPr>
                <w:rFonts w:hint="eastAsia" w:ascii="宋体" w:hAnsi="宋体" w:cs="宋体"/>
                <w:szCs w:val="21"/>
              </w:rPr>
            </w:pPr>
            <w:r>
              <w:rPr>
                <w:rFonts w:hint="eastAsia" w:ascii="宋体" w:hAnsi="宋体" w:cs="宋体"/>
                <w:szCs w:val="21"/>
              </w:rPr>
              <w:t>2.3.2</w:t>
            </w:r>
          </w:p>
        </w:tc>
        <w:tc>
          <w:tcPr>
            <w:tcW w:w="2353" w:type="dxa"/>
            <w:gridSpan w:val="2"/>
            <w:noWrap w:val="0"/>
            <w:vAlign w:val="center"/>
          </w:tcPr>
          <w:p w14:paraId="6D9F0069">
            <w:pPr>
              <w:jc w:val="center"/>
              <w:rPr>
                <w:rFonts w:hint="eastAsia" w:ascii="宋体" w:hAnsi="宋体" w:cs="宋体"/>
                <w:szCs w:val="21"/>
              </w:rPr>
            </w:pPr>
            <w:r>
              <w:rPr>
                <w:rFonts w:hint="eastAsia" w:ascii="宋体" w:hAnsi="宋体" w:cs="宋体"/>
                <w:szCs w:val="21"/>
              </w:rPr>
              <w:t>投标人确认收到招标文件修改的时间</w:t>
            </w:r>
          </w:p>
        </w:tc>
        <w:tc>
          <w:tcPr>
            <w:tcW w:w="5659" w:type="dxa"/>
            <w:noWrap w:val="0"/>
            <w:vAlign w:val="center"/>
          </w:tcPr>
          <w:p w14:paraId="3190F341">
            <w:pPr>
              <w:rPr>
                <w:rFonts w:hint="eastAsia" w:ascii="宋体" w:hAnsi="宋体" w:cs="宋体"/>
                <w:szCs w:val="21"/>
              </w:rPr>
            </w:pPr>
            <w:r>
              <w:rPr>
                <w:rFonts w:hint="eastAsia" w:ascii="宋体" w:hAnsi="宋体" w:cs="宋体"/>
                <w:szCs w:val="21"/>
              </w:rPr>
              <w:t>招标文件修改（或补充公告）一经在交易平台网站发布，视作已发放给所有投标人，以交易平台网站发布时间作为送达时间。无需投标人确认。投标人应自行关注，招标人不再一一通知。</w:t>
            </w:r>
          </w:p>
        </w:tc>
      </w:tr>
      <w:tr w14:paraId="37007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5637FB49">
            <w:pPr>
              <w:jc w:val="center"/>
              <w:rPr>
                <w:rFonts w:hint="eastAsia" w:ascii="宋体" w:hAnsi="宋体" w:cs="宋体"/>
                <w:szCs w:val="21"/>
              </w:rPr>
            </w:pPr>
            <w:r>
              <w:rPr>
                <w:rFonts w:hint="eastAsia" w:ascii="宋体" w:hAnsi="宋体" w:cs="宋体"/>
                <w:szCs w:val="21"/>
              </w:rPr>
              <w:t>3.1.1</w:t>
            </w:r>
          </w:p>
        </w:tc>
        <w:tc>
          <w:tcPr>
            <w:tcW w:w="2353" w:type="dxa"/>
            <w:gridSpan w:val="2"/>
            <w:noWrap w:val="0"/>
            <w:vAlign w:val="center"/>
          </w:tcPr>
          <w:p w14:paraId="5B0B059E">
            <w:pPr>
              <w:jc w:val="center"/>
              <w:rPr>
                <w:rFonts w:hint="eastAsia" w:ascii="宋体" w:hAnsi="宋体" w:cs="宋体"/>
                <w:szCs w:val="21"/>
              </w:rPr>
            </w:pPr>
            <w:r>
              <w:rPr>
                <w:rFonts w:hint="eastAsia" w:ascii="宋体" w:hAnsi="宋体" w:cs="宋体"/>
                <w:szCs w:val="21"/>
              </w:rPr>
              <w:t>构成投标文件的其他资料</w:t>
            </w:r>
          </w:p>
        </w:tc>
        <w:tc>
          <w:tcPr>
            <w:tcW w:w="5659" w:type="dxa"/>
            <w:noWrap w:val="0"/>
            <w:vAlign w:val="center"/>
          </w:tcPr>
          <w:p w14:paraId="5D00090A">
            <w:pPr>
              <w:rPr>
                <w:rFonts w:hint="eastAsia" w:ascii="宋体" w:hAnsi="宋体" w:cs="宋体"/>
                <w:szCs w:val="21"/>
              </w:rPr>
            </w:pPr>
            <w:r>
              <w:rPr>
                <w:rFonts w:hint="eastAsia" w:ascii="宋体" w:hAnsi="宋体" w:cs="宋体"/>
                <w:szCs w:val="21"/>
              </w:rPr>
              <w:t>见第七章《投标文件格式》要求</w:t>
            </w:r>
          </w:p>
        </w:tc>
      </w:tr>
      <w:tr w14:paraId="2DDA1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1165" w:type="dxa"/>
            <w:vMerge w:val="restart"/>
            <w:noWrap w:val="0"/>
            <w:vAlign w:val="center"/>
          </w:tcPr>
          <w:p w14:paraId="4FC650A7">
            <w:pPr>
              <w:jc w:val="center"/>
              <w:rPr>
                <w:rFonts w:hint="eastAsia" w:ascii="宋体" w:hAnsi="宋体" w:cs="宋体"/>
                <w:szCs w:val="21"/>
              </w:rPr>
            </w:pPr>
            <w:r>
              <w:rPr>
                <w:rFonts w:hint="eastAsia" w:ascii="宋体" w:hAnsi="宋体" w:cs="宋体"/>
              </w:rPr>
              <w:t>3.2.4</w:t>
            </w:r>
          </w:p>
        </w:tc>
        <w:tc>
          <w:tcPr>
            <w:tcW w:w="2353" w:type="dxa"/>
            <w:gridSpan w:val="2"/>
            <w:noWrap w:val="0"/>
            <w:vAlign w:val="center"/>
          </w:tcPr>
          <w:p w14:paraId="1BF2339F">
            <w:pPr>
              <w:jc w:val="center"/>
              <w:rPr>
                <w:rFonts w:hint="eastAsia" w:ascii="宋体" w:hAnsi="宋体" w:cs="宋体"/>
                <w:szCs w:val="21"/>
              </w:rPr>
            </w:pPr>
            <w:r>
              <w:rPr>
                <w:rFonts w:hint="eastAsia" w:ascii="宋体" w:hAnsi="宋体" w:cs="宋体"/>
                <w:szCs w:val="21"/>
              </w:rPr>
              <w:t>最高投标限价或其计算方法</w:t>
            </w:r>
          </w:p>
        </w:tc>
        <w:tc>
          <w:tcPr>
            <w:tcW w:w="5659" w:type="dxa"/>
            <w:noWrap w:val="0"/>
            <w:vAlign w:val="center"/>
          </w:tcPr>
          <w:p w14:paraId="79C38ACA">
            <w:pPr>
              <w:rPr>
                <w:rFonts w:hint="eastAsia" w:ascii="宋体" w:hAnsi="宋体" w:cs="宋体"/>
                <w:szCs w:val="21"/>
              </w:rPr>
            </w:pPr>
            <w:r>
              <w:rPr>
                <w:rFonts w:hint="eastAsia" w:ascii="宋体" w:hAnsi="宋体" w:cs="宋体"/>
                <w:szCs w:val="21"/>
              </w:rPr>
              <w:t>本次招标最高投标限价为人民币</w:t>
            </w:r>
            <w:r>
              <w:rPr>
                <w:rFonts w:hint="eastAsia" w:ascii="宋体" w:hAnsi="宋体" w:cs="宋体"/>
                <w:szCs w:val="21"/>
                <w:lang w:val="en-US" w:eastAsia="zh-CN"/>
              </w:rPr>
              <w:t>4742.24</w:t>
            </w:r>
            <w:r>
              <w:rPr>
                <w:rFonts w:hint="eastAsia" w:ascii="宋体" w:hAnsi="宋体" w:cs="宋体"/>
                <w:szCs w:val="21"/>
                <w:lang w:val="zh-CN" w:eastAsia="zh-CN"/>
              </w:rPr>
              <w:t>万元</w:t>
            </w:r>
            <w:r>
              <w:rPr>
                <w:rFonts w:hint="eastAsia" w:ascii="宋体" w:hAnsi="宋体" w:cs="宋体"/>
                <w:szCs w:val="21"/>
              </w:rPr>
              <w:t>。（建设费用4516.42万元；设计费用：144.67万元；预备费225.82万元</w:t>
            </w:r>
            <w:r>
              <w:rPr>
                <w:rFonts w:hint="eastAsia" w:ascii="宋体" w:hAnsi="宋体" w:cs="宋体"/>
                <w:szCs w:val="21"/>
                <w:lang w:val="zh-CN" w:eastAsia="zh-CN"/>
              </w:rPr>
              <w:t>；</w:t>
            </w:r>
            <w:r>
              <w:rPr>
                <w:rFonts w:hint="eastAsia" w:ascii="宋体" w:hAnsi="宋体" w:cs="宋体"/>
                <w:szCs w:val="21"/>
                <w:u w:val="single"/>
                <w:lang w:val="en-US" w:eastAsia="zh-CN"/>
              </w:rPr>
              <w:t>其中装修部分占比约64.46%，金额约3057.08万元</w:t>
            </w:r>
            <w:r>
              <w:rPr>
                <w:rFonts w:hint="eastAsia" w:ascii="宋体" w:hAnsi="宋体" w:cs="宋体"/>
                <w:szCs w:val="21"/>
              </w:rPr>
              <w:t>）</w:t>
            </w:r>
          </w:p>
          <w:p w14:paraId="5E18E7F3">
            <w:r>
              <w:rPr>
                <w:rFonts w:hint="eastAsia" w:ascii="宋体" w:hAnsi="宋体" w:cs="宋体"/>
                <w:szCs w:val="21"/>
              </w:rPr>
              <w:t>备注：</w:t>
            </w:r>
            <w:r>
              <w:rPr>
                <w:rFonts w:hint="eastAsia"/>
                <w:b/>
                <w:bCs/>
                <w:sz w:val="21"/>
                <w:szCs w:val="21"/>
                <w:highlight w:val="none"/>
                <w:u w:val="single"/>
              </w:rPr>
              <w:t>投标人的投标总价或设计费或建设费超过上述最高投标限价的为无效标。预备费用不作竞争。</w:t>
            </w:r>
            <w:r>
              <w:rPr>
                <w:rFonts w:hint="eastAsia" w:asciiTheme="minorHAnsi" w:hAnsiTheme="minorHAnsi" w:eastAsiaTheme="minorEastAsia" w:cstheme="minorBidi"/>
                <w:b/>
                <w:bCs/>
                <w:i w:val="0"/>
                <w:iCs w:val="0"/>
                <w:caps w:val="0"/>
                <w:spacing w:val="0"/>
                <w:sz w:val="21"/>
                <w:szCs w:val="21"/>
                <w:highlight w:val="none"/>
                <w:u w:val="single"/>
                <w:shd w:val="clear"/>
              </w:rPr>
              <w:t>评标委员会应当否决</w:t>
            </w:r>
            <w:r>
              <w:rPr>
                <w:rFonts w:hint="eastAsia"/>
                <w:b/>
                <w:bCs/>
                <w:sz w:val="21"/>
                <w:szCs w:val="21"/>
                <w:highlight w:val="none"/>
                <w:u w:val="single"/>
              </w:rPr>
              <w:t>投标报价超过上述任一对应的最高投标限价的投标文件</w:t>
            </w:r>
            <w:r>
              <w:rPr>
                <w:rFonts w:hint="eastAsia"/>
                <w:b/>
                <w:bCs/>
                <w:sz w:val="21"/>
                <w:szCs w:val="21"/>
                <w:highlight w:val="none"/>
                <w:u w:val="single"/>
                <w:lang w:eastAsia="zh-CN"/>
              </w:rPr>
              <w:t>。</w:t>
            </w:r>
          </w:p>
        </w:tc>
      </w:tr>
      <w:tr w14:paraId="31D40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1165" w:type="dxa"/>
            <w:vMerge w:val="continue"/>
            <w:noWrap w:val="0"/>
            <w:vAlign w:val="center"/>
          </w:tcPr>
          <w:p w14:paraId="6FC244D3">
            <w:pPr>
              <w:jc w:val="center"/>
              <w:rPr>
                <w:rFonts w:hint="eastAsia" w:ascii="宋体" w:hAnsi="宋体" w:cs="宋体"/>
              </w:rPr>
            </w:pPr>
          </w:p>
        </w:tc>
        <w:tc>
          <w:tcPr>
            <w:tcW w:w="2353" w:type="dxa"/>
            <w:gridSpan w:val="2"/>
            <w:noWrap w:val="0"/>
            <w:vAlign w:val="center"/>
          </w:tcPr>
          <w:p w14:paraId="1BC2F558">
            <w:pPr>
              <w:jc w:val="center"/>
              <w:rPr>
                <w:rFonts w:hint="eastAsia" w:ascii="宋体" w:hAnsi="宋体" w:cs="宋体"/>
                <w:szCs w:val="21"/>
              </w:rPr>
            </w:pPr>
            <w:r>
              <w:rPr>
                <w:rFonts w:hint="eastAsia" w:ascii="宋体" w:hAnsi="宋体" w:cs="宋体"/>
                <w:szCs w:val="21"/>
              </w:rPr>
              <w:t>工程成本警戒价</w:t>
            </w:r>
          </w:p>
        </w:tc>
        <w:tc>
          <w:tcPr>
            <w:tcW w:w="5659" w:type="dxa"/>
            <w:noWrap w:val="0"/>
            <w:vAlign w:val="center"/>
          </w:tcPr>
          <w:p w14:paraId="688E2FD7">
            <w:pPr>
              <w:rPr>
                <w:rFonts w:hint="eastAsia" w:ascii="宋体" w:hAnsi="宋体" w:cs="宋体"/>
                <w:szCs w:val="21"/>
              </w:rPr>
            </w:pPr>
            <w:r>
              <w:rPr>
                <w:rFonts w:hint="eastAsia" w:ascii="宋体" w:hAnsi="宋体" w:cs="宋体"/>
                <w:szCs w:val="21"/>
              </w:rPr>
              <w:t>工程成本警戒价为最高投标总限价的90%。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14:paraId="13EAF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7283BDE6">
            <w:pPr>
              <w:jc w:val="center"/>
              <w:rPr>
                <w:rFonts w:hint="eastAsia" w:ascii="宋体" w:hAnsi="宋体" w:cs="宋体"/>
              </w:rPr>
            </w:pPr>
            <w:r>
              <w:rPr>
                <w:rFonts w:hint="eastAsia" w:ascii="宋体" w:hAnsi="宋体" w:cs="宋体"/>
              </w:rPr>
              <w:t>3.2.5</w:t>
            </w:r>
          </w:p>
        </w:tc>
        <w:tc>
          <w:tcPr>
            <w:tcW w:w="2353" w:type="dxa"/>
            <w:gridSpan w:val="2"/>
            <w:noWrap w:val="0"/>
            <w:vAlign w:val="center"/>
          </w:tcPr>
          <w:p w14:paraId="34DDEBDD">
            <w:pPr>
              <w:jc w:val="center"/>
              <w:rPr>
                <w:rFonts w:hint="eastAsia" w:ascii="宋体" w:hAnsi="宋体" w:cs="宋体"/>
                <w:szCs w:val="21"/>
              </w:rPr>
            </w:pPr>
            <w:r>
              <w:rPr>
                <w:rFonts w:hint="eastAsia" w:ascii="宋体" w:hAnsi="宋体" w:cs="宋体"/>
                <w:szCs w:val="21"/>
              </w:rPr>
              <w:t>投标报价的其他要求</w:t>
            </w:r>
          </w:p>
        </w:tc>
        <w:tc>
          <w:tcPr>
            <w:tcW w:w="5659" w:type="dxa"/>
            <w:noWrap w:val="0"/>
            <w:vAlign w:val="center"/>
          </w:tcPr>
          <w:p w14:paraId="357B1B4E">
            <w:pPr>
              <w:rPr>
                <w:rFonts w:hint="eastAsia" w:ascii="宋体" w:hAnsi="宋体" w:cs="宋体"/>
              </w:rPr>
            </w:pPr>
            <w:r>
              <w:rPr>
                <w:rFonts w:hint="eastAsia" w:ascii="宋体" w:hAnsi="宋体" w:cs="宋体"/>
                <w:szCs w:val="21"/>
              </w:rPr>
              <w:t>投标人必须详细审阅全部招标文件，充分考虑职责和义务，</w:t>
            </w:r>
            <w:r>
              <w:rPr>
                <w:rFonts w:hint="eastAsia" w:ascii="宋体" w:hAnsi="宋体" w:cs="宋体"/>
              </w:rPr>
              <w:t>全面地理解招标文件对投标报价的要求，并按招标人提出的条件及内容进行报价。</w:t>
            </w:r>
          </w:p>
          <w:p w14:paraId="7CA0E673">
            <w:pPr>
              <w:rPr>
                <w:rFonts w:hint="eastAsia" w:ascii="宋体" w:hAnsi="宋体" w:cs="宋体"/>
              </w:rPr>
            </w:pPr>
            <w:r>
              <w:rPr>
                <w:rFonts w:hint="eastAsia" w:ascii="宋体" w:hAnsi="宋体" w:cs="宋体"/>
              </w:rPr>
              <w:t>投标报价由设计费、建安工程费报价组成。本项目设计、建安工程费投标报价同时采用投标下浮率报价和数值报价方式，最终按实结算。投标人对设计费投标报价、建安工程费投标报价只能报一个投标报价和投标下浮率报价，小数点后保留第二位小数，第三位小数四舍五入。如投标下浮率和各分项投标报价不一致时，以投标下浮率报价为准，评标委员会有权对各分项投标报价进行修正。</w:t>
            </w:r>
          </w:p>
          <w:p w14:paraId="5760EC8B">
            <w:pPr>
              <w:rPr>
                <w:rFonts w:hint="eastAsia" w:ascii="宋体" w:hAnsi="宋体" w:cs="宋体"/>
              </w:rPr>
            </w:pPr>
            <w:r>
              <w:rPr>
                <w:rFonts w:hint="eastAsia" w:ascii="宋体" w:hAnsi="宋体" w:cs="宋体"/>
              </w:rPr>
              <w:t>其中：</w:t>
            </w:r>
          </w:p>
          <w:p w14:paraId="5DB53300">
            <w:pPr>
              <w:rPr>
                <w:rFonts w:hint="eastAsia" w:ascii="宋体" w:hAnsi="宋体" w:cs="宋体"/>
              </w:rPr>
            </w:pPr>
            <w:r>
              <w:rPr>
                <w:rFonts w:hint="eastAsia" w:ascii="宋体" w:hAnsi="宋体" w:cs="宋体"/>
              </w:rPr>
              <w:t>1、设计费：投标报价不得高于设计费最高投标限价，由投标人根据招标文件要求以及企业自身情况，填报投标报价和投标下浮率，采用固定总价包干方式计价。结算按照投标下浮率计算，具体以合同相关约定为准；</w:t>
            </w:r>
          </w:p>
          <w:p w14:paraId="7AAFA165">
            <w:pPr>
              <w:rPr>
                <w:rFonts w:hint="eastAsia" w:ascii="宋体" w:hAnsi="宋体" w:cs="宋体"/>
              </w:rPr>
            </w:pPr>
            <w:r>
              <w:rPr>
                <w:rFonts w:hint="eastAsia" w:ascii="宋体" w:hAnsi="宋体" w:cs="宋体"/>
              </w:rPr>
              <w:t>2、建安工程费：投标报价不得高于施工费最高投标限价，由投标人根据招标文件要求以及企业自身情况，填报投标报价和投标下浮率；结算按照投标下浮率计算，具体以合同相关约定为准；</w:t>
            </w:r>
          </w:p>
          <w:p w14:paraId="59F74608">
            <w:pPr>
              <w:jc w:val="left"/>
              <w:rPr>
                <w:rFonts w:hint="eastAsia" w:ascii="宋体" w:hAnsi="宋体" w:cs="宋体"/>
                <w:szCs w:val="21"/>
              </w:rPr>
            </w:pPr>
            <w:r>
              <w:rPr>
                <w:rFonts w:hint="eastAsia" w:ascii="宋体" w:hAnsi="宋体" w:cs="宋体"/>
              </w:rPr>
              <w:t>中标的总价仅为暂定合同价，中标总价不作为竣工结算的依据，可作为拨付工程进度款的依据。本项目施工图审查通过后，根据最终确认的施工图纸，由中标人编制概算、预算。其中，经第三方咨询机构审定概算、预算，并经有权审核的部门审批通过后，按投标下浮率及合同约定的方法，得出合同价格清单，以此合同价格清单作为进度款支付和结算的依据。施工费结算原则以合同约定为准。</w:t>
            </w:r>
          </w:p>
        </w:tc>
      </w:tr>
      <w:tr w14:paraId="15300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027E04CD">
            <w:pPr>
              <w:jc w:val="center"/>
              <w:rPr>
                <w:rFonts w:hint="eastAsia" w:ascii="宋体" w:hAnsi="宋体" w:cs="宋体"/>
                <w:szCs w:val="21"/>
              </w:rPr>
            </w:pPr>
            <w:r>
              <w:rPr>
                <w:rFonts w:hint="eastAsia" w:ascii="宋体" w:hAnsi="宋体" w:cs="宋体"/>
                <w:szCs w:val="21"/>
              </w:rPr>
              <w:t>3.3.1</w:t>
            </w:r>
          </w:p>
        </w:tc>
        <w:tc>
          <w:tcPr>
            <w:tcW w:w="2353" w:type="dxa"/>
            <w:gridSpan w:val="2"/>
            <w:noWrap w:val="0"/>
            <w:vAlign w:val="center"/>
          </w:tcPr>
          <w:p w14:paraId="3E2DB6F5">
            <w:pPr>
              <w:jc w:val="center"/>
              <w:rPr>
                <w:rFonts w:hint="eastAsia" w:ascii="宋体" w:hAnsi="宋体" w:cs="宋体"/>
                <w:szCs w:val="21"/>
              </w:rPr>
            </w:pPr>
            <w:r>
              <w:rPr>
                <w:rFonts w:hint="eastAsia" w:ascii="宋体" w:hAnsi="宋体" w:cs="宋体"/>
                <w:szCs w:val="21"/>
              </w:rPr>
              <w:t>投标有效期</w:t>
            </w:r>
          </w:p>
        </w:tc>
        <w:tc>
          <w:tcPr>
            <w:tcW w:w="5659" w:type="dxa"/>
            <w:noWrap w:val="0"/>
            <w:vAlign w:val="center"/>
          </w:tcPr>
          <w:p w14:paraId="68CEAD78">
            <w:pPr>
              <w:rPr>
                <w:rFonts w:hint="eastAsia" w:ascii="宋体" w:hAnsi="宋体" w:cs="宋体"/>
                <w:kern w:val="0"/>
                <w:szCs w:val="21"/>
              </w:rPr>
            </w:pPr>
            <w:r>
              <w:rPr>
                <w:rFonts w:hint="eastAsia" w:ascii="宋体" w:hAnsi="宋体" w:cs="宋体"/>
                <w:kern w:val="0"/>
                <w:szCs w:val="21"/>
              </w:rPr>
              <w:t>120日历天</w:t>
            </w:r>
          </w:p>
        </w:tc>
      </w:tr>
      <w:tr w14:paraId="3859E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2D5C3CD4">
            <w:pPr>
              <w:jc w:val="center"/>
              <w:rPr>
                <w:rFonts w:hint="eastAsia" w:ascii="宋体" w:hAnsi="宋体" w:cs="宋体"/>
                <w:szCs w:val="21"/>
              </w:rPr>
            </w:pPr>
            <w:r>
              <w:rPr>
                <w:rFonts w:hint="eastAsia" w:ascii="宋体" w:hAnsi="宋体" w:cs="宋体"/>
                <w:szCs w:val="21"/>
              </w:rPr>
              <w:t>3.4.1</w:t>
            </w:r>
          </w:p>
        </w:tc>
        <w:tc>
          <w:tcPr>
            <w:tcW w:w="2353" w:type="dxa"/>
            <w:gridSpan w:val="2"/>
            <w:noWrap w:val="0"/>
            <w:vAlign w:val="center"/>
          </w:tcPr>
          <w:p w14:paraId="04DEDDFF">
            <w:pPr>
              <w:jc w:val="center"/>
              <w:rPr>
                <w:rFonts w:hint="eastAsia" w:ascii="宋体" w:hAnsi="宋体" w:cs="宋体"/>
                <w:szCs w:val="21"/>
              </w:rPr>
            </w:pPr>
            <w:r>
              <w:rPr>
                <w:rFonts w:hint="eastAsia" w:ascii="宋体" w:hAnsi="宋体" w:cs="宋体"/>
                <w:szCs w:val="21"/>
              </w:rPr>
              <w:t>投标保证金</w:t>
            </w:r>
          </w:p>
        </w:tc>
        <w:tc>
          <w:tcPr>
            <w:tcW w:w="5659" w:type="dxa"/>
            <w:noWrap w:val="0"/>
            <w:vAlign w:val="center"/>
          </w:tcPr>
          <w:p w14:paraId="24679EEF">
            <w:pPr>
              <w:rPr>
                <w:rFonts w:hint="eastAsia" w:ascii="宋体" w:hAnsi="宋体" w:cs="宋体"/>
                <w:kern w:val="0"/>
                <w:szCs w:val="21"/>
              </w:rPr>
            </w:pPr>
            <w:r>
              <w:rPr>
                <w:rFonts w:hint="eastAsia" w:ascii="宋体" w:hAnsi="宋体" w:cs="宋体"/>
                <w:kern w:val="0"/>
                <w:szCs w:val="21"/>
              </w:rPr>
              <w:t>是否要求投标人递交投标保证金：</w:t>
            </w:r>
          </w:p>
          <w:p w14:paraId="68829AA1">
            <w:pPr>
              <w:rPr>
                <w:rFonts w:hint="eastAsia" w:ascii="宋体" w:hAnsi="宋体" w:cs="宋体"/>
                <w:kern w:val="0"/>
                <w:szCs w:val="21"/>
              </w:rPr>
            </w:pPr>
            <w:r>
              <w:rPr>
                <w:rFonts w:hint="eastAsia" w:ascii="宋体" w:hAnsi="宋体" w:cs="宋体"/>
                <w:kern w:val="0"/>
                <w:szCs w:val="21"/>
              </w:rPr>
              <w:t>□要求，投标保证金的金额：</w:t>
            </w:r>
          </w:p>
          <w:p w14:paraId="02B28332">
            <w:pPr>
              <w:rPr>
                <w:rFonts w:hint="eastAsia" w:ascii="宋体" w:hAnsi="宋体" w:cs="宋体"/>
                <w:kern w:val="0"/>
                <w:szCs w:val="21"/>
              </w:rPr>
            </w:pPr>
            <w:r>
              <w:rPr>
                <w:rFonts w:hint="eastAsia" w:ascii="宋体" w:hAnsi="宋体" w:cs="宋体"/>
                <w:kern w:val="0"/>
                <w:szCs w:val="21"/>
              </w:rPr>
              <w:t>■不要求。</w:t>
            </w:r>
          </w:p>
        </w:tc>
      </w:tr>
      <w:tr w14:paraId="0F26F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15F9AC15">
            <w:pPr>
              <w:jc w:val="center"/>
              <w:rPr>
                <w:rFonts w:hint="eastAsia" w:ascii="宋体" w:hAnsi="宋体" w:cs="宋体"/>
                <w:szCs w:val="21"/>
              </w:rPr>
            </w:pPr>
            <w:r>
              <w:rPr>
                <w:rFonts w:hint="eastAsia" w:ascii="宋体" w:hAnsi="宋体" w:cs="宋体"/>
                <w:szCs w:val="21"/>
              </w:rPr>
              <w:t>3.5.2</w:t>
            </w:r>
          </w:p>
        </w:tc>
        <w:tc>
          <w:tcPr>
            <w:tcW w:w="2353" w:type="dxa"/>
            <w:gridSpan w:val="2"/>
            <w:noWrap w:val="0"/>
            <w:vAlign w:val="center"/>
          </w:tcPr>
          <w:p w14:paraId="6DE7C59A">
            <w:pPr>
              <w:jc w:val="center"/>
              <w:rPr>
                <w:rFonts w:hint="eastAsia" w:ascii="宋体" w:hAnsi="宋体" w:cs="宋体"/>
                <w:szCs w:val="21"/>
              </w:rPr>
            </w:pPr>
            <w:r>
              <w:rPr>
                <w:rFonts w:hint="eastAsia" w:ascii="宋体" w:hAnsi="宋体" w:cs="宋体"/>
                <w:szCs w:val="21"/>
              </w:rPr>
              <w:t>近年财务状况</w:t>
            </w:r>
          </w:p>
        </w:tc>
        <w:tc>
          <w:tcPr>
            <w:tcW w:w="5659" w:type="dxa"/>
            <w:noWrap w:val="0"/>
            <w:vAlign w:val="center"/>
          </w:tcPr>
          <w:p w14:paraId="3C4F4A9A">
            <w:pPr>
              <w:rPr>
                <w:rFonts w:hint="eastAsia" w:ascii="宋体" w:hAnsi="宋体" w:cs="宋体"/>
                <w:szCs w:val="21"/>
              </w:rPr>
            </w:pPr>
            <w:r>
              <w:rPr>
                <w:rFonts w:hint="eastAsia" w:ascii="宋体" w:hAnsi="宋体" w:cs="宋体"/>
                <w:szCs w:val="21"/>
                <w:u w:val="single"/>
              </w:rPr>
              <w:t xml:space="preserve">  /  </w:t>
            </w:r>
          </w:p>
        </w:tc>
      </w:tr>
      <w:tr w14:paraId="095CE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1333C5C5">
            <w:pPr>
              <w:jc w:val="center"/>
              <w:rPr>
                <w:rFonts w:hint="eastAsia" w:ascii="宋体" w:hAnsi="宋体" w:cs="宋体"/>
                <w:szCs w:val="21"/>
              </w:rPr>
            </w:pPr>
            <w:r>
              <w:rPr>
                <w:rFonts w:hint="eastAsia" w:ascii="宋体" w:hAnsi="宋体" w:cs="宋体"/>
                <w:szCs w:val="21"/>
              </w:rPr>
              <w:t>3.5.3</w:t>
            </w:r>
          </w:p>
        </w:tc>
        <w:tc>
          <w:tcPr>
            <w:tcW w:w="2353" w:type="dxa"/>
            <w:gridSpan w:val="2"/>
            <w:noWrap w:val="0"/>
            <w:vAlign w:val="center"/>
          </w:tcPr>
          <w:p w14:paraId="38C3B66E">
            <w:pPr>
              <w:jc w:val="center"/>
              <w:rPr>
                <w:rFonts w:hint="eastAsia" w:ascii="宋体" w:hAnsi="宋体" w:cs="宋体"/>
                <w:szCs w:val="21"/>
              </w:rPr>
            </w:pPr>
            <w:r>
              <w:rPr>
                <w:rFonts w:hint="eastAsia" w:ascii="宋体" w:hAnsi="宋体" w:cs="宋体"/>
                <w:szCs w:val="21"/>
              </w:rPr>
              <w:t>近年完成的类似项目</w:t>
            </w:r>
          </w:p>
        </w:tc>
        <w:tc>
          <w:tcPr>
            <w:tcW w:w="5659" w:type="dxa"/>
            <w:noWrap w:val="0"/>
            <w:vAlign w:val="center"/>
          </w:tcPr>
          <w:p w14:paraId="3255658A">
            <w:pPr>
              <w:rPr>
                <w:rFonts w:hint="eastAsia" w:ascii="宋体" w:hAnsi="宋体" w:cs="宋体"/>
                <w:szCs w:val="21"/>
              </w:rPr>
            </w:pPr>
            <w:r>
              <w:rPr>
                <w:rFonts w:hint="eastAsia" w:ascii="宋体" w:hAnsi="宋体" w:cs="宋体"/>
                <w:szCs w:val="21"/>
                <w:u w:val="single"/>
              </w:rPr>
              <w:t>见招标公告投标人资格要求</w:t>
            </w:r>
          </w:p>
        </w:tc>
      </w:tr>
      <w:tr w14:paraId="44E94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69F3C8CE">
            <w:pPr>
              <w:jc w:val="center"/>
              <w:rPr>
                <w:rFonts w:hint="eastAsia" w:ascii="宋体" w:hAnsi="宋体" w:cs="宋体"/>
                <w:szCs w:val="21"/>
              </w:rPr>
            </w:pPr>
            <w:r>
              <w:rPr>
                <w:rFonts w:hint="eastAsia" w:ascii="宋体" w:hAnsi="宋体" w:cs="宋体"/>
                <w:szCs w:val="21"/>
              </w:rPr>
              <w:t>3.5.5</w:t>
            </w:r>
          </w:p>
        </w:tc>
        <w:tc>
          <w:tcPr>
            <w:tcW w:w="2353" w:type="dxa"/>
            <w:gridSpan w:val="2"/>
            <w:noWrap w:val="0"/>
            <w:vAlign w:val="center"/>
          </w:tcPr>
          <w:p w14:paraId="0FA14A5E">
            <w:pPr>
              <w:jc w:val="center"/>
              <w:rPr>
                <w:rFonts w:hint="eastAsia" w:ascii="宋体" w:hAnsi="宋体" w:cs="宋体"/>
                <w:szCs w:val="21"/>
              </w:rPr>
            </w:pPr>
            <w:r>
              <w:rPr>
                <w:rFonts w:hint="eastAsia" w:ascii="宋体" w:hAnsi="宋体" w:cs="宋体"/>
                <w:szCs w:val="21"/>
              </w:rPr>
              <w:t>近年发生的重大诉讼及仲裁情况</w:t>
            </w:r>
          </w:p>
        </w:tc>
        <w:tc>
          <w:tcPr>
            <w:tcW w:w="5659" w:type="dxa"/>
            <w:noWrap w:val="0"/>
            <w:vAlign w:val="center"/>
          </w:tcPr>
          <w:p w14:paraId="2F2709D8">
            <w:pPr>
              <w:rPr>
                <w:rFonts w:hint="eastAsia" w:ascii="宋体" w:hAnsi="宋体" w:cs="宋体"/>
                <w:szCs w:val="21"/>
              </w:rPr>
            </w:pPr>
            <w:r>
              <w:rPr>
                <w:rFonts w:hint="eastAsia" w:ascii="宋体" w:hAnsi="宋体" w:cs="宋体"/>
                <w:szCs w:val="21"/>
                <w:u w:val="single"/>
              </w:rPr>
              <w:t xml:space="preserve">  /  </w:t>
            </w:r>
          </w:p>
        </w:tc>
      </w:tr>
      <w:tr w14:paraId="71F34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40B589AF">
            <w:pPr>
              <w:jc w:val="center"/>
              <w:rPr>
                <w:rFonts w:hint="eastAsia" w:ascii="宋体" w:hAnsi="宋体" w:cs="宋体"/>
                <w:szCs w:val="21"/>
              </w:rPr>
            </w:pPr>
            <w:r>
              <w:rPr>
                <w:rFonts w:hint="eastAsia" w:ascii="宋体" w:hAnsi="宋体" w:cs="宋体"/>
                <w:szCs w:val="21"/>
              </w:rPr>
              <w:t>3.6</w:t>
            </w:r>
          </w:p>
        </w:tc>
        <w:tc>
          <w:tcPr>
            <w:tcW w:w="2353" w:type="dxa"/>
            <w:gridSpan w:val="2"/>
            <w:noWrap w:val="0"/>
            <w:vAlign w:val="center"/>
          </w:tcPr>
          <w:p w14:paraId="26E278E0">
            <w:pPr>
              <w:jc w:val="center"/>
              <w:rPr>
                <w:rFonts w:hint="eastAsia" w:ascii="宋体" w:hAnsi="宋体" w:cs="宋体"/>
                <w:szCs w:val="21"/>
              </w:rPr>
            </w:pPr>
            <w:r>
              <w:rPr>
                <w:rFonts w:hint="eastAsia" w:ascii="宋体" w:hAnsi="宋体" w:cs="宋体"/>
                <w:szCs w:val="21"/>
              </w:rPr>
              <w:t>是否允许递交备选投标方案</w:t>
            </w:r>
          </w:p>
        </w:tc>
        <w:tc>
          <w:tcPr>
            <w:tcW w:w="5659" w:type="dxa"/>
            <w:noWrap w:val="0"/>
            <w:vAlign w:val="center"/>
          </w:tcPr>
          <w:p w14:paraId="1B97A996">
            <w:pPr>
              <w:pStyle w:val="8"/>
              <w:topLinePunct/>
              <w:rPr>
                <w:rFonts w:hint="eastAsia" w:hAnsi="宋体" w:cs="宋体"/>
                <w:sz w:val="21"/>
                <w:szCs w:val="21"/>
              </w:rPr>
            </w:pPr>
            <w:r>
              <w:rPr>
                <w:rFonts w:hint="eastAsia" w:hAnsi="宋体" w:cs="宋体"/>
                <w:sz w:val="21"/>
                <w:szCs w:val="21"/>
              </w:rPr>
              <w:t>■不允许</w:t>
            </w:r>
          </w:p>
          <w:p w14:paraId="10F60A68">
            <w:pPr>
              <w:rPr>
                <w:rFonts w:hint="eastAsia" w:ascii="宋体" w:hAnsi="宋体" w:cs="宋体"/>
                <w:szCs w:val="21"/>
              </w:rPr>
            </w:pPr>
            <w:r>
              <w:rPr>
                <w:rFonts w:hint="eastAsia" w:hAnsi="宋体" w:cs="宋体"/>
                <w:szCs w:val="21"/>
              </w:rPr>
              <w:t>□</w:t>
            </w:r>
            <w:r>
              <w:rPr>
                <w:rFonts w:hint="eastAsia" w:ascii="宋体" w:hAnsi="宋体" w:cs="宋体"/>
                <w:szCs w:val="21"/>
              </w:rPr>
              <w:t>允许</w:t>
            </w:r>
          </w:p>
        </w:tc>
      </w:tr>
      <w:tr w14:paraId="7A34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3579B524">
            <w:pPr>
              <w:jc w:val="center"/>
              <w:rPr>
                <w:rFonts w:hint="eastAsia" w:ascii="宋体" w:hAnsi="宋体" w:cs="宋体"/>
                <w:szCs w:val="21"/>
              </w:rPr>
            </w:pPr>
            <w:r>
              <w:rPr>
                <w:rFonts w:hint="eastAsia" w:ascii="宋体" w:hAnsi="宋体" w:cs="宋体"/>
                <w:szCs w:val="21"/>
              </w:rPr>
              <w:t>3.7.3</w:t>
            </w:r>
          </w:p>
        </w:tc>
        <w:tc>
          <w:tcPr>
            <w:tcW w:w="2353" w:type="dxa"/>
            <w:gridSpan w:val="2"/>
            <w:noWrap w:val="0"/>
            <w:vAlign w:val="center"/>
          </w:tcPr>
          <w:p w14:paraId="625C677D">
            <w:pPr>
              <w:jc w:val="center"/>
              <w:rPr>
                <w:rFonts w:hint="eastAsia" w:ascii="宋体" w:hAnsi="宋体" w:cs="宋体"/>
                <w:szCs w:val="21"/>
              </w:rPr>
            </w:pPr>
            <w:r>
              <w:rPr>
                <w:rFonts w:hint="eastAsia" w:ascii="宋体" w:hAnsi="宋体" w:cs="宋体"/>
                <w:szCs w:val="21"/>
              </w:rPr>
              <w:t>签字或盖章要求</w:t>
            </w:r>
          </w:p>
        </w:tc>
        <w:tc>
          <w:tcPr>
            <w:tcW w:w="5659" w:type="dxa"/>
            <w:noWrap w:val="0"/>
            <w:vAlign w:val="center"/>
          </w:tcPr>
          <w:p w14:paraId="6B42BD38">
            <w:pPr>
              <w:rPr>
                <w:rFonts w:hint="eastAsia" w:ascii="宋体" w:hAnsi="宋体" w:cs="宋体"/>
                <w:szCs w:val="21"/>
              </w:rPr>
            </w:pPr>
            <w:r>
              <w:rPr>
                <w:rFonts w:hint="eastAsia" w:ascii="宋体" w:hAnsi="宋体" w:cs="宋体"/>
                <w:szCs w:val="21"/>
                <w:u w:val="single"/>
              </w:rPr>
              <w:t>投标人（若为联合体投标，指联合体主办方）采用单位数字证书，按招标文件要求在相应位置加盖电子印章。投标文件中需个人签字或盖章的，应手签后扫描上传。按照交易平台关于全流程电子化项目的相关指南进行操作，联合体投标的，除投标文件中的联合体协议书需联合体各方盖章、签字外，投标文件其他内容中的“投标人”、“投标单位”、“声明企业”应填写联合体各方的单位全称【格式表示为：（主）XXXX公司，（成）XXXX公司，（成）XXXX公司】，由主办方盖章、签字即可。法定代表人证明书及授权委托证明书可由联合体主办方出具。</w:t>
            </w:r>
          </w:p>
        </w:tc>
      </w:tr>
      <w:tr w14:paraId="068C2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6D0243F3">
            <w:pPr>
              <w:jc w:val="center"/>
              <w:rPr>
                <w:rFonts w:hint="eastAsia" w:ascii="宋体" w:hAnsi="宋体" w:cs="宋体"/>
                <w:szCs w:val="21"/>
              </w:rPr>
            </w:pPr>
            <w:r>
              <w:rPr>
                <w:rFonts w:hint="eastAsia" w:ascii="宋体" w:hAnsi="宋体" w:cs="宋体"/>
                <w:szCs w:val="21"/>
              </w:rPr>
              <w:t>3.7.4</w:t>
            </w:r>
          </w:p>
        </w:tc>
        <w:tc>
          <w:tcPr>
            <w:tcW w:w="2353" w:type="dxa"/>
            <w:gridSpan w:val="2"/>
            <w:noWrap w:val="0"/>
            <w:vAlign w:val="center"/>
          </w:tcPr>
          <w:p w14:paraId="12387475">
            <w:pPr>
              <w:jc w:val="center"/>
              <w:rPr>
                <w:rFonts w:hint="eastAsia" w:ascii="宋体" w:hAnsi="宋体" w:cs="宋体"/>
                <w:szCs w:val="21"/>
              </w:rPr>
            </w:pPr>
            <w:r>
              <w:rPr>
                <w:rFonts w:hint="eastAsia" w:ascii="宋体" w:hAnsi="宋体" w:cs="宋体"/>
                <w:szCs w:val="21"/>
              </w:rPr>
              <w:t>投标文件副本份数</w:t>
            </w:r>
          </w:p>
        </w:tc>
        <w:tc>
          <w:tcPr>
            <w:tcW w:w="5659" w:type="dxa"/>
            <w:noWrap w:val="0"/>
            <w:vAlign w:val="center"/>
          </w:tcPr>
          <w:p w14:paraId="09287213">
            <w:pPr>
              <w:rPr>
                <w:rFonts w:hint="eastAsia" w:ascii="宋体" w:hAnsi="宋体" w:cs="宋体"/>
                <w:szCs w:val="21"/>
              </w:rPr>
            </w:pPr>
            <w:r>
              <w:rPr>
                <w:rFonts w:hint="eastAsia" w:ascii="宋体" w:hAnsi="宋体" w:cs="宋体"/>
                <w:szCs w:val="21"/>
                <w:u w:val="single"/>
              </w:rPr>
              <w:t xml:space="preserve">  /  </w:t>
            </w:r>
          </w:p>
        </w:tc>
      </w:tr>
      <w:tr w14:paraId="24E35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68212ACC">
            <w:pPr>
              <w:jc w:val="center"/>
              <w:rPr>
                <w:rFonts w:hint="eastAsia" w:ascii="宋体" w:hAnsi="宋体" w:cs="宋体"/>
                <w:szCs w:val="21"/>
              </w:rPr>
            </w:pPr>
            <w:r>
              <w:rPr>
                <w:rFonts w:hint="eastAsia" w:ascii="宋体" w:hAnsi="宋体" w:cs="宋体"/>
                <w:szCs w:val="21"/>
              </w:rPr>
              <w:t>3.7.5</w:t>
            </w:r>
          </w:p>
        </w:tc>
        <w:tc>
          <w:tcPr>
            <w:tcW w:w="2353" w:type="dxa"/>
            <w:gridSpan w:val="2"/>
            <w:noWrap w:val="0"/>
            <w:vAlign w:val="center"/>
          </w:tcPr>
          <w:p w14:paraId="2646ED7F">
            <w:pPr>
              <w:jc w:val="center"/>
              <w:rPr>
                <w:rFonts w:hint="eastAsia" w:ascii="宋体" w:hAnsi="宋体" w:cs="宋体"/>
                <w:szCs w:val="21"/>
              </w:rPr>
            </w:pPr>
            <w:r>
              <w:rPr>
                <w:rFonts w:hint="eastAsia" w:ascii="宋体" w:hAnsi="宋体" w:cs="宋体"/>
                <w:szCs w:val="21"/>
              </w:rPr>
              <w:t>装订要求</w:t>
            </w:r>
          </w:p>
        </w:tc>
        <w:tc>
          <w:tcPr>
            <w:tcW w:w="5659" w:type="dxa"/>
            <w:noWrap w:val="0"/>
            <w:vAlign w:val="center"/>
          </w:tcPr>
          <w:p w14:paraId="4DCBA12B">
            <w:pPr>
              <w:rPr>
                <w:rFonts w:hint="eastAsia" w:ascii="宋体" w:hAnsi="宋体" w:cs="宋体"/>
                <w:szCs w:val="21"/>
              </w:rPr>
            </w:pPr>
            <w:r>
              <w:rPr>
                <w:rFonts w:hint="eastAsia" w:ascii="宋体" w:hAnsi="宋体" w:cs="宋体"/>
                <w:szCs w:val="21"/>
                <w:u w:val="single"/>
              </w:rPr>
              <w:t xml:space="preserve">  /  </w:t>
            </w:r>
          </w:p>
        </w:tc>
      </w:tr>
      <w:tr w14:paraId="60DFD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3C23C197">
            <w:pPr>
              <w:jc w:val="center"/>
              <w:rPr>
                <w:rFonts w:hint="eastAsia" w:ascii="宋体" w:hAnsi="宋体" w:cs="宋体"/>
                <w:szCs w:val="21"/>
              </w:rPr>
            </w:pPr>
            <w:r>
              <w:rPr>
                <w:rFonts w:hint="eastAsia" w:ascii="宋体" w:hAnsi="宋体" w:cs="宋体"/>
                <w:szCs w:val="21"/>
              </w:rPr>
              <w:t>4.1.2</w:t>
            </w:r>
          </w:p>
        </w:tc>
        <w:tc>
          <w:tcPr>
            <w:tcW w:w="2353" w:type="dxa"/>
            <w:gridSpan w:val="2"/>
            <w:noWrap w:val="0"/>
            <w:vAlign w:val="center"/>
          </w:tcPr>
          <w:p w14:paraId="121FB985">
            <w:pPr>
              <w:jc w:val="center"/>
              <w:rPr>
                <w:rFonts w:hint="eastAsia" w:ascii="宋体" w:hAnsi="宋体" w:cs="宋体"/>
                <w:szCs w:val="21"/>
              </w:rPr>
            </w:pPr>
            <w:r>
              <w:rPr>
                <w:rFonts w:hint="eastAsia" w:ascii="宋体" w:hAnsi="宋体" w:cs="宋体"/>
                <w:szCs w:val="21"/>
              </w:rPr>
              <w:t>封套上应载明的信息</w:t>
            </w:r>
          </w:p>
        </w:tc>
        <w:tc>
          <w:tcPr>
            <w:tcW w:w="5659" w:type="dxa"/>
            <w:noWrap w:val="0"/>
            <w:vAlign w:val="center"/>
          </w:tcPr>
          <w:p w14:paraId="444CA83E">
            <w:pPr>
              <w:rPr>
                <w:rFonts w:hint="eastAsia" w:ascii="宋体" w:hAnsi="宋体" w:cs="宋体"/>
                <w:szCs w:val="21"/>
              </w:rPr>
            </w:pPr>
            <w:r>
              <w:rPr>
                <w:rFonts w:hint="eastAsia" w:ascii="宋体" w:hAnsi="宋体" w:cs="宋体"/>
                <w:szCs w:val="21"/>
                <w:u w:val="single"/>
              </w:rPr>
              <w:t xml:space="preserve">  /  </w:t>
            </w:r>
          </w:p>
        </w:tc>
      </w:tr>
      <w:tr w14:paraId="392A6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774A4585">
            <w:pPr>
              <w:jc w:val="center"/>
              <w:rPr>
                <w:rFonts w:hint="eastAsia" w:ascii="宋体" w:hAnsi="宋体" w:cs="宋体"/>
                <w:szCs w:val="21"/>
              </w:rPr>
            </w:pPr>
            <w:r>
              <w:rPr>
                <w:rFonts w:hint="eastAsia" w:ascii="宋体" w:hAnsi="宋体" w:cs="宋体"/>
                <w:szCs w:val="21"/>
              </w:rPr>
              <w:t>4.2.2</w:t>
            </w:r>
          </w:p>
        </w:tc>
        <w:tc>
          <w:tcPr>
            <w:tcW w:w="2353" w:type="dxa"/>
            <w:gridSpan w:val="2"/>
            <w:noWrap w:val="0"/>
            <w:vAlign w:val="center"/>
          </w:tcPr>
          <w:p w14:paraId="7FA8F0B4">
            <w:pPr>
              <w:jc w:val="center"/>
              <w:rPr>
                <w:rFonts w:hint="eastAsia" w:ascii="宋体" w:hAnsi="宋体" w:cs="宋体"/>
                <w:szCs w:val="21"/>
              </w:rPr>
            </w:pPr>
            <w:r>
              <w:rPr>
                <w:rFonts w:hint="eastAsia" w:ascii="宋体" w:hAnsi="宋体" w:cs="宋体"/>
                <w:szCs w:val="21"/>
              </w:rPr>
              <w:t>递交投标文件地点</w:t>
            </w:r>
          </w:p>
        </w:tc>
        <w:tc>
          <w:tcPr>
            <w:tcW w:w="5659" w:type="dxa"/>
            <w:noWrap w:val="0"/>
            <w:vAlign w:val="center"/>
          </w:tcPr>
          <w:p w14:paraId="00E90508">
            <w:pPr>
              <w:rPr>
                <w:rFonts w:hint="eastAsia" w:ascii="宋体" w:hAnsi="宋体" w:cs="宋体"/>
                <w:szCs w:val="21"/>
              </w:rPr>
            </w:pPr>
            <w:r>
              <w:rPr>
                <w:rFonts w:hint="eastAsia" w:ascii="宋体" w:hAnsi="宋体" w:cs="宋体"/>
                <w:szCs w:val="21"/>
              </w:rPr>
              <w:t>投标人应在截止时间前通过电子招标投标交易平台递交电子投标文件。</w:t>
            </w:r>
          </w:p>
        </w:tc>
      </w:tr>
      <w:tr w14:paraId="0BC7C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10E2081C">
            <w:pPr>
              <w:jc w:val="center"/>
              <w:rPr>
                <w:rFonts w:hint="eastAsia" w:ascii="宋体" w:hAnsi="宋体" w:cs="宋体"/>
                <w:szCs w:val="21"/>
              </w:rPr>
            </w:pPr>
            <w:r>
              <w:rPr>
                <w:rFonts w:hint="eastAsia" w:ascii="宋体" w:hAnsi="宋体" w:cs="宋体"/>
                <w:szCs w:val="21"/>
              </w:rPr>
              <w:t>4.2.3</w:t>
            </w:r>
          </w:p>
        </w:tc>
        <w:tc>
          <w:tcPr>
            <w:tcW w:w="2353" w:type="dxa"/>
            <w:gridSpan w:val="2"/>
            <w:noWrap w:val="0"/>
            <w:vAlign w:val="center"/>
          </w:tcPr>
          <w:p w14:paraId="1FB2A6C5">
            <w:pPr>
              <w:jc w:val="center"/>
              <w:rPr>
                <w:rFonts w:hint="eastAsia" w:ascii="宋体" w:hAnsi="宋体" w:cs="宋体"/>
                <w:szCs w:val="21"/>
              </w:rPr>
            </w:pPr>
            <w:r>
              <w:rPr>
                <w:rFonts w:hint="eastAsia" w:ascii="宋体" w:hAnsi="宋体" w:cs="宋体"/>
                <w:szCs w:val="21"/>
              </w:rPr>
              <w:t>是否退还投标文件</w:t>
            </w:r>
          </w:p>
        </w:tc>
        <w:tc>
          <w:tcPr>
            <w:tcW w:w="5659" w:type="dxa"/>
            <w:noWrap w:val="0"/>
            <w:vAlign w:val="center"/>
          </w:tcPr>
          <w:p w14:paraId="182C0570">
            <w:pPr>
              <w:pStyle w:val="8"/>
              <w:topLinePunct/>
              <w:rPr>
                <w:rFonts w:hint="eastAsia" w:hAnsi="宋体" w:cs="宋体"/>
                <w:sz w:val="21"/>
                <w:szCs w:val="21"/>
              </w:rPr>
            </w:pPr>
            <w:r>
              <w:rPr>
                <w:rFonts w:hint="eastAsia" w:hAnsi="宋体" w:cs="宋体"/>
                <w:sz w:val="21"/>
                <w:szCs w:val="21"/>
              </w:rPr>
              <w:t>■否</w:t>
            </w:r>
          </w:p>
          <w:p w14:paraId="16B3C6DC">
            <w:pPr>
              <w:rPr>
                <w:rFonts w:hint="eastAsia" w:ascii="宋体" w:hAnsi="宋体" w:cs="宋体"/>
                <w:szCs w:val="21"/>
              </w:rPr>
            </w:pPr>
            <w:r>
              <w:rPr>
                <w:rFonts w:hint="eastAsia" w:ascii="宋体" w:hAnsi="宋体" w:cs="宋体"/>
                <w:szCs w:val="21"/>
              </w:rPr>
              <w:t>□是</w:t>
            </w:r>
          </w:p>
        </w:tc>
      </w:tr>
      <w:tr w14:paraId="2EBBD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65" w:type="dxa"/>
            <w:noWrap w:val="0"/>
            <w:vAlign w:val="center"/>
          </w:tcPr>
          <w:p w14:paraId="75A111F9">
            <w:pPr>
              <w:jc w:val="center"/>
              <w:rPr>
                <w:rFonts w:hint="eastAsia" w:ascii="宋体" w:hAnsi="宋体" w:cs="宋体"/>
                <w:szCs w:val="21"/>
              </w:rPr>
            </w:pPr>
            <w:r>
              <w:rPr>
                <w:rFonts w:hint="eastAsia" w:ascii="宋体" w:hAnsi="宋体" w:cs="宋体"/>
                <w:szCs w:val="21"/>
              </w:rPr>
              <w:t>5.1</w:t>
            </w:r>
          </w:p>
        </w:tc>
        <w:tc>
          <w:tcPr>
            <w:tcW w:w="2353" w:type="dxa"/>
            <w:gridSpan w:val="2"/>
            <w:noWrap w:val="0"/>
            <w:vAlign w:val="center"/>
          </w:tcPr>
          <w:p w14:paraId="21CD71AD">
            <w:pPr>
              <w:jc w:val="center"/>
              <w:rPr>
                <w:rFonts w:hint="eastAsia" w:ascii="宋体" w:hAnsi="宋体" w:cs="宋体"/>
                <w:szCs w:val="21"/>
              </w:rPr>
            </w:pPr>
            <w:r>
              <w:rPr>
                <w:rFonts w:hint="eastAsia" w:ascii="宋体" w:hAnsi="宋体" w:cs="宋体"/>
                <w:szCs w:val="21"/>
              </w:rPr>
              <w:t>开标时间和地点</w:t>
            </w:r>
          </w:p>
        </w:tc>
        <w:tc>
          <w:tcPr>
            <w:tcW w:w="5659" w:type="dxa"/>
            <w:noWrap w:val="0"/>
            <w:vAlign w:val="center"/>
          </w:tcPr>
          <w:p w14:paraId="0DF6968D">
            <w:pPr>
              <w:rPr>
                <w:rFonts w:hint="eastAsia" w:ascii="宋体" w:hAnsi="宋体" w:cs="宋体"/>
                <w:szCs w:val="21"/>
              </w:rPr>
            </w:pPr>
            <w:r>
              <w:rPr>
                <w:rFonts w:hint="eastAsia" w:ascii="宋体" w:hAnsi="宋体" w:cs="宋体"/>
                <w:szCs w:val="21"/>
              </w:rPr>
              <w:t>开标时间同投标截止时间。在电子招标投标交易平台进行网上开标</w:t>
            </w:r>
          </w:p>
        </w:tc>
      </w:tr>
      <w:tr w14:paraId="7E581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165" w:type="dxa"/>
            <w:noWrap w:val="0"/>
            <w:vAlign w:val="center"/>
          </w:tcPr>
          <w:p w14:paraId="355E1372">
            <w:pPr>
              <w:jc w:val="center"/>
              <w:rPr>
                <w:rFonts w:hint="eastAsia" w:ascii="宋体" w:hAnsi="宋体" w:cs="宋体"/>
                <w:szCs w:val="21"/>
              </w:rPr>
            </w:pPr>
            <w:r>
              <w:rPr>
                <w:rFonts w:hint="eastAsia" w:ascii="宋体" w:hAnsi="宋体" w:cs="宋体"/>
                <w:szCs w:val="21"/>
              </w:rPr>
              <w:t>5.2</w:t>
            </w:r>
          </w:p>
        </w:tc>
        <w:tc>
          <w:tcPr>
            <w:tcW w:w="2353" w:type="dxa"/>
            <w:gridSpan w:val="2"/>
            <w:noWrap w:val="0"/>
            <w:vAlign w:val="center"/>
          </w:tcPr>
          <w:p w14:paraId="348D5137">
            <w:pPr>
              <w:jc w:val="center"/>
              <w:rPr>
                <w:rFonts w:hint="eastAsia" w:ascii="宋体" w:hAnsi="宋体" w:cs="宋体"/>
                <w:szCs w:val="21"/>
              </w:rPr>
            </w:pPr>
            <w:r>
              <w:rPr>
                <w:rFonts w:hint="eastAsia" w:ascii="宋体" w:hAnsi="宋体" w:cs="宋体"/>
                <w:szCs w:val="21"/>
              </w:rPr>
              <w:t>开标程序</w:t>
            </w:r>
          </w:p>
        </w:tc>
        <w:tc>
          <w:tcPr>
            <w:tcW w:w="5659" w:type="dxa"/>
            <w:noWrap w:val="0"/>
            <w:vAlign w:val="center"/>
          </w:tcPr>
          <w:p w14:paraId="5C0ECA7C">
            <w:pPr>
              <w:rPr>
                <w:rFonts w:hint="eastAsia" w:ascii="宋体" w:hAnsi="宋体" w:cs="宋体"/>
                <w:szCs w:val="21"/>
                <w:u w:val="single"/>
              </w:rPr>
            </w:pPr>
            <w:r>
              <w:rPr>
                <w:rFonts w:hint="eastAsia" w:ascii="宋体" w:hAnsi="宋体" w:cs="宋体"/>
                <w:szCs w:val="21"/>
                <w:u w:val="single"/>
              </w:rPr>
              <w:t>主持人按下列程序进行开标：</w:t>
            </w:r>
          </w:p>
          <w:p w14:paraId="3F971FF1">
            <w:pPr>
              <w:rPr>
                <w:rFonts w:hint="eastAsia" w:ascii="宋体" w:hAnsi="宋体" w:cs="宋体"/>
                <w:szCs w:val="21"/>
                <w:u w:val="single"/>
              </w:rPr>
            </w:pPr>
            <w:r>
              <w:rPr>
                <w:rFonts w:hint="eastAsia" w:ascii="宋体" w:hAnsi="宋体" w:cs="宋体"/>
                <w:szCs w:val="21"/>
                <w:u w:val="single"/>
              </w:rPr>
              <w:t>（1）宣布开标纪律；</w:t>
            </w:r>
          </w:p>
          <w:p w14:paraId="485D4995">
            <w:pPr>
              <w:rPr>
                <w:rFonts w:hint="eastAsia" w:ascii="宋体" w:hAnsi="宋体" w:cs="宋体"/>
                <w:szCs w:val="21"/>
                <w:u w:val="single"/>
              </w:rPr>
            </w:pPr>
            <w:r>
              <w:rPr>
                <w:rFonts w:hint="eastAsia" w:ascii="宋体" w:hAnsi="宋体" w:cs="宋体"/>
                <w:szCs w:val="21"/>
                <w:u w:val="single"/>
              </w:rPr>
              <w:t>（2）公布在投标截止时间前递交投标文件的投标人名称；</w:t>
            </w:r>
          </w:p>
          <w:p w14:paraId="34965032">
            <w:pPr>
              <w:rPr>
                <w:rFonts w:hint="eastAsia" w:ascii="宋体" w:hAnsi="宋体" w:cs="宋体"/>
                <w:szCs w:val="21"/>
                <w:u w:val="single"/>
              </w:rPr>
            </w:pPr>
            <w:r>
              <w:rPr>
                <w:rFonts w:hint="eastAsia" w:ascii="宋体" w:hAnsi="宋体" w:cs="宋体"/>
                <w:szCs w:val="21"/>
                <w:u w:val="single"/>
              </w:rPr>
              <w:t>（3）在投标截止时间后一小时内，投标人通过递交投标文件的交易平台对已递交的电子投标文件进行解密。投标人完成解密后，再由招标人进行解密（投标人只用执行一次解密，招标人执行解密次数根据招标文件开标次数确定）。</w:t>
            </w:r>
          </w:p>
          <w:p w14:paraId="4B70DE78">
            <w:pPr>
              <w:rPr>
                <w:rFonts w:hint="eastAsia" w:ascii="宋体" w:hAnsi="宋体" w:cs="宋体"/>
                <w:szCs w:val="21"/>
                <w:u w:val="single"/>
              </w:rPr>
            </w:pPr>
            <w:r>
              <w:rPr>
                <w:rFonts w:hint="eastAsia" w:ascii="宋体" w:hAnsi="宋体" w:cs="宋体"/>
                <w:szCs w:val="21"/>
                <w:u w:val="single"/>
              </w:rPr>
              <w:t>（4）解密完成后，公布：a投标人名称；b投标文件递交情况；c投标文件解密情况；d投标担保递交情况；e项目负责人（兼施工负责人）、设计负责人、专职安全员；f投标报价（含设计报价和施工报价）；g工期；h质量标准；i投标人的加密打包投标文件电脑机器特征码等主要内容，并记录在案。未在规定时间内解密的投标文件不参与开标、评标。</w:t>
            </w:r>
          </w:p>
          <w:p w14:paraId="0552B4DA">
            <w:pPr>
              <w:rPr>
                <w:rFonts w:hint="eastAsia" w:ascii="宋体" w:hAnsi="宋体" w:cs="宋体"/>
                <w:szCs w:val="21"/>
                <w:u w:val="single"/>
              </w:rPr>
            </w:pPr>
            <w:r>
              <w:rPr>
                <w:rFonts w:hint="eastAsia" w:ascii="宋体" w:hAnsi="宋体" w:cs="宋体"/>
                <w:szCs w:val="21"/>
                <w:u w:val="single"/>
              </w:rPr>
              <w:t>（5）截标后，开标开始时间因故推迟的，相关评标信息仍以原定的开标开始时间的信息为准。</w:t>
            </w:r>
          </w:p>
          <w:p w14:paraId="2E1F919F">
            <w:pPr>
              <w:rPr>
                <w:rFonts w:hint="eastAsia" w:ascii="宋体" w:hAnsi="宋体" w:cs="宋体"/>
                <w:szCs w:val="21"/>
                <w:u w:val="single"/>
              </w:rPr>
            </w:pPr>
            <w:r>
              <w:rPr>
                <w:rFonts w:hint="eastAsia" w:ascii="宋体" w:hAnsi="宋体" w:cs="宋体"/>
                <w:szCs w:val="21"/>
                <w:u w:val="single"/>
              </w:rPr>
              <w:t>（6）备用光盘的读取按“10 电子招标投标”第6点的规定执行。</w:t>
            </w:r>
          </w:p>
          <w:p w14:paraId="363E4C79">
            <w:pPr>
              <w:rPr>
                <w:rFonts w:hint="eastAsia" w:ascii="宋体" w:hAnsi="宋体" w:cs="宋体"/>
                <w:szCs w:val="21"/>
                <w:u w:val="single"/>
              </w:rPr>
            </w:pPr>
            <w:r>
              <w:rPr>
                <w:rFonts w:hint="eastAsia" w:ascii="宋体" w:hAnsi="宋体" w:cs="宋体"/>
                <w:szCs w:val="21"/>
                <w:u w:val="single"/>
              </w:rPr>
              <w:t>（7）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3D0E4259">
            <w:pPr>
              <w:rPr>
                <w:rFonts w:hint="eastAsia" w:ascii="宋体" w:hAnsi="宋体" w:cs="宋体"/>
                <w:szCs w:val="21"/>
                <w:u w:val="single"/>
              </w:rPr>
            </w:pPr>
            <w:r>
              <w:rPr>
                <w:rFonts w:hint="eastAsia" w:ascii="宋体" w:hAnsi="宋体" w:cs="宋体"/>
                <w:szCs w:val="21"/>
                <w:u w:val="single"/>
              </w:rPr>
              <w:t>（8）参加现场开标的投标人对开标结果有异议的，应当在开标现场提出，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66831ADA">
            <w:pPr>
              <w:rPr>
                <w:rFonts w:hint="eastAsia" w:ascii="宋体" w:hAnsi="宋体" w:cs="宋体"/>
                <w:szCs w:val="21"/>
                <w:u w:val="single"/>
              </w:rPr>
            </w:pPr>
            <w:r>
              <w:rPr>
                <w:rFonts w:hint="eastAsia" w:ascii="宋体" w:hAnsi="宋体" w:cs="宋体"/>
                <w:szCs w:val="21"/>
                <w:u w:val="single"/>
              </w:rPr>
              <w:t>（9）投标人未参加开标或在规定的时间内未提出异议的，视为对开标无异议。</w:t>
            </w:r>
          </w:p>
          <w:p w14:paraId="73AF090A">
            <w:pPr>
              <w:rPr>
                <w:rFonts w:hint="eastAsia" w:ascii="宋体" w:hAnsi="宋体" w:cs="宋体"/>
                <w:szCs w:val="21"/>
                <w:u w:val="single"/>
              </w:rPr>
            </w:pPr>
            <w:r>
              <w:rPr>
                <w:rFonts w:hint="eastAsia" w:ascii="宋体" w:hAnsi="宋体" w:cs="宋体"/>
                <w:szCs w:val="21"/>
                <w:u w:val="single"/>
              </w:rPr>
              <w:t>（10）开标时，两个（含两个）以上的投标人加密打包投标文件电脑机器特征码一致的，不参与下一程序，并由评标委员会否决其投标。</w:t>
            </w:r>
          </w:p>
          <w:p w14:paraId="1E13129C">
            <w:pPr>
              <w:rPr>
                <w:rFonts w:hint="eastAsia" w:ascii="宋体" w:hAnsi="宋体" w:cs="宋体"/>
                <w:szCs w:val="21"/>
                <w:u w:val="single"/>
              </w:rPr>
            </w:pPr>
            <w:r>
              <w:rPr>
                <w:rFonts w:hint="eastAsia" w:ascii="宋体" w:hAnsi="宋体" w:cs="宋体"/>
                <w:szCs w:val="21"/>
                <w:u w:val="single"/>
              </w:rPr>
              <w:t>（11）投标文件（设计方案）开标时不得开启，在评标时由交易平台随机编号后开启，交由评标委员会进行评审。编号所对应的投标人在设计方案评审结束前不得告知评标委员会、交易平台工作人员、招标人或招标代理机构。</w:t>
            </w:r>
          </w:p>
          <w:p w14:paraId="00A4015B">
            <w:pPr>
              <w:rPr>
                <w:rFonts w:hint="eastAsia" w:ascii="宋体" w:hAnsi="宋体" w:cs="宋体"/>
                <w:szCs w:val="21"/>
                <w:u w:val="single"/>
              </w:rPr>
            </w:pPr>
            <w:r>
              <w:rPr>
                <w:rFonts w:hint="eastAsia" w:ascii="宋体" w:hAnsi="宋体" w:cs="宋体"/>
                <w:szCs w:val="21"/>
                <w:u w:val="single"/>
              </w:rPr>
              <w:t>（12）投标人代表、招标人代表、监标人、记录人等有关人员在开标记录上签字确认；若有关人员不签字的，不影响开标程序；</w:t>
            </w:r>
          </w:p>
          <w:p w14:paraId="47360F2A">
            <w:pPr>
              <w:rPr>
                <w:rFonts w:hint="eastAsia" w:ascii="宋体" w:hAnsi="宋体" w:cs="宋体"/>
                <w:szCs w:val="21"/>
              </w:rPr>
            </w:pPr>
            <w:r>
              <w:rPr>
                <w:rFonts w:hint="eastAsia" w:ascii="宋体" w:hAnsi="宋体" w:cs="宋体"/>
                <w:szCs w:val="21"/>
                <w:u w:val="single"/>
              </w:rPr>
              <w:t>（13）开标结束。</w:t>
            </w:r>
          </w:p>
        </w:tc>
      </w:tr>
      <w:tr w14:paraId="4397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165" w:type="dxa"/>
            <w:noWrap w:val="0"/>
            <w:vAlign w:val="center"/>
          </w:tcPr>
          <w:p w14:paraId="19E2102C">
            <w:pPr>
              <w:jc w:val="center"/>
              <w:rPr>
                <w:rFonts w:hint="eastAsia" w:ascii="宋体" w:hAnsi="宋体" w:cs="宋体"/>
                <w:szCs w:val="21"/>
              </w:rPr>
            </w:pPr>
            <w:r>
              <w:rPr>
                <w:rFonts w:hint="eastAsia" w:ascii="宋体" w:hAnsi="宋体" w:cs="宋体"/>
                <w:szCs w:val="21"/>
              </w:rPr>
              <w:t>6.1.1</w:t>
            </w:r>
          </w:p>
        </w:tc>
        <w:tc>
          <w:tcPr>
            <w:tcW w:w="2353" w:type="dxa"/>
            <w:gridSpan w:val="2"/>
            <w:noWrap w:val="0"/>
            <w:vAlign w:val="center"/>
          </w:tcPr>
          <w:p w14:paraId="40EE865D">
            <w:pPr>
              <w:jc w:val="center"/>
              <w:rPr>
                <w:rFonts w:hint="eastAsia" w:ascii="宋体" w:hAnsi="宋体" w:cs="宋体"/>
                <w:szCs w:val="21"/>
              </w:rPr>
            </w:pPr>
            <w:r>
              <w:rPr>
                <w:rFonts w:hint="eastAsia" w:ascii="宋体" w:hAnsi="宋体" w:cs="宋体"/>
                <w:szCs w:val="21"/>
              </w:rPr>
              <w:t>评标委员会的组建</w:t>
            </w:r>
          </w:p>
        </w:tc>
        <w:tc>
          <w:tcPr>
            <w:tcW w:w="5659" w:type="dxa"/>
            <w:noWrap w:val="0"/>
            <w:vAlign w:val="center"/>
          </w:tcPr>
          <w:p w14:paraId="714F62CF">
            <w:pPr>
              <w:rPr>
                <w:rFonts w:hint="eastAsia" w:ascii="宋体" w:hAnsi="宋体" w:cs="宋体"/>
                <w:szCs w:val="21"/>
              </w:rPr>
            </w:pPr>
            <w:r>
              <w:rPr>
                <w:rFonts w:hint="eastAsia" w:ascii="宋体" w:hAnsi="宋体" w:cs="宋体"/>
                <w:szCs w:val="21"/>
              </w:rPr>
              <w:t>评标委员会由招标人依法组建。</w:t>
            </w:r>
          </w:p>
        </w:tc>
      </w:tr>
      <w:tr w14:paraId="48A81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65" w:type="dxa"/>
            <w:noWrap w:val="0"/>
            <w:vAlign w:val="center"/>
          </w:tcPr>
          <w:p w14:paraId="58F74F0A">
            <w:pPr>
              <w:jc w:val="center"/>
              <w:rPr>
                <w:rFonts w:hint="eastAsia" w:ascii="宋体" w:hAnsi="宋体" w:cs="宋体"/>
                <w:szCs w:val="21"/>
              </w:rPr>
            </w:pPr>
            <w:r>
              <w:rPr>
                <w:rFonts w:hint="eastAsia" w:ascii="宋体" w:hAnsi="宋体" w:cs="宋体"/>
                <w:szCs w:val="21"/>
              </w:rPr>
              <w:t>7.1</w:t>
            </w:r>
          </w:p>
        </w:tc>
        <w:tc>
          <w:tcPr>
            <w:tcW w:w="2353" w:type="dxa"/>
            <w:gridSpan w:val="2"/>
            <w:noWrap w:val="0"/>
            <w:vAlign w:val="center"/>
          </w:tcPr>
          <w:p w14:paraId="3CE8B60A">
            <w:pPr>
              <w:jc w:val="center"/>
              <w:rPr>
                <w:rFonts w:hint="eastAsia" w:ascii="宋体" w:hAnsi="宋体" w:cs="宋体"/>
                <w:szCs w:val="21"/>
              </w:rPr>
            </w:pPr>
            <w:r>
              <w:rPr>
                <w:rFonts w:hint="eastAsia" w:ascii="宋体" w:hAnsi="宋体" w:cs="宋体"/>
                <w:szCs w:val="21"/>
              </w:rPr>
              <w:t>是否授权评标委员会确定中标人</w:t>
            </w:r>
          </w:p>
        </w:tc>
        <w:tc>
          <w:tcPr>
            <w:tcW w:w="5659" w:type="dxa"/>
            <w:noWrap w:val="0"/>
            <w:vAlign w:val="center"/>
          </w:tcPr>
          <w:p w14:paraId="267C015F">
            <w:pPr>
              <w:rPr>
                <w:rFonts w:hint="eastAsia" w:ascii="宋体" w:hAnsi="宋体" w:cs="宋体"/>
                <w:szCs w:val="21"/>
              </w:rPr>
            </w:pPr>
            <w:r>
              <w:rPr>
                <w:rFonts w:hint="eastAsia" w:ascii="宋体" w:hAnsi="宋体" w:cs="宋体"/>
                <w:szCs w:val="21"/>
              </w:rPr>
              <w:t>□是</w:t>
            </w:r>
          </w:p>
          <w:p w14:paraId="632BE31D">
            <w:pPr>
              <w:rPr>
                <w:rFonts w:hint="eastAsia" w:ascii="宋体" w:hAnsi="宋体" w:cs="宋体"/>
                <w:szCs w:val="21"/>
              </w:rPr>
            </w:pPr>
            <w:r>
              <w:rPr>
                <w:rFonts w:hint="eastAsia" w:ascii="宋体" w:hAnsi="宋体" w:cs="宋体"/>
              </w:rPr>
              <w:t>■</w:t>
            </w:r>
            <w:r>
              <w:rPr>
                <w:rFonts w:hint="eastAsia" w:ascii="宋体" w:hAnsi="宋体" w:cs="宋体"/>
                <w:szCs w:val="21"/>
              </w:rPr>
              <w:t>否，推荐的中标候选人数：3人。</w:t>
            </w:r>
          </w:p>
        </w:tc>
      </w:tr>
      <w:tr w14:paraId="63A69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165" w:type="dxa"/>
            <w:noWrap w:val="0"/>
            <w:vAlign w:val="center"/>
          </w:tcPr>
          <w:p w14:paraId="0A744764">
            <w:pPr>
              <w:jc w:val="center"/>
              <w:rPr>
                <w:rFonts w:hint="eastAsia" w:ascii="宋体" w:hAnsi="宋体" w:cs="宋体"/>
                <w:szCs w:val="21"/>
              </w:rPr>
            </w:pPr>
            <w:r>
              <w:rPr>
                <w:rFonts w:hint="eastAsia" w:ascii="宋体" w:hAnsi="宋体" w:cs="宋体"/>
                <w:szCs w:val="21"/>
              </w:rPr>
              <w:t>7.2</w:t>
            </w:r>
          </w:p>
        </w:tc>
        <w:tc>
          <w:tcPr>
            <w:tcW w:w="2353" w:type="dxa"/>
            <w:gridSpan w:val="2"/>
            <w:noWrap w:val="0"/>
            <w:vAlign w:val="center"/>
          </w:tcPr>
          <w:p w14:paraId="48DC9D64">
            <w:pPr>
              <w:jc w:val="center"/>
              <w:rPr>
                <w:rFonts w:hint="eastAsia" w:ascii="宋体" w:hAnsi="宋体" w:cs="宋体"/>
                <w:szCs w:val="21"/>
              </w:rPr>
            </w:pPr>
            <w:r>
              <w:rPr>
                <w:rFonts w:hint="eastAsia" w:ascii="宋体" w:hAnsi="宋体" w:cs="宋体"/>
                <w:szCs w:val="21"/>
              </w:rPr>
              <w:t>中标候选人公示媒介</w:t>
            </w:r>
          </w:p>
        </w:tc>
        <w:tc>
          <w:tcPr>
            <w:tcW w:w="5659" w:type="dxa"/>
            <w:noWrap w:val="0"/>
            <w:vAlign w:val="center"/>
          </w:tcPr>
          <w:p w14:paraId="02340936">
            <w:pPr>
              <w:rPr>
                <w:rFonts w:hint="eastAsia" w:ascii="宋体" w:hAnsi="宋体" w:cs="宋体"/>
                <w:szCs w:val="21"/>
              </w:rPr>
            </w:pPr>
            <w:r>
              <w:rPr>
                <w:rFonts w:hint="eastAsia" w:ascii="宋体" w:hAnsi="宋体" w:cs="宋体"/>
                <w:szCs w:val="21"/>
              </w:rPr>
              <w:t>中国招标投标公共服务平台、广东省招标投标监管网、广州交易集团有限公司（广州公共资源交易中心）网站</w:t>
            </w:r>
          </w:p>
        </w:tc>
      </w:tr>
      <w:tr w14:paraId="754F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64C6F735">
            <w:pPr>
              <w:jc w:val="center"/>
              <w:rPr>
                <w:rFonts w:hint="eastAsia" w:ascii="宋体" w:hAnsi="宋体" w:cs="宋体"/>
                <w:szCs w:val="21"/>
              </w:rPr>
            </w:pPr>
            <w:r>
              <w:rPr>
                <w:rFonts w:hint="eastAsia" w:ascii="宋体" w:hAnsi="宋体" w:cs="宋体"/>
                <w:szCs w:val="21"/>
              </w:rPr>
              <w:t>7.4.1</w:t>
            </w:r>
          </w:p>
        </w:tc>
        <w:tc>
          <w:tcPr>
            <w:tcW w:w="2353" w:type="dxa"/>
            <w:gridSpan w:val="2"/>
            <w:noWrap w:val="0"/>
            <w:vAlign w:val="center"/>
          </w:tcPr>
          <w:p w14:paraId="163FAD75">
            <w:pPr>
              <w:jc w:val="center"/>
              <w:rPr>
                <w:rFonts w:hint="eastAsia" w:ascii="宋体" w:hAnsi="宋体" w:cs="宋体"/>
                <w:szCs w:val="21"/>
              </w:rPr>
            </w:pPr>
            <w:r>
              <w:rPr>
                <w:rFonts w:hint="eastAsia" w:ascii="宋体" w:hAnsi="宋体" w:cs="宋体"/>
                <w:szCs w:val="21"/>
              </w:rPr>
              <w:t>履约担保</w:t>
            </w:r>
          </w:p>
        </w:tc>
        <w:tc>
          <w:tcPr>
            <w:tcW w:w="5659" w:type="dxa"/>
            <w:noWrap w:val="0"/>
            <w:vAlign w:val="center"/>
          </w:tcPr>
          <w:p w14:paraId="5AC3AD1E">
            <w:pPr>
              <w:rPr>
                <w:rFonts w:hint="eastAsia" w:ascii="宋体" w:hAnsi="宋体" w:cs="宋体"/>
                <w:szCs w:val="21"/>
              </w:rPr>
            </w:pPr>
            <w:r>
              <w:rPr>
                <w:rFonts w:hint="eastAsia" w:ascii="宋体" w:hAnsi="宋体" w:cs="宋体"/>
                <w:szCs w:val="21"/>
              </w:rPr>
              <w:t>履约担保的形式：</w:t>
            </w:r>
            <w:r>
              <w:rPr>
                <w:rFonts w:hint="eastAsia" w:ascii="宋体" w:hAnsi="宋体" w:cs="宋体"/>
                <w:kern w:val="0"/>
                <w:szCs w:val="21"/>
              </w:rPr>
              <w:t>以合同约定为准</w:t>
            </w:r>
            <w:r>
              <w:rPr>
                <w:rFonts w:hint="eastAsia" w:ascii="宋体" w:hAnsi="宋体" w:cs="宋体"/>
                <w:szCs w:val="21"/>
              </w:rPr>
              <w:t>。</w:t>
            </w:r>
          </w:p>
          <w:p w14:paraId="61A927BA">
            <w:pPr>
              <w:rPr>
                <w:rFonts w:hint="eastAsia" w:ascii="宋体" w:hAnsi="宋体" w:cs="宋体"/>
                <w:u w:val="single"/>
              </w:rPr>
            </w:pPr>
            <w:r>
              <w:rPr>
                <w:rFonts w:hint="eastAsia" w:ascii="宋体" w:hAnsi="宋体" w:cs="宋体"/>
                <w:szCs w:val="21"/>
              </w:rPr>
              <w:t>履约担保的金额：</w:t>
            </w:r>
            <w:r>
              <w:rPr>
                <w:rFonts w:hint="eastAsia" w:ascii="宋体" w:hAnsi="宋体" w:cs="宋体"/>
                <w:u w:val="single"/>
              </w:rPr>
              <w:t>施工费中标价款的10%（联合体投标的由联合体主办方提供）。</w:t>
            </w:r>
          </w:p>
          <w:p w14:paraId="16B19C60">
            <w:pPr>
              <w:rPr>
                <w:rFonts w:hint="eastAsia" w:ascii="宋体" w:hAnsi="宋体" w:cs="宋体"/>
                <w:szCs w:val="21"/>
              </w:rPr>
            </w:pPr>
            <w:r>
              <w:rPr>
                <w:rFonts w:hint="eastAsia" w:ascii="宋体" w:hAnsi="宋体" w:cs="宋体"/>
                <w:szCs w:val="21"/>
              </w:rPr>
              <w:t>担保期限从提供履约担保之日起至合同工程结算审定完成并移交工程档案后止。（履约保函到期但本项目未工程结算的，无论何种原因，投标人承诺无条件续保，如履约保函到期不提供续保则承担一般违约责任）</w:t>
            </w:r>
          </w:p>
        </w:tc>
      </w:tr>
      <w:tr w14:paraId="178A1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73324E11">
            <w:pPr>
              <w:jc w:val="center"/>
              <w:rPr>
                <w:rFonts w:hint="eastAsia" w:ascii="宋体" w:hAnsi="宋体" w:cs="宋体"/>
                <w:b/>
                <w:szCs w:val="21"/>
              </w:rPr>
            </w:pPr>
            <w:r>
              <w:rPr>
                <w:rFonts w:hint="eastAsia" w:ascii="宋体" w:hAnsi="宋体" w:cs="宋体"/>
                <w:b/>
                <w:szCs w:val="21"/>
              </w:rPr>
              <w:t>9</w:t>
            </w:r>
          </w:p>
        </w:tc>
        <w:tc>
          <w:tcPr>
            <w:tcW w:w="8012" w:type="dxa"/>
            <w:gridSpan w:val="3"/>
            <w:noWrap w:val="0"/>
            <w:vAlign w:val="center"/>
          </w:tcPr>
          <w:p w14:paraId="35289F1E">
            <w:pPr>
              <w:jc w:val="center"/>
              <w:rPr>
                <w:rFonts w:hint="eastAsia" w:ascii="宋体" w:hAnsi="宋体" w:cs="宋体"/>
                <w:b/>
                <w:szCs w:val="21"/>
              </w:rPr>
            </w:pPr>
            <w:r>
              <w:rPr>
                <w:rFonts w:hint="eastAsia" w:ascii="宋体" w:hAnsi="宋体" w:cs="宋体"/>
                <w:b/>
                <w:szCs w:val="21"/>
              </w:rPr>
              <w:t>需要补充的其他内容</w:t>
            </w:r>
          </w:p>
        </w:tc>
      </w:tr>
      <w:tr w14:paraId="56809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38E1E511">
            <w:pPr>
              <w:jc w:val="center"/>
              <w:rPr>
                <w:rFonts w:hint="eastAsia" w:ascii="宋体" w:hAnsi="宋体" w:cs="宋体"/>
                <w:szCs w:val="21"/>
              </w:rPr>
            </w:pPr>
            <w:r>
              <w:rPr>
                <w:rFonts w:hint="eastAsia" w:ascii="宋体" w:hAnsi="宋体" w:cs="宋体"/>
                <w:szCs w:val="21"/>
              </w:rPr>
              <w:t>9.1</w:t>
            </w:r>
          </w:p>
        </w:tc>
        <w:tc>
          <w:tcPr>
            <w:tcW w:w="8012" w:type="dxa"/>
            <w:gridSpan w:val="3"/>
            <w:noWrap w:val="0"/>
            <w:vAlign w:val="center"/>
          </w:tcPr>
          <w:p w14:paraId="7F156068">
            <w:pPr>
              <w:rPr>
                <w:rFonts w:hint="eastAsia" w:ascii="宋体" w:hAnsi="宋体" w:cs="宋体"/>
              </w:rPr>
            </w:pPr>
            <w:r>
              <w:rPr>
                <w:rFonts w:hint="eastAsia" w:ascii="宋体" w:hAnsi="宋体" w:cs="宋体"/>
              </w:rPr>
              <w:t>建设工程质量检测管理办法：</w:t>
            </w:r>
          </w:p>
          <w:p w14:paraId="2E223433">
            <w:pPr>
              <w:jc w:val="left"/>
              <w:rPr>
                <w:rFonts w:hint="eastAsia" w:ascii="宋体" w:hAnsi="宋体" w:cs="宋体"/>
                <w:b/>
                <w:szCs w:val="21"/>
              </w:rPr>
            </w:pPr>
            <w:r>
              <w:rPr>
                <w:rFonts w:hint="eastAsia" w:ascii="宋体" w:hAnsi="宋体" w:cs="宋体"/>
              </w:rPr>
              <w:t>根据《建设工程质量检测管理办法》（建设部令第141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6BCD2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5A9E13CD">
            <w:pPr>
              <w:jc w:val="center"/>
              <w:rPr>
                <w:rFonts w:hint="eastAsia" w:ascii="宋体" w:hAnsi="宋体" w:cs="宋体"/>
                <w:szCs w:val="21"/>
              </w:rPr>
            </w:pPr>
            <w:r>
              <w:rPr>
                <w:rFonts w:hint="eastAsia" w:ascii="宋体" w:hAnsi="宋体" w:cs="宋体"/>
                <w:szCs w:val="21"/>
              </w:rPr>
              <w:t>9.2</w:t>
            </w:r>
          </w:p>
        </w:tc>
        <w:tc>
          <w:tcPr>
            <w:tcW w:w="8012" w:type="dxa"/>
            <w:gridSpan w:val="3"/>
            <w:noWrap w:val="0"/>
            <w:vAlign w:val="center"/>
          </w:tcPr>
          <w:p w14:paraId="4B71D197">
            <w:pPr>
              <w:rPr>
                <w:rFonts w:hint="eastAsia" w:ascii="宋体" w:hAnsi="宋体" w:cs="宋体"/>
              </w:rPr>
            </w:pPr>
            <w:r>
              <w:rPr>
                <w:rFonts w:hint="eastAsia" w:ascii="宋体" w:hAnsi="宋体" w:cs="宋体"/>
              </w:rPr>
              <w:t>在招标和合同实施期间，招标人要求投标人和承包人遵守最高的道德标准。</w:t>
            </w:r>
          </w:p>
          <w:p w14:paraId="12577F36">
            <w:pPr>
              <w:rPr>
                <w:rFonts w:hint="eastAsia" w:ascii="宋体" w:hAnsi="宋体" w:cs="宋体"/>
              </w:rPr>
            </w:pPr>
            <w:r>
              <w:rPr>
                <w:rFonts w:hint="eastAsia" w:ascii="宋体" w:hAnsi="宋体" w:cs="宋体"/>
              </w:rPr>
              <w:t>1</w:t>
            </w:r>
            <w:r>
              <w:rPr>
                <w:rFonts w:hint="eastAsia" w:ascii="宋体" w:hAnsi="宋体" w:cs="宋体"/>
                <w:szCs w:val="21"/>
              </w:rPr>
              <w:t>．</w:t>
            </w:r>
            <w:r>
              <w:rPr>
                <w:rFonts w:hint="eastAsia" w:ascii="宋体" w:hAnsi="宋体" w:cs="宋体"/>
              </w:rPr>
              <w:t>对本条款的规定，特定义如下词汇：</w:t>
            </w:r>
          </w:p>
          <w:p w14:paraId="3C0B094E">
            <w:pPr>
              <w:rPr>
                <w:rFonts w:hint="eastAsia" w:ascii="宋体" w:hAnsi="宋体" w:cs="宋体"/>
              </w:rPr>
            </w:pPr>
            <w:r>
              <w:rPr>
                <w:rFonts w:hint="eastAsia" w:ascii="宋体" w:hAnsi="宋体" w:cs="宋体"/>
              </w:rPr>
              <w:t>（1）“腐败行为”是指在招标或合同执行期间，通过提供、给予、接受或索要任何有价值的东西，从而影响招标人有关人员工作的行为；</w:t>
            </w:r>
          </w:p>
          <w:p w14:paraId="7E4BCDE4">
            <w:pPr>
              <w:rPr>
                <w:rFonts w:hint="eastAsia" w:ascii="宋体" w:hAnsi="宋体" w:cs="宋体"/>
              </w:rPr>
            </w:pPr>
            <w:r>
              <w:rPr>
                <w:rFonts w:hint="eastAsia" w:ascii="宋体" w:hAnsi="宋体" w:cs="宋体"/>
              </w:rPr>
              <w:t>（2）“欺诈行为”是指通过提供伪证影响招标或合同执行，从而损害招标人利益的行为；也包括投标人之间串通（在提交投标书之前或之后），人为地使招标过程失去竞争性，从而使招标人无法从公开的自由竞争中获得利益的行为。</w:t>
            </w:r>
          </w:p>
          <w:p w14:paraId="6DCFB065">
            <w:pPr>
              <w:jc w:val="left"/>
              <w:rPr>
                <w:rFonts w:hint="eastAsia" w:ascii="宋体" w:hAnsi="宋体" w:cs="宋体"/>
              </w:rPr>
            </w:pPr>
            <w:r>
              <w:rPr>
                <w:rFonts w:hint="eastAsia" w:ascii="宋体" w:hAnsi="宋体" w:cs="宋体"/>
              </w:rPr>
              <w:t>2</w:t>
            </w:r>
            <w:r>
              <w:rPr>
                <w:rFonts w:hint="eastAsia" w:ascii="宋体" w:hAnsi="宋体" w:cs="宋体"/>
                <w:szCs w:val="21"/>
              </w:rPr>
              <w:t>．</w:t>
            </w:r>
            <w:r>
              <w:rPr>
                <w:rFonts w:hint="eastAsia" w:ascii="宋体" w:hAnsi="宋体" w:cs="宋体"/>
              </w:rPr>
              <w:t>如果投标人被认定在本招标的竞争中有腐败或欺诈行为，则会被取消投标资格。</w:t>
            </w:r>
          </w:p>
        </w:tc>
      </w:tr>
      <w:tr w14:paraId="72349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126880EA">
            <w:pPr>
              <w:jc w:val="center"/>
              <w:rPr>
                <w:rFonts w:hint="eastAsia" w:ascii="宋体" w:hAnsi="宋体" w:cs="宋体"/>
                <w:b/>
                <w:szCs w:val="21"/>
              </w:rPr>
            </w:pPr>
            <w:r>
              <w:rPr>
                <w:rFonts w:hint="eastAsia" w:ascii="宋体" w:hAnsi="宋体" w:cs="宋体"/>
                <w:szCs w:val="21"/>
              </w:rPr>
              <w:t>9.3</w:t>
            </w:r>
          </w:p>
        </w:tc>
        <w:tc>
          <w:tcPr>
            <w:tcW w:w="8012" w:type="dxa"/>
            <w:gridSpan w:val="3"/>
            <w:noWrap w:val="0"/>
            <w:vAlign w:val="center"/>
          </w:tcPr>
          <w:p w14:paraId="01DDF3E8">
            <w:pPr>
              <w:rPr>
                <w:rFonts w:hint="eastAsia" w:ascii="宋体" w:hAnsi="宋体" w:cs="宋体"/>
                <w:szCs w:val="21"/>
              </w:rPr>
            </w:pPr>
            <w:r>
              <w:rPr>
                <w:rFonts w:hint="eastAsia" w:ascii="宋体" w:hAnsi="宋体" w:cs="宋体"/>
              </w:rPr>
              <w:t>1</w:t>
            </w:r>
            <w:r>
              <w:rPr>
                <w:rFonts w:hint="eastAsia" w:ascii="宋体" w:hAnsi="宋体" w:cs="宋体"/>
                <w:szCs w:val="21"/>
              </w:rPr>
              <w:t>．</w:t>
            </w:r>
            <w:r>
              <w:rPr>
                <w:rFonts w:hint="eastAsia" w:ascii="宋体" w:hAnsi="宋体" w:cs="宋体"/>
              </w:rPr>
              <w:t>职业</w:t>
            </w:r>
            <w:r>
              <w:rPr>
                <w:rFonts w:hint="eastAsia" w:ascii="宋体" w:hAnsi="宋体" w:cs="宋体"/>
                <w:szCs w:val="21"/>
              </w:rPr>
              <w:t>健康</w:t>
            </w:r>
            <w:r>
              <w:rPr>
                <w:rFonts w:hint="eastAsia" w:ascii="宋体" w:hAnsi="宋体" w:cs="宋体"/>
              </w:rPr>
              <w:t>安全管理目标：</w:t>
            </w:r>
            <w:r>
              <w:rPr>
                <w:rFonts w:hint="eastAsia" w:ascii="宋体" w:hAnsi="宋体" w:cs="宋体"/>
                <w:szCs w:val="21"/>
              </w:rPr>
              <w:t>杜绝发生一般事故等级及以上的伤亡事故且工伤责任事故死亡人数为零。</w:t>
            </w:r>
          </w:p>
          <w:p w14:paraId="28F98655">
            <w:pPr>
              <w:rPr>
                <w:rFonts w:hint="eastAsia" w:ascii="宋体" w:hAnsi="宋体" w:cs="宋体"/>
                <w:szCs w:val="21"/>
              </w:rPr>
            </w:pPr>
            <w:r>
              <w:rPr>
                <w:rFonts w:hint="eastAsia" w:ascii="宋体" w:hAnsi="宋体" w:cs="宋体"/>
                <w:szCs w:val="21"/>
              </w:rPr>
              <w:t>2．环境管理目标：</w:t>
            </w:r>
            <w:r>
              <w:rPr>
                <w:rFonts w:hint="eastAsia" w:ascii="宋体" w:hAnsi="宋体" w:cs="宋体"/>
                <w:bCs/>
                <w:szCs w:val="21"/>
                <w:u w:val="single"/>
              </w:rPr>
              <w:t>严格执行《广州市建设工程文明施工管理规定》（2012年1月5日广州市人民政府令第62号公布，根据2018年2月13日广州市人民政府令第158号《广州市人民政府关于修改〈广州市城市道路临时占用管理办法〉等16件政府规章的决定》修改）</w:t>
            </w:r>
            <w:r>
              <w:rPr>
                <w:rFonts w:hint="eastAsia" w:ascii="宋体" w:hAnsi="宋体" w:cs="宋体"/>
                <w:szCs w:val="21"/>
              </w:rPr>
              <w:t>、《广州市城乡建设委员会关于印发广州市加强建筑工地环保管理工作方案的通知》（穗建质〔2014〕754号）、《广州市住房和城乡建设委员会关于印发建设工程扬尘防治“6个100%”管理标准细化措施的通知》（穗建质〔2018〕1394号）、《广州市住房和城乡建设局等6部委关于印发广州市建设工程绿色施工围蔽指导图集（V2.0）的通知》（穗建质〔2020〕1号）。执行《危险性较大的分部分项工程安全管理规定》（中华人民共和国住房和城乡建设部令第37号）和《关于加强建设工程安全生产管理落实建设各方主体责任的暂行规定》穗建规字〔2017〕21号等最新的规定。</w:t>
            </w:r>
          </w:p>
          <w:p w14:paraId="7D5E3EE3">
            <w:pPr>
              <w:rPr>
                <w:rFonts w:hint="eastAsia" w:ascii="宋体" w:hAnsi="宋体" w:cs="宋体"/>
                <w:szCs w:val="21"/>
              </w:rPr>
            </w:pPr>
            <w:r>
              <w:rPr>
                <w:rFonts w:hint="eastAsia" w:ascii="宋体" w:hAnsi="宋体" w:cs="宋体"/>
                <w:szCs w:val="21"/>
              </w:rPr>
              <w:t>3.质量目标：按招标文件质量标准要求，具体按合同约定；</w:t>
            </w:r>
          </w:p>
          <w:p w14:paraId="229B3962">
            <w:pPr>
              <w:rPr>
                <w:rFonts w:hint="eastAsia" w:ascii="宋体" w:hAnsi="宋体" w:cs="宋体"/>
                <w:szCs w:val="21"/>
              </w:rPr>
            </w:pPr>
            <w:r>
              <w:rPr>
                <w:rFonts w:hint="eastAsia" w:ascii="宋体" w:hAnsi="宋体" w:cs="宋体"/>
                <w:szCs w:val="21"/>
              </w:rPr>
              <w:t>4.费用目标：确保项目总投资不超过工程概算金额，具体按合同约定；</w:t>
            </w:r>
          </w:p>
          <w:p w14:paraId="0C4A5825">
            <w:pPr>
              <w:rPr>
                <w:rFonts w:hint="eastAsia" w:ascii="宋体" w:hAnsi="宋体" w:cs="宋体"/>
              </w:rPr>
            </w:pPr>
            <w:r>
              <w:rPr>
                <w:rFonts w:hint="eastAsia" w:ascii="宋体" w:hAnsi="宋体" w:cs="宋体"/>
                <w:szCs w:val="21"/>
              </w:rPr>
              <w:t>5.进度目标：确保项目建设进度满足招标文件工期要求，具体按合同约定。</w:t>
            </w:r>
          </w:p>
        </w:tc>
      </w:tr>
      <w:tr w14:paraId="25066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48C18A8C">
            <w:pPr>
              <w:jc w:val="center"/>
              <w:rPr>
                <w:rFonts w:hint="eastAsia" w:ascii="宋体" w:hAnsi="宋体" w:cs="宋体"/>
                <w:szCs w:val="21"/>
              </w:rPr>
            </w:pPr>
            <w:r>
              <w:rPr>
                <w:rFonts w:hint="eastAsia" w:ascii="宋体" w:hAnsi="宋体" w:cs="宋体"/>
                <w:szCs w:val="21"/>
              </w:rPr>
              <w:t>9.4</w:t>
            </w:r>
          </w:p>
        </w:tc>
        <w:tc>
          <w:tcPr>
            <w:tcW w:w="8012" w:type="dxa"/>
            <w:gridSpan w:val="3"/>
            <w:noWrap w:val="0"/>
            <w:vAlign w:val="center"/>
          </w:tcPr>
          <w:p w14:paraId="6A66AFAF">
            <w:pPr>
              <w:rPr>
                <w:rFonts w:hint="eastAsia" w:ascii="宋体" w:hAnsi="宋体" w:cs="宋体"/>
                <w:szCs w:val="21"/>
              </w:rPr>
            </w:pPr>
            <w:r>
              <w:rPr>
                <w:rFonts w:hint="eastAsia" w:ascii="宋体" w:hAnsi="宋体" w:cs="宋体"/>
                <w:szCs w:val="21"/>
              </w:rPr>
              <w:t>施工保修期限：按照《建设工程质量管理条例》规定。</w:t>
            </w:r>
          </w:p>
        </w:tc>
      </w:tr>
      <w:tr w14:paraId="12F5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6A503E33">
            <w:pPr>
              <w:jc w:val="center"/>
              <w:rPr>
                <w:rFonts w:hint="eastAsia" w:ascii="宋体" w:hAnsi="宋体" w:cs="宋体"/>
                <w:szCs w:val="21"/>
              </w:rPr>
            </w:pPr>
            <w:r>
              <w:rPr>
                <w:rFonts w:hint="eastAsia" w:ascii="宋体" w:hAnsi="宋体" w:cs="宋体"/>
                <w:szCs w:val="21"/>
              </w:rPr>
              <w:t>9.5</w:t>
            </w:r>
          </w:p>
        </w:tc>
        <w:tc>
          <w:tcPr>
            <w:tcW w:w="8012" w:type="dxa"/>
            <w:gridSpan w:val="3"/>
            <w:noWrap w:val="0"/>
            <w:vAlign w:val="center"/>
          </w:tcPr>
          <w:p w14:paraId="7FC0F6DA">
            <w:pPr>
              <w:rPr>
                <w:rFonts w:hint="eastAsia" w:ascii="宋体" w:hAnsi="宋体" w:cs="宋体"/>
                <w:bCs/>
                <w:snapToGrid w:val="0"/>
                <w:kern w:val="0"/>
                <w:szCs w:val="21"/>
              </w:rPr>
            </w:pPr>
            <w:r>
              <w:rPr>
                <w:rFonts w:hint="eastAsia" w:ascii="宋体" w:hAnsi="宋体" w:cs="宋体"/>
              </w:rPr>
              <w:t>承包方式：</w:t>
            </w:r>
            <w:r>
              <w:rPr>
                <w:rFonts w:hint="eastAsia" w:ascii="宋体" w:hAnsi="宋体" w:cs="宋体"/>
                <w:u w:val="single"/>
              </w:rPr>
              <w:t>包设计（包括深化设计及编制工程概算、施工图设计）、包施工（包工、包料、包工期、包质量、包安全、包文明施工等、包联动调试、包验收、包保修）。</w:t>
            </w:r>
          </w:p>
        </w:tc>
      </w:tr>
      <w:tr w14:paraId="70140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27423791">
            <w:pPr>
              <w:widowControl/>
              <w:jc w:val="center"/>
              <w:rPr>
                <w:rFonts w:hint="eastAsia" w:ascii="宋体" w:hAnsi="宋体" w:cs="宋体"/>
                <w:kern w:val="0"/>
                <w:szCs w:val="21"/>
              </w:rPr>
            </w:pPr>
            <w:r>
              <w:rPr>
                <w:rFonts w:hint="eastAsia" w:ascii="宋体" w:hAnsi="宋体" w:cs="宋体"/>
                <w:kern w:val="0"/>
                <w:szCs w:val="21"/>
              </w:rPr>
              <w:t>9.6</w:t>
            </w:r>
          </w:p>
        </w:tc>
        <w:tc>
          <w:tcPr>
            <w:tcW w:w="8012" w:type="dxa"/>
            <w:gridSpan w:val="3"/>
            <w:noWrap w:val="0"/>
            <w:vAlign w:val="center"/>
          </w:tcPr>
          <w:p w14:paraId="2D23FF0B">
            <w:pPr>
              <w:widowControl/>
              <w:rPr>
                <w:rFonts w:hint="eastAsia" w:ascii="宋体" w:hAnsi="宋体" w:cs="宋体"/>
              </w:rPr>
            </w:pPr>
            <w:r>
              <w:rPr>
                <w:rFonts w:hint="eastAsia" w:ascii="宋体" w:hAnsi="宋体" w:cs="宋体"/>
              </w:rPr>
              <w:t>根据相关规定本项目如需办理规划许可证的，投标人需根据相关文件协助招标人办理。</w:t>
            </w:r>
          </w:p>
        </w:tc>
      </w:tr>
      <w:tr w14:paraId="22442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4A590080">
            <w:pPr>
              <w:jc w:val="center"/>
              <w:rPr>
                <w:rFonts w:hint="eastAsia" w:ascii="宋体" w:hAnsi="宋体" w:cs="宋体"/>
                <w:szCs w:val="21"/>
              </w:rPr>
            </w:pPr>
            <w:r>
              <w:rPr>
                <w:rFonts w:hint="eastAsia" w:ascii="宋体" w:hAnsi="宋体" w:cs="宋体"/>
                <w:szCs w:val="21"/>
              </w:rPr>
              <w:t>10</w:t>
            </w:r>
          </w:p>
        </w:tc>
        <w:tc>
          <w:tcPr>
            <w:tcW w:w="2353" w:type="dxa"/>
            <w:gridSpan w:val="2"/>
            <w:noWrap w:val="0"/>
            <w:vAlign w:val="center"/>
          </w:tcPr>
          <w:p w14:paraId="7E50E91C">
            <w:pPr>
              <w:jc w:val="center"/>
              <w:rPr>
                <w:rFonts w:hint="eastAsia" w:ascii="宋体" w:hAnsi="宋体" w:cs="宋体"/>
                <w:szCs w:val="21"/>
              </w:rPr>
            </w:pPr>
            <w:r>
              <w:rPr>
                <w:rFonts w:hint="eastAsia" w:ascii="宋体" w:hAnsi="宋体" w:cs="宋体"/>
                <w:szCs w:val="21"/>
              </w:rPr>
              <w:t>电子招标投标</w:t>
            </w:r>
          </w:p>
        </w:tc>
        <w:tc>
          <w:tcPr>
            <w:tcW w:w="5659" w:type="dxa"/>
            <w:noWrap w:val="0"/>
            <w:vAlign w:val="center"/>
          </w:tcPr>
          <w:p w14:paraId="4EBCBC8A">
            <w:pPr>
              <w:rPr>
                <w:rFonts w:hint="eastAsia" w:ascii="宋体" w:hAnsi="宋体" w:cs="宋体"/>
              </w:rPr>
            </w:pPr>
            <w:r>
              <w:rPr>
                <w:rFonts w:hint="eastAsia" w:ascii="宋体" w:hAnsi="宋体" w:cs="宋体"/>
                <w:szCs w:val="21"/>
              </w:rPr>
              <w:t>□</w:t>
            </w:r>
            <w:r>
              <w:rPr>
                <w:rFonts w:hint="eastAsia" w:ascii="宋体" w:hAnsi="宋体" w:cs="宋体"/>
              </w:rPr>
              <w:t>否</w:t>
            </w:r>
          </w:p>
          <w:p w14:paraId="482680A8">
            <w:pPr>
              <w:rPr>
                <w:rFonts w:hint="eastAsia" w:ascii="宋体" w:hAnsi="宋体" w:cs="宋体"/>
              </w:rPr>
            </w:pPr>
            <w:r>
              <w:rPr>
                <w:rFonts w:hint="eastAsia" w:ascii="宋体" w:hAnsi="宋体" w:cs="宋体"/>
              </w:rPr>
              <w:t>■是，具体要求：</w:t>
            </w:r>
          </w:p>
          <w:p w14:paraId="6C74BC1D">
            <w:pPr>
              <w:pStyle w:val="13"/>
              <w:rPr>
                <w:rFonts w:hint="eastAsia" w:ascii="宋体" w:hAnsi="宋体" w:eastAsia="宋体" w:cs="宋体"/>
              </w:rPr>
            </w:pPr>
            <w:r>
              <w:rPr>
                <w:rFonts w:hint="eastAsia" w:ascii="宋体" w:hAnsi="宋体" w:eastAsia="宋体" w:cs="宋体"/>
              </w:rPr>
              <w:t>1．投标文件形式：投标文件全部采用电子文档，投标文件应按交易平台相关操作指南编制。如不按上述要求编制引起系统无法检索、读取相关信息的，其后果由投标人承担。投标文件所附证书证件均为原件扫描件，并采用单位数字证书，按招标文件要求在相应位置加盖电子印章。投标文件中需个人签字或盖章的，应加盖个人电子印章或在线下完成后扫描上传。具体操作详见交易平台相关操作指南。</w:t>
            </w:r>
          </w:p>
          <w:p w14:paraId="0618AA81">
            <w:pPr>
              <w:pStyle w:val="13"/>
              <w:rPr>
                <w:rFonts w:hint="eastAsia" w:ascii="宋体" w:hAnsi="宋体" w:eastAsia="宋体" w:cs="宋体"/>
              </w:rPr>
            </w:pPr>
            <w:r>
              <w:rPr>
                <w:rFonts w:hint="eastAsia" w:ascii="宋体" w:hAnsi="宋体" w:eastAsia="宋体" w:cs="宋体"/>
              </w:rPr>
              <w:t>2．投标文件的修改与撤回：投标人修改或撤回已递交的投标文件，需在交易平台发出撤回通知，并按要求加盖电子印章。电子招标投标交易平台收到通知后，即时向投标人发出确认回执通知。</w:t>
            </w:r>
          </w:p>
          <w:p w14:paraId="6CCB2A53">
            <w:pPr>
              <w:pStyle w:val="13"/>
              <w:rPr>
                <w:rFonts w:hint="eastAsia" w:ascii="宋体" w:hAnsi="宋体" w:eastAsia="宋体" w:cs="宋体"/>
              </w:rPr>
            </w:pPr>
            <w:r>
              <w:rPr>
                <w:rFonts w:hint="eastAsia" w:ascii="宋体" w:hAnsi="宋体" w:eastAsia="宋体" w:cs="宋体"/>
              </w:rPr>
              <w:t>3．（重要风险提示）备用光盘或U盘。投标人将按《房建市政全流程电子化项目操作专章》的操作方法制作的非加密的电子投标文件刻入光盘或U盘（设计方案投标文件、工程总承包实施方案（含资格审查）投标文件、揭晓文件（揭晓文件指：附与设计方案投标文件一致的效果图一页，效果图需为加盖投标人（主办方）公章的扫描件，用于分辨投标文件对应的投标人身份）应分别刻录在不同的光盘或U盘，在规定的时间、地点提交备用。刻录好的投标文件光盘或U盘密封在密封袋中，并在封口处加盖投标人单位公章（设计方案投标文件备用光盘或U盘及揭晓文件除外）。密封袋上应写明（项目名称）投标文件（设计方案投标文件/工程总承包实施方案（含资格审查）投标文件/揭晓文件）。递交的投标文件光盘或U盘不得加密。投标文件光盘或U盘无法读取或导入的，则视为未提交备用投标文件光盘或U盘。如果投标人没有按规定通过交易平台网上递交电子投标文件的，不再接受提交的光盘或U盘。投标人也可不提交投标文件光盘或U盘（备用）。</w:t>
            </w:r>
          </w:p>
          <w:p w14:paraId="62F8025F">
            <w:pPr>
              <w:pStyle w:val="13"/>
              <w:rPr>
                <w:rFonts w:hint="eastAsia" w:ascii="宋体" w:hAnsi="宋体" w:eastAsia="宋体" w:cs="宋体"/>
              </w:rPr>
            </w:pPr>
            <w:r>
              <w:rPr>
                <w:rFonts w:hint="eastAsia" w:ascii="宋体" w:hAnsi="宋体" w:eastAsia="宋体" w:cs="宋体"/>
              </w:rPr>
              <w:t>4．投标文件的递交：</w:t>
            </w:r>
          </w:p>
          <w:p w14:paraId="45143AC4">
            <w:pPr>
              <w:pStyle w:val="13"/>
              <w:rPr>
                <w:rFonts w:hint="eastAsia" w:ascii="宋体" w:hAnsi="宋体" w:eastAsia="宋体" w:cs="宋体"/>
              </w:rPr>
            </w:pPr>
            <w:r>
              <w:rPr>
                <w:rFonts w:hint="eastAsia" w:ascii="宋体" w:hAnsi="宋体" w:eastAsia="宋体" w:cs="宋体"/>
              </w:rPr>
              <w:t>（1）投标文件递交的截止时间（投标截止时间，下同）为2025年月日时分，投标人应在截止时间前通过电子招标投标交易平台递交电子投标文件。（具体时间以广州交易集团有限公司（广州公共资源交易中心）网站发布为准。）</w:t>
            </w:r>
          </w:p>
          <w:p w14:paraId="471CAF91">
            <w:pPr>
              <w:pStyle w:val="13"/>
              <w:rPr>
                <w:rFonts w:hint="eastAsia" w:ascii="宋体" w:hAnsi="宋体" w:eastAsia="宋体" w:cs="宋体"/>
              </w:rPr>
            </w:pPr>
            <w:r>
              <w:rPr>
                <w:rFonts w:hint="eastAsia" w:ascii="宋体" w:hAnsi="宋体" w:eastAsia="宋体" w:cs="宋体"/>
              </w:rPr>
              <w:t>（2）提交投标文件备用光盘或U盘：</w:t>
            </w:r>
          </w:p>
          <w:p w14:paraId="3EC71E6C">
            <w:pPr>
              <w:pStyle w:val="13"/>
              <w:rPr>
                <w:rFonts w:hint="eastAsia" w:ascii="宋体" w:hAnsi="宋体" w:eastAsia="宋体" w:cs="宋体"/>
              </w:rPr>
            </w:pPr>
            <w:r>
              <w:rPr>
                <w:rFonts w:hint="eastAsia" w:ascii="宋体" w:hAnsi="宋体" w:eastAsia="宋体" w:cs="宋体"/>
              </w:rPr>
              <w:t>投标文件光盘或U盘（备用）递交时间：2025年月日时分至2025年月日时分，地点：广州交易集团有限公司（广州公共资源交易中心）第室开标室。（具体时间以广州交易集团有限公司（广州公共资源交易中心）网站发布为准。）</w:t>
            </w:r>
          </w:p>
          <w:p w14:paraId="617553DD">
            <w:pPr>
              <w:pStyle w:val="13"/>
              <w:rPr>
                <w:rFonts w:hint="eastAsia" w:ascii="宋体" w:hAnsi="宋体" w:eastAsia="宋体" w:cs="宋体"/>
              </w:rPr>
            </w:pPr>
            <w:r>
              <w:rPr>
                <w:rFonts w:hint="eastAsia" w:ascii="宋体" w:hAnsi="宋体" w:eastAsia="宋体" w:cs="宋体"/>
              </w:rPr>
              <w:t>（3）投标人完成电子投标上传后，电子招标投标交易平台即时向投标人发出递交回执通知。递交时间以递交回执通知载明的传输时间为准。</w:t>
            </w:r>
          </w:p>
          <w:p w14:paraId="2B4B0AB4">
            <w:pPr>
              <w:pStyle w:val="13"/>
              <w:rPr>
                <w:rFonts w:hint="eastAsia" w:ascii="宋体" w:hAnsi="宋体" w:eastAsia="宋体" w:cs="宋体"/>
              </w:rPr>
            </w:pPr>
            <w:r>
              <w:rPr>
                <w:rFonts w:hint="eastAsia" w:ascii="宋体" w:hAnsi="宋体" w:eastAsia="宋体" w:cs="宋体"/>
              </w:rPr>
              <w:t>（4）逾期送达的投标文件，电子招标投标交易平台将予以拒收。</w:t>
            </w:r>
          </w:p>
          <w:p w14:paraId="33CE9D57">
            <w:pPr>
              <w:pStyle w:val="13"/>
              <w:rPr>
                <w:rFonts w:hint="eastAsia" w:ascii="宋体" w:hAnsi="宋体" w:eastAsia="宋体" w:cs="宋体"/>
              </w:rPr>
            </w:pPr>
            <w:r>
              <w:rPr>
                <w:rFonts w:hint="eastAsia" w:ascii="宋体" w:hAnsi="宋体" w:eastAsia="宋体" w:cs="宋体"/>
              </w:rPr>
              <w:t>5．投标文件加密要求：</w:t>
            </w:r>
          </w:p>
          <w:p w14:paraId="6ED2E22D">
            <w:pPr>
              <w:pStyle w:val="13"/>
              <w:rPr>
                <w:rFonts w:hint="eastAsia" w:ascii="宋体" w:hAnsi="宋体" w:eastAsia="宋体" w:cs="宋体"/>
              </w:rPr>
            </w:pPr>
            <w:r>
              <w:rPr>
                <w:rFonts w:hint="eastAsia" w:ascii="宋体" w:hAnsi="宋体" w:eastAsia="宋体" w:cs="宋体"/>
              </w:rPr>
              <w:t>（1）网上递交的电子投标文件须进行加密。具体操作详见交易平台相关操作指南。</w:t>
            </w:r>
          </w:p>
          <w:p w14:paraId="0250511D">
            <w:pPr>
              <w:pStyle w:val="13"/>
              <w:rPr>
                <w:rFonts w:hint="eastAsia" w:ascii="宋体" w:hAnsi="宋体" w:eastAsia="宋体" w:cs="宋体"/>
              </w:rPr>
            </w:pPr>
            <w:r>
              <w:rPr>
                <w:rFonts w:hint="eastAsia" w:ascii="宋体" w:hAnsi="宋体" w:eastAsia="宋体" w:cs="宋体"/>
              </w:rPr>
              <w:t>（2）未按要求加密的投标文件，招标人将予以拒收。</w:t>
            </w:r>
          </w:p>
          <w:p w14:paraId="4078D17E">
            <w:pPr>
              <w:pStyle w:val="13"/>
              <w:rPr>
                <w:rFonts w:hint="eastAsia" w:ascii="宋体" w:hAnsi="宋体" w:eastAsia="宋体" w:cs="宋体"/>
              </w:rPr>
            </w:pPr>
            <w:r>
              <w:rPr>
                <w:rFonts w:hint="eastAsia" w:ascii="宋体" w:hAnsi="宋体" w:eastAsia="宋体" w:cs="宋体"/>
              </w:rPr>
              <w:t>6．投标文件解密失败的补救方案：</w:t>
            </w:r>
          </w:p>
          <w:p w14:paraId="241A9062">
            <w:pPr>
              <w:pStyle w:val="13"/>
              <w:rPr>
                <w:rFonts w:hint="eastAsia" w:ascii="宋体" w:hAnsi="宋体" w:eastAsia="宋体" w:cs="宋体"/>
              </w:rPr>
            </w:pPr>
            <w:r>
              <w:rPr>
                <w:rFonts w:hint="eastAsia" w:ascii="宋体" w:hAnsi="宋体" w:eastAsia="宋体" w:cs="宋体"/>
              </w:rPr>
              <w:t>在规定时间内，因投标人之外原因（指网络瘫痪、服务器损坏、交易系统故障短期无法恢复）导致的电子投标文件解密失败，在开标现场读取光盘或U盘内容，继续开标程序。若出现招标人无法正常解密或导入开标系统的情况，在开标现场读取已成功解密、以及因投标人之外的原因导致电子投标文件解密失败的投标人递交的电子光盘或U盘内容。出现上述情况的，评标委员会对其投标文件的评审以光盘或U盘内容为准。因投标人之外原因解密失败且未递交电子光盘或U盘的，视为撤回投标文件。</w:t>
            </w:r>
          </w:p>
          <w:p w14:paraId="197D40BE">
            <w:pPr>
              <w:pStyle w:val="13"/>
              <w:rPr>
                <w:rFonts w:hint="eastAsia" w:ascii="宋体" w:hAnsi="宋体" w:eastAsia="宋体" w:cs="宋体"/>
              </w:rPr>
            </w:pPr>
            <w:r>
              <w:rPr>
                <w:rFonts w:hint="eastAsia" w:ascii="宋体" w:hAnsi="宋体" w:eastAsia="宋体" w:cs="宋体"/>
              </w:rPr>
              <w:t>除发生上述情况外，开标评标均以投标人通过交易平台网上递交的电子投标文件为准。</w:t>
            </w:r>
          </w:p>
        </w:tc>
      </w:tr>
      <w:tr w14:paraId="7732B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46570BE8">
            <w:pPr>
              <w:jc w:val="center"/>
              <w:rPr>
                <w:rFonts w:hint="eastAsia" w:ascii="宋体" w:hAnsi="宋体" w:cs="宋体"/>
                <w:szCs w:val="21"/>
              </w:rPr>
            </w:pPr>
            <w:r>
              <w:rPr>
                <w:rFonts w:hint="eastAsia" w:ascii="宋体" w:hAnsi="宋体" w:cs="宋体"/>
                <w:szCs w:val="21"/>
              </w:rPr>
              <w:t>10.2</w:t>
            </w:r>
          </w:p>
        </w:tc>
        <w:tc>
          <w:tcPr>
            <w:tcW w:w="2353" w:type="dxa"/>
            <w:gridSpan w:val="2"/>
            <w:noWrap w:val="0"/>
            <w:vAlign w:val="center"/>
          </w:tcPr>
          <w:p w14:paraId="378C1E71">
            <w:pPr>
              <w:jc w:val="center"/>
              <w:rPr>
                <w:rFonts w:hint="eastAsia" w:ascii="宋体" w:hAnsi="宋体" w:cs="宋体"/>
                <w:szCs w:val="21"/>
              </w:rPr>
            </w:pPr>
            <w:r>
              <w:rPr>
                <w:rFonts w:hint="eastAsia" w:ascii="宋体" w:hAnsi="宋体" w:cs="宋体"/>
                <w:szCs w:val="21"/>
              </w:rPr>
              <w:t>特别提示</w:t>
            </w:r>
          </w:p>
        </w:tc>
        <w:tc>
          <w:tcPr>
            <w:tcW w:w="5659" w:type="dxa"/>
            <w:noWrap w:val="0"/>
            <w:vAlign w:val="center"/>
          </w:tcPr>
          <w:p w14:paraId="4806ADB8">
            <w:pPr>
              <w:jc w:val="left"/>
              <w:rPr>
                <w:rFonts w:hint="eastAsia" w:ascii="宋体" w:hAnsi="宋体" w:cs="宋体"/>
                <w:szCs w:val="21"/>
                <w:u w:val="single"/>
              </w:rPr>
            </w:pPr>
            <w:r>
              <w:rPr>
                <w:rFonts w:hint="eastAsia" w:ascii="宋体" w:hAnsi="宋体" w:cs="宋体"/>
                <w:szCs w:val="21"/>
                <w:u w:val="single"/>
              </w:rPr>
              <w:t>特别提示：投标人在本项目招标人的工程项目中存在下列行为的，</w:t>
            </w:r>
            <w:r>
              <w:rPr>
                <w:rFonts w:hint="eastAsia" w:ascii="宋体" w:hAnsi="宋体"/>
                <w:szCs w:val="21"/>
                <w:u w:val="single"/>
              </w:rPr>
              <w:t>将被拒绝三个月内参与招标人后续工程投标（注：拒绝投标时限由招标人视严重程度确定，最低三个月起，自招标人发出通知之日起计）</w:t>
            </w:r>
            <w:r>
              <w:rPr>
                <w:rFonts w:hint="eastAsia" w:ascii="宋体" w:hAnsi="宋体" w:cs="宋体"/>
                <w:szCs w:val="21"/>
                <w:u w:val="single"/>
              </w:rPr>
              <w:t>：</w:t>
            </w:r>
          </w:p>
          <w:p w14:paraId="0A98AC7A">
            <w:pPr>
              <w:jc w:val="left"/>
              <w:rPr>
                <w:rFonts w:hint="eastAsia" w:ascii="宋体" w:hAnsi="宋体" w:cs="宋体"/>
                <w:szCs w:val="21"/>
                <w:u w:val="single"/>
              </w:rPr>
            </w:pPr>
            <w:r>
              <w:rPr>
                <w:rFonts w:hint="eastAsia" w:ascii="宋体" w:hAnsi="宋体" w:cs="宋体"/>
                <w:szCs w:val="21"/>
                <w:u w:val="single"/>
              </w:rPr>
              <w:t>1.将中标工程转包或者违法分包的；</w:t>
            </w:r>
          </w:p>
          <w:p w14:paraId="7C785E8F">
            <w:pPr>
              <w:jc w:val="left"/>
              <w:rPr>
                <w:rFonts w:hint="eastAsia" w:ascii="宋体" w:hAnsi="宋体" w:cs="宋体"/>
                <w:szCs w:val="21"/>
                <w:u w:val="single"/>
              </w:rPr>
            </w:pPr>
            <w:r>
              <w:rPr>
                <w:rFonts w:hint="eastAsia" w:ascii="宋体" w:hAnsi="宋体" w:cs="宋体"/>
                <w:szCs w:val="21"/>
                <w:u w:val="single"/>
              </w:rPr>
              <w:t>2.在中标工程中不执行质量、安全生产相关规定的，造成质量或安全事故的；</w:t>
            </w:r>
          </w:p>
          <w:p w14:paraId="31B91B05">
            <w:pPr>
              <w:jc w:val="left"/>
              <w:rPr>
                <w:rFonts w:hint="eastAsia" w:ascii="宋体" w:hAnsi="宋体" w:cs="宋体"/>
                <w:szCs w:val="21"/>
                <w:u w:val="single"/>
              </w:rPr>
            </w:pPr>
            <w:r>
              <w:rPr>
                <w:rFonts w:hint="eastAsia" w:ascii="宋体" w:hAnsi="宋体" w:cs="宋体"/>
                <w:szCs w:val="21"/>
                <w:u w:val="single"/>
              </w:rPr>
              <w:t>3.存在围标或串标情形的；</w:t>
            </w:r>
          </w:p>
          <w:p w14:paraId="4875A2C2">
            <w:pPr>
              <w:jc w:val="left"/>
              <w:rPr>
                <w:rFonts w:hint="eastAsia" w:ascii="宋体" w:hAnsi="宋体" w:cs="宋体"/>
                <w:szCs w:val="21"/>
                <w:u w:val="single"/>
              </w:rPr>
            </w:pPr>
            <w:r>
              <w:rPr>
                <w:rFonts w:hint="eastAsia" w:ascii="宋体" w:hAnsi="宋体" w:cs="宋体"/>
                <w:szCs w:val="21"/>
                <w:u w:val="single"/>
              </w:rPr>
              <w:t>4.存在弄虚作假骗取中标情形、行贿的。</w:t>
            </w:r>
          </w:p>
          <w:p w14:paraId="6D324F0E">
            <w:pPr>
              <w:jc w:val="left"/>
              <w:rPr>
                <w:rFonts w:hint="eastAsia" w:ascii="宋体" w:hAnsi="宋体" w:cs="宋体"/>
                <w:szCs w:val="21"/>
                <w:u w:val="single"/>
              </w:rPr>
            </w:pPr>
            <w:r>
              <w:rPr>
                <w:rFonts w:hint="eastAsia" w:ascii="宋体" w:hAnsi="宋体" w:cs="宋体"/>
                <w:szCs w:val="21"/>
                <w:u w:val="single"/>
              </w:rPr>
              <w:t>5.拖欠农民工工资的</w:t>
            </w:r>
          </w:p>
          <w:p w14:paraId="61ECCF7A">
            <w:pPr>
              <w:widowControl/>
              <w:jc w:val="left"/>
              <w:rPr>
                <w:rFonts w:hint="eastAsia" w:ascii="宋体" w:hAnsi="宋体" w:cs="宋体"/>
                <w:szCs w:val="21"/>
                <w:u w:val="single"/>
              </w:rPr>
            </w:pPr>
            <w:r>
              <w:rPr>
                <w:rFonts w:hint="eastAsia" w:ascii="宋体" w:hAnsi="宋体" w:cs="宋体"/>
                <w:szCs w:val="21"/>
                <w:u w:val="single"/>
              </w:rPr>
              <w:t>6.未按照国家、省、市有关建筑施工实名制管理和工人工资支付分账管理的规定执行，被行政监管部门处罚的。</w:t>
            </w:r>
          </w:p>
          <w:p w14:paraId="41312209">
            <w:pPr>
              <w:rPr>
                <w:rFonts w:hint="eastAsia" w:ascii="宋体" w:hAnsi="宋体" w:cs="宋体"/>
                <w:szCs w:val="21"/>
              </w:rPr>
            </w:pPr>
            <w:r>
              <w:rPr>
                <w:rFonts w:hint="eastAsia" w:ascii="宋体" w:hAnsi="宋体" w:cs="宋体"/>
                <w:szCs w:val="21"/>
                <w:u w:val="single"/>
              </w:rPr>
              <w:t>7.中标人在项目实施过程中选取的劳务企业或劳务班组长与投标时不一致的（如有）；</w:t>
            </w:r>
          </w:p>
        </w:tc>
      </w:tr>
      <w:tr w14:paraId="3E3DC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1545EA06">
            <w:pPr>
              <w:jc w:val="center"/>
              <w:rPr>
                <w:rFonts w:hint="eastAsia" w:ascii="宋体" w:hAnsi="宋体" w:cs="宋体"/>
                <w:szCs w:val="21"/>
              </w:rPr>
            </w:pPr>
            <w:r>
              <w:rPr>
                <w:rFonts w:hint="eastAsia" w:ascii="宋体" w:hAnsi="宋体" w:cs="宋体"/>
                <w:szCs w:val="21"/>
              </w:rPr>
              <w:t>10.3</w:t>
            </w:r>
          </w:p>
        </w:tc>
        <w:tc>
          <w:tcPr>
            <w:tcW w:w="2353" w:type="dxa"/>
            <w:gridSpan w:val="2"/>
            <w:noWrap w:val="0"/>
            <w:vAlign w:val="center"/>
          </w:tcPr>
          <w:p w14:paraId="0F7C86FC">
            <w:pPr>
              <w:rPr>
                <w:rFonts w:hint="eastAsia" w:ascii="宋体" w:hAnsi="宋体" w:cs="宋体"/>
                <w:szCs w:val="21"/>
              </w:rPr>
            </w:pPr>
            <w:r>
              <w:rPr>
                <w:rFonts w:hint="eastAsia" w:ascii="宋体" w:hAnsi="宋体" w:cs="宋体"/>
                <w:szCs w:val="21"/>
              </w:rPr>
              <w:t>招标失败的情形</w:t>
            </w:r>
          </w:p>
        </w:tc>
        <w:tc>
          <w:tcPr>
            <w:tcW w:w="5659" w:type="dxa"/>
            <w:noWrap w:val="0"/>
            <w:vAlign w:val="center"/>
          </w:tcPr>
          <w:p w14:paraId="5968AFDA">
            <w:pPr>
              <w:rPr>
                <w:rFonts w:hint="eastAsia" w:ascii="宋体" w:hAnsi="宋体" w:cs="宋体"/>
                <w:szCs w:val="21"/>
                <w:u w:val="single"/>
              </w:rPr>
            </w:pPr>
            <w:r>
              <w:rPr>
                <w:rFonts w:hint="eastAsia" w:ascii="宋体" w:hAnsi="宋体" w:cs="宋体"/>
              </w:rPr>
              <w:t>本项目满足资格形式评审、资格审查合格条件或通过初步评审的投标申请人不足3名时为招标失败。招标人分析招标失败原因，修正招标方案，重新组织招标。</w:t>
            </w:r>
          </w:p>
        </w:tc>
      </w:tr>
      <w:tr w14:paraId="15BFE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1B43BB38">
            <w:pPr>
              <w:jc w:val="center"/>
              <w:rPr>
                <w:rFonts w:hint="eastAsia" w:ascii="宋体" w:hAnsi="宋体" w:cs="宋体"/>
                <w:szCs w:val="21"/>
              </w:rPr>
            </w:pPr>
            <w:r>
              <w:rPr>
                <w:rFonts w:hint="eastAsia" w:ascii="宋体" w:hAnsi="宋体" w:cs="宋体"/>
                <w:szCs w:val="21"/>
              </w:rPr>
              <w:t>10.4</w:t>
            </w:r>
          </w:p>
        </w:tc>
        <w:tc>
          <w:tcPr>
            <w:tcW w:w="2353" w:type="dxa"/>
            <w:gridSpan w:val="2"/>
            <w:noWrap w:val="0"/>
            <w:vAlign w:val="center"/>
          </w:tcPr>
          <w:p w14:paraId="74A29453">
            <w:pPr>
              <w:pStyle w:val="18"/>
              <w:adjustRightInd w:val="0"/>
              <w:rPr>
                <w:rFonts w:hint="eastAsia" w:eastAsia="宋体"/>
                <w:kern w:val="2"/>
                <w:sz w:val="21"/>
                <w:szCs w:val="21"/>
              </w:rPr>
            </w:pPr>
            <w:r>
              <w:rPr>
                <w:rFonts w:hint="eastAsia" w:eastAsia="宋体"/>
                <w:kern w:val="2"/>
                <w:sz w:val="21"/>
                <w:szCs w:val="21"/>
              </w:rPr>
              <w:t>关于使用混凝土等建筑材料质量标准的约定</w:t>
            </w:r>
          </w:p>
        </w:tc>
        <w:tc>
          <w:tcPr>
            <w:tcW w:w="5659" w:type="dxa"/>
            <w:noWrap w:val="0"/>
            <w:vAlign w:val="center"/>
          </w:tcPr>
          <w:p w14:paraId="46737A4F">
            <w:pPr>
              <w:pStyle w:val="18"/>
              <w:adjustRightInd w:val="0"/>
              <w:rPr>
                <w:rFonts w:hint="eastAsia" w:eastAsia="宋体"/>
                <w:kern w:val="2"/>
                <w:sz w:val="21"/>
                <w:szCs w:val="21"/>
              </w:rPr>
            </w:pPr>
            <w:r>
              <w:rPr>
                <w:rFonts w:hint="eastAsia" w:eastAsia="宋体"/>
                <w:kern w:val="2"/>
                <w:sz w:val="21"/>
                <w:szCs w:val="21"/>
              </w:rPr>
              <w:t>根据《广州市散装水泥管理办公室关于对混凝土和砂浆企业质量监督检查的通报》，为确保工程质量安全，中标单位禁止使用不合格的混凝土和砂浆。</w:t>
            </w:r>
          </w:p>
        </w:tc>
      </w:tr>
      <w:tr w14:paraId="10ED6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306FEA74">
            <w:pPr>
              <w:jc w:val="center"/>
              <w:rPr>
                <w:rFonts w:hint="eastAsia" w:ascii="宋体" w:hAnsi="宋体" w:cs="宋体"/>
                <w:szCs w:val="21"/>
              </w:rPr>
            </w:pPr>
            <w:r>
              <w:rPr>
                <w:rFonts w:hint="eastAsia" w:ascii="宋体" w:hAnsi="宋体" w:cs="宋体"/>
                <w:szCs w:val="21"/>
              </w:rPr>
              <w:t>10.5</w:t>
            </w:r>
          </w:p>
        </w:tc>
        <w:tc>
          <w:tcPr>
            <w:tcW w:w="8012" w:type="dxa"/>
            <w:gridSpan w:val="3"/>
            <w:noWrap w:val="0"/>
            <w:vAlign w:val="center"/>
          </w:tcPr>
          <w:p w14:paraId="6D3CAFFB">
            <w:pPr>
              <w:rPr>
                <w:rFonts w:hint="eastAsia" w:ascii="宋体" w:hAnsi="宋体" w:cs="宋体"/>
                <w:bCs/>
              </w:rPr>
            </w:pPr>
            <w:r>
              <w:rPr>
                <w:rFonts w:hint="eastAsia" w:ascii="宋体" w:hAnsi="宋体" w:cs="宋体"/>
                <w:szCs w:val="21"/>
              </w:rPr>
              <w:t>中标候选人公示后3天内投标人需将在广州交易集团有限公司（广州公共资源交易中心）网站下载的投标文件打印，投标文件需与中标人在广州交易集团有限公司（广州公共资源交易中心）网站提交的投标文件一致，投标人加盖公章，1正2副（加盖公章），合共3套投标文件提供给招标人，相关费用由投标人支付。</w:t>
            </w:r>
          </w:p>
        </w:tc>
      </w:tr>
      <w:tr w14:paraId="31428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11A37C62">
            <w:pPr>
              <w:jc w:val="center"/>
              <w:rPr>
                <w:rFonts w:hint="eastAsia" w:ascii="宋体" w:hAnsi="宋体" w:cs="宋体"/>
                <w:szCs w:val="21"/>
              </w:rPr>
            </w:pPr>
            <w:r>
              <w:rPr>
                <w:rFonts w:hint="eastAsia" w:ascii="宋体" w:hAnsi="宋体" w:cs="宋体"/>
                <w:szCs w:val="21"/>
              </w:rPr>
              <w:t>10.6</w:t>
            </w:r>
          </w:p>
        </w:tc>
        <w:tc>
          <w:tcPr>
            <w:tcW w:w="8012" w:type="dxa"/>
            <w:gridSpan w:val="3"/>
            <w:noWrap w:val="0"/>
            <w:vAlign w:val="center"/>
          </w:tcPr>
          <w:p w14:paraId="570D884B">
            <w:pPr>
              <w:rPr>
                <w:rFonts w:hint="eastAsia" w:ascii="宋体" w:hAnsi="宋体" w:cs="宋体"/>
                <w:b/>
                <w:szCs w:val="21"/>
              </w:rPr>
            </w:pPr>
            <w:r>
              <w:rPr>
                <w:rFonts w:hint="eastAsia" w:ascii="宋体" w:hAnsi="宋体" w:cs="宋体"/>
                <w:b/>
                <w:szCs w:val="21"/>
              </w:rPr>
              <w:t>联合体投标的，</w:t>
            </w:r>
            <w:r>
              <w:rPr>
                <w:rFonts w:hint="eastAsia" w:ascii="宋体" w:hAnsi="宋体" w:cs="宋体"/>
                <w:b/>
              </w:rPr>
              <w:t>投标文件中的联合体协议书需联合体各方均盖章，投标文件其他内容中的“投标人”、“投标单位”、“声明企业”应填写联合体各方的单位全称【格式表示为：（主）XXXX公司，（成）XXXX公司，（成）XXXX公司】，由主办方盖章、签字即可。法定代表人证明书及授权委托证明书可由联合体主办方出具。</w:t>
            </w:r>
          </w:p>
        </w:tc>
      </w:tr>
      <w:tr w14:paraId="72B41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1E76AFFC">
            <w:pPr>
              <w:jc w:val="center"/>
              <w:rPr>
                <w:rFonts w:hint="eastAsia" w:ascii="宋体" w:hAnsi="宋体" w:cs="宋体"/>
                <w:szCs w:val="21"/>
              </w:rPr>
            </w:pPr>
            <w:r>
              <w:rPr>
                <w:rFonts w:hint="eastAsia" w:ascii="宋体" w:hAnsi="宋体" w:cs="宋体"/>
                <w:szCs w:val="21"/>
              </w:rPr>
              <w:t>10.7</w:t>
            </w:r>
          </w:p>
        </w:tc>
        <w:tc>
          <w:tcPr>
            <w:tcW w:w="8012" w:type="dxa"/>
            <w:gridSpan w:val="3"/>
            <w:noWrap w:val="0"/>
            <w:vAlign w:val="center"/>
          </w:tcPr>
          <w:p w14:paraId="38EA2DF2">
            <w:pPr>
              <w:rPr>
                <w:rFonts w:hint="eastAsia" w:ascii="宋体" w:hAnsi="宋体" w:cs="宋体"/>
                <w:b/>
                <w:szCs w:val="21"/>
              </w:rPr>
            </w:pPr>
            <w:r>
              <w:rPr>
                <w:rFonts w:hint="eastAsia" w:ascii="宋体" w:hAnsi="宋体" w:cs="宋体"/>
                <w:b/>
                <w:szCs w:val="21"/>
              </w:rPr>
              <w:t>本招标项目的招标代理服务费由中标人向招标代理单位一次性支付。（招标代理服务费依照《国家计委关于印发〈招标代理服务收费管理暂行办法〉的通知》（计价格[2002]1980号）的计费标准下浮20%收取）</w:t>
            </w:r>
          </w:p>
          <w:p w14:paraId="7D03F684">
            <w:pPr>
              <w:rPr>
                <w:rFonts w:hint="eastAsia" w:ascii="宋体" w:hAnsi="宋体" w:cs="宋体"/>
                <w:b/>
                <w:szCs w:val="21"/>
              </w:rPr>
            </w:pPr>
            <w:r>
              <w:rPr>
                <w:rFonts w:hint="eastAsia" w:ascii="宋体" w:hAnsi="宋体" w:cs="宋体"/>
                <w:b/>
                <w:szCs w:val="21"/>
              </w:rPr>
              <w:t>交易服务费：由中标人支付。</w:t>
            </w:r>
          </w:p>
        </w:tc>
      </w:tr>
      <w:tr w14:paraId="03D13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030B0FBC">
            <w:pPr>
              <w:jc w:val="center"/>
              <w:rPr>
                <w:rFonts w:hint="eastAsia" w:ascii="宋体" w:hAnsi="宋体" w:cs="宋体"/>
                <w:szCs w:val="21"/>
              </w:rPr>
            </w:pPr>
            <w:r>
              <w:rPr>
                <w:rFonts w:hint="eastAsia" w:ascii="宋体" w:hAnsi="宋体" w:cs="宋体"/>
                <w:szCs w:val="21"/>
              </w:rPr>
              <w:t>10.8</w:t>
            </w:r>
          </w:p>
        </w:tc>
        <w:tc>
          <w:tcPr>
            <w:tcW w:w="8012" w:type="dxa"/>
            <w:gridSpan w:val="3"/>
            <w:noWrap w:val="0"/>
            <w:vAlign w:val="center"/>
          </w:tcPr>
          <w:p w14:paraId="66CFE93E">
            <w:pPr>
              <w:pStyle w:val="19"/>
              <w:tabs>
                <w:tab w:val="left" w:pos="7380"/>
              </w:tabs>
              <w:spacing w:after="0" w:line="360" w:lineRule="exact"/>
              <w:ind w:firstLine="0"/>
              <w:rPr>
                <w:rFonts w:hint="eastAsia" w:ascii="宋体" w:hAnsi="宋体" w:cs="宋体"/>
                <w:color w:val="000000"/>
                <w:kern w:val="2"/>
                <w:sz w:val="21"/>
                <w:szCs w:val="21"/>
              </w:rPr>
            </w:pPr>
            <w:r>
              <w:rPr>
                <w:rFonts w:hint="eastAsia" w:ascii="宋体" w:hAnsi="宋体" w:cs="宋体"/>
                <w:color w:val="000000"/>
                <w:kern w:val="2"/>
                <w:sz w:val="21"/>
                <w:szCs w:val="21"/>
              </w:rPr>
              <w:t>内容：招标人对中标人参与“百千万工程”的具体要求</w:t>
            </w:r>
          </w:p>
          <w:p w14:paraId="14D35F1A">
            <w:pPr>
              <w:pStyle w:val="19"/>
              <w:tabs>
                <w:tab w:val="left" w:pos="7380"/>
              </w:tabs>
              <w:spacing w:after="0" w:line="360" w:lineRule="exact"/>
              <w:ind w:firstLine="0"/>
              <w:rPr>
                <w:rFonts w:hint="eastAsia" w:ascii="宋体" w:hAnsi="宋体" w:cs="宋体"/>
                <w:color w:val="000000"/>
                <w:kern w:val="2"/>
                <w:sz w:val="21"/>
                <w:szCs w:val="21"/>
              </w:rPr>
            </w:pPr>
            <w:r>
              <w:rPr>
                <w:rFonts w:hint="eastAsia" w:ascii="宋体" w:hAnsi="宋体" w:cs="宋体"/>
                <w:color w:val="000000"/>
                <w:kern w:val="2"/>
                <w:sz w:val="21"/>
                <w:szCs w:val="21"/>
              </w:rPr>
              <w:t>说明与要求：</w:t>
            </w:r>
          </w:p>
          <w:p w14:paraId="69EB7852">
            <w:pPr>
              <w:spacing w:line="360" w:lineRule="exact"/>
              <w:rPr>
                <w:rFonts w:hint="eastAsia" w:ascii="宋体" w:hAnsi="宋体" w:cs="宋体"/>
                <w:color w:val="000000"/>
                <w:szCs w:val="21"/>
                <w:lang w:val="zh-CN"/>
              </w:rPr>
            </w:pPr>
            <w:r>
              <w:rPr>
                <w:rFonts w:hint="eastAsia" w:ascii="宋体" w:hAnsi="宋体" w:cs="宋体"/>
                <w:color w:val="000000"/>
                <w:szCs w:val="21"/>
                <w:lang w:val="zh-CN"/>
              </w:rPr>
              <w:t>□具体要求在中标后按照投标承诺和招标人的要求执行。</w:t>
            </w:r>
          </w:p>
          <w:p w14:paraId="2F683577">
            <w:pPr>
              <w:rPr>
                <w:rFonts w:hint="eastAsia" w:ascii="宋体" w:hAnsi="宋体" w:cs="宋体"/>
                <w:b/>
                <w:szCs w:val="21"/>
              </w:rPr>
            </w:pPr>
            <w:r>
              <w:rPr>
                <w:rFonts w:hint="eastAsia" w:ascii="宋体" w:hAnsi="宋体" w:cs="宋体"/>
                <w:color w:val="000000"/>
                <w:szCs w:val="21"/>
                <w:lang w:val="zh-CN"/>
              </w:rPr>
              <w:sym w:font="Wingdings 2" w:char="0052"/>
            </w:r>
            <w:r>
              <w:rPr>
                <w:rFonts w:hint="eastAsia" w:ascii="宋体" w:hAnsi="宋体" w:cs="宋体"/>
                <w:color w:val="000000"/>
                <w:szCs w:val="21"/>
                <w:lang w:val="zh-CN"/>
              </w:rPr>
              <w:t>具体要求：</w:t>
            </w:r>
            <w:r>
              <w:rPr>
                <w:rFonts w:hint="eastAsia" w:ascii="宋体" w:hAnsi="宋体" w:cs="宋体"/>
                <w:color w:val="000000"/>
                <w:szCs w:val="21"/>
              </w:rPr>
              <w:t>不作要求</w:t>
            </w:r>
          </w:p>
        </w:tc>
      </w:tr>
    </w:tbl>
    <w:p w14:paraId="0DF6925E">
      <w:pPr>
        <w:spacing w:line="400" w:lineRule="exact"/>
        <w:rPr>
          <w:rFonts w:hint="eastAsia" w:ascii="宋体" w:hAnsi="宋体" w:cs="宋体"/>
        </w:rPr>
      </w:pPr>
      <w:bookmarkStart w:id="29" w:name="_Toc152042305"/>
      <w:bookmarkStart w:id="30" w:name="_Toc144974497"/>
      <w:bookmarkStart w:id="31" w:name="_Toc247527553"/>
      <w:bookmarkStart w:id="32" w:name="_Toc152045529"/>
      <w:bookmarkStart w:id="33" w:name="_Toc247513952"/>
      <w:bookmarkStart w:id="34" w:name="_Toc24193"/>
      <w:r>
        <w:rPr>
          <w:rFonts w:hint="eastAsia" w:ascii="宋体" w:hAnsi="宋体" w:cs="宋体"/>
        </w:rPr>
        <w:t>注：企业综合诚信评价排名得分即企业综合诚信评价60日诚信分，以下同。</w:t>
      </w:r>
    </w:p>
    <w:p w14:paraId="5F7F2F00">
      <w:pPr>
        <w:pStyle w:val="2"/>
      </w:pPr>
      <w:r>
        <w:br w:type="page"/>
      </w:r>
      <w:bookmarkStart w:id="35" w:name="_Toc134304523"/>
      <w:r>
        <w:rPr>
          <w:rFonts w:hint="eastAsia"/>
        </w:rPr>
        <w:t>1. 总则</w:t>
      </w:r>
      <w:bookmarkEnd w:id="29"/>
      <w:bookmarkEnd w:id="30"/>
      <w:bookmarkEnd w:id="31"/>
      <w:bookmarkEnd w:id="32"/>
      <w:bookmarkEnd w:id="33"/>
      <w:bookmarkEnd w:id="34"/>
      <w:bookmarkEnd w:id="35"/>
    </w:p>
    <w:p w14:paraId="67842CC0">
      <w:pPr>
        <w:pStyle w:val="4"/>
        <w:rPr>
          <w:rFonts w:hint="eastAsia"/>
        </w:rPr>
      </w:pPr>
      <w:bookmarkStart w:id="36" w:name="_Toc87238892"/>
      <w:bookmarkStart w:id="37" w:name="_Toc144974498"/>
      <w:bookmarkStart w:id="38" w:name="_Toc134304524"/>
      <w:bookmarkStart w:id="39" w:name="_Toc152045530"/>
      <w:bookmarkStart w:id="40" w:name="_Toc13369"/>
      <w:bookmarkStart w:id="41" w:name="_Toc152042306"/>
      <w:bookmarkStart w:id="42" w:name="_Toc247527554"/>
      <w:bookmarkStart w:id="43" w:name="_Toc247513953"/>
      <w:r>
        <w:rPr>
          <w:rFonts w:hint="eastAsia"/>
        </w:rPr>
        <w:t>1.1 项目概况</w:t>
      </w:r>
      <w:bookmarkEnd w:id="36"/>
      <w:bookmarkEnd w:id="37"/>
      <w:bookmarkEnd w:id="38"/>
      <w:bookmarkEnd w:id="39"/>
      <w:bookmarkEnd w:id="40"/>
      <w:bookmarkEnd w:id="41"/>
      <w:bookmarkEnd w:id="42"/>
      <w:bookmarkEnd w:id="43"/>
    </w:p>
    <w:p w14:paraId="0344844F">
      <w:pPr>
        <w:spacing w:line="400" w:lineRule="exact"/>
        <w:ind w:firstLine="420" w:firstLineChars="200"/>
        <w:rPr>
          <w:rFonts w:hint="eastAsia" w:ascii="宋体" w:hAnsi="宋体" w:cs="宋体"/>
        </w:rPr>
      </w:pPr>
      <w:r>
        <w:rPr>
          <w:rFonts w:hint="eastAsia" w:ascii="宋体" w:hAnsi="宋体" w:cs="宋体"/>
        </w:rPr>
        <w:t>1.1.1根据《中华人民共和国招标投标法》等有关法律、法规和规章的规定，本招标项目已具备招标条件，现对该项目设计施工进行一体化招标。</w:t>
      </w:r>
    </w:p>
    <w:p w14:paraId="34A5538C">
      <w:pPr>
        <w:spacing w:line="400" w:lineRule="exact"/>
        <w:ind w:firstLine="420" w:firstLineChars="200"/>
        <w:rPr>
          <w:rFonts w:hint="eastAsia" w:ascii="宋体" w:hAnsi="宋体" w:cs="宋体"/>
        </w:rPr>
      </w:pPr>
      <w:r>
        <w:rPr>
          <w:rFonts w:hint="eastAsia" w:ascii="宋体" w:hAnsi="宋体" w:cs="宋体"/>
        </w:rPr>
        <w:t>1.1.2 招标人：见投标人须知前附表。</w:t>
      </w:r>
    </w:p>
    <w:p w14:paraId="0A2CEC47">
      <w:pPr>
        <w:spacing w:line="400" w:lineRule="exact"/>
        <w:ind w:firstLine="420" w:firstLineChars="200"/>
        <w:rPr>
          <w:rFonts w:hint="eastAsia" w:ascii="宋体" w:hAnsi="宋体" w:cs="宋体"/>
        </w:rPr>
      </w:pPr>
      <w:r>
        <w:rPr>
          <w:rFonts w:hint="eastAsia" w:ascii="宋体" w:hAnsi="宋体" w:cs="宋体"/>
        </w:rPr>
        <w:t>1.1.3 招标代理机构：见投标人须知前附表。</w:t>
      </w:r>
    </w:p>
    <w:p w14:paraId="5F1B1711">
      <w:pPr>
        <w:spacing w:line="400" w:lineRule="exact"/>
        <w:ind w:firstLine="420" w:firstLineChars="200"/>
        <w:rPr>
          <w:rFonts w:hint="eastAsia" w:ascii="宋体" w:hAnsi="宋体" w:cs="宋体"/>
        </w:rPr>
      </w:pPr>
      <w:r>
        <w:rPr>
          <w:rFonts w:hint="eastAsia" w:ascii="宋体" w:hAnsi="宋体" w:cs="宋体"/>
        </w:rPr>
        <w:t>1.1.4 招标项目名称：见投标人须知前附表。</w:t>
      </w:r>
    </w:p>
    <w:p w14:paraId="092198E6">
      <w:pPr>
        <w:spacing w:line="400" w:lineRule="exact"/>
        <w:ind w:firstLine="420" w:firstLineChars="200"/>
        <w:rPr>
          <w:rFonts w:hint="eastAsia" w:ascii="宋体" w:hAnsi="宋体" w:cs="宋体"/>
        </w:rPr>
      </w:pPr>
      <w:r>
        <w:rPr>
          <w:rFonts w:hint="eastAsia" w:ascii="宋体" w:hAnsi="宋体" w:cs="宋体"/>
        </w:rPr>
        <w:t>1.1.5 项目建设地点：见投标人须知前附表。</w:t>
      </w:r>
    </w:p>
    <w:p w14:paraId="213AB3F8">
      <w:pPr>
        <w:pStyle w:val="4"/>
        <w:rPr>
          <w:rFonts w:hint="eastAsia"/>
        </w:rPr>
      </w:pPr>
      <w:bookmarkStart w:id="44" w:name="_Toc247513954"/>
      <w:bookmarkStart w:id="45" w:name="_Toc87238893"/>
      <w:bookmarkStart w:id="46" w:name="_Toc152045531"/>
      <w:bookmarkStart w:id="47" w:name="_Toc247527555"/>
      <w:bookmarkStart w:id="48" w:name="_Toc152042307"/>
      <w:bookmarkStart w:id="49" w:name="_Toc23462"/>
      <w:bookmarkStart w:id="50" w:name="_Toc144974499"/>
      <w:bookmarkStart w:id="51" w:name="_Toc134304525"/>
      <w:r>
        <w:rPr>
          <w:rFonts w:hint="eastAsia"/>
        </w:rPr>
        <w:t>1.2 项目的资金来源和落实情况</w:t>
      </w:r>
      <w:bookmarkEnd w:id="44"/>
      <w:bookmarkEnd w:id="45"/>
      <w:bookmarkEnd w:id="46"/>
      <w:bookmarkEnd w:id="47"/>
      <w:bookmarkEnd w:id="48"/>
      <w:bookmarkEnd w:id="49"/>
      <w:bookmarkEnd w:id="50"/>
      <w:bookmarkEnd w:id="51"/>
    </w:p>
    <w:p w14:paraId="38D490E3">
      <w:pPr>
        <w:spacing w:line="400" w:lineRule="exact"/>
        <w:ind w:firstLine="420" w:firstLineChars="200"/>
        <w:rPr>
          <w:rFonts w:hint="eastAsia" w:ascii="宋体" w:hAnsi="宋体" w:cs="宋体"/>
        </w:rPr>
      </w:pPr>
      <w:r>
        <w:rPr>
          <w:rFonts w:hint="eastAsia" w:ascii="宋体" w:hAnsi="宋体" w:cs="宋体"/>
        </w:rPr>
        <w:t>1.2.1 资金来源及比例：见投标人须知前附表。</w:t>
      </w:r>
    </w:p>
    <w:p w14:paraId="5C48EEB9">
      <w:pPr>
        <w:spacing w:line="400" w:lineRule="exact"/>
        <w:ind w:firstLine="420" w:firstLineChars="200"/>
        <w:rPr>
          <w:rFonts w:hint="eastAsia" w:ascii="宋体" w:hAnsi="宋体" w:cs="宋体"/>
        </w:rPr>
      </w:pPr>
      <w:r>
        <w:rPr>
          <w:rFonts w:hint="eastAsia" w:ascii="宋体" w:hAnsi="宋体" w:cs="宋体"/>
        </w:rPr>
        <w:t>1.2.2 资金落实情况：见投标人须知前附表。</w:t>
      </w:r>
    </w:p>
    <w:p w14:paraId="3160A8AA">
      <w:pPr>
        <w:pStyle w:val="4"/>
        <w:rPr>
          <w:rFonts w:hint="eastAsia"/>
        </w:rPr>
      </w:pPr>
      <w:bookmarkStart w:id="52" w:name="_Toc247513955"/>
      <w:bookmarkStart w:id="53" w:name="_Toc247527556"/>
      <w:bookmarkStart w:id="54" w:name="_Toc152042308"/>
      <w:bookmarkStart w:id="55" w:name="_Toc152045532"/>
      <w:bookmarkStart w:id="56" w:name="_Toc144974500"/>
      <w:bookmarkStart w:id="57" w:name="_Toc13265"/>
      <w:bookmarkStart w:id="58" w:name="_Toc87238894"/>
      <w:bookmarkStart w:id="59" w:name="_Toc134304526"/>
      <w:r>
        <w:rPr>
          <w:rFonts w:hint="eastAsia"/>
        </w:rPr>
        <w:t>1.3 招标范围、计划工期和</w:t>
      </w:r>
      <w:bookmarkEnd w:id="52"/>
      <w:bookmarkEnd w:id="53"/>
      <w:bookmarkEnd w:id="54"/>
      <w:bookmarkEnd w:id="55"/>
      <w:bookmarkEnd w:id="56"/>
      <w:r>
        <w:rPr>
          <w:rFonts w:hint="eastAsia"/>
        </w:rPr>
        <w:t>质量标准</w:t>
      </w:r>
      <w:bookmarkEnd w:id="57"/>
      <w:bookmarkEnd w:id="58"/>
      <w:bookmarkEnd w:id="59"/>
    </w:p>
    <w:p w14:paraId="140E8D13">
      <w:pPr>
        <w:spacing w:line="400" w:lineRule="exact"/>
        <w:ind w:firstLine="420" w:firstLineChars="200"/>
        <w:rPr>
          <w:rFonts w:hint="eastAsia" w:ascii="宋体" w:hAnsi="宋体" w:cs="宋体"/>
        </w:rPr>
      </w:pPr>
      <w:r>
        <w:rPr>
          <w:rFonts w:hint="eastAsia" w:ascii="宋体" w:hAnsi="宋体" w:cs="宋体"/>
        </w:rPr>
        <w:t>1.3.1 招标范围：见投标人须知前附表。</w:t>
      </w:r>
    </w:p>
    <w:p w14:paraId="3EC8034F">
      <w:pPr>
        <w:spacing w:line="400" w:lineRule="exact"/>
        <w:ind w:firstLine="420" w:firstLineChars="200"/>
        <w:rPr>
          <w:rFonts w:hint="eastAsia" w:ascii="宋体" w:hAnsi="宋体" w:cs="宋体"/>
        </w:rPr>
      </w:pPr>
      <w:r>
        <w:rPr>
          <w:rFonts w:hint="eastAsia" w:ascii="宋体" w:hAnsi="宋体" w:cs="宋体"/>
        </w:rPr>
        <w:t>1.3.2 计划工期：见投标人须知前附表。</w:t>
      </w:r>
    </w:p>
    <w:p w14:paraId="448B1814">
      <w:pPr>
        <w:spacing w:line="400" w:lineRule="exact"/>
        <w:ind w:firstLine="420" w:firstLineChars="200"/>
        <w:rPr>
          <w:rFonts w:hint="eastAsia" w:ascii="宋体" w:hAnsi="宋体" w:cs="宋体"/>
        </w:rPr>
      </w:pPr>
      <w:r>
        <w:rPr>
          <w:rFonts w:hint="eastAsia" w:ascii="宋体" w:hAnsi="宋体" w:cs="宋体"/>
        </w:rPr>
        <w:t>1.3.3 质量标准：见投标人须知前附表。</w:t>
      </w:r>
    </w:p>
    <w:p w14:paraId="74A8E4B4">
      <w:pPr>
        <w:pStyle w:val="4"/>
        <w:rPr>
          <w:rFonts w:hint="eastAsia"/>
        </w:rPr>
      </w:pPr>
      <w:bookmarkStart w:id="60" w:name="_Toc144974502"/>
      <w:bookmarkStart w:id="61" w:name="_Toc152042310"/>
      <w:bookmarkStart w:id="62" w:name="_Toc247513957"/>
      <w:bookmarkStart w:id="63" w:name="_Toc152045534"/>
      <w:bookmarkStart w:id="64" w:name="_Toc25105"/>
      <w:bookmarkStart w:id="65" w:name="_Toc247527558"/>
      <w:bookmarkStart w:id="66" w:name="_Toc87238895"/>
      <w:bookmarkStart w:id="67" w:name="_Toc134304527"/>
      <w:r>
        <w:rPr>
          <w:rFonts w:hint="eastAsia"/>
        </w:rPr>
        <w:t>1.4 投标人资格要求</w:t>
      </w:r>
      <w:bookmarkEnd w:id="60"/>
      <w:bookmarkEnd w:id="61"/>
      <w:bookmarkEnd w:id="62"/>
      <w:bookmarkEnd w:id="63"/>
      <w:bookmarkEnd w:id="64"/>
      <w:bookmarkEnd w:id="65"/>
      <w:r>
        <w:rPr>
          <w:rFonts w:hint="eastAsia"/>
        </w:rPr>
        <w:t>（适用于未进行资格预审的）</w:t>
      </w:r>
      <w:bookmarkEnd w:id="66"/>
      <w:bookmarkEnd w:id="67"/>
    </w:p>
    <w:p w14:paraId="7A798ADD">
      <w:pPr>
        <w:spacing w:line="400" w:lineRule="exact"/>
        <w:ind w:firstLine="420" w:firstLineChars="200"/>
        <w:rPr>
          <w:rFonts w:hint="eastAsia" w:ascii="宋体" w:hAnsi="宋体" w:cs="宋体"/>
          <w:lang w:eastAsia="zh-CN"/>
        </w:rPr>
      </w:pPr>
      <w:bookmarkStart w:id="68" w:name="_Toc144974503"/>
      <w:bookmarkStart w:id="69" w:name="_Toc152042311"/>
      <w:bookmarkStart w:id="70" w:name="_Toc247513958"/>
      <w:bookmarkStart w:id="71" w:name="_Toc247527559"/>
      <w:bookmarkStart w:id="72" w:name="_Toc152045535"/>
      <w:bookmarkStart w:id="73" w:name="_Toc5312"/>
      <w:r>
        <w:rPr>
          <w:rFonts w:hint="eastAsia" w:ascii="宋体" w:hAnsi="宋体" w:cs="宋体"/>
        </w:rPr>
        <w:t>1.4.1 投标人应具备承担本招标项目资质条件、能力和信誉</w:t>
      </w:r>
      <w:r>
        <w:rPr>
          <w:rFonts w:hint="eastAsia" w:ascii="宋体" w:hAnsi="宋体" w:cs="宋体"/>
          <w:lang w:eastAsia="zh-CN"/>
        </w:rPr>
        <w:t>：</w:t>
      </w:r>
    </w:p>
    <w:p w14:paraId="1D67D901">
      <w:pPr>
        <w:snapToGrid w:val="0"/>
        <w:spacing w:line="360" w:lineRule="auto"/>
        <w:ind w:firstLine="422" w:firstLineChars="200"/>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资质条件：见招标公告投标人资格要求</w:t>
      </w:r>
    </w:p>
    <w:p w14:paraId="0271E881">
      <w:pPr>
        <w:snapToGrid w:val="0"/>
        <w:spacing w:line="360" w:lineRule="auto"/>
        <w:ind w:firstLine="422" w:firstLineChars="200"/>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 xml:space="preserve">财务要求：/  </w:t>
      </w:r>
    </w:p>
    <w:p w14:paraId="2AAA51D8">
      <w:pPr>
        <w:snapToGrid w:val="0"/>
        <w:spacing w:line="360" w:lineRule="auto"/>
        <w:ind w:firstLine="422" w:firstLineChars="200"/>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 xml:space="preserve">设计业绩要求：/  </w:t>
      </w:r>
    </w:p>
    <w:p w14:paraId="77FCE2BB">
      <w:pPr>
        <w:snapToGrid w:val="0"/>
        <w:spacing w:line="360" w:lineRule="auto"/>
        <w:ind w:firstLine="422" w:firstLineChars="200"/>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 xml:space="preserve">施工业绩要求：/  </w:t>
      </w:r>
    </w:p>
    <w:p w14:paraId="15493A4A">
      <w:pPr>
        <w:snapToGrid w:val="0"/>
        <w:spacing w:line="360" w:lineRule="auto"/>
        <w:ind w:firstLine="422" w:firstLineChars="200"/>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 xml:space="preserve">信誉要求：/  </w:t>
      </w:r>
    </w:p>
    <w:p w14:paraId="0897F7CA">
      <w:pPr>
        <w:snapToGrid w:val="0"/>
        <w:spacing w:line="360" w:lineRule="auto"/>
        <w:ind w:firstLine="422" w:firstLineChars="200"/>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项目负责人（兼施工负责人）的资格要求：见招标公告投标人资格要求</w:t>
      </w:r>
    </w:p>
    <w:p w14:paraId="4D1F6DDF">
      <w:pPr>
        <w:snapToGrid w:val="0"/>
        <w:spacing w:line="360" w:lineRule="auto"/>
        <w:ind w:firstLine="422" w:firstLineChars="200"/>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设计负责人的资格要求：见招标公告投标人资格要求</w:t>
      </w:r>
    </w:p>
    <w:p w14:paraId="4044245F">
      <w:pPr>
        <w:snapToGrid w:val="0"/>
        <w:spacing w:line="360" w:lineRule="auto"/>
        <w:ind w:firstLine="422" w:firstLineChars="200"/>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施工负责人的资格要求：见招标公告投标人资格要求</w:t>
      </w:r>
    </w:p>
    <w:p w14:paraId="6B85D852">
      <w:pPr>
        <w:snapToGrid w:val="0"/>
        <w:spacing w:line="360" w:lineRule="auto"/>
        <w:ind w:firstLine="422" w:firstLineChars="200"/>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技术负责人资格要求：见招标公告投标人资格要求</w:t>
      </w:r>
    </w:p>
    <w:p w14:paraId="18C4417F">
      <w:pPr>
        <w:snapToGrid w:val="0"/>
        <w:spacing w:line="360" w:lineRule="auto"/>
        <w:ind w:firstLine="422" w:firstLineChars="200"/>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专职安全员资格要求：见招标公告投标人资格要求</w:t>
      </w:r>
    </w:p>
    <w:p w14:paraId="1261E3B0">
      <w:pPr>
        <w:snapToGrid w:val="0"/>
        <w:spacing w:line="360" w:lineRule="auto"/>
        <w:ind w:firstLine="422" w:firstLineChars="200"/>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 xml:space="preserve">项目管理机构及人员：/  </w:t>
      </w:r>
    </w:p>
    <w:p w14:paraId="677D7DFC">
      <w:pPr>
        <w:snapToGrid w:val="0"/>
        <w:spacing w:line="360" w:lineRule="auto"/>
        <w:ind w:left="420" w:leftChars="200" w:firstLine="0" w:firstLineChars="0"/>
        <w:rPr>
          <w:rFonts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其他要求：见招标公告投标人资格要求需要</w:t>
      </w:r>
      <w:r>
        <w:rPr>
          <w:rFonts w:hint="eastAsia" w:ascii="宋体" w:hAnsi="宋体" w:cs="宋体"/>
          <w:b/>
          <w:bCs/>
          <w:color w:val="auto"/>
          <w:sz w:val="21"/>
          <w:szCs w:val="21"/>
          <w:highlight w:val="none"/>
          <w:u w:val="single"/>
          <w:lang w:eastAsia="zh-CN"/>
        </w:rPr>
        <w:t>。</w:t>
      </w:r>
      <w:r>
        <w:rPr>
          <w:rFonts w:hint="eastAsia" w:ascii="宋体" w:hAnsi="宋体" w:cs="宋体"/>
          <w:b/>
          <w:bCs/>
          <w:color w:val="auto"/>
          <w:sz w:val="21"/>
          <w:szCs w:val="21"/>
          <w:highlight w:val="none"/>
          <w:u w:val="single"/>
        </w:rPr>
        <w:br w:type="textWrapping"/>
      </w:r>
      <w:r>
        <w:rPr>
          <w:rFonts w:hint="eastAsia" w:ascii="宋体" w:hAnsi="宋体" w:cs="宋体"/>
          <w:b/>
          <w:bCs/>
          <w:color w:val="auto"/>
          <w:sz w:val="21"/>
          <w:szCs w:val="21"/>
          <w:highlight w:val="none"/>
          <w:u w:val="single"/>
        </w:rPr>
        <w:t>提交的相关证明材料见本章第3.5款的规定。</w:t>
      </w:r>
    </w:p>
    <w:p w14:paraId="06D39BB4">
      <w:pPr>
        <w:snapToGrid w:val="0"/>
        <w:spacing w:line="360" w:lineRule="auto"/>
        <w:ind w:firstLine="422" w:firstLineChars="200"/>
        <w:rPr>
          <w:rFonts w:hint="eastAsia" w:ascii="宋体" w:hAnsi="宋体" w:cs="宋体" w:eastAsiaTheme="minorEastAsia"/>
          <w:b/>
          <w:bCs/>
          <w:color w:val="auto"/>
          <w:sz w:val="21"/>
          <w:szCs w:val="21"/>
          <w:highlight w:val="none"/>
          <w:u w:val="single"/>
          <w:lang w:eastAsia="zh-CN"/>
        </w:rPr>
      </w:pPr>
      <w:r>
        <w:rPr>
          <w:rFonts w:hint="eastAsia" w:ascii="宋体" w:hAnsi="宋体" w:cs="宋体"/>
          <w:b/>
          <w:bCs/>
          <w:color w:val="auto"/>
          <w:sz w:val="21"/>
          <w:szCs w:val="21"/>
          <w:highlight w:val="none"/>
          <w:u w:val="single"/>
        </w:rPr>
        <w:t>1.4.2投标人须知前附表规定接受联合体投标的</w:t>
      </w:r>
      <w:r>
        <w:rPr>
          <w:rFonts w:hint="eastAsia" w:ascii="宋体" w:hAnsi="宋体" w:cs="宋体"/>
          <w:b/>
          <w:bCs/>
          <w:color w:val="auto"/>
          <w:sz w:val="21"/>
          <w:szCs w:val="21"/>
          <w:highlight w:val="none"/>
          <w:u w:val="single"/>
          <w:lang w:eastAsia="zh-CN"/>
        </w:rPr>
        <w:t>，</w:t>
      </w:r>
      <w:r>
        <w:rPr>
          <w:rFonts w:hint="eastAsia" w:ascii="宋体" w:hAnsi="宋体" w:cs="宋体"/>
          <w:b/>
          <w:bCs/>
          <w:color w:val="auto"/>
          <w:sz w:val="21"/>
          <w:szCs w:val="21"/>
          <w:highlight w:val="none"/>
          <w:u w:val="single"/>
        </w:rPr>
        <w:t>应满足下列要求：见本项目招标公告要求</w:t>
      </w:r>
    </w:p>
    <w:p w14:paraId="6BFDB9F8">
      <w:pPr>
        <w:snapToGrid w:val="0"/>
        <w:spacing w:line="360" w:lineRule="auto"/>
        <w:ind w:firstLine="422" w:firstLineChars="200"/>
        <w:rPr>
          <w:rFonts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1.4.3 投标人不得存在下列情形之一：</w:t>
      </w:r>
    </w:p>
    <w:p w14:paraId="76AB8F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left"/>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（一）为招标人不具有独立法人资格的附属机构（单位）；</w:t>
      </w:r>
    </w:p>
    <w:p w14:paraId="00B571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left"/>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（二）为本标段前期准备提供设计或咨询服务或者与本项目设计人或提供咨询服务的机构存在附属关系的；</w:t>
      </w:r>
    </w:p>
    <w:p w14:paraId="5657EC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left"/>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（三）为本标段监理人或者与本标段监理人存在隶属关系或者其他利害关系；</w:t>
      </w:r>
    </w:p>
    <w:p w14:paraId="6FD1D7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left"/>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（四）为本标段的代建人；</w:t>
      </w:r>
    </w:p>
    <w:p w14:paraId="2C12FB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left"/>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（五）为本标段提供招标代理服务的；</w:t>
      </w:r>
    </w:p>
    <w:p w14:paraId="0E2ECF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left"/>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（六）与本标段的监理人或代建人或招标代理机构同为一个法定代表人的；</w:t>
      </w:r>
    </w:p>
    <w:p w14:paraId="5281E6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left"/>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（七）与本标段的监理人或代建人或招标代理机构互相控股或参股的；</w:t>
      </w:r>
    </w:p>
    <w:p w14:paraId="23BD24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left"/>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（八）与本标段的监理人或代建人或招标代理机构相互任职或工作的；</w:t>
      </w:r>
    </w:p>
    <w:p w14:paraId="0E1B91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left"/>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（九）与本标段的检测机构有隶属关系或者其他利害关系；</w:t>
      </w:r>
    </w:p>
    <w:p w14:paraId="332E07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left"/>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 xml:space="preserve">（十）与招标人存在利害关系且可能影响招标公正性； </w:t>
      </w:r>
    </w:p>
    <w:p w14:paraId="00198B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left"/>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084ACB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left"/>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（十二）被责令停产停业、暂扣或者吊销许可证、暂扣或者吊销执照的（本项事实应当以根据《中华人民共和国行政处罚法》依法作出并已经生效的行政处罚决定为认定依据。）；</w:t>
      </w:r>
    </w:p>
    <w:p w14:paraId="26BBA4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left"/>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（十三）进入清算程序，或被宣布破产，或其他丧失履约能力的情形；</w:t>
      </w:r>
    </w:p>
    <w:p w14:paraId="456DF7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left"/>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3815868A">
      <w:pPr>
        <w:pStyle w:val="19"/>
        <w:ind w:left="0" w:leftChars="0" w:firstLine="422" w:firstLineChars="200"/>
        <w:rPr>
          <w:rFonts w:hint="eastAsia" w:ascii="宋体" w:hAnsi="宋体" w:eastAsia="宋体" w:cs="宋体"/>
          <w:b/>
          <w:bCs/>
          <w:color w:val="auto"/>
          <w:sz w:val="21"/>
          <w:szCs w:val="21"/>
          <w:highlight w:val="none"/>
          <w:u w:val="single"/>
          <w:lang w:eastAsia="zh-CN"/>
        </w:rPr>
      </w:pPr>
      <w:r>
        <w:rPr>
          <w:rFonts w:hint="eastAsia" w:ascii="宋体" w:hAnsi="宋体" w:cs="宋体"/>
          <w:b/>
          <w:bCs/>
          <w:color w:val="auto"/>
          <w:sz w:val="21"/>
          <w:szCs w:val="21"/>
          <w:highlight w:val="none"/>
          <w:u w:val="single"/>
          <w:lang w:eastAsia="zh-CN"/>
        </w:rPr>
        <w:t>（</w:t>
      </w:r>
      <w:r>
        <w:rPr>
          <w:rFonts w:hint="eastAsia" w:ascii="宋体" w:hAnsi="宋体" w:cs="宋体"/>
          <w:b/>
          <w:bCs/>
          <w:color w:val="auto"/>
          <w:sz w:val="21"/>
          <w:szCs w:val="21"/>
          <w:highlight w:val="none"/>
          <w:u w:val="single"/>
          <w:lang w:val="en-US" w:eastAsia="zh-CN"/>
        </w:rPr>
        <w:t>十五</w:t>
      </w:r>
      <w:r>
        <w:rPr>
          <w:rFonts w:hint="eastAsia" w:ascii="宋体" w:hAnsi="宋体" w:cs="宋体"/>
          <w:b/>
          <w:bCs/>
          <w:color w:val="auto"/>
          <w:sz w:val="21"/>
          <w:szCs w:val="21"/>
          <w:highlight w:val="none"/>
          <w:u w:val="single"/>
          <w:lang w:eastAsia="zh-CN"/>
        </w:rPr>
        <w:t>）</w:t>
      </w:r>
      <w:r>
        <w:rPr>
          <w:rFonts w:hint="eastAsia"/>
          <w:b/>
          <w:bCs/>
          <w:sz w:val="21"/>
          <w:szCs w:val="21"/>
          <w:highlight w:val="none"/>
          <w:u w:val="single"/>
        </w:rPr>
        <w:t>投标报价超过投标人的投标总价或设计费或建设费超过上述最高投标限价的</w:t>
      </w:r>
      <w:r>
        <w:rPr>
          <w:rFonts w:hint="eastAsia" w:ascii="宋体" w:hAnsi="宋体" w:eastAsia="宋体" w:cs="宋体"/>
          <w:b/>
          <w:bCs/>
          <w:color w:val="auto"/>
          <w:sz w:val="21"/>
          <w:szCs w:val="21"/>
          <w:highlight w:val="none"/>
          <w:u w:val="single"/>
          <w:lang w:val="en-US" w:eastAsia="zh-CN"/>
        </w:rPr>
        <w:t>中</w:t>
      </w:r>
      <w:r>
        <w:rPr>
          <w:rFonts w:hint="eastAsia" w:ascii="宋体" w:hAnsi="宋体" w:eastAsia="宋体" w:cs="宋体"/>
          <w:b/>
          <w:bCs/>
          <w:color w:val="auto"/>
          <w:sz w:val="21"/>
          <w:szCs w:val="21"/>
          <w:highlight w:val="none"/>
          <w:u w:val="single"/>
          <w:lang w:eastAsia="zh-CN"/>
        </w:rPr>
        <w:t>任一对应的最高投标限价的投标文件。</w:t>
      </w:r>
    </w:p>
    <w:p w14:paraId="63EF45FA">
      <w:pPr>
        <w:pStyle w:val="19"/>
        <w:ind w:left="0" w:leftChars="0" w:firstLine="422" w:firstLineChars="200"/>
        <w:rPr>
          <w:rFonts w:hint="eastAsia" w:ascii="宋体" w:hAnsi="宋体" w:eastAsia="宋体" w:cs="宋体"/>
          <w:b/>
          <w:bCs/>
          <w:color w:val="auto"/>
          <w:sz w:val="21"/>
          <w:szCs w:val="21"/>
          <w:highlight w:val="none"/>
          <w:u w:val="single"/>
          <w:lang w:eastAsia="zh-CN"/>
        </w:rPr>
      </w:pPr>
      <w:r>
        <w:rPr>
          <w:rFonts w:hint="eastAsia" w:ascii="宋体" w:hAnsi="宋体" w:eastAsia="宋体" w:cs="宋体"/>
          <w:b/>
          <w:bCs/>
          <w:color w:val="auto"/>
          <w:sz w:val="21"/>
          <w:szCs w:val="21"/>
          <w:highlight w:val="none"/>
          <w:u w:val="single"/>
          <w:lang w:eastAsia="zh-CN"/>
        </w:rPr>
        <w:t>（十</w:t>
      </w:r>
      <w:r>
        <w:rPr>
          <w:rFonts w:hint="eastAsia" w:ascii="宋体" w:hAnsi="宋体" w:eastAsia="宋体" w:cs="宋体"/>
          <w:b/>
          <w:bCs/>
          <w:color w:val="auto"/>
          <w:sz w:val="21"/>
          <w:szCs w:val="21"/>
          <w:highlight w:val="none"/>
          <w:u w:val="single"/>
          <w:lang w:val="en-US" w:eastAsia="zh-CN"/>
        </w:rPr>
        <w:t>六</w:t>
      </w:r>
      <w:r>
        <w:rPr>
          <w:rFonts w:hint="eastAsia" w:ascii="宋体" w:hAnsi="宋体" w:eastAsia="宋体" w:cs="宋体"/>
          <w:b/>
          <w:bCs/>
          <w:color w:val="auto"/>
          <w:sz w:val="21"/>
          <w:szCs w:val="21"/>
          <w:highlight w:val="none"/>
          <w:u w:val="single"/>
          <w:lang w:eastAsia="zh-CN"/>
        </w:rPr>
        <w:t>）法律法规规定的其他情形。</w:t>
      </w:r>
    </w:p>
    <w:p w14:paraId="24D50CB7">
      <w:pPr>
        <w:spacing w:line="400" w:lineRule="exact"/>
        <w:ind w:firstLine="420" w:firstLineChars="200"/>
        <w:rPr>
          <w:rFonts w:hint="eastAsia" w:ascii="新宋体" w:hAnsi="新宋体" w:eastAsia="新宋体" w:cs="新宋体"/>
        </w:rPr>
      </w:pPr>
      <w:r>
        <w:rPr>
          <w:rFonts w:hint="eastAsia" w:ascii="新宋体" w:hAnsi="新宋体" w:eastAsia="新宋体" w:cs="新宋体"/>
        </w:rPr>
        <w:t>1.4.4 单位负责人为同一人或者存在控股、管理关系的不同单位，不得同时参加本招标项目投标。</w:t>
      </w:r>
    </w:p>
    <w:p w14:paraId="5BFAE289">
      <w:pPr>
        <w:pStyle w:val="4"/>
        <w:rPr>
          <w:rFonts w:hint="eastAsia"/>
        </w:rPr>
      </w:pPr>
      <w:bookmarkStart w:id="74" w:name="_Toc87238896"/>
      <w:bookmarkStart w:id="75" w:name="_Toc134304528"/>
      <w:r>
        <w:rPr>
          <w:rFonts w:hint="eastAsia"/>
        </w:rPr>
        <w:t>1.5 费用承担</w:t>
      </w:r>
      <w:bookmarkEnd w:id="68"/>
      <w:bookmarkEnd w:id="69"/>
      <w:bookmarkEnd w:id="70"/>
      <w:bookmarkEnd w:id="71"/>
      <w:bookmarkEnd w:id="72"/>
      <w:r>
        <w:rPr>
          <w:rFonts w:hint="eastAsia"/>
        </w:rPr>
        <w:t>和设计成果补偿</w:t>
      </w:r>
      <w:bookmarkEnd w:id="73"/>
      <w:bookmarkEnd w:id="74"/>
      <w:bookmarkEnd w:id="75"/>
    </w:p>
    <w:p w14:paraId="4EA14C35">
      <w:pPr>
        <w:spacing w:line="400" w:lineRule="exact"/>
        <w:ind w:firstLine="420" w:firstLineChars="200"/>
        <w:rPr>
          <w:rFonts w:hint="eastAsia" w:ascii="宋体" w:hAnsi="宋体" w:cs="宋体"/>
        </w:rPr>
      </w:pPr>
      <w:r>
        <w:rPr>
          <w:rFonts w:hint="eastAsia" w:ascii="宋体" w:hAnsi="宋体" w:cs="宋体"/>
        </w:rPr>
        <w:t>1.5.1 投标人准备和参加投标活动发生的费用自理。</w:t>
      </w:r>
    </w:p>
    <w:p w14:paraId="77FAD214">
      <w:pPr>
        <w:spacing w:line="400" w:lineRule="exact"/>
        <w:ind w:firstLine="420" w:firstLineChars="200"/>
        <w:rPr>
          <w:rFonts w:hint="eastAsia" w:ascii="宋体" w:hAnsi="宋体" w:cs="宋体"/>
          <w:strike/>
        </w:rPr>
      </w:pPr>
      <w:r>
        <w:rPr>
          <w:rFonts w:hint="eastAsia" w:ascii="宋体" w:hAnsi="宋体" w:cs="宋体"/>
          <w:strike/>
        </w:rPr>
        <w:t>1.5.2 招标人对符合招标文件规定的未中标人的设计成果进行补偿的，按投标人须知前附表规定给予补偿，并有权免费使用未中标人设计成果。</w:t>
      </w:r>
    </w:p>
    <w:p w14:paraId="655F0BA4">
      <w:pPr>
        <w:pStyle w:val="4"/>
        <w:rPr>
          <w:rFonts w:hint="eastAsia"/>
        </w:rPr>
      </w:pPr>
      <w:bookmarkStart w:id="76" w:name="_Toc152042312"/>
      <w:bookmarkStart w:id="77" w:name="_Toc247527560"/>
      <w:bookmarkStart w:id="78" w:name="_Toc152045536"/>
      <w:bookmarkStart w:id="79" w:name="_Toc11231"/>
      <w:bookmarkStart w:id="80" w:name="_Toc144974504"/>
      <w:bookmarkStart w:id="81" w:name="_Toc134304529"/>
      <w:bookmarkStart w:id="82" w:name="_Toc247513959"/>
      <w:bookmarkStart w:id="83" w:name="_Toc87238897"/>
      <w:r>
        <w:rPr>
          <w:rFonts w:hint="eastAsia"/>
        </w:rPr>
        <w:t>1.6 保密</w:t>
      </w:r>
      <w:bookmarkEnd w:id="76"/>
      <w:bookmarkEnd w:id="77"/>
      <w:bookmarkEnd w:id="78"/>
      <w:bookmarkEnd w:id="79"/>
      <w:bookmarkEnd w:id="80"/>
      <w:bookmarkEnd w:id="81"/>
      <w:bookmarkEnd w:id="82"/>
      <w:bookmarkEnd w:id="83"/>
    </w:p>
    <w:p w14:paraId="65388FB1">
      <w:pPr>
        <w:spacing w:line="400" w:lineRule="exact"/>
        <w:ind w:firstLine="420" w:firstLineChars="200"/>
        <w:rPr>
          <w:rFonts w:hint="eastAsia" w:ascii="宋体" w:hAnsi="宋体" w:cs="宋体"/>
        </w:rPr>
      </w:pPr>
      <w:r>
        <w:rPr>
          <w:rFonts w:hint="eastAsia" w:ascii="宋体" w:hAnsi="宋体" w:cs="宋体"/>
        </w:rPr>
        <w:t>参与招标投标活动的各方应对招标文件和投标文件中的商业和技术等秘密保密，否则应承担相应的法律责任。</w:t>
      </w:r>
    </w:p>
    <w:p w14:paraId="5BEECD8B">
      <w:pPr>
        <w:pStyle w:val="4"/>
        <w:rPr>
          <w:rFonts w:hint="eastAsia"/>
        </w:rPr>
      </w:pPr>
      <w:bookmarkStart w:id="84" w:name="_Toc144974505"/>
      <w:bookmarkStart w:id="85" w:name="_Toc152045537"/>
      <w:bookmarkStart w:id="86" w:name="_Toc247513960"/>
      <w:bookmarkStart w:id="87" w:name="_Toc247527561"/>
      <w:bookmarkStart w:id="88" w:name="_Toc4973"/>
      <w:bookmarkStart w:id="89" w:name="_Toc134304530"/>
      <w:bookmarkStart w:id="90" w:name="_Toc152042313"/>
      <w:bookmarkStart w:id="91" w:name="_Toc87238898"/>
      <w:r>
        <w:rPr>
          <w:rFonts w:hint="eastAsia"/>
        </w:rPr>
        <w:t>1.7 语言</w:t>
      </w:r>
      <w:bookmarkEnd w:id="84"/>
      <w:r>
        <w:rPr>
          <w:rFonts w:hint="eastAsia"/>
        </w:rPr>
        <w:t>文字</w:t>
      </w:r>
      <w:bookmarkEnd w:id="85"/>
      <w:bookmarkEnd w:id="86"/>
      <w:bookmarkEnd w:id="87"/>
      <w:bookmarkEnd w:id="88"/>
      <w:bookmarkEnd w:id="89"/>
      <w:bookmarkEnd w:id="90"/>
      <w:bookmarkEnd w:id="91"/>
    </w:p>
    <w:p w14:paraId="4D85D179">
      <w:pPr>
        <w:spacing w:line="400" w:lineRule="exact"/>
        <w:ind w:firstLine="420" w:firstLineChars="200"/>
        <w:rPr>
          <w:rFonts w:hint="eastAsia" w:ascii="宋体" w:hAnsi="宋体" w:cs="宋体"/>
        </w:rPr>
      </w:pPr>
      <w:r>
        <w:rPr>
          <w:rFonts w:hint="eastAsia" w:ascii="宋体" w:hAnsi="宋体" w:cs="宋体"/>
        </w:rPr>
        <w:t>招标投标文件使用的语言文字为中文。专用术语使用外文的，应附有中文注释。</w:t>
      </w:r>
    </w:p>
    <w:p w14:paraId="2F578873">
      <w:pPr>
        <w:pStyle w:val="4"/>
        <w:rPr>
          <w:rFonts w:hint="eastAsia"/>
        </w:rPr>
      </w:pPr>
      <w:bookmarkStart w:id="92" w:name="_Toc152045538"/>
      <w:bookmarkStart w:id="93" w:name="_Toc144974506"/>
      <w:bookmarkStart w:id="94" w:name="_Toc26287"/>
      <w:bookmarkStart w:id="95" w:name="_Toc87238899"/>
      <w:bookmarkStart w:id="96" w:name="_Toc134304531"/>
      <w:bookmarkStart w:id="97" w:name="_Toc247527562"/>
      <w:bookmarkStart w:id="98" w:name="_Toc247513961"/>
      <w:bookmarkStart w:id="99" w:name="_Toc152042314"/>
      <w:r>
        <w:rPr>
          <w:rFonts w:hint="eastAsia"/>
        </w:rPr>
        <w:t>1.8 计量单位</w:t>
      </w:r>
      <w:bookmarkEnd w:id="92"/>
      <w:bookmarkEnd w:id="93"/>
      <w:bookmarkEnd w:id="94"/>
      <w:bookmarkEnd w:id="95"/>
      <w:bookmarkEnd w:id="96"/>
      <w:bookmarkEnd w:id="97"/>
      <w:bookmarkEnd w:id="98"/>
      <w:bookmarkEnd w:id="99"/>
    </w:p>
    <w:p w14:paraId="3E7FECB4">
      <w:pPr>
        <w:spacing w:line="400" w:lineRule="exact"/>
        <w:ind w:firstLine="420" w:firstLineChars="200"/>
        <w:rPr>
          <w:rFonts w:hint="eastAsia" w:ascii="宋体" w:hAnsi="宋体" w:cs="宋体"/>
        </w:rPr>
      </w:pPr>
      <w:r>
        <w:rPr>
          <w:rFonts w:hint="eastAsia" w:ascii="宋体" w:hAnsi="宋体" w:cs="宋体"/>
        </w:rPr>
        <w:t>所有计量均采用中华人民共和国法定计量单位。</w:t>
      </w:r>
    </w:p>
    <w:p w14:paraId="7D597463">
      <w:pPr>
        <w:pStyle w:val="4"/>
        <w:rPr>
          <w:rFonts w:hint="eastAsia"/>
        </w:rPr>
      </w:pPr>
      <w:bookmarkStart w:id="100" w:name="_Toc152045539"/>
      <w:bookmarkStart w:id="101" w:name="_Toc247513962"/>
      <w:bookmarkStart w:id="102" w:name="_Toc247527563"/>
      <w:bookmarkStart w:id="103" w:name="_Toc134304532"/>
      <w:bookmarkStart w:id="104" w:name="_Toc152042315"/>
      <w:bookmarkStart w:id="105" w:name="_Toc23833"/>
      <w:bookmarkStart w:id="106" w:name="_Toc87238900"/>
      <w:bookmarkStart w:id="107" w:name="_Toc144974507"/>
      <w:r>
        <w:rPr>
          <w:rFonts w:hint="eastAsia"/>
        </w:rPr>
        <w:t>1.9 踏勘现场</w:t>
      </w:r>
      <w:bookmarkEnd w:id="100"/>
      <w:bookmarkEnd w:id="101"/>
      <w:bookmarkEnd w:id="102"/>
      <w:bookmarkEnd w:id="103"/>
      <w:bookmarkEnd w:id="104"/>
      <w:bookmarkEnd w:id="105"/>
      <w:bookmarkEnd w:id="106"/>
      <w:bookmarkEnd w:id="107"/>
    </w:p>
    <w:p w14:paraId="11A48417">
      <w:pPr>
        <w:spacing w:line="400" w:lineRule="exact"/>
        <w:ind w:firstLine="420" w:firstLineChars="200"/>
        <w:rPr>
          <w:rFonts w:hint="eastAsia" w:ascii="宋体" w:hAnsi="宋体" w:cs="宋体"/>
          <w:u w:val="single"/>
        </w:rPr>
      </w:pPr>
      <w:r>
        <w:rPr>
          <w:rFonts w:hint="eastAsia" w:ascii="宋体" w:hAnsi="宋体" w:cs="宋体"/>
          <w:u w:val="single"/>
        </w:rPr>
        <w:t>1.9.1 见投标须知前附表。招标人不组织集中踏勘现场，投标人可自行前往现场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14:paraId="3A2266CA">
      <w:pPr>
        <w:spacing w:line="400" w:lineRule="exact"/>
        <w:ind w:firstLine="420" w:firstLineChars="200"/>
        <w:rPr>
          <w:rFonts w:hint="eastAsia" w:ascii="宋体" w:hAnsi="宋体" w:cs="宋体"/>
          <w:u w:val="single"/>
        </w:rPr>
      </w:pPr>
      <w:r>
        <w:rPr>
          <w:rFonts w:hint="eastAsia" w:ascii="宋体" w:hAnsi="宋体" w:cs="宋体"/>
          <w:u w:val="single"/>
        </w:rPr>
        <w:t>1.9.2 招标人向投标人提供的有关现场的数据和资料，是招标人现有的能被投标人利用的资料，招标人对投标人做出的任何推论、理解和结论均不负责任。</w:t>
      </w:r>
    </w:p>
    <w:p w14:paraId="75A008B3">
      <w:pPr>
        <w:spacing w:line="400" w:lineRule="exact"/>
        <w:ind w:firstLine="420" w:firstLineChars="200"/>
      </w:pPr>
      <w:r>
        <w:rPr>
          <w:rFonts w:hint="eastAsia" w:ascii="宋体" w:hAnsi="宋体" w:cs="宋体"/>
          <w:u w:val="single"/>
        </w:rPr>
        <w:t>1.9.3 投标人可为踏勘目的进入招标人的项目现场。投标人同意：其及其代表进入项目现场，即表示招标人已经尽了提醒义务，投标人及其代表已经充分了解项目现场可能造成人身、财产损害的所有因素，但仍然愿意进入项目现场踏勘，并认为已做了足够的保障措施；在考察过程中，由于自身或第三人原因造成投标人及其代表的人身、财产损失，招标人不承担任何责任；由于其考察行为导致的现场或第三方人身、财产损失，由其承担相应责任。</w:t>
      </w:r>
      <w:bookmarkStart w:id="108" w:name="_Toc152045540"/>
      <w:bookmarkStart w:id="109" w:name="_Toc144974508"/>
      <w:bookmarkStart w:id="110" w:name="_Toc247513963"/>
      <w:bookmarkStart w:id="111" w:name="_Toc152042316"/>
      <w:bookmarkStart w:id="112" w:name="_Toc16251"/>
      <w:bookmarkStart w:id="113" w:name="_Toc247527564"/>
    </w:p>
    <w:p w14:paraId="044D1EE3">
      <w:pPr>
        <w:pStyle w:val="4"/>
        <w:rPr>
          <w:rFonts w:hint="eastAsia"/>
        </w:rPr>
      </w:pPr>
      <w:bookmarkStart w:id="114" w:name="_Toc134304533"/>
      <w:bookmarkStart w:id="115" w:name="_Toc87238901"/>
      <w:r>
        <w:rPr>
          <w:rFonts w:hint="eastAsia"/>
        </w:rPr>
        <w:t xml:space="preserve">1.10 </w:t>
      </w:r>
      <w:bookmarkEnd w:id="108"/>
      <w:bookmarkEnd w:id="109"/>
      <w:bookmarkEnd w:id="110"/>
      <w:bookmarkEnd w:id="111"/>
      <w:bookmarkEnd w:id="112"/>
      <w:bookmarkEnd w:id="113"/>
      <w:r>
        <w:rPr>
          <w:rFonts w:hint="eastAsia"/>
        </w:rPr>
        <w:t>招标答疑</w:t>
      </w:r>
      <w:bookmarkEnd w:id="114"/>
      <w:bookmarkEnd w:id="115"/>
      <w:bookmarkStart w:id="116" w:name="_Toc16283"/>
      <w:bookmarkStart w:id="117" w:name="_Toc3889"/>
      <w:bookmarkStart w:id="118" w:name="_Toc152045541"/>
      <w:bookmarkStart w:id="119" w:name="_Toc144974509"/>
      <w:bookmarkStart w:id="120" w:name="_Toc247527565"/>
      <w:bookmarkStart w:id="121" w:name="_Toc247513964"/>
      <w:bookmarkStart w:id="122" w:name="_Toc152042317"/>
      <w:bookmarkStart w:id="123" w:name="_Toc17636"/>
    </w:p>
    <w:p w14:paraId="772DCE44">
      <w:pPr>
        <w:spacing w:line="400" w:lineRule="exact"/>
        <w:ind w:firstLine="420" w:firstLineChars="200"/>
        <w:rPr>
          <w:rFonts w:hint="eastAsia" w:ascii="宋体" w:hAnsi="宋体" w:cs="宋体"/>
          <w:u w:val="single"/>
        </w:rPr>
      </w:pPr>
      <w:r>
        <w:rPr>
          <w:rFonts w:hint="eastAsia" w:ascii="宋体" w:hAnsi="宋体" w:cs="宋体"/>
          <w:u w:val="single"/>
        </w:rPr>
        <w:t>1.10.1 招标答疑采用网上答疑方式进行。投标人若对招标文件（包括招标图纸、清单、投标最高限价、合同）有疑问的，可在规定的时间内通过广州交易集团有限公司（广州公共资源交易中心）网站进入提问区域将问题提交给招标人或招标代理人，提交问题时一律不得署名。</w:t>
      </w:r>
      <w:bookmarkEnd w:id="116"/>
      <w:bookmarkEnd w:id="117"/>
      <w:bookmarkStart w:id="124" w:name="_Toc16844"/>
      <w:bookmarkStart w:id="125" w:name="_Toc21882"/>
      <w:bookmarkStart w:id="126" w:name="_Toc14422"/>
      <w:r>
        <w:rPr>
          <w:rFonts w:hint="eastAsia" w:ascii="宋体" w:cs="宋体"/>
          <w:bCs/>
          <w:u w:val="single"/>
        </w:rPr>
        <w:t>网上答疑的操作指南为：登陆广州交易集团有限公司（广州公共资源交易中心）网站→进入“我是投标人”→进入“新建设工程交易平台”→进入“我的投标”→进入“招标答疑提问”→通过项目编号或名称找到所需的项目→在上述的答疑时间内点击“答疑提问”进入到提问区域→无记名或匿名提出问题</w:t>
      </w:r>
      <w:bookmarkEnd w:id="124"/>
      <w:bookmarkEnd w:id="125"/>
      <w:bookmarkEnd w:id="126"/>
      <w:r>
        <w:rPr>
          <w:rFonts w:hint="eastAsia" w:ascii="宋体" w:hAnsi="宋体" w:cs="宋体"/>
          <w:u w:val="single"/>
        </w:rPr>
        <w:t>。</w:t>
      </w:r>
      <w:bookmarkStart w:id="127" w:name="_Toc22325"/>
      <w:bookmarkStart w:id="128" w:name="_Toc17089"/>
      <w:bookmarkStart w:id="129" w:name="_Toc31603"/>
    </w:p>
    <w:p w14:paraId="1AD03B81">
      <w:pPr>
        <w:spacing w:line="400" w:lineRule="exact"/>
        <w:ind w:firstLine="420" w:firstLineChars="200"/>
        <w:rPr>
          <w:rFonts w:ascii="宋体" w:cs="宋体"/>
          <w:bCs/>
          <w:u w:val="single"/>
        </w:rPr>
      </w:pPr>
      <w:r>
        <w:rPr>
          <w:rFonts w:hint="eastAsia" w:ascii="宋体" w:cs="宋体"/>
          <w:bCs/>
          <w:u w:val="single"/>
        </w:rPr>
        <w:t>1.10.2 投标人应在投标人须知前附表规定的时间前，按前附表载明的方式提出问题。招标人应在递交投标文件截止时间15日前解答投标人对招标文件提出的疑问，形成答疑纪要，在广州交易集团有限公司（广州公共资源交易中心）网站“招标答疑”专区发布。</w:t>
      </w:r>
      <w:bookmarkEnd w:id="127"/>
      <w:bookmarkEnd w:id="128"/>
      <w:bookmarkEnd w:id="129"/>
      <w:bookmarkStart w:id="130" w:name="_Toc12054"/>
      <w:bookmarkStart w:id="131" w:name="_Toc23655"/>
      <w:bookmarkStart w:id="132" w:name="_Toc17542"/>
    </w:p>
    <w:p w14:paraId="1858B528">
      <w:pPr>
        <w:spacing w:line="400" w:lineRule="exact"/>
        <w:ind w:firstLine="420" w:firstLineChars="200"/>
        <w:rPr>
          <w:rFonts w:ascii="宋体" w:cs="宋体"/>
          <w:bCs/>
          <w:u w:val="single"/>
        </w:rPr>
      </w:pPr>
      <w:r>
        <w:rPr>
          <w:rFonts w:hint="eastAsia" w:ascii="宋体" w:cs="宋体"/>
          <w:bCs/>
          <w:u w:val="single"/>
        </w:rPr>
        <w:t>1.10.3 招标答疑纪要一经在广州交易集团有限公司（广州公共资源交易中心）网站发布，视作已发放给所有投标人。</w:t>
      </w:r>
      <w:bookmarkEnd w:id="130"/>
      <w:bookmarkEnd w:id="131"/>
      <w:bookmarkEnd w:id="132"/>
      <w:bookmarkStart w:id="133" w:name="_Toc23270"/>
      <w:bookmarkStart w:id="134" w:name="_Toc22640"/>
      <w:bookmarkStart w:id="135" w:name="_Toc2020"/>
    </w:p>
    <w:p w14:paraId="4D36F210">
      <w:pPr>
        <w:spacing w:line="400" w:lineRule="exact"/>
        <w:ind w:firstLine="420" w:firstLineChars="200"/>
        <w:rPr>
          <w:rFonts w:ascii="宋体" w:cs="宋体"/>
          <w:bCs/>
          <w:u w:val="single"/>
        </w:rPr>
      </w:pPr>
      <w:r>
        <w:rPr>
          <w:rFonts w:hint="eastAsia" w:ascii="宋体" w:cs="宋体"/>
          <w:bCs/>
          <w:u w:val="single"/>
        </w:rPr>
        <w:t>1.10.4 招标答疑纪要为招标文件的一部分。投标人可在广州交易集团有限公司（广州公共资源交易中心）网站浏览、下载招标答疑纪要。</w:t>
      </w:r>
      <w:bookmarkEnd w:id="133"/>
      <w:bookmarkEnd w:id="134"/>
      <w:bookmarkEnd w:id="135"/>
      <w:bookmarkStart w:id="136" w:name="_Toc279"/>
      <w:bookmarkStart w:id="137" w:name="_Toc8182"/>
      <w:bookmarkStart w:id="138" w:name="_Toc2639"/>
    </w:p>
    <w:p w14:paraId="71C59F5A">
      <w:pPr>
        <w:spacing w:line="400" w:lineRule="exact"/>
        <w:ind w:firstLine="420" w:firstLineChars="200"/>
        <w:rPr>
          <w:rFonts w:ascii="宋体" w:cs="宋体"/>
          <w:bCs/>
          <w:u w:val="single"/>
        </w:rPr>
      </w:pPr>
      <w:r>
        <w:rPr>
          <w:rFonts w:hint="eastAsia" w:ascii="宋体" w:cs="宋体"/>
          <w:bCs/>
          <w:u w:val="single"/>
        </w:rPr>
        <w:t>1.10.5 若招标答疑纪要与招标文件有矛盾时，以广州交易集团有限公司（广州公共资源交易中心）网站最后发布的答疑纪要为准。</w:t>
      </w:r>
      <w:bookmarkEnd w:id="136"/>
      <w:bookmarkEnd w:id="137"/>
      <w:bookmarkEnd w:id="138"/>
    </w:p>
    <w:p w14:paraId="4BB01BBB">
      <w:pPr>
        <w:pStyle w:val="4"/>
        <w:rPr>
          <w:rFonts w:hint="eastAsia"/>
        </w:rPr>
      </w:pPr>
      <w:bookmarkStart w:id="139" w:name="_Toc87238902"/>
      <w:bookmarkStart w:id="140" w:name="_Toc134304534"/>
      <w:r>
        <w:rPr>
          <w:rFonts w:hint="eastAsia"/>
        </w:rPr>
        <w:t>1.11 分包</w:t>
      </w:r>
      <w:bookmarkEnd w:id="118"/>
      <w:bookmarkEnd w:id="119"/>
      <w:bookmarkEnd w:id="120"/>
      <w:bookmarkEnd w:id="121"/>
      <w:bookmarkEnd w:id="122"/>
      <w:bookmarkEnd w:id="123"/>
      <w:bookmarkEnd w:id="139"/>
      <w:bookmarkEnd w:id="140"/>
    </w:p>
    <w:p w14:paraId="40D18136">
      <w:pPr>
        <w:spacing w:line="400" w:lineRule="exact"/>
        <w:ind w:firstLine="567" w:firstLineChars="270"/>
        <w:rPr>
          <w:rFonts w:hint="eastAsia" w:ascii="宋体" w:hAnsi="宋体" w:cs="宋体"/>
          <w:strike/>
        </w:rPr>
      </w:pPr>
      <w:r>
        <w:rPr>
          <w:rFonts w:hint="eastAsia" w:ascii="宋体" w:hAnsi="宋体" w:cs="宋体"/>
          <w:strike/>
        </w:rPr>
        <w:t>1.11.1 投标人须知前附表规定应当由分包人实施的非主体、非关键性工作，投标人应当按照第五章“发包人要求”的规定提供分包人侯选名单及其相应资料。</w:t>
      </w:r>
    </w:p>
    <w:p w14:paraId="4B4A49EB">
      <w:pPr>
        <w:spacing w:line="400" w:lineRule="exact"/>
        <w:ind w:firstLine="567" w:firstLineChars="270"/>
        <w:rPr>
          <w:rFonts w:hint="eastAsia" w:ascii="宋体" w:hAnsi="宋体" w:cs="宋体"/>
        </w:rPr>
      </w:pPr>
      <w:r>
        <w:rPr>
          <w:rFonts w:hint="eastAsia" w:ascii="宋体" w:hAnsi="宋体" w:cs="宋体"/>
          <w:strike/>
        </w:rPr>
        <w:t>1.11.2 投标人拟在中标后将中标项目的部分非主体、非关键性工作进行分包的，应符合投标人须知前附表规定的分包内容、分包金额和资质要求等限制性条件。</w:t>
      </w:r>
    </w:p>
    <w:p w14:paraId="12D95EA6">
      <w:pPr>
        <w:pStyle w:val="4"/>
        <w:rPr>
          <w:rFonts w:hint="eastAsia"/>
        </w:rPr>
      </w:pPr>
      <w:bookmarkStart w:id="141" w:name="_Toc134304535"/>
      <w:bookmarkStart w:id="142" w:name="_Toc87238903"/>
      <w:bookmarkStart w:id="143" w:name="_Toc247527566"/>
      <w:bookmarkStart w:id="144" w:name="_Toc247513965"/>
      <w:bookmarkStart w:id="145" w:name="_Toc30381"/>
      <w:r>
        <w:rPr>
          <w:rFonts w:hint="eastAsia"/>
        </w:rPr>
        <w:t>1.12 偏离</w:t>
      </w:r>
      <w:bookmarkEnd w:id="141"/>
      <w:bookmarkEnd w:id="142"/>
      <w:bookmarkEnd w:id="143"/>
      <w:bookmarkEnd w:id="144"/>
      <w:bookmarkEnd w:id="145"/>
    </w:p>
    <w:p w14:paraId="2F68A851">
      <w:pPr>
        <w:spacing w:line="400" w:lineRule="exact"/>
        <w:ind w:firstLine="359" w:firstLineChars="171"/>
        <w:rPr>
          <w:rFonts w:hint="eastAsia" w:ascii="宋体" w:hAnsi="宋体" w:cs="宋体"/>
        </w:rPr>
      </w:pPr>
      <w:r>
        <w:rPr>
          <w:rFonts w:hint="eastAsia" w:ascii="宋体" w:hAnsi="宋体" w:cs="宋体"/>
        </w:rPr>
        <w:t>投标人须知前附表允许投标文件偏离招标文件某些要求的，偏离应当符合招标文件规定的偏离范围和幅度。</w:t>
      </w:r>
    </w:p>
    <w:p w14:paraId="6DEDAB70">
      <w:pPr>
        <w:pStyle w:val="2"/>
      </w:pPr>
      <w:bookmarkStart w:id="146" w:name="_Toc247527567"/>
      <w:bookmarkStart w:id="147" w:name="_Toc152042318"/>
      <w:bookmarkStart w:id="148" w:name="_Toc134304536"/>
      <w:bookmarkStart w:id="149" w:name="_Toc1073"/>
      <w:bookmarkStart w:id="150" w:name="_Toc247513966"/>
      <w:bookmarkStart w:id="151" w:name="_Toc144974510"/>
      <w:bookmarkStart w:id="152" w:name="_Toc152045542"/>
      <w:r>
        <w:rPr>
          <w:rFonts w:hint="eastAsia"/>
        </w:rPr>
        <w:t>2. 招标文件</w:t>
      </w:r>
      <w:bookmarkEnd w:id="146"/>
      <w:bookmarkEnd w:id="147"/>
      <w:bookmarkEnd w:id="148"/>
      <w:bookmarkEnd w:id="149"/>
      <w:bookmarkEnd w:id="150"/>
      <w:bookmarkEnd w:id="151"/>
      <w:bookmarkEnd w:id="152"/>
    </w:p>
    <w:p w14:paraId="4A842F98">
      <w:pPr>
        <w:pStyle w:val="4"/>
        <w:rPr>
          <w:rFonts w:hint="eastAsia"/>
        </w:rPr>
      </w:pPr>
      <w:bookmarkStart w:id="153" w:name="_Toc247527568"/>
      <w:bookmarkStart w:id="154" w:name="_Toc30775"/>
      <w:bookmarkStart w:id="155" w:name="_Toc144974511"/>
      <w:bookmarkStart w:id="156" w:name="_Toc87238905"/>
      <w:bookmarkStart w:id="157" w:name="_Toc152045543"/>
      <w:bookmarkStart w:id="158" w:name="_Toc152042319"/>
      <w:bookmarkStart w:id="159" w:name="_Toc134304537"/>
      <w:bookmarkStart w:id="160" w:name="_Toc247513967"/>
      <w:r>
        <w:rPr>
          <w:rFonts w:hint="eastAsia"/>
        </w:rPr>
        <w:t>2.1 招标文件的组成</w:t>
      </w:r>
      <w:bookmarkEnd w:id="153"/>
      <w:bookmarkEnd w:id="154"/>
      <w:bookmarkEnd w:id="155"/>
      <w:bookmarkEnd w:id="156"/>
      <w:bookmarkEnd w:id="157"/>
      <w:bookmarkEnd w:id="158"/>
      <w:bookmarkEnd w:id="159"/>
      <w:bookmarkEnd w:id="160"/>
    </w:p>
    <w:p w14:paraId="1DCBFFD4">
      <w:pPr>
        <w:spacing w:line="400" w:lineRule="exact"/>
        <w:ind w:firstLine="359" w:firstLineChars="171"/>
        <w:rPr>
          <w:rFonts w:hint="eastAsia" w:ascii="宋体" w:hAnsi="宋体" w:cs="宋体"/>
        </w:rPr>
      </w:pPr>
      <w:r>
        <w:rPr>
          <w:rFonts w:hint="eastAsia" w:ascii="宋体" w:hAnsi="宋体" w:cs="宋体"/>
        </w:rPr>
        <w:t>本招标文件包括：</w:t>
      </w:r>
    </w:p>
    <w:p w14:paraId="1FEE00EF">
      <w:pPr>
        <w:spacing w:line="400" w:lineRule="exact"/>
        <w:ind w:firstLine="359" w:firstLineChars="171"/>
        <w:rPr>
          <w:rFonts w:hint="eastAsia" w:ascii="宋体" w:hAnsi="宋体" w:cs="宋体"/>
        </w:rPr>
      </w:pPr>
      <w:r>
        <w:rPr>
          <w:rFonts w:hint="eastAsia" w:ascii="宋体" w:hAnsi="宋体" w:cs="宋体"/>
        </w:rPr>
        <w:t>（1）招标公告</w:t>
      </w:r>
      <w:r>
        <w:rPr>
          <w:rFonts w:hint="eastAsia" w:ascii="新宋体" w:hAnsi="新宋体" w:eastAsia="新宋体" w:cs="新宋体"/>
          <w:strike/>
        </w:rPr>
        <w:t>（或投标邀请书）</w:t>
      </w:r>
      <w:r>
        <w:rPr>
          <w:rFonts w:hint="eastAsia" w:ascii="宋体" w:hAnsi="宋体" w:cs="宋体"/>
        </w:rPr>
        <w:t>；</w:t>
      </w:r>
    </w:p>
    <w:p w14:paraId="5BB9CADF">
      <w:pPr>
        <w:spacing w:line="400" w:lineRule="exact"/>
        <w:ind w:firstLine="359" w:firstLineChars="171"/>
        <w:rPr>
          <w:rFonts w:hint="eastAsia" w:ascii="宋体" w:hAnsi="宋体" w:cs="宋体"/>
        </w:rPr>
      </w:pPr>
      <w:r>
        <w:rPr>
          <w:rFonts w:hint="eastAsia" w:ascii="宋体" w:hAnsi="宋体" w:cs="宋体"/>
        </w:rPr>
        <w:t>（2）投标人须知；</w:t>
      </w:r>
    </w:p>
    <w:p w14:paraId="6F9CC4C6">
      <w:pPr>
        <w:spacing w:line="400" w:lineRule="exact"/>
        <w:ind w:firstLine="359" w:firstLineChars="171"/>
        <w:rPr>
          <w:rFonts w:hint="eastAsia" w:ascii="宋体" w:hAnsi="宋体" w:cs="宋体"/>
        </w:rPr>
      </w:pPr>
      <w:r>
        <w:rPr>
          <w:rFonts w:hint="eastAsia" w:ascii="宋体" w:hAnsi="宋体" w:cs="宋体"/>
        </w:rPr>
        <w:t>（3）评标办法；</w:t>
      </w:r>
    </w:p>
    <w:p w14:paraId="7CF09954">
      <w:pPr>
        <w:spacing w:line="400" w:lineRule="exact"/>
        <w:ind w:firstLine="359" w:firstLineChars="171"/>
        <w:rPr>
          <w:rFonts w:hint="eastAsia" w:ascii="宋体" w:hAnsi="宋体" w:cs="宋体"/>
        </w:rPr>
      </w:pPr>
      <w:r>
        <w:rPr>
          <w:rFonts w:hint="eastAsia" w:ascii="宋体" w:hAnsi="宋体" w:cs="宋体"/>
        </w:rPr>
        <w:t>（4）合同条款及格式（</w:t>
      </w:r>
      <w:r>
        <w:rPr>
          <w:rFonts w:hint="eastAsia" w:ascii="宋体" w:hAnsi="宋体" w:cs="宋体"/>
          <w:u w:val="single"/>
        </w:rPr>
        <w:t>另册）；</w:t>
      </w:r>
    </w:p>
    <w:p w14:paraId="38B3CC07">
      <w:pPr>
        <w:spacing w:line="400" w:lineRule="exact"/>
        <w:ind w:firstLine="359" w:firstLineChars="171"/>
        <w:rPr>
          <w:rFonts w:hint="eastAsia" w:ascii="宋体" w:hAnsi="宋体" w:cs="宋体"/>
        </w:rPr>
      </w:pPr>
      <w:r>
        <w:rPr>
          <w:rFonts w:hint="eastAsia" w:ascii="宋体" w:hAnsi="宋体" w:cs="宋体"/>
        </w:rPr>
        <w:t>（5）</w:t>
      </w:r>
      <w:r>
        <w:rPr>
          <w:rFonts w:hint="eastAsia" w:ascii="宋体" w:hAnsi="宋体" w:cs="宋体"/>
          <w:u w:val="single"/>
        </w:rPr>
        <w:t>招标人</w:t>
      </w:r>
      <w:r>
        <w:rPr>
          <w:rFonts w:hint="eastAsia" w:ascii="宋体" w:hAnsi="宋体" w:cs="宋体"/>
        </w:rPr>
        <w:t>要求；</w:t>
      </w:r>
    </w:p>
    <w:p w14:paraId="5618AB81">
      <w:pPr>
        <w:spacing w:line="400" w:lineRule="exact"/>
        <w:ind w:firstLine="359" w:firstLineChars="171"/>
        <w:rPr>
          <w:rFonts w:hint="eastAsia" w:ascii="宋体" w:hAnsi="宋体" w:cs="宋体"/>
        </w:rPr>
      </w:pPr>
      <w:r>
        <w:rPr>
          <w:rFonts w:hint="eastAsia" w:ascii="宋体" w:hAnsi="宋体" w:cs="宋体"/>
        </w:rPr>
        <w:t>（6）</w:t>
      </w:r>
      <w:r>
        <w:rPr>
          <w:rFonts w:hint="eastAsia" w:ascii="宋体" w:hAnsi="宋体" w:cs="宋体"/>
          <w:u w:val="single"/>
        </w:rPr>
        <w:t>招标人</w:t>
      </w:r>
      <w:r>
        <w:rPr>
          <w:rFonts w:hint="eastAsia" w:ascii="宋体" w:hAnsi="宋体" w:cs="宋体"/>
        </w:rPr>
        <w:t>提供的资料和条件；</w:t>
      </w:r>
    </w:p>
    <w:p w14:paraId="78CA4FDA">
      <w:pPr>
        <w:spacing w:line="400" w:lineRule="exact"/>
        <w:ind w:firstLine="359" w:firstLineChars="171"/>
        <w:rPr>
          <w:rFonts w:hint="eastAsia" w:ascii="宋体" w:hAnsi="宋体" w:cs="宋体"/>
        </w:rPr>
      </w:pPr>
      <w:r>
        <w:rPr>
          <w:rFonts w:hint="eastAsia" w:ascii="宋体" w:hAnsi="宋体" w:cs="宋体"/>
        </w:rPr>
        <w:t>（7）投标文件格式；</w:t>
      </w:r>
    </w:p>
    <w:p w14:paraId="4B7482E6">
      <w:pPr>
        <w:spacing w:line="400" w:lineRule="exact"/>
        <w:ind w:firstLine="359" w:firstLineChars="171"/>
        <w:rPr>
          <w:rFonts w:hint="eastAsia" w:ascii="宋体" w:hAnsi="宋体" w:cs="宋体"/>
        </w:rPr>
      </w:pPr>
      <w:r>
        <w:rPr>
          <w:rFonts w:hint="eastAsia" w:ascii="宋体" w:hAnsi="宋体" w:cs="宋体"/>
        </w:rPr>
        <w:t>（8）投标人须知前附表规定的其他资料。</w:t>
      </w:r>
    </w:p>
    <w:p w14:paraId="2B91161B">
      <w:pPr>
        <w:spacing w:line="400" w:lineRule="exact"/>
        <w:ind w:firstLine="420" w:firstLineChars="200"/>
        <w:rPr>
          <w:rFonts w:hint="eastAsia" w:ascii="宋体" w:hAnsi="宋体" w:cs="宋体"/>
        </w:rPr>
      </w:pPr>
      <w:r>
        <w:rPr>
          <w:rFonts w:hint="eastAsia" w:ascii="宋体" w:hAnsi="宋体" w:cs="宋体"/>
        </w:rPr>
        <w:t>根据本章第1.10款、第2.2款和第2.3款对招标文件所作的澄清、修改，构成招标文件的组成部分。</w:t>
      </w:r>
    </w:p>
    <w:p w14:paraId="078285A6">
      <w:pPr>
        <w:pStyle w:val="2"/>
        <w:rPr>
          <w:rFonts w:hint="eastAsia" w:ascii="宋体" w:hAnsi="宋体" w:eastAsia="宋体" w:cs="宋体"/>
          <w:b w:val="0"/>
          <w:bCs w:val="0"/>
          <w:sz w:val="21"/>
          <w:szCs w:val="24"/>
        </w:rPr>
      </w:pPr>
      <w:r>
        <w:rPr>
          <w:rFonts w:hint="eastAsia" w:ascii="宋体" w:hAnsi="宋体" w:eastAsia="宋体" w:cs="宋体"/>
          <w:b w:val="0"/>
          <w:bCs w:val="0"/>
          <w:sz w:val="21"/>
          <w:szCs w:val="24"/>
        </w:rPr>
        <w:t>注：招标人应在技术条件（工程建设标准）中明确施工现场建筑垃圾源头减量的具体要求和建筑垃圾综合利用产品的使用要求。</w:t>
      </w:r>
    </w:p>
    <w:p w14:paraId="10111A7D">
      <w:pPr>
        <w:pStyle w:val="4"/>
        <w:rPr>
          <w:rFonts w:hint="eastAsia"/>
        </w:rPr>
      </w:pPr>
      <w:bookmarkStart w:id="161" w:name="_Toc152045544"/>
      <w:bookmarkStart w:id="162" w:name="_Toc30434"/>
      <w:bookmarkStart w:id="163" w:name="_Toc247527569"/>
      <w:bookmarkStart w:id="164" w:name="_Toc247513968"/>
      <w:bookmarkStart w:id="165" w:name="_Toc87238906"/>
      <w:bookmarkStart w:id="166" w:name="_Toc144974512"/>
      <w:bookmarkStart w:id="167" w:name="_Toc134304538"/>
      <w:bookmarkStart w:id="168" w:name="_Toc152042320"/>
      <w:r>
        <w:rPr>
          <w:rFonts w:hint="eastAsia"/>
        </w:rPr>
        <w:t>2.2 招标文件的澄清</w:t>
      </w:r>
      <w:bookmarkEnd w:id="161"/>
      <w:bookmarkEnd w:id="162"/>
      <w:bookmarkEnd w:id="163"/>
      <w:bookmarkEnd w:id="164"/>
      <w:bookmarkEnd w:id="165"/>
      <w:bookmarkEnd w:id="166"/>
      <w:bookmarkEnd w:id="167"/>
      <w:bookmarkEnd w:id="168"/>
    </w:p>
    <w:p w14:paraId="463B5C09">
      <w:pPr>
        <w:spacing w:line="400" w:lineRule="exact"/>
        <w:ind w:firstLine="420" w:firstLineChars="200"/>
        <w:rPr>
          <w:rFonts w:hint="eastAsia" w:ascii="宋体" w:hAnsi="宋体" w:cs="宋体"/>
        </w:rPr>
      </w:pPr>
      <w:r>
        <w:rPr>
          <w:rFonts w:hint="eastAsia" w:ascii="宋体" w:hAnsi="宋体" w:cs="宋体"/>
        </w:rPr>
        <w:t>2.2.1 投标人应仔细阅读和检查招标文件的全部内容。</w:t>
      </w:r>
      <w:r>
        <w:rPr>
          <w:rFonts w:hint="eastAsia" w:ascii="宋体" w:hAnsi="宋体" w:cs="宋体"/>
          <w:szCs w:val="21"/>
        </w:rPr>
        <w:t>如发现缺页或附件不全，应及时向招标人提出，以便补齐。</w:t>
      </w:r>
      <w:r>
        <w:rPr>
          <w:rFonts w:hint="eastAsia" w:ascii="宋体" w:hAnsi="宋体" w:cs="宋体"/>
        </w:rPr>
        <w:t>如有疑问，应在投标人须知前附表规定的时间前</w:t>
      </w:r>
      <w:r>
        <w:rPr>
          <w:rFonts w:hint="eastAsia" w:ascii="宋体" w:hAnsi="宋体" w:cs="宋体"/>
          <w:u w:val="single"/>
        </w:rPr>
        <w:t>通过广州交易集团有限公司（广州公共资源交易中心）网站进入提问区域将问题提交给招标人或招标代理人</w:t>
      </w:r>
      <w:r>
        <w:rPr>
          <w:rFonts w:hint="eastAsia" w:ascii="宋体" w:hAnsi="宋体" w:cs="宋体"/>
        </w:rPr>
        <w:t>，要求招标人对招标文件予以澄清。</w:t>
      </w:r>
    </w:p>
    <w:p w14:paraId="06ED7632">
      <w:pPr>
        <w:spacing w:line="400" w:lineRule="exact"/>
        <w:ind w:firstLine="420" w:firstLineChars="200"/>
        <w:rPr>
          <w:rFonts w:hint="eastAsia" w:ascii="宋体" w:hAnsi="宋体" w:cs="宋体"/>
        </w:rPr>
      </w:pPr>
      <w:r>
        <w:rPr>
          <w:rFonts w:hint="eastAsia" w:ascii="宋体" w:hAnsi="宋体" w:cs="宋体"/>
        </w:rPr>
        <w:t>2.2.2 招标文件的澄清在</w:t>
      </w:r>
      <w:r>
        <w:rPr>
          <w:rFonts w:hint="eastAsia" w:ascii="宋体" w:hAnsi="宋体" w:cs="宋体"/>
          <w:u w:val="single"/>
        </w:rPr>
        <w:t>广州交易集团有限公司（广州公共资源交易中心）网站发布</w:t>
      </w:r>
      <w:r>
        <w:rPr>
          <w:rFonts w:hint="eastAsia" w:ascii="宋体" w:hAnsi="宋体" w:cs="宋体"/>
        </w:rPr>
        <w:t>发给所有投标人，但不指明澄清问题的来源。澄清发出的时间距投标人须知前附表规定的投标截止时间不足15天的，并且澄清内容影响投标文件编制的，将相应延长投标截止时间。</w:t>
      </w:r>
    </w:p>
    <w:p w14:paraId="523C991E">
      <w:pPr>
        <w:spacing w:line="400" w:lineRule="exact"/>
        <w:ind w:firstLine="420" w:firstLineChars="200"/>
        <w:rPr>
          <w:rFonts w:hint="eastAsia" w:ascii="宋体" w:hAnsi="宋体" w:cs="宋体"/>
        </w:rPr>
      </w:pPr>
      <w:r>
        <w:rPr>
          <w:rFonts w:hint="eastAsia" w:ascii="宋体" w:hAnsi="宋体" w:cs="宋体"/>
        </w:rPr>
        <w:t xml:space="preserve">2.2.3 </w:t>
      </w:r>
      <w:r>
        <w:rPr>
          <w:rFonts w:hint="eastAsia" w:ascii="宋体" w:hAnsi="宋体" w:cs="宋体"/>
          <w:u w:val="single"/>
        </w:rPr>
        <w:t>招标文件澄清在交易平台网站通过项目答疑专区网上公开发布，发出即视作收到，以交易平台网站发布时间作为送达时间。无需投标人确认。投标人应自行关注，招标人不再一一通知</w:t>
      </w:r>
      <w:r>
        <w:rPr>
          <w:rFonts w:hint="eastAsia" w:ascii="宋体" w:hAnsi="宋体" w:cs="宋体"/>
        </w:rPr>
        <w:t>。</w:t>
      </w:r>
    </w:p>
    <w:p w14:paraId="2751BB41">
      <w:pPr>
        <w:pStyle w:val="4"/>
        <w:rPr>
          <w:rFonts w:hint="eastAsia"/>
        </w:rPr>
      </w:pPr>
      <w:bookmarkStart w:id="169" w:name="_Toc247513969"/>
      <w:bookmarkStart w:id="170" w:name="_Toc6494"/>
      <w:bookmarkStart w:id="171" w:name="_Toc152045545"/>
      <w:bookmarkStart w:id="172" w:name="_Toc152042321"/>
      <w:bookmarkStart w:id="173" w:name="_Toc87238907"/>
      <w:bookmarkStart w:id="174" w:name="_Toc247527570"/>
      <w:bookmarkStart w:id="175" w:name="_Toc144974513"/>
      <w:bookmarkStart w:id="176" w:name="_Toc134304539"/>
      <w:r>
        <w:rPr>
          <w:rFonts w:hint="eastAsia"/>
        </w:rPr>
        <w:t>2.3 招标文件的修改</w:t>
      </w:r>
      <w:bookmarkEnd w:id="169"/>
      <w:bookmarkEnd w:id="170"/>
      <w:bookmarkEnd w:id="171"/>
      <w:bookmarkEnd w:id="172"/>
      <w:bookmarkEnd w:id="173"/>
      <w:bookmarkEnd w:id="174"/>
      <w:bookmarkEnd w:id="175"/>
      <w:bookmarkEnd w:id="176"/>
    </w:p>
    <w:p w14:paraId="0CD4F8AA">
      <w:pPr>
        <w:spacing w:line="400" w:lineRule="exact"/>
        <w:ind w:firstLine="420" w:firstLineChars="200"/>
        <w:rPr>
          <w:rFonts w:hint="eastAsia" w:ascii="宋体" w:hAnsi="宋体" w:cs="宋体"/>
        </w:rPr>
      </w:pPr>
      <w:r>
        <w:rPr>
          <w:rFonts w:hint="eastAsia" w:ascii="宋体" w:hAnsi="宋体" w:cs="宋体"/>
        </w:rPr>
        <w:t>2.3.1 招标人</w:t>
      </w:r>
      <w:r>
        <w:rPr>
          <w:rFonts w:hint="eastAsia" w:ascii="宋体" w:hAnsi="宋体" w:cs="宋体"/>
          <w:u w:val="single"/>
        </w:rPr>
        <w:t>在交易平台网站发布</w:t>
      </w:r>
      <w:r>
        <w:rPr>
          <w:rFonts w:hint="eastAsia" w:ascii="宋体" w:hAnsi="宋体" w:cs="宋体"/>
        </w:rPr>
        <w:t xml:space="preserve">形式修改招标文件。修改招标文件的时间距投标人须知前附表规定的投标截止时间不足15天的，并且澄清内容影响投标文件编制的，将相应延长投标截止时间。 </w:t>
      </w:r>
    </w:p>
    <w:p w14:paraId="21E38839">
      <w:pPr>
        <w:spacing w:line="400" w:lineRule="exact"/>
        <w:ind w:firstLine="420" w:firstLineChars="200"/>
        <w:rPr>
          <w:rFonts w:hint="eastAsia" w:ascii="宋体" w:hAnsi="宋体" w:cs="宋体"/>
        </w:rPr>
      </w:pPr>
      <w:r>
        <w:rPr>
          <w:rFonts w:hint="eastAsia" w:ascii="宋体" w:hAnsi="宋体" w:cs="宋体"/>
        </w:rPr>
        <w:t xml:space="preserve">2.3.2 </w:t>
      </w:r>
      <w:r>
        <w:rPr>
          <w:rFonts w:hint="eastAsia" w:ascii="宋体" w:hAnsi="宋体" w:cs="宋体"/>
          <w:u w:val="single"/>
        </w:rPr>
        <w:t>招标文件</w:t>
      </w:r>
      <w:r>
        <w:rPr>
          <w:rFonts w:hint="eastAsia" w:ascii="宋体" w:hAnsi="宋体" w:cs="宋体"/>
          <w:szCs w:val="21"/>
          <w:u w:val="single"/>
        </w:rPr>
        <w:t>修改</w:t>
      </w:r>
      <w:r>
        <w:rPr>
          <w:rFonts w:hint="eastAsia" w:ascii="宋体" w:hAnsi="宋体" w:cs="宋体"/>
          <w:u w:val="single"/>
        </w:rPr>
        <w:t>（或补充公告）一经在交易平台网站发布，视作已发放给所有投标人，以交易平台网站发布时间作为送达时间。无需投标人确认。投标人应自行关注，招标人不再一一通知</w:t>
      </w:r>
      <w:r>
        <w:rPr>
          <w:rFonts w:hint="eastAsia" w:ascii="宋体" w:hAnsi="宋体" w:cs="宋体"/>
        </w:rPr>
        <w:t>。</w:t>
      </w:r>
    </w:p>
    <w:p w14:paraId="31F4FD8A">
      <w:pPr>
        <w:spacing w:line="400" w:lineRule="exact"/>
        <w:ind w:firstLine="420" w:firstLineChars="200"/>
        <w:rPr>
          <w:rFonts w:hint="eastAsia" w:ascii="宋体" w:hAnsi="宋体" w:cs="宋体"/>
          <w:u w:val="single"/>
        </w:rPr>
      </w:pPr>
      <w:r>
        <w:rPr>
          <w:rFonts w:hint="eastAsia" w:ascii="宋体" w:hAnsi="宋体" w:cs="宋体"/>
          <w:u w:val="single"/>
        </w:rPr>
        <w:t>2.3.3招标文件的修改均以广州交易集团有限公司（广州公共资源交易中心）网站发布的内容为准。当招标文件的修改在同一内容的表述不一致时，以广州交易集团有限公司（广州公共资源交易中心）网站最后发布的内容为准。</w:t>
      </w:r>
    </w:p>
    <w:p w14:paraId="680D8C03">
      <w:pPr>
        <w:spacing w:line="400" w:lineRule="exact"/>
        <w:ind w:firstLine="420" w:firstLineChars="200"/>
        <w:rPr>
          <w:rFonts w:hint="eastAsia" w:ascii="宋体" w:hAnsi="宋体" w:cs="宋体"/>
        </w:rPr>
      </w:pPr>
      <w:r>
        <w:rPr>
          <w:rFonts w:hint="eastAsia" w:ascii="宋体" w:hAnsi="宋体" w:cs="宋体"/>
          <w:szCs w:val="21"/>
          <w:u w:val="single"/>
        </w:rPr>
        <w:t>2.3.4为使投标人在编制投标文件时有充分的时间对招标文件的修改、补充等内容考虑进去，招标人将酌情延长提交投标文件的截止时间，具体时间将在招标文件的修改、补充通知中予以明确。若通知中没有明确延长时间，即表示投标时间不延长。</w:t>
      </w:r>
    </w:p>
    <w:p w14:paraId="00AE16CA">
      <w:pPr>
        <w:pStyle w:val="2"/>
      </w:pPr>
      <w:bookmarkStart w:id="177" w:name="_Toc247527571"/>
      <w:bookmarkStart w:id="178" w:name="_Toc152042322"/>
      <w:bookmarkStart w:id="179" w:name="_Toc152045546"/>
      <w:bookmarkStart w:id="180" w:name="_Toc247513970"/>
      <w:bookmarkStart w:id="181" w:name="_Toc144974514"/>
      <w:bookmarkStart w:id="182" w:name="_Toc134304540"/>
      <w:bookmarkStart w:id="183" w:name="_Toc2660"/>
      <w:r>
        <w:rPr>
          <w:rFonts w:hint="eastAsia"/>
        </w:rPr>
        <w:t>3. 投标文件</w:t>
      </w:r>
      <w:bookmarkEnd w:id="177"/>
      <w:bookmarkEnd w:id="178"/>
      <w:bookmarkEnd w:id="179"/>
      <w:bookmarkEnd w:id="180"/>
      <w:bookmarkEnd w:id="181"/>
      <w:bookmarkEnd w:id="182"/>
      <w:bookmarkEnd w:id="183"/>
    </w:p>
    <w:p w14:paraId="7F6BADE6">
      <w:pPr>
        <w:pStyle w:val="4"/>
        <w:rPr>
          <w:rFonts w:hint="eastAsia"/>
        </w:rPr>
      </w:pPr>
      <w:bookmarkStart w:id="184" w:name="_Toc134304541"/>
      <w:bookmarkStart w:id="185" w:name="_Toc152045547"/>
      <w:bookmarkStart w:id="186" w:name="_Toc87238909"/>
      <w:bookmarkStart w:id="187" w:name="_Toc144974515"/>
      <w:bookmarkStart w:id="188" w:name="_Toc247513971"/>
      <w:bookmarkStart w:id="189" w:name="_Toc247527572"/>
      <w:bookmarkStart w:id="190" w:name="_Toc21008"/>
      <w:bookmarkStart w:id="191" w:name="_Toc152042323"/>
      <w:r>
        <w:rPr>
          <w:rFonts w:hint="eastAsia"/>
        </w:rPr>
        <w:t>3.1 投标文件的组成</w:t>
      </w:r>
      <w:bookmarkEnd w:id="184"/>
      <w:bookmarkEnd w:id="185"/>
      <w:bookmarkEnd w:id="186"/>
      <w:bookmarkEnd w:id="187"/>
      <w:bookmarkEnd w:id="188"/>
      <w:bookmarkEnd w:id="189"/>
      <w:bookmarkEnd w:id="190"/>
      <w:bookmarkEnd w:id="191"/>
    </w:p>
    <w:p w14:paraId="185D2956">
      <w:pPr>
        <w:spacing w:line="400" w:lineRule="exact"/>
        <w:ind w:firstLine="422" w:firstLineChars="200"/>
        <w:rPr>
          <w:rFonts w:hint="eastAsia" w:ascii="宋体" w:hAnsi="宋体"/>
          <w:b/>
          <w:szCs w:val="21"/>
          <w:u w:val="single"/>
        </w:rPr>
      </w:pPr>
      <w:r>
        <w:rPr>
          <w:rFonts w:hint="eastAsia" w:ascii="宋体" w:hAnsi="宋体"/>
          <w:b/>
          <w:szCs w:val="21"/>
          <w:u w:val="single"/>
        </w:rPr>
        <w:t>投标文件由设计方案投标文件、资格审查文件、工程总承包实施方案投标文件三部分组成。</w:t>
      </w:r>
    </w:p>
    <w:p w14:paraId="134285BD">
      <w:pPr>
        <w:spacing w:line="400" w:lineRule="exact"/>
        <w:ind w:firstLine="422" w:firstLineChars="200"/>
        <w:rPr>
          <w:rFonts w:hint="eastAsia" w:ascii="宋体" w:hAnsi="宋体"/>
          <w:b/>
          <w:u w:val="single"/>
        </w:rPr>
      </w:pPr>
      <w:r>
        <w:rPr>
          <w:rFonts w:hint="eastAsia" w:ascii="宋体" w:hAnsi="宋体"/>
          <w:b/>
          <w:u w:val="single"/>
        </w:rPr>
        <w:t>3.1.1 设计方案投标文件（采用“暗标”形式，设计方案投标文件中不得出现可以辨认投标人及专业技术人员身份的名称、印章、商标、图形等）：</w:t>
      </w:r>
    </w:p>
    <w:p w14:paraId="16E485EA">
      <w:pPr>
        <w:spacing w:line="400" w:lineRule="exact"/>
        <w:ind w:firstLine="420" w:firstLineChars="200"/>
        <w:rPr>
          <w:rFonts w:hint="eastAsia" w:ascii="宋体" w:hAnsi="宋体"/>
          <w:u w:val="single"/>
        </w:rPr>
      </w:pPr>
      <w:r>
        <w:rPr>
          <w:rFonts w:hint="eastAsia" w:ascii="宋体" w:hAnsi="宋体"/>
          <w:u w:val="single"/>
        </w:rPr>
        <w:t>包括但不限于下列内容：</w:t>
      </w:r>
    </w:p>
    <w:p w14:paraId="00F947CB">
      <w:pPr>
        <w:spacing w:line="400" w:lineRule="exact"/>
        <w:ind w:firstLine="420" w:firstLineChars="200"/>
        <w:rPr>
          <w:rFonts w:hint="eastAsia" w:ascii="宋体" w:hAnsi="宋体"/>
          <w:u w:val="single"/>
        </w:rPr>
      </w:pPr>
      <w:r>
        <w:rPr>
          <w:rFonts w:hint="eastAsia" w:ascii="宋体" w:hAnsi="宋体"/>
          <w:u w:val="single"/>
        </w:rPr>
        <w:t>（1）封面（注明项目名称、“设计方案投标文件”字样、编制年月）</w:t>
      </w:r>
    </w:p>
    <w:p w14:paraId="6AC188F8">
      <w:pPr>
        <w:spacing w:line="400" w:lineRule="exact"/>
        <w:ind w:firstLine="420" w:firstLineChars="200"/>
        <w:rPr>
          <w:rFonts w:hint="eastAsia" w:ascii="宋体" w:hAnsi="宋体" w:cs="宋体"/>
          <w:u w:val="single"/>
        </w:rPr>
      </w:pPr>
      <w:r>
        <w:rPr>
          <w:rFonts w:hint="eastAsia" w:ascii="宋体" w:hAnsi="宋体" w:cs="宋体"/>
          <w:u w:val="single"/>
        </w:rPr>
        <w:t>（2）目录</w:t>
      </w:r>
    </w:p>
    <w:p w14:paraId="238A7BC0">
      <w:pPr>
        <w:spacing w:line="400" w:lineRule="exact"/>
        <w:ind w:firstLine="420" w:firstLineChars="200"/>
        <w:rPr>
          <w:rFonts w:hint="eastAsia" w:ascii="宋体" w:hAnsi="宋体" w:cs="宋体"/>
          <w:u w:val="single"/>
        </w:rPr>
      </w:pPr>
      <w:r>
        <w:rPr>
          <w:rFonts w:hint="eastAsia" w:ascii="宋体" w:hAnsi="宋体" w:cs="宋体"/>
          <w:u w:val="single"/>
        </w:rPr>
        <w:t>（3）项目设计方案（含效果图及方案设计）：</w:t>
      </w:r>
    </w:p>
    <w:p w14:paraId="3681749A">
      <w:pPr>
        <w:spacing w:line="400" w:lineRule="exact"/>
        <w:ind w:firstLine="630" w:firstLineChars="300"/>
        <w:rPr>
          <w:rFonts w:hint="eastAsia" w:ascii="宋体" w:hAnsi="宋体" w:cs="宋体"/>
          <w:u w:val="single"/>
        </w:rPr>
      </w:pPr>
      <w:r>
        <w:rPr>
          <w:rFonts w:hint="eastAsia" w:ascii="宋体" w:hAnsi="宋体" w:cs="宋体"/>
          <w:u w:val="single"/>
        </w:rPr>
        <w:t>A、设计说明</w:t>
      </w:r>
    </w:p>
    <w:p w14:paraId="3D724FB1">
      <w:pPr>
        <w:spacing w:line="400" w:lineRule="exact"/>
        <w:ind w:firstLine="630" w:firstLineChars="300"/>
        <w:rPr>
          <w:rFonts w:hint="eastAsia" w:ascii="宋体" w:hAnsi="宋体" w:cs="宋体"/>
          <w:u w:val="single"/>
        </w:rPr>
      </w:pPr>
      <w:r>
        <w:rPr>
          <w:rFonts w:hint="eastAsia" w:ascii="宋体" w:hAnsi="宋体" w:cs="宋体"/>
          <w:u w:val="single"/>
        </w:rPr>
        <w:t>B、效果图</w:t>
      </w:r>
    </w:p>
    <w:p w14:paraId="3A2C7621">
      <w:pPr>
        <w:spacing w:line="400" w:lineRule="exact"/>
        <w:ind w:firstLine="630" w:firstLineChars="300"/>
        <w:rPr>
          <w:rFonts w:hint="eastAsia" w:ascii="宋体" w:hAnsi="宋体" w:cs="宋体"/>
          <w:u w:val="single"/>
        </w:rPr>
      </w:pPr>
      <w:r>
        <w:rPr>
          <w:rFonts w:hint="eastAsia" w:ascii="宋体" w:hAnsi="宋体" w:cs="宋体"/>
          <w:u w:val="single"/>
        </w:rPr>
        <w:t>C、设计图纸</w:t>
      </w:r>
    </w:p>
    <w:p w14:paraId="19397253">
      <w:pPr>
        <w:spacing w:line="400" w:lineRule="exact"/>
        <w:ind w:firstLine="420" w:firstLineChars="200"/>
        <w:rPr>
          <w:rFonts w:hint="eastAsia" w:ascii="宋体" w:hAnsi="宋体" w:cs="宋体"/>
          <w:u w:val="single"/>
        </w:rPr>
      </w:pPr>
      <w:r>
        <w:rPr>
          <w:rFonts w:hint="eastAsia" w:ascii="宋体" w:hAnsi="宋体" w:cs="宋体"/>
          <w:u w:val="single"/>
        </w:rPr>
        <w:t>（4）其他与设计有关的材料</w:t>
      </w:r>
    </w:p>
    <w:p w14:paraId="402A184F">
      <w:pPr>
        <w:spacing w:line="400" w:lineRule="exact"/>
        <w:ind w:firstLine="422" w:firstLineChars="200"/>
        <w:rPr>
          <w:rFonts w:hint="eastAsia" w:ascii="宋体" w:hAnsi="宋体"/>
          <w:b/>
          <w:u w:val="single"/>
        </w:rPr>
      </w:pPr>
      <w:r>
        <w:rPr>
          <w:rFonts w:hint="eastAsia" w:ascii="宋体" w:hAnsi="宋体"/>
          <w:b/>
          <w:u w:val="single"/>
        </w:rPr>
        <w:t>3.1.2 资格审查文件：</w:t>
      </w:r>
    </w:p>
    <w:p w14:paraId="685C0A37">
      <w:pPr>
        <w:spacing w:line="400" w:lineRule="exact"/>
        <w:ind w:firstLine="420" w:firstLineChars="200"/>
        <w:rPr>
          <w:rFonts w:hint="eastAsia" w:ascii="宋体" w:hAnsi="宋体"/>
          <w:u w:val="single"/>
        </w:rPr>
      </w:pPr>
      <w:r>
        <w:rPr>
          <w:rFonts w:hint="eastAsia" w:ascii="宋体" w:hAnsi="宋体"/>
          <w:u w:val="single"/>
        </w:rPr>
        <w:t>包括但不限于下列内容：</w:t>
      </w:r>
    </w:p>
    <w:p w14:paraId="3D088DA9">
      <w:pPr>
        <w:spacing w:line="400" w:lineRule="exact"/>
        <w:ind w:firstLine="420" w:firstLineChars="200"/>
        <w:rPr>
          <w:rFonts w:hint="eastAsia" w:ascii="宋体" w:hAnsi="宋体"/>
          <w:u w:val="single"/>
        </w:rPr>
      </w:pPr>
      <w:r>
        <w:rPr>
          <w:rFonts w:hint="eastAsia" w:ascii="宋体" w:hAnsi="宋体"/>
          <w:u w:val="single"/>
        </w:rPr>
        <w:t>（1）封面</w:t>
      </w:r>
    </w:p>
    <w:p w14:paraId="227EE323">
      <w:pPr>
        <w:spacing w:line="400" w:lineRule="exact"/>
        <w:ind w:firstLine="420" w:firstLineChars="200"/>
        <w:rPr>
          <w:rFonts w:hint="eastAsia" w:ascii="宋体" w:hAnsi="宋体" w:cs="宋体"/>
          <w:u w:val="single"/>
        </w:rPr>
      </w:pPr>
      <w:r>
        <w:rPr>
          <w:rFonts w:hint="eastAsia" w:ascii="宋体" w:hAnsi="宋体" w:cs="宋体"/>
          <w:u w:val="single"/>
        </w:rPr>
        <w:t>（2）目录</w:t>
      </w:r>
    </w:p>
    <w:p w14:paraId="055AA1C6">
      <w:pPr>
        <w:spacing w:line="400" w:lineRule="exact"/>
        <w:ind w:firstLine="420" w:firstLineChars="200"/>
        <w:rPr>
          <w:rFonts w:hint="eastAsia" w:ascii="宋体" w:hAnsi="宋体" w:cs="宋体"/>
          <w:u w:val="single"/>
        </w:rPr>
      </w:pPr>
      <w:r>
        <w:rPr>
          <w:rFonts w:hint="eastAsia" w:ascii="宋体" w:hAnsi="宋体" w:cs="宋体"/>
          <w:u w:val="single"/>
        </w:rPr>
        <w:t>（3）法定代表人证明书，如投标文件为委托代理人签署应同时附上法定代表人证明书和法定代表人授权书（联合体投标的，由联合体主办方出具）。</w:t>
      </w:r>
    </w:p>
    <w:p w14:paraId="1AC17361">
      <w:pPr>
        <w:spacing w:line="400" w:lineRule="exact"/>
        <w:ind w:firstLine="420" w:firstLineChars="200"/>
        <w:rPr>
          <w:rFonts w:hint="eastAsia" w:ascii="宋体" w:hAnsi="宋体" w:cs="宋体"/>
          <w:u w:val="single"/>
        </w:rPr>
      </w:pPr>
      <w:r>
        <w:rPr>
          <w:rFonts w:hint="eastAsia" w:ascii="宋体" w:hAnsi="宋体" w:cs="宋体"/>
          <w:u w:val="single"/>
        </w:rPr>
        <w:t>（4）企业营业执照（联合体投标的，联合体各方均出具）</w:t>
      </w:r>
    </w:p>
    <w:p w14:paraId="06A89461">
      <w:pPr>
        <w:spacing w:line="400" w:lineRule="exact"/>
        <w:ind w:firstLine="420" w:firstLineChars="200"/>
        <w:rPr>
          <w:rFonts w:hint="eastAsia" w:ascii="宋体" w:hAnsi="宋体" w:cs="宋体"/>
          <w:u w:val="single"/>
        </w:rPr>
      </w:pPr>
      <w:r>
        <w:rPr>
          <w:rFonts w:hint="eastAsia" w:ascii="宋体" w:hAnsi="宋体" w:cs="宋体"/>
          <w:u w:val="single"/>
        </w:rPr>
        <w:t>（5）企业资质证书（联合体投标的，联合体各方均出具）</w:t>
      </w:r>
    </w:p>
    <w:p w14:paraId="5A52839A">
      <w:pPr>
        <w:spacing w:line="400" w:lineRule="exact"/>
        <w:ind w:firstLine="420" w:firstLineChars="200"/>
        <w:rPr>
          <w:rFonts w:hint="eastAsia" w:ascii="宋体" w:hAnsi="宋体" w:cs="宋体"/>
          <w:u w:val="single"/>
        </w:rPr>
      </w:pPr>
      <w:r>
        <w:rPr>
          <w:rFonts w:hint="eastAsia" w:ascii="宋体" w:hAnsi="宋体" w:cs="宋体"/>
          <w:u w:val="single"/>
        </w:rPr>
        <w:t>（6）安全生产许可证（联合体投标的，由联合体</w:t>
      </w:r>
      <w:r>
        <w:rPr>
          <w:rFonts w:hint="eastAsia" w:ascii="宋体" w:hAnsi="宋体"/>
          <w:szCs w:val="21"/>
          <w:u w:val="single"/>
        </w:rPr>
        <w:t>承接施工任务</w:t>
      </w:r>
      <w:r>
        <w:rPr>
          <w:rFonts w:hint="eastAsia" w:ascii="宋体" w:hAnsi="宋体" w:cs="宋体"/>
          <w:bCs/>
          <w:szCs w:val="21"/>
          <w:u w:val="single"/>
        </w:rPr>
        <w:t>方</w:t>
      </w:r>
      <w:r>
        <w:rPr>
          <w:rFonts w:hint="eastAsia" w:ascii="宋体" w:hAnsi="宋体" w:cs="宋体"/>
          <w:u w:val="single"/>
        </w:rPr>
        <w:t>出具）</w:t>
      </w:r>
    </w:p>
    <w:p w14:paraId="2AEB9115">
      <w:pPr>
        <w:spacing w:line="400" w:lineRule="exact"/>
        <w:ind w:firstLine="420" w:firstLineChars="200"/>
        <w:rPr>
          <w:rFonts w:hint="eastAsia" w:ascii="宋体" w:hAnsi="宋体" w:cs="宋体"/>
          <w:u w:val="single"/>
        </w:rPr>
      </w:pPr>
      <w:r>
        <w:rPr>
          <w:rFonts w:hint="eastAsia" w:ascii="宋体" w:hAnsi="宋体" w:cs="宋体"/>
          <w:u w:val="single"/>
        </w:rPr>
        <w:t>（7）项目负责人（兼施工负责人）的建造师电子注册证书，有效期内的安全</w:t>
      </w:r>
      <w:r>
        <w:rPr>
          <w:rFonts w:hint="eastAsia" w:ascii="宋体" w:hAnsi="宋体" w:cs="TimesNewRomanPSMT"/>
          <w:kern w:val="0"/>
          <w:szCs w:val="21"/>
          <w:u w:val="single"/>
        </w:rPr>
        <w:t>生产</w:t>
      </w:r>
      <w:r>
        <w:rPr>
          <w:rFonts w:hint="eastAsia" w:ascii="宋体" w:hAnsi="宋体" w:cs="宋体"/>
          <w:u w:val="single"/>
        </w:rPr>
        <w:t>考核合格证（B类），或建筑施工企业专职安全生产管理人员安全生产考核合格证书（联合体投标的，由联合体主办方出具）</w:t>
      </w:r>
    </w:p>
    <w:p w14:paraId="0253C41F">
      <w:pPr>
        <w:spacing w:line="400" w:lineRule="exact"/>
        <w:ind w:left="210" w:leftChars="100" w:firstLine="735" w:firstLineChars="350"/>
        <w:rPr>
          <w:rFonts w:hint="eastAsia" w:ascii="宋体" w:hAnsi="宋体" w:cs="TimesNewRomanPSMT"/>
          <w:kern w:val="0"/>
          <w:szCs w:val="21"/>
          <w:u w:val="single"/>
        </w:rPr>
      </w:pPr>
      <w:r>
        <w:rPr>
          <w:rFonts w:hint="eastAsia" w:ascii="宋体" w:hAnsi="宋体" w:cs="TimesNewRomanPSMT"/>
          <w:kern w:val="0"/>
          <w:szCs w:val="21"/>
          <w:u w:val="single"/>
        </w:rPr>
        <w:t>设计负责人的相关证书（联合体投标的，由</w:t>
      </w:r>
      <w:r>
        <w:rPr>
          <w:rFonts w:hint="eastAsia" w:ascii="宋体" w:hAnsi="宋体" w:cs="宋体"/>
          <w:u w:val="single"/>
        </w:rPr>
        <w:t>联合体</w:t>
      </w:r>
      <w:r>
        <w:rPr>
          <w:rFonts w:hint="eastAsia" w:ascii="宋体" w:hAnsi="宋体"/>
          <w:szCs w:val="21"/>
          <w:u w:val="single"/>
        </w:rPr>
        <w:t>承接</w:t>
      </w:r>
      <w:r>
        <w:rPr>
          <w:rFonts w:hint="eastAsia" w:ascii="宋体" w:hAnsi="宋体"/>
          <w:u w:val="single"/>
        </w:rPr>
        <w:t>设计任务方</w:t>
      </w:r>
      <w:r>
        <w:rPr>
          <w:rFonts w:hint="eastAsia" w:ascii="宋体" w:hAnsi="宋体" w:cs="TimesNewRomanPSMT"/>
          <w:kern w:val="0"/>
          <w:szCs w:val="21"/>
          <w:u w:val="single"/>
        </w:rPr>
        <w:t>出具）</w:t>
      </w:r>
    </w:p>
    <w:p w14:paraId="47185D7A">
      <w:pPr>
        <w:spacing w:line="400" w:lineRule="exact"/>
        <w:ind w:left="210" w:leftChars="100" w:firstLine="735" w:firstLineChars="350"/>
        <w:rPr>
          <w:rFonts w:hint="eastAsia" w:ascii="宋体" w:hAnsi="宋体" w:cs="TimesNewRomanPSMT"/>
          <w:kern w:val="0"/>
          <w:szCs w:val="21"/>
          <w:u w:val="single"/>
        </w:rPr>
      </w:pPr>
      <w:r>
        <w:rPr>
          <w:rFonts w:hint="eastAsia" w:ascii="宋体" w:hAnsi="宋体" w:cs="TimesNewRomanPSMT"/>
          <w:kern w:val="0"/>
          <w:szCs w:val="21"/>
          <w:u w:val="single"/>
        </w:rPr>
        <w:t>技术负责人的职称证书（联合体投标的，由联合体主办方出具）</w:t>
      </w:r>
    </w:p>
    <w:p w14:paraId="5FE0DF9F">
      <w:pPr>
        <w:spacing w:line="400" w:lineRule="exact"/>
        <w:ind w:firstLine="420" w:firstLineChars="200"/>
        <w:rPr>
          <w:rFonts w:hint="eastAsia" w:ascii="宋体" w:hAnsi="宋体" w:cs="TimesNewRomanPSMT"/>
          <w:kern w:val="0"/>
          <w:szCs w:val="21"/>
          <w:u w:val="single"/>
        </w:rPr>
      </w:pPr>
      <w:r>
        <w:rPr>
          <w:rFonts w:hint="eastAsia" w:ascii="宋体" w:hAnsi="宋体"/>
          <w:u w:val="single"/>
        </w:rPr>
        <w:t>（8</w:t>
      </w:r>
      <w:r>
        <w:rPr>
          <w:rFonts w:hint="eastAsia" w:ascii="宋体" w:hAnsi="宋体" w:cs="TimesNewRomanPSMT"/>
          <w:kern w:val="0"/>
          <w:szCs w:val="21"/>
          <w:u w:val="single"/>
        </w:rPr>
        <w:t>）专职安全员的有效期内的安全生产考核合格证（C类），或建筑施工企业专职安全生产管理人员安全生产考核合格证书（C3类）。项目负责人与安全员不为同一人（联合体投标的，由联合体主办方出具）</w:t>
      </w:r>
    </w:p>
    <w:p w14:paraId="4631E6E3">
      <w:pPr>
        <w:spacing w:line="400" w:lineRule="exact"/>
        <w:ind w:firstLine="420" w:firstLineChars="200"/>
        <w:rPr>
          <w:rFonts w:hint="eastAsia" w:ascii="宋体" w:hAnsi="宋体"/>
          <w:u w:val="single"/>
        </w:rPr>
      </w:pPr>
      <w:r>
        <w:rPr>
          <w:rFonts w:hint="eastAsia" w:ascii="宋体" w:hAnsi="宋体"/>
          <w:u w:val="single"/>
        </w:rPr>
        <w:t>（9）投标人按照规定的格式及内容要求签署的《投标人声明》（格式见招标公告附件）</w:t>
      </w:r>
    </w:p>
    <w:p w14:paraId="274EF500">
      <w:pPr>
        <w:spacing w:line="400" w:lineRule="exact"/>
        <w:ind w:firstLine="420" w:firstLineChars="200"/>
        <w:rPr>
          <w:rFonts w:hint="eastAsia" w:ascii="宋体" w:hAnsi="宋体"/>
          <w:u w:val="single"/>
        </w:rPr>
      </w:pPr>
      <w:r>
        <w:rPr>
          <w:rFonts w:hint="eastAsia" w:ascii="宋体" w:hAnsi="宋体"/>
          <w:u w:val="single"/>
        </w:rPr>
        <w:t>（10）列明主办</w:t>
      </w:r>
      <w:r>
        <w:rPr>
          <w:rFonts w:hint="eastAsia" w:ascii="宋体" w:hAnsi="宋体" w:cs="宋体"/>
          <w:u w:val="single"/>
        </w:rPr>
        <w:t>单位</w:t>
      </w:r>
      <w:r>
        <w:rPr>
          <w:rFonts w:hint="eastAsia" w:ascii="宋体" w:hAnsi="宋体"/>
          <w:u w:val="single"/>
        </w:rPr>
        <w:t>的联合体工作协议（联合体投标时需递交，格式参考招标公告附件）</w:t>
      </w:r>
    </w:p>
    <w:p w14:paraId="058B4F65">
      <w:pPr>
        <w:spacing w:line="400" w:lineRule="exact"/>
        <w:ind w:firstLine="420" w:firstLineChars="200"/>
        <w:rPr>
          <w:rFonts w:hint="eastAsia" w:ascii="宋体" w:hAnsi="宋体"/>
          <w:u w:val="single"/>
        </w:rPr>
      </w:pPr>
      <w:r>
        <w:rPr>
          <w:rFonts w:hint="eastAsia" w:ascii="宋体" w:hAnsi="宋体"/>
          <w:u w:val="single"/>
        </w:rPr>
        <w:t>（11）</w:t>
      </w:r>
      <w:r>
        <w:rPr>
          <w:rFonts w:ascii="宋体" w:hAnsi="宋体"/>
          <w:u w:val="single"/>
        </w:rPr>
        <w:t>资格审查前</w:t>
      </w:r>
      <w:r>
        <w:rPr>
          <w:rFonts w:ascii="宋体" w:hAnsi="宋体" w:cs="宋体"/>
          <w:u w:val="single"/>
        </w:rPr>
        <w:t>，</w:t>
      </w:r>
      <w:r>
        <w:rPr>
          <w:rFonts w:hint="eastAsia" w:ascii="宋体" w:hAnsi="宋体" w:cs="宋体"/>
          <w:u w:val="single"/>
        </w:rPr>
        <w:t>投标人（若为联合体投标，由联合体各方提供）在广州市住建行业信用管理平台建立企业信用档案</w:t>
      </w:r>
      <w:r>
        <w:rPr>
          <w:rFonts w:hint="eastAsia" w:ascii="宋体" w:hAnsi="宋体"/>
          <w:u w:val="single"/>
        </w:rPr>
        <w:t>，且拟担任本项目的项目负责人（兼施工负责人）、设计负责人、技术负责人、专职安全员是本企业信用档案中的在册人员（联合体投标的，信用档案和人员在册情况为联合体协议分工对应广州市住建行业信用管理平台内信用档案）</w:t>
      </w:r>
    </w:p>
    <w:p w14:paraId="72F06A06">
      <w:pPr>
        <w:spacing w:line="400" w:lineRule="exact"/>
        <w:ind w:firstLine="420" w:firstLineChars="200"/>
        <w:rPr>
          <w:rFonts w:hint="eastAsia" w:ascii="宋体" w:hAnsi="宋体"/>
          <w:u w:val="single"/>
        </w:rPr>
      </w:pPr>
      <w:r>
        <w:rPr>
          <w:rFonts w:hint="eastAsia" w:ascii="宋体" w:hAnsi="宋体"/>
          <w:u w:val="single"/>
        </w:rPr>
        <w:t>（12）投标人（含联合体成员）未被列入拖欠农民工工资失信联合惩戒对象名单。</w:t>
      </w:r>
    </w:p>
    <w:p w14:paraId="12E6AD14">
      <w:pPr>
        <w:spacing w:line="400" w:lineRule="exact"/>
        <w:ind w:firstLine="420" w:firstLineChars="200"/>
        <w:rPr>
          <w:rFonts w:hint="eastAsia" w:ascii="宋体" w:hAnsi="宋体"/>
          <w:u w:val="single"/>
        </w:rPr>
      </w:pPr>
      <w:r>
        <w:rPr>
          <w:rFonts w:hint="eastAsia" w:ascii="宋体" w:hAnsi="宋体"/>
          <w:u w:val="single"/>
        </w:rPr>
        <w:t>（13）投标人认为应该提供的其他资料</w:t>
      </w:r>
    </w:p>
    <w:p w14:paraId="40DCD106">
      <w:pPr>
        <w:spacing w:line="400" w:lineRule="exact"/>
        <w:ind w:firstLine="422" w:firstLineChars="200"/>
        <w:rPr>
          <w:rFonts w:hint="eastAsia" w:ascii="宋体" w:hAnsi="宋体" w:cs="宋体"/>
          <w:b/>
          <w:szCs w:val="21"/>
          <w:u w:val="single"/>
        </w:rPr>
      </w:pPr>
      <w:r>
        <w:rPr>
          <w:rFonts w:hint="eastAsia" w:ascii="宋体" w:hAnsi="宋体" w:cs="宋体"/>
          <w:b/>
          <w:szCs w:val="21"/>
          <w:u w:val="single"/>
        </w:rPr>
        <w:t>3.1.3 工程总承包实施方案投标文件：</w:t>
      </w:r>
    </w:p>
    <w:p w14:paraId="5779D7D9">
      <w:pPr>
        <w:spacing w:line="400" w:lineRule="exact"/>
        <w:ind w:firstLine="420" w:firstLineChars="200"/>
        <w:rPr>
          <w:rFonts w:hint="eastAsia" w:ascii="宋体" w:hAnsi="宋体"/>
          <w:u w:val="single"/>
        </w:rPr>
      </w:pPr>
      <w:r>
        <w:rPr>
          <w:rFonts w:hint="eastAsia" w:ascii="宋体" w:hAnsi="宋体"/>
          <w:u w:val="single"/>
        </w:rPr>
        <w:t>包括但不限于下列内容：</w:t>
      </w:r>
    </w:p>
    <w:p w14:paraId="72BE5C02">
      <w:pPr>
        <w:spacing w:line="400" w:lineRule="exact"/>
        <w:ind w:firstLine="420" w:firstLineChars="200"/>
        <w:rPr>
          <w:rFonts w:hint="eastAsia" w:ascii="宋体" w:hAnsi="宋体"/>
          <w:u w:val="single"/>
        </w:rPr>
      </w:pPr>
      <w:r>
        <w:rPr>
          <w:rFonts w:hint="eastAsia" w:ascii="宋体" w:hAnsi="宋体"/>
          <w:u w:val="single"/>
        </w:rPr>
        <w:t>（1）封面</w:t>
      </w:r>
    </w:p>
    <w:p w14:paraId="233EA58D">
      <w:pPr>
        <w:spacing w:line="400" w:lineRule="exact"/>
        <w:ind w:firstLine="420" w:firstLineChars="200"/>
        <w:rPr>
          <w:rFonts w:hint="eastAsia" w:ascii="宋体" w:hAnsi="宋体"/>
          <w:u w:val="single"/>
        </w:rPr>
      </w:pPr>
      <w:r>
        <w:rPr>
          <w:rFonts w:hint="eastAsia" w:ascii="宋体" w:hAnsi="宋体"/>
          <w:u w:val="single"/>
        </w:rPr>
        <w:t>（2）目录</w:t>
      </w:r>
    </w:p>
    <w:p w14:paraId="63052465">
      <w:pPr>
        <w:spacing w:line="400" w:lineRule="exact"/>
        <w:ind w:firstLine="420" w:firstLineChars="200"/>
        <w:rPr>
          <w:rFonts w:hint="eastAsia" w:ascii="宋体" w:hAnsi="宋体"/>
          <w:u w:val="single"/>
        </w:rPr>
      </w:pPr>
      <w:r>
        <w:rPr>
          <w:rFonts w:hint="eastAsia" w:ascii="宋体" w:hAnsi="宋体"/>
          <w:u w:val="single"/>
        </w:rPr>
        <w:t>（3）投标书、投标承诺函</w:t>
      </w:r>
    </w:p>
    <w:p w14:paraId="4A820080">
      <w:pPr>
        <w:spacing w:line="400" w:lineRule="exact"/>
        <w:ind w:firstLine="420" w:firstLineChars="200"/>
        <w:rPr>
          <w:rFonts w:hint="eastAsia" w:ascii="宋体" w:hAnsi="宋体"/>
          <w:u w:val="single"/>
        </w:rPr>
      </w:pPr>
      <w:r>
        <w:rPr>
          <w:rFonts w:hint="eastAsia" w:ascii="宋体" w:hAnsi="宋体"/>
          <w:u w:val="single"/>
        </w:rPr>
        <w:t>（4）工程总承包实施方案</w:t>
      </w:r>
    </w:p>
    <w:p w14:paraId="08459917">
      <w:pPr>
        <w:spacing w:line="400" w:lineRule="exact"/>
        <w:ind w:firstLine="420" w:firstLineChars="200"/>
        <w:rPr>
          <w:rFonts w:hint="eastAsia" w:ascii="宋体" w:hAnsi="宋体"/>
          <w:u w:val="single"/>
        </w:rPr>
      </w:pPr>
      <w:r>
        <w:rPr>
          <w:rFonts w:hint="eastAsia" w:ascii="宋体" w:hAnsi="宋体"/>
          <w:u w:val="single"/>
        </w:rPr>
        <w:t>（4.1）投标人资信情况</w:t>
      </w:r>
    </w:p>
    <w:p w14:paraId="609933CD">
      <w:pPr>
        <w:spacing w:line="400" w:lineRule="exact"/>
        <w:ind w:firstLine="420" w:firstLineChars="200"/>
        <w:rPr>
          <w:rFonts w:hint="eastAsia" w:ascii="宋体" w:hAnsi="宋体"/>
          <w:u w:val="single"/>
        </w:rPr>
      </w:pPr>
      <w:r>
        <w:rPr>
          <w:rFonts w:hint="eastAsia" w:ascii="宋体" w:hAnsi="宋体"/>
          <w:u w:val="single"/>
        </w:rPr>
        <w:t>（4.2）工程实施方案</w:t>
      </w:r>
    </w:p>
    <w:p w14:paraId="1DD7B7D2">
      <w:pPr>
        <w:spacing w:line="400" w:lineRule="exact"/>
        <w:ind w:firstLine="420" w:firstLineChars="200"/>
        <w:rPr>
          <w:rFonts w:hint="eastAsia" w:ascii="宋体" w:hAnsi="宋体"/>
          <w:u w:val="single"/>
        </w:rPr>
      </w:pPr>
      <w:r>
        <w:rPr>
          <w:rFonts w:hint="eastAsia" w:ascii="宋体" w:hAnsi="宋体"/>
          <w:u w:val="single"/>
        </w:rPr>
        <w:t>（5）按照招标文件要求填写的《参与编制投标文件人员名单》</w:t>
      </w:r>
    </w:p>
    <w:p w14:paraId="47FE6C5E">
      <w:pPr>
        <w:spacing w:line="400" w:lineRule="exact"/>
        <w:ind w:firstLine="420" w:firstLineChars="200"/>
        <w:rPr>
          <w:rFonts w:hint="eastAsia" w:ascii="宋体" w:hAnsi="宋体"/>
          <w:u w:val="single"/>
        </w:rPr>
      </w:pPr>
      <w:r>
        <w:rPr>
          <w:rFonts w:hint="eastAsia" w:ascii="宋体" w:hAnsi="宋体"/>
          <w:u w:val="single"/>
        </w:rPr>
        <w:t>（6）投标人认为应该提供的其他资料</w:t>
      </w:r>
    </w:p>
    <w:p w14:paraId="505BB736">
      <w:pPr>
        <w:spacing w:line="400" w:lineRule="exact"/>
        <w:ind w:firstLine="420" w:firstLineChars="200"/>
        <w:rPr>
          <w:rFonts w:hint="eastAsia" w:ascii="宋体" w:hAnsi="宋体"/>
          <w:u w:val="single"/>
        </w:rPr>
      </w:pPr>
      <w:r>
        <w:rPr>
          <w:rFonts w:hint="eastAsia" w:ascii="宋体" w:hAnsi="宋体"/>
          <w:u w:val="single"/>
        </w:rPr>
        <w:t>（7）投标人应按照招标人提出的施工现场建筑垃圾源头减量的具体要求以及建筑垃圾综合利用产品的使用要求提供相应措施。</w:t>
      </w:r>
    </w:p>
    <w:p w14:paraId="6C765F28">
      <w:pPr>
        <w:pStyle w:val="4"/>
        <w:rPr>
          <w:rFonts w:hint="eastAsia"/>
        </w:rPr>
      </w:pPr>
      <w:bookmarkStart w:id="192" w:name="_Toc32322"/>
      <w:bookmarkStart w:id="193" w:name="_Toc247527573"/>
      <w:bookmarkStart w:id="194" w:name="_Toc144974516"/>
      <w:bookmarkStart w:id="195" w:name="_Toc134304542"/>
      <w:bookmarkStart w:id="196" w:name="_Toc87238910"/>
      <w:bookmarkStart w:id="197" w:name="_Toc152042324"/>
      <w:bookmarkStart w:id="198" w:name="_Toc247513972"/>
      <w:bookmarkStart w:id="199" w:name="_Toc152045548"/>
      <w:r>
        <w:rPr>
          <w:rFonts w:hint="eastAsia"/>
        </w:rPr>
        <w:t>3.2 投标报价</w:t>
      </w:r>
      <w:bookmarkEnd w:id="192"/>
      <w:bookmarkEnd w:id="193"/>
      <w:bookmarkEnd w:id="194"/>
      <w:bookmarkEnd w:id="195"/>
      <w:bookmarkEnd w:id="196"/>
      <w:bookmarkEnd w:id="197"/>
      <w:bookmarkEnd w:id="198"/>
      <w:bookmarkEnd w:id="199"/>
    </w:p>
    <w:p w14:paraId="4D89FD67">
      <w:pPr>
        <w:spacing w:line="400" w:lineRule="exact"/>
        <w:ind w:firstLine="420" w:firstLineChars="200"/>
        <w:rPr>
          <w:rFonts w:hint="eastAsia" w:ascii="宋体" w:hAnsi="宋体" w:cs="宋体"/>
        </w:rPr>
      </w:pPr>
      <w:r>
        <w:rPr>
          <w:rFonts w:hint="eastAsia" w:ascii="宋体" w:hAnsi="宋体" w:cs="宋体"/>
        </w:rPr>
        <w:t>3.2.1 投标人应按第七章“投标文件格式”的要求填写价格清单。</w:t>
      </w:r>
    </w:p>
    <w:p w14:paraId="7BC3016D">
      <w:pPr>
        <w:spacing w:line="440" w:lineRule="exact"/>
        <w:ind w:firstLine="420" w:firstLineChars="200"/>
        <w:rPr>
          <w:rFonts w:hint="eastAsia" w:ascii="宋体" w:hAnsi="宋体" w:cs="宋体"/>
          <w:szCs w:val="21"/>
        </w:rPr>
      </w:pPr>
      <w:r>
        <w:rPr>
          <w:rFonts w:hint="eastAsia" w:ascii="宋体" w:hAnsi="宋体" w:cs="宋体"/>
        </w:rPr>
        <w:t xml:space="preserve">3.2.2 </w:t>
      </w:r>
      <w:r>
        <w:rPr>
          <w:rFonts w:hint="eastAsia" w:ascii="宋体" w:hAnsi="宋体" w:cs="宋体"/>
          <w:szCs w:val="21"/>
        </w:rPr>
        <w:t>投标人应充分了解施工场地的位置、周边环境、道路、装卸、保管、安装限制以及影响投标报价的其他要素。投标人根据投标设计，结合市场情况进行投标报价。</w:t>
      </w:r>
    </w:p>
    <w:p w14:paraId="312543B3">
      <w:pPr>
        <w:spacing w:line="400" w:lineRule="exact"/>
        <w:ind w:firstLine="420" w:firstLineChars="200"/>
        <w:rPr>
          <w:rFonts w:hint="eastAsia" w:ascii="宋体" w:hAnsi="宋体" w:cs="宋体"/>
        </w:rPr>
      </w:pPr>
      <w:r>
        <w:rPr>
          <w:rFonts w:hint="eastAsia" w:ascii="宋体" w:hAnsi="宋体" w:cs="宋体"/>
        </w:rPr>
        <w:t>3.2.3 投标人在投标截止时间前修改投标函中的投标报价总额，应同时修改投标文件“价格清单”中的相应报价，投标报价总额为各分项金额之和。此修改须符合本章第4.3款的有关要求。</w:t>
      </w:r>
    </w:p>
    <w:p w14:paraId="191391BC">
      <w:pPr>
        <w:spacing w:line="400" w:lineRule="exact"/>
        <w:ind w:firstLine="420" w:firstLineChars="200"/>
        <w:rPr>
          <w:rFonts w:hint="eastAsia" w:ascii="宋体" w:hAnsi="宋体" w:cs="宋体"/>
        </w:rPr>
      </w:pPr>
      <w:r>
        <w:rPr>
          <w:rFonts w:hint="eastAsia" w:ascii="宋体" w:hAnsi="宋体" w:cs="宋体"/>
        </w:rPr>
        <w:t>3.2.4 招标人设有最高投标限价的，投标人的投标报价不得超过最高投标限价，最高投标限价或其计算方法在投标人须知前附表中载明。</w:t>
      </w:r>
    </w:p>
    <w:p w14:paraId="587A20C2">
      <w:pPr>
        <w:spacing w:line="400" w:lineRule="exact"/>
        <w:ind w:firstLine="420" w:firstLineChars="200"/>
        <w:rPr>
          <w:rFonts w:hint="eastAsia" w:ascii="宋体" w:hAnsi="宋体" w:cs="宋体"/>
        </w:rPr>
      </w:pPr>
      <w:r>
        <w:rPr>
          <w:rFonts w:hint="eastAsia" w:ascii="宋体" w:hAnsi="宋体" w:cs="宋体"/>
        </w:rPr>
        <w:t>工程成本警戒价详见投标人须知前附表。</w:t>
      </w:r>
    </w:p>
    <w:p w14:paraId="5D8F9A34">
      <w:pPr>
        <w:spacing w:line="400" w:lineRule="exact"/>
        <w:ind w:firstLine="420" w:firstLineChars="200"/>
        <w:rPr>
          <w:rFonts w:hint="eastAsia" w:ascii="宋体" w:hAnsi="宋体" w:cs="宋体"/>
        </w:rPr>
      </w:pPr>
      <w:r>
        <w:rPr>
          <w:rFonts w:hint="eastAsia" w:ascii="宋体" w:hAnsi="宋体" w:cs="宋体"/>
        </w:rPr>
        <w:t>3.2.5 投标报价的其他要求见投标人须知前附表。</w:t>
      </w:r>
    </w:p>
    <w:p w14:paraId="4A7CAE83">
      <w:pPr>
        <w:pStyle w:val="4"/>
        <w:rPr>
          <w:rFonts w:hint="eastAsia"/>
        </w:rPr>
      </w:pPr>
      <w:bookmarkStart w:id="200" w:name="_Toc13756"/>
      <w:bookmarkStart w:id="201" w:name="_Toc152045549"/>
      <w:bookmarkStart w:id="202" w:name="_Toc247513973"/>
      <w:bookmarkStart w:id="203" w:name="_Toc152042325"/>
      <w:bookmarkStart w:id="204" w:name="_Toc87238911"/>
      <w:bookmarkStart w:id="205" w:name="_Toc247527574"/>
      <w:bookmarkStart w:id="206" w:name="_Toc134304543"/>
      <w:bookmarkStart w:id="207" w:name="_Toc144974517"/>
      <w:r>
        <w:rPr>
          <w:rFonts w:hint="eastAsia"/>
        </w:rPr>
        <w:t>3.3 投标有效期</w:t>
      </w:r>
      <w:bookmarkEnd w:id="200"/>
      <w:bookmarkEnd w:id="201"/>
      <w:bookmarkEnd w:id="202"/>
      <w:bookmarkEnd w:id="203"/>
      <w:bookmarkEnd w:id="204"/>
      <w:bookmarkEnd w:id="205"/>
      <w:bookmarkEnd w:id="206"/>
      <w:bookmarkEnd w:id="207"/>
    </w:p>
    <w:p w14:paraId="3462F144">
      <w:pPr>
        <w:spacing w:line="400" w:lineRule="exact"/>
        <w:ind w:firstLine="420" w:firstLineChars="200"/>
        <w:rPr>
          <w:rFonts w:hint="eastAsia" w:ascii="宋体" w:hAnsi="宋体" w:cs="宋体"/>
        </w:rPr>
      </w:pPr>
      <w:r>
        <w:rPr>
          <w:rFonts w:hint="eastAsia" w:ascii="宋体" w:hAnsi="宋体" w:cs="宋体"/>
        </w:rPr>
        <w:t>3.3.1 除投标人须知前附表另有规定外，投标有效期为90日历天。</w:t>
      </w:r>
    </w:p>
    <w:p w14:paraId="52215BD0">
      <w:pPr>
        <w:spacing w:line="400" w:lineRule="exact"/>
        <w:ind w:firstLine="420" w:firstLineChars="200"/>
        <w:rPr>
          <w:rFonts w:hint="eastAsia" w:ascii="宋体" w:hAnsi="宋体" w:cs="宋体"/>
        </w:rPr>
      </w:pPr>
      <w:r>
        <w:rPr>
          <w:rFonts w:hint="eastAsia" w:ascii="宋体" w:hAnsi="宋体" w:cs="宋体"/>
        </w:rPr>
        <w:t>3.3.2 在投标有效期内，投标人撤销或修改其投标文件的，应承担招标文件和法律规定的责任。</w:t>
      </w:r>
    </w:p>
    <w:p w14:paraId="5280EE37">
      <w:pPr>
        <w:spacing w:line="400" w:lineRule="exact"/>
        <w:ind w:firstLine="420" w:firstLineChars="200"/>
        <w:rPr>
          <w:rFonts w:hint="eastAsia" w:ascii="宋体" w:hAnsi="宋体" w:cs="宋体"/>
        </w:rPr>
      </w:pPr>
      <w:r>
        <w:rPr>
          <w:rFonts w:hint="eastAsia" w:ascii="宋体" w:hAnsi="宋体" w:cs="宋体"/>
        </w:rPr>
        <w:t xml:space="preserve">3.3.3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 </w:t>
      </w:r>
    </w:p>
    <w:p w14:paraId="29B33808">
      <w:pPr>
        <w:pStyle w:val="4"/>
        <w:rPr>
          <w:rFonts w:hint="eastAsia"/>
        </w:rPr>
      </w:pPr>
      <w:bookmarkStart w:id="208" w:name="_Toc247527575"/>
      <w:bookmarkStart w:id="209" w:name="_Toc247513974"/>
      <w:bookmarkStart w:id="210" w:name="_Toc152042326"/>
      <w:bookmarkStart w:id="211" w:name="_Toc152045550"/>
      <w:bookmarkStart w:id="212" w:name="_Toc87238912"/>
      <w:bookmarkStart w:id="213" w:name="_Toc144974518"/>
      <w:bookmarkStart w:id="214" w:name="_Toc134304544"/>
      <w:bookmarkStart w:id="215" w:name="_Toc18959"/>
      <w:r>
        <w:rPr>
          <w:rFonts w:hint="eastAsia"/>
        </w:rPr>
        <w:t>3.4 投标保证金</w:t>
      </w:r>
      <w:bookmarkEnd w:id="208"/>
      <w:bookmarkEnd w:id="209"/>
      <w:bookmarkEnd w:id="210"/>
      <w:bookmarkEnd w:id="211"/>
      <w:bookmarkEnd w:id="212"/>
      <w:bookmarkEnd w:id="213"/>
      <w:bookmarkEnd w:id="214"/>
      <w:bookmarkEnd w:id="215"/>
      <w:r>
        <w:rPr>
          <w:rFonts w:hint="eastAsia"/>
        </w:rPr>
        <w:t>（不适用）</w:t>
      </w:r>
    </w:p>
    <w:p w14:paraId="4649D9F5">
      <w:pPr>
        <w:spacing w:line="400" w:lineRule="exact"/>
        <w:ind w:firstLine="420" w:firstLineChars="200"/>
        <w:rPr>
          <w:rFonts w:hint="eastAsia" w:ascii="宋体" w:hAnsi="宋体"/>
        </w:rPr>
      </w:pPr>
      <w:bookmarkStart w:id="216" w:name="_Toc144974519"/>
      <w:bookmarkStart w:id="217" w:name="_Toc152042327"/>
      <w:bookmarkStart w:id="218" w:name="_Toc152045551"/>
      <w:bookmarkStart w:id="219" w:name="_Toc20478"/>
      <w:bookmarkStart w:id="220" w:name="_Toc247527576"/>
      <w:bookmarkStart w:id="221" w:name="_Toc247513975"/>
      <w:r>
        <w:rPr>
          <w:rFonts w:hint="eastAsia" w:ascii="宋体" w:hAnsi="宋体"/>
        </w:rPr>
        <w:t>3.4.1 投标人在递交投标文件的同时，应按投标人须知前附表规定的金额、担保形式和第七章“投标文件格式”规定的投标保证金格式递交投标保证金，并作为其投标文件的组成部分。联合体投标的，其投标保证金由主办人递交，并应符合投标人须知前附表的规定。</w:t>
      </w:r>
    </w:p>
    <w:p w14:paraId="17E9015D">
      <w:pPr>
        <w:spacing w:line="400" w:lineRule="exact"/>
        <w:ind w:firstLine="420" w:firstLineChars="200"/>
        <w:rPr>
          <w:rFonts w:hint="eastAsia" w:ascii="宋体" w:hAnsi="宋体"/>
        </w:rPr>
      </w:pPr>
      <w:r>
        <w:rPr>
          <w:rFonts w:hint="eastAsia" w:ascii="宋体" w:hAnsi="宋体"/>
        </w:rPr>
        <w:t>3.4.2 投标人不按本章第3.4.1项要求提交投标保证金的，评标委员会将否决其投标。</w:t>
      </w:r>
    </w:p>
    <w:p w14:paraId="3A023D39">
      <w:pPr>
        <w:spacing w:line="400" w:lineRule="exact"/>
        <w:ind w:firstLine="420" w:firstLineChars="200"/>
        <w:rPr>
          <w:rFonts w:hint="eastAsia" w:ascii="宋体" w:hAnsi="宋体"/>
        </w:rPr>
      </w:pPr>
      <w:r>
        <w:rPr>
          <w:rFonts w:hint="eastAsia" w:ascii="宋体" w:hAnsi="宋体"/>
        </w:rPr>
        <w:t>3.4.3 招标人与中标人签订合同后5日内，向未中标的投标人和中标人退还投标保证金及同期银行存款利息。</w:t>
      </w:r>
    </w:p>
    <w:p w14:paraId="082A4CA8">
      <w:pPr>
        <w:spacing w:line="400" w:lineRule="exact"/>
        <w:ind w:firstLine="420" w:firstLineChars="200"/>
        <w:rPr>
          <w:rFonts w:hint="eastAsia" w:ascii="宋体" w:hAnsi="宋体"/>
        </w:rPr>
      </w:pPr>
      <w:r>
        <w:rPr>
          <w:rFonts w:hint="eastAsia" w:ascii="宋体" w:hAnsi="宋体"/>
        </w:rPr>
        <w:t>3.4.4 有下列情形之一的，投标保证金将不予退还：</w:t>
      </w:r>
    </w:p>
    <w:p w14:paraId="488E56D5">
      <w:pPr>
        <w:spacing w:line="400" w:lineRule="exact"/>
        <w:ind w:firstLine="315" w:firstLineChars="150"/>
        <w:rPr>
          <w:rFonts w:hint="eastAsia" w:ascii="宋体" w:hAnsi="宋体"/>
        </w:rPr>
      </w:pPr>
      <w:r>
        <w:rPr>
          <w:rFonts w:hint="eastAsia" w:ascii="宋体" w:hAnsi="宋体"/>
        </w:rPr>
        <w:t>（1）投标人在规定的投标有效期内撤销或修改其投标文件；</w:t>
      </w:r>
    </w:p>
    <w:p w14:paraId="26D41E07">
      <w:pPr>
        <w:spacing w:line="400" w:lineRule="exact"/>
        <w:ind w:firstLine="315" w:firstLineChars="150"/>
        <w:rPr>
          <w:rFonts w:hint="eastAsia" w:ascii="宋体" w:hAnsi="宋体" w:cs="宋体"/>
          <w:u w:val="single"/>
        </w:rPr>
      </w:pPr>
      <w:r>
        <w:rPr>
          <w:rFonts w:hint="eastAsia" w:ascii="宋体" w:hAnsi="宋体"/>
        </w:rPr>
        <w:t>（2）中标人在收到中标通知书后，无正当理由拒签合同或未按招标文件规定提交履约担保。</w:t>
      </w:r>
    </w:p>
    <w:bookmarkEnd w:id="216"/>
    <w:bookmarkEnd w:id="217"/>
    <w:bookmarkEnd w:id="218"/>
    <w:bookmarkEnd w:id="219"/>
    <w:bookmarkEnd w:id="220"/>
    <w:bookmarkEnd w:id="221"/>
    <w:p w14:paraId="56E1A002">
      <w:pPr>
        <w:pStyle w:val="4"/>
        <w:rPr>
          <w:rFonts w:hint="eastAsia"/>
        </w:rPr>
      </w:pPr>
      <w:bookmarkStart w:id="222" w:name="_Toc23531"/>
      <w:bookmarkStart w:id="223" w:name="_Toc247513976"/>
      <w:bookmarkStart w:id="224" w:name="_Toc152045552"/>
      <w:bookmarkStart w:id="225" w:name="_Toc134304545"/>
      <w:bookmarkStart w:id="226" w:name="_Toc247527577"/>
      <w:bookmarkStart w:id="227" w:name="_Toc144974520"/>
      <w:bookmarkStart w:id="228" w:name="_Toc87238913"/>
      <w:bookmarkStart w:id="229" w:name="_Toc152042328"/>
      <w:r>
        <w:rPr>
          <w:rFonts w:hint="eastAsia"/>
        </w:rPr>
        <w:t>3.5 资格审查资料（适用于未进行资格预审的）</w:t>
      </w:r>
      <w:bookmarkEnd w:id="222"/>
      <w:bookmarkEnd w:id="223"/>
      <w:bookmarkEnd w:id="224"/>
      <w:bookmarkEnd w:id="225"/>
      <w:bookmarkEnd w:id="226"/>
      <w:bookmarkEnd w:id="227"/>
      <w:bookmarkEnd w:id="228"/>
      <w:bookmarkEnd w:id="229"/>
    </w:p>
    <w:p w14:paraId="1053F16C">
      <w:pPr>
        <w:spacing w:line="400" w:lineRule="exact"/>
        <w:ind w:firstLine="420" w:firstLineChars="200"/>
        <w:rPr>
          <w:rFonts w:hint="eastAsia" w:ascii="新宋体" w:hAnsi="新宋体" w:eastAsia="新宋体" w:cs="新宋体"/>
          <w:u w:val="single"/>
        </w:rPr>
      </w:pPr>
      <w:r>
        <w:rPr>
          <w:rFonts w:hint="eastAsia" w:ascii="新宋体" w:hAnsi="新宋体" w:eastAsia="新宋体" w:cs="新宋体"/>
          <w:u w:val="single"/>
        </w:rPr>
        <w:t>资格审查资料要求详见本章3.1.2资格审查文件组成。</w:t>
      </w:r>
    </w:p>
    <w:p w14:paraId="08E3538C">
      <w:pPr>
        <w:spacing w:line="400" w:lineRule="exact"/>
        <w:ind w:firstLine="420" w:firstLineChars="200"/>
        <w:rPr>
          <w:rFonts w:hint="eastAsia" w:ascii="宋体" w:hAnsi="宋体" w:cs="宋体"/>
          <w:u w:val="single"/>
        </w:rPr>
      </w:pPr>
      <w:r>
        <w:rPr>
          <w:rFonts w:hint="eastAsia" w:ascii="宋体" w:hAnsi="宋体" w:cs="宋体"/>
          <w:u w:val="single"/>
        </w:rPr>
        <w:t>采用电子化资格后审</w:t>
      </w:r>
      <w:bookmarkStart w:id="230" w:name="_Toc439246018"/>
      <w:bookmarkStart w:id="231" w:name="_Toc356469198"/>
      <w:bookmarkStart w:id="232" w:name="_Toc357089532"/>
      <w:bookmarkStart w:id="233" w:name="_Toc300834971"/>
      <w:bookmarkStart w:id="234" w:name="_Toc439240619"/>
      <w:r>
        <w:rPr>
          <w:rFonts w:hint="eastAsia" w:ascii="宋体" w:hAnsi="宋体" w:cs="宋体"/>
          <w:u w:val="single"/>
        </w:rPr>
        <w:t>，由综合评标委员会负</w:t>
      </w:r>
      <w:bookmarkEnd w:id="230"/>
      <w:bookmarkEnd w:id="231"/>
      <w:bookmarkEnd w:id="232"/>
      <w:bookmarkEnd w:id="233"/>
      <w:bookmarkEnd w:id="234"/>
      <w:r>
        <w:rPr>
          <w:rFonts w:hint="eastAsia" w:ascii="宋体" w:hAnsi="宋体" w:cs="宋体"/>
          <w:u w:val="single"/>
        </w:rPr>
        <w:t>责对投标人的资格进行审查，评标时只对通过资格审查的投标人进行下一阶段的评审。</w:t>
      </w:r>
    </w:p>
    <w:p w14:paraId="274229ED">
      <w:pPr>
        <w:spacing w:line="400" w:lineRule="exact"/>
        <w:ind w:firstLine="420" w:firstLineChars="200"/>
        <w:rPr>
          <w:rFonts w:hint="eastAsia" w:ascii="宋体" w:hAnsi="宋体" w:cs="宋体"/>
          <w:strike/>
        </w:rPr>
      </w:pPr>
      <w:r>
        <w:rPr>
          <w:rFonts w:hint="eastAsia" w:ascii="宋体" w:hAnsi="宋体" w:cs="宋体"/>
          <w:szCs w:val="21"/>
          <w:u w:val="single"/>
        </w:rPr>
        <w:t>本项目采用电子化资格后审，由综合评标委员会负责对投标人的资格进行审查，评标时只对通过资格审查的投标人进行下一阶段的评审。</w:t>
      </w:r>
    </w:p>
    <w:p w14:paraId="1802342F">
      <w:pPr>
        <w:spacing w:line="400" w:lineRule="exact"/>
        <w:ind w:firstLine="420" w:firstLineChars="200"/>
        <w:rPr>
          <w:rFonts w:hint="eastAsia" w:ascii="宋体" w:hAnsi="宋体" w:cs="宋体"/>
        </w:rPr>
      </w:pPr>
    </w:p>
    <w:p w14:paraId="3EF3AF85">
      <w:pPr>
        <w:pStyle w:val="4"/>
        <w:rPr>
          <w:rFonts w:hint="eastAsia"/>
        </w:rPr>
      </w:pPr>
      <w:bookmarkStart w:id="235" w:name="_Toc247513977"/>
      <w:bookmarkStart w:id="236" w:name="_Toc152042329"/>
      <w:bookmarkStart w:id="237" w:name="_Toc134304546"/>
      <w:bookmarkStart w:id="238" w:name="_Toc27554"/>
      <w:bookmarkStart w:id="239" w:name="_Toc152045553"/>
      <w:bookmarkStart w:id="240" w:name="_Toc247527578"/>
      <w:bookmarkStart w:id="241" w:name="_Toc144974521"/>
      <w:bookmarkStart w:id="242" w:name="_Toc87238914"/>
      <w:r>
        <w:rPr>
          <w:rFonts w:hint="eastAsia"/>
        </w:rPr>
        <w:t>3.6 备选投标方案</w:t>
      </w:r>
      <w:bookmarkEnd w:id="235"/>
      <w:bookmarkEnd w:id="236"/>
      <w:bookmarkEnd w:id="237"/>
      <w:bookmarkEnd w:id="238"/>
      <w:bookmarkEnd w:id="239"/>
      <w:bookmarkEnd w:id="240"/>
      <w:bookmarkEnd w:id="241"/>
      <w:bookmarkEnd w:id="242"/>
    </w:p>
    <w:p w14:paraId="7A46B643">
      <w:pPr>
        <w:spacing w:line="400" w:lineRule="exact"/>
        <w:ind w:firstLine="420" w:firstLineChars="200"/>
        <w:rPr>
          <w:rFonts w:hint="eastAsia" w:ascii="宋体" w:hAnsi="宋体" w:cs="宋体"/>
          <w:strike/>
        </w:rPr>
      </w:pPr>
      <w:r>
        <w:rPr>
          <w:rFonts w:hint="eastAsia" w:ascii="宋体" w:hAnsi="宋体" w:cs="宋体"/>
        </w:rPr>
        <w:t>除投标人须知前附表另有规定外，投标人不得递交备选投标方案。</w:t>
      </w:r>
      <w:r>
        <w:rPr>
          <w:rFonts w:hint="eastAsia" w:ascii="宋体" w:hAnsi="宋体" w:cs="宋体"/>
          <w:strike/>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0B0D1FDA">
      <w:pPr>
        <w:pStyle w:val="4"/>
        <w:rPr>
          <w:rFonts w:hint="eastAsia"/>
        </w:rPr>
      </w:pPr>
      <w:bookmarkStart w:id="243" w:name="_Toc87238915"/>
      <w:bookmarkStart w:id="244" w:name="_Toc15348"/>
      <w:bookmarkStart w:id="245" w:name="_Toc144974522"/>
      <w:bookmarkStart w:id="246" w:name="_Toc152042330"/>
      <w:bookmarkStart w:id="247" w:name="_Toc152045554"/>
      <w:bookmarkStart w:id="248" w:name="_Toc247513978"/>
      <w:bookmarkStart w:id="249" w:name="_Toc134304547"/>
      <w:bookmarkStart w:id="250" w:name="_Toc247527579"/>
      <w:r>
        <w:rPr>
          <w:rFonts w:hint="eastAsia"/>
        </w:rPr>
        <w:t>3.7 投标文件的编制</w:t>
      </w:r>
      <w:bookmarkEnd w:id="243"/>
      <w:bookmarkEnd w:id="244"/>
      <w:bookmarkEnd w:id="245"/>
      <w:bookmarkEnd w:id="246"/>
      <w:bookmarkEnd w:id="247"/>
      <w:bookmarkEnd w:id="248"/>
      <w:bookmarkEnd w:id="249"/>
      <w:bookmarkEnd w:id="250"/>
    </w:p>
    <w:p w14:paraId="3A0C76B2">
      <w:pPr>
        <w:spacing w:line="400" w:lineRule="exact"/>
        <w:ind w:firstLine="420" w:firstLineChars="200"/>
        <w:rPr>
          <w:rFonts w:hint="eastAsia" w:ascii="宋体" w:hAnsi="宋体" w:cs="宋体"/>
        </w:rPr>
      </w:pPr>
      <w:r>
        <w:rPr>
          <w:rFonts w:hint="eastAsia" w:ascii="宋体" w:hAnsi="宋体" w:cs="宋体"/>
        </w:rPr>
        <w:t>3.7.1 投标文件应按第七章“投标文件格式”进行编写，如有必要，可以增加附页，作为投标文件的组成部分。其中，投标函附录在满足招标文件实质性要求的基础上，可以提出比招标文件要求更有利于招标人的承诺。</w:t>
      </w:r>
    </w:p>
    <w:p w14:paraId="2585B735">
      <w:pPr>
        <w:spacing w:line="400" w:lineRule="exact"/>
        <w:ind w:firstLine="420" w:firstLineChars="200"/>
        <w:rPr>
          <w:rFonts w:hint="eastAsia" w:ascii="宋体" w:hAnsi="宋体" w:cs="宋体"/>
          <w:szCs w:val="21"/>
        </w:rPr>
      </w:pPr>
      <w:r>
        <w:rPr>
          <w:rFonts w:hint="eastAsia" w:ascii="宋体" w:hAnsi="宋体" w:cs="宋体"/>
        </w:rPr>
        <w:t>3.7.2 投标文件应当对招标文件有关</w:t>
      </w:r>
      <w:r>
        <w:rPr>
          <w:rFonts w:hint="eastAsia" w:ascii="宋体" w:hAnsi="宋体" w:cs="宋体"/>
          <w:szCs w:val="21"/>
        </w:rPr>
        <w:t>招标范围、投标有效期、工期、质量标准、发包人要求等实质性内容作出响应。</w:t>
      </w:r>
    </w:p>
    <w:p w14:paraId="07FECD69">
      <w:pPr>
        <w:spacing w:line="400" w:lineRule="exact"/>
        <w:ind w:firstLine="420" w:firstLineChars="200"/>
        <w:rPr>
          <w:rFonts w:hint="eastAsia" w:ascii="宋体" w:hAnsi="宋体" w:cs="宋体"/>
        </w:rPr>
      </w:pPr>
      <w:r>
        <w:rPr>
          <w:rFonts w:hint="eastAsia" w:ascii="宋体" w:hAnsi="宋体" w:cs="宋体"/>
        </w:rPr>
        <w:t xml:space="preserve">3.7.3 </w:t>
      </w:r>
      <w:r>
        <w:rPr>
          <w:rFonts w:hint="eastAsia" w:ascii="宋体" w:hAnsi="宋体" w:cs="宋体"/>
          <w:szCs w:val="21"/>
          <w:u w:val="single"/>
        </w:rPr>
        <w:t>投标人（若为联合体投标，指联合体主办方）采用单位数字证书，按招标文件要求在相应位置加盖电子印章。投标文件中需个人签字或盖章的，应加盖个人电子印章或在线下完成后扫描上传。按照交易平台关于全流程电子化项目的相关指南进行操作，联合体投标的，除投标文件中的联合体协议书需联合体各方盖章、签字外，投标文件其他内容中的“投标人”、“投标单位”、“声明企业”应填写联合体各方的单位全称【格式表示为：（主）XXXX公司，（成）XXXX公司，（成）XXXX公司】，由主办方盖章、签字即可</w:t>
      </w:r>
      <w:r>
        <w:rPr>
          <w:rFonts w:hint="eastAsia" w:ascii="宋体" w:hAnsi="宋体" w:cs="宋体"/>
          <w:szCs w:val="21"/>
        </w:rPr>
        <w:t>。</w:t>
      </w:r>
    </w:p>
    <w:p w14:paraId="0A892783">
      <w:pPr>
        <w:spacing w:line="400" w:lineRule="exact"/>
        <w:ind w:firstLine="420" w:firstLineChars="200"/>
        <w:rPr>
          <w:rFonts w:hint="eastAsia" w:ascii="宋体" w:hAnsi="宋体" w:cs="宋体"/>
          <w:strike/>
        </w:rPr>
      </w:pPr>
      <w:r>
        <w:rPr>
          <w:rFonts w:hint="eastAsia" w:ascii="宋体" w:hAnsi="宋体" w:cs="宋体"/>
          <w:strike/>
        </w:rPr>
        <w:t>3.7.4 投标文件正本一份， 副本份数见投标人须知前附表。正本和副本的封面上应清楚地标记“正本”或“副本”的字样。当副本和正本不一致时，以正本为准。</w:t>
      </w:r>
    </w:p>
    <w:p w14:paraId="0B3E0A00">
      <w:pPr>
        <w:spacing w:line="400" w:lineRule="exact"/>
        <w:ind w:firstLine="420" w:firstLineChars="200"/>
        <w:rPr>
          <w:rFonts w:hint="eastAsia" w:ascii="宋体" w:hAnsi="宋体" w:cs="宋体"/>
          <w:strike/>
        </w:rPr>
      </w:pPr>
      <w:r>
        <w:rPr>
          <w:rFonts w:hint="eastAsia" w:ascii="宋体" w:hAnsi="宋体" w:cs="宋体"/>
          <w:strike/>
        </w:rPr>
        <w:t>3.7.5 投标文件的正本与副本应分别装订成册，具体装订要求见投标人须知前附表规定。</w:t>
      </w:r>
    </w:p>
    <w:p w14:paraId="669F5CB7">
      <w:pPr>
        <w:pStyle w:val="2"/>
      </w:pPr>
      <w:bookmarkStart w:id="251" w:name="_Toc144974523"/>
      <w:bookmarkStart w:id="252" w:name="_Toc16074"/>
      <w:bookmarkStart w:id="253" w:name="_Toc152042331"/>
      <w:bookmarkStart w:id="254" w:name="_Toc134304548"/>
      <w:bookmarkStart w:id="255" w:name="_Toc247513979"/>
      <w:bookmarkStart w:id="256" w:name="_Toc152045555"/>
      <w:bookmarkStart w:id="257" w:name="_Toc247527580"/>
      <w:r>
        <w:rPr>
          <w:rFonts w:hint="eastAsia"/>
        </w:rPr>
        <w:t>4. 投标</w:t>
      </w:r>
      <w:bookmarkEnd w:id="251"/>
      <w:bookmarkEnd w:id="252"/>
      <w:bookmarkEnd w:id="253"/>
      <w:bookmarkEnd w:id="254"/>
      <w:bookmarkEnd w:id="255"/>
      <w:bookmarkEnd w:id="256"/>
      <w:bookmarkEnd w:id="257"/>
    </w:p>
    <w:p w14:paraId="7DE72545">
      <w:pPr>
        <w:pStyle w:val="4"/>
        <w:rPr>
          <w:rFonts w:hint="eastAsia"/>
        </w:rPr>
      </w:pPr>
      <w:bookmarkStart w:id="258" w:name="_Toc87238917"/>
      <w:bookmarkStart w:id="259" w:name="_Toc152042332"/>
      <w:bookmarkStart w:id="260" w:name="_Toc247527581"/>
      <w:bookmarkStart w:id="261" w:name="_Toc247513980"/>
      <w:bookmarkStart w:id="262" w:name="_Toc134304549"/>
      <w:bookmarkStart w:id="263" w:name="_Toc144974524"/>
      <w:bookmarkStart w:id="264" w:name="_Toc152045556"/>
      <w:bookmarkStart w:id="265" w:name="_Toc17494"/>
      <w:r>
        <w:rPr>
          <w:rFonts w:hint="eastAsia"/>
        </w:rPr>
        <w:t>4.1 投标文件的密封和标记</w:t>
      </w:r>
      <w:bookmarkEnd w:id="258"/>
      <w:bookmarkEnd w:id="259"/>
      <w:bookmarkEnd w:id="260"/>
      <w:bookmarkEnd w:id="261"/>
      <w:bookmarkEnd w:id="262"/>
      <w:bookmarkEnd w:id="263"/>
      <w:bookmarkEnd w:id="264"/>
      <w:bookmarkEnd w:id="265"/>
    </w:p>
    <w:p w14:paraId="178C318C">
      <w:pPr>
        <w:spacing w:line="400" w:lineRule="exact"/>
        <w:ind w:firstLine="420" w:firstLineChars="200"/>
        <w:rPr>
          <w:rFonts w:hint="eastAsia" w:ascii="宋体" w:hAnsi="宋体" w:cs="宋体"/>
        </w:rPr>
      </w:pPr>
      <w:r>
        <w:rPr>
          <w:rFonts w:hint="eastAsia" w:ascii="宋体" w:hAnsi="宋体" w:cs="宋体"/>
        </w:rPr>
        <w:t xml:space="preserve">4.1.1 </w:t>
      </w:r>
      <w:r>
        <w:rPr>
          <w:rFonts w:hint="eastAsia" w:ascii="宋体" w:hAnsi="宋体" w:cs="宋体"/>
          <w:szCs w:val="21"/>
          <w:u w:val="single"/>
        </w:rPr>
        <w:t>投</w:t>
      </w:r>
      <w:r>
        <w:rPr>
          <w:rFonts w:hint="eastAsia" w:ascii="宋体" w:hAnsi="宋体" w:cs="宋体"/>
          <w:spacing w:val="-2"/>
          <w:szCs w:val="21"/>
          <w:u w:val="single"/>
        </w:rPr>
        <w:t>标</w:t>
      </w:r>
      <w:r>
        <w:rPr>
          <w:rFonts w:hint="eastAsia" w:ascii="宋体" w:hAnsi="宋体" w:cs="宋体"/>
          <w:szCs w:val="21"/>
          <w:u w:val="single"/>
        </w:rPr>
        <w:t>人</w:t>
      </w:r>
      <w:r>
        <w:rPr>
          <w:rFonts w:hint="eastAsia" w:ascii="宋体" w:hAnsi="宋体" w:cs="宋体"/>
          <w:spacing w:val="-2"/>
          <w:szCs w:val="21"/>
          <w:u w:val="single"/>
        </w:rPr>
        <w:t>应</w:t>
      </w:r>
      <w:r>
        <w:rPr>
          <w:rFonts w:hint="eastAsia" w:ascii="宋体" w:hAnsi="宋体" w:cs="宋体"/>
          <w:szCs w:val="21"/>
          <w:u w:val="single"/>
        </w:rPr>
        <w:t>当</w:t>
      </w:r>
      <w:r>
        <w:rPr>
          <w:rFonts w:hint="eastAsia" w:ascii="宋体" w:hAnsi="宋体" w:cs="宋体"/>
          <w:spacing w:val="-2"/>
          <w:szCs w:val="21"/>
          <w:u w:val="single"/>
        </w:rPr>
        <w:t>按</w:t>
      </w:r>
      <w:r>
        <w:rPr>
          <w:rFonts w:hint="eastAsia" w:ascii="宋体" w:hAnsi="宋体" w:cs="宋体"/>
          <w:szCs w:val="21"/>
          <w:u w:val="single"/>
        </w:rPr>
        <w:t>照招</w:t>
      </w:r>
      <w:r>
        <w:rPr>
          <w:rFonts w:hint="eastAsia" w:ascii="宋体" w:hAnsi="宋体" w:cs="宋体"/>
          <w:spacing w:val="-2"/>
          <w:szCs w:val="21"/>
          <w:u w:val="single"/>
        </w:rPr>
        <w:t>标</w:t>
      </w:r>
      <w:r>
        <w:rPr>
          <w:rFonts w:hint="eastAsia" w:ascii="宋体" w:hAnsi="宋体" w:cs="宋体"/>
          <w:szCs w:val="21"/>
          <w:u w:val="single"/>
        </w:rPr>
        <w:t>文</w:t>
      </w:r>
      <w:r>
        <w:rPr>
          <w:rFonts w:hint="eastAsia" w:ascii="宋体" w:hAnsi="宋体" w:cs="宋体"/>
          <w:spacing w:val="-2"/>
          <w:szCs w:val="21"/>
          <w:u w:val="single"/>
        </w:rPr>
        <w:t>件</w:t>
      </w:r>
      <w:r>
        <w:rPr>
          <w:rFonts w:hint="eastAsia" w:ascii="宋体" w:hAnsi="宋体" w:cs="宋体"/>
          <w:szCs w:val="21"/>
          <w:u w:val="single"/>
        </w:rPr>
        <w:t>和</w:t>
      </w:r>
      <w:r>
        <w:rPr>
          <w:rFonts w:hint="eastAsia" w:ascii="宋体" w:hAnsi="宋体" w:cs="宋体"/>
          <w:spacing w:val="-2"/>
          <w:szCs w:val="21"/>
          <w:u w:val="single"/>
        </w:rPr>
        <w:t>电</w:t>
      </w:r>
      <w:r>
        <w:rPr>
          <w:rFonts w:hint="eastAsia" w:ascii="宋体" w:hAnsi="宋体" w:cs="宋体"/>
          <w:szCs w:val="21"/>
          <w:u w:val="single"/>
        </w:rPr>
        <w:t>子</w:t>
      </w:r>
      <w:r>
        <w:rPr>
          <w:rFonts w:hint="eastAsia" w:ascii="宋体" w:hAnsi="宋体" w:cs="宋体"/>
          <w:spacing w:val="-2"/>
          <w:szCs w:val="21"/>
          <w:u w:val="single"/>
        </w:rPr>
        <w:t>招</w:t>
      </w:r>
      <w:r>
        <w:rPr>
          <w:rFonts w:hint="eastAsia" w:ascii="宋体" w:hAnsi="宋体" w:cs="宋体"/>
          <w:szCs w:val="21"/>
          <w:u w:val="single"/>
        </w:rPr>
        <w:t>标</w:t>
      </w:r>
      <w:r>
        <w:rPr>
          <w:rFonts w:hint="eastAsia" w:ascii="宋体" w:hAnsi="宋体" w:cs="宋体"/>
          <w:spacing w:val="-2"/>
          <w:szCs w:val="21"/>
          <w:u w:val="single"/>
        </w:rPr>
        <w:t>投</w:t>
      </w:r>
      <w:r>
        <w:rPr>
          <w:rFonts w:hint="eastAsia" w:ascii="宋体" w:hAnsi="宋体" w:cs="宋体"/>
          <w:szCs w:val="21"/>
          <w:u w:val="single"/>
        </w:rPr>
        <w:t>标交</w:t>
      </w:r>
      <w:r>
        <w:rPr>
          <w:rFonts w:hint="eastAsia" w:ascii="宋体" w:hAnsi="宋体" w:cs="宋体"/>
          <w:spacing w:val="-2"/>
          <w:szCs w:val="21"/>
          <w:u w:val="single"/>
        </w:rPr>
        <w:t>易</w:t>
      </w:r>
      <w:r>
        <w:rPr>
          <w:rFonts w:hint="eastAsia" w:ascii="宋体" w:hAnsi="宋体" w:cs="宋体"/>
          <w:szCs w:val="21"/>
          <w:u w:val="single"/>
        </w:rPr>
        <w:t>平</w:t>
      </w:r>
      <w:r>
        <w:rPr>
          <w:rFonts w:hint="eastAsia" w:ascii="宋体" w:hAnsi="宋体" w:cs="宋体"/>
          <w:spacing w:val="-2"/>
          <w:szCs w:val="21"/>
          <w:u w:val="single"/>
        </w:rPr>
        <w:t>台</w:t>
      </w:r>
      <w:r>
        <w:rPr>
          <w:rFonts w:hint="eastAsia" w:ascii="宋体" w:hAnsi="宋体" w:cs="宋体"/>
          <w:szCs w:val="21"/>
          <w:u w:val="single"/>
        </w:rPr>
        <w:t>的</w:t>
      </w:r>
      <w:r>
        <w:rPr>
          <w:rFonts w:hint="eastAsia" w:ascii="宋体" w:hAnsi="宋体" w:cs="宋体"/>
          <w:spacing w:val="-2"/>
          <w:szCs w:val="21"/>
          <w:u w:val="single"/>
        </w:rPr>
        <w:t>要</w:t>
      </w:r>
      <w:r>
        <w:rPr>
          <w:rFonts w:hint="eastAsia" w:ascii="宋体" w:hAnsi="宋体" w:cs="宋体"/>
          <w:szCs w:val="21"/>
          <w:u w:val="single"/>
        </w:rPr>
        <w:t>求</w:t>
      </w:r>
      <w:r>
        <w:rPr>
          <w:rFonts w:hint="eastAsia" w:ascii="宋体" w:hAnsi="宋体" w:cs="宋体"/>
          <w:spacing w:val="-2"/>
          <w:szCs w:val="21"/>
          <w:u w:val="single"/>
        </w:rPr>
        <w:t>加</w:t>
      </w:r>
      <w:r>
        <w:rPr>
          <w:rFonts w:hint="eastAsia" w:ascii="宋体" w:hAnsi="宋体" w:cs="宋体"/>
          <w:szCs w:val="21"/>
          <w:u w:val="single"/>
        </w:rPr>
        <w:t>密</w:t>
      </w:r>
      <w:r>
        <w:rPr>
          <w:rFonts w:hint="eastAsia" w:ascii="宋体" w:hAnsi="宋体" w:cs="宋体"/>
          <w:spacing w:val="-2"/>
          <w:szCs w:val="21"/>
          <w:u w:val="single"/>
        </w:rPr>
        <w:t>投</w:t>
      </w:r>
      <w:r>
        <w:rPr>
          <w:rFonts w:hint="eastAsia" w:ascii="宋体" w:hAnsi="宋体" w:cs="宋体"/>
          <w:szCs w:val="21"/>
          <w:u w:val="single"/>
        </w:rPr>
        <w:t>标文</w:t>
      </w:r>
      <w:r>
        <w:rPr>
          <w:rFonts w:hint="eastAsia" w:ascii="宋体" w:hAnsi="宋体" w:cs="宋体"/>
          <w:spacing w:val="-2"/>
          <w:szCs w:val="21"/>
          <w:u w:val="single"/>
        </w:rPr>
        <w:t>件，</w:t>
      </w:r>
      <w:r>
        <w:rPr>
          <w:rFonts w:hint="eastAsia" w:ascii="宋体" w:hAnsi="宋体" w:cs="宋体"/>
          <w:szCs w:val="21"/>
          <w:u w:val="single"/>
        </w:rPr>
        <w:t>具体操作详见广州交易集团有限公司（广州公共资源交易中心）有关指引</w:t>
      </w:r>
      <w:r>
        <w:rPr>
          <w:rFonts w:hint="eastAsia" w:ascii="宋体" w:hAnsi="宋体" w:cs="宋体"/>
        </w:rPr>
        <w:t>。</w:t>
      </w:r>
    </w:p>
    <w:p w14:paraId="68014B06">
      <w:pPr>
        <w:spacing w:line="400" w:lineRule="exact"/>
        <w:ind w:firstLine="420" w:firstLineChars="200"/>
        <w:rPr>
          <w:rFonts w:hint="eastAsia" w:ascii="宋体" w:hAnsi="宋体" w:cs="宋体"/>
        </w:rPr>
      </w:pPr>
      <w:r>
        <w:rPr>
          <w:rFonts w:hint="eastAsia" w:ascii="宋体" w:hAnsi="宋体" w:cs="宋体"/>
        </w:rPr>
        <w:t>4.1.2 投标文件封套上应写明的内容：见投标人须知前附表。</w:t>
      </w:r>
    </w:p>
    <w:p w14:paraId="531695EB">
      <w:pPr>
        <w:spacing w:line="400" w:lineRule="exact"/>
        <w:ind w:firstLine="420" w:firstLineChars="200"/>
        <w:rPr>
          <w:rFonts w:hint="eastAsia" w:ascii="宋体" w:hAnsi="宋体" w:cs="宋体"/>
        </w:rPr>
      </w:pPr>
      <w:r>
        <w:rPr>
          <w:rFonts w:hint="eastAsia" w:ascii="宋体" w:hAnsi="宋体" w:cs="宋体"/>
        </w:rPr>
        <w:t>4.1.3 未按本章第4.1.1项或第4.1.2项要求密封和加写标记的投标文件，招标人不予受理。</w:t>
      </w:r>
    </w:p>
    <w:p w14:paraId="6C486547">
      <w:pPr>
        <w:pStyle w:val="4"/>
        <w:rPr>
          <w:rFonts w:hint="eastAsia"/>
        </w:rPr>
      </w:pPr>
      <w:bookmarkStart w:id="266" w:name="_Toc247527582"/>
      <w:bookmarkStart w:id="267" w:name="_Toc134304550"/>
      <w:bookmarkStart w:id="268" w:name="_Toc247513981"/>
      <w:bookmarkStart w:id="269" w:name="_Toc87238918"/>
      <w:bookmarkStart w:id="270" w:name="_Toc144974525"/>
      <w:bookmarkStart w:id="271" w:name="_Toc152042333"/>
      <w:bookmarkStart w:id="272" w:name="_Toc152045557"/>
      <w:bookmarkStart w:id="273" w:name="_Toc3388"/>
      <w:r>
        <w:rPr>
          <w:rFonts w:hint="eastAsia"/>
        </w:rPr>
        <w:t>4.2 投标文件的递交</w:t>
      </w:r>
      <w:bookmarkEnd w:id="266"/>
      <w:bookmarkEnd w:id="267"/>
      <w:bookmarkEnd w:id="268"/>
      <w:bookmarkEnd w:id="269"/>
      <w:bookmarkEnd w:id="270"/>
      <w:bookmarkEnd w:id="271"/>
      <w:bookmarkEnd w:id="272"/>
      <w:bookmarkEnd w:id="273"/>
    </w:p>
    <w:p w14:paraId="759BE59C">
      <w:pPr>
        <w:spacing w:line="400" w:lineRule="exact"/>
        <w:ind w:firstLine="420" w:firstLineChars="200"/>
        <w:rPr>
          <w:rFonts w:hint="eastAsia" w:ascii="宋体" w:hAnsi="宋体" w:cs="宋体"/>
        </w:rPr>
      </w:pPr>
      <w:r>
        <w:rPr>
          <w:rFonts w:hint="eastAsia" w:ascii="宋体" w:hAnsi="宋体" w:cs="宋体"/>
        </w:rPr>
        <w:t>4.2.1 投标人应在第2.2.2项规定的投标截止时间前递交投标文件。</w:t>
      </w:r>
    </w:p>
    <w:p w14:paraId="5C92879B">
      <w:pPr>
        <w:spacing w:line="400" w:lineRule="exact"/>
        <w:ind w:firstLine="420" w:firstLineChars="200"/>
        <w:rPr>
          <w:rFonts w:hint="eastAsia" w:ascii="宋体" w:hAnsi="宋体" w:cs="宋体"/>
        </w:rPr>
      </w:pPr>
      <w:r>
        <w:rPr>
          <w:rFonts w:hint="eastAsia" w:ascii="宋体" w:hAnsi="宋体" w:cs="宋体"/>
        </w:rPr>
        <w:t>4.2.2 投标人递交投标文件的地点：见投标人须知前附表。</w:t>
      </w:r>
    </w:p>
    <w:p w14:paraId="49ACE302">
      <w:pPr>
        <w:spacing w:line="400" w:lineRule="exact"/>
        <w:ind w:firstLine="420" w:firstLineChars="200"/>
        <w:rPr>
          <w:rFonts w:hint="eastAsia" w:ascii="宋体" w:hAnsi="宋体" w:cs="宋体"/>
        </w:rPr>
      </w:pPr>
      <w:r>
        <w:rPr>
          <w:rFonts w:hint="eastAsia" w:ascii="宋体" w:hAnsi="宋体" w:cs="宋体"/>
        </w:rPr>
        <w:t>4.2.3 除投标人须知前附表另有规定外，投标人所递交的投标文件不予退还。</w:t>
      </w:r>
    </w:p>
    <w:p w14:paraId="0EA89E0D">
      <w:pPr>
        <w:spacing w:line="400" w:lineRule="exact"/>
        <w:ind w:firstLine="420" w:firstLineChars="200"/>
        <w:rPr>
          <w:rFonts w:hint="eastAsia" w:ascii="宋体" w:hAnsi="宋体" w:cs="宋体"/>
        </w:rPr>
      </w:pPr>
      <w:r>
        <w:rPr>
          <w:rFonts w:hint="eastAsia" w:ascii="宋体" w:hAnsi="宋体" w:cs="宋体"/>
        </w:rPr>
        <w:t xml:space="preserve">4.2.4 </w:t>
      </w:r>
      <w:r>
        <w:rPr>
          <w:rFonts w:hint="eastAsia" w:ascii="宋体" w:hAnsi="宋体" w:cs="宋体"/>
          <w:szCs w:val="21"/>
          <w:u w:val="single"/>
        </w:rPr>
        <w:t>投</w:t>
      </w:r>
      <w:r>
        <w:rPr>
          <w:rFonts w:hint="eastAsia" w:ascii="宋体" w:hAnsi="宋体" w:cs="宋体"/>
          <w:spacing w:val="-2"/>
          <w:szCs w:val="21"/>
          <w:u w:val="single"/>
        </w:rPr>
        <w:t>标</w:t>
      </w:r>
      <w:r>
        <w:rPr>
          <w:rFonts w:hint="eastAsia" w:ascii="宋体" w:hAnsi="宋体" w:cs="宋体"/>
          <w:szCs w:val="21"/>
          <w:u w:val="single"/>
        </w:rPr>
        <w:t>人</w:t>
      </w:r>
      <w:r>
        <w:rPr>
          <w:rFonts w:hint="eastAsia" w:ascii="宋体" w:hAnsi="宋体" w:cs="宋体"/>
          <w:spacing w:val="-2"/>
          <w:szCs w:val="21"/>
          <w:u w:val="single"/>
        </w:rPr>
        <w:t>完</w:t>
      </w:r>
      <w:r>
        <w:rPr>
          <w:rFonts w:hint="eastAsia" w:ascii="宋体" w:hAnsi="宋体" w:cs="宋体"/>
          <w:szCs w:val="21"/>
          <w:u w:val="single"/>
        </w:rPr>
        <w:t>成</w:t>
      </w:r>
      <w:r>
        <w:rPr>
          <w:rFonts w:hint="eastAsia" w:ascii="宋体" w:hAnsi="宋体" w:cs="宋体"/>
          <w:spacing w:val="-2"/>
          <w:szCs w:val="21"/>
          <w:u w:val="single"/>
        </w:rPr>
        <w:t>电</w:t>
      </w:r>
      <w:r>
        <w:rPr>
          <w:rFonts w:hint="eastAsia" w:ascii="宋体" w:hAnsi="宋体" w:cs="宋体"/>
          <w:szCs w:val="21"/>
          <w:u w:val="single"/>
        </w:rPr>
        <w:t>子投</w:t>
      </w:r>
      <w:r>
        <w:rPr>
          <w:rFonts w:hint="eastAsia" w:ascii="宋体" w:hAnsi="宋体" w:cs="宋体"/>
          <w:spacing w:val="-2"/>
          <w:szCs w:val="21"/>
          <w:u w:val="single"/>
        </w:rPr>
        <w:t>标</w:t>
      </w:r>
      <w:r>
        <w:rPr>
          <w:rFonts w:hint="eastAsia" w:ascii="宋体" w:hAnsi="宋体" w:cs="宋体"/>
          <w:szCs w:val="21"/>
          <w:u w:val="single"/>
        </w:rPr>
        <w:t>文</w:t>
      </w:r>
      <w:r>
        <w:rPr>
          <w:rFonts w:hint="eastAsia" w:ascii="宋体" w:hAnsi="宋体" w:cs="宋体"/>
          <w:spacing w:val="-2"/>
          <w:szCs w:val="21"/>
          <w:u w:val="single"/>
        </w:rPr>
        <w:t>件</w:t>
      </w:r>
      <w:r>
        <w:rPr>
          <w:rFonts w:hint="eastAsia" w:ascii="宋体" w:hAnsi="宋体" w:cs="宋体"/>
          <w:szCs w:val="21"/>
          <w:u w:val="single"/>
        </w:rPr>
        <w:t>上</w:t>
      </w:r>
      <w:r>
        <w:rPr>
          <w:rFonts w:hint="eastAsia" w:ascii="宋体" w:hAnsi="宋体" w:cs="宋体"/>
          <w:spacing w:val="-2"/>
          <w:szCs w:val="21"/>
          <w:u w:val="single"/>
        </w:rPr>
        <w:t>传</w:t>
      </w:r>
      <w:r>
        <w:rPr>
          <w:rFonts w:hint="eastAsia" w:ascii="宋体" w:hAnsi="宋体" w:cs="宋体"/>
          <w:szCs w:val="21"/>
          <w:u w:val="single"/>
        </w:rPr>
        <w:t>后</w:t>
      </w:r>
      <w:r>
        <w:rPr>
          <w:rFonts w:hint="eastAsia" w:ascii="宋体" w:hAnsi="宋体" w:cs="宋体"/>
          <w:spacing w:val="-5"/>
          <w:szCs w:val="21"/>
          <w:u w:val="single"/>
        </w:rPr>
        <w:t>，</w:t>
      </w:r>
      <w:r>
        <w:rPr>
          <w:rFonts w:hint="eastAsia" w:ascii="宋体" w:hAnsi="宋体" w:cs="宋体"/>
          <w:szCs w:val="21"/>
          <w:u w:val="single"/>
        </w:rPr>
        <w:t>电</w:t>
      </w:r>
      <w:r>
        <w:rPr>
          <w:rFonts w:hint="eastAsia" w:ascii="宋体" w:hAnsi="宋体" w:cs="宋体"/>
          <w:spacing w:val="-2"/>
          <w:szCs w:val="21"/>
          <w:u w:val="single"/>
        </w:rPr>
        <w:t>子</w:t>
      </w:r>
      <w:r>
        <w:rPr>
          <w:rFonts w:hint="eastAsia" w:ascii="宋体" w:hAnsi="宋体" w:cs="宋体"/>
          <w:szCs w:val="21"/>
          <w:u w:val="single"/>
        </w:rPr>
        <w:t>招标</w:t>
      </w:r>
      <w:r>
        <w:rPr>
          <w:rFonts w:hint="eastAsia" w:ascii="宋体" w:hAnsi="宋体" w:cs="宋体"/>
          <w:spacing w:val="-2"/>
          <w:szCs w:val="21"/>
          <w:u w:val="single"/>
        </w:rPr>
        <w:t>投</w:t>
      </w:r>
      <w:r>
        <w:rPr>
          <w:rFonts w:hint="eastAsia" w:ascii="宋体" w:hAnsi="宋体" w:cs="宋体"/>
          <w:szCs w:val="21"/>
          <w:u w:val="single"/>
        </w:rPr>
        <w:t>标</w:t>
      </w:r>
      <w:r>
        <w:rPr>
          <w:rFonts w:hint="eastAsia" w:ascii="宋体" w:hAnsi="宋体" w:cs="宋体"/>
          <w:spacing w:val="-2"/>
          <w:szCs w:val="21"/>
          <w:u w:val="single"/>
        </w:rPr>
        <w:t>交</w:t>
      </w:r>
      <w:r>
        <w:rPr>
          <w:rFonts w:hint="eastAsia" w:ascii="宋体" w:hAnsi="宋体" w:cs="宋体"/>
          <w:szCs w:val="21"/>
          <w:u w:val="single"/>
        </w:rPr>
        <w:t>易</w:t>
      </w:r>
      <w:r>
        <w:rPr>
          <w:rFonts w:hint="eastAsia" w:ascii="宋体" w:hAnsi="宋体" w:cs="宋体"/>
          <w:spacing w:val="-2"/>
          <w:szCs w:val="21"/>
          <w:u w:val="single"/>
        </w:rPr>
        <w:t>平</w:t>
      </w:r>
      <w:r>
        <w:rPr>
          <w:rFonts w:hint="eastAsia" w:ascii="宋体" w:hAnsi="宋体" w:cs="宋体"/>
          <w:szCs w:val="21"/>
          <w:u w:val="single"/>
        </w:rPr>
        <w:t>台</w:t>
      </w:r>
      <w:r>
        <w:rPr>
          <w:rFonts w:hint="eastAsia" w:ascii="宋体" w:hAnsi="宋体" w:cs="宋体"/>
          <w:spacing w:val="-2"/>
          <w:szCs w:val="21"/>
          <w:u w:val="single"/>
        </w:rPr>
        <w:t>即</w:t>
      </w:r>
      <w:r>
        <w:rPr>
          <w:rFonts w:hint="eastAsia" w:ascii="宋体" w:hAnsi="宋体" w:cs="宋体"/>
          <w:szCs w:val="21"/>
          <w:u w:val="single"/>
        </w:rPr>
        <w:t>时</w:t>
      </w:r>
      <w:r>
        <w:rPr>
          <w:rFonts w:hint="eastAsia" w:ascii="宋体" w:hAnsi="宋体" w:cs="宋体"/>
          <w:spacing w:val="-2"/>
          <w:szCs w:val="21"/>
          <w:u w:val="single"/>
        </w:rPr>
        <w:t>向</w:t>
      </w:r>
      <w:r>
        <w:rPr>
          <w:rFonts w:hint="eastAsia" w:ascii="宋体" w:hAnsi="宋体" w:cs="宋体"/>
          <w:szCs w:val="21"/>
          <w:u w:val="single"/>
        </w:rPr>
        <w:t>投标</w:t>
      </w:r>
      <w:r>
        <w:rPr>
          <w:rFonts w:hint="eastAsia" w:ascii="宋体" w:hAnsi="宋体" w:cs="宋体"/>
          <w:spacing w:val="-2"/>
          <w:szCs w:val="21"/>
          <w:u w:val="single"/>
        </w:rPr>
        <w:t>人</w:t>
      </w:r>
      <w:r>
        <w:rPr>
          <w:rFonts w:hint="eastAsia" w:ascii="宋体" w:hAnsi="宋体" w:cs="宋体"/>
          <w:szCs w:val="21"/>
          <w:u w:val="single"/>
        </w:rPr>
        <w:t>发</w:t>
      </w:r>
      <w:r>
        <w:rPr>
          <w:rFonts w:hint="eastAsia" w:ascii="宋体" w:hAnsi="宋体" w:cs="宋体"/>
          <w:spacing w:val="-2"/>
          <w:szCs w:val="21"/>
          <w:u w:val="single"/>
        </w:rPr>
        <w:t>出</w:t>
      </w:r>
      <w:r>
        <w:rPr>
          <w:rFonts w:hint="eastAsia" w:ascii="宋体" w:hAnsi="宋体" w:cs="宋体"/>
          <w:szCs w:val="21"/>
          <w:u w:val="single"/>
        </w:rPr>
        <w:t>递交回</w:t>
      </w:r>
      <w:r>
        <w:rPr>
          <w:rFonts w:hint="eastAsia" w:ascii="宋体" w:hAnsi="宋体" w:cs="宋体"/>
          <w:spacing w:val="-2"/>
          <w:szCs w:val="21"/>
          <w:u w:val="single"/>
        </w:rPr>
        <w:t>执</w:t>
      </w:r>
      <w:r>
        <w:rPr>
          <w:rFonts w:hint="eastAsia" w:ascii="宋体" w:hAnsi="宋体" w:cs="宋体"/>
          <w:szCs w:val="21"/>
          <w:u w:val="single"/>
        </w:rPr>
        <w:t>通</w:t>
      </w:r>
      <w:r>
        <w:rPr>
          <w:rFonts w:hint="eastAsia" w:ascii="宋体" w:hAnsi="宋体" w:cs="宋体"/>
          <w:spacing w:val="-3"/>
          <w:szCs w:val="21"/>
          <w:u w:val="single"/>
        </w:rPr>
        <w:t>知</w:t>
      </w:r>
      <w:r>
        <w:rPr>
          <w:rFonts w:hint="eastAsia" w:ascii="宋体" w:hAnsi="宋体" w:cs="宋体"/>
          <w:szCs w:val="21"/>
          <w:u w:val="single"/>
        </w:rPr>
        <w:t>。</w:t>
      </w:r>
      <w:r>
        <w:rPr>
          <w:rFonts w:hint="eastAsia" w:ascii="宋体" w:hAnsi="宋体" w:cs="宋体"/>
          <w:spacing w:val="-2"/>
          <w:szCs w:val="21"/>
          <w:u w:val="single"/>
        </w:rPr>
        <w:t>递</w:t>
      </w:r>
      <w:r>
        <w:rPr>
          <w:rFonts w:hint="eastAsia" w:ascii="宋体" w:hAnsi="宋体" w:cs="宋体"/>
          <w:szCs w:val="21"/>
          <w:u w:val="single"/>
        </w:rPr>
        <w:t>交</w:t>
      </w:r>
      <w:r>
        <w:rPr>
          <w:rFonts w:hint="eastAsia" w:ascii="宋体" w:hAnsi="宋体" w:cs="宋体"/>
          <w:spacing w:val="-2"/>
          <w:szCs w:val="21"/>
          <w:u w:val="single"/>
        </w:rPr>
        <w:t>时</w:t>
      </w:r>
      <w:r>
        <w:rPr>
          <w:rFonts w:hint="eastAsia" w:ascii="宋体" w:hAnsi="宋体" w:cs="宋体"/>
          <w:szCs w:val="21"/>
          <w:u w:val="single"/>
        </w:rPr>
        <w:t>间</w:t>
      </w:r>
      <w:r>
        <w:rPr>
          <w:rFonts w:hint="eastAsia" w:ascii="宋体" w:hAnsi="宋体" w:cs="宋体"/>
          <w:spacing w:val="-2"/>
          <w:szCs w:val="21"/>
          <w:u w:val="single"/>
        </w:rPr>
        <w:t>以</w:t>
      </w:r>
      <w:r>
        <w:rPr>
          <w:rFonts w:hint="eastAsia" w:ascii="宋体" w:hAnsi="宋体" w:cs="宋体"/>
          <w:szCs w:val="21"/>
          <w:u w:val="single"/>
        </w:rPr>
        <w:t>递交</w:t>
      </w:r>
      <w:r>
        <w:rPr>
          <w:rFonts w:hint="eastAsia" w:ascii="宋体" w:hAnsi="宋体" w:cs="宋体"/>
          <w:spacing w:val="-2"/>
          <w:szCs w:val="21"/>
          <w:u w:val="single"/>
        </w:rPr>
        <w:t>回</w:t>
      </w:r>
      <w:r>
        <w:rPr>
          <w:rFonts w:hint="eastAsia" w:ascii="宋体" w:hAnsi="宋体" w:cs="宋体"/>
          <w:szCs w:val="21"/>
          <w:u w:val="single"/>
        </w:rPr>
        <w:t>执</w:t>
      </w:r>
      <w:r>
        <w:rPr>
          <w:rFonts w:hint="eastAsia" w:ascii="宋体" w:hAnsi="宋体" w:cs="宋体"/>
          <w:spacing w:val="-2"/>
          <w:szCs w:val="21"/>
          <w:u w:val="single"/>
        </w:rPr>
        <w:t>通</w:t>
      </w:r>
      <w:r>
        <w:rPr>
          <w:rFonts w:hint="eastAsia" w:ascii="宋体" w:hAnsi="宋体" w:cs="宋体"/>
          <w:szCs w:val="21"/>
          <w:u w:val="single"/>
        </w:rPr>
        <w:t>知</w:t>
      </w:r>
      <w:r>
        <w:rPr>
          <w:rFonts w:hint="eastAsia" w:ascii="宋体" w:hAnsi="宋体" w:cs="宋体"/>
          <w:spacing w:val="-2"/>
          <w:szCs w:val="21"/>
          <w:u w:val="single"/>
        </w:rPr>
        <w:t>载</w:t>
      </w:r>
      <w:r>
        <w:rPr>
          <w:rFonts w:hint="eastAsia" w:ascii="宋体" w:hAnsi="宋体" w:cs="宋体"/>
          <w:szCs w:val="21"/>
          <w:u w:val="single"/>
        </w:rPr>
        <w:t>明</w:t>
      </w:r>
      <w:r>
        <w:rPr>
          <w:rFonts w:hint="eastAsia" w:ascii="宋体" w:hAnsi="宋体" w:cs="宋体"/>
          <w:spacing w:val="-2"/>
          <w:szCs w:val="21"/>
          <w:u w:val="single"/>
        </w:rPr>
        <w:t>的</w:t>
      </w:r>
      <w:r>
        <w:rPr>
          <w:rFonts w:hint="eastAsia" w:ascii="宋体" w:hAnsi="宋体" w:cs="宋体"/>
          <w:szCs w:val="21"/>
          <w:u w:val="single"/>
        </w:rPr>
        <w:t>传</w:t>
      </w:r>
      <w:r>
        <w:rPr>
          <w:rFonts w:hint="eastAsia" w:ascii="宋体" w:hAnsi="宋体" w:cs="宋体"/>
          <w:spacing w:val="-2"/>
          <w:szCs w:val="21"/>
          <w:u w:val="single"/>
        </w:rPr>
        <w:t>输</w:t>
      </w:r>
      <w:r>
        <w:rPr>
          <w:rFonts w:hint="eastAsia" w:ascii="宋体" w:hAnsi="宋体" w:cs="宋体"/>
          <w:szCs w:val="21"/>
          <w:u w:val="single"/>
        </w:rPr>
        <w:t>完成</w:t>
      </w:r>
      <w:r>
        <w:rPr>
          <w:rFonts w:hint="eastAsia" w:ascii="宋体" w:hAnsi="宋体" w:cs="宋体"/>
          <w:spacing w:val="-2"/>
          <w:szCs w:val="21"/>
          <w:u w:val="single"/>
        </w:rPr>
        <w:t>时</w:t>
      </w:r>
      <w:r>
        <w:rPr>
          <w:rFonts w:hint="eastAsia" w:ascii="宋体" w:hAnsi="宋体" w:cs="宋体"/>
          <w:szCs w:val="21"/>
          <w:u w:val="single"/>
        </w:rPr>
        <w:t>间</w:t>
      </w:r>
      <w:r>
        <w:rPr>
          <w:rFonts w:hint="eastAsia" w:ascii="宋体" w:hAnsi="宋体" w:cs="宋体"/>
          <w:spacing w:val="-2"/>
          <w:szCs w:val="21"/>
          <w:u w:val="single"/>
        </w:rPr>
        <w:t>为</w:t>
      </w:r>
      <w:r>
        <w:rPr>
          <w:rFonts w:hint="eastAsia" w:ascii="宋体" w:hAnsi="宋体" w:cs="宋体"/>
          <w:szCs w:val="21"/>
          <w:u w:val="single"/>
        </w:rPr>
        <w:t>准</w:t>
      </w:r>
      <w:r>
        <w:rPr>
          <w:rFonts w:hint="eastAsia" w:ascii="宋体" w:hAnsi="宋体" w:cs="宋体"/>
        </w:rPr>
        <w:t>。</w:t>
      </w:r>
    </w:p>
    <w:p w14:paraId="30983E0F">
      <w:pPr>
        <w:spacing w:line="400" w:lineRule="exact"/>
        <w:ind w:firstLine="420" w:firstLineChars="200"/>
        <w:rPr>
          <w:rFonts w:hint="eastAsia" w:ascii="宋体" w:hAnsi="宋体" w:cs="宋体"/>
        </w:rPr>
      </w:pPr>
      <w:r>
        <w:rPr>
          <w:rFonts w:hint="eastAsia" w:ascii="宋体" w:hAnsi="宋体" w:cs="宋体"/>
        </w:rPr>
        <w:t xml:space="preserve">4.2.5 </w:t>
      </w:r>
      <w:r>
        <w:rPr>
          <w:rFonts w:hint="eastAsia" w:ascii="宋体" w:hAnsi="宋体" w:cs="宋体"/>
          <w:spacing w:val="-2"/>
          <w:szCs w:val="21"/>
          <w:u w:val="single"/>
        </w:rPr>
        <w:t>逾</w:t>
      </w:r>
      <w:r>
        <w:rPr>
          <w:rFonts w:hint="eastAsia" w:ascii="宋体" w:hAnsi="宋体" w:cs="宋体"/>
          <w:szCs w:val="21"/>
          <w:u w:val="single"/>
        </w:rPr>
        <w:t>期</w:t>
      </w:r>
      <w:r>
        <w:rPr>
          <w:rFonts w:hint="eastAsia" w:ascii="宋体" w:hAnsi="宋体" w:cs="宋体"/>
          <w:spacing w:val="-2"/>
          <w:szCs w:val="21"/>
          <w:u w:val="single"/>
        </w:rPr>
        <w:t>送</w:t>
      </w:r>
      <w:r>
        <w:rPr>
          <w:rFonts w:hint="eastAsia" w:ascii="宋体" w:hAnsi="宋体" w:cs="宋体"/>
          <w:szCs w:val="21"/>
          <w:u w:val="single"/>
        </w:rPr>
        <w:t>达</w:t>
      </w:r>
      <w:r>
        <w:rPr>
          <w:rFonts w:hint="eastAsia" w:ascii="宋体" w:hAnsi="宋体" w:cs="宋体"/>
          <w:spacing w:val="-2"/>
          <w:szCs w:val="21"/>
          <w:u w:val="single"/>
        </w:rPr>
        <w:t>的投</w:t>
      </w:r>
      <w:r>
        <w:rPr>
          <w:rFonts w:hint="eastAsia" w:ascii="宋体" w:hAnsi="宋体" w:cs="宋体"/>
          <w:szCs w:val="21"/>
          <w:u w:val="single"/>
        </w:rPr>
        <w:t>标文</w:t>
      </w:r>
      <w:r>
        <w:rPr>
          <w:rFonts w:hint="eastAsia" w:ascii="宋体" w:hAnsi="宋体" w:cs="宋体"/>
          <w:spacing w:val="-2"/>
          <w:szCs w:val="21"/>
          <w:u w:val="single"/>
        </w:rPr>
        <w:t>件</w:t>
      </w:r>
      <w:r>
        <w:rPr>
          <w:rFonts w:hint="eastAsia" w:ascii="宋体" w:hAnsi="宋体" w:cs="宋体"/>
          <w:szCs w:val="21"/>
          <w:u w:val="single"/>
        </w:rPr>
        <w:t>，</w:t>
      </w:r>
      <w:r>
        <w:rPr>
          <w:rFonts w:hint="eastAsia" w:ascii="宋体" w:hAnsi="宋体" w:cs="宋体"/>
          <w:spacing w:val="-2"/>
          <w:szCs w:val="21"/>
          <w:u w:val="single"/>
        </w:rPr>
        <w:t>电</w:t>
      </w:r>
      <w:r>
        <w:rPr>
          <w:rFonts w:hint="eastAsia" w:ascii="宋体" w:hAnsi="宋体" w:cs="宋体"/>
          <w:szCs w:val="21"/>
          <w:u w:val="single"/>
        </w:rPr>
        <w:t>子</w:t>
      </w:r>
      <w:r>
        <w:rPr>
          <w:rFonts w:hint="eastAsia" w:ascii="宋体" w:hAnsi="宋体" w:cs="宋体"/>
          <w:spacing w:val="-2"/>
          <w:szCs w:val="21"/>
          <w:u w:val="single"/>
        </w:rPr>
        <w:t>招</w:t>
      </w:r>
      <w:r>
        <w:rPr>
          <w:rFonts w:hint="eastAsia" w:ascii="宋体" w:hAnsi="宋体" w:cs="宋体"/>
          <w:szCs w:val="21"/>
          <w:u w:val="single"/>
        </w:rPr>
        <w:t>标</w:t>
      </w:r>
      <w:r>
        <w:rPr>
          <w:rFonts w:hint="eastAsia" w:ascii="宋体" w:hAnsi="宋体" w:cs="宋体"/>
          <w:spacing w:val="-2"/>
          <w:szCs w:val="21"/>
          <w:u w:val="single"/>
        </w:rPr>
        <w:t>投</w:t>
      </w:r>
      <w:r>
        <w:rPr>
          <w:rFonts w:hint="eastAsia" w:ascii="宋体" w:hAnsi="宋体" w:cs="宋体"/>
          <w:szCs w:val="21"/>
          <w:u w:val="single"/>
        </w:rPr>
        <w:t>标</w:t>
      </w:r>
      <w:r>
        <w:rPr>
          <w:rFonts w:hint="eastAsia" w:ascii="宋体" w:hAnsi="宋体" w:cs="宋体"/>
          <w:spacing w:val="-2"/>
          <w:szCs w:val="21"/>
          <w:u w:val="single"/>
        </w:rPr>
        <w:t>交</w:t>
      </w:r>
      <w:r>
        <w:rPr>
          <w:rFonts w:hint="eastAsia" w:ascii="宋体" w:hAnsi="宋体" w:cs="宋体"/>
          <w:szCs w:val="21"/>
          <w:u w:val="single"/>
        </w:rPr>
        <w:t>易平</w:t>
      </w:r>
      <w:r>
        <w:rPr>
          <w:rFonts w:hint="eastAsia" w:ascii="宋体" w:hAnsi="宋体" w:cs="宋体"/>
          <w:spacing w:val="-2"/>
          <w:szCs w:val="21"/>
          <w:u w:val="single"/>
        </w:rPr>
        <w:t>台</w:t>
      </w:r>
      <w:r>
        <w:rPr>
          <w:rFonts w:hint="eastAsia" w:ascii="宋体" w:hAnsi="宋体" w:cs="宋体"/>
          <w:szCs w:val="21"/>
          <w:u w:val="single"/>
        </w:rPr>
        <w:t>将</w:t>
      </w:r>
      <w:r>
        <w:rPr>
          <w:rFonts w:hint="eastAsia" w:ascii="宋体" w:hAnsi="宋体" w:cs="宋体"/>
          <w:spacing w:val="-2"/>
          <w:szCs w:val="21"/>
          <w:u w:val="single"/>
        </w:rPr>
        <w:t>予</w:t>
      </w:r>
      <w:r>
        <w:rPr>
          <w:rFonts w:hint="eastAsia" w:ascii="宋体" w:hAnsi="宋体" w:cs="宋体"/>
          <w:szCs w:val="21"/>
          <w:u w:val="single"/>
        </w:rPr>
        <w:t>以</w:t>
      </w:r>
      <w:r>
        <w:rPr>
          <w:rFonts w:hint="eastAsia" w:ascii="宋体" w:hAnsi="宋体" w:cs="宋体"/>
          <w:spacing w:val="-2"/>
          <w:szCs w:val="21"/>
          <w:u w:val="single"/>
        </w:rPr>
        <w:t>拒</w:t>
      </w:r>
      <w:r>
        <w:rPr>
          <w:rFonts w:hint="eastAsia" w:ascii="宋体" w:hAnsi="宋体" w:cs="宋体"/>
          <w:szCs w:val="21"/>
          <w:u w:val="single"/>
        </w:rPr>
        <w:t>收</w:t>
      </w:r>
      <w:r>
        <w:rPr>
          <w:rFonts w:hint="eastAsia" w:ascii="宋体" w:hAnsi="宋体" w:cs="宋体"/>
        </w:rPr>
        <w:t>。</w:t>
      </w:r>
    </w:p>
    <w:p w14:paraId="62E58EA4">
      <w:pPr>
        <w:pStyle w:val="4"/>
        <w:rPr>
          <w:rFonts w:hint="eastAsia"/>
        </w:rPr>
      </w:pPr>
      <w:bookmarkStart w:id="274" w:name="_Toc134304551"/>
      <w:bookmarkStart w:id="275" w:name="_Toc23264"/>
      <w:bookmarkStart w:id="276" w:name="_Toc144974526"/>
      <w:bookmarkStart w:id="277" w:name="_Toc247527583"/>
      <w:bookmarkStart w:id="278" w:name="_Toc152045558"/>
      <w:bookmarkStart w:id="279" w:name="_Toc87238919"/>
      <w:bookmarkStart w:id="280" w:name="_Toc152042334"/>
      <w:bookmarkStart w:id="281" w:name="_Toc247513982"/>
      <w:r>
        <w:rPr>
          <w:rFonts w:hint="eastAsia"/>
        </w:rPr>
        <w:t>4.3 投标文件的修改与撤回</w:t>
      </w:r>
      <w:bookmarkEnd w:id="274"/>
      <w:bookmarkEnd w:id="275"/>
      <w:bookmarkEnd w:id="276"/>
      <w:bookmarkEnd w:id="277"/>
      <w:bookmarkEnd w:id="278"/>
      <w:bookmarkEnd w:id="279"/>
      <w:bookmarkEnd w:id="280"/>
      <w:bookmarkEnd w:id="281"/>
    </w:p>
    <w:p w14:paraId="35B57B3B">
      <w:pPr>
        <w:spacing w:line="400" w:lineRule="exact"/>
        <w:ind w:firstLine="420" w:firstLineChars="200"/>
        <w:rPr>
          <w:rFonts w:hint="eastAsia" w:ascii="宋体" w:hAnsi="宋体" w:cs="宋体"/>
        </w:rPr>
      </w:pPr>
      <w:r>
        <w:rPr>
          <w:rFonts w:hint="eastAsia" w:ascii="宋体" w:hAnsi="宋体" w:cs="宋体"/>
        </w:rPr>
        <w:t>4.3.1 在本章第2.2.2项规定的投标截止时间前，投标人可以修改或撤回已递交的投标文件，但应以书面形式通知招标人。</w:t>
      </w:r>
    </w:p>
    <w:p w14:paraId="67FE0E1A">
      <w:pPr>
        <w:spacing w:line="400" w:lineRule="exact"/>
        <w:ind w:firstLine="420" w:firstLineChars="200"/>
        <w:rPr>
          <w:rFonts w:hint="eastAsia" w:ascii="宋体" w:hAnsi="宋体" w:cs="宋体"/>
        </w:rPr>
      </w:pPr>
      <w:r>
        <w:rPr>
          <w:rFonts w:hint="eastAsia" w:ascii="宋体" w:hAnsi="宋体" w:cs="宋体"/>
        </w:rPr>
        <w:t xml:space="preserve">4.3.2 </w:t>
      </w:r>
      <w:r>
        <w:rPr>
          <w:rFonts w:hint="eastAsia" w:ascii="宋体" w:hAnsi="宋体" w:cs="宋体"/>
          <w:spacing w:val="-2"/>
          <w:szCs w:val="21"/>
          <w:u w:val="single"/>
        </w:rPr>
        <w:t>投</w:t>
      </w:r>
      <w:r>
        <w:rPr>
          <w:rFonts w:hint="eastAsia" w:ascii="宋体" w:hAnsi="宋体" w:cs="宋体"/>
          <w:szCs w:val="21"/>
          <w:u w:val="single"/>
        </w:rPr>
        <w:t>标</w:t>
      </w:r>
      <w:r>
        <w:rPr>
          <w:rFonts w:hint="eastAsia" w:ascii="宋体" w:hAnsi="宋体" w:cs="宋体"/>
          <w:spacing w:val="-2"/>
          <w:szCs w:val="21"/>
          <w:u w:val="single"/>
        </w:rPr>
        <w:t>人</w:t>
      </w:r>
      <w:r>
        <w:rPr>
          <w:rFonts w:hint="eastAsia" w:ascii="宋体" w:hAnsi="宋体" w:cs="宋体"/>
          <w:szCs w:val="21"/>
          <w:u w:val="single"/>
        </w:rPr>
        <w:t>修</w:t>
      </w:r>
      <w:r>
        <w:rPr>
          <w:rFonts w:hint="eastAsia" w:ascii="宋体" w:hAnsi="宋体" w:cs="宋体"/>
          <w:spacing w:val="-2"/>
          <w:szCs w:val="21"/>
          <w:u w:val="single"/>
        </w:rPr>
        <w:t>改或</w:t>
      </w:r>
      <w:r>
        <w:rPr>
          <w:rFonts w:hint="eastAsia" w:ascii="宋体" w:hAnsi="宋体" w:cs="宋体"/>
          <w:szCs w:val="21"/>
          <w:u w:val="single"/>
        </w:rPr>
        <w:t>撤回</w:t>
      </w:r>
      <w:r>
        <w:rPr>
          <w:rFonts w:hint="eastAsia" w:ascii="宋体" w:hAnsi="宋体" w:cs="宋体"/>
          <w:spacing w:val="-2"/>
          <w:szCs w:val="21"/>
          <w:u w:val="single"/>
        </w:rPr>
        <w:t>已</w:t>
      </w:r>
      <w:r>
        <w:rPr>
          <w:rFonts w:hint="eastAsia" w:ascii="宋体" w:hAnsi="宋体" w:cs="宋体"/>
          <w:szCs w:val="21"/>
          <w:u w:val="single"/>
        </w:rPr>
        <w:t>递</w:t>
      </w:r>
      <w:r>
        <w:rPr>
          <w:rFonts w:hint="eastAsia" w:ascii="宋体" w:hAnsi="宋体" w:cs="宋体"/>
          <w:spacing w:val="-2"/>
          <w:szCs w:val="21"/>
          <w:u w:val="single"/>
        </w:rPr>
        <w:t>交</w:t>
      </w:r>
      <w:r>
        <w:rPr>
          <w:rFonts w:hint="eastAsia" w:ascii="宋体" w:hAnsi="宋体" w:cs="宋体"/>
          <w:szCs w:val="21"/>
          <w:u w:val="single"/>
        </w:rPr>
        <w:t>投</w:t>
      </w:r>
      <w:r>
        <w:rPr>
          <w:rFonts w:hint="eastAsia" w:ascii="宋体" w:hAnsi="宋体" w:cs="宋体"/>
          <w:spacing w:val="-2"/>
          <w:szCs w:val="21"/>
          <w:u w:val="single"/>
        </w:rPr>
        <w:t>标</w:t>
      </w:r>
      <w:r>
        <w:rPr>
          <w:rFonts w:hint="eastAsia" w:ascii="宋体" w:hAnsi="宋体" w:cs="宋体"/>
          <w:szCs w:val="21"/>
          <w:u w:val="single"/>
        </w:rPr>
        <w:t>文</w:t>
      </w:r>
      <w:r>
        <w:rPr>
          <w:rFonts w:hint="eastAsia" w:ascii="宋体" w:hAnsi="宋体" w:cs="宋体"/>
          <w:spacing w:val="-2"/>
          <w:szCs w:val="21"/>
          <w:u w:val="single"/>
        </w:rPr>
        <w:t>件</w:t>
      </w:r>
      <w:r>
        <w:rPr>
          <w:rFonts w:hint="eastAsia" w:ascii="宋体" w:hAnsi="宋体" w:cs="宋体"/>
          <w:szCs w:val="21"/>
          <w:u w:val="single"/>
        </w:rPr>
        <w:t>的</w:t>
      </w:r>
      <w:r>
        <w:rPr>
          <w:rFonts w:hint="eastAsia" w:ascii="宋体" w:hAnsi="宋体" w:cs="宋体"/>
          <w:spacing w:val="-2"/>
          <w:szCs w:val="21"/>
          <w:u w:val="single"/>
        </w:rPr>
        <w:t>通</w:t>
      </w:r>
      <w:r>
        <w:rPr>
          <w:rFonts w:hint="eastAsia" w:ascii="宋体" w:hAnsi="宋体" w:cs="宋体"/>
          <w:szCs w:val="21"/>
          <w:u w:val="single"/>
        </w:rPr>
        <w:t>知，</w:t>
      </w:r>
      <w:r>
        <w:rPr>
          <w:rFonts w:hint="eastAsia" w:ascii="宋体" w:hAnsi="宋体" w:cs="宋体"/>
          <w:spacing w:val="-2"/>
          <w:szCs w:val="21"/>
          <w:u w:val="single"/>
        </w:rPr>
        <w:t>应</w:t>
      </w:r>
      <w:r>
        <w:rPr>
          <w:rFonts w:hint="eastAsia" w:ascii="宋体" w:hAnsi="宋体" w:cs="宋体"/>
          <w:szCs w:val="21"/>
          <w:u w:val="single"/>
        </w:rPr>
        <w:t>按</w:t>
      </w:r>
      <w:r>
        <w:rPr>
          <w:rFonts w:hint="eastAsia" w:ascii="宋体" w:hAnsi="宋体" w:cs="宋体"/>
          <w:spacing w:val="-2"/>
          <w:szCs w:val="21"/>
          <w:u w:val="single"/>
        </w:rPr>
        <w:t>照</w:t>
      </w:r>
      <w:r>
        <w:rPr>
          <w:rFonts w:hint="eastAsia" w:ascii="宋体" w:hAnsi="宋体" w:cs="宋体"/>
          <w:szCs w:val="21"/>
          <w:u w:val="single"/>
        </w:rPr>
        <w:t>本</w:t>
      </w:r>
      <w:r>
        <w:rPr>
          <w:rFonts w:hint="eastAsia" w:ascii="宋体" w:hAnsi="宋体" w:cs="宋体"/>
          <w:spacing w:val="-2"/>
          <w:szCs w:val="21"/>
          <w:u w:val="single"/>
        </w:rPr>
        <w:t>章</w:t>
      </w:r>
      <w:r>
        <w:rPr>
          <w:rFonts w:hint="eastAsia" w:ascii="宋体" w:hAnsi="宋体" w:cs="宋体"/>
          <w:szCs w:val="21"/>
          <w:u w:val="single"/>
        </w:rPr>
        <w:t>第3</w:t>
      </w:r>
      <w:r>
        <w:rPr>
          <w:rFonts w:hint="eastAsia" w:ascii="宋体" w:hAnsi="宋体" w:cs="宋体"/>
          <w:spacing w:val="-2"/>
          <w:szCs w:val="21"/>
          <w:u w:val="single"/>
        </w:rPr>
        <w:t>.</w:t>
      </w:r>
      <w:r>
        <w:rPr>
          <w:rFonts w:hint="eastAsia" w:ascii="宋体" w:hAnsi="宋体" w:cs="宋体"/>
          <w:szCs w:val="21"/>
          <w:u w:val="single"/>
        </w:rPr>
        <w:t>7.3项</w:t>
      </w:r>
      <w:r>
        <w:rPr>
          <w:rFonts w:hint="eastAsia" w:ascii="宋体" w:hAnsi="宋体" w:cs="宋体"/>
          <w:spacing w:val="-2"/>
          <w:szCs w:val="21"/>
          <w:u w:val="single"/>
        </w:rPr>
        <w:t>的</w:t>
      </w:r>
      <w:r>
        <w:rPr>
          <w:rFonts w:hint="eastAsia" w:ascii="宋体" w:hAnsi="宋体" w:cs="宋体"/>
          <w:szCs w:val="21"/>
          <w:u w:val="single"/>
        </w:rPr>
        <w:t>要求加盖</w:t>
      </w:r>
      <w:r>
        <w:rPr>
          <w:rFonts w:hint="eastAsia" w:ascii="宋体" w:hAnsi="宋体" w:cs="宋体"/>
          <w:spacing w:val="-2"/>
          <w:szCs w:val="21"/>
          <w:u w:val="single"/>
        </w:rPr>
        <w:t>电</w:t>
      </w:r>
      <w:r>
        <w:rPr>
          <w:rFonts w:hint="eastAsia" w:ascii="宋体" w:hAnsi="宋体" w:cs="宋体"/>
          <w:szCs w:val="21"/>
          <w:u w:val="single"/>
        </w:rPr>
        <w:t>子</w:t>
      </w:r>
      <w:r>
        <w:rPr>
          <w:rFonts w:hint="eastAsia" w:ascii="宋体" w:hAnsi="宋体" w:cs="宋体"/>
          <w:spacing w:val="-2"/>
          <w:szCs w:val="21"/>
          <w:u w:val="single"/>
        </w:rPr>
        <w:t>印</w:t>
      </w:r>
      <w:r>
        <w:rPr>
          <w:rFonts w:hint="eastAsia" w:ascii="宋体" w:hAnsi="宋体" w:cs="宋体"/>
          <w:szCs w:val="21"/>
          <w:u w:val="single"/>
        </w:rPr>
        <w:t>章</w:t>
      </w:r>
      <w:r>
        <w:rPr>
          <w:rFonts w:hint="eastAsia" w:ascii="宋体" w:hAnsi="宋体" w:cs="宋体"/>
          <w:spacing w:val="-3"/>
          <w:szCs w:val="21"/>
          <w:u w:val="single"/>
        </w:rPr>
        <w:t>。</w:t>
      </w:r>
      <w:r>
        <w:rPr>
          <w:rFonts w:hint="eastAsia" w:ascii="宋体" w:hAnsi="宋体" w:cs="宋体"/>
          <w:szCs w:val="21"/>
          <w:u w:val="single"/>
        </w:rPr>
        <w:t>电</w:t>
      </w:r>
      <w:r>
        <w:rPr>
          <w:rFonts w:hint="eastAsia" w:ascii="宋体" w:hAnsi="宋体" w:cs="宋体"/>
          <w:spacing w:val="-2"/>
          <w:szCs w:val="21"/>
          <w:u w:val="single"/>
        </w:rPr>
        <w:t>子</w:t>
      </w:r>
      <w:r>
        <w:rPr>
          <w:rFonts w:hint="eastAsia" w:ascii="宋体" w:hAnsi="宋体" w:cs="宋体"/>
          <w:szCs w:val="21"/>
          <w:u w:val="single"/>
        </w:rPr>
        <w:t>招</w:t>
      </w:r>
      <w:r>
        <w:rPr>
          <w:rFonts w:hint="eastAsia" w:ascii="宋体" w:hAnsi="宋体" w:cs="宋体"/>
          <w:spacing w:val="-2"/>
          <w:szCs w:val="21"/>
          <w:u w:val="single"/>
        </w:rPr>
        <w:t>标</w:t>
      </w:r>
      <w:r>
        <w:rPr>
          <w:rFonts w:hint="eastAsia" w:ascii="宋体" w:hAnsi="宋体" w:cs="宋体"/>
          <w:szCs w:val="21"/>
          <w:u w:val="single"/>
        </w:rPr>
        <w:t>投标</w:t>
      </w:r>
      <w:r>
        <w:rPr>
          <w:rFonts w:hint="eastAsia" w:ascii="宋体" w:hAnsi="宋体" w:cs="宋体"/>
          <w:spacing w:val="-2"/>
          <w:szCs w:val="21"/>
          <w:u w:val="single"/>
        </w:rPr>
        <w:t>交</w:t>
      </w:r>
      <w:r>
        <w:rPr>
          <w:rFonts w:hint="eastAsia" w:ascii="宋体" w:hAnsi="宋体" w:cs="宋体"/>
          <w:szCs w:val="21"/>
          <w:u w:val="single"/>
        </w:rPr>
        <w:t>易</w:t>
      </w:r>
      <w:r>
        <w:rPr>
          <w:rFonts w:hint="eastAsia" w:ascii="宋体" w:hAnsi="宋体" w:cs="宋体"/>
          <w:spacing w:val="-2"/>
          <w:szCs w:val="21"/>
          <w:u w:val="single"/>
        </w:rPr>
        <w:t>平</w:t>
      </w:r>
      <w:r>
        <w:rPr>
          <w:rFonts w:hint="eastAsia" w:ascii="宋体" w:hAnsi="宋体" w:cs="宋体"/>
          <w:szCs w:val="21"/>
          <w:u w:val="single"/>
        </w:rPr>
        <w:t>台</w:t>
      </w:r>
      <w:r>
        <w:rPr>
          <w:rFonts w:hint="eastAsia" w:ascii="宋体" w:hAnsi="宋体" w:cs="宋体"/>
          <w:spacing w:val="-2"/>
          <w:szCs w:val="21"/>
          <w:u w:val="single"/>
        </w:rPr>
        <w:t>收</w:t>
      </w:r>
      <w:r>
        <w:rPr>
          <w:rFonts w:hint="eastAsia" w:ascii="宋体" w:hAnsi="宋体" w:cs="宋体"/>
          <w:szCs w:val="21"/>
          <w:u w:val="single"/>
        </w:rPr>
        <w:t>到</w:t>
      </w:r>
      <w:r>
        <w:rPr>
          <w:rFonts w:hint="eastAsia" w:ascii="宋体" w:hAnsi="宋体" w:cs="宋体"/>
          <w:spacing w:val="-2"/>
          <w:szCs w:val="21"/>
          <w:u w:val="single"/>
        </w:rPr>
        <w:t>通</w:t>
      </w:r>
      <w:r>
        <w:rPr>
          <w:rFonts w:hint="eastAsia" w:ascii="宋体" w:hAnsi="宋体" w:cs="宋体"/>
          <w:szCs w:val="21"/>
          <w:u w:val="single"/>
        </w:rPr>
        <w:t>知</w:t>
      </w:r>
      <w:r>
        <w:rPr>
          <w:rFonts w:hint="eastAsia" w:ascii="宋体" w:hAnsi="宋体" w:cs="宋体"/>
          <w:spacing w:val="-2"/>
          <w:szCs w:val="21"/>
          <w:u w:val="single"/>
        </w:rPr>
        <w:t>后</w:t>
      </w:r>
      <w:r>
        <w:rPr>
          <w:rFonts w:hint="eastAsia" w:ascii="宋体" w:hAnsi="宋体" w:cs="宋体"/>
          <w:szCs w:val="21"/>
          <w:u w:val="single"/>
        </w:rPr>
        <w:t>，即</w:t>
      </w:r>
      <w:r>
        <w:rPr>
          <w:rFonts w:hint="eastAsia" w:ascii="宋体" w:hAnsi="宋体" w:cs="宋体"/>
          <w:spacing w:val="-2"/>
          <w:szCs w:val="21"/>
          <w:u w:val="single"/>
        </w:rPr>
        <w:t>时</w:t>
      </w:r>
      <w:r>
        <w:rPr>
          <w:rFonts w:hint="eastAsia" w:ascii="宋体" w:hAnsi="宋体" w:cs="宋体"/>
          <w:szCs w:val="21"/>
          <w:u w:val="single"/>
        </w:rPr>
        <w:t>向</w:t>
      </w:r>
      <w:r>
        <w:rPr>
          <w:rFonts w:hint="eastAsia" w:ascii="宋体" w:hAnsi="宋体" w:cs="宋体"/>
          <w:spacing w:val="-2"/>
          <w:szCs w:val="21"/>
          <w:u w:val="single"/>
        </w:rPr>
        <w:t>投</w:t>
      </w:r>
      <w:r>
        <w:rPr>
          <w:rFonts w:hint="eastAsia" w:ascii="宋体" w:hAnsi="宋体" w:cs="宋体"/>
          <w:szCs w:val="21"/>
          <w:u w:val="single"/>
        </w:rPr>
        <w:t>标</w:t>
      </w:r>
      <w:r>
        <w:rPr>
          <w:rFonts w:hint="eastAsia" w:ascii="宋体" w:hAnsi="宋体" w:cs="宋体"/>
          <w:spacing w:val="-2"/>
          <w:szCs w:val="21"/>
          <w:u w:val="single"/>
        </w:rPr>
        <w:t>人</w:t>
      </w:r>
      <w:r>
        <w:rPr>
          <w:rFonts w:hint="eastAsia" w:ascii="宋体" w:hAnsi="宋体" w:cs="宋体"/>
          <w:szCs w:val="21"/>
          <w:u w:val="single"/>
        </w:rPr>
        <w:t>发</w:t>
      </w:r>
      <w:r>
        <w:rPr>
          <w:rFonts w:hint="eastAsia" w:ascii="宋体" w:hAnsi="宋体" w:cs="宋体"/>
          <w:spacing w:val="-2"/>
          <w:szCs w:val="21"/>
          <w:u w:val="single"/>
        </w:rPr>
        <w:t>出</w:t>
      </w:r>
      <w:r>
        <w:rPr>
          <w:rFonts w:hint="eastAsia" w:ascii="宋体" w:hAnsi="宋体" w:cs="宋体"/>
          <w:szCs w:val="21"/>
          <w:u w:val="single"/>
        </w:rPr>
        <w:t>确</w:t>
      </w:r>
      <w:r>
        <w:rPr>
          <w:rFonts w:hint="eastAsia" w:ascii="宋体" w:hAnsi="宋体" w:cs="宋体"/>
          <w:spacing w:val="-2"/>
          <w:szCs w:val="21"/>
          <w:u w:val="single"/>
        </w:rPr>
        <w:t>认</w:t>
      </w:r>
      <w:r>
        <w:rPr>
          <w:rFonts w:hint="eastAsia" w:ascii="宋体" w:hAnsi="宋体" w:cs="宋体"/>
          <w:szCs w:val="21"/>
          <w:u w:val="single"/>
        </w:rPr>
        <w:t>回执</w:t>
      </w:r>
      <w:r>
        <w:rPr>
          <w:rFonts w:hint="eastAsia" w:ascii="宋体" w:hAnsi="宋体" w:cs="宋体"/>
          <w:spacing w:val="-2"/>
          <w:szCs w:val="21"/>
          <w:u w:val="single"/>
        </w:rPr>
        <w:t>通</w:t>
      </w:r>
      <w:r>
        <w:rPr>
          <w:rFonts w:hint="eastAsia" w:ascii="宋体" w:hAnsi="宋体" w:cs="宋体"/>
          <w:szCs w:val="21"/>
          <w:u w:val="single"/>
        </w:rPr>
        <w:t>知</w:t>
      </w:r>
      <w:r>
        <w:rPr>
          <w:rFonts w:hint="eastAsia" w:ascii="宋体" w:hAnsi="宋体" w:cs="宋体"/>
        </w:rPr>
        <w:t>。</w:t>
      </w:r>
    </w:p>
    <w:p w14:paraId="5B050AE1">
      <w:pPr>
        <w:spacing w:line="400" w:lineRule="exact"/>
        <w:ind w:firstLine="420" w:firstLineChars="200"/>
        <w:rPr>
          <w:rFonts w:hint="eastAsia" w:ascii="宋体" w:hAnsi="宋体" w:cs="宋体"/>
        </w:rPr>
      </w:pPr>
      <w:r>
        <w:rPr>
          <w:rFonts w:hint="eastAsia" w:ascii="宋体" w:hAnsi="宋体" w:cs="宋体"/>
        </w:rPr>
        <w:t>4.3.3 投标人撤回投标文件的，招标人自收到投标人书面撤回通知之日起5日内退还已收取的投标保证金。</w:t>
      </w:r>
    </w:p>
    <w:p w14:paraId="2F9A58B9">
      <w:pPr>
        <w:spacing w:line="400" w:lineRule="exact"/>
        <w:ind w:firstLine="420" w:firstLineChars="200"/>
        <w:rPr>
          <w:rFonts w:hint="eastAsia" w:ascii="宋体" w:hAnsi="宋体" w:cs="宋体"/>
        </w:rPr>
      </w:pPr>
      <w:r>
        <w:rPr>
          <w:rFonts w:hint="eastAsia" w:ascii="宋体" w:hAnsi="宋体" w:cs="宋体"/>
        </w:rPr>
        <w:t>4.3.4 修改的内容为投标文件的组成部分。修改的投标文件应按照本章第3条、第4条规定进行编制、密封、标记和递交，并标明“修改”字样。</w:t>
      </w:r>
    </w:p>
    <w:p w14:paraId="50731A86">
      <w:pPr>
        <w:pStyle w:val="2"/>
      </w:pPr>
      <w:bookmarkStart w:id="282" w:name="_Toc247527584"/>
      <w:bookmarkStart w:id="283" w:name="_Toc152045559"/>
      <w:bookmarkStart w:id="284" w:name="_Toc134304552"/>
      <w:bookmarkStart w:id="285" w:name="_Toc6688"/>
      <w:bookmarkStart w:id="286" w:name="_Toc247513983"/>
      <w:bookmarkStart w:id="287" w:name="_Toc152042335"/>
      <w:bookmarkStart w:id="288" w:name="_Toc144974527"/>
      <w:r>
        <w:rPr>
          <w:rFonts w:hint="eastAsia"/>
        </w:rPr>
        <w:t>5. 开标</w:t>
      </w:r>
      <w:bookmarkEnd w:id="282"/>
      <w:bookmarkEnd w:id="283"/>
      <w:bookmarkEnd w:id="284"/>
      <w:bookmarkEnd w:id="285"/>
      <w:bookmarkEnd w:id="286"/>
      <w:bookmarkEnd w:id="287"/>
      <w:bookmarkEnd w:id="288"/>
    </w:p>
    <w:p w14:paraId="62A55E3C">
      <w:pPr>
        <w:pStyle w:val="4"/>
        <w:rPr>
          <w:rFonts w:hint="eastAsia"/>
        </w:rPr>
      </w:pPr>
      <w:bookmarkStart w:id="289" w:name="_Toc152045560"/>
      <w:bookmarkStart w:id="290" w:name="_Toc247513984"/>
      <w:bookmarkStart w:id="291" w:name="_Toc134304553"/>
      <w:bookmarkStart w:id="292" w:name="_Toc152042336"/>
      <w:bookmarkStart w:id="293" w:name="_Toc87238921"/>
      <w:bookmarkStart w:id="294" w:name="_Toc247527585"/>
      <w:bookmarkStart w:id="295" w:name="_Toc144974528"/>
      <w:bookmarkStart w:id="296" w:name="_Toc16458"/>
      <w:r>
        <w:rPr>
          <w:rFonts w:hint="eastAsia"/>
        </w:rPr>
        <w:t>5.1 开标时间和地点</w:t>
      </w:r>
      <w:bookmarkEnd w:id="289"/>
      <w:bookmarkEnd w:id="290"/>
      <w:bookmarkEnd w:id="291"/>
      <w:bookmarkEnd w:id="292"/>
      <w:bookmarkEnd w:id="293"/>
      <w:bookmarkEnd w:id="294"/>
      <w:bookmarkEnd w:id="295"/>
      <w:bookmarkEnd w:id="296"/>
    </w:p>
    <w:p w14:paraId="4D79EB96">
      <w:pPr>
        <w:spacing w:line="400" w:lineRule="exact"/>
        <w:ind w:firstLine="420" w:firstLineChars="200"/>
        <w:rPr>
          <w:rFonts w:hint="eastAsia" w:ascii="宋体" w:hAnsi="宋体" w:cs="宋体"/>
        </w:rPr>
      </w:pPr>
      <w:r>
        <w:rPr>
          <w:rFonts w:hint="eastAsia" w:ascii="宋体" w:hAnsi="宋体" w:cs="宋体"/>
        </w:rPr>
        <w:t>招标人在本章第2.2.2项规定的投标截止时间（开标时间）和投标人须知前附表规定的地点公开开标，并邀请所有投标人的法定代表人或其委托代理人准时参加。</w:t>
      </w:r>
    </w:p>
    <w:p w14:paraId="2C537DFB">
      <w:pPr>
        <w:pStyle w:val="4"/>
        <w:rPr>
          <w:rFonts w:hint="eastAsia"/>
        </w:rPr>
      </w:pPr>
      <w:bookmarkStart w:id="297" w:name="_Toc144974529"/>
      <w:bookmarkStart w:id="298" w:name="_Toc87238922"/>
      <w:bookmarkStart w:id="299" w:name="_Toc152045561"/>
      <w:bookmarkStart w:id="300" w:name="_Toc134304554"/>
      <w:bookmarkStart w:id="301" w:name="_Toc247513985"/>
      <w:bookmarkStart w:id="302" w:name="_Toc152042337"/>
      <w:bookmarkStart w:id="303" w:name="_Toc19643"/>
      <w:bookmarkStart w:id="304" w:name="_Toc247527586"/>
      <w:r>
        <w:rPr>
          <w:rFonts w:hint="eastAsia"/>
        </w:rPr>
        <w:t>5.2 开标程序</w:t>
      </w:r>
      <w:bookmarkEnd w:id="297"/>
      <w:bookmarkEnd w:id="298"/>
      <w:bookmarkEnd w:id="299"/>
      <w:bookmarkEnd w:id="300"/>
      <w:bookmarkEnd w:id="301"/>
      <w:bookmarkEnd w:id="302"/>
      <w:bookmarkEnd w:id="303"/>
      <w:bookmarkEnd w:id="304"/>
    </w:p>
    <w:p w14:paraId="52139FEF">
      <w:pPr>
        <w:snapToGrid w:val="0"/>
        <w:spacing w:line="360" w:lineRule="auto"/>
        <w:ind w:firstLine="420" w:firstLineChars="200"/>
        <w:rPr>
          <w:rFonts w:hint="eastAsia" w:ascii="宋体" w:hAnsi="宋体" w:cs="新宋体"/>
          <w:szCs w:val="21"/>
          <w:u w:val="single"/>
        </w:rPr>
      </w:pPr>
      <w:bookmarkStart w:id="305" w:name="_Toc27275"/>
      <w:r>
        <w:rPr>
          <w:rFonts w:hint="eastAsia" w:ascii="宋体" w:hAnsi="宋体" w:cs="新宋体"/>
          <w:szCs w:val="21"/>
          <w:u w:val="single"/>
        </w:rPr>
        <w:t>主持人按下列程序进行开标：</w:t>
      </w:r>
    </w:p>
    <w:p w14:paraId="4AF8DCD3">
      <w:pPr>
        <w:snapToGrid w:val="0"/>
        <w:spacing w:line="360" w:lineRule="auto"/>
        <w:ind w:firstLine="420" w:firstLineChars="200"/>
        <w:rPr>
          <w:rFonts w:hint="eastAsia" w:ascii="宋体" w:hAnsi="宋体" w:cs="新宋体"/>
          <w:szCs w:val="21"/>
          <w:u w:val="single"/>
        </w:rPr>
      </w:pPr>
      <w:r>
        <w:rPr>
          <w:rFonts w:hint="eastAsia" w:ascii="宋体" w:hAnsi="宋体" w:cs="新宋体"/>
          <w:szCs w:val="21"/>
          <w:u w:val="single"/>
        </w:rPr>
        <w:t>（1）宣布开标纪律；</w:t>
      </w:r>
    </w:p>
    <w:p w14:paraId="3AB3ABD2">
      <w:pPr>
        <w:snapToGrid w:val="0"/>
        <w:spacing w:line="360" w:lineRule="auto"/>
        <w:ind w:firstLine="420" w:firstLineChars="200"/>
        <w:rPr>
          <w:rFonts w:hint="eastAsia" w:ascii="宋体" w:hAnsi="宋体" w:cs="新宋体"/>
          <w:szCs w:val="21"/>
          <w:u w:val="single"/>
        </w:rPr>
      </w:pPr>
      <w:r>
        <w:rPr>
          <w:rFonts w:hint="eastAsia" w:ascii="宋体" w:hAnsi="宋体" w:cs="新宋体"/>
          <w:szCs w:val="21"/>
          <w:u w:val="single"/>
        </w:rPr>
        <w:t>（2）公布在投标截止时间前递交投标文件的投标人名称；</w:t>
      </w:r>
    </w:p>
    <w:p w14:paraId="5BDED49B">
      <w:pPr>
        <w:snapToGrid w:val="0"/>
        <w:spacing w:line="360" w:lineRule="auto"/>
        <w:ind w:firstLine="420" w:firstLineChars="200"/>
        <w:rPr>
          <w:rFonts w:hint="eastAsia" w:ascii="宋体" w:hAnsi="宋体" w:cs="新宋体"/>
          <w:szCs w:val="21"/>
          <w:u w:val="single"/>
        </w:rPr>
      </w:pPr>
      <w:r>
        <w:rPr>
          <w:rFonts w:hint="eastAsia" w:ascii="宋体" w:hAnsi="宋体" w:cs="新宋体"/>
          <w:szCs w:val="21"/>
          <w:u w:val="single"/>
        </w:rPr>
        <w:t>（3）在投标截止时间后一小时内，投标人通过递交投标文件的交易平台对已递交的电子投标文件进行解密。投标人完成解密后，再由招标人进行解密（投标人只用执行一次解密，招标人执行解密次数根据招标文件开标次数确定）。</w:t>
      </w:r>
    </w:p>
    <w:p w14:paraId="0A3E348B">
      <w:pPr>
        <w:snapToGrid w:val="0"/>
        <w:spacing w:line="360" w:lineRule="auto"/>
        <w:ind w:firstLine="420" w:firstLineChars="200"/>
        <w:rPr>
          <w:rFonts w:hint="eastAsia" w:ascii="宋体" w:hAnsi="宋体" w:cs="新宋体"/>
          <w:szCs w:val="21"/>
          <w:u w:val="single"/>
        </w:rPr>
      </w:pPr>
      <w:r>
        <w:rPr>
          <w:rFonts w:hint="eastAsia" w:ascii="宋体" w:hAnsi="宋体" w:cs="新宋体"/>
          <w:szCs w:val="21"/>
          <w:u w:val="single"/>
        </w:rPr>
        <w:t>（4）解密完成后，公布：a投标人名称；b投标文件递交情况；c投标文件解密情况；d投标担保递交情况；e项目负责人（兼施工负责人）、设计负责人、</w:t>
      </w:r>
      <w:r>
        <w:rPr>
          <w:rFonts w:hint="eastAsia" w:ascii="宋体" w:hAnsi="宋体" w:cs="新宋体"/>
          <w:strike/>
          <w:szCs w:val="21"/>
          <w:u w:val="single"/>
        </w:rPr>
        <w:t>施工负责人、</w:t>
      </w:r>
      <w:r>
        <w:rPr>
          <w:rFonts w:hint="eastAsia" w:ascii="宋体" w:hAnsi="宋体" w:cs="新宋体"/>
          <w:szCs w:val="21"/>
          <w:u w:val="single"/>
        </w:rPr>
        <w:t>专职安全员；f投标报价（含设计报价和施工报价）；g工期；h质量标准；i投标人的加密打包投标文件电脑机器特征码等主要内容，并记录在案。未在规定时间内解密的投标文件不参与开标、评标。</w:t>
      </w:r>
    </w:p>
    <w:p w14:paraId="3AB74C8E">
      <w:pPr>
        <w:snapToGrid w:val="0"/>
        <w:spacing w:line="360" w:lineRule="auto"/>
        <w:ind w:firstLine="420" w:firstLineChars="200"/>
        <w:rPr>
          <w:rFonts w:hint="eastAsia" w:ascii="宋体" w:hAnsi="宋体" w:cs="新宋体"/>
          <w:szCs w:val="21"/>
          <w:u w:val="single"/>
        </w:rPr>
      </w:pPr>
      <w:r>
        <w:rPr>
          <w:rFonts w:hint="eastAsia" w:ascii="宋体" w:hAnsi="宋体" w:cs="新宋体"/>
          <w:szCs w:val="21"/>
          <w:u w:val="single"/>
        </w:rPr>
        <w:t>（5）截标后，开标开始时间因故推迟的，相关评标信息仍以原定的开标开始时间的信息为准。</w:t>
      </w:r>
    </w:p>
    <w:p w14:paraId="51CC325C">
      <w:pPr>
        <w:snapToGrid w:val="0"/>
        <w:spacing w:line="360" w:lineRule="auto"/>
        <w:ind w:firstLine="420" w:firstLineChars="200"/>
        <w:rPr>
          <w:rFonts w:hint="eastAsia" w:ascii="宋体" w:hAnsi="宋体" w:cs="新宋体"/>
          <w:szCs w:val="21"/>
          <w:u w:val="single"/>
        </w:rPr>
      </w:pPr>
      <w:r>
        <w:rPr>
          <w:rFonts w:hint="eastAsia" w:ascii="宋体" w:hAnsi="宋体" w:cs="新宋体"/>
          <w:szCs w:val="21"/>
          <w:u w:val="single"/>
        </w:rPr>
        <w:t>（6）备用光盘的读取按“10 电子招标投标”第6点的规定执行。</w:t>
      </w:r>
    </w:p>
    <w:p w14:paraId="298A6191">
      <w:pPr>
        <w:snapToGrid w:val="0"/>
        <w:spacing w:line="360" w:lineRule="auto"/>
        <w:ind w:firstLine="420" w:firstLineChars="200"/>
        <w:rPr>
          <w:rFonts w:hint="eastAsia" w:ascii="宋体" w:hAnsi="宋体" w:cs="新宋体"/>
          <w:szCs w:val="21"/>
          <w:u w:val="single"/>
        </w:rPr>
      </w:pPr>
      <w:r>
        <w:rPr>
          <w:rFonts w:hint="eastAsia" w:ascii="宋体" w:hAnsi="宋体" w:cs="新宋体"/>
          <w:szCs w:val="21"/>
          <w:u w:val="single"/>
        </w:rPr>
        <w:t>（7）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4CC5919B">
      <w:pPr>
        <w:snapToGrid w:val="0"/>
        <w:spacing w:line="360" w:lineRule="auto"/>
        <w:ind w:firstLine="420" w:firstLineChars="200"/>
        <w:rPr>
          <w:rFonts w:hint="eastAsia" w:ascii="宋体" w:hAnsi="宋体" w:cs="新宋体"/>
          <w:szCs w:val="21"/>
          <w:u w:val="single"/>
        </w:rPr>
      </w:pPr>
      <w:r>
        <w:rPr>
          <w:rFonts w:hint="eastAsia" w:ascii="宋体" w:hAnsi="宋体" w:cs="新宋体"/>
          <w:szCs w:val="21"/>
          <w:u w:val="single"/>
        </w:rPr>
        <w:t>（8）参加现场开标的投标人对开标结果有异议的，应当在开标现场提出，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444D52E3">
      <w:pPr>
        <w:snapToGrid w:val="0"/>
        <w:spacing w:line="360" w:lineRule="auto"/>
        <w:ind w:firstLine="420" w:firstLineChars="200"/>
        <w:rPr>
          <w:rFonts w:hint="eastAsia" w:ascii="宋体" w:hAnsi="宋体" w:cs="新宋体"/>
          <w:szCs w:val="21"/>
          <w:u w:val="single"/>
        </w:rPr>
      </w:pPr>
      <w:r>
        <w:rPr>
          <w:rFonts w:hint="eastAsia" w:ascii="宋体" w:hAnsi="宋体" w:cs="新宋体"/>
          <w:szCs w:val="21"/>
          <w:u w:val="single"/>
        </w:rPr>
        <w:t>（9）投标人未参加开标或在规定的时间内未提出异议的，视为对开标无异议。</w:t>
      </w:r>
    </w:p>
    <w:p w14:paraId="07313FBB">
      <w:pPr>
        <w:snapToGrid w:val="0"/>
        <w:spacing w:line="360" w:lineRule="auto"/>
        <w:ind w:firstLine="420" w:firstLineChars="200"/>
        <w:rPr>
          <w:rFonts w:hint="eastAsia" w:ascii="宋体" w:hAnsi="宋体" w:cs="新宋体"/>
          <w:szCs w:val="21"/>
          <w:u w:val="single"/>
        </w:rPr>
      </w:pPr>
      <w:r>
        <w:rPr>
          <w:rFonts w:hint="eastAsia" w:ascii="宋体" w:hAnsi="宋体" w:cs="新宋体"/>
          <w:szCs w:val="21"/>
          <w:u w:val="single"/>
        </w:rPr>
        <w:t>（10）开标时，两个（含两个）以上的投标人加密打包投标文件电脑机器特征码一致的，不参与下一程序，并由评标委员会否决其投标。</w:t>
      </w:r>
    </w:p>
    <w:p w14:paraId="0C6B16D3">
      <w:pPr>
        <w:snapToGrid w:val="0"/>
        <w:spacing w:line="360" w:lineRule="auto"/>
        <w:ind w:firstLine="420" w:firstLineChars="200"/>
        <w:rPr>
          <w:rFonts w:hint="eastAsia" w:ascii="宋体" w:hAnsi="宋体" w:cs="新宋体"/>
          <w:szCs w:val="21"/>
          <w:u w:val="single"/>
        </w:rPr>
      </w:pPr>
      <w:r>
        <w:rPr>
          <w:rFonts w:hint="eastAsia" w:ascii="宋体" w:hAnsi="宋体" w:cs="新宋体"/>
          <w:szCs w:val="21"/>
          <w:u w:val="single"/>
        </w:rPr>
        <w:t>（11）投标文件（设计方案）开标时不得开启，在评标时由交易平台随机编号后开启，交由评标委员会进行评审。编号所对应的投标人在设计方案评审结束前不得告知评标委员会、交易平台工作人员、招标人或招标代理机构。</w:t>
      </w:r>
    </w:p>
    <w:p w14:paraId="4418340F">
      <w:pPr>
        <w:snapToGrid w:val="0"/>
        <w:spacing w:line="360" w:lineRule="auto"/>
        <w:ind w:firstLine="420" w:firstLineChars="200"/>
        <w:rPr>
          <w:rFonts w:hint="eastAsia" w:ascii="宋体" w:hAnsi="宋体" w:cs="新宋体"/>
          <w:szCs w:val="21"/>
          <w:u w:val="single"/>
        </w:rPr>
      </w:pPr>
      <w:r>
        <w:rPr>
          <w:rFonts w:hint="eastAsia" w:ascii="宋体" w:hAnsi="宋体" w:cs="新宋体"/>
          <w:szCs w:val="21"/>
          <w:u w:val="single"/>
        </w:rPr>
        <w:t>（12）投标人代表、招标人代表、监标人、记录人等有关人员在开标记录上签字确认；若有关人员不签字的，不影响开标程序；</w:t>
      </w:r>
    </w:p>
    <w:p w14:paraId="277E426A">
      <w:pPr>
        <w:snapToGrid w:val="0"/>
        <w:spacing w:line="360" w:lineRule="auto"/>
        <w:ind w:firstLine="420" w:firstLineChars="200"/>
        <w:rPr>
          <w:rFonts w:hint="eastAsia" w:ascii="宋体" w:hAnsi="宋体" w:cs="新宋体"/>
          <w:szCs w:val="21"/>
          <w:u w:val="single"/>
        </w:rPr>
      </w:pPr>
      <w:r>
        <w:rPr>
          <w:rFonts w:hint="eastAsia" w:ascii="宋体" w:hAnsi="宋体" w:cs="新宋体"/>
          <w:szCs w:val="21"/>
          <w:u w:val="single"/>
        </w:rPr>
        <w:t>（13）开标结束。</w:t>
      </w:r>
    </w:p>
    <w:p w14:paraId="0105DB14">
      <w:pPr>
        <w:pStyle w:val="4"/>
        <w:rPr>
          <w:rFonts w:hint="eastAsia"/>
        </w:rPr>
      </w:pPr>
      <w:bookmarkStart w:id="306" w:name="_Toc134304555"/>
      <w:bookmarkStart w:id="307" w:name="_Toc87238923"/>
      <w:r>
        <w:rPr>
          <w:rFonts w:hint="eastAsia"/>
        </w:rPr>
        <w:t>5.3 开标异议</w:t>
      </w:r>
      <w:bookmarkEnd w:id="305"/>
      <w:bookmarkEnd w:id="306"/>
      <w:bookmarkEnd w:id="307"/>
    </w:p>
    <w:p w14:paraId="38A014D1">
      <w:pPr>
        <w:spacing w:line="400" w:lineRule="exact"/>
        <w:ind w:firstLine="359" w:firstLineChars="171"/>
        <w:rPr>
          <w:rFonts w:hint="eastAsia" w:ascii="宋体" w:hAnsi="宋体" w:cs="宋体"/>
        </w:rPr>
      </w:pPr>
      <w:r>
        <w:rPr>
          <w:rFonts w:hint="eastAsia" w:ascii="宋体" w:hAnsi="宋体" w:cs="宋体"/>
        </w:rPr>
        <w:t>投标人对开标有异议的</w:t>
      </w:r>
      <w:bookmarkStart w:id="308" w:name="_Toc152045562"/>
      <w:bookmarkStart w:id="309" w:name="_Toc247513986"/>
      <w:bookmarkStart w:id="310" w:name="_Toc152042338"/>
      <w:bookmarkStart w:id="311" w:name="_Toc18405"/>
      <w:bookmarkStart w:id="312" w:name="_Toc144974530"/>
      <w:bookmarkStart w:id="313" w:name="_Toc247527587"/>
      <w:r>
        <w:rPr>
          <w:rFonts w:hint="eastAsia" w:ascii="宋体" w:hAnsi="宋体" w:cs="宋体"/>
        </w:rPr>
        <w:t>：</w:t>
      </w:r>
      <w:r>
        <w:rPr>
          <w:rFonts w:hint="eastAsia" w:ascii="宋体" w:hAnsi="宋体" w:cs="新宋体"/>
          <w:szCs w:val="21"/>
          <w:u w:val="single"/>
        </w:rPr>
        <w:t>参加现场开标的投标人对开标结果有异议的，应当在开标现场提出，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7E016A93">
      <w:pPr>
        <w:pStyle w:val="2"/>
      </w:pPr>
      <w:bookmarkStart w:id="314" w:name="_Toc134304556"/>
      <w:r>
        <w:rPr>
          <w:rFonts w:hint="eastAsia"/>
        </w:rPr>
        <w:t>6.评标</w:t>
      </w:r>
      <w:bookmarkEnd w:id="308"/>
      <w:bookmarkEnd w:id="309"/>
      <w:bookmarkEnd w:id="310"/>
      <w:bookmarkEnd w:id="311"/>
      <w:bookmarkEnd w:id="312"/>
      <w:bookmarkEnd w:id="313"/>
      <w:bookmarkEnd w:id="314"/>
      <w:bookmarkStart w:id="315" w:name="_Toc247527588"/>
      <w:bookmarkStart w:id="316" w:name="_Toc19178"/>
      <w:bookmarkStart w:id="317" w:name="_Toc152045563"/>
      <w:bookmarkStart w:id="318" w:name="_Toc144974531"/>
      <w:bookmarkStart w:id="319" w:name="_Toc152042339"/>
      <w:bookmarkStart w:id="320" w:name="_Toc247513987"/>
    </w:p>
    <w:p w14:paraId="39127786">
      <w:pPr>
        <w:pStyle w:val="4"/>
        <w:rPr>
          <w:rFonts w:hint="eastAsia"/>
        </w:rPr>
      </w:pPr>
      <w:bookmarkStart w:id="321" w:name="_Toc87238925"/>
      <w:bookmarkStart w:id="322" w:name="_Toc134304557"/>
      <w:r>
        <w:rPr>
          <w:rFonts w:hint="eastAsia"/>
        </w:rPr>
        <w:t>6.1 评标委员会</w:t>
      </w:r>
      <w:bookmarkEnd w:id="315"/>
      <w:bookmarkEnd w:id="316"/>
      <w:bookmarkEnd w:id="317"/>
      <w:bookmarkEnd w:id="318"/>
      <w:bookmarkEnd w:id="319"/>
      <w:bookmarkEnd w:id="320"/>
      <w:bookmarkEnd w:id="321"/>
      <w:bookmarkEnd w:id="322"/>
    </w:p>
    <w:p w14:paraId="4B47A99E">
      <w:pPr>
        <w:spacing w:line="400" w:lineRule="exact"/>
        <w:ind w:firstLine="420" w:firstLineChars="200"/>
        <w:rPr>
          <w:rFonts w:hint="eastAsia" w:ascii="宋体" w:hAnsi="宋体" w:cs="宋体"/>
          <w:szCs w:val="21"/>
        </w:rPr>
      </w:pPr>
      <w:r>
        <w:rPr>
          <w:rFonts w:hint="eastAsia" w:ascii="宋体" w:hAnsi="宋体" w:cs="宋体"/>
          <w:szCs w:val="21"/>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2929684B">
      <w:pPr>
        <w:spacing w:line="400" w:lineRule="exact"/>
        <w:ind w:firstLine="420" w:firstLineChars="200"/>
        <w:rPr>
          <w:rFonts w:hint="eastAsia" w:ascii="宋体" w:hAnsi="宋体" w:cs="宋体"/>
          <w:szCs w:val="21"/>
        </w:rPr>
      </w:pPr>
      <w:r>
        <w:rPr>
          <w:rFonts w:hint="eastAsia" w:ascii="宋体" w:hAnsi="宋体" w:cs="宋体"/>
          <w:szCs w:val="21"/>
        </w:rPr>
        <w:t>6.1.2 评标委员会成员有下列情形之一的，应当回避：</w:t>
      </w:r>
    </w:p>
    <w:p w14:paraId="3782C291">
      <w:pPr>
        <w:spacing w:line="400" w:lineRule="exact"/>
        <w:ind w:firstLine="718" w:firstLineChars="342"/>
        <w:rPr>
          <w:rFonts w:hint="eastAsia" w:ascii="宋体" w:hAnsi="宋体" w:cs="宋体"/>
          <w:szCs w:val="21"/>
        </w:rPr>
      </w:pPr>
      <w:r>
        <w:rPr>
          <w:rFonts w:hint="eastAsia" w:ascii="宋体" w:hAnsi="宋体" w:cs="宋体"/>
          <w:szCs w:val="21"/>
        </w:rPr>
        <w:t>（1）投标人或投标人主要负责人的近亲属；</w:t>
      </w:r>
    </w:p>
    <w:p w14:paraId="6199F8F8">
      <w:pPr>
        <w:spacing w:line="400" w:lineRule="exact"/>
        <w:ind w:firstLine="718" w:firstLineChars="342"/>
        <w:rPr>
          <w:rFonts w:hint="eastAsia" w:ascii="宋体" w:hAnsi="宋体" w:cs="宋体"/>
          <w:szCs w:val="21"/>
        </w:rPr>
      </w:pPr>
      <w:r>
        <w:rPr>
          <w:rFonts w:hint="eastAsia" w:ascii="宋体" w:hAnsi="宋体" w:cs="宋体"/>
          <w:szCs w:val="21"/>
        </w:rPr>
        <w:t>（2）项目主管部门或者行政监督部门的人员；</w:t>
      </w:r>
    </w:p>
    <w:p w14:paraId="08C390FA">
      <w:pPr>
        <w:spacing w:line="400" w:lineRule="exact"/>
        <w:ind w:firstLine="718" w:firstLineChars="342"/>
        <w:rPr>
          <w:rFonts w:hint="eastAsia" w:ascii="宋体" w:hAnsi="宋体" w:cs="宋体"/>
          <w:szCs w:val="21"/>
        </w:rPr>
      </w:pPr>
      <w:r>
        <w:rPr>
          <w:rFonts w:hint="eastAsia" w:ascii="宋体" w:hAnsi="宋体" w:cs="宋体"/>
          <w:szCs w:val="21"/>
        </w:rPr>
        <w:t>（3）与投标人有经济利益关系，可能影响对投标公正评审的；</w:t>
      </w:r>
    </w:p>
    <w:p w14:paraId="36BEBC38">
      <w:pPr>
        <w:spacing w:line="400" w:lineRule="exact"/>
        <w:ind w:firstLine="718" w:firstLineChars="342"/>
        <w:rPr>
          <w:rFonts w:hint="eastAsia" w:ascii="宋体" w:hAnsi="宋体" w:cs="宋体"/>
          <w:szCs w:val="21"/>
        </w:rPr>
      </w:pPr>
      <w:r>
        <w:rPr>
          <w:rFonts w:hint="eastAsia" w:ascii="宋体" w:hAnsi="宋体" w:cs="宋体"/>
          <w:szCs w:val="21"/>
        </w:rPr>
        <w:t>（4）曾因在招标、评标以及其他与招标投标有关活动中从事违法行为而受过行政处罚或刑事处罚的；</w:t>
      </w:r>
    </w:p>
    <w:p w14:paraId="4490C35B">
      <w:pPr>
        <w:spacing w:line="400" w:lineRule="exact"/>
        <w:ind w:firstLine="718" w:firstLineChars="342"/>
        <w:rPr>
          <w:rFonts w:hint="eastAsia" w:ascii="宋体" w:hAnsi="宋体" w:cs="宋体"/>
          <w:szCs w:val="21"/>
        </w:rPr>
      </w:pPr>
      <w:r>
        <w:rPr>
          <w:rFonts w:hint="eastAsia" w:ascii="宋体" w:hAnsi="宋体" w:cs="宋体"/>
          <w:szCs w:val="21"/>
        </w:rPr>
        <w:t>（5）与投标人有其他利害关系。</w:t>
      </w:r>
    </w:p>
    <w:p w14:paraId="1FE7BD6F">
      <w:pPr>
        <w:pStyle w:val="19"/>
        <w:ind w:firstLine="400"/>
        <w:rPr>
          <w:rFonts w:hint="eastAsia" w:ascii="宋体" w:hAnsi="宋体" w:cs="宋体"/>
          <w:sz w:val="21"/>
          <w:szCs w:val="21"/>
          <w:u w:val="single"/>
        </w:rPr>
      </w:pPr>
      <w:r>
        <w:rPr>
          <w:rFonts w:hint="eastAsia" w:ascii="宋体" w:hAnsi="宋体" w:cs="宋体"/>
          <w:sz w:val="21"/>
          <w:szCs w:val="21"/>
          <w:u w:val="single"/>
        </w:rPr>
        <w:t>6.1.3 评标过程中，评标委员会成员有回避事由、擅离职守或者因健康等原因不能继续评标的，招标人有权更换。被更换的评标委员会成员作出的评审结论无效，由更换后的评标委员会成员重新进行评审。</w:t>
      </w:r>
    </w:p>
    <w:p w14:paraId="5F6A1129">
      <w:pPr>
        <w:pStyle w:val="19"/>
        <w:ind w:firstLine="400"/>
        <w:rPr>
          <w:rFonts w:hint="eastAsia" w:ascii="宋体" w:hAnsi="宋体" w:cs="宋体"/>
          <w:sz w:val="21"/>
          <w:szCs w:val="21"/>
          <w:u w:val="single"/>
        </w:rPr>
      </w:pPr>
      <w:r>
        <w:rPr>
          <w:rFonts w:hint="eastAsia" w:ascii="宋体" w:hAnsi="宋体" w:cs="宋体"/>
          <w:sz w:val="21"/>
          <w:szCs w:val="21"/>
          <w:u w:val="single"/>
        </w:rPr>
        <w:t>6.1.4 评标委员会在开始评标前，应了解评标专家的职责及守则，认真阅读《评标委员会成员声明》的内容并签名，签字后方可进行评标。</w:t>
      </w:r>
    </w:p>
    <w:p w14:paraId="70F7DDD8">
      <w:pPr>
        <w:pStyle w:val="4"/>
        <w:rPr>
          <w:rFonts w:hint="eastAsia"/>
        </w:rPr>
      </w:pPr>
      <w:bookmarkStart w:id="323" w:name="_Toc247513988"/>
      <w:bookmarkStart w:id="324" w:name="_Toc29261"/>
      <w:bookmarkStart w:id="325" w:name="_Toc152042340"/>
      <w:bookmarkStart w:id="326" w:name="_Toc134304558"/>
      <w:bookmarkStart w:id="327" w:name="_Toc87238926"/>
      <w:bookmarkStart w:id="328" w:name="_Toc247527589"/>
      <w:bookmarkStart w:id="329" w:name="_Toc152045564"/>
      <w:bookmarkStart w:id="330" w:name="_Toc144974532"/>
      <w:r>
        <w:rPr>
          <w:rFonts w:hint="eastAsia"/>
        </w:rPr>
        <w:t>6.2 评标原则</w:t>
      </w:r>
      <w:bookmarkEnd w:id="323"/>
      <w:bookmarkEnd w:id="324"/>
      <w:bookmarkEnd w:id="325"/>
      <w:bookmarkEnd w:id="326"/>
      <w:bookmarkEnd w:id="327"/>
      <w:bookmarkEnd w:id="328"/>
      <w:bookmarkEnd w:id="329"/>
      <w:bookmarkEnd w:id="330"/>
    </w:p>
    <w:p w14:paraId="2241FA9D">
      <w:pPr>
        <w:spacing w:line="400" w:lineRule="exact"/>
        <w:ind w:firstLine="420" w:firstLineChars="200"/>
        <w:rPr>
          <w:rFonts w:hint="eastAsia" w:ascii="宋体" w:hAnsi="宋体" w:cs="宋体"/>
        </w:rPr>
      </w:pPr>
      <w:r>
        <w:rPr>
          <w:rFonts w:hint="eastAsia" w:ascii="宋体" w:hAnsi="宋体" w:cs="宋体"/>
        </w:rPr>
        <w:t>评标活动遵循公平、公正、科学和择优的原则。</w:t>
      </w:r>
    </w:p>
    <w:p w14:paraId="6B2FDC10">
      <w:pPr>
        <w:pStyle w:val="4"/>
        <w:rPr>
          <w:rFonts w:hint="eastAsia"/>
        </w:rPr>
      </w:pPr>
      <w:bookmarkStart w:id="331" w:name="_Toc247513989"/>
      <w:bookmarkStart w:id="332" w:name="_Toc152045565"/>
      <w:bookmarkStart w:id="333" w:name="_Toc144974533"/>
      <w:bookmarkStart w:id="334" w:name="_Toc247527590"/>
      <w:bookmarkStart w:id="335" w:name="_Toc152042341"/>
      <w:bookmarkStart w:id="336" w:name="_Toc9663"/>
      <w:bookmarkStart w:id="337" w:name="_Toc87238927"/>
      <w:bookmarkStart w:id="338" w:name="_Toc134304559"/>
      <w:r>
        <w:rPr>
          <w:rFonts w:hint="eastAsia"/>
        </w:rPr>
        <w:t>6.3 评标</w:t>
      </w:r>
      <w:bookmarkEnd w:id="331"/>
      <w:bookmarkEnd w:id="332"/>
      <w:bookmarkEnd w:id="333"/>
      <w:bookmarkEnd w:id="334"/>
      <w:bookmarkEnd w:id="335"/>
      <w:bookmarkEnd w:id="336"/>
      <w:bookmarkEnd w:id="337"/>
      <w:bookmarkEnd w:id="338"/>
    </w:p>
    <w:p w14:paraId="0D145529">
      <w:pPr>
        <w:spacing w:line="400" w:lineRule="exact"/>
        <w:ind w:firstLine="420" w:firstLineChars="200"/>
        <w:rPr>
          <w:rFonts w:hint="eastAsia" w:ascii="宋体" w:hAnsi="宋体" w:cs="宋体"/>
        </w:rPr>
      </w:pPr>
      <w:r>
        <w:rPr>
          <w:rFonts w:hint="eastAsia" w:ascii="宋体" w:hAnsi="宋体" w:cs="宋体"/>
        </w:rPr>
        <w:t>6.3.1评标委员会在开始评标前，应了解评标专家的职责及守则，认真阅读附件四《评标委员会成员声明》的内容并签名，签字后方可进行评标；</w:t>
      </w:r>
    </w:p>
    <w:p w14:paraId="56D5B296">
      <w:pPr>
        <w:spacing w:line="400" w:lineRule="exact"/>
        <w:ind w:firstLine="420" w:firstLineChars="200"/>
        <w:rPr>
          <w:rFonts w:hint="eastAsia" w:ascii="宋体" w:hAnsi="宋体" w:cs="宋体"/>
        </w:rPr>
      </w:pPr>
      <w:r>
        <w:rPr>
          <w:rFonts w:hint="eastAsia" w:ascii="宋体" w:hAnsi="宋体" w:cs="宋体"/>
        </w:rPr>
        <w:t>6.3.2 评标委员会按照第三章“评标办法”规定的方法、评审因素、标准和程序对投标文件进行评审。第三章“评标办法”没有规定的方法、评审因素和标准，不作为评标依据。</w:t>
      </w:r>
    </w:p>
    <w:p w14:paraId="4A220DBF">
      <w:pPr>
        <w:spacing w:line="400" w:lineRule="exact"/>
        <w:ind w:firstLine="420" w:firstLineChars="200"/>
        <w:rPr>
          <w:rFonts w:hint="eastAsia" w:ascii="宋体" w:hAnsi="宋体" w:cs="宋体"/>
        </w:rPr>
      </w:pPr>
      <w:r>
        <w:rPr>
          <w:rFonts w:hint="eastAsia" w:ascii="宋体" w:hAnsi="宋体" w:cs="宋体"/>
        </w:rPr>
        <w:t>6.3.3评委发现投标文件中含义不明确、对同类问题表述不一致、有明显文字和计算错误、投标报价可能低于成本影响履约的，应当要求投标人作必要的澄清、说明后再判定投标人是否通过审查，不得直接否决投标。</w:t>
      </w:r>
    </w:p>
    <w:p w14:paraId="6209E6A7">
      <w:pPr>
        <w:spacing w:line="400" w:lineRule="exact"/>
        <w:ind w:firstLine="420" w:firstLineChars="200"/>
        <w:rPr>
          <w:rFonts w:hint="eastAsia" w:ascii="宋体" w:hAnsi="宋体" w:cs="宋体"/>
        </w:rPr>
      </w:pPr>
      <w:r>
        <w:rPr>
          <w:rFonts w:hint="eastAsia" w:ascii="宋体" w:hAnsi="宋体" w:cs="宋体"/>
        </w:rPr>
        <w:t>6.3.4不得将文件顺序、明显的文字错误等列为否决投标的情形。评委发现资格审查文件中含义不明确、对同类问题表述不一致、有明显文字和计算错误的，应当要求投标人作必要的澄清、说明后再判定投标人是否通过审查，不得直接否决投标。</w:t>
      </w:r>
    </w:p>
    <w:p w14:paraId="2CBC9ECC">
      <w:pPr>
        <w:spacing w:line="400" w:lineRule="exact"/>
        <w:ind w:firstLine="420" w:firstLineChars="200"/>
        <w:rPr>
          <w:rFonts w:hint="eastAsia" w:ascii="宋体" w:hAnsi="宋体" w:cs="宋体"/>
          <w:u w:val="single"/>
        </w:rPr>
      </w:pPr>
      <w:r>
        <w:rPr>
          <w:rFonts w:hint="eastAsia" w:ascii="宋体" w:hAnsi="宋体" w:cs="宋体"/>
          <w:u w:val="single"/>
        </w:rPr>
        <w:t>6.3.5 评标完成后，评标委员会应当向招标人提交书面评标报告和中标候选人名单。评标委员会推荐中标候选人的人数见投标人须知前附表。</w:t>
      </w:r>
    </w:p>
    <w:p w14:paraId="575AC1BF">
      <w:pPr>
        <w:spacing w:line="400" w:lineRule="exact"/>
        <w:ind w:firstLine="420" w:firstLineChars="200"/>
        <w:rPr>
          <w:rFonts w:hint="eastAsia" w:ascii="宋体" w:hAnsi="宋体" w:cs="宋体"/>
        </w:rPr>
      </w:pPr>
    </w:p>
    <w:p w14:paraId="2D98D6E2">
      <w:pPr>
        <w:pStyle w:val="2"/>
      </w:pPr>
      <w:bookmarkStart w:id="339" w:name="_Toc247527591"/>
      <w:bookmarkStart w:id="340" w:name="_Toc247513990"/>
      <w:bookmarkStart w:id="341" w:name="_Toc152042342"/>
      <w:bookmarkStart w:id="342" w:name="_Toc144974534"/>
      <w:bookmarkStart w:id="343" w:name="_Toc152045566"/>
      <w:bookmarkStart w:id="344" w:name="_Toc134304560"/>
      <w:bookmarkStart w:id="345" w:name="_Toc7626"/>
      <w:r>
        <w:rPr>
          <w:rFonts w:hint="eastAsia"/>
        </w:rPr>
        <w:t>7. 合同授予</w:t>
      </w:r>
      <w:bookmarkEnd w:id="339"/>
      <w:bookmarkEnd w:id="340"/>
      <w:bookmarkEnd w:id="341"/>
      <w:bookmarkEnd w:id="342"/>
      <w:bookmarkEnd w:id="343"/>
      <w:bookmarkEnd w:id="344"/>
      <w:bookmarkEnd w:id="345"/>
    </w:p>
    <w:p w14:paraId="647E77E6">
      <w:pPr>
        <w:pStyle w:val="4"/>
        <w:rPr>
          <w:rFonts w:hint="eastAsia"/>
        </w:rPr>
      </w:pPr>
      <w:bookmarkStart w:id="346" w:name="_Toc4338"/>
      <w:bookmarkStart w:id="347" w:name="_Toc134304561"/>
      <w:bookmarkStart w:id="348" w:name="_Toc144974535"/>
      <w:bookmarkStart w:id="349" w:name="_Toc152042343"/>
      <w:bookmarkStart w:id="350" w:name="_Toc87238929"/>
      <w:bookmarkStart w:id="351" w:name="_Toc247513991"/>
      <w:bookmarkStart w:id="352" w:name="_Toc152045567"/>
      <w:bookmarkStart w:id="353" w:name="_Toc247527592"/>
      <w:r>
        <w:rPr>
          <w:rFonts w:hint="eastAsia"/>
        </w:rPr>
        <w:t>7.1 定标方式</w:t>
      </w:r>
      <w:bookmarkEnd w:id="346"/>
      <w:bookmarkEnd w:id="347"/>
      <w:bookmarkEnd w:id="348"/>
      <w:bookmarkEnd w:id="349"/>
      <w:bookmarkEnd w:id="350"/>
      <w:bookmarkEnd w:id="351"/>
      <w:bookmarkEnd w:id="352"/>
      <w:bookmarkEnd w:id="353"/>
    </w:p>
    <w:p w14:paraId="71FB8A71">
      <w:pPr>
        <w:spacing w:line="400" w:lineRule="exact"/>
        <w:ind w:firstLine="420" w:firstLineChars="200"/>
        <w:rPr>
          <w:rFonts w:hint="eastAsia" w:ascii="宋体" w:hAnsi="宋体" w:cs="宋体"/>
        </w:rPr>
      </w:pPr>
      <w:r>
        <w:rPr>
          <w:rFonts w:hint="eastAsia" w:ascii="宋体" w:hAnsi="宋体" w:cs="宋体"/>
        </w:rPr>
        <w:t>除投标人须知前附表规定评标委员会直接确定中标人外，招标人依据评标委员会推荐的中标候选人确定中标人，评标委员会推荐中标候选人的人数见投标人须知前附表。</w:t>
      </w:r>
    </w:p>
    <w:p w14:paraId="527B57B4">
      <w:pPr>
        <w:pStyle w:val="4"/>
        <w:rPr>
          <w:rFonts w:hint="eastAsia"/>
        </w:rPr>
      </w:pPr>
      <w:bookmarkStart w:id="354" w:name="_Toc11852"/>
      <w:bookmarkStart w:id="355" w:name="_Toc134304562"/>
      <w:bookmarkStart w:id="356" w:name="_Toc87238930"/>
      <w:r>
        <w:rPr>
          <w:rFonts w:hint="eastAsia"/>
        </w:rPr>
        <w:t>7.2 中标候选人公示</w:t>
      </w:r>
      <w:bookmarkEnd w:id="354"/>
      <w:bookmarkEnd w:id="355"/>
      <w:bookmarkEnd w:id="356"/>
    </w:p>
    <w:p w14:paraId="1BF76A6D">
      <w:pPr>
        <w:spacing w:line="400" w:lineRule="exact"/>
        <w:ind w:firstLine="420" w:firstLineChars="200"/>
        <w:rPr>
          <w:rFonts w:hint="eastAsia" w:ascii="宋体" w:hAnsi="宋体" w:cs="宋体"/>
        </w:rPr>
      </w:pPr>
      <w:r>
        <w:rPr>
          <w:rFonts w:hint="eastAsia" w:ascii="宋体" w:hAnsi="宋体" w:cs="宋体"/>
        </w:rPr>
        <w:t>招标人在投标人须知前附表规定的媒介公示中标候选人。</w:t>
      </w:r>
    </w:p>
    <w:p w14:paraId="5E759955">
      <w:pPr>
        <w:pStyle w:val="4"/>
        <w:rPr>
          <w:rFonts w:hint="eastAsia"/>
        </w:rPr>
      </w:pPr>
      <w:bookmarkStart w:id="357" w:name="_Toc6076"/>
      <w:bookmarkStart w:id="358" w:name="_Toc247513992"/>
      <w:bookmarkStart w:id="359" w:name="_Toc152042344"/>
      <w:bookmarkStart w:id="360" w:name="_Toc144974536"/>
      <w:bookmarkStart w:id="361" w:name="_Toc134304563"/>
      <w:bookmarkStart w:id="362" w:name="_Toc152045568"/>
      <w:bookmarkStart w:id="363" w:name="_Toc247527593"/>
      <w:bookmarkStart w:id="364" w:name="_Toc87238931"/>
      <w:r>
        <w:rPr>
          <w:rFonts w:hint="eastAsia"/>
        </w:rPr>
        <w:t>7.3 中标通知</w:t>
      </w:r>
      <w:bookmarkEnd w:id="357"/>
      <w:bookmarkEnd w:id="358"/>
      <w:bookmarkEnd w:id="359"/>
      <w:bookmarkEnd w:id="360"/>
      <w:bookmarkEnd w:id="361"/>
      <w:bookmarkEnd w:id="362"/>
      <w:bookmarkEnd w:id="363"/>
      <w:bookmarkEnd w:id="364"/>
    </w:p>
    <w:p w14:paraId="7EBF6A6D">
      <w:pPr>
        <w:spacing w:line="400" w:lineRule="exact"/>
        <w:ind w:firstLine="420" w:firstLineChars="200"/>
        <w:rPr>
          <w:rFonts w:hint="eastAsia" w:ascii="宋体" w:hAnsi="宋体" w:cs="宋体"/>
        </w:rPr>
      </w:pPr>
      <w:r>
        <w:rPr>
          <w:rFonts w:hint="eastAsia" w:ascii="宋体" w:hAnsi="宋体" w:cs="宋体"/>
        </w:rPr>
        <w:t>在本章第3.3款规定的投标有效期内，招标人以书面形式向中标人发出中标通知书，同时将中标结果通知未中标的投标人。中标通知书按本章附表格式填写。</w:t>
      </w:r>
    </w:p>
    <w:p w14:paraId="53420993">
      <w:pPr>
        <w:pStyle w:val="4"/>
        <w:rPr>
          <w:rFonts w:hint="eastAsia"/>
        </w:rPr>
      </w:pPr>
      <w:bookmarkStart w:id="365" w:name="_Toc247527594"/>
      <w:bookmarkStart w:id="366" w:name="_Toc134304564"/>
      <w:bookmarkStart w:id="367" w:name="_Toc247513993"/>
      <w:bookmarkStart w:id="368" w:name="_Toc25890"/>
      <w:bookmarkStart w:id="369" w:name="_Toc152042345"/>
      <w:bookmarkStart w:id="370" w:name="_Toc87238932"/>
      <w:bookmarkStart w:id="371" w:name="_Toc152045569"/>
      <w:bookmarkStart w:id="372" w:name="_Toc144974537"/>
      <w:r>
        <w:rPr>
          <w:rFonts w:hint="eastAsia"/>
        </w:rPr>
        <w:t>7.4 履约担保</w:t>
      </w:r>
      <w:bookmarkEnd w:id="365"/>
      <w:bookmarkEnd w:id="366"/>
      <w:bookmarkEnd w:id="367"/>
      <w:bookmarkEnd w:id="368"/>
      <w:bookmarkEnd w:id="369"/>
      <w:bookmarkEnd w:id="370"/>
      <w:bookmarkEnd w:id="371"/>
      <w:bookmarkEnd w:id="372"/>
    </w:p>
    <w:p w14:paraId="315CA61A">
      <w:pPr>
        <w:spacing w:line="400" w:lineRule="exact"/>
        <w:ind w:firstLine="420" w:firstLineChars="200"/>
        <w:rPr>
          <w:rFonts w:hint="eastAsia" w:ascii="宋体" w:hAnsi="宋体" w:cs="宋体"/>
        </w:rPr>
      </w:pPr>
      <w:r>
        <w:rPr>
          <w:rFonts w:hint="eastAsia" w:ascii="宋体" w:hAnsi="宋体" w:cs="宋体"/>
        </w:rPr>
        <w:t>7.4.1 在签订合同前，中标人应按投标人须知前附表规定的担保形式和招标文件第四章“合同条款及格式”规定的或者事先经过招标人书面认可的履约担保格式向招标人提交履约担保。除投标人须知前附表另有规定外，履约担保金额为中标合同金额的10%。联合体中标的，其履约担保由联合体各方或者联合体中主办人的名义提交。</w:t>
      </w:r>
    </w:p>
    <w:p w14:paraId="63775A92">
      <w:pPr>
        <w:spacing w:line="400" w:lineRule="exact"/>
        <w:ind w:firstLine="420" w:firstLineChars="200"/>
        <w:rPr>
          <w:rFonts w:hint="eastAsia" w:ascii="宋体" w:hAnsi="宋体" w:cs="宋体"/>
        </w:rPr>
      </w:pPr>
      <w:r>
        <w:rPr>
          <w:rFonts w:hint="eastAsia" w:ascii="宋体" w:hAnsi="宋体" w:cs="宋体"/>
        </w:rPr>
        <w:t>7.4.2 中标人不能按本章第7.4.1项要求提交履约担保的，视为放弃中标，其投标保证金不予退还，给招标人造成的损失超过投标保证金数额的，中标人还应当对超过部分予以赔偿。</w:t>
      </w:r>
    </w:p>
    <w:p w14:paraId="29D1B6AA">
      <w:pPr>
        <w:pStyle w:val="4"/>
        <w:rPr>
          <w:rFonts w:hint="eastAsia"/>
        </w:rPr>
      </w:pPr>
      <w:bookmarkStart w:id="373" w:name="_Toc13630"/>
      <w:bookmarkStart w:id="374" w:name="_Toc152042346"/>
      <w:bookmarkStart w:id="375" w:name="_Toc247527595"/>
      <w:bookmarkStart w:id="376" w:name="_Toc144974538"/>
      <w:bookmarkStart w:id="377" w:name="_Toc134304565"/>
      <w:bookmarkStart w:id="378" w:name="_Toc152045570"/>
      <w:bookmarkStart w:id="379" w:name="_Toc87238933"/>
      <w:bookmarkStart w:id="380" w:name="_Toc247513994"/>
      <w:r>
        <w:rPr>
          <w:rFonts w:hint="eastAsia"/>
        </w:rPr>
        <w:t>7.5 签订合同</w:t>
      </w:r>
      <w:bookmarkEnd w:id="373"/>
      <w:bookmarkEnd w:id="374"/>
      <w:bookmarkEnd w:id="375"/>
      <w:bookmarkEnd w:id="376"/>
      <w:bookmarkEnd w:id="377"/>
      <w:bookmarkEnd w:id="378"/>
      <w:bookmarkEnd w:id="379"/>
      <w:bookmarkEnd w:id="380"/>
    </w:p>
    <w:p w14:paraId="6CE4E77C">
      <w:pPr>
        <w:spacing w:line="400" w:lineRule="exact"/>
        <w:ind w:firstLine="420" w:firstLineChars="200"/>
        <w:rPr>
          <w:rFonts w:hint="eastAsia" w:ascii="宋体" w:hAnsi="宋体" w:cs="宋体"/>
        </w:rPr>
      </w:pPr>
      <w:r>
        <w:rPr>
          <w:rFonts w:hint="eastAsia" w:ascii="宋体" w:hAnsi="宋体" w:cs="宋体"/>
        </w:rPr>
        <w:t>7.5.1 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37410F78">
      <w:pPr>
        <w:spacing w:line="400" w:lineRule="exact"/>
        <w:ind w:firstLine="420" w:firstLineChars="200"/>
        <w:rPr>
          <w:rFonts w:hint="eastAsia" w:ascii="宋体" w:hAnsi="宋体" w:cs="宋体"/>
        </w:rPr>
      </w:pPr>
      <w:r>
        <w:rPr>
          <w:rFonts w:hint="eastAsia" w:ascii="宋体" w:hAnsi="宋体" w:cs="宋体"/>
        </w:rPr>
        <w:t>7.5.2 发出中标通知书后，招标人无正当理由拒签合同的，招标人向中标人退还投标保证金；给中标人造成损失的，还应当赔偿损失。</w:t>
      </w:r>
    </w:p>
    <w:p w14:paraId="570A00A1">
      <w:pPr>
        <w:pStyle w:val="2"/>
      </w:pPr>
      <w:bookmarkStart w:id="381" w:name="_Toc144974539"/>
      <w:bookmarkStart w:id="382" w:name="_Toc247527596"/>
      <w:bookmarkStart w:id="383" w:name="_Toc152045571"/>
      <w:bookmarkStart w:id="384" w:name="_Toc247513995"/>
      <w:bookmarkStart w:id="385" w:name="_Toc152042347"/>
      <w:bookmarkStart w:id="386" w:name="_Toc134304566"/>
      <w:bookmarkStart w:id="387" w:name="_Toc23477"/>
      <w:r>
        <w:rPr>
          <w:rFonts w:hint="eastAsia"/>
        </w:rPr>
        <w:t>8.</w:t>
      </w:r>
      <w:bookmarkEnd w:id="381"/>
      <w:bookmarkEnd w:id="382"/>
      <w:bookmarkEnd w:id="383"/>
      <w:bookmarkEnd w:id="384"/>
      <w:bookmarkEnd w:id="385"/>
      <w:bookmarkStart w:id="388" w:name="_Toc152042350"/>
      <w:bookmarkStart w:id="389" w:name="_Toc247513998"/>
      <w:bookmarkStart w:id="390" w:name="_Toc144974542"/>
      <w:bookmarkStart w:id="391" w:name="_Toc152045574"/>
      <w:bookmarkStart w:id="392" w:name="_Toc247527599"/>
      <w:r>
        <w:rPr>
          <w:rFonts w:hint="eastAsia"/>
        </w:rPr>
        <w:t xml:space="preserve"> 纪律和监督</w:t>
      </w:r>
      <w:bookmarkEnd w:id="386"/>
      <w:bookmarkEnd w:id="387"/>
      <w:bookmarkEnd w:id="388"/>
      <w:bookmarkEnd w:id="389"/>
      <w:bookmarkEnd w:id="390"/>
      <w:bookmarkEnd w:id="391"/>
      <w:bookmarkEnd w:id="392"/>
    </w:p>
    <w:p w14:paraId="34C32F30">
      <w:pPr>
        <w:pStyle w:val="4"/>
        <w:rPr>
          <w:rFonts w:hint="eastAsia"/>
        </w:rPr>
      </w:pPr>
      <w:bookmarkStart w:id="393" w:name="_Toc144974543"/>
      <w:bookmarkStart w:id="394" w:name="_Toc9436"/>
      <w:bookmarkStart w:id="395" w:name="_Toc134304567"/>
      <w:bookmarkStart w:id="396" w:name="_Toc152045575"/>
      <w:bookmarkStart w:id="397" w:name="_Toc247527600"/>
      <w:bookmarkStart w:id="398" w:name="_Toc247513999"/>
      <w:bookmarkStart w:id="399" w:name="_Toc152042351"/>
      <w:bookmarkStart w:id="400" w:name="_Toc87238935"/>
      <w:r>
        <w:rPr>
          <w:rFonts w:hint="eastAsia"/>
        </w:rPr>
        <w:t>8.1 对招标人的纪律要求</w:t>
      </w:r>
      <w:bookmarkEnd w:id="393"/>
      <w:bookmarkEnd w:id="394"/>
      <w:bookmarkEnd w:id="395"/>
      <w:bookmarkEnd w:id="396"/>
      <w:bookmarkEnd w:id="397"/>
      <w:bookmarkEnd w:id="398"/>
      <w:bookmarkEnd w:id="399"/>
      <w:bookmarkEnd w:id="400"/>
    </w:p>
    <w:p w14:paraId="07D0CDB7">
      <w:pPr>
        <w:spacing w:line="400" w:lineRule="exact"/>
        <w:ind w:firstLine="420" w:firstLineChars="200"/>
        <w:rPr>
          <w:rFonts w:hint="eastAsia" w:ascii="宋体" w:hAnsi="宋体" w:cs="宋体"/>
        </w:rPr>
      </w:pPr>
      <w:r>
        <w:rPr>
          <w:rFonts w:hint="eastAsia" w:ascii="宋体" w:hAnsi="宋体" w:cs="宋体"/>
        </w:rPr>
        <w:t>招标人不得泄漏招标投标活动中应当保密的情况和资料，不得与投标人串通损害国家利益、社会公共利益或者他人合法权益。</w:t>
      </w:r>
    </w:p>
    <w:p w14:paraId="1C1EA1B9">
      <w:pPr>
        <w:pStyle w:val="4"/>
        <w:rPr>
          <w:rFonts w:hint="eastAsia"/>
        </w:rPr>
      </w:pPr>
      <w:bookmarkStart w:id="401" w:name="_Toc247514000"/>
      <w:bookmarkStart w:id="402" w:name="_Toc87238936"/>
      <w:bookmarkStart w:id="403" w:name="_Toc247527601"/>
      <w:bookmarkStart w:id="404" w:name="_Toc20721"/>
      <w:bookmarkStart w:id="405" w:name="_Toc134304568"/>
      <w:bookmarkStart w:id="406" w:name="_Toc152045576"/>
      <w:bookmarkStart w:id="407" w:name="_Toc144974544"/>
      <w:bookmarkStart w:id="408" w:name="_Toc152042352"/>
      <w:r>
        <w:rPr>
          <w:rFonts w:hint="eastAsia"/>
        </w:rPr>
        <w:t>8.2 对投标人的纪律要求</w:t>
      </w:r>
      <w:bookmarkEnd w:id="401"/>
      <w:bookmarkEnd w:id="402"/>
      <w:bookmarkEnd w:id="403"/>
      <w:bookmarkEnd w:id="404"/>
      <w:bookmarkEnd w:id="405"/>
      <w:bookmarkEnd w:id="406"/>
      <w:bookmarkEnd w:id="407"/>
      <w:bookmarkEnd w:id="408"/>
    </w:p>
    <w:p w14:paraId="0F7955E7">
      <w:pPr>
        <w:spacing w:line="400" w:lineRule="exact"/>
        <w:ind w:firstLine="420" w:firstLineChars="200"/>
        <w:rPr>
          <w:rFonts w:hint="eastAsia" w:ascii="宋体" w:hAnsi="宋体" w:cs="宋体"/>
        </w:rPr>
      </w:pPr>
      <w:r>
        <w:rPr>
          <w:rFonts w:hint="eastAsia" w:ascii="宋体" w:hAnsi="宋体" w:cs="宋体"/>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4429133D">
      <w:pPr>
        <w:pStyle w:val="4"/>
        <w:rPr>
          <w:rFonts w:hint="eastAsia"/>
        </w:rPr>
      </w:pPr>
      <w:bookmarkStart w:id="409" w:name="_Toc152042353"/>
      <w:bookmarkStart w:id="410" w:name="_Toc247514001"/>
      <w:bookmarkStart w:id="411" w:name="_Toc247527602"/>
      <w:bookmarkStart w:id="412" w:name="_Toc16012"/>
      <w:bookmarkStart w:id="413" w:name="_Toc87238937"/>
      <w:bookmarkStart w:id="414" w:name="_Toc144974545"/>
      <w:bookmarkStart w:id="415" w:name="_Toc152045577"/>
      <w:bookmarkStart w:id="416" w:name="_Toc134304569"/>
      <w:r>
        <w:rPr>
          <w:rFonts w:hint="eastAsia"/>
        </w:rPr>
        <w:t>8.3 对评标委员会成员的纪律要求</w:t>
      </w:r>
      <w:bookmarkEnd w:id="409"/>
      <w:bookmarkEnd w:id="410"/>
      <w:bookmarkEnd w:id="411"/>
      <w:bookmarkEnd w:id="412"/>
      <w:bookmarkEnd w:id="413"/>
      <w:bookmarkEnd w:id="414"/>
      <w:bookmarkEnd w:id="415"/>
      <w:bookmarkEnd w:id="416"/>
    </w:p>
    <w:p w14:paraId="17D3A702">
      <w:pPr>
        <w:spacing w:line="400" w:lineRule="exact"/>
        <w:ind w:firstLine="420" w:firstLineChars="200"/>
        <w:rPr>
          <w:rFonts w:hint="eastAsia" w:ascii="宋体" w:hAnsi="宋体" w:cs="宋体"/>
        </w:rPr>
      </w:pPr>
      <w:r>
        <w:rPr>
          <w:rFonts w:hint="eastAsia" w:ascii="宋体" w:hAnsi="宋体" w:cs="宋体"/>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0921A965">
      <w:pPr>
        <w:pStyle w:val="4"/>
        <w:rPr>
          <w:rFonts w:hint="eastAsia"/>
        </w:rPr>
      </w:pPr>
      <w:bookmarkStart w:id="417" w:name="_Toc134304570"/>
      <w:bookmarkStart w:id="418" w:name="_Toc152045578"/>
      <w:bookmarkStart w:id="419" w:name="_Toc247527603"/>
      <w:bookmarkStart w:id="420" w:name="_Toc87238938"/>
      <w:bookmarkStart w:id="421" w:name="_Toc152042354"/>
      <w:bookmarkStart w:id="422" w:name="_Toc247514002"/>
      <w:bookmarkStart w:id="423" w:name="_Toc18141"/>
      <w:bookmarkStart w:id="424" w:name="_Toc144974546"/>
      <w:r>
        <w:rPr>
          <w:rFonts w:hint="eastAsia"/>
        </w:rPr>
        <w:t>8.4 对与评标活动有关的工作人员的纪律要求</w:t>
      </w:r>
      <w:bookmarkEnd w:id="417"/>
      <w:bookmarkEnd w:id="418"/>
      <w:bookmarkEnd w:id="419"/>
      <w:bookmarkEnd w:id="420"/>
      <w:bookmarkEnd w:id="421"/>
      <w:bookmarkEnd w:id="422"/>
      <w:bookmarkEnd w:id="423"/>
    </w:p>
    <w:p w14:paraId="2128AE28">
      <w:pPr>
        <w:spacing w:line="400" w:lineRule="exact"/>
        <w:ind w:firstLine="420" w:firstLineChars="200"/>
        <w:rPr>
          <w:rFonts w:hint="eastAsia" w:ascii="宋体" w:hAnsi="宋体" w:cs="宋体"/>
        </w:rPr>
      </w:pPr>
      <w:bookmarkStart w:id="425" w:name="_Toc152042355"/>
      <w:r>
        <w:rPr>
          <w:rFonts w:hint="eastAsia" w:ascii="宋体" w:hAnsi="宋体" w:cs="宋体"/>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425"/>
    </w:p>
    <w:p w14:paraId="378A2830">
      <w:pPr>
        <w:pStyle w:val="4"/>
        <w:rPr>
          <w:rFonts w:hint="eastAsia"/>
        </w:rPr>
      </w:pPr>
      <w:bookmarkStart w:id="426" w:name="_Toc87238939"/>
      <w:bookmarkStart w:id="427" w:name="_Toc152042356"/>
      <w:bookmarkStart w:id="428" w:name="_Toc134304571"/>
      <w:bookmarkStart w:id="429" w:name="_Toc247514003"/>
      <w:bookmarkStart w:id="430" w:name="_Toc152045579"/>
      <w:bookmarkStart w:id="431" w:name="_Toc247527604"/>
      <w:bookmarkStart w:id="432" w:name="_Toc1651"/>
      <w:r>
        <w:rPr>
          <w:rFonts w:hint="eastAsia"/>
        </w:rPr>
        <w:t>8.5 投诉</w:t>
      </w:r>
      <w:bookmarkEnd w:id="424"/>
      <w:bookmarkEnd w:id="426"/>
      <w:bookmarkEnd w:id="427"/>
      <w:bookmarkEnd w:id="428"/>
      <w:bookmarkEnd w:id="429"/>
      <w:bookmarkEnd w:id="430"/>
      <w:bookmarkEnd w:id="431"/>
      <w:bookmarkEnd w:id="432"/>
    </w:p>
    <w:p w14:paraId="0B842636">
      <w:pPr>
        <w:spacing w:line="400" w:lineRule="exact"/>
        <w:ind w:firstLine="420" w:firstLineChars="200"/>
        <w:rPr>
          <w:rFonts w:hint="eastAsia" w:ascii="宋体" w:hAnsi="宋体" w:cs="宋体"/>
        </w:rPr>
      </w:pPr>
      <w:r>
        <w:rPr>
          <w:rFonts w:hint="eastAsia" w:ascii="宋体" w:hAnsi="宋体" w:cs="宋体"/>
        </w:rPr>
        <w:t>投标人和其他利害关系人认为本次招标活动违反法律、法规和规章规定的，有权向有关行政监督部门投诉。</w:t>
      </w:r>
    </w:p>
    <w:p w14:paraId="3B3D5BC9">
      <w:pPr>
        <w:pStyle w:val="2"/>
      </w:pPr>
      <w:bookmarkStart w:id="433" w:name="_Toc247527605"/>
      <w:bookmarkStart w:id="434" w:name="_Toc247514004"/>
      <w:bookmarkStart w:id="435" w:name="_Toc152045580"/>
      <w:bookmarkStart w:id="436" w:name="_Toc134304572"/>
      <w:bookmarkStart w:id="437" w:name="_Toc144974547"/>
      <w:bookmarkStart w:id="438" w:name="_Toc6725"/>
      <w:bookmarkStart w:id="439" w:name="_Toc152042357"/>
      <w:r>
        <w:rPr>
          <w:rFonts w:hint="eastAsia"/>
        </w:rPr>
        <w:t>9. 需要补充的其他内容</w:t>
      </w:r>
      <w:bookmarkEnd w:id="433"/>
      <w:bookmarkEnd w:id="434"/>
      <w:bookmarkEnd w:id="435"/>
      <w:bookmarkEnd w:id="436"/>
      <w:bookmarkEnd w:id="437"/>
      <w:bookmarkEnd w:id="438"/>
      <w:bookmarkEnd w:id="439"/>
    </w:p>
    <w:p w14:paraId="06F204F3">
      <w:pPr>
        <w:spacing w:line="400" w:lineRule="exact"/>
        <w:ind w:firstLine="420" w:firstLineChars="200"/>
        <w:rPr>
          <w:rFonts w:hint="eastAsia" w:ascii="宋体" w:hAnsi="宋体" w:cs="宋体"/>
        </w:rPr>
      </w:pPr>
      <w:r>
        <w:rPr>
          <w:rFonts w:hint="eastAsia" w:ascii="宋体" w:hAnsi="宋体" w:cs="宋体"/>
        </w:rPr>
        <w:t>需要补充的其他内容：见投标人须知前附表。</w:t>
      </w:r>
    </w:p>
    <w:p w14:paraId="04F307A2">
      <w:pPr>
        <w:pStyle w:val="2"/>
      </w:pPr>
      <w:bookmarkStart w:id="440" w:name="_Toc134304573"/>
      <w:bookmarkStart w:id="441" w:name="_Toc4738"/>
      <w:r>
        <w:rPr>
          <w:rFonts w:hint="eastAsia"/>
        </w:rPr>
        <w:t>10. 电子招标投标</w:t>
      </w:r>
      <w:bookmarkEnd w:id="440"/>
      <w:bookmarkEnd w:id="441"/>
    </w:p>
    <w:p w14:paraId="4961ED1D">
      <w:pPr>
        <w:spacing w:line="400" w:lineRule="exact"/>
        <w:ind w:firstLine="420" w:firstLineChars="200"/>
        <w:rPr>
          <w:rFonts w:hint="eastAsia" w:ascii="宋体" w:hAnsi="宋体" w:cs="宋体"/>
        </w:rPr>
      </w:pPr>
      <w:r>
        <w:rPr>
          <w:rFonts w:hint="eastAsia" w:ascii="宋体" w:hAnsi="宋体" w:cs="宋体"/>
        </w:rPr>
        <w:t>采用电子招标投标，对投标文件的编制、密封和标记、递交、开标、评标等具体要求，见投标人须知前附表。</w:t>
      </w:r>
    </w:p>
    <w:p w14:paraId="26D489CB">
      <w:pPr>
        <w:spacing w:line="400" w:lineRule="exact"/>
        <w:ind w:firstLine="420" w:firstLineChars="200"/>
        <w:rPr>
          <w:rFonts w:hint="eastAsia" w:ascii="宋体" w:hAnsi="宋体" w:cs="宋体"/>
        </w:rPr>
      </w:pPr>
    </w:p>
    <w:p w14:paraId="3F9C5B67">
      <w:pPr>
        <w:spacing w:line="400" w:lineRule="exact"/>
        <w:ind w:firstLine="420" w:firstLineChars="200"/>
        <w:rPr>
          <w:rFonts w:hint="eastAsia" w:ascii="宋体" w:hAnsi="宋体" w:cs="宋体"/>
        </w:rPr>
      </w:pPr>
    </w:p>
    <w:p w14:paraId="21CB50B6">
      <w:pPr>
        <w:spacing w:line="400" w:lineRule="exact"/>
        <w:ind w:firstLine="420" w:firstLineChars="200"/>
        <w:rPr>
          <w:rFonts w:hint="eastAsia" w:ascii="宋体" w:hAnsi="宋体" w:cs="宋体"/>
        </w:rPr>
      </w:pPr>
    </w:p>
    <w:p w14:paraId="5035696B">
      <w:pPr>
        <w:spacing w:line="400" w:lineRule="exact"/>
        <w:rPr>
          <w:rFonts w:hint="eastAsia" w:ascii="宋体" w:hAnsi="宋体" w:cs="宋体"/>
        </w:rPr>
      </w:pPr>
      <w:r>
        <w:rPr>
          <w:rFonts w:hint="eastAsia" w:ascii="宋体" w:hAnsi="宋体" w:cs="宋体"/>
        </w:rPr>
        <w:br w:type="page"/>
      </w:r>
      <w:bookmarkStart w:id="442" w:name="_Toc144974548"/>
      <w:bookmarkStart w:id="443" w:name="_Toc247527606"/>
      <w:bookmarkStart w:id="444" w:name="_Toc247514005"/>
      <w:bookmarkStart w:id="445" w:name="_Toc152042358"/>
      <w:bookmarkStart w:id="446" w:name="_Toc152045581"/>
      <w:bookmarkStart w:id="447" w:name="_Toc19551"/>
      <w:r>
        <w:rPr>
          <w:rFonts w:hint="eastAsia" w:ascii="宋体" w:hAnsi="宋体" w:cs="宋体"/>
        </w:rPr>
        <w:t>附件一：开标记录表</w:t>
      </w:r>
    </w:p>
    <w:p w14:paraId="5E2BBDC0">
      <w:pPr>
        <w:spacing w:line="400" w:lineRule="exact"/>
        <w:rPr>
          <w:rFonts w:hint="eastAsia" w:ascii="宋体" w:hAnsi="宋体" w:cs="宋体"/>
        </w:rPr>
      </w:pPr>
    </w:p>
    <w:p w14:paraId="2CDB14E1">
      <w:pPr>
        <w:spacing w:line="400" w:lineRule="exact"/>
        <w:ind w:firstLine="560"/>
        <w:jc w:val="center"/>
        <w:rPr>
          <w:rFonts w:hint="eastAsia" w:ascii="宋体" w:hAnsi="宋体" w:cs="宋体"/>
          <w:sz w:val="28"/>
          <w:szCs w:val="28"/>
        </w:rPr>
      </w:pPr>
      <w:r>
        <w:rPr>
          <w:rFonts w:hint="eastAsia" w:ascii="宋体" w:hAnsi="宋体" w:cs="宋体"/>
          <w:sz w:val="28"/>
          <w:szCs w:val="28"/>
        </w:rPr>
        <w:t>（项目名称）招标开标记录表</w:t>
      </w:r>
    </w:p>
    <w:p w14:paraId="2C409798">
      <w:pPr>
        <w:spacing w:line="400" w:lineRule="exact"/>
        <w:rPr>
          <w:rFonts w:hint="eastAsia" w:ascii="宋体" w:hAnsi="宋体" w:cs="宋体"/>
        </w:rPr>
      </w:pPr>
    </w:p>
    <w:p w14:paraId="52AB3CCF">
      <w:pPr>
        <w:spacing w:line="360" w:lineRule="auto"/>
        <w:ind w:right="420" w:firstLine="420"/>
        <w:jc w:val="right"/>
        <w:rPr>
          <w:rFonts w:hint="eastAsia" w:ascii="宋体" w:hAnsi="宋体" w:cs="宋体"/>
        </w:rPr>
      </w:pPr>
      <w:r>
        <w:rPr>
          <w:rFonts w:hint="eastAsia" w:ascii="宋体" w:hAnsi="宋体" w:cs="宋体"/>
        </w:rPr>
        <w:t>开标时间：年月日时分</w:t>
      </w:r>
    </w:p>
    <w:tbl>
      <w:tblPr>
        <w:tblStyle w:val="21"/>
        <w:tblW w:w="8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1167"/>
        <w:gridCol w:w="497"/>
        <w:gridCol w:w="526"/>
        <w:gridCol w:w="696"/>
        <w:gridCol w:w="621"/>
        <w:gridCol w:w="635"/>
        <w:gridCol w:w="631"/>
        <w:gridCol w:w="701"/>
        <w:gridCol w:w="676"/>
        <w:gridCol w:w="483"/>
        <w:gridCol w:w="456"/>
        <w:gridCol w:w="546"/>
      </w:tblGrid>
      <w:tr w14:paraId="6C9BF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478" w:type="dxa"/>
            <w:noWrap w:val="0"/>
            <w:vAlign w:val="center"/>
          </w:tcPr>
          <w:p w14:paraId="3E451A47">
            <w:pPr>
              <w:snapToGrid w:val="0"/>
              <w:ind w:left="-57" w:leftChars="-27" w:right="-63" w:rightChars="-30"/>
              <w:jc w:val="center"/>
              <w:rPr>
                <w:rFonts w:hint="eastAsia" w:ascii="宋体" w:hAnsi="宋体" w:cs="宋体"/>
                <w:sz w:val="18"/>
                <w:szCs w:val="18"/>
              </w:rPr>
            </w:pPr>
            <w:r>
              <w:rPr>
                <w:rFonts w:hint="eastAsia" w:ascii="宋体" w:hAnsi="宋体" w:cs="宋体"/>
                <w:sz w:val="18"/>
                <w:szCs w:val="18"/>
              </w:rPr>
              <w:t>序号</w:t>
            </w:r>
          </w:p>
        </w:tc>
        <w:tc>
          <w:tcPr>
            <w:tcW w:w="1167" w:type="dxa"/>
            <w:noWrap w:val="0"/>
            <w:vAlign w:val="center"/>
          </w:tcPr>
          <w:p w14:paraId="53376D40">
            <w:pPr>
              <w:snapToGrid w:val="0"/>
              <w:ind w:left="-57" w:leftChars="-27" w:right="-63" w:rightChars="-30"/>
              <w:jc w:val="center"/>
              <w:rPr>
                <w:rFonts w:hint="eastAsia" w:ascii="宋体" w:hAnsi="宋体" w:cs="宋体"/>
                <w:sz w:val="18"/>
                <w:szCs w:val="18"/>
              </w:rPr>
            </w:pPr>
            <w:r>
              <w:rPr>
                <w:rFonts w:hint="eastAsia" w:ascii="宋体" w:hAnsi="宋体" w:cs="宋体"/>
                <w:sz w:val="18"/>
                <w:szCs w:val="18"/>
              </w:rPr>
              <w:t>投标人名称</w:t>
            </w:r>
          </w:p>
        </w:tc>
        <w:tc>
          <w:tcPr>
            <w:tcW w:w="497" w:type="dxa"/>
            <w:noWrap w:val="0"/>
            <w:vAlign w:val="center"/>
          </w:tcPr>
          <w:p w14:paraId="0596F45F">
            <w:pPr>
              <w:snapToGrid w:val="0"/>
              <w:ind w:left="-57" w:leftChars="-27" w:right="-63" w:rightChars="-30"/>
              <w:jc w:val="center"/>
              <w:rPr>
                <w:rFonts w:hint="eastAsia" w:ascii="宋体" w:hAnsi="宋体" w:cs="宋体"/>
                <w:sz w:val="18"/>
                <w:szCs w:val="18"/>
              </w:rPr>
            </w:pPr>
            <w:r>
              <w:rPr>
                <w:rFonts w:hint="eastAsia" w:ascii="宋体" w:hAnsi="宋体" w:cs="宋体"/>
                <w:sz w:val="18"/>
                <w:szCs w:val="18"/>
              </w:rPr>
              <w:t>投标文件递交情况</w:t>
            </w:r>
          </w:p>
        </w:tc>
        <w:tc>
          <w:tcPr>
            <w:tcW w:w="526" w:type="dxa"/>
            <w:noWrap w:val="0"/>
            <w:vAlign w:val="center"/>
          </w:tcPr>
          <w:p w14:paraId="23DD888A">
            <w:pPr>
              <w:snapToGrid w:val="0"/>
              <w:ind w:left="-57" w:leftChars="-27" w:right="-63" w:rightChars="-30"/>
              <w:jc w:val="center"/>
              <w:rPr>
                <w:rFonts w:hint="eastAsia" w:ascii="宋体" w:hAnsi="宋体" w:cs="宋体"/>
                <w:sz w:val="18"/>
                <w:szCs w:val="18"/>
              </w:rPr>
            </w:pPr>
            <w:r>
              <w:rPr>
                <w:rFonts w:hint="eastAsia" w:ascii="宋体" w:hAnsi="宋体" w:cs="宋体"/>
                <w:sz w:val="18"/>
                <w:szCs w:val="18"/>
              </w:rPr>
              <w:t>投标文件解密情况</w:t>
            </w:r>
          </w:p>
        </w:tc>
        <w:tc>
          <w:tcPr>
            <w:tcW w:w="696" w:type="dxa"/>
            <w:noWrap w:val="0"/>
            <w:vAlign w:val="center"/>
          </w:tcPr>
          <w:p w14:paraId="41443B6B">
            <w:pPr>
              <w:snapToGrid w:val="0"/>
              <w:ind w:left="-57" w:leftChars="-27" w:right="-63" w:rightChars="-30"/>
              <w:jc w:val="center"/>
              <w:rPr>
                <w:rFonts w:hint="eastAsia" w:ascii="宋体" w:hAnsi="宋体" w:cs="宋体"/>
                <w:sz w:val="18"/>
                <w:szCs w:val="18"/>
              </w:rPr>
            </w:pPr>
            <w:r>
              <w:rPr>
                <w:rFonts w:hint="eastAsia" w:ascii="宋体" w:hAnsi="宋体" w:cs="宋体"/>
                <w:sz w:val="18"/>
                <w:szCs w:val="18"/>
                <w:u w:val="single"/>
              </w:rPr>
              <w:t>项目负责人（兼施工负责人）</w:t>
            </w:r>
          </w:p>
        </w:tc>
        <w:tc>
          <w:tcPr>
            <w:tcW w:w="621" w:type="dxa"/>
            <w:noWrap w:val="0"/>
            <w:vAlign w:val="center"/>
          </w:tcPr>
          <w:p w14:paraId="73326FA9">
            <w:pPr>
              <w:snapToGrid w:val="0"/>
              <w:ind w:left="-57" w:leftChars="-27" w:right="-63" w:rightChars="-30"/>
              <w:jc w:val="center"/>
              <w:rPr>
                <w:rFonts w:hint="eastAsia" w:ascii="宋体" w:hAnsi="宋体" w:cs="宋体"/>
                <w:sz w:val="18"/>
                <w:szCs w:val="18"/>
              </w:rPr>
            </w:pPr>
            <w:r>
              <w:rPr>
                <w:rFonts w:hint="eastAsia" w:ascii="宋体" w:hAnsi="宋体" w:cs="宋体"/>
                <w:sz w:val="18"/>
                <w:szCs w:val="18"/>
              </w:rPr>
              <w:t>设计负责人</w:t>
            </w:r>
          </w:p>
        </w:tc>
        <w:tc>
          <w:tcPr>
            <w:tcW w:w="635" w:type="dxa"/>
            <w:noWrap w:val="0"/>
            <w:vAlign w:val="center"/>
          </w:tcPr>
          <w:p w14:paraId="16BECA1E">
            <w:pPr>
              <w:snapToGrid w:val="0"/>
              <w:ind w:left="-57" w:leftChars="-27" w:right="-63" w:rightChars="-30"/>
              <w:jc w:val="center"/>
              <w:rPr>
                <w:rFonts w:hint="eastAsia" w:ascii="宋体" w:hAnsi="宋体" w:cs="宋体"/>
                <w:sz w:val="18"/>
                <w:szCs w:val="18"/>
              </w:rPr>
            </w:pPr>
            <w:r>
              <w:rPr>
                <w:rFonts w:hint="eastAsia" w:ascii="宋体" w:hAnsi="宋体" w:cs="宋体"/>
                <w:sz w:val="18"/>
                <w:szCs w:val="18"/>
              </w:rPr>
              <w:t>专职安全员</w:t>
            </w:r>
          </w:p>
        </w:tc>
        <w:tc>
          <w:tcPr>
            <w:tcW w:w="631" w:type="dxa"/>
            <w:noWrap w:val="0"/>
            <w:vAlign w:val="center"/>
          </w:tcPr>
          <w:p w14:paraId="3A5A5806">
            <w:pPr>
              <w:snapToGrid w:val="0"/>
              <w:ind w:left="-57" w:leftChars="-27" w:right="-63" w:rightChars="-30"/>
              <w:jc w:val="center"/>
              <w:rPr>
                <w:rFonts w:hint="eastAsia" w:ascii="宋体" w:hAnsi="宋体" w:cs="宋体"/>
                <w:sz w:val="18"/>
                <w:szCs w:val="18"/>
              </w:rPr>
            </w:pPr>
            <w:r>
              <w:rPr>
                <w:rFonts w:hint="eastAsia" w:ascii="宋体" w:hAnsi="宋体" w:cs="宋体"/>
                <w:sz w:val="18"/>
                <w:szCs w:val="18"/>
              </w:rPr>
              <w:t>投标总报价</w:t>
            </w:r>
          </w:p>
          <w:p w14:paraId="5CCDD024">
            <w:pPr>
              <w:snapToGrid w:val="0"/>
              <w:ind w:left="-57" w:leftChars="-27" w:right="-63" w:rightChars="-30"/>
              <w:jc w:val="center"/>
              <w:rPr>
                <w:rFonts w:hint="eastAsia" w:ascii="宋体" w:hAnsi="宋体" w:cs="宋体"/>
                <w:sz w:val="18"/>
                <w:szCs w:val="18"/>
              </w:rPr>
            </w:pPr>
            <w:r>
              <w:rPr>
                <w:rFonts w:hint="eastAsia" w:ascii="宋体" w:hAnsi="宋体" w:cs="宋体"/>
                <w:sz w:val="18"/>
                <w:szCs w:val="18"/>
              </w:rPr>
              <w:t>（元）</w:t>
            </w:r>
          </w:p>
        </w:tc>
        <w:tc>
          <w:tcPr>
            <w:tcW w:w="701" w:type="dxa"/>
            <w:noWrap w:val="0"/>
            <w:vAlign w:val="center"/>
          </w:tcPr>
          <w:p w14:paraId="57795822">
            <w:pPr>
              <w:snapToGrid w:val="0"/>
              <w:ind w:left="-57" w:leftChars="-27" w:right="-63" w:rightChars="-30"/>
              <w:jc w:val="center"/>
              <w:rPr>
                <w:rFonts w:hint="eastAsia" w:ascii="宋体" w:hAnsi="宋体" w:cs="宋体"/>
                <w:sz w:val="18"/>
                <w:szCs w:val="18"/>
              </w:rPr>
            </w:pPr>
            <w:r>
              <w:rPr>
                <w:rFonts w:hint="eastAsia" w:ascii="宋体" w:hAnsi="宋体" w:cs="宋体"/>
                <w:sz w:val="18"/>
                <w:szCs w:val="18"/>
              </w:rPr>
              <w:t>施工费报价</w:t>
            </w:r>
          </w:p>
          <w:p w14:paraId="512948CC">
            <w:pPr>
              <w:snapToGrid w:val="0"/>
              <w:ind w:left="-57" w:leftChars="-27" w:right="-63" w:rightChars="-30"/>
              <w:jc w:val="center"/>
              <w:rPr>
                <w:rFonts w:hint="eastAsia" w:ascii="宋体" w:hAnsi="宋体" w:cs="宋体"/>
                <w:sz w:val="18"/>
                <w:szCs w:val="18"/>
              </w:rPr>
            </w:pPr>
            <w:r>
              <w:rPr>
                <w:rFonts w:hint="eastAsia" w:ascii="宋体" w:hAnsi="宋体" w:cs="宋体"/>
                <w:sz w:val="18"/>
                <w:szCs w:val="18"/>
              </w:rPr>
              <w:t>（元）</w:t>
            </w:r>
          </w:p>
        </w:tc>
        <w:tc>
          <w:tcPr>
            <w:tcW w:w="676" w:type="dxa"/>
            <w:noWrap w:val="0"/>
            <w:vAlign w:val="center"/>
          </w:tcPr>
          <w:p w14:paraId="0BA56B69">
            <w:pPr>
              <w:snapToGrid w:val="0"/>
              <w:ind w:left="-57" w:leftChars="-27" w:right="-63" w:rightChars="-30"/>
              <w:jc w:val="center"/>
              <w:rPr>
                <w:rFonts w:hint="eastAsia" w:ascii="宋体" w:hAnsi="宋体" w:cs="宋体"/>
                <w:sz w:val="18"/>
                <w:szCs w:val="18"/>
              </w:rPr>
            </w:pPr>
            <w:r>
              <w:rPr>
                <w:rFonts w:hint="eastAsia" w:ascii="宋体" w:hAnsi="宋体" w:cs="宋体"/>
                <w:sz w:val="18"/>
                <w:szCs w:val="18"/>
              </w:rPr>
              <w:t>设计费报价（元）</w:t>
            </w:r>
          </w:p>
        </w:tc>
        <w:tc>
          <w:tcPr>
            <w:tcW w:w="483" w:type="dxa"/>
            <w:noWrap w:val="0"/>
            <w:vAlign w:val="center"/>
          </w:tcPr>
          <w:p w14:paraId="234F5C3B">
            <w:pPr>
              <w:snapToGrid w:val="0"/>
              <w:ind w:left="-57" w:leftChars="-27" w:right="-63" w:rightChars="-30"/>
              <w:jc w:val="center"/>
              <w:rPr>
                <w:rFonts w:hint="eastAsia" w:ascii="宋体" w:hAnsi="宋体" w:cs="宋体"/>
                <w:sz w:val="18"/>
                <w:szCs w:val="18"/>
              </w:rPr>
            </w:pPr>
            <w:r>
              <w:rPr>
                <w:rFonts w:hint="eastAsia" w:ascii="宋体" w:hAnsi="宋体" w:cs="宋体"/>
                <w:sz w:val="18"/>
                <w:szCs w:val="18"/>
              </w:rPr>
              <w:t>工期</w:t>
            </w:r>
          </w:p>
        </w:tc>
        <w:tc>
          <w:tcPr>
            <w:tcW w:w="456" w:type="dxa"/>
            <w:noWrap w:val="0"/>
            <w:vAlign w:val="center"/>
          </w:tcPr>
          <w:p w14:paraId="303C19FC">
            <w:pPr>
              <w:snapToGrid w:val="0"/>
              <w:ind w:left="-57" w:leftChars="-27" w:right="-63" w:rightChars="-30"/>
              <w:jc w:val="center"/>
              <w:rPr>
                <w:rFonts w:hint="eastAsia" w:ascii="宋体" w:hAnsi="宋体" w:cs="宋体"/>
                <w:sz w:val="18"/>
                <w:szCs w:val="18"/>
                <w:u w:val="single"/>
              </w:rPr>
            </w:pPr>
            <w:r>
              <w:rPr>
                <w:rFonts w:hint="eastAsia" w:ascii="宋体" w:hAnsi="宋体" w:cs="宋体"/>
                <w:sz w:val="18"/>
                <w:szCs w:val="18"/>
                <w:u w:val="single"/>
              </w:rPr>
              <w:t>质量标准</w:t>
            </w:r>
          </w:p>
        </w:tc>
        <w:tc>
          <w:tcPr>
            <w:tcW w:w="546" w:type="dxa"/>
            <w:noWrap w:val="0"/>
            <w:vAlign w:val="center"/>
          </w:tcPr>
          <w:p w14:paraId="41298FB2">
            <w:pPr>
              <w:snapToGrid w:val="0"/>
              <w:ind w:left="-57" w:leftChars="-27" w:right="-63" w:rightChars="-30"/>
              <w:jc w:val="center"/>
              <w:rPr>
                <w:rFonts w:hint="eastAsia" w:ascii="宋体" w:hAnsi="宋体" w:cs="宋体"/>
                <w:sz w:val="18"/>
                <w:szCs w:val="18"/>
              </w:rPr>
            </w:pPr>
            <w:r>
              <w:rPr>
                <w:rFonts w:hint="eastAsia" w:ascii="宋体" w:hAnsi="宋体" w:cs="宋体"/>
                <w:sz w:val="18"/>
                <w:szCs w:val="18"/>
              </w:rPr>
              <w:t>电脑机器特征码</w:t>
            </w:r>
          </w:p>
        </w:tc>
      </w:tr>
      <w:tr w14:paraId="7332F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78" w:type="dxa"/>
            <w:noWrap w:val="0"/>
            <w:vAlign w:val="center"/>
          </w:tcPr>
          <w:p w14:paraId="1C489A56">
            <w:pPr>
              <w:snapToGrid w:val="0"/>
              <w:ind w:left="-57" w:leftChars="-27" w:right="-63" w:rightChars="-30"/>
              <w:jc w:val="center"/>
              <w:rPr>
                <w:rFonts w:hint="eastAsia" w:ascii="宋体" w:hAnsi="宋体" w:cs="宋体"/>
                <w:sz w:val="18"/>
                <w:szCs w:val="18"/>
              </w:rPr>
            </w:pPr>
          </w:p>
        </w:tc>
        <w:tc>
          <w:tcPr>
            <w:tcW w:w="1167" w:type="dxa"/>
            <w:noWrap w:val="0"/>
            <w:vAlign w:val="center"/>
          </w:tcPr>
          <w:p w14:paraId="243A3CA2">
            <w:pPr>
              <w:snapToGrid w:val="0"/>
              <w:ind w:left="-57" w:leftChars="-27" w:right="-63" w:rightChars="-30"/>
              <w:jc w:val="center"/>
              <w:rPr>
                <w:rFonts w:hint="eastAsia" w:ascii="宋体" w:hAnsi="宋体" w:cs="宋体"/>
                <w:sz w:val="18"/>
                <w:szCs w:val="18"/>
              </w:rPr>
            </w:pPr>
          </w:p>
        </w:tc>
        <w:tc>
          <w:tcPr>
            <w:tcW w:w="497" w:type="dxa"/>
            <w:noWrap w:val="0"/>
            <w:vAlign w:val="center"/>
          </w:tcPr>
          <w:p w14:paraId="7B8B116C">
            <w:pPr>
              <w:snapToGrid w:val="0"/>
              <w:ind w:left="-57" w:leftChars="-27" w:right="-63" w:rightChars="-30"/>
              <w:jc w:val="center"/>
              <w:rPr>
                <w:rFonts w:hint="eastAsia" w:ascii="宋体" w:hAnsi="宋体" w:cs="宋体"/>
                <w:sz w:val="18"/>
                <w:szCs w:val="18"/>
              </w:rPr>
            </w:pPr>
          </w:p>
        </w:tc>
        <w:tc>
          <w:tcPr>
            <w:tcW w:w="526" w:type="dxa"/>
            <w:noWrap w:val="0"/>
            <w:vAlign w:val="center"/>
          </w:tcPr>
          <w:p w14:paraId="5DE78C37">
            <w:pPr>
              <w:snapToGrid w:val="0"/>
              <w:ind w:left="-57" w:leftChars="-27" w:right="-63" w:rightChars="-30"/>
              <w:jc w:val="center"/>
              <w:rPr>
                <w:rFonts w:hint="eastAsia" w:ascii="宋体" w:hAnsi="宋体" w:cs="宋体"/>
                <w:sz w:val="18"/>
                <w:szCs w:val="18"/>
              </w:rPr>
            </w:pPr>
          </w:p>
        </w:tc>
        <w:tc>
          <w:tcPr>
            <w:tcW w:w="696" w:type="dxa"/>
            <w:noWrap w:val="0"/>
            <w:vAlign w:val="center"/>
          </w:tcPr>
          <w:p w14:paraId="20030F3C">
            <w:pPr>
              <w:snapToGrid w:val="0"/>
              <w:ind w:left="-57" w:leftChars="-27" w:right="-63" w:rightChars="-30"/>
              <w:jc w:val="center"/>
              <w:rPr>
                <w:rFonts w:hint="eastAsia" w:ascii="宋体" w:hAnsi="宋体" w:cs="宋体"/>
                <w:sz w:val="18"/>
                <w:szCs w:val="18"/>
              </w:rPr>
            </w:pPr>
          </w:p>
        </w:tc>
        <w:tc>
          <w:tcPr>
            <w:tcW w:w="621" w:type="dxa"/>
            <w:noWrap w:val="0"/>
            <w:vAlign w:val="center"/>
          </w:tcPr>
          <w:p w14:paraId="3165F2EA">
            <w:pPr>
              <w:snapToGrid w:val="0"/>
              <w:ind w:left="-57" w:leftChars="-27" w:right="-63" w:rightChars="-30"/>
              <w:jc w:val="center"/>
              <w:rPr>
                <w:rFonts w:hint="eastAsia" w:ascii="宋体" w:hAnsi="宋体" w:cs="宋体"/>
                <w:sz w:val="18"/>
                <w:szCs w:val="18"/>
              </w:rPr>
            </w:pPr>
          </w:p>
        </w:tc>
        <w:tc>
          <w:tcPr>
            <w:tcW w:w="635" w:type="dxa"/>
            <w:noWrap w:val="0"/>
            <w:vAlign w:val="center"/>
          </w:tcPr>
          <w:p w14:paraId="1DDDE226">
            <w:pPr>
              <w:snapToGrid w:val="0"/>
              <w:ind w:left="-57" w:leftChars="-27" w:right="-63" w:rightChars="-30"/>
              <w:jc w:val="center"/>
              <w:rPr>
                <w:rFonts w:hint="eastAsia" w:ascii="宋体" w:hAnsi="宋体" w:cs="宋体"/>
                <w:sz w:val="18"/>
                <w:szCs w:val="18"/>
              </w:rPr>
            </w:pPr>
          </w:p>
        </w:tc>
        <w:tc>
          <w:tcPr>
            <w:tcW w:w="631" w:type="dxa"/>
            <w:noWrap w:val="0"/>
            <w:vAlign w:val="center"/>
          </w:tcPr>
          <w:p w14:paraId="2B08E9BE">
            <w:pPr>
              <w:snapToGrid w:val="0"/>
              <w:ind w:left="-57" w:leftChars="-27" w:right="-63" w:rightChars="-30"/>
              <w:jc w:val="center"/>
              <w:rPr>
                <w:rFonts w:hint="eastAsia" w:ascii="宋体" w:hAnsi="宋体" w:cs="宋体"/>
                <w:sz w:val="18"/>
                <w:szCs w:val="18"/>
              </w:rPr>
            </w:pPr>
          </w:p>
        </w:tc>
        <w:tc>
          <w:tcPr>
            <w:tcW w:w="701" w:type="dxa"/>
            <w:noWrap w:val="0"/>
            <w:vAlign w:val="center"/>
          </w:tcPr>
          <w:p w14:paraId="0FF26D0B">
            <w:pPr>
              <w:snapToGrid w:val="0"/>
              <w:ind w:left="-57" w:leftChars="-27" w:right="-63" w:rightChars="-30"/>
              <w:jc w:val="center"/>
              <w:rPr>
                <w:rFonts w:hint="eastAsia" w:ascii="宋体" w:hAnsi="宋体" w:cs="宋体"/>
                <w:sz w:val="18"/>
                <w:szCs w:val="18"/>
              </w:rPr>
            </w:pPr>
          </w:p>
        </w:tc>
        <w:tc>
          <w:tcPr>
            <w:tcW w:w="676" w:type="dxa"/>
            <w:noWrap w:val="0"/>
            <w:vAlign w:val="center"/>
          </w:tcPr>
          <w:p w14:paraId="69DF94F6">
            <w:pPr>
              <w:snapToGrid w:val="0"/>
              <w:ind w:left="-57" w:leftChars="-27" w:right="-63" w:rightChars="-30"/>
              <w:jc w:val="center"/>
              <w:rPr>
                <w:rFonts w:hint="eastAsia" w:ascii="宋体" w:hAnsi="宋体" w:cs="宋体"/>
                <w:sz w:val="18"/>
                <w:szCs w:val="18"/>
              </w:rPr>
            </w:pPr>
          </w:p>
        </w:tc>
        <w:tc>
          <w:tcPr>
            <w:tcW w:w="483" w:type="dxa"/>
            <w:noWrap w:val="0"/>
            <w:vAlign w:val="center"/>
          </w:tcPr>
          <w:p w14:paraId="4E42F3D9">
            <w:pPr>
              <w:snapToGrid w:val="0"/>
              <w:ind w:left="-57" w:leftChars="-27" w:right="-63" w:rightChars="-30"/>
              <w:jc w:val="center"/>
              <w:rPr>
                <w:rFonts w:hint="eastAsia" w:ascii="宋体" w:hAnsi="宋体" w:cs="宋体"/>
                <w:sz w:val="18"/>
                <w:szCs w:val="18"/>
              </w:rPr>
            </w:pPr>
          </w:p>
        </w:tc>
        <w:tc>
          <w:tcPr>
            <w:tcW w:w="456" w:type="dxa"/>
            <w:noWrap w:val="0"/>
            <w:vAlign w:val="center"/>
          </w:tcPr>
          <w:p w14:paraId="3B2CBD20">
            <w:pPr>
              <w:snapToGrid w:val="0"/>
              <w:ind w:left="-57" w:leftChars="-27" w:right="-63" w:rightChars="-30"/>
              <w:jc w:val="center"/>
              <w:rPr>
                <w:rFonts w:hint="eastAsia" w:ascii="宋体" w:hAnsi="宋体" w:cs="宋体"/>
                <w:sz w:val="18"/>
                <w:szCs w:val="18"/>
              </w:rPr>
            </w:pPr>
          </w:p>
        </w:tc>
        <w:tc>
          <w:tcPr>
            <w:tcW w:w="546" w:type="dxa"/>
            <w:noWrap w:val="0"/>
            <w:vAlign w:val="center"/>
          </w:tcPr>
          <w:p w14:paraId="71E05982">
            <w:pPr>
              <w:snapToGrid w:val="0"/>
              <w:ind w:left="-57" w:leftChars="-27" w:right="-63" w:rightChars="-30"/>
              <w:jc w:val="center"/>
              <w:rPr>
                <w:rFonts w:hint="eastAsia" w:ascii="宋体" w:hAnsi="宋体" w:cs="宋体"/>
                <w:sz w:val="18"/>
                <w:szCs w:val="18"/>
              </w:rPr>
            </w:pPr>
          </w:p>
        </w:tc>
      </w:tr>
      <w:tr w14:paraId="72A9E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78" w:type="dxa"/>
            <w:noWrap w:val="0"/>
            <w:vAlign w:val="center"/>
          </w:tcPr>
          <w:p w14:paraId="3E2C65EA">
            <w:pPr>
              <w:snapToGrid w:val="0"/>
              <w:ind w:left="-57" w:leftChars="-27" w:right="-63" w:rightChars="-30"/>
              <w:jc w:val="center"/>
              <w:rPr>
                <w:rFonts w:hint="eastAsia" w:ascii="宋体" w:hAnsi="宋体" w:cs="宋体"/>
                <w:sz w:val="18"/>
                <w:szCs w:val="18"/>
              </w:rPr>
            </w:pPr>
          </w:p>
        </w:tc>
        <w:tc>
          <w:tcPr>
            <w:tcW w:w="1167" w:type="dxa"/>
            <w:noWrap w:val="0"/>
            <w:vAlign w:val="center"/>
          </w:tcPr>
          <w:p w14:paraId="3898868A">
            <w:pPr>
              <w:snapToGrid w:val="0"/>
              <w:ind w:left="-57" w:leftChars="-27" w:right="-63" w:rightChars="-30"/>
              <w:jc w:val="center"/>
              <w:rPr>
                <w:rFonts w:hint="eastAsia" w:ascii="宋体" w:hAnsi="宋体" w:cs="宋体"/>
                <w:sz w:val="18"/>
                <w:szCs w:val="18"/>
              </w:rPr>
            </w:pPr>
          </w:p>
        </w:tc>
        <w:tc>
          <w:tcPr>
            <w:tcW w:w="497" w:type="dxa"/>
            <w:noWrap w:val="0"/>
            <w:vAlign w:val="center"/>
          </w:tcPr>
          <w:p w14:paraId="53FF5126">
            <w:pPr>
              <w:snapToGrid w:val="0"/>
              <w:ind w:left="-57" w:leftChars="-27" w:right="-63" w:rightChars="-30"/>
              <w:jc w:val="center"/>
              <w:rPr>
                <w:rFonts w:hint="eastAsia" w:ascii="宋体" w:hAnsi="宋体" w:cs="宋体"/>
                <w:sz w:val="18"/>
                <w:szCs w:val="18"/>
              </w:rPr>
            </w:pPr>
          </w:p>
        </w:tc>
        <w:tc>
          <w:tcPr>
            <w:tcW w:w="526" w:type="dxa"/>
            <w:noWrap w:val="0"/>
            <w:vAlign w:val="center"/>
          </w:tcPr>
          <w:p w14:paraId="1A6B817A">
            <w:pPr>
              <w:snapToGrid w:val="0"/>
              <w:ind w:left="-57" w:leftChars="-27" w:right="-63" w:rightChars="-30"/>
              <w:jc w:val="center"/>
              <w:rPr>
                <w:rFonts w:hint="eastAsia" w:ascii="宋体" w:hAnsi="宋体" w:cs="宋体"/>
                <w:sz w:val="18"/>
                <w:szCs w:val="18"/>
              </w:rPr>
            </w:pPr>
          </w:p>
        </w:tc>
        <w:tc>
          <w:tcPr>
            <w:tcW w:w="696" w:type="dxa"/>
            <w:noWrap w:val="0"/>
            <w:vAlign w:val="center"/>
          </w:tcPr>
          <w:p w14:paraId="0728A574">
            <w:pPr>
              <w:snapToGrid w:val="0"/>
              <w:ind w:left="-57" w:leftChars="-27" w:right="-63" w:rightChars="-30"/>
              <w:jc w:val="center"/>
              <w:rPr>
                <w:rFonts w:hint="eastAsia" w:ascii="宋体" w:hAnsi="宋体" w:cs="宋体"/>
                <w:sz w:val="18"/>
                <w:szCs w:val="18"/>
              </w:rPr>
            </w:pPr>
          </w:p>
        </w:tc>
        <w:tc>
          <w:tcPr>
            <w:tcW w:w="621" w:type="dxa"/>
            <w:noWrap w:val="0"/>
            <w:vAlign w:val="center"/>
          </w:tcPr>
          <w:p w14:paraId="4900F7BF">
            <w:pPr>
              <w:snapToGrid w:val="0"/>
              <w:ind w:left="-57" w:leftChars="-27" w:right="-63" w:rightChars="-30"/>
              <w:jc w:val="center"/>
              <w:rPr>
                <w:rFonts w:hint="eastAsia" w:ascii="宋体" w:hAnsi="宋体" w:cs="宋体"/>
                <w:sz w:val="18"/>
                <w:szCs w:val="18"/>
              </w:rPr>
            </w:pPr>
          </w:p>
        </w:tc>
        <w:tc>
          <w:tcPr>
            <w:tcW w:w="635" w:type="dxa"/>
            <w:noWrap w:val="0"/>
            <w:vAlign w:val="center"/>
          </w:tcPr>
          <w:p w14:paraId="55FD96E8">
            <w:pPr>
              <w:snapToGrid w:val="0"/>
              <w:ind w:left="-57" w:leftChars="-27" w:right="-63" w:rightChars="-30"/>
              <w:jc w:val="center"/>
              <w:rPr>
                <w:rFonts w:hint="eastAsia" w:ascii="宋体" w:hAnsi="宋体" w:cs="宋体"/>
                <w:sz w:val="18"/>
                <w:szCs w:val="18"/>
              </w:rPr>
            </w:pPr>
          </w:p>
        </w:tc>
        <w:tc>
          <w:tcPr>
            <w:tcW w:w="631" w:type="dxa"/>
            <w:noWrap w:val="0"/>
            <w:vAlign w:val="center"/>
          </w:tcPr>
          <w:p w14:paraId="41EFAA80">
            <w:pPr>
              <w:snapToGrid w:val="0"/>
              <w:ind w:left="-57" w:leftChars="-27" w:right="-63" w:rightChars="-30"/>
              <w:jc w:val="center"/>
              <w:rPr>
                <w:rFonts w:hint="eastAsia" w:ascii="宋体" w:hAnsi="宋体" w:cs="宋体"/>
                <w:sz w:val="18"/>
                <w:szCs w:val="18"/>
              </w:rPr>
            </w:pPr>
          </w:p>
        </w:tc>
        <w:tc>
          <w:tcPr>
            <w:tcW w:w="701" w:type="dxa"/>
            <w:noWrap w:val="0"/>
            <w:vAlign w:val="center"/>
          </w:tcPr>
          <w:p w14:paraId="66926003">
            <w:pPr>
              <w:snapToGrid w:val="0"/>
              <w:ind w:left="-57" w:leftChars="-27" w:right="-63" w:rightChars="-30"/>
              <w:jc w:val="center"/>
              <w:rPr>
                <w:rFonts w:hint="eastAsia" w:ascii="宋体" w:hAnsi="宋体" w:cs="宋体"/>
                <w:sz w:val="18"/>
                <w:szCs w:val="18"/>
              </w:rPr>
            </w:pPr>
          </w:p>
        </w:tc>
        <w:tc>
          <w:tcPr>
            <w:tcW w:w="676" w:type="dxa"/>
            <w:noWrap w:val="0"/>
            <w:vAlign w:val="center"/>
          </w:tcPr>
          <w:p w14:paraId="59EE4708">
            <w:pPr>
              <w:snapToGrid w:val="0"/>
              <w:ind w:left="-57" w:leftChars="-27" w:right="-63" w:rightChars="-30"/>
              <w:jc w:val="center"/>
              <w:rPr>
                <w:rFonts w:hint="eastAsia" w:ascii="宋体" w:hAnsi="宋体" w:cs="宋体"/>
                <w:sz w:val="18"/>
                <w:szCs w:val="18"/>
              </w:rPr>
            </w:pPr>
          </w:p>
        </w:tc>
        <w:tc>
          <w:tcPr>
            <w:tcW w:w="483" w:type="dxa"/>
            <w:noWrap w:val="0"/>
            <w:vAlign w:val="center"/>
          </w:tcPr>
          <w:p w14:paraId="003E314F">
            <w:pPr>
              <w:snapToGrid w:val="0"/>
              <w:ind w:left="-57" w:leftChars="-27" w:right="-63" w:rightChars="-30"/>
              <w:jc w:val="center"/>
              <w:rPr>
                <w:rFonts w:hint="eastAsia" w:ascii="宋体" w:hAnsi="宋体" w:cs="宋体"/>
                <w:sz w:val="18"/>
                <w:szCs w:val="18"/>
              </w:rPr>
            </w:pPr>
          </w:p>
        </w:tc>
        <w:tc>
          <w:tcPr>
            <w:tcW w:w="456" w:type="dxa"/>
            <w:noWrap w:val="0"/>
            <w:vAlign w:val="center"/>
          </w:tcPr>
          <w:p w14:paraId="40A218E9">
            <w:pPr>
              <w:snapToGrid w:val="0"/>
              <w:ind w:left="-57" w:leftChars="-27" w:right="-63" w:rightChars="-30"/>
              <w:jc w:val="center"/>
              <w:rPr>
                <w:rFonts w:hint="eastAsia" w:ascii="宋体" w:hAnsi="宋体" w:cs="宋体"/>
                <w:sz w:val="18"/>
                <w:szCs w:val="18"/>
              </w:rPr>
            </w:pPr>
          </w:p>
        </w:tc>
        <w:tc>
          <w:tcPr>
            <w:tcW w:w="546" w:type="dxa"/>
            <w:noWrap w:val="0"/>
            <w:vAlign w:val="center"/>
          </w:tcPr>
          <w:p w14:paraId="254E9D1F">
            <w:pPr>
              <w:snapToGrid w:val="0"/>
              <w:ind w:left="-57" w:leftChars="-27" w:right="-63" w:rightChars="-30"/>
              <w:jc w:val="center"/>
              <w:rPr>
                <w:rFonts w:hint="eastAsia" w:ascii="宋体" w:hAnsi="宋体" w:cs="宋体"/>
                <w:sz w:val="18"/>
                <w:szCs w:val="18"/>
              </w:rPr>
            </w:pPr>
          </w:p>
        </w:tc>
      </w:tr>
      <w:tr w14:paraId="421B3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78" w:type="dxa"/>
            <w:noWrap w:val="0"/>
            <w:vAlign w:val="center"/>
          </w:tcPr>
          <w:p w14:paraId="44051A58">
            <w:pPr>
              <w:snapToGrid w:val="0"/>
              <w:ind w:left="-57" w:leftChars="-27" w:right="-63" w:rightChars="-30"/>
              <w:jc w:val="center"/>
              <w:rPr>
                <w:rFonts w:hint="eastAsia" w:ascii="宋体" w:hAnsi="宋体" w:cs="宋体"/>
                <w:sz w:val="18"/>
                <w:szCs w:val="18"/>
              </w:rPr>
            </w:pPr>
          </w:p>
        </w:tc>
        <w:tc>
          <w:tcPr>
            <w:tcW w:w="1167" w:type="dxa"/>
            <w:noWrap w:val="0"/>
            <w:vAlign w:val="center"/>
          </w:tcPr>
          <w:p w14:paraId="5DE15FC0">
            <w:pPr>
              <w:snapToGrid w:val="0"/>
              <w:ind w:left="-57" w:leftChars="-27" w:right="-63" w:rightChars="-30"/>
              <w:jc w:val="center"/>
              <w:rPr>
                <w:rFonts w:hint="eastAsia" w:ascii="宋体" w:hAnsi="宋体" w:cs="宋体"/>
                <w:sz w:val="18"/>
                <w:szCs w:val="18"/>
              </w:rPr>
            </w:pPr>
          </w:p>
        </w:tc>
        <w:tc>
          <w:tcPr>
            <w:tcW w:w="497" w:type="dxa"/>
            <w:noWrap w:val="0"/>
            <w:vAlign w:val="center"/>
          </w:tcPr>
          <w:p w14:paraId="12EAD94E">
            <w:pPr>
              <w:snapToGrid w:val="0"/>
              <w:ind w:left="-57" w:leftChars="-27" w:right="-63" w:rightChars="-30"/>
              <w:jc w:val="center"/>
              <w:rPr>
                <w:rFonts w:hint="eastAsia" w:ascii="宋体" w:hAnsi="宋体" w:cs="宋体"/>
                <w:sz w:val="18"/>
                <w:szCs w:val="18"/>
              </w:rPr>
            </w:pPr>
          </w:p>
        </w:tc>
        <w:tc>
          <w:tcPr>
            <w:tcW w:w="526" w:type="dxa"/>
            <w:noWrap w:val="0"/>
            <w:vAlign w:val="center"/>
          </w:tcPr>
          <w:p w14:paraId="17B884A5">
            <w:pPr>
              <w:snapToGrid w:val="0"/>
              <w:ind w:left="-57" w:leftChars="-27" w:right="-63" w:rightChars="-30"/>
              <w:jc w:val="center"/>
              <w:rPr>
                <w:rFonts w:hint="eastAsia" w:ascii="宋体" w:hAnsi="宋体" w:cs="宋体"/>
                <w:sz w:val="18"/>
                <w:szCs w:val="18"/>
              </w:rPr>
            </w:pPr>
          </w:p>
        </w:tc>
        <w:tc>
          <w:tcPr>
            <w:tcW w:w="696" w:type="dxa"/>
            <w:noWrap w:val="0"/>
            <w:vAlign w:val="center"/>
          </w:tcPr>
          <w:p w14:paraId="207D6C93">
            <w:pPr>
              <w:snapToGrid w:val="0"/>
              <w:ind w:left="-57" w:leftChars="-27" w:right="-63" w:rightChars="-30"/>
              <w:jc w:val="center"/>
              <w:rPr>
                <w:rFonts w:hint="eastAsia" w:ascii="宋体" w:hAnsi="宋体" w:cs="宋体"/>
                <w:sz w:val="18"/>
                <w:szCs w:val="18"/>
              </w:rPr>
            </w:pPr>
          </w:p>
        </w:tc>
        <w:tc>
          <w:tcPr>
            <w:tcW w:w="621" w:type="dxa"/>
            <w:noWrap w:val="0"/>
            <w:vAlign w:val="center"/>
          </w:tcPr>
          <w:p w14:paraId="2B24B6F2">
            <w:pPr>
              <w:snapToGrid w:val="0"/>
              <w:ind w:left="-57" w:leftChars="-27" w:right="-63" w:rightChars="-30"/>
              <w:jc w:val="center"/>
              <w:rPr>
                <w:rFonts w:hint="eastAsia" w:ascii="宋体" w:hAnsi="宋体" w:cs="宋体"/>
                <w:sz w:val="18"/>
                <w:szCs w:val="18"/>
              </w:rPr>
            </w:pPr>
          </w:p>
        </w:tc>
        <w:tc>
          <w:tcPr>
            <w:tcW w:w="635" w:type="dxa"/>
            <w:noWrap w:val="0"/>
            <w:vAlign w:val="center"/>
          </w:tcPr>
          <w:p w14:paraId="7243428D">
            <w:pPr>
              <w:snapToGrid w:val="0"/>
              <w:ind w:left="-57" w:leftChars="-27" w:right="-63" w:rightChars="-30"/>
              <w:jc w:val="center"/>
              <w:rPr>
                <w:rFonts w:hint="eastAsia" w:ascii="宋体" w:hAnsi="宋体" w:cs="宋体"/>
                <w:sz w:val="18"/>
                <w:szCs w:val="18"/>
              </w:rPr>
            </w:pPr>
          </w:p>
        </w:tc>
        <w:tc>
          <w:tcPr>
            <w:tcW w:w="631" w:type="dxa"/>
            <w:noWrap w:val="0"/>
            <w:vAlign w:val="center"/>
          </w:tcPr>
          <w:p w14:paraId="5992A9AF">
            <w:pPr>
              <w:snapToGrid w:val="0"/>
              <w:ind w:left="-57" w:leftChars="-27" w:right="-63" w:rightChars="-30"/>
              <w:jc w:val="center"/>
              <w:rPr>
                <w:rFonts w:hint="eastAsia" w:ascii="宋体" w:hAnsi="宋体" w:cs="宋体"/>
                <w:sz w:val="18"/>
                <w:szCs w:val="18"/>
              </w:rPr>
            </w:pPr>
          </w:p>
        </w:tc>
        <w:tc>
          <w:tcPr>
            <w:tcW w:w="701" w:type="dxa"/>
            <w:noWrap w:val="0"/>
            <w:vAlign w:val="center"/>
          </w:tcPr>
          <w:p w14:paraId="0D5CF7AE">
            <w:pPr>
              <w:snapToGrid w:val="0"/>
              <w:ind w:left="-57" w:leftChars="-27" w:right="-63" w:rightChars="-30"/>
              <w:jc w:val="center"/>
              <w:rPr>
                <w:rFonts w:hint="eastAsia" w:ascii="宋体" w:hAnsi="宋体" w:cs="宋体"/>
                <w:sz w:val="18"/>
                <w:szCs w:val="18"/>
              </w:rPr>
            </w:pPr>
          </w:p>
        </w:tc>
        <w:tc>
          <w:tcPr>
            <w:tcW w:w="676" w:type="dxa"/>
            <w:noWrap w:val="0"/>
            <w:vAlign w:val="center"/>
          </w:tcPr>
          <w:p w14:paraId="1C89EDA5">
            <w:pPr>
              <w:snapToGrid w:val="0"/>
              <w:ind w:left="-57" w:leftChars="-27" w:right="-63" w:rightChars="-30"/>
              <w:jc w:val="center"/>
              <w:rPr>
                <w:rFonts w:hint="eastAsia" w:ascii="宋体" w:hAnsi="宋体" w:cs="宋体"/>
                <w:sz w:val="18"/>
                <w:szCs w:val="18"/>
              </w:rPr>
            </w:pPr>
          </w:p>
        </w:tc>
        <w:tc>
          <w:tcPr>
            <w:tcW w:w="483" w:type="dxa"/>
            <w:noWrap w:val="0"/>
            <w:vAlign w:val="center"/>
          </w:tcPr>
          <w:p w14:paraId="21EC52B9">
            <w:pPr>
              <w:snapToGrid w:val="0"/>
              <w:ind w:left="-57" w:leftChars="-27" w:right="-63" w:rightChars="-30"/>
              <w:jc w:val="center"/>
              <w:rPr>
                <w:rFonts w:hint="eastAsia" w:ascii="宋体" w:hAnsi="宋体" w:cs="宋体"/>
                <w:sz w:val="18"/>
                <w:szCs w:val="18"/>
              </w:rPr>
            </w:pPr>
          </w:p>
        </w:tc>
        <w:tc>
          <w:tcPr>
            <w:tcW w:w="456" w:type="dxa"/>
            <w:noWrap w:val="0"/>
            <w:vAlign w:val="center"/>
          </w:tcPr>
          <w:p w14:paraId="1772CDF4">
            <w:pPr>
              <w:snapToGrid w:val="0"/>
              <w:ind w:left="-57" w:leftChars="-27" w:right="-63" w:rightChars="-30"/>
              <w:jc w:val="center"/>
              <w:rPr>
                <w:rFonts w:hint="eastAsia" w:ascii="宋体" w:hAnsi="宋体" w:cs="宋体"/>
                <w:sz w:val="18"/>
                <w:szCs w:val="18"/>
              </w:rPr>
            </w:pPr>
          </w:p>
        </w:tc>
        <w:tc>
          <w:tcPr>
            <w:tcW w:w="546" w:type="dxa"/>
            <w:noWrap w:val="0"/>
            <w:vAlign w:val="center"/>
          </w:tcPr>
          <w:p w14:paraId="017AF27B">
            <w:pPr>
              <w:snapToGrid w:val="0"/>
              <w:ind w:left="-57" w:leftChars="-27" w:right="-63" w:rightChars="-30"/>
              <w:jc w:val="center"/>
              <w:rPr>
                <w:rFonts w:hint="eastAsia" w:ascii="宋体" w:hAnsi="宋体" w:cs="宋体"/>
                <w:sz w:val="18"/>
                <w:szCs w:val="18"/>
              </w:rPr>
            </w:pPr>
          </w:p>
        </w:tc>
      </w:tr>
      <w:tr w14:paraId="1B5D4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78" w:type="dxa"/>
            <w:noWrap w:val="0"/>
            <w:vAlign w:val="center"/>
          </w:tcPr>
          <w:p w14:paraId="238BCC59">
            <w:pPr>
              <w:snapToGrid w:val="0"/>
              <w:ind w:left="-57" w:leftChars="-27" w:right="-63" w:rightChars="-30"/>
              <w:jc w:val="center"/>
              <w:rPr>
                <w:rFonts w:hint="eastAsia" w:ascii="宋体" w:hAnsi="宋体" w:cs="宋体"/>
                <w:sz w:val="18"/>
                <w:szCs w:val="18"/>
              </w:rPr>
            </w:pPr>
          </w:p>
        </w:tc>
        <w:tc>
          <w:tcPr>
            <w:tcW w:w="1167" w:type="dxa"/>
            <w:noWrap w:val="0"/>
            <w:vAlign w:val="center"/>
          </w:tcPr>
          <w:p w14:paraId="19B0D273">
            <w:pPr>
              <w:snapToGrid w:val="0"/>
              <w:ind w:left="-57" w:leftChars="-27" w:right="-63" w:rightChars="-30"/>
              <w:jc w:val="center"/>
              <w:rPr>
                <w:rFonts w:hint="eastAsia" w:ascii="宋体" w:hAnsi="宋体" w:cs="宋体"/>
                <w:sz w:val="18"/>
                <w:szCs w:val="18"/>
              </w:rPr>
            </w:pPr>
          </w:p>
        </w:tc>
        <w:tc>
          <w:tcPr>
            <w:tcW w:w="497" w:type="dxa"/>
            <w:noWrap w:val="0"/>
            <w:vAlign w:val="center"/>
          </w:tcPr>
          <w:p w14:paraId="6714CBA8">
            <w:pPr>
              <w:snapToGrid w:val="0"/>
              <w:ind w:left="-57" w:leftChars="-27" w:right="-63" w:rightChars="-30"/>
              <w:jc w:val="center"/>
              <w:rPr>
                <w:rFonts w:hint="eastAsia" w:ascii="宋体" w:hAnsi="宋体" w:cs="宋体"/>
                <w:sz w:val="18"/>
                <w:szCs w:val="18"/>
              </w:rPr>
            </w:pPr>
          </w:p>
        </w:tc>
        <w:tc>
          <w:tcPr>
            <w:tcW w:w="526" w:type="dxa"/>
            <w:noWrap w:val="0"/>
            <w:vAlign w:val="center"/>
          </w:tcPr>
          <w:p w14:paraId="1B520029">
            <w:pPr>
              <w:snapToGrid w:val="0"/>
              <w:ind w:left="-57" w:leftChars="-27" w:right="-63" w:rightChars="-30"/>
              <w:jc w:val="center"/>
              <w:rPr>
                <w:rFonts w:hint="eastAsia" w:ascii="宋体" w:hAnsi="宋体" w:cs="宋体"/>
                <w:sz w:val="18"/>
                <w:szCs w:val="18"/>
              </w:rPr>
            </w:pPr>
          </w:p>
        </w:tc>
        <w:tc>
          <w:tcPr>
            <w:tcW w:w="696" w:type="dxa"/>
            <w:noWrap w:val="0"/>
            <w:vAlign w:val="center"/>
          </w:tcPr>
          <w:p w14:paraId="13212A03">
            <w:pPr>
              <w:snapToGrid w:val="0"/>
              <w:ind w:left="-57" w:leftChars="-27" w:right="-63" w:rightChars="-30"/>
              <w:jc w:val="center"/>
              <w:rPr>
                <w:rFonts w:hint="eastAsia" w:ascii="宋体" w:hAnsi="宋体" w:cs="宋体"/>
                <w:sz w:val="18"/>
                <w:szCs w:val="18"/>
              </w:rPr>
            </w:pPr>
          </w:p>
        </w:tc>
        <w:tc>
          <w:tcPr>
            <w:tcW w:w="621" w:type="dxa"/>
            <w:noWrap w:val="0"/>
            <w:vAlign w:val="center"/>
          </w:tcPr>
          <w:p w14:paraId="7F38B8CA">
            <w:pPr>
              <w:snapToGrid w:val="0"/>
              <w:ind w:left="-57" w:leftChars="-27" w:right="-63" w:rightChars="-30"/>
              <w:jc w:val="center"/>
              <w:rPr>
                <w:rFonts w:hint="eastAsia" w:ascii="宋体" w:hAnsi="宋体" w:cs="宋体"/>
                <w:sz w:val="18"/>
                <w:szCs w:val="18"/>
              </w:rPr>
            </w:pPr>
          </w:p>
        </w:tc>
        <w:tc>
          <w:tcPr>
            <w:tcW w:w="635" w:type="dxa"/>
            <w:noWrap w:val="0"/>
            <w:vAlign w:val="center"/>
          </w:tcPr>
          <w:p w14:paraId="5367C53A">
            <w:pPr>
              <w:snapToGrid w:val="0"/>
              <w:ind w:left="-57" w:leftChars="-27" w:right="-63" w:rightChars="-30"/>
              <w:jc w:val="center"/>
              <w:rPr>
                <w:rFonts w:hint="eastAsia" w:ascii="宋体" w:hAnsi="宋体" w:cs="宋体"/>
                <w:sz w:val="18"/>
                <w:szCs w:val="18"/>
              </w:rPr>
            </w:pPr>
          </w:p>
        </w:tc>
        <w:tc>
          <w:tcPr>
            <w:tcW w:w="631" w:type="dxa"/>
            <w:noWrap w:val="0"/>
            <w:vAlign w:val="center"/>
          </w:tcPr>
          <w:p w14:paraId="5423D376">
            <w:pPr>
              <w:snapToGrid w:val="0"/>
              <w:ind w:left="-57" w:leftChars="-27" w:right="-63" w:rightChars="-30"/>
              <w:jc w:val="center"/>
              <w:rPr>
                <w:rFonts w:hint="eastAsia" w:ascii="宋体" w:hAnsi="宋体" w:cs="宋体"/>
                <w:sz w:val="18"/>
                <w:szCs w:val="18"/>
              </w:rPr>
            </w:pPr>
          </w:p>
        </w:tc>
        <w:tc>
          <w:tcPr>
            <w:tcW w:w="701" w:type="dxa"/>
            <w:noWrap w:val="0"/>
            <w:vAlign w:val="center"/>
          </w:tcPr>
          <w:p w14:paraId="09DB438D">
            <w:pPr>
              <w:snapToGrid w:val="0"/>
              <w:ind w:left="-57" w:leftChars="-27" w:right="-63" w:rightChars="-30"/>
              <w:jc w:val="center"/>
              <w:rPr>
                <w:rFonts w:hint="eastAsia" w:ascii="宋体" w:hAnsi="宋体" w:cs="宋体"/>
                <w:sz w:val="18"/>
                <w:szCs w:val="18"/>
              </w:rPr>
            </w:pPr>
          </w:p>
        </w:tc>
        <w:tc>
          <w:tcPr>
            <w:tcW w:w="676" w:type="dxa"/>
            <w:noWrap w:val="0"/>
            <w:vAlign w:val="center"/>
          </w:tcPr>
          <w:p w14:paraId="44996B4E">
            <w:pPr>
              <w:snapToGrid w:val="0"/>
              <w:ind w:left="-57" w:leftChars="-27" w:right="-63" w:rightChars="-30"/>
              <w:jc w:val="center"/>
              <w:rPr>
                <w:rFonts w:hint="eastAsia" w:ascii="宋体" w:hAnsi="宋体" w:cs="宋体"/>
                <w:sz w:val="18"/>
                <w:szCs w:val="18"/>
              </w:rPr>
            </w:pPr>
          </w:p>
        </w:tc>
        <w:tc>
          <w:tcPr>
            <w:tcW w:w="483" w:type="dxa"/>
            <w:noWrap w:val="0"/>
            <w:vAlign w:val="center"/>
          </w:tcPr>
          <w:p w14:paraId="50413D04">
            <w:pPr>
              <w:snapToGrid w:val="0"/>
              <w:ind w:left="-57" w:leftChars="-27" w:right="-63" w:rightChars="-30"/>
              <w:jc w:val="center"/>
              <w:rPr>
                <w:rFonts w:hint="eastAsia" w:ascii="宋体" w:hAnsi="宋体" w:cs="宋体"/>
                <w:sz w:val="18"/>
                <w:szCs w:val="18"/>
              </w:rPr>
            </w:pPr>
          </w:p>
        </w:tc>
        <w:tc>
          <w:tcPr>
            <w:tcW w:w="456" w:type="dxa"/>
            <w:noWrap w:val="0"/>
            <w:vAlign w:val="center"/>
          </w:tcPr>
          <w:p w14:paraId="771CB3B3">
            <w:pPr>
              <w:snapToGrid w:val="0"/>
              <w:ind w:left="-57" w:leftChars="-27" w:right="-63" w:rightChars="-30"/>
              <w:jc w:val="center"/>
              <w:rPr>
                <w:rFonts w:hint="eastAsia" w:ascii="宋体" w:hAnsi="宋体" w:cs="宋体"/>
                <w:sz w:val="18"/>
                <w:szCs w:val="18"/>
              </w:rPr>
            </w:pPr>
          </w:p>
        </w:tc>
        <w:tc>
          <w:tcPr>
            <w:tcW w:w="546" w:type="dxa"/>
            <w:noWrap w:val="0"/>
            <w:vAlign w:val="center"/>
          </w:tcPr>
          <w:p w14:paraId="5BA48D95">
            <w:pPr>
              <w:snapToGrid w:val="0"/>
              <w:ind w:left="-57" w:leftChars="-27" w:right="-63" w:rightChars="-30"/>
              <w:jc w:val="center"/>
              <w:rPr>
                <w:rFonts w:hint="eastAsia" w:ascii="宋体" w:hAnsi="宋体" w:cs="宋体"/>
                <w:sz w:val="18"/>
                <w:szCs w:val="18"/>
              </w:rPr>
            </w:pPr>
          </w:p>
        </w:tc>
      </w:tr>
      <w:tr w14:paraId="264B7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78" w:type="dxa"/>
            <w:noWrap w:val="0"/>
            <w:vAlign w:val="center"/>
          </w:tcPr>
          <w:p w14:paraId="13F70C01">
            <w:pPr>
              <w:snapToGrid w:val="0"/>
              <w:ind w:left="-57" w:leftChars="-27" w:right="-63" w:rightChars="-30"/>
              <w:jc w:val="center"/>
              <w:rPr>
                <w:rFonts w:hint="eastAsia" w:ascii="宋体" w:hAnsi="宋体" w:cs="宋体"/>
                <w:sz w:val="18"/>
                <w:szCs w:val="18"/>
              </w:rPr>
            </w:pPr>
          </w:p>
        </w:tc>
        <w:tc>
          <w:tcPr>
            <w:tcW w:w="1167" w:type="dxa"/>
            <w:noWrap w:val="0"/>
            <w:vAlign w:val="center"/>
          </w:tcPr>
          <w:p w14:paraId="130759AC">
            <w:pPr>
              <w:snapToGrid w:val="0"/>
              <w:ind w:left="-57" w:leftChars="-27" w:right="-63" w:rightChars="-30"/>
              <w:jc w:val="center"/>
              <w:rPr>
                <w:rFonts w:hint="eastAsia" w:ascii="宋体" w:hAnsi="宋体" w:cs="宋体"/>
                <w:sz w:val="18"/>
                <w:szCs w:val="18"/>
              </w:rPr>
            </w:pPr>
          </w:p>
        </w:tc>
        <w:tc>
          <w:tcPr>
            <w:tcW w:w="497" w:type="dxa"/>
            <w:noWrap w:val="0"/>
            <w:vAlign w:val="center"/>
          </w:tcPr>
          <w:p w14:paraId="4A4D3D4F">
            <w:pPr>
              <w:snapToGrid w:val="0"/>
              <w:ind w:left="-57" w:leftChars="-27" w:right="-63" w:rightChars="-30"/>
              <w:jc w:val="center"/>
              <w:rPr>
                <w:rFonts w:hint="eastAsia" w:ascii="宋体" w:hAnsi="宋体" w:cs="宋体"/>
                <w:sz w:val="18"/>
                <w:szCs w:val="18"/>
              </w:rPr>
            </w:pPr>
          </w:p>
        </w:tc>
        <w:tc>
          <w:tcPr>
            <w:tcW w:w="526" w:type="dxa"/>
            <w:noWrap w:val="0"/>
            <w:vAlign w:val="center"/>
          </w:tcPr>
          <w:p w14:paraId="3CA1F237">
            <w:pPr>
              <w:snapToGrid w:val="0"/>
              <w:ind w:left="-57" w:leftChars="-27" w:right="-63" w:rightChars="-30"/>
              <w:jc w:val="center"/>
              <w:rPr>
                <w:rFonts w:hint="eastAsia" w:ascii="宋体" w:hAnsi="宋体" w:cs="宋体"/>
                <w:sz w:val="18"/>
                <w:szCs w:val="18"/>
              </w:rPr>
            </w:pPr>
          </w:p>
        </w:tc>
        <w:tc>
          <w:tcPr>
            <w:tcW w:w="696" w:type="dxa"/>
            <w:noWrap w:val="0"/>
            <w:vAlign w:val="center"/>
          </w:tcPr>
          <w:p w14:paraId="5057B227">
            <w:pPr>
              <w:snapToGrid w:val="0"/>
              <w:ind w:left="-57" w:leftChars="-27" w:right="-63" w:rightChars="-30"/>
              <w:jc w:val="center"/>
              <w:rPr>
                <w:rFonts w:hint="eastAsia" w:ascii="宋体" w:hAnsi="宋体" w:cs="宋体"/>
                <w:sz w:val="18"/>
                <w:szCs w:val="18"/>
              </w:rPr>
            </w:pPr>
          </w:p>
        </w:tc>
        <w:tc>
          <w:tcPr>
            <w:tcW w:w="621" w:type="dxa"/>
            <w:noWrap w:val="0"/>
            <w:vAlign w:val="center"/>
          </w:tcPr>
          <w:p w14:paraId="6A4034EA">
            <w:pPr>
              <w:snapToGrid w:val="0"/>
              <w:ind w:left="-57" w:leftChars="-27" w:right="-63" w:rightChars="-30"/>
              <w:jc w:val="center"/>
              <w:rPr>
                <w:rFonts w:hint="eastAsia" w:ascii="宋体" w:hAnsi="宋体" w:cs="宋体"/>
                <w:sz w:val="18"/>
                <w:szCs w:val="18"/>
              </w:rPr>
            </w:pPr>
          </w:p>
        </w:tc>
        <w:tc>
          <w:tcPr>
            <w:tcW w:w="635" w:type="dxa"/>
            <w:noWrap w:val="0"/>
            <w:vAlign w:val="center"/>
          </w:tcPr>
          <w:p w14:paraId="1FB2EBFC">
            <w:pPr>
              <w:snapToGrid w:val="0"/>
              <w:ind w:left="-57" w:leftChars="-27" w:right="-63" w:rightChars="-30"/>
              <w:jc w:val="center"/>
              <w:rPr>
                <w:rFonts w:hint="eastAsia" w:ascii="宋体" w:hAnsi="宋体" w:cs="宋体"/>
                <w:sz w:val="18"/>
                <w:szCs w:val="18"/>
              </w:rPr>
            </w:pPr>
          </w:p>
        </w:tc>
        <w:tc>
          <w:tcPr>
            <w:tcW w:w="631" w:type="dxa"/>
            <w:noWrap w:val="0"/>
            <w:vAlign w:val="center"/>
          </w:tcPr>
          <w:p w14:paraId="733CAEB7">
            <w:pPr>
              <w:snapToGrid w:val="0"/>
              <w:ind w:left="-57" w:leftChars="-27" w:right="-63" w:rightChars="-30"/>
              <w:jc w:val="center"/>
              <w:rPr>
                <w:rFonts w:hint="eastAsia" w:ascii="宋体" w:hAnsi="宋体" w:cs="宋体"/>
                <w:sz w:val="18"/>
                <w:szCs w:val="18"/>
              </w:rPr>
            </w:pPr>
          </w:p>
        </w:tc>
        <w:tc>
          <w:tcPr>
            <w:tcW w:w="701" w:type="dxa"/>
            <w:noWrap w:val="0"/>
            <w:vAlign w:val="center"/>
          </w:tcPr>
          <w:p w14:paraId="205332B7">
            <w:pPr>
              <w:snapToGrid w:val="0"/>
              <w:ind w:left="-57" w:leftChars="-27" w:right="-63" w:rightChars="-30"/>
              <w:jc w:val="center"/>
              <w:rPr>
                <w:rFonts w:hint="eastAsia" w:ascii="宋体" w:hAnsi="宋体" w:cs="宋体"/>
                <w:sz w:val="18"/>
                <w:szCs w:val="18"/>
              </w:rPr>
            </w:pPr>
          </w:p>
        </w:tc>
        <w:tc>
          <w:tcPr>
            <w:tcW w:w="676" w:type="dxa"/>
            <w:noWrap w:val="0"/>
            <w:vAlign w:val="center"/>
          </w:tcPr>
          <w:p w14:paraId="0D5DECE7">
            <w:pPr>
              <w:snapToGrid w:val="0"/>
              <w:ind w:left="-57" w:leftChars="-27" w:right="-63" w:rightChars="-30"/>
              <w:jc w:val="center"/>
              <w:rPr>
                <w:rFonts w:hint="eastAsia" w:ascii="宋体" w:hAnsi="宋体" w:cs="宋体"/>
                <w:sz w:val="18"/>
                <w:szCs w:val="18"/>
              </w:rPr>
            </w:pPr>
          </w:p>
        </w:tc>
        <w:tc>
          <w:tcPr>
            <w:tcW w:w="483" w:type="dxa"/>
            <w:noWrap w:val="0"/>
            <w:vAlign w:val="center"/>
          </w:tcPr>
          <w:p w14:paraId="31E0008E">
            <w:pPr>
              <w:snapToGrid w:val="0"/>
              <w:ind w:left="-57" w:leftChars="-27" w:right="-63" w:rightChars="-30"/>
              <w:jc w:val="center"/>
              <w:rPr>
                <w:rFonts w:hint="eastAsia" w:ascii="宋体" w:hAnsi="宋体" w:cs="宋体"/>
                <w:sz w:val="18"/>
                <w:szCs w:val="18"/>
              </w:rPr>
            </w:pPr>
          </w:p>
        </w:tc>
        <w:tc>
          <w:tcPr>
            <w:tcW w:w="456" w:type="dxa"/>
            <w:noWrap w:val="0"/>
            <w:vAlign w:val="center"/>
          </w:tcPr>
          <w:p w14:paraId="32E31706">
            <w:pPr>
              <w:snapToGrid w:val="0"/>
              <w:ind w:left="-57" w:leftChars="-27" w:right="-63" w:rightChars="-30"/>
              <w:jc w:val="center"/>
              <w:rPr>
                <w:rFonts w:hint="eastAsia" w:ascii="宋体" w:hAnsi="宋体" w:cs="宋体"/>
                <w:sz w:val="18"/>
                <w:szCs w:val="18"/>
              </w:rPr>
            </w:pPr>
          </w:p>
        </w:tc>
        <w:tc>
          <w:tcPr>
            <w:tcW w:w="546" w:type="dxa"/>
            <w:noWrap w:val="0"/>
            <w:vAlign w:val="center"/>
          </w:tcPr>
          <w:p w14:paraId="11B62205">
            <w:pPr>
              <w:snapToGrid w:val="0"/>
              <w:ind w:left="-57" w:leftChars="-27" w:right="-63" w:rightChars="-30"/>
              <w:jc w:val="center"/>
              <w:rPr>
                <w:rFonts w:hint="eastAsia" w:ascii="宋体" w:hAnsi="宋体" w:cs="宋体"/>
                <w:sz w:val="18"/>
                <w:szCs w:val="18"/>
              </w:rPr>
            </w:pPr>
          </w:p>
        </w:tc>
      </w:tr>
    </w:tbl>
    <w:p w14:paraId="1A204F4D">
      <w:pPr>
        <w:spacing w:line="400" w:lineRule="exact"/>
        <w:ind w:right="420"/>
        <w:rPr>
          <w:rFonts w:hint="eastAsia" w:ascii="宋体" w:hAnsi="宋体" w:cs="宋体"/>
          <w:szCs w:val="21"/>
        </w:rPr>
      </w:pPr>
      <w:r>
        <w:rPr>
          <w:rFonts w:hint="eastAsia" w:ascii="宋体" w:hAnsi="宋体" w:cs="宋体"/>
          <w:szCs w:val="21"/>
        </w:rPr>
        <w:t>招标人代表： 记录人： 监标人：</w:t>
      </w:r>
    </w:p>
    <w:p w14:paraId="1DA39FBC">
      <w:pPr>
        <w:spacing w:line="620" w:lineRule="exact"/>
        <w:ind w:firstLine="420"/>
        <w:jc w:val="right"/>
        <w:rPr>
          <w:rFonts w:hint="eastAsia" w:ascii="宋体" w:hAnsi="宋体" w:cs="宋体"/>
          <w:sz w:val="20"/>
          <w:szCs w:val="20"/>
        </w:rPr>
      </w:pPr>
      <w:r>
        <w:rPr>
          <w:rFonts w:hint="eastAsia" w:ascii="宋体" w:hAnsi="宋体" w:cs="宋体"/>
          <w:szCs w:val="21"/>
        </w:rPr>
        <w:t>年月日</w:t>
      </w:r>
    </w:p>
    <w:bookmarkEnd w:id="442"/>
    <w:bookmarkEnd w:id="443"/>
    <w:bookmarkEnd w:id="444"/>
    <w:bookmarkEnd w:id="445"/>
    <w:bookmarkEnd w:id="446"/>
    <w:bookmarkEnd w:id="447"/>
    <w:p w14:paraId="485CB0D6">
      <w:pPr>
        <w:spacing w:line="620" w:lineRule="exact"/>
        <w:ind w:firstLine="420"/>
        <w:jc w:val="right"/>
        <w:rPr>
          <w:rFonts w:hint="eastAsia" w:ascii="宋体" w:hAnsi="宋体" w:cs="宋体"/>
          <w:sz w:val="20"/>
          <w:szCs w:val="20"/>
        </w:rPr>
      </w:pPr>
    </w:p>
    <w:p w14:paraId="22ED9473"/>
    <w:p w14:paraId="3B403CF1"/>
    <w:p w14:paraId="35520D0D">
      <w:r>
        <w:rPr>
          <w:rFonts w:hint="eastAsia"/>
        </w:rPr>
        <w:t>注：本表仅供参考，具体以开标时的开标记录表为准。</w:t>
      </w:r>
    </w:p>
    <w:p w14:paraId="5A5C066E">
      <w:pPr>
        <w:pStyle w:val="4"/>
        <w:rPr>
          <w:rFonts w:hint="eastAsia"/>
        </w:rPr>
      </w:pPr>
      <w:r>
        <w:rPr>
          <w:rFonts w:hint="eastAsia"/>
        </w:rPr>
        <w:br w:type="page"/>
      </w:r>
      <w:bookmarkStart w:id="448" w:name="_Toc134304574"/>
      <w:r>
        <w:rPr>
          <w:rFonts w:hint="eastAsia"/>
        </w:rPr>
        <w:t>附件二：问题澄清通知</w:t>
      </w:r>
      <w:bookmarkEnd w:id="448"/>
    </w:p>
    <w:p w14:paraId="4FE906AD">
      <w:pPr>
        <w:spacing w:line="440" w:lineRule="exact"/>
        <w:ind w:firstLine="420"/>
        <w:jc w:val="center"/>
        <w:rPr>
          <w:rFonts w:hint="eastAsia" w:ascii="宋体" w:hAnsi="宋体" w:cs="宋体"/>
          <w:szCs w:val="21"/>
        </w:rPr>
      </w:pPr>
    </w:p>
    <w:p w14:paraId="7C926080">
      <w:pPr>
        <w:spacing w:line="440" w:lineRule="exact"/>
        <w:jc w:val="center"/>
        <w:rPr>
          <w:rFonts w:hint="eastAsia" w:ascii="宋体" w:hAnsi="宋体" w:cs="宋体"/>
          <w:b/>
          <w:sz w:val="28"/>
          <w:szCs w:val="28"/>
        </w:rPr>
      </w:pPr>
      <w:r>
        <w:rPr>
          <w:rFonts w:hint="eastAsia" w:ascii="宋体" w:hAnsi="宋体" w:cs="宋体"/>
          <w:b/>
          <w:sz w:val="28"/>
          <w:szCs w:val="28"/>
        </w:rPr>
        <w:t>问题澄清通知</w:t>
      </w:r>
    </w:p>
    <w:p w14:paraId="2BF0A432">
      <w:pPr>
        <w:spacing w:line="440" w:lineRule="exact"/>
        <w:ind w:firstLine="6663"/>
        <w:rPr>
          <w:rFonts w:hint="eastAsia" w:ascii="宋体" w:hAnsi="宋体" w:cs="宋体"/>
          <w:szCs w:val="21"/>
        </w:rPr>
      </w:pPr>
      <w:r>
        <w:rPr>
          <w:rFonts w:hint="eastAsia" w:ascii="宋体" w:hAnsi="宋体" w:cs="宋体"/>
          <w:szCs w:val="21"/>
        </w:rPr>
        <w:t>编号：</w:t>
      </w:r>
    </w:p>
    <w:p w14:paraId="179C2445">
      <w:pPr>
        <w:spacing w:line="440" w:lineRule="exact"/>
        <w:ind w:firstLine="420"/>
        <w:rPr>
          <w:rFonts w:hint="eastAsia" w:ascii="宋体" w:hAnsi="宋体" w:cs="宋体"/>
          <w:szCs w:val="21"/>
        </w:rPr>
      </w:pPr>
    </w:p>
    <w:p w14:paraId="525CF8F9">
      <w:pPr>
        <w:spacing w:line="440" w:lineRule="exact"/>
        <w:rPr>
          <w:rFonts w:hint="eastAsia" w:ascii="宋体" w:hAnsi="宋体" w:cs="宋体"/>
          <w:szCs w:val="21"/>
        </w:rPr>
      </w:pPr>
      <w:r>
        <w:rPr>
          <w:rFonts w:hint="eastAsia" w:ascii="宋体" w:hAnsi="宋体" w:cs="宋体"/>
          <w:szCs w:val="21"/>
        </w:rPr>
        <w:t>（投标人名称）：</w:t>
      </w:r>
    </w:p>
    <w:p w14:paraId="6C164F10">
      <w:pPr>
        <w:spacing w:line="440" w:lineRule="exact"/>
        <w:ind w:firstLine="420"/>
        <w:rPr>
          <w:rFonts w:hint="eastAsia" w:ascii="宋体" w:hAnsi="宋体" w:cs="宋体"/>
          <w:szCs w:val="21"/>
        </w:rPr>
      </w:pPr>
    </w:p>
    <w:p w14:paraId="362D03C6">
      <w:pPr>
        <w:spacing w:line="440" w:lineRule="exact"/>
        <w:ind w:firstLine="420"/>
        <w:rPr>
          <w:rFonts w:hint="eastAsia" w:ascii="宋体" w:hAnsi="宋体" w:cs="宋体"/>
          <w:szCs w:val="21"/>
        </w:rPr>
      </w:pPr>
      <w:r>
        <w:rPr>
          <w:rFonts w:hint="eastAsia" w:ascii="宋体" w:hAnsi="宋体" w:cs="宋体"/>
          <w:szCs w:val="21"/>
        </w:rPr>
        <w:t>（项目名称）招标的评标委员会，对你方的投标文件进行了仔细的审查，现需你方对下列问题以书面形式予以澄清：</w:t>
      </w:r>
    </w:p>
    <w:p w14:paraId="2533FB72">
      <w:pPr>
        <w:spacing w:line="440" w:lineRule="exact"/>
        <w:ind w:firstLine="420"/>
        <w:rPr>
          <w:rFonts w:hint="eastAsia" w:ascii="宋体" w:hAnsi="宋体" w:cs="宋体"/>
          <w:szCs w:val="21"/>
        </w:rPr>
      </w:pPr>
    </w:p>
    <w:p w14:paraId="639547A0">
      <w:pPr>
        <w:spacing w:line="440" w:lineRule="exact"/>
        <w:ind w:firstLine="420"/>
        <w:rPr>
          <w:rFonts w:hint="eastAsia" w:ascii="宋体" w:hAnsi="宋体" w:cs="宋体"/>
          <w:szCs w:val="21"/>
        </w:rPr>
      </w:pPr>
      <w:r>
        <w:rPr>
          <w:rFonts w:hint="eastAsia" w:ascii="宋体" w:hAnsi="宋体" w:cs="宋体"/>
          <w:szCs w:val="21"/>
        </w:rPr>
        <w:t>1.</w:t>
      </w:r>
    </w:p>
    <w:p w14:paraId="744099AA">
      <w:pPr>
        <w:spacing w:line="440" w:lineRule="exact"/>
        <w:ind w:firstLine="420"/>
        <w:rPr>
          <w:rFonts w:hint="eastAsia" w:ascii="宋体" w:hAnsi="宋体" w:cs="宋体"/>
          <w:szCs w:val="21"/>
        </w:rPr>
      </w:pPr>
      <w:r>
        <w:rPr>
          <w:rFonts w:hint="eastAsia" w:ascii="宋体" w:hAnsi="宋体" w:cs="宋体"/>
          <w:szCs w:val="21"/>
        </w:rPr>
        <w:t>2.</w:t>
      </w:r>
    </w:p>
    <w:p w14:paraId="6EA0AF5B">
      <w:pPr>
        <w:spacing w:line="440" w:lineRule="exact"/>
        <w:ind w:firstLine="420"/>
        <w:rPr>
          <w:rFonts w:hint="eastAsia" w:ascii="宋体" w:hAnsi="宋体" w:cs="宋体"/>
          <w:szCs w:val="21"/>
        </w:rPr>
      </w:pPr>
      <w:r>
        <w:rPr>
          <w:rFonts w:hint="eastAsia" w:ascii="宋体" w:hAnsi="宋体" w:cs="宋体"/>
          <w:szCs w:val="21"/>
        </w:rPr>
        <w:t xml:space="preserve">......   </w:t>
      </w:r>
    </w:p>
    <w:p w14:paraId="1EF917AC">
      <w:pPr>
        <w:spacing w:line="440" w:lineRule="exact"/>
        <w:ind w:firstLine="420"/>
        <w:rPr>
          <w:rFonts w:hint="eastAsia" w:ascii="宋体" w:hAnsi="宋体" w:cs="宋体"/>
          <w:szCs w:val="21"/>
        </w:rPr>
      </w:pPr>
    </w:p>
    <w:p w14:paraId="253338B8">
      <w:pPr>
        <w:spacing w:line="440" w:lineRule="exact"/>
        <w:ind w:firstLine="420"/>
        <w:rPr>
          <w:rFonts w:hint="eastAsia" w:ascii="宋体" w:hAnsi="宋体" w:cs="宋体"/>
          <w:szCs w:val="21"/>
        </w:rPr>
      </w:pPr>
      <w:r>
        <w:rPr>
          <w:rFonts w:hint="eastAsia" w:ascii="宋体" w:hAnsi="宋体" w:cs="宋体"/>
          <w:szCs w:val="21"/>
        </w:rPr>
        <w:t>请将上述问题的澄清于年月日时前递交至（详细地址）或传真至</w:t>
      </w:r>
      <w:bookmarkStart w:id="449" w:name="_Toc152045582"/>
      <w:bookmarkStart w:id="450" w:name="_Toc247527607"/>
      <w:bookmarkStart w:id="451" w:name="_Toc357089563"/>
      <w:bookmarkStart w:id="452" w:name="_Toc439246049"/>
      <w:bookmarkStart w:id="453" w:name="_Toc300835003"/>
      <w:bookmarkStart w:id="454" w:name="_Toc356469229"/>
      <w:bookmarkStart w:id="455" w:name="_Toc247514006"/>
      <w:bookmarkStart w:id="456" w:name="_Toc439240650"/>
      <w:bookmarkStart w:id="457" w:name="_Toc144974549"/>
      <w:bookmarkStart w:id="458" w:name="_Toc152042359"/>
      <w:r>
        <w:rPr>
          <w:rFonts w:hint="eastAsia" w:ascii="宋体" w:hAnsi="宋体" w:cs="宋体"/>
          <w:szCs w:val="21"/>
        </w:rPr>
        <w:t>（传真号码</w:t>
      </w:r>
      <w:bookmarkEnd w:id="449"/>
      <w:bookmarkEnd w:id="450"/>
      <w:bookmarkEnd w:id="451"/>
      <w:bookmarkEnd w:id="452"/>
      <w:bookmarkEnd w:id="453"/>
      <w:bookmarkEnd w:id="454"/>
      <w:bookmarkEnd w:id="455"/>
      <w:bookmarkEnd w:id="456"/>
      <w:bookmarkEnd w:id="457"/>
      <w:bookmarkEnd w:id="458"/>
      <w:r>
        <w:rPr>
          <w:rFonts w:hint="eastAsia" w:ascii="宋体" w:hAnsi="宋体" w:cs="宋体"/>
          <w:szCs w:val="21"/>
        </w:rPr>
        <w:t>）。采用传真方式的，应在年月日时前将原件递交至（详细地址）。</w:t>
      </w:r>
    </w:p>
    <w:p w14:paraId="1FC2DCCF">
      <w:pPr>
        <w:spacing w:line="440" w:lineRule="exact"/>
        <w:ind w:firstLine="420"/>
        <w:rPr>
          <w:rFonts w:hint="eastAsia" w:ascii="宋体" w:hAnsi="宋体" w:cs="宋体"/>
          <w:szCs w:val="21"/>
        </w:rPr>
      </w:pPr>
    </w:p>
    <w:p w14:paraId="1343FAC0">
      <w:pPr>
        <w:spacing w:line="440" w:lineRule="exact"/>
        <w:ind w:firstLine="420"/>
        <w:rPr>
          <w:rFonts w:hint="eastAsia" w:ascii="宋体" w:hAnsi="宋体" w:cs="宋体"/>
          <w:szCs w:val="21"/>
        </w:rPr>
      </w:pPr>
    </w:p>
    <w:p w14:paraId="3832F615">
      <w:pPr>
        <w:spacing w:line="440" w:lineRule="exact"/>
        <w:ind w:firstLine="420"/>
        <w:jc w:val="center"/>
        <w:rPr>
          <w:rFonts w:hint="eastAsia" w:ascii="宋体" w:hAnsi="宋体" w:cs="宋体"/>
          <w:szCs w:val="21"/>
        </w:rPr>
      </w:pPr>
      <w:r>
        <w:rPr>
          <w:rFonts w:hint="eastAsia" w:ascii="宋体" w:hAnsi="宋体" w:cs="宋体"/>
          <w:szCs w:val="21"/>
        </w:rPr>
        <w:t>评标委员会</w:t>
      </w:r>
    </w:p>
    <w:p w14:paraId="2A8E5EE8">
      <w:pPr>
        <w:spacing w:line="440" w:lineRule="exact"/>
        <w:ind w:firstLine="420"/>
        <w:rPr>
          <w:rFonts w:hint="eastAsia" w:ascii="宋体" w:hAnsi="宋体" w:cs="宋体"/>
          <w:szCs w:val="21"/>
        </w:rPr>
      </w:pPr>
    </w:p>
    <w:p w14:paraId="283DEAFE">
      <w:pPr>
        <w:spacing w:line="440" w:lineRule="exact"/>
        <w:ind w:firstLine="5670" w:firstLineChars="2700"/>
        <w:rPr>
          <w:rFonts w:hint="eastAsia" w:ascii="宋体" w:hAnsi="宋体" w:cs="宋体"/>
          <w:szCs w:val="21"/>
        </w:rPr>
      </w:pPr>
      <w:r>
        <w:rPr>
          <w:rFonts w:hint="eastAsia" w:ascii="宋体" w:hAnsi="宋体" w:cs="宋体"/>
          <w:szCs w:val="21"/>
        </w:rPr>
        <w:t>年  月  日</w:t>
      </w:r>
    </w:p>
    <w:p w14:paraId="10B68C20">
      <w:pPr>
        <w:spacing w:line="400" w:lineRule="exact"/>
        <w:ind w:firstLine="420"/>
        <w:rPr>
          <w:rFonts w:hint="eastAsia" w:ascii="宋体" w:hAnsi="宋体" w:cs="宋体"/>
        </w:rPr>
      </w:pPr>
    </w:p>
    <w:p w14:paraId="4987AEE0">
      <w:pPr>
        <w:pStyle w:val="4"/>
        <w:rPr>
          <w:rFonts w:hint="eastAsia"/>
        </w:rPr>
      </w:pPr>
      <w:r>
        <w:rPr>
          <w:rFonts w:hint="eastAsia" w:ascii="宋体" w:cs="宋体"/>
        </w:rPr>
        <w:br w:type="page"/>
      </w:r>
      <w:bookmarkStart w:id="459" w:name="_Toc134304575"/>
      <w:r>
        <w:rPr>
          <w:rFonts w:hint="eastAsia"/>
        </w:rPr>
        <w:t>附件三：问题的澄清</w:t>
      </w:r>
      <w:bookmarkEnd w:id="459"/>
    </w:p>
    <w:p w14:paraId="14BABB48">
      <w:pPr>
        <w:spacing w:line="400" w:lineRule="exact"/>
        <w:jc w:val="center"/>
        <w:rPr>
          <w:rFonts w:hint="eastAsia" w:ascii="宋体" w:hAnsi="宋体" w:cs="宋体"/>
          <w:b/>
          <w:sz w:val="28"/>
          <w:szCs w:val="28"/>
        </w:rPr>
      </w:pPr>
    </w:p>
    <w:p w14:paraId="3957C3AD">
      <w:pPr>
        <w:spacing w:line="400" w:lineRule="exact"/>
        <w:jc w:val="center"/>
        <w:rPr>
          <w:rFonts w:hint="eastAsia" w:ascii="宋体" w:hAnsi="宋体" w:cs="宋体"/>
          <w:b/>
          <w:sz w:val="28"/>
          <w:szCs w:val="28"/>
        </w:rPr>
      </w:pPr>
      <w:r>
        <w:rPr>
          <w:rFonts w:hint="eastAsia" w:ascii="宋体" w:hAnsi="宋体" w:cs="宋体"/>
          <w:b/>
          <w:sz w:val="28"/>
          <w:szCs w:val="28"/>
        </w:rPr>
        <w:t>问题的澄清</w:t>
      </w:r>
    </w:p>
    <w:p w14:paraId="38473B64">
      <w:pPr>
        <w:spacing w:line="400" w:lineRule="exact"/>
        <w:ind w:firstLine="6804" w:firstLineChars="3240"/>
        <w:rPr>
          <w:rFonts w:hint="eastAsia" w:ascii="宋体" w:hAnsi="宋体" w:cs="宋体"/>
        </w:rPr>
      </w:pPr>
      <w:r>
        <w:rPr>
          <w:rFonts w:hint="eastAsia" w:ascii="宋体" w:hAnsi="宋体" w:cs="宋体"/>
        </w:rPr>
        <w:t xml:space="preserve">编号： </w:t>
      </w:r>
    </w:p>
    <w:p w14:paraId="70A4A919">
      <w:pPr>
        <w:spacing w:line="400" w:lineRule="exact"/>
        <w:ind w:firstLine="420"/>
        <w:rPr>
          <w:rFonts w:hint="eastAsia" w:ascii="宋体" w:hAnsi="宋体" w:cs="宋体"/>
          <w:szCs w:val="21"/>
        </w:rPr>
      </w:pPr>
    </w:p>
    <w:p w14:paraId="09DC7C9C">
      <w:pPr>
        <w:spacing w:line="440" w:lineRule="exact"/>
        <w:ind w:firstLine="420"/>
        <w:rPr>
          <w:rFonts w:hint="eastAsia" w:ascii="宋体" w:hAnsi="宋体" w:cs="宋体"/>
          <w:szCs w:val="21"/>
        </w:rPr>
      </w:pPr>
      <w:r>
        <w:rPr>
          <w:rFonts w:hint="eastAsia" w:ascii="宋体" w:hAnsi="宋体" w:cs="宋体"/>
          <w:szCs w:val="21"/>
        </w:rPr>
        <w:t>（项目名称）招标评标委员会：</w:t>
      </w:r>
    </w:p>
    <w:p w14:paraId="2BF1C2BD">
      <w:pPr>
        <w:spacing w:line="440" w:lineRule="exact"/>
        <w:ind w:firstLine="420"/>
        <w:rPr>
          <w:rFonts w:hint="eastAsia" w:ascii="宋体" w:hAnsi="宋体" w:cs="宋体"/>
          <w:szCs w:val="21"/>
        </w:rPr>
      </w:pPr>
    </w:p>
    <w:p w14:paraId="2A57FBA6">
      <w:pPr>
        <w:spacing w:line="440" w:lineRule="exact"/>
        <w:ind w:firstLine="840" w:firstLineChars="400"/>
        <w:rPr>
          <w:rFonts w:hint="eastAsia" w:ascii="宋体" w:hAnsi="宋体" w:cs="宋体"/>
          <w:szCs w:val="21"/>
        </w:rPr>
      </w:pPr>
      <w:r>
        <w:rPr>
          <w:rFonts w:hint="eastAsia" w:ascii="宋体" w:hAnsi="宋体" w:cs="宋体"/>
          <w:szCs w:val="21"/>
        </w:rPr>
        <w:t>问题澄清通知（编号：）已收悉，现澄清如下：</w:t>
      </w:r>
    </w:p>
    <w:p w14:paraId="14378FCC">
      <w:pPr>
        <w:spacing w:line="440" w:lineRule="exact"/>
        <w:ind w:firstLine="840" w:firstLineChars="400"/>
        <w:rPr>
          <w:rFonts w:hint="eastAsia" w:ascii="宋体" w:hAnsi="宋体" w:cs="宋体"/>
          <w:szCs w:val="21"/>
        </w:rPr>
      </w:pPr>
      <w:r>
        <w:rPr>
          <w:rFonts w:hint="eastAsia" w:ascii="宋体" w:hAnsi="宋体" w:cs="宋体"/>
          <w:szCs w:val="21"/>
        </w:rPr>
        <w:t>1.</w:t>
      </w:r>
    </w:p>
    <w:p w14:paraId="1423740A">
      <w:pPr>
        <w:spacing w:line="440" w:lineRule="exact"/>
        <w:ind w:firstLine="840" w:firstLineChars="400"/>
        <w:rPr>
          <w:rFonts w:hint="eastAsia" w:ascii="宋体" w:hAnsi="宋体" w:cs="宋体"/>
          <w:szCs w:val="21"/>
        </w:rPr>
      </w:pPr>
      <w:r>
        <w:rPr>
          <w:rFonts w:hint="eastAsia" w:ascii="宋体" w:hAnsi="宋体" w:cs="宋体"/>
          <w:szCs w:val="21"/>
        </w:rPr>
        <w:t>2.</w:t>
      </w:r>
    </w:p>
    <w:p w14:paraId="5DEC572D">
      <w:pPr>
        <w:spacing w:line="440" w:lineRule="exact"/>
        <w:ind w:firstLine="840" w:firstLineChars="400"/>
        <w:rPr>
          <w:rFonts w:hint="eastAsia" w:ascii="宋体" w:hAnsi="宋体" w:cs="宋体"/>
          <w:szCs w:val="21"/>
        </w:rPr>
      </w:pPr>
      <w:r>
        <w:rPr>
          <w:rFonts w:hint="eastAsia" w:ascii="宋体" w:hAnsi="宋体" w:cs="宋体"/>
          <w:szCs w:val="21"/>
        </w:rPr>
        <w:t>.....</w:t>
      </w:r>
    </w:p>
    <w:p w14:paraId="0A841299">
      <w:pPr>
        <w:spacing w:line="440" w:lineRule="exact"/>
        <w:ind w:firstLine="420"/>
        <w:rPr>
          <w:rFonts w:hint="eastAsia" w:ascii="宋体" w:hAnsi="宋体" w:cs="宋体"/>
          <w:szCs w:val="21"/>
        </w:rPr>
      </w:pPr>
    </w:p>
    <w:p w14:paraId="6791669C">
      <w:pPr>
        <w:spacing w:line="440" w:lineRule="exact"/>
        <w:ind w:firstLine="420"/>
        <w:rPr>
          <w:rFonts w:hint="eastAsia" w:ascii="宋体" w:hAnsi="宋体" w:cs="宋体"/>
          <w:szCs w:val="21"/>
        </w:rPr>
      </w:pPr>
    </w:p>
    <w:p w14:paraId="5CBAB6E6">
      <w:pPr>
        <w:spacing w:line="440" w:lineRule="exact"/>
        <w:ind w:firstLine="420"/>
        <w:rPr>
          <w:rFonts w:hint="eastAsia" w:ascii="宋体" w:hAnsi="宋体" w:cs="宋体"/>
          <w:szCs w:val="21"/>
        </w:rPr>
      </w:pPr>
    </w:p>
    <w:p w14:paraId="2A9C0F40">
      <w:pPr>
        <w:spacing w:line="440" w:lineRule="exact"/>
        <w:ind w:firstLine="420"/>
        <w:rPr>
          <w:rFonts w:hint="eastAsia" w:ascii="宋体" w:hAnsi="宋体" w:cs="宋体"/>
          <w:szCs w:val="21"/>
        </w:rPr>
      </w:pPr>
    </w:p>
    <w:p w14:paraId="24E6B651">
      <w:pPr>
        <w:spacing w:line="440" w:lineRule="exact"/>
        <w:ind w:firstLine="420"/>
        <w:rPr>
          <w:rFonts w:hint="eastAsia" w:ascii="宋体" w:hAnsi="宋体" w:cs="宋体"/>
          <w:szCs w:val="21"/>
        </w:rPr>
      </w:pPr>
    </w:p>
    <w:p w14:paraId="4F3D209B">
      <w:pPr>
        <w:spacing w:line="440" w:lineRule="exact"/>
        <w:ind w:firstLine="420"/>
        <w:rPr>
          <w:rFonts w:hint="eastAsia" w:ascii="宋体" w:hAnsi="宋体" w:cs="宋体"/>
          <w:szCs w:val="21"/>
        </w:rPr>
      </w:pPr>
    </w:p>
    <w:p w14:paraId="29F96A87">
      <w:pPr>
        <w:spacing w:line="440" w:lineRule="exact"/>
        <w:ind w:firstLine="3544"/>
        <w:rPr>
          <w:rFonts w:hint="eastAsia" w:ascii="宋体" w:hAnsi="宋体" w:cs="宋体"/>
          <w:szCs w:val="21"/>
        </w:rPr>
      </w:pPr>
      <w:r>
        <w:rPr>
          <w:rFonts w:hint="eastAsia" w:ascii="宋体" w:hAnsi="宋体" w:cs="宋体"/>
          <w:szCs w:val="21"/>
        </w:rPr>
        <w:t>投标人：（盖单位章）</w:t>
      </w:r>
    </w:p>
    <w:p w14:paraId="3B546BDF">
      <w:pPr>
        <w:spacing w:line="440" w:lineRule="exact"/>
        <w:ind w:firstLine="3544"/>
        <w:rPr>
          <w:rFonts w:hint="eastAsia" w:ascii="宋体" w:hAnsi="宋体" w:cs="宋体"/>
          <w:szCs w:val="21"/>
        </w:rPr>
      </w:pPr>
    </w:p>
    <w:p w14:paraId="2D2065D7">
      <w:pPr>
        <w:spacing w:line="440" w:lineRule="exact"/>
        <w:ind w:firstLine="3544"/>
        <w:rPr>
          <w:rFonts w:hint="eastAsia" w:ascii="宋体" w:hAnsi="宋体" w:cs="宋体"/>
          <w:szCs w:val="21"/>
        </w:rPr>
      </w:pPr>
      <w:r>
        <w:rPr>
          <w:rFonts w:hint="eastAsia" w:ascii="宋体" w:hAnsi="宋体" w:cs="宋体"/>
          <w:szCs w:val="21"/>
        </w:rPr>
        <w:t>法定代表人或其委托代理人：（签字）</w:t>
      </w:r>
    </w:p>
    <w:p w14:paraId="1BD92C1A">
      <w:pPr>
        <w:spacing w:line="440" w:lineRule="exact"/>
        <w:ind w:firstLine="3544"/>
        <w:rPr>
          <w:rFonts w:hint="eastAsia" w:ascii="宋体" w:hAnsi="宋体" w:cs="宋体"/>
          <w:szCs w:val="21"/>
        </w:rPr>
      </w:pPr>
    </w:p>
    <w:p w14:paraId="2127352C">
      <w:pPr>
        <w:spacing w:line="440" w:lineRule="exact"/>
        <w:ind w:firstLine="3544"/>
        <w:rPr>
          <w:rFonts w:hint="eastAsia" w:ascii="宋体" w:hAnsi="宋体" w:cs="宋体"/>
          <w:szCs w:val="21"/>
        </w:rPr>
      </w:pPr>
      <w:r>
        <w:rPr>
          <w:rFonts w:hint="eastAsia" w:ascii="宋体" w:hAnsi="宋体" w:cs="宋体"/>
          <w:szCs w:val="21"/>
        </w:rPr>
        <w:t xml:space="preserve">        年  月   日</w:t>
      </w:r>
    </w:p>
    <w:p w14:paraId="4F69C58A">
      <w:pPr>
        <w:spacing w:line="440" w:lineRule="exact"/>
        <w:ind w:firstLine="420"/>
        <w:rPr>
          <w:rFonts w:hint="eastAsia" w:ascii="宋体" w:hAnsi="宋体" w:cs="宋体"/>
        </w:rPr>
      </w:pPr>
    </w:p>
    <w:p w14:paraId="559584D5">
      <w:pPr>
        <w:jc w:val="left"/>
        <w:rPr>
          <w:rFonts w:hint="eastAsia" w:ascii="黑体" w:hAnsi="黑体" w:eastAsia="黑体"/>
          <w:sz w:val="32"/>
          <w:szCs w:val="32"/>
        </w:rPr>
      </w:pPr>
      <w:r>
        <w:rPr>
          <w:rFonts w:hint="eastAsia" w:ascii="黑体" w:hAnsi="黑体" w:eastAsia="黑体"/>
          <w:sz w:val="32"/>
          <w:szCs w:val="32"/>
        </w:rPr>
        <w:br w:type="page"/>
      </w:r>
    </w:p>
    <w:p w14:paraId="2C7C6FAD">
      <w:pPr>
        <w:jc w:val="left"/>
        <w:rPr>
          <w:rFonts w:hint="eastAsia" w:ascii="宋体" w:hAnsi="宋体" w:cs="宋体"/>
          <w:szCs w:val="21"/>
        </w:rPr>
      </w:pPr>
      <w:r>
        <w:rPr>
          <w:rFonts w:hint="eastAsia" w:ascii="宋体" w:hAnsi="宋体" w:cs="宋体"/>
          <w:szCs w:val="21"/>
        </w:rPr>
        <w:t>附件四：</w:t>
      </w:r>
    </w:p>
    <w:p w14:paraId="5E9FF6BD">
      <w:pPr>
        <w:spacing w:line="360" w:lineRule="auto"/>
        <w:ind w:firstLine="640" w:firstLineChars="200"/>
        <w:jc w:val="center"/>
        <w:rPr>
          <w:rFonts w:hint="eastAsia" w:ascii="宋体" w:hAnsi="宋体" w:cs="宋体"/>
          <w:sz w:val="32"/>
          <w:szCs w:val="32"/>
        </w:rPr>
      </w:pPr>
      <w:r>
        <w:rPr>
          <w:rFonts w:hint="eastAsia" w:ascii="宋体" w:hAnsi="宋体" w:cs="宋体"/>
          <w:sz w:val="32"/>
          <w:szCs w:val="32"/>
        </w:rPr>
        <w:t>评标委员会成员声明</w:t>
      </w:r>
    </w:p>
    <w:p w14:paraId="6F0F66B8">
      <w:pPr>
        <w:spacing w:line="360" w:lineRule="auto"/>
        <w:rPr>
          <w:rFonts w:hint="eastAsia" w:ascii="宋体" w:hAnsi="宋体" w:cs="宋体"/>
          <w:szCs w:val="21"/>
        </w:rPr>
      </w:pPr>
      <w:r>
        <w:rPr>
          <w:rFonts w:hint="eastAsia" w:ascii="宋体" w:hAnsi="宋体" w:cs="宋体"/>
          <w:szCs w:val="21"/>
          <w:u w:val="single"/>
        </w:rPr>
        <w:t xml:space="preserve">   本项目招标人  </w:t>
      </w:r>
      <w:r>
        <w:rPr>
          <w:rFonts w:hint="eastAsia" w:ascii="宋体" w:hAnsi="宋体" w:cs="宋体"/>
          <w:szCs w:val="21"/>
        </w:rPr>
        <w:t>：</w:t>
      </w:r>
    </w:p>
    <w:p w14:paraId="029A2D75">
      <w:pPr>
        <w:spacing w:line="360" w:lineRule="auto"/>
        <w:ind w:firstLine="420" w:firstLineChars="200"/>
        <w:rPr>
          <w:rFonts w:hint="eastAsia" w:ascii="宋体" w:hAnsi="宋体" w:cs="宋体"/>
          <w:szCs w:val="21"/>
        </w:rPr>
      </w:pPr>
      <w:r>
        <w:rPr>
          <w:rFonts w:hint="eastAsia" w:ascii="宋体" w:hAnsi="宋体" w:cs="宋体"/>
          <w:szCs w:val="21"/>
        </w:rPr>
        <w:t>本人就参与</w:t>
      </w:r>
      <w:r>
        <w:rPr>
          <w:rFonts w:hint="eastAsia" w:ascii="宋体" w:hAnsi="宋体" w:cs="宋体"/>
          <w:szCs w:val="21"/>
          <w:u w:val="single"/>
        </w:rPr>
        <w:t xml:space="preserve">               </w:t>
      </w:r>
      <w:r>
        <w:rPr>
          <w:rFonts w:hint="eastAsia" w:ascii="宋体" w:hAnsi="宋体" w:cs="宋体"/>
          <w:szCs w:val="21"/>
        </w:rPr>
        <w:t>项目的评标工作，作出郑重声明：</w:t>
      </w:r>
    </w:p>
    <w:p w14:paraId="1B1874C0">
      <w:pPr>
        <w:spacing w:line="360" w:lineRule="auto"/>
        <w:ind w:firstLine="420" w:firstLineChars="200"/>
        <w:rPr>
          <w:rFonts w:hint="eastAsia" w:ascii="宋体" w:hAnsi="宋体" w:cs="宋体"/>
          <w:szCs w:val="21"/>
        </w:rPr>
      </w:pPr>
      <w:r>
        <w:rPr>
          <w:rFonts w:hint="eastAsia" w:ascii="宋体" w:hAnsi="宋体" w:cs="宋体"/>
          <w:szCs w:val="21"/>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41341E72">
      <w:pPr>
        <w:spacing w:line="360" w:lineRule="auto"/>
        <w:ind w:firstLine="420" w:firstLineChars="200"/>
        <w:rPr>
          <w:rFonts w:hint="eastAsia" w:ascii="宋体" w:hAnsi="宋体" w:cs="宋体"/>
          <w:szCs w:val="21"/>
        </w:rPr>
      </w:pPr>
      <w:r>
        <w:rPr>
          <w:rFonts w:hint="eastAsia" w:ascii="宋体" w:hAnsi="宋体" w:cs="宋体"/>
          <w:szCs w:val="21"/>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22B3582A">
      <w:pPr>
        <w:spacing w:line="360" w:lineRule="auto"/>
        <w:ind w:firstLine="420" w:firstLineChars="200"/>
        <w:rPr>
          <w:rFonts w:hint="eastAsia" w:ascii="宋体" w:hAnsi="宋体" w:cs="宋体"/>
          <w:szCs w:val="21"/>
        </w:rPr>
      </w:pPr>
      <w:r>
        <w:rPr>
          <w:rFonts w:hint="eastAsia" w:ascii="宋体" w:hAnsi="宋体" w:cs="宋体"/>
          <w:szCs w:val="21"/>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56878277">
      <w:pPr>
        <w:spacing w:line="360" w:lineRule="auto"/>
        <w:ind w:firstLine="420" w:firstLineChars="200"/>
        <w:rPr>
          <w:rFonts w:hint="eastAsia" w:ascii="宋体" w:hAnsi="宋体" w:cs="宋体"/>
          <w:szCs w:val="21"/>
        </w:rPr>
      </w:pPr>
      <w:r>
        <w:rPr>
          <w:rFonts w:hint="eastAsia" w:ascii="宋体" w:hAnsi="宋体" w:cs="宋体"/>
          <w:szCs w:val="21"/>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18A318FB">
      <w:pPr>
        <w:spacing w:line="360" w:lineRule="auto"/>
        <w:ind w:firstLine="420" w:firstLineChars="200"/>
        <w:rPr>
          <w:rFonts w:hint="eastAsia" w:ascii="宋体" w:hAnsi="宋体" w:cs="宋体"/>
          <w:szCs w:val="21"/>
        </w:rPr>
      </w:pPr>
      <w:r>
        <w:rPr>
          <w:rFonts w:hint="eastAsia" w:ascii="宋体" w:hAnsi="宋体" w:cs="宋体"/>
          <w:szCs w:val="21"/>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7B1DAA02">
      <w:pPr>
        <w:spacing w:line="360" w:lineRule="auto"/>
        <w:ind w:firstLine="420" w:firstLineChars="200"/>
        <w:rPr>
          <w:rFonts w:hint="eastAsia" w:ascii="宋体" w:hAnsi="宋体" w:cs="宋体"/>
          <w:szCs w:val="21"/>
        </w:rPr>
      </w:pPr>
      <w:r>
        <w:rPr>
          <w:rFonts w:hint="eastAsia" w:ascii="宋体" w:hAnsi="宋体" w:cs="宋体"/>
          <w:szCs w:val="21"/>
        </w:rPr>
        <w:t>如果本人违反上述声明内容，造成的后果由本人自行承担。</w:t>
      </w:r>
    </w:p>
    <w:p w14:paraId="3BB6B2AA">
      <w:pPr>
        <w:spacing w:line="360" w:lineRule="auto"/>
        <w:ind w:firstLine="420" w:firstLineChars="200"/>
        <w:rPr>
          <w:rFonts w:hint="eastAsia" w:ascii="宋体" w:hAnsi="宋体" w:cs="宋体"/>
          <w:szCs w:val="21"/>
        </w:rPr>
      </w:pPr>
    </w:p>
    <w:p w14:paraId="7AC2536E">
      <w:pPr>
        <w:spacing w:line="360" w:lineRule="auto"/>
        <w:ind w:firstLine="420" w:firstLineChars="200"/>
        <w:rPr>
          <w:rFonts w:hint="eastAsia" w:ascii="宋体" w:hAnsi="宋体" w:cs="宋体"/>
          <w:sz w:val="32"/>
          <w:szCs w:val="32"/>
        </w:rPr>
      </w:pPr>
      <w:r>
        <w:rPr>
          <w:rFonts w:hint="eastAsia" w:ascii="宋体" w:hAnsi="宋体" w:cs="宋体"/>
          <w:szCs w:val="21"/>
        </w:rPr>
        <w:t xml:space="preserve">                             声明人：</w:t>
      </w:r>
      <w:r>
        <w:rPr>
          <w:rFonts w:hint="eastAsia" w:ascii="宋体" w:hAnsi="宋体" w:cs="宋体"/>
          <w:szCs w:val="21"/>
          <w:u w:val="single"/>
        </w:rPr>
        <w:t xml:space="preserve">（签名）  </w:t>
      </w:r>
    </w:p>
    <w:p w14:paraId="56E8C0F4">
      <w:pPr>
        <w:pStyle w:val="3"/>
        <w:rPr>
          <w:rFonts w:hint="eastAsia" w:ascii="宋体" w:hAnsi="宋体" w:cs="宋体"/>
        </w:rPr>
      </w:pPr>
      <w:r>
        <w:rPr>
          <w:rFonts w:ascii="宋体" w:hAnsi="宋体" w:cs="宋体"/>
        </w:rPr>
        <w:br w:type="page"/>
      </w:r>
      <w:bookmarkStart w:id="460" w:name="_Toc134304576"/>
      <w:r>
        <w:rPr>
          <w:rFonts w:hint="eastAsia" w:ascii="宋体" w:hAnsi="宋体" w:cs="宋体"/>
        </w:rPr>
        <w:t>第三章 评标办法（综合评估法）</w:t>
      </w:r>
      <w:bookmarkEnd w:id="460"/>
    </w:p>
    <w:p w14:paraId="2FA07FC3">
      <w:pPr>
        <w:pStyle w:val="2"/>
        <w:jc w:val="center"/>
        <w:rPr>
          <w:rFonts w:hint="eastAsia" w:ascii="宋体" w:hAnsi="宋体" w:eastAsia="宋体" w:cs="宋体"/>
        </w:rPr>
      </w:pPr>
      <w:bookmarkStart w:id="461" w:name="_Toc134304577"/>
      <w:r>
        <w:rPr>
          <w:rFonts w:hint="eastAsia" w:ascii="宋体" w:hAnsi="宋体" w:eastAsia="宋体" w:cs="宋体"/>
        </w:rPr>
        <w:t>评标办法前附表</w:t>
      </w:r>
      <w:bookmarkEnd w:id="461"/>
    </w:p>
    <w:tbl>
      <w:tblPr>
        <w:tblStyle w:val="21"/>
        <w:tblW w:w="982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40" w:type="dxa"/>
          <w:left w:w="85" w:type="dxa"/>
          <w:bottom w:w="34" w:type="dxa"/>
          <w:right w:w="85" w:type="dxa"/>
        </w:tblCellMar>
      </w:tblPr>
      <w:tblGrid>
        <w:gridCol w:w="676"/>
        <w:gridCol w:w="1005"/>
        <w:gridCol w:w="966"/>
        <w:gridCol w:w="1459"/>
        <w:gridCol w:w="5721"/>
      </w:tblGrid>
      <w:tr w14:paraId="25561E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1681" w:type="dxa"/>
            <w:gridSpan w:val="2"/>
            <w:tcBorders>
              <w:top w:val="single" w:color="auto" w:sz="4" w:space="0"/>
              <w:bottom w:val="single" w:color="auto" w:sz="4" w:space="0"/>
              <w:right w:val="single" w:color="auto" w:sz="4" w:space="0"/>
            </w:tcBorders>
            <w:noWrap w:val="0"/>
            <w:vAlign w:val="center"/>
          </w:tcPr>
          <w:p w14:paraId="1260F252">
            <w:pPr>
              <w:snapToGrid w:val="0"/>
              <w:ind w:left="-53" w:leftChars="-25" w:right="-53" w:rightChars="-25"/>
              <w:jc w:val="center"/>
              <w:rPr>
                <w:rFonts w:hint="eastAsia" w:ascii="宋体" w:hAnsi="宋体" w:cs="宋体"/>
                <w:b/>
                <w:szCs w:val="21"/>
              </w:rPr>
            </w:pPr>
            <w:r>
              <w:rPr>
                <w:rFonts w:hint="eastAsia" w:ascii="宋体" w:hAnsi="宋体" w:cs="宋体"/>
                <w:b/>
                <w:szCs w:val="21"/>
              </w:rPr>
              <w:t>条款号</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12B2EFE4">
            <w:pPr>
              <w:snapToGrid w:val="0"/>
              <w:jc w:val="center"/>
              <w:rPr>
                <w:rFonts w:hint="eastAsia" w:ascii="宋体" w:hAnsi="宋体" w:cs="宋体"/>
                <w:b/>
                <w:szCs w:val="21"/>
              </w:rPr>
            </w:pPr>
            <w:r>
              <w:rPr>
                <w:rFonts w:hint="eastAsia" w:ascii="宋体" w:hAnsi="宋体" w:cs="宋体"/>
                <w:b/>
                <w:szCs w:val="21"/>
              </w:rPr>
              <w:t>评审因素</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35ECBBE0">
            <w:pPr>
              <w:snapToGrid w:val="0"/>
              <w:jc w:val="center"/>
              <w:rPr>
                <w:rFonts w:hint="eastAsia" w:ascii="宋体" w:hAnsi="宋体" w:cs="宋体"/>
                <w:b/>
                <w:szCs w:val="21"/>
              </w:rPr>
            </w:pPr>
            <w:r>
              <w:rPr>
                <w:rFonts w:hint="eastAsia" w:ascii="宋体" w:hAnsi="宋体" w:cs="宋体"/>
                <w:b/>
                <w:szCs w:val="21"/>
              </w:rPr>
              <w:t>评审标准</w:t>
            </w:r>
          </w:p>
        </w:tc>
      </w:tr>
      <w:tr w14:paraId="5AB65D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restart"/>
            <w:tcBorders>
              <w:top w:val="single" w:color="auto" w:sz="4" w:space="0"/>
              <w:bottom w:val="single" w:color="auto" w:sz="4" w:space="0"/>
              <w:right w:val="single" w:color="auto" w:sz="4" w:space="0"/>
            </w:tcBorders>
            <w:noWrap w:val="0"/>
            <w:vAlign w:val="center"/>
          </w:tcPr>
          <w:p w14:paraId="0CFE148F">
            <w:pPr>
              <w:snapToGrid w:val="0"/>
              <w:ind w:left="-53" w:leftChars="-25" w:right="-53" w:rightChars="-25"/>
              <w:jc w:val="center"/>
              <w:rPr>
                <w:rFonts w:hint="eastAsia" w:ascii="宋体" w:hAnsi="宋体" w:cs="宋体"/>
                <w:szCs w:val="21"/>
              </w:rPr>
            </w:pPr>
            <w:r>
              <w:rPr>
                <w:rFonts w:hint="eastAsia" w:ascii="宋体" w:hAnsi="宋体" w:cs="宋体"/>
                <w:szCs w:val="21"/>
              </w:rPr>
              <w:t>2.1.1</w:t>
            </w:r>
          </w:p>
        </w:tc>
        <w:tc>
          <w:tcPr>
            <w:tcW w:w="1005" w:type="dxa"/>
            <w:vMerge w:val="restart"/>
            <w:tcBorders>
              <w:top w:val="single" w:color="auto" w:sz="4" w:space="0"/>
              <w:bottom w:val="single" w:color="auto" w:sz="4" w:space="0"/>
              <w:right w:val="single" w:color="auto" w:sz="4" w:space="0"/>
            </w:tcBorders>
            <w:noWrap w:val="0"/>
            <w:vAlign w:val="center"/>
          </w:tcPr>
          <w:p w14:paraId="45660487">
            <w:pPr>
              <w:snapToGrid w:val="0"/>
              <w:ind w:left="-53" w:leftChars="-25" w:right="-53" w:rightChars="-25"/>
              <w:jc w:val="center"/>
              <w:rPr>
                <w:rFonts w:hint="eastAsia" w:ascii="宋体" w:hAnsi="宋体" w:cs="宋体"/>
                <w:szCs w:val="21"/>
              </w:rPr>
            </w:pPr>
            <w:r>
              <w:rPr>
                <w:rFonts w:hint="eastAsia" w:ascii="宋体" w:hAnsi="宋体" w:cs="宋体"/>
                <w:szCs w:val="21"/>
              </w:rPr>
              <w:t>形式评审标准</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67F330EB">
            <w:pPr>
              <w:snapToGrid w:val="0"/>
              <w:jc w:val="center"/>
              <w:rPr>
                <w:rFonts w:hint="eastAsia" w:ascii="宋体" w:hAnsi="宋体" w:cs="宋体"/>
                <w:szCs w:val="21"/>
              </w:rPr>
            </w:pPr>
            <w:r>
              <w:rPr>
                <w:rFonts w:hint="eastAsia" w:ascii="宋体" w:hAnsi="宋体" w:cs="宋体"/>
                <w:szCs w:val="21"/>
              </w:rPr>
              <w:t>投标人名称</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11FE0443">
            <w:pPr>
              <w:snapToGrid w:val="0"/>
              <w:rPr>
                <w:rFonts w:hint="eastAsia" w:ascii="宋体" w:hAnsi="宋体" w:cs="宋体"/>
                <w:szCs w:val="21"/>
              </w:rPr>
            </w:pPr>
            <w:r>
              <w:rPr>
                <w:rFonts w:hint="eastAsia" w:ascii="宋体" w:hAnsi="宋体" w:cs="宋体"/>
                <w:szCs w:val="21"/>
              </w:rPr>
              <w:t>与营业执照、资质证书一致</w:t>
            </w:r>
          </w:p>
        </w:tc>
      </w:tr>
      <w:tr w14:paraId="135872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noWrap w:val="0"/>
            <w:vAlign w:val="center"/>
          </w:tcPr>
          <w:p w14:paraId="07D6AED7">
            <w:pPr>
              <w:snapToGrid w:val="0"/>
              <w:ind w:left="-53" w:leftChars="-25" w:right="-53" w:rightChars="-25"/>
              <w:jc w:val="center"/>
              <w:rPr>
                <w:rFonts w:hint="eastAsia" w:ascii="宋体" w:hAnsi="宋体" w:cs="宋体"/>
                <w:szCs w:val="21"/>
              </w:rPr>
            </w:pPr>
          </w:p>
        </w:tc>
        <w:tc>
          <w:tcPr>
            <w:tcW w:w="1005" w:type="dxa"/>
            <w:vMerge w:val="continue"/>
            <w:tcBorders>
              <w:right w:val="single" w:color="auto" w:sz="4" w:space="0"/>
            </w:tcBorders>
            <w:noWrap w:val="0"/>
            <w:vAlign w:val="center"/>
          </w:tcPr>
          <w:p w14:paraId="556441BE">
            <w:pPr>
              <w:snapToGrid w:val="0"/>
              <w:ind w:left="-53" w:leftChars="-25" w:right="-53" w:rightChars="-25"/>
              <w:jc w:val="center"/>
              <w:rPr>
                <w:rFonts w:hint="eastAsia" w:ascii="宋体" w:hAnsi="宋体" w:cs="宋体"/>
                <w:szCs w:val="21"/>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7B42429B">
            <w:pPr>
              <w:snapToGrid w:val="0"/>
              <w:jc w:val="center"/>
              <w:rPr>
                <w:rFonts w:hint="eastAsia" w:ascii="宋体" w:hAnsi="宋体" w:cs="宋体"/>
                <w:szCs w:val="21"/>
              </w:rPr>
            </w:pPr>
            <w:r>
              <w:rPr>
                <w:rFonts w:hint="eastAsia" w:ascii="宋体" w:hAnsi="宋体" w:cs="宋体"/>
                <w:szCs w:val="21"/>
              </w:rPr>
              <w:t>法定代表人证明及授权</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57096B95">
            <w:pPr>
              <w:snapToGrid w:val="0"/>
              <w:rPr>
                <w:rFonts w:hint="eastAsia" w:ascii="宋体" w:hAnsi="宋体" w:cs="宋体"/>
                <w:spacing w:val="-2"/>
                <w:szCs w:val="21"/>
              </w:rPr>
            </w:pPr>
            <w:r>
              <w:rPr>
                <w:rFonts w:hint="eastAsia" w:ascii="宋体" w:hAnsi="宋体" w:cs="宋体"/>
                <w:spacing w:val="-2"/>
                <w:szCs w:val="21"/>
              </w:rPr>
              <w:t>投标文件中有有效的法定代表人证明书，或由委托代理人签字或盖章的投标文件中有法定代表人证明书和授权委托证明书</w:t>
            </w:r>
          </w:p>
        </w:tc>
      </w:tr>
      <w:tr w14:paraId="14B98E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top w:val="nil"/>
              <w:bottom w:val="single" w:color="auto" w:sz="4" w:space="0"/>
              <w:right w:val="single" w:color="auto" w:sz="4" w:space="0"/>
            </w:tcBorders>
            <w:noWrap w:val="0"/>
            <w:vAlign w:val="center"/>
          </w:tcPr>
          <w:p w14:paraId="3517A696">
            <w:pPr>
              <w:snapToGrid w:val="0"/>
              <w:ind w:left="-53" w:leftChars="-25" w:right="-53" w:rightChars="-25"/>
              <w:jc w:val="center"/>
              <w:rPr>
                <w:rFonts w:hint="eastAsia" w:ascii="宋体" w:hAnsi="宋体" w:cs="宋体"/>
                <w:szCs w:val="21"/>
              </w:rPr>
            </w:pPr>
          </w:p>
        </w:tc>
        <w:tc>
          <w:tcPr>
            <w:tcW w:w="1005" w:type="dxa"/>
            <w:vMerge w:val="continue"/>
            <w:tcBorders>
              <w:top w:val="nil"/>
              <w:bottom w:val="single" w:color="auto" w:sz="4" w:space="0"/>
              <w:right w:val="single" w:color="auto" w:sz="4" w:space="0"/>
            </w:tcBorders>
            <w:noWrap w:val="0"/>
            <w:vAlign w:val="center"/>
          </w:tcPr>
          <w:p w14:paraId="22CB3118">
            <w:pPr>
              <w:snapToGrid w:val="0"/>
              <w:ind w:left="-53" w:leftChars="-25" w:right="-53" w:rightChars="-25"/>
              <w:jc w:val="center"/>
              <w:rPr>
                <w:rFonts w:hint="eastAsia" w:ascii="宋体" w:hAnsi="宋体" w:cs="宋体"/>
                <w:szCs w:val="21"/>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79C55165">
            <w:pPr>
              <w:snapToGrid w:val="0"/>
              <w:ind w:left="-59" w:leftChars="-28" w:right="-80" w:rightChars="-38"/>
              <w:jc w:val="center"/>
              <w:rPr>
                <w:rFonts w:hint="eastAsia" w:ascii="宋体" w:hAnsi="宋体" w:cs="宋体"/>
                <w:szCs w:val="21"/>
              </w:rPr>
            </w:pPr>
            <w:r>
              <w:rPr>
                <w:rFonts w:hint="eastAsia" w:ascii="宋体" w:hAnsi="宋体" w:cs="宋体"/>
                <w:szCs w:val="21"/>
              </w:rPr>
              <w:t>投标书、投标承诺函</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1BF9E6B9">
            <w:pPr>
              <w:snapToGrid w:val="0"/>
              <w:rPr>
                <w:rFonts w:hint="eastAsia" w:ascii="宋体" w:hAnsi="宋体" w:cs="宋体"/>
                <w:szCs w:val="21"/>
              </w:rPr>
            </w:pPr>
            <w:r>
              <w:rPr>
                <w:rFonts w:hint="eastAsia" w:ascii="宋体" w:hAnsi="宋体" w:cs="宋体"/>
                <w:szCs w:val="21"/>
              </w:rPr>
              <w:t>投标书、投标承诺函内容与招标文件规定一致，且按规定加盖投标人电子印章</w:t>
            </w:r>
          </w:p>
        </w:tc>
      </w:tr>
      <w:tr w14:paraId="6B7CE3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top w:val="nil"/>
              <w:bottom w:val="single" w:color="auto" w:sz="4" w:space="0"/>
              <w:right w:val="single" w:color="auto" w:sz="4" w:space="0"/>
            </w:tcBorders>
            <w:noWrap w:val="0"/>
            <w:vAlign w:val="center"/>
          </w:tcPr>
          <w:p w14:paraId="6ADBAE97">
            <w:pPr>
              <w:snapToGrid w:val="0"/>
              <w:ind w:left="-53" w:leftChars="-25" w:right="-53" w:rightChars="-25"/>
              <w:jc w:val="center"/>
              <w:rPr>
                <w:rFonts w:hint="eastAsia" w:ascii="宋体" w:hAnsi="宋体" w:cs="宋体"/>
                <w:szCs w:val="21"/>
              </w:rPr>
            </w:pPr>
          </w:p>
        </w:tc>
        <w:tc>
          <w:tcPr>
            <w:tcW w:w="1005" w:type="dxa"/>
            <w:vMerge w:val="continue"/>
            <w:tcBorders>
              <w:top w:val="nil"/>
              <w:bottom w:val="single" w:color="auto" w:sz="4" w:space="0"/>
              <w:right w:val="single" w:color="auto" w:sz="4" w:space="0"/>
            </w:tcBorders>
            <w:noWrap w:val="0"/>
            <w:vAlign w:val="center"/>
          </w:tcPr>
          <w:p w14:paraId="4D80BE4D">
            <w:pPr>
              <w:snapToGrid w:val="0"/>
              <w:ind w:left="-53" w:leftChars="-25" w:right="-53" w:rightChars="-25"/>
              <w:jc w:val="center"/>
              <w:rPr>
                <w:rFonts w:hint="eastAsia" w:ascii="宋体" w:hAnsi="宋体" w:cs="宋体"/>
                <w:szCs w:val="21"/>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5A0728DC">
            <w:pPr>
              <w:snapToGrid w:val="0"/>
              <w:jc w:val="center"/>
              <w:rPr>
                <w:rFonts w:hint="eastAsia" w:ascii="宋体" w:hAnsi="宋体" w:cs="宋体"/>
                <w:szCs w:val="21"/>
              </w:rPr>
            </w:pPr>
            <w:r>
              <w:rPr>
                <w:rFonts w:hint="eastAsia" w:ascii="宋体" w:hAnsi="宋体" w:cs="宋体"/>
                <w:szCs w:val="21"/>
              </w:rPr>
              <w:t>投标文件格式</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72732356">
            <w:pPr>
              <w:snapToGrid w:val="0"/>
              <w:rPr>
                <w:rFonts w:hint="eastAsia" w:ascii="宋体" w:hAnsi="宋体" w:cs="宋体"/>
                <w:szCs w:val="21"/>
              </w:rPr>
            </w:pPr>
            <w:r>
              <w:rPr>
                <w:rFonts w:hint="eastAsia" w:ascii="宋体" w:hAnsi="宋体" w:cs="宋体"/>
                <w:szCs w:val="21"/>
              </w:rPr>
              <w:t>符合第七章“投标文件格式”的要求</w:t>
            </w:r>
          </w:p>
        </w:tc>
      </w:tr>
      <w:tr w14:paraId="74FAEF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top w:val="nil"/>
              <w:bottom w:val="single" w:color="auto" w:sz="4" w:space="0"/>
              <w:right w:val="single" w:color="auto" w:sz="4" w:space="0"/>
            </w:tcBorders>
            <w:noWrap w:val="0"/>
            <w:vAlign w:val="center"/>
          </w:tcPr>
          <w:p w14:paraId="7A2D8C40">
            <w:pPr>
              <w:snapToGrid w:val="0"/>
              <w:ind w:left="-53" w:leftChars="-25" w:right="-53" w:rightChars="-25"/>
              <w:jc w:val="center"/>
              <w:rPr>
                <w:rFonts w:hint="eastAsia" w:ascii="宋体" w:hAnsi="宋体" w:cs="宋体"/>
                <w:szCs w:val="21"/>
              </w:rPr>
            </w:pPr>
          </w:p>
        </w:tc>
        <w:tc>
          <w:tcPr>
            <w:tcW w:w="1005" w:type="dxa"/>
            <w:vMerge w:val="continue"/>
            <w:tcBorders>
              <w:top w:val="nil"/>
              <w:bottom w:val="single" w:color="auto" w:sz="4" w:space="0"/>
              <w:right w:val="single" w:color="auto" w:sz="4" w:space="0"/>
            </w:tcBorders>
            <w:noWrap w:val="0"/>
            <w:vAlign w:val="center"/>
          </w:tcPr>
          <w:p w14:paraId="50C5B16D">
            <w:pPr>
              <w:snapToGrid w:val="0"/>
              <w:ind w:left="-53" w:leftChars="-25" w:right="-53" w:rightChars="-25"/>
              <w:jc w:val="center"/>
              <w:rPr>
                <w:rFonts w:hint="eastAsia" w:ascii="宋体" w:hAnsi="宋体" w:cs="宋体"/>
                <w:szCs w:val="21"/>
              </w:rPr>
            </w:pPr>
          </w:p>
        </w:tc>
        <w:tc>
          <w:tcPr>
            <w:tcW w:w="2425" w:type="dxa"/>
            <w:gridSpan w:val="2"/>
            <w:tcBorders>
              <w:top w:val="single" w:color="auto" w:sz="4" w:space="0"/>
              <w:left w:val="single" w:color="auto" w:sz="4" w:space="0"/>
              <w:right w:val="single" w:color="auto" w:sz="4" w:space="0"/>
            </w:tcBorders>
            <w:noWrap w:val="0"/>
            <w:vAlign w:val="center"/>
          </w:tcPr>
          <w:p w14:paraId="6DEC25FF">
            <w:pPr>
              <w:snapToGrid w:val="0"/>
              <w:jc w:val="center"/>
              <w:rPr>
                <w:rFonts w:hint="eastAsia" w:ascii="宋体" w:hAnsi="宋体" w:cs="宋体"/>
                <w:szCs w:val="21"/>
              </w:rPr>
            </w:pPr>
            <w:r>
              <w:rPr>
                <w:rFonts w:hint="eastAsia" w:ascii="宋体" w:hAnsi="宋体" w:cs="宋体"/>
                <w:szCs w:val="21"/>
              </w:rPr>
              <w:t>报价唯一</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6D0F6D88">
            <w:pPr>
              <w:snapToGrid w:val="0"/>
              <w:rPr>
                <w:rFonts w:hint="eastAsia" w:ascii="宋体" w:hAnsi="宋体" w:cs="宋体"/>
                <w:szCs w:val="21"/>
              </w:rPr>
            </w:pPr>
            <w:r>
              <w:rPr>
                <w:rFonts w:hint="eastAsia" w:ascii="宋体" w:hAnsi="宋体" w:cs="宋体"/>
                <w:szCs w:val="21"/>
              </w:rPr>
              <w:t>只能有一个有效</w:t>
            </w:r>
            <w:r>
              <w:rPr>
                <w:rFonts w:hint="eastAsia" w:ascii="宋体" w:hAnsi="宋体" w:cs="宋体"/>
                <w:szCs w:val="21"/>
                <w:lang w:val="zh-CN"/>
              </w:rPr>
              <w:t>投标总报价</w:t>
            </w:r>
          </w:p>
        </w:tc>
      </w:tr>
      <w:tr w14:paraId="505C66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top w:val="nil"/>
              <w:bottom w:val="single" w:color="auto" w:sz="4" w:space="0"/>
              <w:right w:val="single" w:color="auto" w:sz="4" w:space="0"/>
            </w:tcBorders>
            <w:noWrap w:val="0"/>
            <w:vAlign w:val="center"/>
          </w:tcPr>
          <w:p w14:paraId="4F7E6E9E">
            <w:pPr>
              <w:snapToGrid w:val="0"/>
              <w:ind w:left="-53" w:leftChars="-25" w:right="-53" w:rightChars="-25"/>
              <w:jc w:val="center"/>
              <w:rPr>
                <w:rFonts w:hint="eastAsia" w:ascii="宋体" w:hAnsi="宋体" w:cs="宋体"/>
                <w:szCs w:val="21"/>
              </w:rPr>
            </w:pPr>
          </w:p>
        </w:tc>
        <w:tc>
          <w:tcPr>
            <w:tcW w:w="1005" w:type="dxa"/>
            <w:vMerge w:val="continue"/>
            <w:tcBorders>
              <w:top w:val="nil"/>
              <w:bottom w:val="single" w:color="auto" w:sz="4" w:space="0"/>
              <w:right w:val="single" w:color="auto" w:sz="4" w:space="0"/>
            </w:tcBorders>
            <w:noWrap w:val="0"/>
            <w:vAlign w:val="center"/>
          </w:tcPr>
          <w:p w14:paraId="734D598E">
            <w:pPr>
              <w:snapToGrid w:val="0"/>
              <w:ind w:left="-53" w:leftChars="-25" w:right="-53" w:rightChars="-25"/>
              <w:jc w:val="center"/>
              <w:rPr>
                <w:rFonts w:hint="eastAsia" w:ascii="宋体" w:hAnsi="宋体" w:cs="宋体"/>
                <w:szCs w:val="21"/>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1AA4BDDB">
            <w:pPr>
              <w:snapToGrid w:val="0"/>
              <w:jc w:val="center"/>
              <w:rPr>
                <w:rFonts w:hint="eastAsia" w:ascii="宋体" w:hAnsi="宋体" w:cs="宋体"/>
                <w:szCs w:val="21"/>
              </w:rPr>
            </w:pPr>
            <w:r>
              <w:rPr>
                <w:rFonts w:hint="eastAsia" w:ascii="宋体" w:hAnsi="宋体" w:cs="宋体"/>
                <w:szCs w:val="21"/>
              </w:rPr>
              <w:t>机器特征码一致</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5FF59C30">
            <w:pPr>
              <w:snapToGrid w:val="0"/>
              <w:rPr>
                <w:rFonts w:hint="eastAsia" w:ascii="宋体" w:hAnsi="宋体" w:cs="宋体"/>
                <w:spacing w:val="-3"/>
                <w:szCs w:val="21"/>
              </w:rPr>
            </w:pPr>
            <w:r>
              <w:rPr>
                <w:rFonts w:hint="eastAsia" w:ascii="宋体" w:hAnsi="宋体" w:cs="宋体"/>
                <w:spacing w:val="-3"/>
                <w:szCs w:val="21"/>
              </w:rPr>
              <w:t>本项目不同投标人的加密打包投标文件电脑机器特征码不一致</w:t>
            </w:r>
          </w:p>
        </w:tc>
      </w:tr>
      <w:tr w14:paraId="201038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top w:val="nil"/>
              <w:bottom w:val="single" w:color="auto" w:sz="4" w:space="0"/>
              <w:right w:val="single" w:color="auto" w:sz="4" w:space="0"/>
            </w:tcBorders>
            <w:noWrap w:val="0"/>
            <w:vAlign w:val="center"/>
          </w:tcPr>
          <w:p w14:paraId="5F13CE58">
            <w:pPr>
              <w:snapToGrid w:val="0"/>
              <w:ind w:left="-53" w:leftChars="-25" w:right="-53" w:rightChars="-25"/>
              <w:jc w:val="center"/>
              <w:rPr>
                <w:rFonts w:hint="eastAsia" w:ascii="宋体" w:hAnsi="宋体" w:cs="宋体"/>
                <w:szCs w:val="21"/>
              </w:rPr>
            </w:pPr>
          </w:p>
        </w:tc>
        <w:tc>
          <w:tcPr>
            <w:tcW w:w="1005" w:type="dxa"/>
            <w:vMerge w:val="continue"/>
            <w:tcBorders>
              <w:top w:val="nil"/>
              <w:bottom w:val="single" w:color="auto" w:sz="4" w:space="0"/>
              <w:right w:val="single" w:color="auto" w:sz="4" w:space="0"/>
            </w:tcBorders>
            <w:noWrap w:val="0"/>
            <w:vAlign w:val="center"/>
          </w:tcPr>
          <w:p w14:paraId="46270B50">
            <w:pPr>
              <w:snapToGrid w:val="0"/>
              <w:ind w:left="-53" w:leftChars="-25" w:right="-53" w:rightChars="-25"/>
              <w:jc w:val="center"/>
              <w:rPr>
                <w:rFonts w:hint="eastAsia" w:ascii="宋体" w:hAnsi="宋体" w:cs="宋体"/>
                <w:szCs w:val="21"/>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46F0D04D">
            <w:pPr>
              <w:snapToGrid w:val="0"/>
              <w:jc w:val="center"/>
              <w:rPr>
                <w:rFonts w:hint="eastAsia" w:ascii="宋体" w:hAnsi="宋体" w:cs="宋体"/>
                <w:szCs w:val="21"/>
                <w:u w:val="single"/>
              </w:rPr>
            </w:pPr>
            <w:r>
              <w:rPr>
                <w:rFonts w:hint="eastAsia" w:ascii="宋体" w:hAnsi="宋体" w:cs="宋体"/>
                <w:szCs w:val="21"/>
                <w:u w:val="single"/>
              </w:rPr>
              <w:t>备选投标方案</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1F4EDA3A">
            <w:pPr>
              <w:snapToGrid w:val="0"/>
              <w:rPr>
                <w:rFonts w:hint="eastAsia" w:ascii="宋体" w:hAnsi="宋体" w:cs="宋体"/>
                <w:szCs w:val="21"/>
                <w:u w:val="single"/>
              </w:rPr>
            </w:pPr>
            <w:r>
              <w:rPr>
                <w:rFonts w:hint="eastAsia" w:ascii="宋体" w:hAnsi="宋体" w:cs="宋体"/>
                <w:szCs w:val="21"/>
                <w:u w:val="single"/>
              </w:rPr>
              <w:t>不允许</w:t>
            </w:r>
          </w:p>
        </w:tc>
      </w:tr>
      <w:tr w14:paraId="28AF01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restart"/>
            <w:tcBorders>
              <w:top w:val="single" w:color="auto" w:sz="4" w:space="0"/>
              <w:bottom w:val="single" w:color="auto" w:sz="4" w:space="0"/>
              <w:right w:val="single" w:color="auto" w:sz="4" w:space="0"/>
            </w:tcBorders>
            <w:noWrap w:val="0"/>
            <w:vAlign w:val="center"/>
          </w:tcPr>
          <w:p w14:paraId="3249C093">
            <w:pPr>
              <w:snapToGrid w:val="0"/>
              <w:ind w:left="-53" w:leftChars="-25" w:right="-53" w:rightChars="-25"/>
              <w:jc w:val="center"/>
              <w:rPr>
                <w:rFonts w:hint="eastAsia" w:ascii="宋体" w:hAnsi="宋体" w:cs="宋体"/>
                <w:szCs w:val="21"/>
              </w:rPr>
            </w:pPr>
            <w:r>
              <w:rPr>
                <w:rFonts w:hint="eastAsia" w:ascii="宋体" w:hAnsi="宋体" w:cs="宋体"/>
                <w:szCs w:val="21"/>
              </w:rPr>
              <w:t>2.1.2</w:t>
            </w:r>
          </w:p>
        </w:tc>
        <w:tc>
          <w:tcPr>
            <w:tcW w:w="1005" w:type="dxa"/>
            <w:vMerge w:val="restart"/>
            <w:tcBorders>
              <w:top w:val="single" w:color="auto" w:sz="4" w:space="0"/>
              <w:bottom w:val="single" w:color="auto" w:sz="4" w:space="0"/>
              <w:right w:val="single" w:color="auto" w:sz="4" w:space="0"/>
            </w:tcBorders>
            <w:noWrap w:val="0"/>
            <w:vAlign w:val="center"/>
          </w:tcPr>
          <w:p w14:paraId="3099AE04">
            <w:pPr>
              <w:snapToGrid w:val="0"/>
              <w:ind w:left="-53" w:leftChars="-25" w:right="-53" w:rightChars="-25"/>
              <w:jc w:val="center"/>
              <w:rPr>
                <w:rFonts w:hint="eastAsia" w:ascii="宋体" w:hAnsi="宋体" w:cs="宋体"/>
                <w:szCs w:val="21"/>
              </w:rPr>
            </w:pPr>
            <w:r>
              <w:rPr>
                <w:rFonts w:hint="eastAsia" w:ascii="宋体" w:hAnsi="宋体" w:cs="宋体"/>
                <w:szCs w:val="21"/>
              </w:rPr>
              <w:t>资格评审标准</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55401C9D">
            <w:pPr>
              <w:snapToGrid w:val="0"/>
              <w:jc w:val="center"/>
              <w:rPr>
                <w:rFonts w:hint="eastAsia" w:ascii="宋体" w:hAnsi="宋体" w:cs="宋体"/>
                <w:szCs w:val="21"/>
              </w:rPr>
            </w:pPr>
            <w:r>
              <w:rPr>
                <w:rFonts w:hint="eastAsia" w:ascii="宋体" w:hAnsi="宋体" w:cs="宋体"/>
                <w:szCs w:val="21"/>
              </w:rPr>
              <w:t>营业执照</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205F5860">
            <w:pPr>
              <w:snapToGrid w:val="0"/>
              <w:rPr>
                <w:rFonts w:hint="eastAsia" w:ascii="宋体" w:hAnsi="宋体" w:cs="宋体"/>
                <w:szCs w:val="21"/>
              </w:rPr>
            </w:pPr>
            <w:r>
              <w:rPr>
                <w:rFonts w:hint="eastAsia" w:ascii="宋体" w:hAnsi="宋体" w:cs="宋体"/>
                <w:szCs w:val="21"/>
              </w:rPr>
              <w:t>具备有效的营业执照</w:t>
            </w:r>
          </w:p>
        </w:tc>
      </w:tr>
      <w:tr w14:paraId="726D98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top w:val="nil"/>
              <w:bottom w:val="single" w:color="auto" w:sz="4" w:space="0"/>
              <w:right w:val="single" w:color="auto" w:sz="4" w:space="0"/>
            </w:tcBorders>
            <w:noWrap w:val="0"/>
            <w:vAlign w:val="center"/>
          </w:tcPr>
          <w:p w14:paraId="7A1ABB41">
            <w:pPr>
              <w:snapToGrid w:val="0"/>
              <w:ind w:left="-53" w:leftChars="-25" w:right="-53" w:rightChars="-25"/>
              <w:jc w:val="center"/>
              <w:rPr>
                <w:rFonts w:hint="eastAsia" w:ascii="宋体" w:hAnsi="宋体" w:cs="宋体"/>
                <w:szCs w:val="21"/>
              </w:rPr>
            </w:pPr>
          </w:p>
        </w:tc>
        <w:tc>
          <w:tcPr>
            <w:tcW w:w="1005" w:type="dxa"/>
            <w:vMerge w:val="continue"/>
            <w:tcBorders>
              <w:top w:val="nil"/>
              <w:bottom w:val="single" w:color="auto" w:sz="4" w:space="0"/>
              <w:right w:val="single" w:color="auto" w:sz="4" w:space="0"/>
            </w:tcBorders>
            <w:noWrap w:val="0"/>
            <w:vAlign w:val="center"/>
          </w:tcPr>
          <w:p w14:paraId="0CF454F7">
            <w:pPr>
              <w:snapToGrid w:val="0"/>
              <w:ind w:left="-53" w:leftChars="-25" w:right="-53" w:rightChars="-25"/>
              <w:jc w:val="center"/>
              <w:rPr>
                <w:rFonts w:hint="eastAsia" w:ascii="宋体" w:hAnsi="宋体" w:cs="宋体"/>
                <w:szCs w:val="21"/>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5C2426A4">
            <w:pPr>
              <w:snapToGrid w:val="0"/>
              <w:jc w:val="center"/>
              <w:rPr>
                <w:rFonts w:hint="eastAsia" w:ascii="宋体" w:hAnsi="宋体" w:cs="宋体"/>
                <w:szCs w:val="21"/>
              </w:rPr>
            </w:pPr>
            <w:r>
              <w:rPr>
                <w:rFonts w:hint="eastAsia" w:ascii="宋体" w:hAnsi="宋体" w:cs="宋体"/>
                <w:szCs w:val="21"/>
              </w:rPr>
              <w:t>资质等级</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5E9DB90C">
            <w:pPr>
              <w:snapToGrid w:val="0"/>
              <w:rPr>
                <w:rFonts w:hint="eastAsia" w:ascii="宋体" w:hAnsi="宋体" w:cs="宋体"/>
                <w:szCs w:val="21"/>
              </w:rPr>
            </w:pPr>
            <w:r>
              <w:rPr>
                <w:rFonts w:hint="eastAsia" w:ascii="宋体" w:hAnsi="宋体" w:cs="宋体"/>
                <w:szCs w:val="21"/>
              </w:rPr>
              <w:t>符合第二章“投标人须知”第1.4.1项规定</w:t>
            </w:r>
          </w:p>
        </w:tc>
      </w:tr>
      <w:tr w14:paraId="093660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top w:val="nil"/>
              <w:bottom w:val="single" w:color="auto" w:sz="4" w:space="0"/>
              <w:right w:val="single" w:color="auto" w:sz="4" w:space="0"/>
            </w:tcBorders>
            <w:noWrap w:val="0"/>
            <w:vAlign w:val="center"/>
          </w:tcPr>
          <w:p w14:paraId="7B454ED6">
            <w:pPr>
              <w:snapToGrid w:val="0"/>
              <w:ind w:left="-53" w:leftChars="-25" w:right="-53" w:rightChars="-25"/>
              <w:jc w:val="center"/>
              <w:rPr>
                <w:rFonts w:hint="eastAsia" w:ascii="宋体" w:hAnsi="宋体" w:cs="宋体"/>
                <w:szCs w:val="21"/>
              </w:rPr>
            </w:pPr>
          </w:p>
        </w:tc>
        <w:tc>
          <w:tcPr>
            <w:tcW w:w="1005" w:type="dxa"/>
            <w:vMerge w:val="continue"/>
            <w:tcBorders>
              <w:top w:val="nil"/>
              <w:bottom w:val="single" w:color="auto" w:sz="4" w:space="0"/>
              <w:right w:val="single" w:color="auto" w:sz="4" w:space="0"/>
            </w:tcBorders>
            <w:noWrap w:val="0"/>
            <w:vAlign w:val="center"/>
          </w:tcPr>
          <w:p w14:paraId="205750B9">
            <w:pPr>
              <w:snapToGrid w:val="0"/>
              <w:ind w:left="-53" w:leftChars="-25" w:right="-53" w:rightChars="-25"/>
              <w:jc w:val="center"/>
              <w:rPr>
                <w:rFonts w:hint="eastAsia" w:ascii="宋体" w:hAnsi="宋体" w:cs="宋体"/>
                <w:szCs w:val="21"/>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013D02A9">
            <w:pPr>
              <w:snapToGrid w:val="0"/>
              <w:jc w:val="center"/>
              <w:rPr>
                <w:rFonts w:hint="eastAsia" w:ascii="新宋体" w:hAnsi="新宋体" w:eastAsia="新宋体" w:cs="新宋体"/>
                <w:strike/>
                <w:szCs w:val="21"/>
              </w:rPr>
            </w:pPr>
            <w:r>
              <w:rPr>
                <w:rFonts w:hint="eastAsia" w:ascii="新宋体" w:hAnsi="新宋体" w:eastAsia="新宋体" w:cs="新宋体"/>
                <w:strike/>
                <w:szCs w:val="21"/>
              </w:rPr>
              <w:t>财务状况</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244B88FD">
            <w:pPr>
              <w:snapToGrid w:val="0"/>
              <w:rPr>
                <w:rFonts w:hint="eastAsia" w:ascii="新宋体" w:hAnsi="新宋体" w:eastAsia="新宋体" w:cs="新宋体"/>
                <w:strike/>
                <w:szCs w:val="21"/>
              </w:rPr>
            </w:pPr>
            <w:r>
              <w:rPr>
                <w:rFonts w:hint="eastAsia" w:ascii="新宋体" w:hAnsi="新宋体" w:eastAsia="新宋体" w:cs="新宋体"/>
                <w:strike/>
                <w:szCs w:val="21"/>
              </w:rPr>
              <w:t>符合第二章“投标人须知”第1.4.1项规定</w:t>
            </w:r>
          </w:p>
        </w:tc>
      </w:tr>
      <w:tr w14:paraId="1BCACB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top w:val="nil"/>
              <w:bottom w:val="single" w:color="auto" w:sz="4" w:space="0"/>
              <w:right w:val="single" w:color="auto" w:sz="4" w:space="0"/>
            </w:tcBorders>
            <w:noWrap w:val="0"/>
            <w:vAlign w:val="center"/>
          </w:tcPr>
          <w:p w14:paraId="7565DCDE">
            <w:pPr>
              <w:snapToGrid w:val="0"/>
              <w:ind w:left="-53" w:leftChars="-25" w:right="-53" w:rightChars="-25"/>
              <w:jc w:val="center"/>
              <w:rPr>
                <w:rFonts w:hint="eastAsia" w:ascii="宋体" w:hAnsi="宋体" w:cs="宋体"/>
                <w:szCs w:val="21"/>
              </w:rPr>
            </w:pPr>
          </w:p>
        </w:tc>
        <w:tc>
          <w:tcPr>
            <w:tcW w:w="1005" w:type="dxa"/>
            <w:vMerge w:val="continue"/>
            <w:tcBorders>
              <w:top w:val="nil"/>
              <w:bottom w:val="single" w:color="auto" w:sz="4" w:space="0"/>
              <w:right w:val="single" w:color="auto" w:sz="4" w:space="0"/>
            </w:tcBorders>
            <w:noWrap w:val="0"/>
            <w:vAlign w:val="center"/>
          </w:tcPr>
          <w:p w14:paraId="38188564">
            <w:pPr>
              <w:snapToGrid w:val="0"/>
              <w:ind w:left="-53" w:leftChars="-25" w:right="-53" w:rightChars="-25"/>
              <w:jc w:val="center"/>
              <w:rPr>
                <w:rFonts w:hint="eastAsia" w:ascii="宋体" w:hAnsi="宋体" w:cs="宋体"/>
                <w:szCs w:val="21"/>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7D0D748B">
            <w:pPr>
              <w:snapToGrid w:val="0"/>
              <w:jc w:val="center"/>
              <w:rPr>
                <w:rFonts w:hint="eastAsia" w:ascii="新宋体" w:hAnsi="新宋体" w:eastAsia="新宋体" w:cs="新宋体"/>
                <w:strike/>
                <w:szCs w:val="21"/>
              </w:rPr>
            </w:pPr>
            <w:r>
              <w:rPr>
                <w:rFonts w:hint="eastAsia" w:ascii="新宋体" w:hAnsi="新宋体" w:eastAsia="新宋体" w:cs="新宋体"/>
                <w:strike/>
                <w:szCs w:val="21"/>
              </w:rPr>
              <w:t>类似项目业绩</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50022CB3">
            <w:pPr>
              <w:snapToGrid w:val="0"/>
              <w:rPr>
                <w:rFonts w:hint="eastAsia" w:ascii="新宋体" w:hAnsi="新宋体" w:eastAsia="新宋体" w:cs="新宋体"/>
                <w:strike/>
                <w:szCs w:val="21"/>
              </w:rPr>
            </w:pPr>
            <w:r>
              <w:rPr>
                <w:rFonts w:hint="eastAsia" w:ascii="新宋体" w:hAnsi="新宋体" w:eastAsia="新宋体" w:cs="新宋体"/>
                <w:strike/>
                <w:szCs w:val="21"/>
              </w:rPr>
              <w:t>符合第二章“投标人须知”第1.4.1项规定</w:t>
            </w:r>
          </w:p>
        </w:tc>
      </w:tr>
      <w:tr w14:paraId="73484E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top w:val="nil"/>
              <w:bottom w:val="single" w:color="auto" w:sz="4" w:space="0"/>
              <w:right w:val="single" w:color="auto" w:sz="4" w:space="0"/>
            </w:tcBorders>
            <w:noWrap w:val="0"/>
            <w:vAlign w:val="center"/>
          </w:tcPr>
          <w:p w14:paraId="001247CC">
            <w:pPr>
              <w:snapToGrid w:val="0"/>
              <w:ind w:left="-53" w:leftChars="-25" w:right="-53" w:rightChars="-25"/>
              <w:jc w:val="center"/>
              <w:rPr>
                <w:rFonts w:hint="eastAsia" w:ascii="宋体" w:hAnsi="宋体" w:cs="宋体"/>
                <w:szCs w:val="21"/>
              </w:rPr>
            </w:pPr>
          </w:p>
        </w:tc>
        <w:tc>
          <w:tcPr>
            <w:tcW w:w="1005" w:type="dxa"/>
            <w:vMerge w:val="continue"/>
            <w:tcBorders>
              <w:top w:val="nil"/>
              <w:bottom w:val="single" w:color="auto" w:sz="4" w:space="0"/>
              <w:right w:val="single" w:color="auto" w:sz="4" w:space="0"/>
            </w:tcBorders>
            <w:noWrap w:val="0"/>
            <w:vAlign w:val="center"/>
          </w:tcPr>
          <w:p w14:paraId="7BF05377">
            <w:pPr>
              <w:snapToGrid w:val="0"/>
              <w:ind w:left="-53" w:leftChars="-25" w:right="-53" w:rightChars="-25"/>
              <w:jc w:val="center"/>
              <w:rPr>
                <w:rFonts w:hint="eastAsia" w:ascii="宋体" w:hAnsi="宋体" w:cs="宋体"/>
                <w:szCs w:val="21"/>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53ECF070">
            <w:pPr>
              <w:snapToGrid w:val="0"/>
              <w:jc w:val="center"/>
              <w:rPr>
                <w:rFonts w:hint="eastAsia" w:ascii="新宋体" w:hAnsi="新宋体" w:eastAsia="新宋体" w:cs="新宋体"/>
                <w:strike/>
                <w:szCs w:val="21"/>
              </w:rPr>
            </w:pPr>
            <w:r>
              <w:rPr>
                <w:rFonts w:hint="eastAsia" w:ascii="新宋体" w:hAnsi="新宋体" w:eastAsia="新宋体" w:cs="新宋体"/>
                <w:strike/>
                <w:szCs w:val="21"/>
              </w:rPr>
              <w:t>信誉</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354C4FB2">
            <w:pPr>
              <w:snapToGrid w:val="0"/>
              <w:rPr>
                <w:szCs w:val="21"/>
              </w:rPr>
            </w:pPr>
            <w:r>
              <w:rPr>
                <w:rFonts w:hint="eastAsia" w:ascii="新宋体" w:hAnsi="新宋体" w:eastAsia="新宋体" w:cs="新宋体"/>
                <w:strike/>
                <w:szCs w:val="21"/>
              </w:rPr>
              <w:t>符合第二章“投标人须知”第1.4.1项规定</w:t>
            </w:r>
          </w:p>
        </w:tc>
      </w:tr>
      <w:tr w14:paraId="4731F3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top w:val="nil"/>
              <w:bottom w:val="single" w:color="auto" w:sz="4" w:space="0"/>
              <w:right w:val="single" w:color="auto" w:sz="4" w:space="0"/>
            </w:tcBorders>
            <w:noWrap w:val="0"/>
            <w:vAlign w:val="center"/>
          </w:tcPr>
          <w:p w14:paraId="447AF235">
            <w:pPr>
              <w:snapToGrid w:val="0"/>
              <w:ind w:left="-53" w:leftChars="-25" w:right="-53" w:rightChars="-25"/>
              <w:jc w:val="center"/>
              <w:rPr>
                <w:rFonts w:hint="eastAsia" w:ascii="宋体" w:hAnsi="宋体" w:cs="宋体"/>
                <w:szCs w:val="21"/>
              </w:rPr>
            </w:pPr>
          </w:p>
        </w:tc>
        <w:tc>
          <w:tcPr>
            <w:tcW w:w="1005" w:type="dxa"/>
            <w:vMerge w:val="continue"/>
            <w:tcBorders>
              <w:top w:val="nil"/>
              <w:bottom w:val="single" w:color="auto" w:sz="4" w:space="0"/>
              <w:right w:val="single" w:color="auto" w:sz="4" w:space="0"/>
            </w:tcBorders>
            <w:noWrap w:val="0"/>
            <w:vAlign w:val="center"/>
          </w:tcPr>
          <w:p w14:paraId="39B21069">
            <w:pPr>
              <w:snapToGrid w:val="0"/>
              <w:ind w:left="-53" w:leftChars="-25" w:right="-53" w:rightChars="-25"/>
              <w:jc w:val="center"/>
              <w:rPr>
                <w:rFonts w:hint="eastAsia" w:ascii="宋体" w:hAnsi="宋体" w:cs="宋体"/>
                <w:szCs w:val="21"/>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2608FABF">
            <w:pPr>
              <w:snapToGrid w:val="0"/>
              <w:jc w:val="center"/>
              <w:rPr>
                <w:rFonts w:hint="eastAsia" w:ascii="宋体" w:hAnsi="宋体" w:cs="宋体"/>
                <w:szCs w:val="21"/>
                <w:u w:val="single"/>
              </w:rPr>
            </w:pPr>
            <w:r>
              <w:rPr>
                <w:rFonts w:hint="eastAsia" w:ascii="宋体" w:hAnsi="宋体" w:cs="宋体"/>
                <w:szCs w:val="21"/>
                <w:u w:val="single"/>
              </w:rPr>
              <w:t>项目负责人</w:t>
            </w:r>
          </w:p>
          <w:p w14:paraId="67A15AB9">
            <w:pPr>
              <w:snapToGrid w:val="0"/>
              <w:jc w:val="center"/>
              <w:rPr>
                <w:rFonts w:hint="eastAsia" w:ascii="宋体" w:hAnsi="宋体" w:cs="宋体"/>
                <w:szCs w:val="21"/>
              </w:rPr>
            </w:pPr>
            <w:r>
              <w:rPr>
                <w:rFonts w:hint="eastAsia" w:ascii="宋体" w:hAnsi="宋体" w:cs="宋体"/>
                <w:szCs w:val="21"/>
                <w:u w:val="single"/>
              </w:rPr>
              <w:t>（兼施工负责人）</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1948589A">
            <w:pPr>
              <w:snapToGrid w:val="0"/>
              <w:rPr>
                <w:rFonts w:hint="eastAsia" w:ascii="宋体" w:hAnsi="宋体" w:cs="宋体"/>
                <w:szCs w:val="21"/>
              </w:rPr>
            </w:pPr>
            <w:r>
              <w:rPr>
                <w:rFonts w:hint="eastAsia" w:ascii="宋体" w:hAnsi="宋体" w:cs="宋体"/>
                <w:szCs w:val="21"/>
              </w:rPr>
              <w:t>符合第二章“投标人须知”第1.4.1项规定</w:t>
            </w:r>
          </w:p>
        </w:tc>
      </w:tr>
      <w:tr w14:paraId="3D776F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top w:val="nil"/>
              <w:bottom w:val="single" w:color="auto" w:sz="4" w:space="0"/>
              <w:right w:val="single" w:color="auto" w:sz="4" w:space="0"/>
            </w:tcBorders>
            <w:noWrap w:val="0"/>
            <w:vAlign w:val="center"/>
          </w:tcPr>
          <w:p w14:paraId="5A3DFD7F">
            <w:pPr>
              <w:snapToGrid w:val="0"/>
              <w:ind w:left="-53" w:leftChars="-25" w:right="-53" w:rightChars="-25"/>
              <w:jc w:val="center"/>
              <w:rPr>
                <w:rFonts w:hint="eastAsia" w:ascii="宋体" w:hAnsi="宋体" w:cs="宋体"/>
                <w:szCs w:val="21"/>
              </w:rPr>
            </w:pPr>
          </w:p>
        </w:tc>
        <w:tc>
          <w:tcPr>
            <w:tcW w:w="1005" w:type="dxa"/>
            <w:vMerge w:val="continue"/>
            <w:tcBorders>
              <w:top w:val="nil"/>
              <w:bottom w:val="single" w:color="auto" w:sz="4" w:space="0"/>
              <w:right w:val="single" w:color="auto" w:sz="4" w:space="0"/>
            </w:tcBorders>
            <w:noWrap w:val="0"/>
            <w:vAlign w:val="center"/>
          </w:tcPr>
          <w:p w14:paraId="4DC9BCE1">
            <w:pPr>
              <w:snapToGrid w:val="0"/>
              <w:ind w:left="-53" w:leftChars="-25" w:right="-53" w:rightChars="-25"/>
              <w:jc w:val="center"/>
              <w:rPr>
                <w:rFonts w:hint="eastAsia" w:ascii="宋体" w:hAnsi="宋体" w:cs="宋体"/>
                <w:szCs w:val="21"/>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30B5DC05">
            <w:pPr>
              <w:snapToGrid w:val="0"/>
              <w:jc w:val="center"/>
              <w:rPr>
                <w:rFonts w:hint="eastAsia" w:ascii="宋体" w:hAnsi="宋体" w:cs="宋体"/>
                <w:szCs w:val="21"/>
              </w:rPr>
            </w:pPr>
            <w:r>
              <w:rPr>
                <w:rFonts w:hint="eastAsia" w:ascii="宋体" w:hAnsi="宋体" w:cs="宋体"/>
                <w:szCs w:val="21"/>
              </w:rPr>
              <w:t>设计负责人</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41B53B99">
            <w:pPr>
              <w:snapToGrid w:val="0"/>
              <w:rPr>
                <w:rFonts w:hint="eastAsia" w:ascii="宋体" w:hAnsi="宋体" w:cs="宋体"/>
                <w:szCs w:val="21"/>
              </w:rPr>
            </w:pPr>
            <w:r>
              <w:rPr>
                <w:rFonts w:hint="eastAsia" w:ascii="宋体" w:hAnsi="宋体" w:cs="宋体"/>
                <w:szCs w:val="21"/>
              </w:rPr>
              <w:t>符合第二章“投标人须知”第1.4.1项规定</w:t>
            </w:r>
          </w:p>
        </w:tc>
      </w:tr>
      <w:tr w14:paraId="67B9B6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top w:val="nil"/>
              <w:bottom w:val="single" w:color="auto" w:sz="4" w:space="0"/>
              <w:right w:val="single" w:color="auto" w:sz="4" w:space="0"/>
            </w:tcBorders>
            <w:noWrap w:val="0"/>
            <w:vAlign w:val="center"/>
          </w:tcPr>
          <w:p w14:paraId="6EEFE119">
            <w:pPr>
              <w:snapToGrid w:val="0"/>
              <w:ind w:left="-53" w:leftChars="-25" w:right="-53" w:rightChars="-25"/>
              <w:jc w:val="center"/>
              <w:rPr>
                <w:rFonts w:hint="eastAsia" w:ascii="宋体" w:hAnsi="宋体" w:cs="宋体"/>
                <w:szCs w:val="21"/>
              </w:rPr>
            </w:pPr>
          </w:p>
        </w:tc>
        <w:tc>
          <w:tcPr>
            <w:tcW w:w="1005" w:type="dxa"/>
            <w:vMerge w:val="continue"/>
            <w:tcBorders>
              <w:top w:val="nil"/>
              <w:bottom w:val="single" w:color="auto" w:sz="4" w:space="0"/>
              <w:right w:val="single" w:color="auto" w:sz="4" w:space="0"/>
            </w:tcBorders>
            <w:noWrap w:val="0"/>
            <w:vAlign w:val="center"/>
          </w:tcPr>
          <w:p w14:paraId="11A41D67">
            <w:pPr>
              <w:snapToGrid w:val="0"/>
              <w:ind w:left="-53" w:leftChars="-25" w:right="-53" w:rightChars="-25"/>
              <w:jc w:val="center"/>
              <w:rPr>
                <w:rFonts w:hint="eastAsia" w:ascii="宋体" w:hAnsi="宋体" w:cs="宋体"/>
                <w:szCs w:val="21"/>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0B828E57">
            <w:pPr>
              <w:snapToGrid w:val="0"/>
              <w:jc w:val="center"/>
              <w:rPr>
                <w:rFonts w:hint="eastAsia" w:ascii="宋体" w:hAnsi="宋体" w:cs="宋体"/>
                <w:szCs w:val="21"/>
              </w:rPr>
            </w:pPr>
            <w:r>
              <w:rPr>
                <w:rFonts w:hint="eastAsia" w:ascii="新宋体" w:hAnsi="新宋体" w:eastAsia="新宋体" w:cs="新宋体"/>
                <w:strike/>
                <w:szCs w:val="21"/>
              </w:rPr>
              <w:t>施工负责人</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782DA73C">
            <w:pPr>
              <w:snapToGrid w:val="0"/>
              <w:rPr>
                <w:rFonts w:hint="eastAsia" w:ascii="新宋体" w:hAnsi="新宋体" w:eastAsia="新宋体" w:cs="新宋体"/>
                <w:strike/>
                <w:szCs w:val="21"/>
              </w:rPr>
            </w:pPr>
            <w:r>
              <w:rPr>
                <w:rFonts w:hint="eastAsia" w:ascii="新宋体" w:hAnsi="新宋体" w:eastAsia="新宋体" w:cs="新宋体"/>
                <w:strike/>
                <w:szCs w:val="21"/>
              </w:rPr>
              <w:t>符合第二章“投标人须知”第1.4.1项规定</w:t>
            </w:r>
          </w:p>
        </w:tc>
      </w:tr>
      <w:tr w14:paraId="5540B7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top w:val="nil"/>
              <w:bottom w:val="single" w:color="auto" w:sz="4" w:space="0"/>
              <w:right w:val="single" w:color="auto" w:sz="4" w:space="0"/>
            </w:tcBorders>
            <w:noWrap w:val="0"/>
            <w:vAlign w:val="center"/>
          </w:tcPr>
          <w:p w14:paraId="3575F136">
            <w:pPr>
              <w:snapToGrid w:val="0"/>
              <w:ind w:left="-53" w:leftChars="-25" w:right="-53" w:rightChars="-25"/>
              <w:jc w:val="center"/>
              <w:rPr>
                <w:rFonts w:hint="eastAsia" w:ascii="宋体" w:hAnsi="宋体" w:cs="宋体"/>
                <w:szCs w:val="21"/>
              </w:rPr>
            </w:pPr>
          </w:p>
        </w:tc>
        <w:tc>
          <w:tcPr>
            <w:tcW w:w="1005" w:type="dxa"/>
            <w:vMerge w:val="continue"/>
            <w:tcBorders>
              <w:top w:val="nil"/>
              <w:bottom w:val="single" w:color="auto" w:sz="4" w:space="0"/>
              <w:right w:val="single" w:color="auto" w:sz="4" w:space="0"/>
            </w:tcBorders>
            <w:noWrap w:val="0"/>
            <w:vAlign w:val="center"/>
          </w:tcPr>
          <w:p w14:paraId="4881CA7E">
            <w:pPr>
              <w:snapToGrid w:val="0"/>
              <w:ind w:left="-53" w:leftChars="-25" w:right="-53" w:rightChars="-25"/>
              <w:jc w:val="center"/>
              <w:rPr>
                <w:rFonts w:hint="eastAsia" w:ascii="宋体" w:hAnsi="宋体" w:cs="宋体"/>
                <w:szCs w:val="21"/>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684FFBF9">
            <w:pPr>
              <w:snapToGrid w:val="0"/>
              <w:jc w:val="center"/>
              <w:rPr>
                <w:rFonts w:hint="eastAsia" w:ascii="宋体" w:hAnsi="宋体" w:cs="宋体"/>
                <w:szCs w:val="21"/>
                <w:u w:val="single"/>
              </w:rPr>
            </w:pPr>
            <w:r>
              <w:rPr>
                <w:rFonts w:hint="eastAsia" w:ascii="宋体" w:hAnsi="宋体" w:cs="宋体"/>
                <w:szCs w:val="21"/>
                <w:u w:val="single"/>
              </w:rPr>
              <w:t>技术负责人</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3855C6AB">
            <w:pPr>
              <w:snapToGrid w:val="0"/>
              <w:rPr>
                <w:rFonts w:hint="eastAsia" w:ascii="宋体" w:hAnsi="宋体" w:cs="宋体"/>
                <w:szCs w:val="21"/>
                <w:u w:val="single"/>
              </w:rPr>
            </w:pPr>
            <w:r>
              <w:rPr>
                <w:rFonts w:hint="eastAsia" w:ascii="宋体" w:hAnsi="宋体" w:cs="宋体"/>
                <w:szCs w:val="21"/>
                <w:u w:val="single"/>
              </w:rPr>
              <w:t>符合第二章“投标人须知”第1.4.1项规定</w:t>
            </w:r>
          </w:p>
        </w:tc>
      </w:tr>
      <w:tr w14:paraId="53748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top w:val="nil"/>
              <w:bottom w:val="single" w:color="auto" w:sz="4" w:space="0"/>
              <w:right w:val="single" w:color="auto" w:sz="4" w:space="0"/>
            </w:tcBorders>
            <w:noWrap w:val="0"/>
            <w:vAlign w:val="center"/>
          </w:tcPr>
          <w:p w14:paraId="751C2147">
            <w:pPr>
              <w:snapToGrid w:val="0"/>
              <w:ind w:left="-53" w:leftChars="-25" w:right="-53" w:rightChars="-25"/>
              <w:jc w:val="center"/>
              <w:rPr>
                <w:rFonts w:hint="eastAsia" w:ascii="宋体" w:hAnsi="宋体" w:cs="宋体"/>
                <w:szCs w:val="21"/>
              </w:rPr>
            </w:pPr>
          </w:p>
        </w:tc>
        <w:tc>
          <w:tcPr>
            <w:tcW w:w="1005" w:type="dxa"/>
            <w:vMerge w:val="continue"/>
            <w:tcBorders>
              <w:top w:val="nil"/>
              <w:bottom w:val="single" w:color="auto" w:sz="4" w:space="0"/>
              <w:right w:val="single" w:color="auto" w:sz="4" w:space="0"/>
            </w:tcBorders>
            <w:noWrap w:val="0"/>
            <w:vAlign w:val="center"/>
          </w:tcPr>
          <w:p w14:paraId="19EF49F6">
            <w:pPr>
              <w:snapToGrid w:val="0"/>
              <w:ind w:left="-53" w:leftChars="-25" w:right="-53" w:rightChars="-25"/>
              <w:jc w:val="center"/>
              <w:rPr>
                <w:rFonts w:hint="eastAsia" w:ascii="宋体" w:hAnsi="宋体" w:cs="宋体"/>
                <w:szCs w:val="21"/>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2CFAE02D">
            <w:pPr>
              <w:snapToGrid w:val="0"/>
              <w:jc w:val="center"/>
              <w:rPr>
                <w:rFonts w:hint="eastAsia" w:ascii="宋体" w:hAnsi="宋体" w:cs="宋体"/>
                <w:szCs w:val="21"/>
              </w:rPr>
            </w:pPr>
            <w:r>
              <w:rPr>
                <w:rFonts w:hint="eastAsia" w:ascii="宋体" w:hAnsi="宋体" w:cs="宋体"/>
                <w:szCs w:val="21"/>
              </w:rPr>
              <w:t>专职安全员</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74238619">
            <w:pPr>
              <w:snapToGrid w:val="0"/>
              <w:rPr>
                <w:rFonts w:hint="eastAsia" w:ascii="宋体" w:hAnsi="宋体" w:cs="宋体"/>
                <w:szCs w:val="21"/>
              </w:rPr>
            </w:pPr>
            <w:r>
              <w:rPr>
                <w:rFonts w:hint="eastAsia" w:ascii="宋体" w:hAnsi="宋体" w:cs="宋体"/>
                <w:szCs w:val="21"/>
              </w:rPr>
              <w:t>符合第二章“投标人须知”第1.4.1项规定</w:t>
            </w:r>
          </w:p>
        </w:tc>
      </w:tr>
      <w:tr w14:paraId="29DB95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top w:val="nil"/>
              <w:bottom w:val="single" w:color="auto" w:sz="4" w:space="0"/>
              <w:right w:val="single" w:color="auto" w:sz="4" w:space="0"/>
            </w:tcBorders>
            <w:noWrap w:val="0"/>
            <w:vAlign w:val="center"/>
          </w:tcPr>
          <w:p w14:paraId="31C57DCA">
            <w:pPr>
              <w:snapToGrid w:val="0"/>
              <w:ind w:left="-53" w:leftChars="-25" w:right="-53" w:rightChars="-25"/>
              <w:jc w:val="center"/>
              <w:rPr>
                <w:rFonts w:hint="eastAsia" w:ascii="宋体" w:hAnsi="宋体" w:cs="宋体"/>
                <w:szCs w:val="21"/>
              </w:rPr>
            </w:pPr>
          </w:p>
        </w:tc>
        <w:tc>
          <w:tcPr>
            <w:tcW w:w="1005" w:type="dxa"/>
            <w:vMerge w:val="continue"/>
            <w:tcBorders>
              <w:top w:val="nil"/>
              <w:bottom w:val="single" w:color="auto" w:sz="4" w:space="0"/>
              <w:right w:val="single" w:color="auto" w:sz="4" w:space="0"/>
            </w:tcBorders>
            <w:noWrap w:val="0"/>
            <w:vAlign w:val="center"/>
          </w:tcPr>
          <w:p w14:paraId="1B272047">
            <w:pPr>
              <w:snapToGrid w:val="0"/>
              <w:ind w:left="-53" w:leftChars="-25" w:right="-53" w:rightChars="-25"/>
              <w:jc w:val="center"/>
              <w:rPr>
                <w:rFonts w:hint="eastAsia" w:ascii="宋体" w:hAnsi="宋体" w:cs="宋体"/>
                <w:szCs w:val="21"/>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5AB675E8">
            <w:pPr>
              <w:snapToGrid w:val="0"/>
              <w:jc w:val="center"/>
              <w:rPr>
                <w:rFonts w:hint="eastAsia" w:ascii="宋体" w:hAnsi="宋体" w:cs="宋体"/>
                <w:szCs w:val="21"/>
              </w:rPr>
            </w:pPr>
            <w:r>
              <w:rPr>
                <w:rFonts w:hint="eastAsia" w:ascii="宋体" w:hAnsi="宋体" w:cs="宋体"/>
                <w:szCs w:val="21"/>
              </w:rPr>
              <w:t>其他要求</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174BEF52">
            <w:pPr>
              <w:snapToGrid w:val="0"/>
              <w:rPr>
                <w:rFonts w:hint="eastAsia" w:ascii="宋体" w:hAnsi="宋体" w:cs="宋体"/>
                <w:szCs w:val="21"/>
              </w:rPr>
            </w:pPr>
            <w:r>
              <w:rPr>
                <w:rFonts w:hint="eastAsia" w:ascii="宋体" w:hAnsi="宋体" w:cs="宋体"/>
                <w:szCs w:val="21"/>
              </w:rPr>
              <w:t>符合第二章“投标人须知”第1.4.1项规定</w:t>
            </w:r>
          </w:p>
        </w:tc>
      </w:tr>
      <w:tr w14:paraId="04A326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top w:val="nil"/>
              <w:bottom w:val="single" w:color="auto" w:sz="4" w:space="0"/>
              <w:right w:val="single" w:color="auto" w:sz="4" w:space="0"/>
            </w:tcBorders>
            <w:noWrap w:val="0"/>
            <w:vAlign w:val="center"/>
          </w:tcPr>
          <w:p w14:paraId="0DDE3D0B">
            <w:pPr>
              <w:snapToGrid w:val="0"/>
              <w:ind w:left="-53" w:leftChars="-25" w:right="-53" w:rightChars="-25"/>
              <w:jc w:val="center"/>
              <w:rPr>
                <w:rFonts w:hint="eastAsia" w:ascii="宋体" w:hAnsi="宋体" w:cs="宋体"/>
                <w:szCs w:val="21"/>
              </w:rPr>
            </w:pPr>
          </w:p>
        </w:tc>
        <w:tc>
          <w:tcPr>
            <w:tcW w:w="1005" w:type="dxa"/>
            <w:vMerge w:val="continue"/>
            <w:tcBorders>
              <w:top w:val="nil"/>
              <w:bottom w:val="single" w:color="auto" w:sz="4" w:space="0"/>
              <w:right w:val="single" w:color="auto" w:sz="4" w:space="0"/>
            </w:tcBorders>
            <w:noWrap w:val="0"/>
            <w:vAlign w:val="center"/>
          </w:tcPr>
          <w:p w14:paraId="4BCD543D">
            <w:pPr>
              <w:snapToGrid w:val="0"/>
              <w:ind w:left="-53" w:leftChars="-25" w:right="-53" w:rightChars="-25"/>
              <w:jc w:val="center"/>
              <w:rPr>
                <w:rFonts w:hint="eastAsia" w:ascii="宋体" w:hAnsi="宋体" w:cs="宋体"/>
                <w:szCs w:val="21"/>
              </w:rPr>
            </w:pPr>
          </w:p>
        </w:tc>
        <w:tc>
          <w:tcPr>
            <w:tcW w:w="2425" w:type="dxa"/>
            <w:gridSpan w:val="2"/>
            <w:tcBorders>
              <w:top w:val="single" w:color="auto" w:sz="4" w:space="0"/>
              <w:left w:val="single" w:color="auto" w:sz="4" w:space="0"/>
              <w:right w:val="single" w:color="auto" w:sz="4" w:space="0"/>
            </w:tcBorders>
            <w:noWrap w:val="0"/>
            <w:vAlign w:val="center"/>
          </w:tcPr>
          <w:p w14:paraId="62890C85">
            <w:pPr>
              <w:snapToGrid w:val="0"/>
              <w:jc w:val="center"/>
              <w:rPr>
                <w:rFonts w:hint="eastAsia" w:ascii="宋体" w:hAnsi="宋体" w:cs="宋体"/>
                <w:szCs w:val="21"/>
              </w:rPr>
            </w:pPr>
            <w:r>
              <w:rPr>
                <w:rFonts w:hint="eastAsia" w:ascii="宋体" w:hAnsi="宋体" w:cs="宋体"/>
                <w:szCs w:val="21"/>
              </w:rPr>
              <w:t>联合体投标人</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2B876244">
            <w:pPr>
              <w:snapToGrid w:val="0"/>
              <w:rPr>
                <w:rFonts w:hint="eastAsia" w:ascii="宋体" w:hAnsi="宋体" w:cs="宋体"/>
                <w:szCs w:val="21"/>
              </w:rPr>
            </w:pPr>
            <w:r>
              <w:rPr>
                <w:rFonts w:hint="eastAsia" w:ascii="宋体" w:hAnsi="宋体" w:cs="宋体"/>
                <w:szCs w:val="21"/>
              </w:rPr>
              <w:t>符合第二章“投标人须知”第1.4.2项规定</w:t>
            </w:r>
          </w:p>
        </w:tc>
      </w:tr>
      <w:tr w14:paraId="7F23E2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restart"/>
            <w:tcBorders>
              <w:top w:val="single" w:color="auto" w:sz="4" w:space="0"/>
              <w:right w:val="single" w:color="auto" w:sz="4" w:space="0"/>
            </w:tcBorders>
            <w:noWrap w:val="0"/>
            <w:vAlign w:val="center"/>
          </w:tcPr>
          <w:p w14:paraId="658A51C2">
            <w:pPr>
              <w:snapToGrid w:val="0"/>
              <w:ind w:left="-53" w:leftChars="-25" w:right="-53" w:rightChars="-25"/>
              <w:jc w:val="center"/>
              <w:rPr>
                <w:rFonts w:hint="eastAsia" w:ascii="宋体" w:hAnsi="宋体" w:cs="宋体"/>
                <w:szCs w:val="21"/>
              </w:rPr>
            </w:pPr>
            <w:r>
              <w:rPr>
                <w:rFonts w:hint="eastAsia" w:ascii="宋体" w:hAnsi="宋体" w:cs="宋体"/>
                <w:szCs w:val="21"/>
              </w:rPr>
              <w:t>2.1.3</w:t>
            </w:r>
          </w:p>
        </w:tc>
        <w:tc>
          <w:tcPr>
            <w:tcW w:w="1005" w:type="dxa"/>
            <w:vMerge w:val="restart"/>
            <w:tcBorders>
              <w:top w:val="single" w:color="auto" w:sz="4" w:space="0"/>
              <w:right w:val="single" w:color="auto" w:sz="4" w:space="0"/>
            </w:tcBorders>
            <w:noWrap w:val="0"/>
            <w:vAlign w:val="center"/>
          </w:tcPr>
          <w:p w14:paraId="021EB380">
            <w:pPr>
              <w:snapToGrid w:val="0"/>
              <w:ind w:left="-53" w:leftChars="-25" w:right="-53" w:rightChars="-25"/>
              <w:jc w:val="center"/>
              <w:rPr>
                <w:rFonts w:hint="eastAsia" w:ascii="宋体" w:hAnsi="宋体" w:cs="宋体"/>
                <w:szCs w:val="21"/>
              </w:rPr>
            </w:pPr>
            <w:r>
              <w:rPr>
                <w:rFonts w:hint="eastAsia" w:ascii="宋体" w:hAnsi="宋体" w:cs="宋体"/>
                <w:szCs w:val="21"/>
              </w:rPr>
              <w:t>工程总承包实施方案响应性评审标准</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4E3945DD">
            <w:pPr>
              <w:snapToGrid w:val="0"/>
              <w:jc w:val="center"/>
              <w:rPr>
                <w:rFonts w:hint="eastAsia" w:ascii="宋体" w:hAnsi="宋体" w:cs="宋体"/>
                <w:szCs w:val="21"/>
              </w:rPr>
            </w:pPr>
            <w:r>
              <w:rPr>
                <w:rFonts w:hint="eastAsia" w:ascii="宋体" w:hAnsi="宋体" w:cs="宋体"/>
                <w:szCs w:val="21"/>
              </w:rPr>
              <w:t>投标报价</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1D36D7D0">
            <w:pPr>
              <w:snapToGrid w:val="0"/>
              <w:rPr>
                <w:rFonts w:hint="eastAsia" w:ascii="宋体" w:hAnsi="宋体" w:cs="宋体"/>
                <w:spacing w:val="-2"/>
                <w:szCs w:val="21"/>
              </w:rPr>
            </w:pPr>
            <w:r>
              <w:rPr>
                <w:rFonts w:hint="eastAsia" w:ascii="宋体" w:hAnsi="宋体" w:cs="宋体"/>
                <w:spacing w:val="-2"/>
                <w:szCs w:val="21"/>
              </w:rPr>
              <w:t>符合第二章“投标人须知”第3.2.4项规定且不低于企业成本</w:t>
            </w:r>
          </w:p>
        </w:tc>
      </w:tr>
      <w:tr w14:paraId="5B4805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top w:val="single" w:color="auto" w:sz="4" w:space="0"/>
              <w:right w:val="single" w:color="auto" w:sz="4" w:space="0"/>
            </w:tcBorders>
            <w:noWrap w:val="0"/>
            <w:vAlign w:val="center"/>
          </w:tcPr>
          <w:p w14:paraId="79417FFF">
            <w:pPr>
              <w:snapToGrid w:val="0"/>
              <w:ind w:left="-53" w:leftChars="-25" w:right="-53" w:rightChars="-25"/>
              <w:jc w:val="center"/>
              <w:rPr>
                <w:rFonts w:hint="eastAsia" w:ascii="宋体" w:hAnsi="宋体" w:cs="宋体"/>
                <w:szCs w:val="21"/>
              </w:rPr>
            </w:pPr>
          </w:p>
        </w:tc>
        <w:tc>
          <w:tcPr>
            <w:tcW w:w="1005" w:type="dxa"/>
            <w:vMerge w:val="continue"/>
            <w:tcBorders>
              <w:top w:val="single" w:color="auto" w:sz="4" w:space="0"/>
              <w:right w:val="single" w:color="auto" w:sz="4" w:space="0"/>
            </w:tcBorders>
            <w:noWrap w:val="0"/>
            <w:vAlign w:val="center"/>
          </w:tcPr>
          <w:p w14:paraId="1A495DA7">
            <w:pPr>
              <w:snapToGrid w:val="0"/>
              <w:ind w:left="-53" w:leftChars="-25" w:right="-53" w:rightChars="-25"/>
              <w:jc w:val="center"/>
              <w:rPr>
                <w:rFonts w:hint="eastAsia" w:ascii="宋体" w:hAnsi="宋体" w:cs="宋体"/>
                <w:szCs w:val="21"/>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294DF689">
            <w:pPr>
              <w:snapToGrid w:val="0"/>
              <w:jc w:val="center"/>
              <w:rPr>
                <w:rFonts w:hint="eastAsia" w:ascii="宋体" w:hAnsi="宋体" w:cs="宋体"/>
                <w:szCs w:val="21"/>
              </w:rPr>
            </w:pPr>
            <w:r>
              <w:rPr>
                <w:rFonts w:hint="eastAsia" w:ascii="宋体" w:hAnsi="宋体" w:cs="宋体"/>
                <w:szCs w:val="21"/>
              </w:rPr>
              <w:t>投标内容</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22A8C9AF">
            <w:pPr>
              <w:snapToGrid w:val="0"/>
              <w:rPr>
                <w:rFonts w:hint="eastAsia" w:ascii="宋体" w:hAnsi="宋体" w:cs="宋体"/>
                <w:szCs w:val="21"/>
              </w:rPr>
            </w:pPr>
            <w:r>
              <w:rPr>
                <w:rFonts w:hint="eastAsia" w:ascii="宋体" w:hAnsi="宋体" w:cs="宋体"/>
                <w:szCs w:val="21"/>
              </w:rPr>
              <w:t>符合第二章“投标人须知”第1.3.1项规定</w:t>
            </w:r>
          </w:p>
        </w:tc>
      </w:tr>
      <w:tr w14:paraId="6E75D6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noWrap w:val="0"/>
            <w:vAlign w:val="center"/>
          </w:tcPr>
          <w:p w14:paraId="75BF562A">
            <w:pPr>
              <w:snapToGrid w:val="0"/>
              <w:ind w:left="-53" w:leftChars="-25" w:right="-53" w:rightChars="-25"/>
              <w:jc w:val="center"/>
              <w:rPr>
                <w:rFonts w:hint="eastAsia" w:ascii="宋体" w:hAnsi="宋体" w:cs="宋体"/>
                <w:szCs w:val="21"/>
              </w:rPr>
            </w:pPr>
          </w:p>
        </w:tc>
        <w:tc>
          <w:tcPr>
            <w:tcW w:w="1005" w:type="dxa"/>
            <w:vMerge w:val="continue"/>
            <w:tcBorders>
              <w:right w:val="single" w:color="auto" w:sz="4" w:space="0"/>
            </w:tcBorders>
            <w:noWrap w:val="0"/>
            <w:vAlign w:val="center"/>
          </w:tcPr>
          <w:p w14:paraId="2E321C15">
            <w:pPr>
              <w:snapToGrid w:val="0"/>
              <w:ind w:left="-53" w:leftChars="-25" w:right="-53" w:rightChars="-25"/>
              <w:jc w:val="center"/>
              <w:rPr>
                <w:rFonts w:hint="eastAsia" w:ascii="宋体" w:hAnsi="宋体" w:cs="宋体"/>
                <w:szCs w:val="21"/>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5061943B">
            <w:pPr>
              <w:snapToGrid w:val="0"/>
              <w:jc w:val="center"/>
              <w:rPr>
                <w:rFonts w:hint="eastAsia" w:ascii="宋体" w:hAnsi="宋体" w:cs="宋体"/>
                <w:szCs w:val="21"/>
              </w:rPr>
            </w:pPr>
            <w:r>
              <w:rPr>
                <w:rFonts w:hint="eastAsia" w:ascii="宋体" w:hAnsi="宋体" w:cs="宋体"/>
                <w:szCs w:val="21"/>
              </w:rPr>
              <w:t>工期</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1F30A30F">
            <w:pPr>
              <w:snapToGrid w:val="0"/>
              <w:rPr>
                <w:rFonts w:hint="eastAsia" w:ascii="宋体" w:hAnsi="宋体" w:cs="宋体"/>
                <w:szCs w:val="21"/>
              </w:rPr>
            </w:pPr>
            <w:r>
              <w:rPr>
                <w:rFonts w:hint="eastAsia" w:ascii="宋体" w:hAnsi="宋体" w:cs="宋体"/>
                <w:szCs w:val="21"/>
              </w:rPr>
              <w:t>符合第二章“投标人须知”第1.3.2项规定</w:t>
            </w:r>
          </w:p>
        </w:tc>
      </w:tr>
      <w:tr w14:paraId="79E03D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noWrap w:val="0"/>
            <w:vAlign w:val="center"/>
          </w:tcPr>
          <w:p w14:paraId="1E80CEE3">
            <w:pPr>
              <w:snapToGrid w:val="0"/>
              <w:ind w:left="-53" w:leftChars="-25" w:right="-53" w:rightChars="-25"/>
              <w:jc w:val="center"/>
              <w:rPr>
                <w:rFonts w:hint="eastAsia" w:ascii="宋体" w:hAnsi="宋体" w:cs="宋体"/>
                <w:szCs w:val="21"/>
              </w:rPr>
            </w:pPr>
          </w:p>
        </w:tc>
        <w:tc>
          <w:tcPr>
            <w:tcW w:w="1005" w:type="dxa"/>
            <w:vMerge w:val="continue"/>
            <w:tcBorders>
              <w:right w:val="single" w:color="auto" w:sz="4" w:space="0"/>
            </w:tcBorders>
            <w:noWrap w:val="0"/>
            <w:vAlign w:val="center"/>
          </w:tcPr>
          <w:p w14:paraId="33ED43B9">
            <w:pPr>
              <w:snapToGrid w:val="0"/>
              <w:ind w:left="-53" w:leftChars="-25" w:right="-53" w:rightChars="-25"/>
              <w:jc w:val="center"/>
              <w:rPr>
                <w:rFonts w:hint="eastAsia" w:ascii="宋体" w:hAnsi="宋体" w:cs="宋体"/>
                <w:szCs w:val="21"/>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4B5F92D1">
            <w:pPr>
              <w:snapToGrid w:val="0"/>
              <w:jc w:val="center"/>
              <w:rPr>
                <w:rFonts w:hint="eastAsia" w:ascii="宋体" w:hAnsi="宋体" w:cs="宋体"/>
                <w:szCs w:val="21"/>
              </w:rPr>
            </w:pPr>
            <w:r>
              <w:rPr>
                <w:rFonts w:hint="eastAsia" w:ascii="宋体" w:hAnsi="宋体" w:cs="宋体"/>
                <w:szCs w:val="21"/>
              </w:rPr>
              <w:t>质量标准</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5898BFB9">
            <w:pPr>
              <w:snapToGrid w:val="0"/>
              <w:rPr>
                <w:rFonts w:hint="eastAsia" w:ascii="宋体" w:hAnsi="宋体" w:cs="宋体"/>
                <w:szCs w:val="21"/>
              </w:rPr>
            </w:pPr>
            <w:r>
              <w:rPr>
                <w:rFonts w:hint="eastAsia" w:ascii="宋体" w:hAnsi="宋体" w:cs="宋体"/>
                <w:szCs w:val="21"/>
              </w:rPr>
              <w:t>符合第二章“投标人须知”第1.3.3项规定</w:t>
            </w:r>
          </w:p>
        </w:tc>
      </w:tr>
      <w:tr w14:paraId="162219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noWrap w:val="0"/>
            <w:vAlign w:val="center"/>
          </w:tcPr>
          <w:p w14:paraId="0E77D605">
            <w:pPr>
              <w:snapToGrid w:val="0"/>
              <w:ind w:left="-53" w:leftChars="-25" w:right="-53" w:rightChars="-25"/>
              <w:jc w:val="center"/>
              <w:rPr>
                <w:rFonts w:hint="eastAsia" w:ascii="宋体" w:hAnsi="宋体" w:cs="宋体"/>
                <w:szCs w:val="21"/>
              </w:rPr>
            </w:pPr>
          </w:p>
        </w:tc>
        <w:tc>
          <w:tcPr>
            <w:tcW w:w="1005" w:type="dxa"/>
            <w:vMerge w:val="continue"/>
            <w:tcBorders>
              <w:right w:val="single" w:color="auto" w:sz="4" w:space="0"/>
            </w:tcBorders>
            <w:noWrap w:val="0"/>
            <w:vAlign w:val="center"/>
          </w:tcPr>
          <w:p w14:paraId="42C1773A">
            <w:pPr>
              <w:snapToGrid w:val="0"/>
              <w:ind w:left="-53" w:leftChars="-25" w:right="-53" w:rightChars="-25"/>
              <w:jc w:val="center"/>
              <w:rPr>
                <w:rFonts w:hint="eastAsia" w:ascii="宋体" w:hAnsi="宋体" w:cs="宋体"/>
                <w:szCs w:val="21"/>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4F4850B5">
            <w:pPr>
              <w:snapToGrid w:val="0"/>
              <w:jc w:val="center"/>
              <w:rPr>
                <w:rFonts w:hint="eastAsia" w:ascii="宋体" w:hAnsi="宋体" w:cs="宋体"/>
                <w:szCs w:val="21"/>
              </w:rPr>
            </w:pPr>
            <w:r>
              <w:rPr>
                <w:rFonts w:hint="eastAsia" w:ascii="宋体" w:hAnsi="宋体" w:cs="宋体"/>
                <w:szCs w:val="21"/>
              </w:rPr>
              <w:t>投标有效期</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28F7450C">
            <w:pPr>
              <w:snapToGrid w:val="0"/>
              <w:rPr>
                <w:rFonts w:hint="eastAsia" w:ascii="宋体" w:hAnsi="宋体" w:cs="宋体"/>
                <w:szCs w:val="21"/>
              </w:rPr>
            </w:pPr>
            <w:r>
              <w:rPr>
                <w:rFonts w:hint="eastAsia" w:ascii="宋体" w:hAnsi="宋体" w:cs="宋体"/>
                <w:szCs w:val="21"/>
              </w:rPr>
              <w:t>符合第二章“投标人须知”第3.3.1项规定</w:t>
            </w:r>
          </w:p>
        </w:tc>
      </w:tr>
      <w:tr w14:paraId="31B821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noWrap w:val="0"/>
            <w:vAlign w:val="center"/>
          </w:tcPr>
          <w:p w14:paraId="14982B90">
            <w:pPr>
              <w:snapToGrid w:val="0"/>
              <w:ind w:left="-53" w:leftChars="-25" w:right="-53" w:rightChars="-25"/>
              <w:jc w:val="center"/>
              <w:rPr>
                <w:rFonts w:hint="eastAsia" w:ascii="宋体" w:hAnsi="宋体" w:cs="宋体"/>
                <w:szCs w:val="21"/>
              </w:rPr>
            </w:pPr>
          </w:p>
        </w:tc>
        <w:tc>
          <w:tcPr>
            <w:tcW w:w="1005" w:type="dxa"/>
            <w:vMerge w:val="continue"/>
            <w:tcBorders>
              <w:right w:val="single" w:color="auto" w:sz="4" w:space="0"/>
            </w:tcBorders>
            <w:noWrap w:val="0"/>
            <w:vAlign w:val="center"/>
          </w:tcPr>
          <w:p w14:paraId="400772D9">
            <w:pPr>
              <w:snapToGrid w:val="0"/>
              <w:ind w:left="-53" w:leftChars="-25" w:right="-53" w:rightChars="-25"/>
              <w:jc w:val="center"/>
              <w:rPr>
                <w:rFonts w:hint="eastAsia" w:ascii="宋体" w:hAnsi="宋体" w:cs="宋体"/>
                <w:szCs w:val="21"/>
              </w:rPr>
            </w:pPr>
          </w:p>
        </w:tc>
        <w:tc>
          <w:tcPr>
            <w:tcW w:w="2425" w:type="dxa"/>
            <w:gridSpan w:val="2"/>
            <w:tcBorders>
              <w:top w:val="single" w:color="auto" w:sz="4" w:space="0"/>
              <w:left w:val="single" w:color="auto" w:sz="4" w:space="0"/>
              <w:right w:val="single" w:color="auto" w:sz="4" w:space="0"/>
            </w:tcBorders>
            <w:noWrap w:val="0"/>
            <w:vAlign w:val="center"/>
          </w:tcPr>
          <w:p w14:paraId="0196A36C">
            <w:pPr>
              <w:snapToGrid w:val="0"/>
              <w:jc w:val="center"/>
              <w:rPr>
                <w:rFonts w:hint="eastAsia" w:ascii="宋体" w:hAnsi="宋体" w:cs="宋体"/>
                <w:szCs w:val="21"/>
              </w:rPr>
            </w:pPr>
            <w:r>
              <w:rPr>
                <w:rFonts w:hint="eastAsia" w:ascii="宋体" w:hAnsi="宋体" w:cs="宋体"/>
                <w:szCs w:val="21"/>
              </w:rPr>
              <w:t>算术复核</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0246144D">
            <w:pPr>
              <w:snapToGrid w:val="0"/>
              <w:rPr>
                <w:rFonts w:hint="eastAsia" w:ascii="宋体" w:hAnsi="宋体" w:cs="宋体"/>
                <w:szCs w:val="21"/>
              </w:rPr>
            </w:pPr>
            <w:r>
              <w:rPr>
                <w:rFonts w:hint="eastAsia" w:ascii="宋体" w:hAnsi="宋体" w:cs="宋体"/>
                <w:szCs w:val="21"/>
              </w:rPr>
              <w:t>投标单位未存在算术复核后的投标报价与原投标报价相比存在1%或以上误差的</w:t>
            </w:r>
          </w:p>
        </w:tc>
      </w:tr>
      <w:tr w14:paraId="73612E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bottom w:val="single" w:color="auto" w:sz="4" w:space="0"/>
              <w:right w:val="single" w:color="auto" w:sz="4" w:space="0"/>
            </w:tcBorders>
            <w:noWrap w:val="0"/>
            <w:vAlign w:val="center"/>
          </w:tcPr>
          <w:p w14:paraId="0E620F40">
            <w:pPr>
              <w:snapToGrid w:val="0"/>
              <w:ind w:left="-53" w:leftChars="-25" w:right="-53" w:rightChars="-25"/>
              <w:rPr>
                <w:rFonts w:hint="eastAsia" w:ascii="宋体" w:hAnsi="宋体" w:cs="宋体"/>
                <w:szCs w:val="21"/>
              </w:rPr>
            </w:pPr>
          </w:p>
        </w:tc>
        <w:tc>
          <w:tcPr>
            <w:tcW w:w="1005" w:type="dxa"/>
            <w:vMerge w:val="continue"/>
            <w:tcBorders>
              <w:bottom w:val="single" w:color="auto" w:sz="4" w:space="0"/>
              <w:right w:val="single" w:color="auto" w:sz="4" w:space="0"/>
            </w:tcBorders>
            <w:noWrap w:val="0"/>
            <w:vAlign w:val="center"/>
          </w:tcPr>
          <w:p w14:paraId="1C6ADA7E">
            <w:pPr>
              <w:snapToGrid w:val="0"/>
              <w:ind w:left="-53" w:leftChars="-25" w:right="-53" w:rightChars="-25"/>
              <w:jc w:val="center"/>
              <w:rPr>
                <w:rFonts w:hint="eastAsia" w:ascii="宋体" w:hAnsi="宋体" w:cs="宋体"/>
                <w:szCs w:val="21"/>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68F337A3">
            <w:pPr>
              <w:snapToGrid w:val="0"/>
              <w:jc w:val="center"/>
              <w:rPr>
                <w:rFonts w:hint="eastAsia" w:ascii="宋体" w:hAnsi="宋体" w:cs="宋体"/>
                <w:szCs w:val="21"/>
              </w:rPr>
            </w:pPr>
            <w:r>
              <w:rPr>
                <w:rFonts w:hint="eastAsia" w:ascii="宋体" w:hAnsi="宋体" w:cs="宋体"/>
                <w:szCs w:val="21"/>
              </w:rPr>
              <w:t>合法合规性</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1B7E4AA2">
            <w:pPr>
              <w:snapToGrid w:val="0"/>
              <w:rPr>
                <w:rFonts w:hint="eastAsia" w:ascii="宋体" w:hAnsi="宋体" w:cs="宋体"/>
                <w:szCs w:val="21"/>
              </w:rPr>
            </w:pPr>
            <w:r>
              <w:rPr>
                <w:rFonts w:hint="eastAsia" w:ascii="宋体" w:hAnsi="宋体" w:cs="宋体"/>
                <w:szCs w:val="21"/>
              </w:rPr>
              <w:t>投标人之间不存在《广东省实施&lt;中华人民共和国招标投标法&gt;》第十六条所禁止的情形的</w:t>
            </w:r>
          </w:p>
        </w:tc>
      </w:tr>
      <w:tr w14:paraId="58A96C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restart"/>
            <w:tcBorders>
              <w:right w:val="single" w:color="auto" w:sz="4" w:space="0"/>
            </w:tcBorders>
            <w:noWrap w:val="0"/>
            <w:vAlign w:val="center"/>
          </w:tcPr>
          <w:p w14:paraId="08541B1C">
            <w:pPr>
              <w:snapToGrid w:val="0"/>
              <w:ind w:left="-53" w:leftChars="-25" w:right="-53" w:rightChars="-25"/>
              <w:jc w:val="center"/>
              <w:rPr>
                <w:rFonts w:hint="eastAsia" w:ascii="宋体" w:hAnsi="宋体" w:cs="宋体"/>
                <w:szCs w:val="21"/>
              </w:rPr>
            </w:pPr>
            <w:r>
              <w:rPr>
                <w:rFonts w:hint="eastAsia" w:ascii="宋体" w:hAnsi="宋体" w:cs="宋体"/>
                <w:szCs w:val="21"/>
              </w:rPr>
              <w:t>2.1.4</w:t>
            </w:r>
          </w:p>
        </w:tc>
        <w:tc>
          <w:tcPr>
            <w:tcW w:w="1005" w:type="dxa"/>
            <w:vMerge w:val="restart"/>
            <w:tcBorders>
              <w:right w:val="single" w:color="auto" w:sz="4" w:space="0"/>
            </w:tcBorders>
            <w:noWrap w:val="0"/>
            <w:vAlign w:val="center"/>
          </w:tcPr>
          <w:p w14:paraId="72484122">
            <w:pPr>
              <w:snapToGrid w:val="0"/>
              <w:ind w:left="-53" w:leftChars="-25" w:right="-53" w:rightChars="-25"/>
              <w:jc w:val="center"/>
              <w:rPr>
                <w:rFonts w:hint="eastAsia" w:ascii="宋体" w:hAnsi="宋体" w:cs="宋体"/>
                <w:szCs w:val="21"/>
              </w:rPr>
            </w:pPr>
            <w:r>
              <w:rPr>
                <w:rFonts w:hint="eastAsia" w:ascii="宋体" w:hAnsi="宋体" w:cs="宋体"/>
                <w:szCs w:val="21"/>
              </w:rPr>
              <w:t>设计方案响应性评审标准（暗标）</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4AAB84AC">
            <w:pPr>
              <w:snapToGrid w:val="0"/>
              <w:jc w:val="center"/>
              <w:rPr>
                <w:rFonts w:hint="eastAsia" w:ascii="宋体" w:hAnsi="宋体" w:cs="宋体"/>
                <w:szCs w:val="21"/>
              </w:rPr>
            </w:pPr>
            <w:r>
              <w:rPr>
                <w:rFonts w:hint="eastAsia" w:ascii="宋体" w:hAnsi="宋体" w:cs="宋体"/>
                <w:szCs w:val="21"/>
              </w:rPr>
              <w:t>投标人身份</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3232F3A1">
            <w:pPr>
              <w:snapToGrid w:val="0"/>
              <w:rPr>
                <w:rFonts w:hint="eastAsia" w:ascii="宋体" w:hAnsi="宋体" w:cs="宋体"/>
                <w:spacing w:val="-2"/>
                <w:szCs w:val="21"/>
              </w:rPr>
            </w:pPr>
            <w:r>
              <w:rPr>
                <w:rFonts w:hint="eastAsia" w:ascii="宋体" w:hAnsi="宋体" w:cs="宋体"/>
                <w:spacing w:val="-2"/>
                <w:szCs w:val="21"/>
              </w:rPr>
              <w:t>投标人在设计方案内不存在标注名称、印章、商标、图形等记认符号（或使人辨认出投标人或其专业技术人员的身份）</w:t>
            </w:r>
          </w:p>
        </w:tc>
      </w:tr>
      <w:tr w14:paraId="5C328C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noWrap w:val="0"/>
            <w:vAlign w:val="center"/>
          </w:tcPr>
          <w:p w14:paraId="22167C1F">
            <w:pPr>
              <w:snapToGrid w:val="0"/>
              <w:ind w:left="-53" w:leftChars="-25" w:right="-53" w:rightChars="-25"/>
              <w:rPr>
                <w:rFonts w:hint="eastAsia" w:ascii="宋体" w:hAnsi="宋体" w:cs="宋体"/>
                <w:szCs w:val="21"/>
              </w:rPr>
            </w:pPr>
          </w:p>
        </w:tc>
        <w:tc>
          <w:tcPr>
            <w:tcW w:w="1005" w:type="dxa"/>
            <w:vMerge w:val="continue"/>
            <w:tcBorders>
              <w:right w:val="single" w:color="auto" w:sz="4" w:space="0"/>
            </w:tcBorders>
            <w:noWrap w:val="0"/>
            <w:vAlign w:val="center"/>
          </w:tcPr>
          <w:p w14:paraId="72850C01">
            <w:pPr>
              <w:snapToGrid w:val="0"/>
              <w:ind w:left="-53" w:leftChars="-25" w:right="-53" w:rightChars="-25"/>
              <w:jc w:val="center"/>
              <w:rPr>
                <w:rFonts w:hint="eastAsia" w:ascii="宋体" w:hAnsi="宋体" w:cs="宋体"/>
                <w:szCs w:val="21"/>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2FB44022">
            <w:pPr>
              <w:snapToGrid w:val="0"/>
              <w:jc w:val="center"/>
              <w:rPr>
                <w:rFonts w:hint="eastAsia" w:ascii="宋体" w:hAnsi="宋体" w:cs="宋体"/>
                <w:szCs w:val="21"/>
              </w:rPr>
            </w:pPr>
            <w:r>
              <w:rPr>
                <w:rFonts w:hint="eastAsia" w:ascii="宋体" w:hAnsi="宋体" w:cs="宋体"/>
                <w:szCs w:val="21"/>
              </w:rPr>
              <w:t>雷同性</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350256F2">
            <w:pPr>
              <w:snapToGrid w:val="0"/>
              <w:rPr>
                <w:rFonts w:hint="eastAsia" w:ascii="宋体" w:hAnsi="宋体" w:cs="宋体"/>
                <w:szCs w:val="21"/>
              </w:rPr>
            </w:pPr>
            <w:r>
              <w:rPr>
                <w:rFonts w:hint="eastAsia" w:ascii="宋体" w:hAnsi="宋体" w:cs="宋体"/>
                <w:szCs w:val="21"/>
              </w:rPr>
              <w:t>设计方案之间不存在互相雷同和串通投标的</w:t>
            </w:r>
          </w:p>
        </w:tc>
      </w:tr>
      <w:tr w14:paraId="6F60F5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bottom w:val="single" w:color="auto" w:sz="4" w:space="0"/>
              <w:right w:val="single" w:color="auto" w:sz="4" w:space="0"/>
            </w:tcBorders>
            <w:noWrap w:val="0"/>
            <w:vAlign w:val="center"/>
          </w:tcPr>
          <w:p w14:paraId="0E153E7C">
            <w:pPr>
              <w:snapToGrid w:val="0"/>
              <w:ind w:left="-53" w:leftChars="-25" w:right="-53" w:rightChars="-25"/>
              <w:rPr>
                <w:rFonts w:hint="eastAsia" w:ascii="宋体" w:hAnsi="宋体" w:cs="宋体"/>
                <w:szCs w:val="21"/>
              </w:rPr>
            </w:pPr>
          </w:p>
        </w:tc>
        <w:tc>
          <w:tcPr>
            <w:tcW w:w="1005" w:type="dxa"/>
            <w:vMerge w:val="continue"/>
            <w:tcBorders>
              <w:bottom w:val="single" w:color="auto" w:sz="4" w:space="0"/>
              <w:right w:val="single" w:color="auto" w:sz="4" w:space="0"/>
            </w:tcBorders>
            <w:noWrap w:val="0"/>
            <w:vAlign w:val="center"/>
          </w:tcPr>
          <w:p w14:paraId="04B77A4D">
            <w:pPr>
              <w:snapToGrid w:val="0"/>
              <w:ind w:left="-53" w:leftChars="-25" w:right="-53" w:rightChars="-25"/>
              <w:jc w:val="center"/>
              <w:rPr>
                <w:rFonts w:hint="eastAsia" w:ascii="宋体" w:hAnsi="宋体" w:cs="宋体"/>
                <w:szCs w:val="21"/>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1AC364B5">
            <w:pPr>
              <w:snapToGrid w:val="0"/>
              <w:jc w:val="center"/>
              <w:rPr>
                <w:rFonts w:hint="eastAsia" w:ascii="宋体" w:hAnsi="宋体" w:cs="宋体"/>
                <w:szCs w:val="21"/>
              </w:rPr>
            </w:pPr>
            <w:r>
              <w:rPr>
                <w:rFonts w:hint="eastAsia" w:ascii="宋体" w:hAnsi="宋体" w:cs="宋体"/>
                <w:szCs w:val="21"/>
              </w:rPr>
              <w:t>合法合规性</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2251FECA">
            <w:pPr>
              <w:snapToGrid w:val="0"/>
              <w:rPr>
                <w:rFonts w:hint="eastAsia" w:ascii="宋体" w:hAnsi="宋体" w:cs="宋体"/>
                <w:szCs w:val="21"/>
              </w:rPr>
            </w:pPr>
            <w:r>
              <w:rPr>
                <w:rFonts w:hint="eastAsia" w:ascii="宋体" w:hAnsi="宋体" w:cs="宋体"/>
                <w:szCs w:val="21"/>
              </w:rPr>
              <w:t>投标人之间不存在《广东省实施&lt;中华人民共和国招标投标法&gt;》第十六条所禁止的情形的</w:t>
            </w:r>
          </w:p>
        </w:tc>
      </w:tr>
      <w:tr w14:paraId="7312FE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1681" w:type="dxa"/>
            <w:gridSpan w:val="2"/>
            <w:tcBorders>
              <w:bottom w:val="single" w:color="auto" w:sz="4" w:space="0"/>
              <w:right w:val="single" w:color="auto" w:sz="4" w:space="0"/>
            </w:tcBorders>
            <w:noWrap w:val="0"/>
            <w:vAlign w:val="center"/>
          </w:tcPr>
          <w:p w14:paraId="44D8060C">
            <w:pPr>
              <w:snapToGrid w:val="0"/>
              <w:ind w:left="-53" w:leftChars="-25" w:right="-53" w:rightChars="-25"/>
              <w:jc w:val="center"/>
              <w:rPr>
                <w:rFonts w:hint="eastAsia" w:ascii="宋体" w:hAnsi="宋体" w:cs="宋体"/>
                <w:b/>
                <w:szCs w:val="21"/>
              </w:rPr>
            </w:pPr>
            <w:r>
              <w:rPr>
                <w:rFonts w:hint="eastAsia" w:ascii="宋体" w:hAnsi="宋体" w:cs="宋体"/>
                <w:b/>
                <w:szCs w:val="21"/>
              </w:rPr>
              <w:t>条款号</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6245C8C6">
            <w:pPr>
              <w:snapToGrid w:val="0"/>
              <w:jc w:val="center"/>
              <w:rPr>
                <w:rFonts w:hint="eastAsia" w:ascii="宋体" w:hAnsi="宋体" w:cs="宋体"/>
                <w:b/>
                <w:szCs w:val="21"/>
              </w:rPr>
            </w:pPr>
            <w:r>
              <w:rPr>
                <w:rFonts w:hint="eastAsia" w:ascii="宋体" w:hAnsi="宋体" w:cs="宋体"/>
                <w:b/>
                <w:szCs w:val="21"/>
              </w:rPr>
              <w:t>条款内容</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31CD602D">
            <w:pPr>
              <w:snapToGrid w:val="0"/>
              <w:jc w:val="center"/>
              <w:rPr>
                <w:rFonts w:hint="eastAsia" w:ascii="宋体" w:hAnsi="宋体" w:cs="宋体"/>
                <w:b/>
                <w:szCs w:val="21"/>
              </w:rPr>
            </w:pPr>
            <w:r>
              <w:rPr>
                <w:rFonts w:hint="eastAsia" w:ascii="宋体" w:hAnsi="宋体" w:cs="宋体"/>
                <w:b/>
                <w:szCs w:val="21"/>
              </w:rPr>
              <w:t>编制内容</w:t>
            </w:r>
          </w:p>
        </w:tc>
      </w:tr>
      <w:tr w14:paraId="309965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927" w:hRule="atLeast"/>
          <w:jc w:val="center"/>
        </w:trPr>
        <w:tc>
          <w:tcPr>
            <w:tcW w:w="1681" w:type="dxa"/>
            <w:gridSpan w:val="2"/>
            <w:tcBorders>
              <w:bottom w:val="single" w:color="auto" w:sz="4" w:space="0"/>
              <w:right w:val="single" w:color="auto" w:sz="4" w:space="0"/>
            </w:tcBorders>
            <w:noWrap w:val="0"/>
            <w:vAlign w:val="center"/>
          </w:tcPr>
          <w:p w14:paraId="604C4E0F">
            <w:pPr>
              <w:snapToGrid w:val="0"/>
              <w:ind w:left="-53" w:leftChars="-25" w:right="-53" w:rightChars="-25"/>
              <w:jc w:val="center"/>
              <w:rPr>
                <w:rFonts w:hint="eastAsia" w:ascii="宋体" w:hAnsi="宋体" w:cs="宋体"/>
                <w:szCs w:val="21"/>
              </w:rPr>
            </w:pPr>
            <w:r>
              <w:rPr>
                <w:rFonts w:hint="eastAsia" w:ascii="宋体" w:hAnsi="宋体" w:cs="宋体"/>
                <w:szCs w:val="21"/>
              </w:rPr>
              <w:t>2.2.1</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6048D893">
            <w:pPr>
              <w:snapToGrid w:val="0"/>
              <w:jc w:val="center"/>
              <w:rPr>
                <w:rFonts w:hint="eastAsia" w:ascii="宋体" w:hAnsi="宋体" w:cs="宋体"/>
                <w:szCs w:val="21"/>
              </w:rPr>
            </w:pPr>
            <w:r>
              <w:rPr>
                <w:rFonts w:hint="eastAsia" w:ascii="宋体" w:hAnsi="宋体" w:cs="宋体"/>
                <w:szCs w:val="21"/>
              </w:rPr>
              <w:t>分值构成</w:t>
            </w:r>
          </w:p>
          <w:p w14:paraId="742130D3">
            <w:pPr>
              <w:snapToGrid w:val="0"/>
              <w:jc w:val="center"/>
              <w:rPr>
                <w:rFonts w:hint="eastAsia" w:ascii="宋体" w:hAnsi="宋体" w:cs="宋体"/>
                <w:szCs w:val="21"/>
              </w:rPr>
            </w:pPr>
            <w:r>
              <w:rPr>
                <w:rFonts w:hint="eastAsia" w:ascii="宋体" w:hAnsi="宋体" w:cs="宋体"/>
                <w:szCs w:val="21"/>
              </w:rPr>
              <w:t>（总分100分）</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02C13213">
            <w:pPr>
              <w:pStyle w:val="19"/>
              <w:snapToGrid w:val="0"/>
              <w:spacing w:after="0" w:line="240" w:lineRule="auto"/>
              <w:ind w:left="42" w:leftChars="20" w:firstLine="0"/>
              <w:rPr>
                <w:rFonts w:hint="eastAsia" w:ascii="宋体" w:hAnsi="宋体"/>
                <w:kern w:val="2"/>
                <w:sz w:val="21"/>
                <w:szCs w:val="21"/>
              </w:rPr>
            </w:pPr>
            <w:r>
              <w:rPr>
                <w:rFonts w:hint="eastAsia" w:ascii="宋体" w:hAnsi="宋体"/>
                <w:kern w:val="2"/>
                <w:sz w:val="21"/>
                <w:szCs w:val="21"/>
              </w:rPr>
              <w:t>投标人总得分满分为100分，总得分权重分配：</w:t>
            </w:r>
          </w:p>
          <w:p w14:paraId="15611452">
            <w:pPr>
              <w:pStyle w:val="19"/>
              <w:snapToGrid w:val="0"/>
              <w:spacing w:after="0" w:line="240" w:lineRule="auto"/>
              <w:ind w:left="42" w:leftChars="20" w:firstLine="0"/>
              <w:rPr>
                <w:rFonts w:hint="eastAsia" w:ascii="宋体" w:hAnsi="宋体"/>
                <w:kern w:val="2"/>
                <w:sz w:val="21"/>
                <w:szCs w:val="21"/>
              </w:rPr>
            </w:pPr>
            <w:r>
              <w:rPr>
                <w:rFonts w:hint="eastAsia" w:ascii="宋体" w:hAnsi="宋体"/>
                <w:kern w:val="2"/>
                <w:sz w:val="21"/>
                <w:szCs w:val="21"/>
              </w:rPr>
              <w:t>投标人总得分=设计方案得分×权重(30%)+工程总承包实施方案得分×权重(35%)+投标报价得分×权重(35%)</w:t>
            </w:r>
          </w:p>
        </w:tc>
      </w:tr>
      <w:tr w14:paraId="79144C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301" w:hRule="atLeast"/>
          <w:jc w:val="center"/>
        </w:trPr>
        <w:tc>
          <w:tcPr>
            <w:tcW w:w="1681" w:type="dxa"/>
            <w:gridSpan w:val="2"/>
            <w:tcBorders>
              <w:top w:val="single" w:color="auto" w:sz="4" w:space="0"/>
              <w:bottom w:val="single" w:color="auto" w:sz="4" w:space="0"/>
              <w:right w:val="single" w:color="auto" w:sz="4" w:space="0"/>
            </w:tcBorders>
            <w:noWrap w:val="0"/>
            <w:vAlign w:val="center"/>
          </w:tcPr>
          <w:p w14:paraId="13E5FA9D">
            <w:pPr>
              <w:snapToGrid w:val="0"/>
              <w:ind w:left="-53" w:leftChars="-25" w:right="-53" w:rightChars="-25"/>
              <w:jc w:val="center"/>
              <w:rPr>
                <w:rFonts w:hint="eastAsia" w:ascii="宋体" w:hAnsi="宋体" w:cs="宋体"/>
                <w:szCs w:val="21"/>
              </w:rPr>
            </w:pPr>
            <w:r>
              <w:rPr>
                <w:rFonts w:hint="eastAsia" w:ascii="宋体" w:hAnsi="宋体" w:cs="宋体"/>
                <w:szCs w:val="21"/>
              </w:rPr>
              <w:t>2.2.2</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36FCC4C5">
            <w:pPr>
              <w:snapToGrid w:val="0"/>
              <w:ind w:left="-59" w:leftChars="-28" w:right="-80" w:rightChars="-38"/>
              <w:jc w:val="center"/>
              <w:rPr>
                <w:rFonts w:hint="eastAsia" w:ascii="宋体" w:hAnsi="宋体" w:cs="宋体"/>
                <w:szCs w:val="21"/>
              </w:rPr>
            </w:pPr>
            <w:r>
              <w:rPr>
                <w:rFonts w:hint="eastAsia" w:ascii="宋体" w:hAnsi="宋体" w:cs="宋体"/>
                <w:szCs w:val="21"/>
              </w:rPr>
              <w:t>评标基准价计算方法</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0A549663">
            <w:pPr>
              <w:pStyle w:val="19"/>
              <w:snapToGrid w:val="0"/>
              <w:spacing w:after="0" w:line="240" w:lineRule="auto"/>
              <w:ind w:firstLine="41"/>
              <w:rPr>
                <w:rFonts w:hint="eastAsia" w:ascii="宋体" w:hAnsi="宋体" w:cs="宋体"/>
                <w:kern w:val="2"/>
                <w:sz w:val="21"/>
                <w:szCs w:val="21"/>
                <w:lang w:val="zh-TW" w:eastAsia="zh-TW"/>
              </w:rPr>
            </w:pPr>
            <w:r>
              <w:rPr>
                <w:rFonts w:hint="eastAsia" w:ascii="宋体" w:hAnsi="宋体" w:cs="宋体"/>
                <w:kern w:val="2"/>
                <w:sz w:val="21"/>
                <w:szCs w:val="21"/>
                <w:lang w:val="zh-TW" w:eastAsia="zh-TW"/>
              </w:rPr>
              <w:t>（1）</w:t>
            </w:r>
            <w:r>
              <w:rPr>
                <w:rFonts w:hint="eastAsia" w:ascii="宋体" w:hAnsi="宋体" w:cs="宋体"/>
                <w:kern w:val="2"/>
                <w:sz w:val="21"/>
                <w:szCs w:val="21"/>
                <w:lang w:val="zh-TW"/>
              </w:rPr>
              <w:t>评标基准价</w:t>
            </w:r>
            <w:r>
              <w:rPr>
                <w:rFonts w:hint="eastAsia" w:ascii="宋体" w:hAnsi="宋体" w:cs="宋体"/>
                <w:kern w:val="2"/>
                <w:sz w:val="21"/>
                <w:szCs w:val="21"/>
                <w:lang w:val="zh-TW" w:eastAsia="zh-TW"/>
              </w:rPr>
              <w:t>计算方法：</w:t>
            </w:r>
          </w:p>
          <w:p w14:paraId="2D8AE1BD">
            <w:pPr>
              <w:pStyle w:val="19"/>
              <w:snapToGrid w:val="0"/>
              <w:spacing w:after="0" w:line="240" w:lineRule="auto"/>
              <w:ind w:firstLine="41"/>
              <w:rPr>
                <w:rFonts w:hint="eastAsia" w:ascii="宋体" w:hAnsi="宋体" w:cs="宋体"/>
                <w:kern w:val="2"/>
                <w:sz w:val="21"/>
                <w:szCs w:val="21"/>
                <w:lang w:val="zh-TW" w:eastAsia="zh-TW"/>
              </w:rPr>
            </w:pPr>
            <w:r>
              <w:rPr>
                <w:rFonts w:hint="eastAsia" w:ascii="宋体" w:hAnsi="宋体" w:cs="宋体"/>
                <w:kern w:val="2"/>
                <w:sz w:val="21"/>
                <w:szCs w:val="21"/>
                <w:lang w:val="zh-TW" w:eastAsia="zh-TW"/>
              </w:rPr>
              <w:t>区间抽取法：</w:t>
            </w:r>
          </w:p>
          <w:p w14:paraId="7C2AC99F">
            <w:pPr>
              <w:pStyle w:val="19"/>
              <w:snapToGrid w:val="0"/>
              <w:spacing w:after="0" w:line="240" w:lineRule="auto"/>
              <w:ind w:firstLine="41"/>
              <w:rPr>
                <w:rFonts w:hint="eastAsia" w:ascii="宋体" w:hAnsi="宋体" w:cs="宋体"/>
                <w:kern w:val="2"/>
                <w:sz w:val="21"/>
                <w:szCs w:val="21"/>
                <w:lang w:val="zh-TW" w:eastAsia="zh-TW"/>
              </w:rPr>
            </w:pPr>
            <w:r>
              <w:rPr>
                <w:rFonts w:hint="eastAsia" w:ascii="宋体" w:hAnsi="宋体" w:cs="宋体"/>
                <w:kern w:val="2"/>
                <w:sz w:val="21"/>
                <w:szCs w:val="21"/>
                <w:lang w:val="zh-TW" w:eastAsia="zh-TW"/>
              </w:rPr>
              <w:t>设立入围合格分数线（设计方案得分+工程总承包实施方案得分之和</w:t>
            </w:r>
            <w:r>
              <w:rPr>
                <w:rFonts w:hint="eastAsia" w:ascii="宋体" w:hAnsi="宋体" w:cs="宋体"/>
                <w:kern w:val="2"/>
                <w:sz w:val="21"/>
                <w:szCs w:val="21"/>
                <w:lang w:val="en-US" w:eastAsia="zh-CN"/>
              </w:rPr>
              <w:t>52</w:t>
            </w:r>
            <w:r>
              <w:rPr>
                <w:rFonts w:hint="eastAsia" w:ascii="宋体" w:hAnsi="宋体" w:cs="宋体"/>
                <w:kern w:val="2"/>
                <w:sz w:val="21"/>
                <w:szCs w:val="21"/>
                <w:lang w:val="zh-TW" w:eastAsia="zh-TW"/>
              </w:rPr>
              <w:t>分），达到或超过及格线的投标人的报价方能参与</w:t>
            </w:r>
            <w:r>
              <w:rPr>
                <w:rFonts w:hint="eastAsia" w:ascii="宋体" w:hAnsi="宋体" w:cs="宋体"/>
                <w:kern w:val="2"/>
                <w:sz w:val="21"/>
                <w:szCs w:val="21"/>
                <w:lang w:val="zh-TW"/>
              </w:rPr>
              <w:t>评标基准价</w:t>
            </w:r>
            <w:r>
              <w:rPr>
                <w:rFonts w:hint="eastAsia" w:ascii="宋体" w:hAnsi="宋体" w:cs="宋体"/>
                <w:kern w:val="2"/>
                <w:sz w:val="21"/>
                <w:szCs w:val="21"/>
                <w:lang w:val="zh-TW" w:eastAsia="zh-TW"/>
              </w:rPr>
              <w:t>的计算。将达到或超过及格分数线的投标报价由低至高进行排列，按以下公式计算</w:t>
            </w:r>
            <w:r>
              <w:rPr>
                <w:rFonts w:hint="eastAsia" w:ascii="宋体" w:hAnsi="宋体" w:cs="宋体"/>
                <w:kern w:val="2"/>
                <w:sz w:val="21"/>
                <w:szCs w:val="21"/>
                <w:lang w:val="zh-TW"/>
              </w:rPr>
              <w:t>评标基准价</w:t>
            </w:r>
            <w:r>
              <w:rPr>
                <w:rFonts w:hint="eastAsia" w:ascii="宋体" w:hAnsi="宋体" w:cs="宋体"/>
                <w:kern w:val="2"/>
                <w:sz w:val="21"/>
                <w:szCs w:val="21"/>
                <w:lang w:val="zh-TW" w:eastAsia="zh-TW"/>
              </w:rPr>
              <w:t>，计算公式如下：</w:t>
            </w:r>
          </w:p>
          <w:p w14:paraId="276EA72D">
            <w:pPr>
              <w:pStyle w:val="19"/>
              <w:snapToGrid w:val="0"/>
              <w:spacing w:after="0" w:line="240" w:lineRule="auto"/>
              <w:ind w:firstLine="41"/>
              <w:rPr>
                <w:rFonts w:hint="eastAsia" w:ascii="宋体" w:hAnsi="宋体" w:cs="宋体"/>
                <w:kern w:val="2"/>
                <w:sz w:val="21"/>
                <w:szCs w:val="21"/>
                <w:lang w:val="zh-TW" w:eastAsia="zh-TW"/>
              </w:rPr>
            </w:pPr>
            <w:r>
              <w:rPr>
                <w:rFonts w:hint="eastAsia" w:ascii="宋体" w:hAnsi="宋体" w:cs="宋体"/>
                <w:kern w:val="2"/>
                <w:sz w:val="21"/>
                <w:szCs w:val="21"/>
                <w:lang w:val="zh-TW"/>
              </w:rPr>
              <w:t>评标基准价</w:t>
            </w:r>
            <w:r>
              <w:rPr>
                <w:rFonts w:hint="eastAsia" w:ascii="宋体" w:hAnsi="宋体" w:cs="宋体"/>
                <w:kern w:val="2"/>
                <w:sz w:val="21"/>
                <w:szCs w:val="21"/>
                <w:lang w:val="zh-TW" w:eastAsia="zh-TW"/>
              </w:rPr>
              <w:t>=（Q高-Q低）/100*X+Q低</w:t>
            </w:r>
          </w:p>
          <w:p w14:paraId="2D411054">
            <w:pPr>
              <w:pStyle w:val="19"/>
              <w:snapToGrid w:val="0"/>
              <w:spacing w:after="0" w:line="240" w:lineRule="auto"/>
              <w:ind w:firstLine="41"/>
              <w:rPr>
                <w:rFonts w:hint="eastAsia" w:ascii="宋体" w:hAnsi="宋体" w:cs="宋体"/>
                <w:kern w:val="2"/>
                <w:sz w:val="21"/>
                <w:szCs w:val="21"/>
                <w:lang w:val="zh-TW" w:eastAsia="zh-TW"/>
              </w:rPr>
            </w:pPr>
            <w:r>
              <w:rPr>
                <w:rFonts w:hint="eastAsia" w:ascii="宋体" w:hAnsi="宋体" w:cs="宋体"/>
                <w:kern w:val="2"/>
                <w:sz w:val="21"/>
                <w:szCs w:val="21"/>
                <w:lang w:val="zh-TW" w:eastAsia="zh-TW"/>
              </w:rPr>
              <w:t>Q低：为达到或超过及格分数线的投标人最低报价与工程成本警示价两者中的较高值；如投标人均没有达到入围合格分数线的，则Q低为工程成本警示价。</w:t>
            </w:r>
          </w:p>
          <w:p w14:paraId="14046110">
            <w:pPr>
              <w:pStyle w:val="19"/>
              <w:snapToGrid w:val="0"/>
              <w:spacing w:after="0" w:line="240" w:lineRule="auto"/>
              <w:ind w:firstLine="41"/>
              <w:rPr>
                <w:rFonts w:hint="eastAsia" w:ascii="宋体" w:hAnsi="宋体" w:cs="宋体"/>
                <w:kern w:val="2"/>
                <w:sz w:val="21"/>
                <w:szCs w:val="21"/>
                <w:lang w:val="zh-TW" w:eastAsia="zh-TW"/>
              </w:rPr>
            </w:pPr>
            <w:r>
              <w:rPr>
                <w:rFonts w:hint="eastAsia" w:ascii="宋体" w:hAnsi="宋体" w:cs="宋体"/>
                <w:kern w:val="2"/>
                <w:sz w:val="21"/>
                <w:szCs w:val="21"/>
                <w:lang w:val="zh-TW" w:eastAsia="zh-TW"/>
              </w:rPr>
              <w:t>Q高：最高投标限价</w:t>
            </w:r>
          </w:p>
          <w:p w14:paraId="1B48C187">
            <w:pPr>
              <w:pStyle w:val="19"/>
              <w:snapToGrid w:val="0"/>
              <w:spacing w:after="0" w:line="240" w:lineRule="auto"/>
              <w:ind w:firstLine="41"/>
              <w:rPr>
                <w:rFonts w:hint="eastAsia" w:ascii="宋体" w:hAnsi="宋体" w:cs="宋体"/>
                <w:kern w:val="2"/>
                <w:sz w:val="21"/>
                <w:szCs w:val="21"/>
                <w:lang w:val="zh-TW" w:eastAsia="zh-TW"/>
              </w:rPr>
            </w:pPr>
            <w:r>
              <w:rPr>
                <w:rFonts w:hint="eastAsia" w:ascii="宋体" w:hAnsi="宋体" w:cs="宋体"/>
                <w:kern w:val="2"/>
                <w:sz w:val="21"/>
                <w:szCs w:val="21"/>
                <w:lang w:val="zh-TW" w:eastAsia="zh-TW"/>
              </w:rPr>
              <w:t>X：为等分点值，在开标前从[0,100]整数中随机抽取</w:t>
            </w:r>
          </w:p>
        </w:tc>
      </w:tr>
      <w:tr w14:paraId="69613B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1681" w:type="dxa"/>
            <w:gridSpan w:val="2"/>
            <w:tcBorders>
              <w:top w:val="single" w:color="auto" w:sz="4" w:space="0"/>
              <w:bottom w:val="single" w:color="auto" w:sz="4" w:space="0"/>
              <w:right w:val="single" w:color="auto" w:sz="4" w:space="0"/>
            </w:tcBorders>
            <w:noWrap w:val="0"/>
            <w:vAlign w:val="center"/>
          </w:tcPr>
          <w:p w14:paraId="3A071CA3">
            <w:pPr>
              <w:snapToGrid w:val="0"/>
              <w:ind w:left="-53" w:leftChars="-25" w:right="-53" w:rightChars="-25"/>
              <w:jc w:val="center"/>
              <w:rPr>
                <w:rFonts w:hint="eastAsia" w:ascii="宋体" w:hAnsi="宋体" w:cs="宋体"/>
                <w:szCs w:val="21"/>
              </w:rPr>
            </w:pPr>
            <w:r>
              <w:rPr>
                <w:rFonts w:hint="eastAsia" w:ascii="宋体" w:hAnsi="宋体" w:cs="宋体"/>
                <w:szCs w:val="21"/>
              </w:rPr>
              <w:t>2.2.3</w:t>
            </w:r>
          </w:p>
        </w:tc>
        <w:tc>
          <w:tcPr>
            <w:tcW w:w="2425" w:type="dxa"/>
            <w:gridSpan w:val="2"/>
            <w:tcBorders>
              <w:top w:val="single" w:color="auto" w:sz="4" w:space="0"/>
              <w:left w:val="single" w:color="auto" w:sz="4" w:space="0"/>
              <w:right w:val="single" w:color="auto" w:sz="4" w:space="0"/>
            </w:tcBorders>
            <w:noWrap w:val="0"/>
            <w:vAlign w:val="center"/>
          </w:tcPr>
          <w:p w14:paraId="4FC6AA29">
            <w:pPr>
              <w:snapToGrid w:val="0"/>
              <w:jc w:val="center"/>
              <w:rPr>
                <w:rFonts w:hint="eastAsia" w:ascii="宋体" w:hAnsi="宋体" w:cs="宋体"/>
                <w:szCs w:val="21"/>
                <w:lang w:val="zh-TW"/>
              </w:rPr>
            </w:pPr>
            <w:r>
              <w:rPr>
                <w:rFonts w:hint="eastAsia" w:ascii="宋体" w:hAnsi="宋体" w:cs="宋体"/>
                <w:szCs w:val="21"/>
                <w:lang w:val="zh-TW" w:eastAsia="zh-TW"/>
              </w:rPr>
              <w:t>投标报价的偏差率</w:t>
            </w:r>
          </w:p>
          <w:p w14:paraId="0E2CB736">
            <w:pPr>
              <w:snapToGrid w:val="0"/>
              <w:jc w:val="center"/>
              <w:rPr>
                <w:rFonts w:hint="eastAsia" w:ascii="宋体" w:hAnsi="宋体" w:cs="宋体"/>
                <w:szCs w:val="21"/>
                <w:lang w:val="zh-TW" w:eastAsia="zh-TW"/>
              </w:rPr>
            </w:pPr>
            <w:r>
              <w:rPr>
                <w:rFonts w:hint="eastAsia" w:ascii="宋体" w:hAnsi="宋体" w:cs="宋体"/>
                <w:szCs w:val="21"/>
                <w:lang w:val="zh-TW" w:eastAsia="zh-TW"/>
              </w:rPr>
              <w:t>计算公式</w:t>
            </w:r>
          </w:p>
        </w:tc>
        <w:tc>
          <w:tcPr>
            <w:tcW w:w="5721" w:type="dxa"/>
            <w:tcBorders>
              <w:top w:val="single" w:color="auto" w:sz="4" w:space="0"/>
              <w:left w:val="single" w:color="auto" w:sz="4" w:space="0"/>
              <w:right w:val="single" w:color="auto" w:sz="4" w:space="0"/>
            </w:tcBorders>
            <w:noWrap w:val="0"/>
            <w:vAlign w:val="center"/>
          </w:tcPr>
          <w:p w14:paraId="4C9B3975">
            <w:pPr>
              <w:snapToGrid w:val="0"/>
              <w:rPr>
                <w:rFonts w:hint="eastAsia" w:ascii="宋体" w:hAnsi="宋体" w:cs="宋体"/>
                <w:szCs w:val="21"/>
                <w:lang w:val="zh-TW" w:eastAsia="zh-TW"/>
              </w:rPr>
            </w:pPr>
            <w:r>
              <w:rPr>
                <w:rFonts w:hint="eastAsia" w:ascii="宋体" w:hAnsi="宋体" w:cs="宋体"/>
                <w:szCs w:val="21"/>
                <w:lang w:val="zh-TW" w:eastAsia="zh-TW"/>
              </w:rPr>
              <w:t>偏差率=100%</w:t>
            </w:r>
            <w:r>
              <w:rPr>
                <w:rFonts w:ascii="宋体" w:hAnsi="宋体" w:cs="Arial"/>
                <w:szCs w:val="21"/>
                <w:lang w:val="zh-TW" w:eastAsia="zh-TW"/>
              </w:rPr>
              <w:t>×</w:t>
            </w:r>
            <w:r>
              <w:rPr>
                <w:rFonts w:hint="eastAsia" w:ascii="宋体" w:hAnsi="宋体" w:cs="宋体"/>
                <w:szCs w:val="21"/>
                <w:lang w:val="zh-TW" w:eastAsia="zh-TW"/>
              </w:rPr>
              <w:t>（投标人报价－评标基准价）÷评标基准价</w:t>
            </w:r>
          </w:p>
        </w:tc>
      </w:tr>
      <w:tr w14:paraId="78909C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1681" w:type="dxa"/>
            <w:gridSpan w:val="2"/>
            <w:tcBorders>
              <w:top w:val="single" w:color="auto" w:sz="4" w:space="0"/>
              <w:bottom w:val="single" w:color="auto" w:sz="4" w:space="0"/>
              <w:right w:val="single" w:color="auto" w:sz="4" w:space="0"/>
            </w:tcBorders>
            <w:noWrap w:val="0"/>
            <w:vAlign w:val="center"/>
          </w:tcPr>
          <w:p w14:paraId="450FC46F">
            <w:pPr>
              <w:snapToGrid w:val="0"/>
              <w:ind w:left="-53" w:leftChars="-25" w:right="-53" w:rightChars="-25"/>
              <w:jc w:val="center"/>
              <w:rPr>
                <w:rFonts w:hint="eastAsia" w:ascii="宋体" w:hAnsi="宋体" w:cs="宋体"/>
                <w:b/>
                <w:szCs w:val="21"/>
              </w:rPr>
            </w:pPr>
            <w:r>
              <w:rPr>
                <w:rFonts w:hint="eastAsia" w:ascii="宋体" w:hAnsi="宋体" w:cs="宋体"/>
                <w:b/>
                <w:szCs w:val="21"/>
              </w:rPr>
              <w:t>条款号</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3D90D45E">
            <w:pPr>
              <w:snapToGrid w:val="0"/>
              <w:jc w:val="center"/>
              <w:rPr>
                <w:rFonts w:hint="eastAsia" w:ascii="宋体" w:hAnsi="宋体" w:cs="宋体"/>
                <w:b/>
                <w:szCs w:val="21"/>
              </w:rPr>
            </w:pPr>
            <w:r>
              <w:rPr>
                <w:rFonts w:hint="eastAsia" w:ascii="宋体" w:hAnsi="宋体" w:cs="宋体"/>
                <w:b/>
                <w:szCs w:val="21"/>
              </w:rPr>
              <w:t>评分因素</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0F6DA6F3">
            <w:pPr>
              <w:snapToGrid w:val="0"/>
              <w:jc w:val="center"/>
              <w:rPr>
                <w:rFonts w:hint="eastAsia" w:ascii="宋体" w:hAnsi="宋体" w:cs="宋体"/>
                <w:b/>
                <w:szCs w:val="21"/>
              </w:rPr>
            </w:pPr>
            <w:r>
              <w:rPr>
                <w:rFonts w:hint="eastAsia" w:ascii="宋体" w:hAnsi="宋体" w:cs="宋体"/>
                <w:b/>
                <w:szCs w:val="21"/>
              </w:rPr>
              <w:t>评分标准</w:t>
            </w:r>
          </w:p>
        </w:tc>
      </w:tr>
      <w:tr w14:paraId="54A2A8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404" w:hRule="atLeast"/>
          <w:jc w:val="center"/>
        </w:trPr>
        <w:tc>
          <w:tcPr>
            <w:tcW w:w="676" w:type="dxa"/>
            <w:vMerge w:val="restart"/>
            <w:tcBorders>
              <w:top w:val="single" w:color="auto" w:sz="4" w:space="0"/>
              <w:right w:val="single" w:color="auto" w:sz="4" w:space="0"/>
            </w:tcBorders>
            <w:noWrap w:val="0"/>
            <w:vAlign w:val="center"/>
          </w:tcPr>
          <w:p w14:paraId="576FD6D2">
            <w:pPr>
              <w:snapToGrid w:val="0"/>
              <w:ind w:left="-53" w:leftChars="-25" w:right="-53" w:rightChars="-25"/>
              <w:jc w:val="center"/>
              <w:rPr>
                <w:rFonts w:hint="eastAsia" w:ascii="宋体" w:hAnsi="宋体" w:cs="宋体"/>
                <w:szCs w:val="21"/>
              </w:rPr>
            </w:pPr>
            <w:r>
              <w:rPr>
                <w:rFonts w:hint="eastAsia" w:ascii="宋体" w:hAnsi="宋体" w:cs="宋体"/>
                <w:szCs w:val="21"/>
              </w:rPr>
              <w:t>2.2.4（1）</w:t>
            </w:r>
          </w:p>
        </w:tc>
        <w:tc>
          <w:tcPr>
            <w:tcW w:w="1005" w:type="dxa"/>
            <w:vMerge w:val="restart"/>
            <w:tcBorders>
              <w:top w:val="single" w:color="auto" w:sz="4" w:space="0"/>
              <w:right w:val="single" w:color="auto" w:sz="4" w:space="0"/>
            </w:tcBorders>
            <w:noWrap w:val="0"/>
            <w:vAlign w:val="center"/>
          </w:tcPr>
          <w:p w14:paraId="19345702">
            <w:pPr>
              <w:snapToGrid w:val="0"/>
              <w:ind w:left="-53" w:leftChars="-25" w:right="-53" w:rightChars="-25"/>
              <w:jc w:val="center"/>
              <w:rPr>
                <w:rFonts w:hint="eastAsia" w:ascii="宋体" w:hAnsi="宋体" w:cs="宋体"/>
                <w:szCs w:val="21"/>
              </w:rPr>
            </w:pPr>
            <w:r>
              <w:rPr>
                <w:rFonts w:hint="eastAsia" w:ascii="宋体" w:hAnsi="宋体" w:cs="宋体"/>
                <w:szCs w:val="21"/>
              </w:rPr>
              <w:t>设计方案评分标准</w:t>
            </w:r>
          </w:p>
          <w:p w14:paraId="33FD89E8">
            <w:pPr>
              <w:snapToGrid w:val="0"/>
              <w:ind w:left="-53" w:leftChars="-25" w:right="-53" w:rightChars="-25"/>
              <w:jc w:val="center"/>
              <w:rPr>
                <w:rFonts w:hint="eastAsia" w:ascii="宋体" w:hAnsi="宋体" w:cs="宋体"/>
                <w:szCs w:val="21"/>
              </w:rPr>
            </w:pPr>
            <w:r>
              <w:rPr>
                <w:rFonts w:hint="eastAsia" w:ascii="宋体" w:hAnsi="宋体" w:cs="宋体"/>
                <w:szCs w:val="21"/>
              </w:rPr>
              <w:t>（100分）</w:t>
            </w:r>
          </w:p>
        </w:tc>
        <w:tc>
          <w:tcPr>
            <w:tcW w:w="2425" w:type="dxa"/>
            <w:gridSpan w:val="2"/>
            <w:tcBorders>
              <w:top w:val="single" w:color="auto" w:sz="4" w:space="0"/>
              <w:left w:val="single" w:color="auto" w:sz="4" w:space="0"/>
              <w:right w:val="single" w:color="auto" w:sz="4" w:space="0"/>
            </w:tcBorders>
            <w:noWrap w:val="0"/>
            <w:vAlign w:val="center"/>
          </w:tcPr>
          <w:p w14:paraId="0FE21300">
            <w:pPr>
              <w:pStyle w:val="27"/>
              <w:snapToGrid w:val="0"/>
              <w:jc w:val="center"/>
              <w:rPr>
                <w:rFonts w:hint="eastAsia"/>
                <w:szCs w:val="21"/>
                <w:highlight w:val="none"/>
              </w:rPr>
            </w:pPr>
            <w:r>
              <w:rPr>
                <w:rFonts w:hint="eastAsia"/>
                <w:szCs w:val="21"/>
                <w:highlight w:val="none"/>
              </w:rPr>
              <w:t>整体设计效果</w:t>
            </w:r>
          </w:p>
          <w:p w14:paraId="19667D60">
            <w:pPr>
              <w:pStyle w:val="27"/>
              <w:snapToGrid w:val="0"/>
              <w:jc w:val="center"/>
              <w:rPr>
                <w:rFonts w:hint="eastAsia"/>
                <w:szCs w:val="21"/>
              </w:rPr>
            </w:pPr>
            <w:r>
              <w:rPr>
                <w:rFonts w:hint="eastAsia"/>
                <w:b/>
                <w:bCs/>
                <w:szCs w:val="21"/>
                <w:highlight w:val="none"/>
                <w:u w:val="single"/>
              </w:rPr>
              <w:t>(1</w:t>
            </w:r>
            <w:r>
              <w:rPr>
                <w:rFonts w:hint="eastAsia"/>
                <w:b/>
                <w:bCs/>
                <w:szCs w:val="21"/>
                <w:highlight w:val="none"/>
                <w:u w:val="single"/>
                <w:lang w:val="en-US" w:eastAsia="zh-CN"/>
              </w:rPr>
              <w:t>5</w:t>
            </w:r>
            <w:r>
              <w:rPr>
                <w:rFonts w:hint="eastAsia"/>
                <w:b/>
                <w:bCs/>
                <w:szCs w:val="21"/>
                <w:highlight w:val="none"/>
                <w:u w:val="single"/>
              </w:rPr>
              <w:t>分)</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2EF28F35">
            <w:pPr>
              <w:pStyle w:val="7"/>
              <w:ind w:left="420" w:hanging="420" w:hangingChars="200"/>
              <w:rPr>
                <w:rFonts w:hint="eastAsia" w:ascii="宋体" w:hAnsi="宋体" w:cs="宋体"/>
                <w:b w:val="0"/>
                <w:bCs/>
                <w:color w:val="000000"/>
                <w:szCs w:val="21"/>
                <w:highlight w:val="none"/>
                <w:lang w:val="zh-CN"/>
              </w:rPr>
            </w:pPr>
            <w:r>
              <w:rPr>
                <w:rFonts w:hint="eastAsia"/>
                <w:color w:val="000000"/>
                <w:szCs w:val="21"/>
                <w:highlight w:val="none"/>
              </w:rPr>
              <w:t>整体设计效果</w:t>
            </w:r>
            <w:r>
              <w:rPr>
                <w:rFonts w:hint="eastAsia"/>
                <w:color w:val="000000"/>
                <w:szCs w:val="21"/>
                <w:highlight w:val="none"/>
                <w:lang w:val="en-US" w:eastAsia="zh-CN"/>
              </w:rPr>
              <w:t>及理念要</w:t>
            </w:r>
            <w:r>
              <w:rPr>
                <w:rFonts w:hint="eastAsia" w:ascii="宋体" w:hAnsi="宋体" w:cs="宋体"/>
                <w:color w:val="000000"/>
                <w:szCs w:val="21"/>
                <w:highlight w:val="none"/>
              </w:rPr>
              <w:t>符合医疗行业发展趋势，具有较高的创新性和前瞻性</w:t>
            </w:r>
            <w:r>
              <w:rPr>
                <w:rFonts w:hint="eastAsia" w:ascii="宋体" w:hAnsi="宋体" w:cs="宋体"/>
                <w:color w:val="000000"/>
                <w:szCs w:val="21"/>
                <w:highlight w:val="none"/>
                <w:lang w:eastAsia="zh-CN"/>
              </w:rPr>
              <w:t>：</w:t>
            </w:r>
            <w:r>
              <w:rPr>
                <w:rFonts w:hint="eastAsia" w:ascii="宋体" w:hAnsi="宋体" w:cs="宋体"/>
                <w:b w:val="0"/>
                <w:bCs/>
                <w:color w:val="000000"/>
                <w:szCs w:val="21"/>
                <w:highlight w:val="none"/>
                <w:lang w:val="zh-CN"/>
              </w:rPr>
              <w:t>​</w:t>
            </w:r>
          </w:p>
          <w:p w14:paraId="6DDEC175">
            <w:pPr>
              <w:pStyle w:val="7"/>
              <w:ind w:left="630" w:hanging="630" w:hangingChars="300"/>
              <w:rPr>
                <w:rFonts w:hint="eastAsia" w:ascii="宋体" w:hAnsi="宋体" w:cs="宋体"/>
                <w:b w:val="0"/>
                <w:bCs/>
                <w:color w:val="000000"/>
                <w:szCs w:val="21"/>
                <w:highlight w:val="none"/>
                <w:lang w:val="zh-CN"/>
              </w:rPr>
            </w:pPr>
            <w:r>
              <w:rPr>
                <w:rFonts w:hint="eastAsia" w:ascii="宋体" w:hAnsi="宋体" w:cs="宋体"/>
                <w:b w:val="0"/>
                <w:bCs/>
                <w:color w:val="000000"/>
                <w:szCs w:val="21"/>
                <w:highlight w:val="none"/>
                <w:lang w:val="zh-CN"/>
              </w:rPr>
              <w:t>[优]：</w:t>
            </w:r>
            <w:r>
              <w:rPr>
                <w:rFonts w:hint="eastAsia" w:ascii="宋体" w:hAnsi="宋体" w:cs="宋体"/>
                <w:b w:val="0"/>
                <w:bCs/>
                <w:color w:val="000000"/>
                <w:szCs w:val="21"/>
                <w:highlight w:val="none"/>
                <w:lang w:val="en-US" w:eastAsia="zh-CN"/>
              </w:rPr>
              <w:t>设计理念</w:t>
            </w:r>
            <w:r>
              <w:rPr>
                <w:rFonts w:hint="eastAsia" w:ascii="宋体" w:hAnsi="宋体" w:cs="宋体"/>
                <w:color w:val="000000"/>
                <w:szCs w:val="21"/>
                <w:highlight w:val="none"/>
              </w:rPr>
              <w:t>具有创新性和前瞻性</w:t>
            </w:r>
            <w:r>
              <w:rPr>
                <w:rFonts w:hint="eastAsia" w:ascii="宋体" w:hAnsi="宋体" w:cs="宋体"/>
                <w:b w:val="0"/>
                <w:bCs/>
                <w:color w:val="000000"/>
                <w:szCs w:val="21"/>
                <w:highlight w:val="none"/>
                <w:lang w:val="zh-CN"/>
              </w:rPr>
              <w:t>；建筑环境与空间造型整体和谐统一，鲜明体现眼科专科医院特色；</w:t>
            </w:r>
            <w:r>
              <w:rPr>
                <w:rFonts w:hint="eastAsia" w:ascii="宋体" w:hAnsi="宋体" w:eastAsia="宋体" w:cs="宋体"/>
                <w:bCs/>
                <w:i w:val="0"/>
                <w:iCs w:val="0"/>
                <w:caps w:val="0"/>
                <w:color w:val="000000"/>
                <w:spacing w:val="0"/>
                <w:sz w:val="21"/>
                <w:szCs w:val="21"/>
                <w:highlight w:val="none"/>
                <w:shd w:val="clear"/>
                <w:lang w:val="zh-CN"/>
              </w:rPr>
              <w:t>满足大气、美观、耐用、舒适等要求</w:t>
            </w:r>
            <w:r>
              <w:rPr>
                <w:rFonts w:hint="eastAsia" w:ascii="宋体" w:hAnsi="宋体" w:eastAsia="宋体" w:cs="宋体"/>
                <w:bCs/>
                <w:i w:val="0"/>
                <w:iCs w:val="0"/>
                <w:caps w:val="0"/>
                <w:color w:val="000000"/>
                <w:spacing w:val="0"/>
                <w:sz w:val="21"/>
                <w:szCs w:val="21"/>
                <w:highlight w:val="none"/>
                <w:shd w:val="clear"/>
                <w:lang w:val="zh-CN" w:eastAsia="zh-CN"/>
              </w:rPr>
              <w:t>，</w:t>
            </w:r>
            <w:r>
              <w:rPr>
                <w:rFonts w:hint="eastAsia" w:ascii="宋体" w:hAnsi="宋体" w:cs="宋体"/>
                <w:b w:val="0"/>
                <w:bCs/>
                <w:color w:val="000000"/>
                <w:szCs w:val="21"/>
                <w:highlight w:val="none"/>
                <w:lang w:val="zh-CN"/>
              </w:rPr>
              <w:t>得</w:t>
            </w:r>
            <w:r>
              <w:rPr>
                <w:rFonts w:hint="eastAsia" w:ascii="宋体" w:hAnsi="宋体" w:cs="宋体"/>
                <w:b/>
                <w:bCs w:val="0"/>
                <w:color w:val="000000"/>
                <w:szCs w:val="21"/>
                <w:highlight w:val="none"/>
                <w:u w:val="single"/>
                <w:lang w:val="zh-CN"/>
              </w:rPr>
              <w:t xml:space="preserve"> </w:t>
            </w:r>
            <w:r>
              <w:rPr>
                <w:rFonts w:hint="eastAsia" w:ascii="宋体" w:hAnsi="宋体" w:cs="宋体"/>
                <w:b/>
                <w:bCs w:val="0"/>
                <w:color w:val="000000"/>
                <w:szCs w:val="21"/>
                <w:highlight w:val="none"/>
                <w:u w:val="single"/>
                <w:lang w:val="zh-CN" w:eastAsia="zh-CN"/>
              </w:rPr>
              <w:t>1</w:t>
            </w:r>
            <w:r>
              <w:rPr>
                <w:rFonts w:hint="eastAsia" w:ascii="宋体" w:hAnsi="宋体" w:cs="宋体"/>
                <w:b/>
                <w:bCs w:val="0"/>
                <w:color w:val="000000"/>
                <w:szCs w:val="21"/>
                <w:highlight w:val="none"/>
                <w:u w:val="single"/>
                <w:lang w:val="en-US" w:eastAsia="zh-CN"/>
              </w:rPr>
              <w:t>5</w:t>
            </w:r>
            <w:r>
              <w:rPr>
                <w:rFonts w:hint="eastAsia" w:ascii="宋体" w:hAnsi="宋体" w:cs="宋体"/>
                <w:b w:val="0"/>
                <w:bCs/>
                <w:color w:val="000000"/>
                <w:szCs w:val="21"/>
                <w:highlight w:val="none"/>
                <w:lang w:val="zh-CN"/>
              </w:rPr>
              <w:t>分。</w:t>
            </w:r>
          </w:p>
          <w:p w14:paraId="7BB0B9EF">
            <w:pPr>
              <w:pStyle w:val="7"/>
              <w:ind w:left="630" w:hanging="630" w:hangingChars="300"/>
              <w:rPr>
                <w:rFonts w:hint="eastAsia" w:ascii="宋体" w:hAnsi="宋体" w:cs="宋体"/>
                <w:b w:val="0"/>
                <w:bCs/>
                <w:color w:val="000000"/>
                <w:szCs w:val="21"/>
                <w:highlight w:val="none"/>
                <w:lang w:val="zh-CN"/>
              </w:rPr>
            </w:pPr>
            <w:r>
              <w:rPr>
                <w:rFonts w:hint="eastAsia" w:ascii="宋体" w:hAnsi="宋体" w:cs="宋体"/>
                <w:b w:val="0"/>
                <w:bCs/>
                <w:color w:val="000000"/>
                <w:szCs w:val="21"/>
                <w:highlight w:val="none"/>
                <w:lang w:val="zh-CN"/>
              </w:rPr>
              <w:t>[良]：</w:t>
            </w:r>
            <w:r>
              <w:rPr>
                <w:rFonts w:hint="eastAsia" w:ascii="宋体" w:hAnsi="宋体" w:cs="宋体"/>
                <w:b w:val="0"/>
                <w:bCs/>
                <w:color w:val="000000"/>
                <w:szCs w:val="21"/>
                <w:highlight w:val="none"/>
                <w:lang w:val="en-US" w:eastAsia="zh-CN"/>
              </w:rPr>
              <w:t>设计理念</w:t>
            </w:r>
            <w:r>
              <w:rPr>
                <w:rFonts w:hint="eastAsia" w:ascii="宋体" w:hAnsi="宋体" w:cs="宋体"/>
                <w:color w:val="000000"/>
                <w:szCs w:val="21"/>
                <w:highlight w:val="none"/>
              </w:rPr>
              <w:t>具有创新性和前瞻性</w:t>
            </w:r>
            <w:r>
              <w:rPr>
                <w:rFonts w:hint="eastAsia" w:ascii="宋体" w:hAnsi="宋体" w:cs="宋体"/>
                <w:b w:val="0"/>
                <w:bCs/>
                <w:color w:val="000000"/>
                <w:szCs w:val="21"/>
                <w:highlight w:val="none"/>
                <w:lang w:val="zh-CN"/>
              </w:rPr>
              <w:t xml:space="preserve">；建筑环境能体现眼科专科医院特色；设计符合大气、美观、耐用、舒适等功能要求，得 </w:t>
            </w:r>
            <w:r>
              <w:rPr>
                <w:rFonts w:hint="eastAsia" w:ascii="宋体" w:hAnsi="宋体" w:cs="宋体"/>
                <w:b w:val="0"/>
                <w:bCs/>
                <w:color w:val="000000"/>
                <w:szCs w:val="21"/>
                <w:highlight w:val="none"/>
                <w:lang w:val="en-US" w:eastAsia="zh-CN"/>
              </w:rPr>
              <w:t>10</w:t>
            </w:r>
            <w:r>
              <w:rPr>
                <w:rFonts w:hint="eastAsia" w:ascii="宋体" w:hAnsi="宋体" w:cs="宋体"/>
                <w:b w:val="0"/>
                <w:bCs/>
                <w:color w:val="000000"/>
                <w:szCs w:val="21"/>
                <w:highlight w:val="none"/>
                <w:lang w:val="zh-CN"/>
              </w:rPr>
              <w:t>分。</w:t>
            </w:r>
          </w:p>
          <w:p w14:paraId="3E818F8B">
            <w:pPr>
              <w:pStyle w:val="7"/>
              <w:ind w:left="630" w:hanging="630" w:hangingChars="300"/>
              <w:rPr>
                <w:rFonts w:hint="eastAsia" w:ascii="宋体" w:hAnsi="宋体" w:cs="宋体"/>
                <w:b w:val="0"/>
                <w:bCs/>
                <w:color w:val="000000"/>
                <w:szCs w:val="21"/>
                <w:highlight w:val="none"/>
                <w:lang w:val="zh-CN"/>
              </w:rPr>
            </w:pPr>
            <w:r>
              <w:rPr>
                <w:rFonts w:hint="eastAsia" w:ascii="宋体" w:hAnsi="宋体" w:cs="宋体"/>
                <w:b w:val="0"/>
                <w:bCs/>
                <w:color w:val="000000"/>
                <w:szCs w:val="21"/>
                <w:highlight w:val="none"/>
                <w:lang w:val="zh-CN"/>
              </w:rPr>
              <w:t>[中]：</w:t>
            </w:r>
            <w:r>
              <w:rPr>
                <w:rFonts w:hint="eastAsia" w:ascii="宋体" w:hAnsi="宋体" w:cs="宋体"/>
                <w:b w:val="0"/>
                <w:bCs/>
                <w:color w:val="000000"/>
                <w:szCs w:val="21"/>
                <w:highlight w:val="none"/>
                <w:lang w:val="en-US" w:eastAsia="zh-CN"/>
              </w:rPr>
              <w:t>设计理念</w:t>
            </w:r>
            <w:r>
              <w:rPr>
                <w:rFonts w:hint="eastAsia" w:ascii="宋体" w:hAnsi="宋体" w:cs="宋体"/>
                <w:color w:val="000000"/>
                <w:szCs w:val="21"/>
                <w:highlight w:val="none"/>
              </w:rPr>
              <w:t>具有创新性和前瞻性</w:t>
            </w:r>
            <w:r>
              <w:rPr>
                <w:rFonts w:hint="eastAsia" w:ascii="宋体" w:hAnsi="宋体" w:cs="宋体"/>
                <w:b w:val="0"/>
                <w:bCs/>
                <w:color w:val="000000"/>
                <w:szCs w:val="21"/>
                <w:highlight w:val="none"/>
                <w:lang w:val="zh-CN"/>
              </w:rPr>
              <w:t xml:space="preserve">；建筑环境基本能体现眼科专科医院特色；设计基本符合大气、美观、耐用、舒适等功能要求，得 </w:t>
            </w:r>
            <w:r>
              <w:rPr>
                <w:rFonts w:hint="eastAsia" w:ascii="宋体" w:hAnsi="宋体" w:cs="宋体"/>
                <w:b w:val="0"/>
                <w:bCs/>
                <w:color w:val="000000"/>
                <w:szCs w:val="21"/>
                <w:highlight w:val="none"/>
                <w:lang w:val="en-US" w:eastAsia="zh-CN"/>
              </w:rPr>
              <w:t>5</w:t>
            </w:r>
            <w:r>
              <w:rPr>
                <w:rFonts w:hint="eastAsia" w:ascii="宋体" w:hAnsi="宋体" w:cs="宋体"/>
                <w:b w:val="0"/>
                <w:bCs/>
                <w:color w:val="000000"/>
                <w:szCs w:val="21"/>
                <w:highlight w:val="none"/>
                <w:lang w:val="zh-CN"/>
              </w:rPr>
              <w:t xml:space="preserve"> 分。</w:t>
            </w:r>
          </w:p>
          <w:p w14:paraId="2A32E320">
            <w:pPr>
              <w:pStyle w:val="7"/>
              <w:ind w:left="630" w:leftChars="0" w:hanging="630" w:hangingChars="300"/>
              <w:rPr>
                <w:rFonts w:hint="eastAsia" w:ascii="宋体" w:hAnsi="宋体" w:cs="宋体"/>
                <w:szCs w:val="21"/>
                <w:lang w:val="zh-CN"/>
              </w:rPr>
            </w:pPr>
            <w:r>
              <w:rPr>
                <w:rFonts w:hint="eastAsia" w:ascii="宋体" w:hAnsi="宋体" w:cs="宋体"/>
                <w:b w:val="0"/>
                <w:bCs/>
                <w:color w:val="000000"/>
                <w:szCs w:val="21"/>
                <w:highlight w:val="none"/>
                <w:lang w:val="zh-CN"/>
              </w:rPr>
              <w:t>[差]：</w:t>
            </w:r>
            <w:r>
              <w:rPr>
                <w:rFonts w:hint="eastAsia" w:ascii="宋体" w:hAnsi="宋体" w:cs="宋体"/>
                <w:b w:val="0"/>
                <w:bCs/>
                <w:color w:val="000000"/>
                <w:szCs w:val="21"/>
                <w:highlight w:val="none"/>
                <w:lang w:val="en-US" w:eastAsia="zh-CN"/>
              </w:rPr>
              <w:t>设计理念不具备</w:t>
            </w:r>
            <w:r>
              <w:rPr>
                <w:rFonts w:hint="eastAsia" w:ascii="宋体" w:hAnsi="宋体" w:cs="宋体"/>
                <w:color w:val="000000"/>
                <w:szCs w:val="21"/>
                <w:highlight w:val="none"/>
              </w:rPr>
              <w:t>创新性和前瞻性</w:t>
            </w:r>
            <w:r>
              <w:rPr>
                <w:rFonts w:hint="eastAsia" w:ascii="宋体" w:hAnsi="宋体" w:cs="宋体"/>
                <w:b w:val="0"/>
                <w:bCs/>
                <w:color w:val="000000"/>
                <w:szCs w:val="21"/>
                <w:highlight w:val="none"/>
                <w:lang w:val="zh-CN"/>
              </w:rPr>
              <w:t>；建筑环境完全未能体现眼科专科医院特色；设计不符合大气、美观、耐用、舒适等功能要求，得 0 分。</w:t>
            </w:r>
          </w:p>
        </w:tc>
      </w:tr>
      <w:tr w14:paraId="4186A9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0" w:hRule="atLeast"/>
          <w:jc w:val="center"/>
        </w:trPr>
        <w:tc>
          <w:tcPr>
            <w:tcW w:w="676" w:type="dxa"/>
            <w:vMerge w:val="continue"/>
            <w:tcBorders>
              <w:right w:val="single" w:color="auto" w:sz="4" w:space="0"/>
            </w:tcBorders>
            <w:noWrap w:val="0"/>
            <w:vAlign w:val="center"/>
          </w:tcPr>
          <w:p w14:paraId="1CC7CB3F">
            <w:pPr>
              <w:snapToGrid w:val="0"/>
              <w:ind w:left="-53" w:leftChars="-25" w:right="-53" w:rightChars="-25"/>
              <w:jc w:val="center"/>
              <w:rPr>
                <w:rFonts w:hint="eastAsia" w:ascii="宋体" w:hAnsi="宋体" w:cs="宋体"/>
                <w:szCs w:val="21"/>
              </w:rPr>
            </w:pPr>
          </w:p>
        </w:tc>
        <w:tc>
          <w:tcPr>
            <w:tcW w:w="1005" w:type="dxa"/>
            <w:vMerge w:val="continue"/>
            <w:tcBorders>
              <w:right w:val="single" w:color="auto" w:sz="4" w:space="0"/>
            </w:tcBorders>
            <w:noWrap w:val="0"/>
            <w:vAlign w:val="center"/>
          </w:tcPr>
          <w:p w14:paraId="46885809">
            <w:pPr>
              <w:snapToGrid w:val="0"/>
              <w:ind w:left="-53" w:leftChars="-25" w:right="-53" w:rightChars="-25"/>
              <w:jc w:val="center"/>
              <w:rPr>
                <w:rFonts w:hint="eastAsia" w:ascii="宋体" w:hAnsi="宋体" w:cs="宋体"/>
                <w:szCs w:val="21"/>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7B9AFE35">
            <w:pPr>
              <w:snapToGrid w:val="0"/>
              <w:jc w:val="center"/>
              <w:rPr>
                <w:rFonts w:hint="eastAsia" w:ascii="宋体" w:hAnsi="宋体" w:cs="宋体"/>
                <w:szCs w:val="21"/>
              </w:rPr>
            </w:pPr>
            <w:r>
              <w:rPr>
                <w:rFonts w:hint="eastAsia" w:ascii="宋体" w:hAnsi="宋体" w:cs="宋体"/>
                <w:szCs w:val="21"/>
                <w:highlight w:val="none"/>
                <w:lang w:val="zh-CN"/>
              </w:rPr>
              <w:t>空间布局</w:t>
            </w:r>
            <w:r>
              <w:rPr>
                <w:rFonts w:hint="eastAsia" w:ascii="宋体" w:hAnsi="宋体" w:cs="宋体"/>
                <w:b/>
                <w:bCs/>
                <w:szCs w:val="21"/>
                <w:highlight w:val="none"/>
                <w:u w:val="single"/>
              </w:rPr>
              <w:t>(</w:t>
            </w:r>
            <w:r>
              <w:rPr>
                <w:rFonts w:hint="eastAsia" w:ascii="宋体" w:hAnsi="宋体" w:cs="宋体"/>
                <w:b/>
                <w:bCs/>
                <w:szCs w:val="21"/>
                <w:highlight w:val="none"/>
                <w:u w:val="single"/>
                <w:lang w:val="en-US" w:eastAsia="zh-CN"/>
              </w:rPr>
              <w:t>20</w:t>
            </w:r>
            <w:r>
              <w:rPr>
                <w:rFonts w:hint="eastAsia" w:ascii="宋体" w:hAnsi="宋体" w:cs="宋体"/>
                <w:b/>
                <w:bCs/>
                <w:szCs w:val="21"/>
                <w:highlight w:val="none"/>
                <w:u w:val="single"/>
              </w:rPr>
              <w:t>分)</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0987D3B6">
            <w:pPr>
              <w:pStyle w:val="7"/>
              <w:ind w:left="630" w:hanging="630" w:hangingChars="300"/>
              <w:rPr>
                <w:rFonts w:hint="eastAsia" w:ascii="宋体" w:hAnsi="宋体" w:eastAsia="宋体" w:cs="宋体"/>
                <w:i w:val="0"/>
                <w:iCs w:val="0"/>
                <w:caps w:val="0"/>
                <w:color w:val="000000"/>
                <w:spacing w:val="0"/>
                <w:sz w:val="21"/>
                <w:szCs w:val="21"/>
                <w:highlight w:val="none"/>
                <w:lang w:val="zh-CN"/>
              </w:rPr>
            </w:pPr>
            <w:r>
              <w:rPr>
                <w:rFonts w:hint="eastAsia" w:ascii="宋体" w:hAnsi="宋体" w:cs="宋体"/>
                <w:color w:val="000000"/>
                <w:szCs w:val="21"/>
                <w:highlight w:val="none"/>
              </w:rPr>
              <w:t>门诊、医技</w:t>
            </w:r>
            <w:r>
              <w:rPr>
                <w:rFonts w:hint="eastAsia" w:ascii="宋体" w:hAnsi="宋体" w:cs="宋体"/>
                <w:color w:val="000000"/>
                <w:szCs w:val="21"/>
                <w:highlight w:val="none"/>
                <w:lang w:eastAsia="zh-CN"/>
              </w:rPr>
              <w:t>科、</w:t>
            </w:r>
            <w:r>
              <w:rPr>
                <w:rFonts w:hint="eastAsia" w:ascii="宋体" w:hAnsi="宋体" w:cs="宋体"/>
                <w:color w:val="000000"/>
                <w:szCs w:val="21"/>
                <w:highlight w:val="none"/>
                <w:lang w:val="en-US" w:eastAsia="zh-CN"/>
              </w:rPr>
              <w:t>加建电梯</w:t>
            </w:r>
            <w:r>
              <w:rPr>
                <w:rFonts w:hint="eastAsia" w:ascii="宋体" w:hAnsi="宋体" w:cs="宋体"/>
                <w:color w:val="000000"/>
                <w:szCs w:val="21"/>
                <w:highlight w:val="none"/>
                <w:lang w:eastAsia="zh-CN"/>
              </w:rPr>
              <w:t>等平面</w:t>
            </w:r>
            <w:r>
              <w:rPr>
                <w:rFonts w:hint="eastAsia" w:ascii="宋体" w:hAnsi="宋体" w:cs="宋体"/>
                <w:color w:val="000000"/>
                <w:szCs w:val="21"/>
                <w:highlight w:val="none"/>
              </w:rPr>
              <w:t>改造方案应科学合理地反映出对功能布局和流程的优化，提升医疗服务的效率、安全性和患者就医体验</w:t>
            </w:r>
            <w:r>
              <w:rPr>
                <w:rFonts w:hint="eastAsia" w:ascii="宋体" w:hAnsi="宋体" w:eastAsia="宋体" w:cs="宋体"/>
                <w:i w:val="0"/>
                <w:iCs w:val="0"/>
                <w:caps w:val="0"/>
                <w:color w:val="000000"/>
                <w:spacing w:val="0"/>
                <w:kern w:val="2"/>
                <w:sz w:val="21"/>
                <w:szCs w:val="21"/>
                <w:highlight w:val="none"/>
                <w:shd w:val="clear" w:color="auto" w:fill="auto"/>
                <w:lang w:val="zh-CN" w:eastAsia="zh-CN" w:bidi="ar"/>
              </w:rPr>
              <w:t>：​</w:t>
            </w:r>
          </w:p>
          <w:p w14:paraId="6C8E5672">
            <w:pPr>
              <w:pStyle w:val="7"/>
              <w:ind w:left="630" w:hanging="630" w:hangingChars="300"/>
              <w:rPr>
                <w:rFonts w:hint="eastAsia" w:ascii="宋体" w:hAnsi="宋体" w:eastAsia="宋体" w:cs="宋体"/>
                <w:i w:val="0"/>
                <w:iCs w:val="0"/>
                <w:caps w:val="0"/>
                <w:color w:val="auto"/>
                <w:spacing w:val="0"/>
                <w:sz w:val="21"/>
                <w:szCs w:val="21"/>
                <w:highlight w:val="none"/>
                <w:lang w:val="zh-CN"/>
              </w:rPr>
            </w:pPr>
            <w:r>
              <w:rPr>
                <w:rFonts w:hint="eastAsia" w:ascii="宋体" w:hAnsi="宋体" w:eastAsia="宋体" w:cs="宋体"/>
                <w:i w:val="0"/>
                <w:iCs w:val="0"/>
                <w:caps w:val="0"/>
                <w:color w:val="auto"/>
                <w:spacing w:val="0"/>
                <w:kern w:val="2"/>
                <w:sz w:val="21"/>
                <w:szCs w:val="21"/>
                <w:highlight w:val="none"/>
                <w:shd w:val="clear" w:color="auto" w:fill="auto"/>
                <w:lang w:val="zh-CN" w:eastAsia="zh-CN" w:bidi="ar"/>
              </w:rPr>
              <w:t>[优]：空间布局科学合理且充分优化，从使用者角度精心规划单元设计，具备前瞻性和良好适应性；</w:t>
            </w:r>
            <w:r>
              <w:rPr>
                <w:rFonts w:hint="eastAsia"/>
                <w:color w:val="auto"/>
                <w:highlight w:val="none"/>
                <w:shd w:val="clear" w:color="auto" w:fill="auto"/>
                <w:lang w:val="en-US" w:eastAsia="zh-CN"/>
              </w:rPr>
              <w:t>优化临床科室设置</w:t>
            </w:r>
            <w:r>
              <w:rPr>
                <w:rFonts w:hint="eastAsia" w:ascii="宋体" w:hAnsi="宋体" w:cs="宋体"/>
                <w:szCs w:val="21"/>
                <w:highlight w:val="none"/>
                <w:lang w:val="zh-CN" w:bidi="ar"/>
              </w:rPr>
              <w:t>和流线设计</w:t>
            </w:r>
            <w:r>
              <w:rPr>
                <w:rFonts w:hint="eastAsia" w:ascii="宋体" w:hAnsi="宋体" w:eastAsia="宋体" w:cs="宋体"/>
                <w:i w:val="0"/>
                <w:iCs w:val="0"/>
                <w:caps w:val="0"/>
                <w:color w:val="auto"/>
                <w:spacing w:val="0"/>
                <w:kern w:val="2"/>
                <w:sz w:val="21"/>
                <w:szCs w:val="21"/>
                <w:highlight w:val="none"/>
                <w:shd w:val="clear" w:color="auto" w:fill="auto"/>
                <w:lang w:val="zh-CN" w:eastAsia="zh-CN" w:bidi="ar"/>
              </w:rPr>
              <w:t>完全契合医疗规范要求，</w:t>
            </w:r>
            <w:r>
              <w:rPr>
                <w:rFonts w:hint="eastAsia" w:ascii="宋体" w:hAnsi="宋体" w:cs="宋体"/>
                <w:szCs w:val="21"/>
                <w:highlight w:val="none"/>
                <w:lang w:val="zh-CN" w:bidi="ar"/>
              </w:rPr>
              <w:t>设计流线无交叉，</w:t>
            </w:r>
            <w:r>
              <w:rPr>
                <w:rFonts w:hint="eastAsia" w:ascii="宋体" w:hAnsi="宋体" w:eastAsia="宋体" w:cs="宋体"/>
                <w:i w:val="0"/>
                <w:iCs w:val="0"/>
                <w:caps w:val="0"/>
                <w:color w:val="auto"/>
                <w:spacing w:val="0"/>
                <w:kern w:val="2"/>
                <w:sz w:val="21"/>
                <w:szCs w:val="21"/>
                <w:highlight w:val="none"/>
                <w:shd w:val="clear" w:color="auto" w:fill="auto"/>
                <w:lang w:val="zh-CN" w:eastAsia="zh-CN" w:bidi="ar"/>
              </w:rPr>
              <w:t>整体舒适实用，功能齐全且能充分满足使用需求</w:t>
            </w:r>
            <w:r>
              <w:rPr>
                <w:rFonts w:hint="eastAsia" w:ascii="宋体" w:hAnsi="宋体" w:cs="宋体"/>
                <w:i w:val="0"/>
                <w:iCs w:val="0"/>
                <w:caps w:val="0"/>
                <w:color w:val="auto"/>
                <w:spacing w:val="0"/>
                <w:kern w:val="2"/>
                <w:sz w:val="21"/>
                <w:szCs w:val="21"/>
                <w:highlight w:val="none"/>
                <w:shd w:val="clear" w:color="auto" w:fill="auto"/>
                <w:lang w:val="zh-CN" w:eastAsia="zh-CN" w:bidi="ar"/>
              </w:rPr>
              <w:t>，</w:t>
            </w:r>
            <w:r>
              <w:rPr>
                <w:highlight w:val="none"/>
              </w:rPr>
              <w:t>完全实现医患分流，电梯位置精准衔接门诊与医技核心区域，患者与医护流线无交叉</w:t>
            </w:r>
            <w:r>
              <w:rPr>
                <w:rFonts w:hint="eastAsia" w:ascii="宋体" w:hAnsi="宋体" w:cs="宋体"/>
                <w:i w:val="0"/>
                <w:iCs w:val="0"/>
                <w:caps w:val="0"/>
                <w:color w:val="auto"/>
                <w:spacing w:val="0"/>
                <w:kern w:val="2"/>
                <w:sz w:val="21"/>
                <w:szCs w:val="21"/>
                <w:highlight w:val="none"/>
                <w:shd w:val="clear" w:color="auto" w:fill="auto"/>
                <w:lang w:val="zh-CN" w:eastAsia="zh-CN" w:bidi="ar"/>
              </w:rPr>
              <w:t>，</w:t>
            </w:r>
            <w:r>
              <w:rPr>
                <w:rFonts w:hint="eastAsia" w:ascii="宋体" w:hAnsi="宋体" w:eastAsia="宋体" w:cs="宋体"/>
                <w:i w:val="0"/>
                <w:iCs w:val="0"/>
                <w:caps w:val="0"/>
                <w:color w:val="auto"/>
                <w:spacing w:val="0"/>
                <w:kern w:val="2"/>
                <w:sz w:val="21"/>
                <w:szCs w:val="21"/>
                <w:highlight w:val="none"/>
                <w:shd w:val="clear" w:color="auto" w:fill="auto"/>
                <w:lang w:val="zh-CN" w:eastAsia="zh-CN" w:bidi="ar"/>
              </w:rPr>
              <w:t>得</w:t>
            </w:r>
            <w:r>
              <w:rPr>
                <w:rFonts w:hint="eastAsia" w:ascii="宋体" w:hAnsi="宋体" w:cs="宋体"/>
                <w:b/>
                <w:bCs/>
                <w:i w:val="0"/>
                <w:iCs w:val="0"/>
                <w:caps w:val="0"/>
                <w:color w:val="auto"/>
                <w:spacing w:val="0"/>
                <w:kern w:val="2"/>
                <w:sz w:val="21"/>
                <w:szCs w:val="21"/>
                <w:highlight w:val="none"/>
                <w:u w:val="single"/>
                <w:shd w:val="clear" w:color="auto" w:fill="auto"/>
                <w:lang w:val="en-US" w:eastAsia="zh-CN" w:bidi="ar"/>
              </w:rPr>
              <w:t>20</w:t>
            </w:r>
            <w:r>
              <w:rPr>
                <w:rFonts w:hint="eastAsia" w:ascii="宋体" w:hAnsi="宋体" w:eastAsia="宋体" w:cs="宋体"/>
                <w:b w:val="0"/>
                <w:bCs w:val="0"/>
                <w:i w:val="0"/>
                <w:iCs w:val="0"/>
                <w:caps w:val="0"/>
                <w:color w:val="auto"/>
                <w:spacing w:val="0"/>
                <w:kern w:val="2"/>
                <w:sz w:val="21"/>
                <w:szCs w:val="21"/>
                <w:highlight w:val="none"/>
                <w:u w:val="single"/>
                <w:shd w:val="clear" w:color="auto" w:fill="auto"/>
                <w:lang w:val="zh-CN" w:eastAsia="zh-CN" w:bidi="ar"/>
              </w:rPr>
              <w:t>分</w:t>
            </w:r>
            <w:r>
              <w:rPr>
                <w:rFonts w:hint="eastAsia" w:ascii="宋体" w:hAnsi="宋体" w:eastAsia="宋体" w:cs="宋体"/>
                <w:i w:val="0"/>
                <w:iCs w:val="0"/>
                <w:caps w:val="0"/>
                <w:color w:val="auto"/>
                <w:spacing w:val="0"/>
                <w:kern w:val="2"/>
                <w:sz w:val="21"/>
                <w:szCs w:val="21"/>
                <w:highlight w:val="none"/>
                <w:shd w:val="clear" w:color="auto" w:fill="auto"/>
                <w:lang w:val="zh-CN" w:eastAsia="zh-CN" w:bidi="ar"/>
              </w:rPr>
              <w:t>。​</w:t>
            </w:r>
          </w:p>
          <w:p w14:paraId="50FE2B09">
            <w:pPr>
              <w:pStyle w:val="7"/>
              <w:ind w:left="630" w:hanging="630" w:hangingChars="300"/>
              <w:rPr>
                <w:rFonts w:hint="eastAsia" w:ascii="宋体" w:hAnsi="宋体" w:eastAsia="宋体" w:cs="宋体"/>
                <w:i w:val="0"/>
                <w:iCs w:val="0"/>
                <w:caps w:val="0"/>
                <w:color w:val="auto"/>
                <w:spacing w:val="0"/>
                <w:sz w:val="21"/>
                <w:szCs w:val="21"/>
                <w:highlight w:val="none"/>
                <w:lang w:val="zh-CN"/>
              </w:rPr>
            </w:pPr>
            <w:r>
              <w:rPr>
                <w:rFonts w:hint="eastAsia" w:ascii="宋体" w:hAnsi="宋体" w:eastAsia="宋体" w:cs="宋体"/>
                <w:i w:val="0"/>
                <w:iCs w:val="0"/>
                <w:caps w:val="0"/>
                <w:color w:val="auto"/>
                <w:spacing w:val="0"/>
                <w:kern w:val="2"/>
                <w:sz w:val="21"/>
                <w:szCs w:val="21"/>
                <w:highlight w:val="none"/>
                <w:shd w:val="clear" w:color="auto" w:fill="auto"/>
                <w:lang w:val="zh-CN" w:eastAsia="zh-CN" w:bidi="ar"/>
              </w:rPr>
              <w:t>[良]：空间布局比较合理，兼顾使用者角度进行单元设计；</w:t>
            </w:r>
            <w:r>
              <w:rPr>
                <w:rFonts w:hint="eastAsia"/>
                <w:color w:val="auto"/>
                <w:highlight w:val="none"/>
                <w:shd w:val="clear" w:color="auto" w:fill="auto"/>
                <w:lang w:val="en-US" w:eastAsia="zh-CN"/>
              </w:rPr>
              <w:t>优化临床科室设置</w:t>
            </w:r>
            <w:r>
              <w:rPr>
                <w:rFonts w:hint="eastAsia" w:ascii="宋体" w:hAnsi="宋体" w:cs="宋体"/>
                <w:szCs w:val="21"/>
                <w:highlight w:val="none"/>
                <w:lang w:val="zh-CN" w:bidi="ar"/>
              </w:rPr>
              <w:t>和流线设计</w:t>
            </w:r>
            <w:r>
              <w:rPr>
                <w:rFonts w:hint="eastAsia" w:ascii="宋体" w:hAnsi="宋体" w:eastAsia="宋体" w:cs="宋体"/>
                <w:i w:val="0"/>
                <w:iCs w:val="0"/>
                <w:caps w:val="0"/>
                <w:spacing w:val="0"/>
                <w:kern w:val="2"/>
                <w:sz w:val="21"/>
                <w:szCs w:val="21"/>
                <w:highlight w:val="none"/>
                <w:shd w:val="clear" w:color="auto" w:fill="auto"/>
                <w:lang w:val="zh-CN" w:eastAsia="zh-CN" w:bidi="ar"/>
              </w:rPr>
              <w:t>契合医疗规范要求，</w:t>
            </w:r>
            <w:r>
              <w:rPr>
                <w:rFonts w:hint="eastAsia" w:ascii="宋体" w:hAnsi="宋体" w:cs="宋体"/>
                <w:szCs w:val="21"/>
                <w:highlight w:val="none"/>
                <w:lang w:val="zh-CN" w:bidi="ar"/>
              </w:rPr>
              <w:t>设计流线无交叉，</w:t>
            </w:r>
            <w:r>
              <w:rPr>
                <w:rFonts w:hint="eastAsia" w:ascii="宋体" w:hAnsi="宋体" w:eastAsia="宋体" w:cs="宋体"/>
                <w:i w:val="0"/>
                <w:iCs w:val="0"/>
                <w:caps w:val="0"/>
                <w:color w:val="auto"/>
                <w:spacing w:val="0"/>
                <w:kern w:val="2"/>
                <w:sz w:val="21"/>
                <w:szCs w:val="21"/>
                <w:highlight w:val="none"/>
                <w:shd w:val="clear" w:color="auto" w:fill="auto"/>
                <w:lang w:val="zh-CN" w:eastAsia="zh-CN" w:bidi="ar"/>
              </w:rPr>
              <w:t>功能比较齐全，能够满足使用要求，</w:t>
            </w:r>
            <w:r>
              <w:rPr>
                <w:highlight w:val="none"/>
              </w:rPr>
              <w:t>加建电梯通过分区停靠或动线规划基本实现医患分流，电梯位置匹配主要诊疗区域，医患流线交叉少</w:t>
            </w:r>
            <w:r>
              <w:rPr>
                <w:rFonts w:hint="eastAsia"/>
                <w:highlight w:val="none"/>
                <w:lang w:eastAsia="zh-CN"/>
              </w:rPr>
              <w:t>，</w:t>
            </w:r>
            <w:r>
              <w:rPr>
                <w:rFonts w:hint="eastAsia" w:ascii="宋体" w:hAnsi="宋体" w:eastAsia="宋体" w:cs="宋体"/>
                <w:i w:val="0"/>
                <w:iCs w:val="0"/>
                <w:caps w:val="0"/>
                <w:color w:val="auto"/>
                <w:spacing w:val="0"/>
                <w:kern w:val="2"/>
                <w:sz w:val="21"/>
                <w:szCs w:val="21"/>
                <w:highlight w:val="none"/>
                <w:shd w:val="clear" w:color="auto" w:fill="auto"/>
                <w:lang w:val="zh-CN" w:eastAsia="zh-CN" w:bidi="ar"/>
              </w:rPr>
              <w:t xml:space="preserve">得 </w:t>
            </w:r>
            <w:r>
              <w:rPr>
                <w:rFonts w:hint="eastAsia" w:ascii="宋体" w:hAnsi="宋体" w:eastAsia="宋体" w:cs="宋体"/>
                <w:i w:val="0"/>
                <w:iCs w:val="0"/>
                <w:caps w:val="0"/>
                <w:color w:val="auto"/>
                <w:spacing w:val="0"/>
                <w:kern w:val="2"/>
                <w:sz w:val="21"/>
                <w:szCs w:val="21"/>
                <w:highlight w:val="none"/>
                <w:shd w:val="clear" w:color="auto" w:fill="auto"/>
                <w:lang w:val="en-US" w:eastAsia="zh-CN" w:bidi="ar"/>
              </w:rPr>
              <w:t>10</w:t>
            </w:r>
            <w:r>
              <w:rPr>
                <w:rFonts w:hint="eastAsia" w:ascii="宋体" w:hAnsi="宋体" w:eastAsia="宋体" w:cs="宋体"/>
                <w:i w:val="0"/>
                <w:iCs w:val="0"/>
                <w:caps w:val="0"/>
                <w:color w:val="auto"/>
                <w:spacing w:val="0"/>
                <w:kern w:val="2"/>
                <w:sz w:val="21"/>
                <w:szCs w:val="21"/>
                <w:highlight w:val="none"/>
                <w:shd w:val="clear" w:color="auto" w:fill="auto"/>
                <w:lang w:val="zh-CN" w:eastAsia="zh-CN" w:bidi="ar"/>
              </w:rPr>
              <w:t>分。​</w:t>
            </w:r>
          </w:p>
          <w:p w14:paraId="1B770099">
            <w:pPr>
              <w:pStyle w:val="7"/>
              <w:ind w:left="630" w:hanging="630" w:hangingChars="300"/>
              <w:rPr>
                <w:rFonts w:hint="eastAsia" w:ascii="宋体" w:hAnsi="宋体" w:eastAsia="宋体" w:cs="宋体"/>
                <w:i w:val="0"/>
                <w:iCs w:val="0"/>
                <w:caps w:val="0"/>
                <w:color w:val="auto"/>
                <w:spacing w:val="0"/>
                <w:sz w:val="21"/>
                <w:szCs w:val="21"/>
                <w:highlight w:val="none"/>
                <w:lang w:val="zh-CN"/>
              </w:rPr>
            </w:pPr>
            <w:r>
              <w:rPr>
                <w:rFonts w:hint="eastAsia" w:ascii="宋体" w:hAnsi="宋体" w:eastAsia="宋体" w:cs="宋体"/>
                <w:i w:val="0"/>
                <w:iCs w:val="0"/>
                <w:caps w:val="0"/>
                <w:color w:val="auto"/>
                <w:spacing w:val="0"/>
                <w:kern w:val="2"/>
                <w:sz w:val="21"/>
                <w:szCs w:val="21"/>
                <w:highlight w:val="none"/>
                <w:shd w:val="clear" w:color="auto" w:fill="auto"/>
                <w:lang w:val="zh-CN" w:eastAsia="zh-CN" w:bidi="ar"/>
              </w:rPr>
              <w:t>[中]：空间布局基本合理，在使用者角度的单元设计上有所体现；</w:t>
            </w:r>
            <w:r>
              <w:rPr>
                <w:rFonts w:hint="eastAsia"/>
                <w:color w:val="auto"/>
                <w:highlight w:val="none"/>
                <w:shd w:val="clear" w:color="auto" w:fill="auto"/>
                <w:lang w:val="en-US" w:eastAsia="zh-CN"/>
              </w:rPr>
              <w:t>优化临床科室设置</w:t>
            </w:r>
            <w:r>
              <w:rPr>
                <w:rFonts w:hint="eastAsia" w:ascii="宋体" w:hAnsi="宋体" w:cs="宋体"/>
                <w:szCs w:val="21"/>
                <w:highlight w:val="none"/>
                <w:lang w:val="zh-CN" w:bidi="ar"/>
              </w:rPr>
              <w:t>和流线设计</w:t>
            </w:r>
            <w:r>
              <w:rPr>
                <w:rFonts w:hint="eastAsia" w:ascii="宋体" w:hAnsi="宋体" w:eastAsia="宋体" w:cs="宋体"/>
                <w:i w:val="0"/>
                <w:iCs w:val="0"/>
                <w:caps w:val="0"/>
                <w:spacing w:val="0"/>
                <w:kern w:val="2"/>
                <w:sz w:val="21"/>
                <w:szCs w:val="21"/>
                <w:highlight w:val="none"/>
                <w:shd w:val="clear" w:color="auto" w:fill="auto"/>
                <w:lang w:val="zh-CN" w:eastAsia="zh-CN" w:bidi="ar"/>
              </w:rPr>
              <w:t>契合医疗规范要求，</w:t>
            </w:r>
            <w:r>
              <w:rPr>
                <w:rFonts w:hint="eastAsia" w:ascii="宋体" w:hAnsi="宋体" w:cs="宋体"/>
                <w:szCs w:val="21"/>
                <w:highlight w:val="none"/>
                <w:lang w:val="zh-CN" w:bidi="ar"/>
              </w:rPr>
              <w:t>设计流线无交叉，</w:t>
            </w:r>
            <w:r>
              <w:rPr>
                <w:rFonts w:hint="eastAsia" w:ascii="宋体" w:hAnsi="宋体" w:eastAsia="宋体" w:cs="宋体"/>
                <w:i w:val="0"/>
                <w:iCs w:val="0"/>
                <w:caps w:val="0"/>
                <w:color w:val="auto"/>
                <w:spacing w:val="0"/>
                <w:kern w:val="2"/>
                <w:sz w:val="21"/>
                <w:szCs w:val="21"/>
                <w:highlight w:val="none"/>
                <w:shd w:val="clear" w:color="auto" w:fill="auto"/>
                <w:lang w:val="zh-CN" w:eastAsia="zh-CN" w:bidi="ar"/>
              </w:rPr>
              <w:t>功能基本齐全，可基本满足使用要求，</w:t>
            </w:r>
            <w:r>
              <w:rPr>
                <w:highlight w:val="none"/>
              </w:rPr>
              <w:t>加建电梯具备一定医患分流措施但效果一般，存在少量流线交叉，电梯位置基本覆盖主要诊疗区域</w:t>
            </w:r>
            <w:r>
              <w:rPr>
                <w:rFonts w:hint="eastAsia"/>
                <w:highlight w:val="none"/>
                <w:lang w:eastAsia="zh-CN"/>
              </w:rPr>
              <w:t>，</w:t>
            </w:r>
            <w:r>
              <w:rPr>
                <w:rFonts w:hint="eastAsia" w:ascii="宋体" w:hAnsi="宋体" w:eastAsia="宋体" w:cs="宋体"/>
                <w:i w:val="0"/>
                <w:iCs w:val="0"/>
                <w:caps w:val="0"/>
                <w:color w:val="auto"/>
                <w:spacing w:val="0"/>
                <w:kern w:val="2"/>
                <w:sz w:val="21"/>
                <w:szCs w:val="21"/>
                <w:highlight w:val="none"/>
                <w:shd w:val="clear" w:color="auto" w:fill="auto"/>
                <w:lang w:val="zh-CN" w:eastAsia="zh-CN" w:bidi="ar"/>
              </w:rPr>
              <w:t>得 5 分。​</w:t>
            </w:r>
          </w:p>
          <w:p w14:paraId="3A65F4BE">
            <w:pPr>
              <w:pStyle w:val="7"/>
              <w:ind w:left="630" w:leftChars="0" w:hanging="630" w:hangingChars="300"/>
              <w:rPr>
                <w:rFonts w:hint="eastAsia" w:ascii="宋体" w:hAnsi="宋体" w:cs="宋体"/>
                <w:szCs w:val="21"/>
              </w:rPr>
            </w:pPr>
            <w:r>
              <w:rPr>
                <w:rFonts w:hint="eastAsia" w:ascii="宋体" w:hAnsi="宋体" w:eastAsia="宋体" w:cs="宋体"/>
                <w:i w:val="0"/>
                <w:iCs w:val="0"/>
                <w:caps w:val="0"/>
                <w:color w:val="auto"/>
                <w:spacing w:val="0"/>
                <w:kern w:val="2"/>
                <w:sz w:val="21"/>
                <w:szCs w:val="21"/>
                <w:highlight w:val="none"/>
                <w:shd w:val="clear" w:color="auto" w:fill="auto"/>
                <w:lang w:val="zh-CN" w:eastAsia="zh-CN" w:bidi="ar"/>
              </w:rPr>
              <w:t>[差]：空间布局不合理，未从使用者角度考虑单元设计；</w:t>
            </w:r>
            <w:r>
              <w:rPr>
                <w:rFonts w:hint="eastAsia"/>
                <w:color w:val="auto"/>
                <w:highlight w:val="none"/>
                <w:shd w:val="clear" w:color="auto" w:fill="auto"/>
                <w:lang w:val="en-US" w:eastAsia="zh-CN"/>
              </w:rPr>
              <w:t>优化临床科室设置</w:t>
            </w:r>
            <w:r>
              <w:rPr>
                <w:rFonts w:hint="eastAsia" w:ascii="宋体" w:hAnsi="宋体" w:cs="宋体"/>
                <w:szCs w:val="21"/>
                <w:highlight w:val="none"/>
                <w:lang w:val="zh-CN" w:bidi="ar"/>
              </w:rPr>
              <w:t>和流线设计</w:t>
            </w:r>
            <w:r>
              <w:rPr>
                <w:rFonts w:hint="eastAsia" w:ascii="宋体" w:hAnsi="宋体" w:cs="宋体"/>
                <w:i w:val="0"/>
                <w:iCs w:val="0"/>
                <w:caps w:val="0"/>
                <w:spacing w:val="0"/>
                <w:kern w:val="2"/>
                <w:sz w:val="21"/>
                <w:szCs w:val="21"/>
                <w:highlight w:val="none"/>
                <w:shd w:val="clear" w:color="auto" w:fill="auto"/>
                <w:lang w:val="en-US" w:eastAsia="zh-CN" w:bidi="ar"/>
              </w:rPr>
              <w:t>不能</w:t>
            </w:r>
            <w:r>
              <w:rPr>
                <w:rFonts w:hint="eastAsia" w:ascii="宋体" w:hAnsi="宋体" w:eastAsia="宋体" w:cs="宋体"/>
                <w:i w:val="0"/>
                <w:iCs w:val="0"/>
                <w:caps w:val="0"/>
                <w:spacing w:val="0"/>
                <w:kern w:val="2"/>
                <w:sz w:val="21"/>
                <w:szCs w:val="21"/>
                <w:highlight w:val="none"/>
                <w:shd w:val="clear" w:color="auto" w:fill="auto"/>
                <w:lang w:val="zh-CN" w:eastAsia="zh-CN" w:bidi="ar"/>
              </w:rPr>
              <w:t>契合医疗规范要求，</w:t>
            </w:r>
            <w:r>
              <w:rPr>
                <w:rFonts w:hint="eastAsia" w:ascii="宋体" w:hAnsi="宋体" w:cs="宋体"/>
                <w:szCs w:val="21"/>
                <w:highlight w:val="none"/>
                <w:lang w:val="zh-CN" w:bidi="ar"/>
              </w:rPr>
              <w:t>设计流线交叉，</w:t>
            </w:r>
            <w:r>
              <w:rPr>
                <w:rFonts w:hint="eastAsia" w:ascii="宋体" w:hAnsi="宋体" w:eastAsia="宋体" w:cs="宋体"/>
                <w:i w:val="0"/>
                <w:iCs w:val="0"/>
                <w:caps w:val="0"/>
                <w:color w:val="auto"/>
                <w:spacing w:val="0"/>
                <w:kern w:val="2"/>
                <w:sz w:val="21"/>
                <w:szCs w:val="21"/>
                <w:highlight w:val="none"/>
                <w:shd w:val="clear" w:color="auto" w:fill="auto"/>
                <w:lang w:val="zh-CN" w:eastAsia="zh-CN" w:bidi="ar"/>
              </w:rPr>
              <w:t>功能不齐全，无法满足使用要求，</w:t>
            </w:r>
            <w:r>
              <w:rPr>
                <w:highlight w:val="none"/>
              </w:rPr>
              <w:t>加建电梯未设置医患分流措施，医患流线严重交叉，电梯位置偏离核心诊疗区域</w:t>
            </w:r>
            <w:r>
              <w:rPr>
                <w:rFonts w:hint="eastAsia"/>
                <w:highlight w:val="none"/>
                <w:lang w:eastAsia="zh-CN"/>
              </w:rPr>
              <w:t>，</w:t>
            </w:r>
            <w:r>
              <w:rPr>
                <w:rFonts w:hint="eastAsia" w:ascii="宋体" w:hAnsi="宋体" w:eastAsia="宋体" w:cs="宋体"/>
                <w:i w:val="0"/>
                <w:iCs w:val="0"/>
                <w:caps w:val="0"/>
                <w:color w:val="auto"/>
                <w:spacing w:val="0"/>
                <w:kern w:val="2"/>
                <w:sz w:val="21"/>
                <w:szCs w:val="21"/>
                <w:highlight w:val="none"/>
                <w:shd w:val="clear" w:color="auto" w:fill="auto"/>
                <w:lang w:val="zh-CN" w:eastAsia="zh-CN" w:bidi="ar"/>
              </w:rPr>
              <w:t>得 0 分。</w:t>
            </w:r>
          </w:p>
        </w:tc>
      </w:tr>
      <w:tr w14:paraId="04B0E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noWrap w:val="0"/>
            <w:vAlign w:val="center"/>
          </w:tcPr>
          <w:p w14:paraId="19863213">
            <w:pPr>
              <w:snapToGrid w:val="0"/>
              <w:ind w:left="-53" w:leftChars="-25" w:right="-53" w:rightChars="-25"/>
              <w:jc w:val="center"/>
              <w:rPr>
                <w:rFonts w:hint="eastAsia" w:ascii="宋体" w:hAnsi="宋体" w:cs="宋体"/>
                <w:szCs w:val="21"/>
              </w:rPr>
            </w:pPr>
          </w:p>
        </w:tc>
        <w:tc>
          <w:tcPr>
            <w:tcW w:w="1005" w:type="dxa"/>
            <w:vMerge w:val="continue"/>
            <w:tcBorders>
              <w:right w:val="single" w:color="auto" w:sz="4" w:space="0"/>
            </w:tcBorders>
            <w:noWrap w:val="0"/>
            <w:vAlign w:val="center"/>
          </w:tcPr>
          <w:p w14:paraId="4C8B5BBC">
            <w:pPr>
              <w:snapToGrid w:val="0"/>
              <w:ind w:left="-53" w:leftChars="-25" w:right="-53" w:rightChars="-25"/>
              <w:jc w:val="center"/>
              <w:rPr>
                <w:rFonts w:hint="eastAsia" w:ascii="宋体" w:hAnsi="宋体" w:cs="宋体"/>
                <w:szCs w:val="21"/>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1A15263F">
            <w:pPr>
              <w:snapToGrid w:val="0"/>
              <w:jc w:val="center"/>
              <w:rPr>
                <w:rFonts w:ascii="宋体" w:hAnsi="宋体" w:cs="宋体"/>
                <w:szCs w:val="21"/>
                <w:highlight w:val="none"/>
              </w:rPr>
            </w:pPr>
            <w:r>
              <w:rPr>
                <w:rFonts w:hint="eastAsia" w:ascii="宋体" w:hAnsi="宋体" w:cs="宋体"/>
                <w:szCs w:val="21"/>
                <w:highlight w:val="none"/>
              </w:rPr>
              <w:t>结构加固设计方案</w:t>
            </w:r>
          </w:p>
          <w:p w14:paraId="73AA6317">
            <w:pPr>
              <w:snapToGrid w:val="0"/>
              <w:jc w:val="center"/>
              <w:rPr>
                <w:rFonts w:hint="eastAsia" w:ascii="宋体" w:hAnsi="宋体" w:cs="宋体"/>
                <w:szCs w:val="21"/>
              </w:rPr>
            </w:pPr>
            <w:r>
              <w:rPr>
                <w:rFonts w:hint="eastAsia" w:ascii="宋体" w:hAnsi="宋体" w:cs="宋体"/>
                <w:b/>
                <w:bCs/>
                <w:szCs w:val="21"/>
                <w:highlight w:val="none"/>
                <w:u w:val="single"/>
              </w:rPr>
              <w:t>（</w:t>
            </w:r>
            <w:r>
              <w:rPr>
                <w:rFonts w:hint="eastAsia" w:ascii="宋体" w:hAnsi="宋体" w:cs="宋体"/>
                <w:b/>
                <w:bCs/>
                <w:szCs w:val="21"/>
                <w:highlight w:val="none"/>
                <w:u w:val="single"/>
                <w:lang w:val="en-US" w:eastAsia="zh-CN"/>
              </w:rPr>
              <w:t>20</w:t>
            </w:r>
            <w:r>
              <w:rPr>
                <w:rFonts w:hint="eastAsia" w:ascii="宋体" w:hAnsi="宋体" w:cs="宋体"/>
                <w:b/>
                <w:bCs/>
                <w:szCs w:val="21"/>
                <w:highlight w:val="none"/>
                <w:u w:val="single"/>
              </w:rPr>
              <w:t>分）</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74222FF2">
            <w:pPr>
              <w:keepNext w:val="0"/>
              <w:keepLines w:val="0"/>
              <w:pageBreakBefore w:val="0"/>
              <w:widowControl w:val="0"/>
              <w:kinsoku/>
              <w:wordWrap/>
              <w:overflowPunct/>
              <w:topLinePunct w:val="0"/>
              <w:autoSpaceDE/>
              <w:autoSpaceDN/>
              <w:bidi w:val="0"/>
              <w:adjustRightInd/>
              <w:snapToGrid w:val="0"/>
              <w:spacing w:afterLines="25"/>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结构加固应满足承载力和建筑使用功能要求，根据改造后建筑功能、受力特点等，提供结构加固方案和可行性分析。</w:t>
            </w:r>
          </w:p>
          <w:p w14:paraId="35B3F64E">
            <w:pPr>
              <w:keepNext w:val="0"/>
              <w:keepLines w:val="0"/>
              <w:pageBreakBefore w:val="0"/>
              <w:widowControl w:val="0"/>
              <w:kinsoku/>
              <w:wordWrap/>
              <w:overflowPunct/>
              <w:topLinePunct w:val="0"/>
              <w:autoSpaceDE/>
              <w:autoSpaceDN/>
              <w:bidi w:val="0"/>
              <w:adjustRightInd/>
              <w:snapToGrid w:val="0"/>
              <w:spacing w:afterLines="25"/>
              <w:ind w:left="632" w:leftChars="0" w:hanging="632" w:hangingChars="300"/>
              <w:jc w:val="left"/>
              <w:textAlignment w:val="auto"/>
              <w:rPr>
                <w:rFonts w:ascii="宋体" w:hAnsi="宋体" w:cs="宋体"/>
                <w:color w:val="auto"/>
                <w:szCs w:val="21"/>
                <w:highlight w:val="none"/>
              </w:rPr>
            </w:pPr>
            <w:r>
              <w:rPr>
                <w:rFonts w:hint="eastAsia" w:ascii="宋体" w:hAnsi="宋体" w:cs="宋体"/>
                <w:b/>
                <w:bCs/>
                <w:color w:val="auto"/>
                <w:szCs w:val="21"/>
                <w:highlight w:val="none"/>
              </w:rPr>
              <w:t>[优]</w:t>
            </w:r>
            <w:r>
              <w:rPr>
                <w:rFonts w:hint="eastAsia" w:ascii="宋体" w:hAnsi="宋体" w:cs="宋体"/>
                <w:b/>
                <w:bCs/>
                <w:color w:val="auto"/>
                <w:szCs w:val="21"/>
                <w:highlight w:val="none"/>
                <w:lang w:eastAsia="zh-CN"/>
              </w:rPr>
              <w:t>：</w:t>
            </w:r>
            <w:r>
              <w:rPr>
                <w:rFonts w:hint="eastAsia" w:ascii="宋体" w:hAnsi="宋体" w:cs="宋体"/>
                <w:color w:val="auto"/>
                <w:szCs w:val="21"/>
                <w:highlight w:val="none"/>
              </w:rPr>
              <w:t>加固方案应基于建筑的结构特点和使用需求，采用先进的技术和材料，确保结构安全，同时考虑建筑的耐久性和维护成本。结构加固设计方案科学合理，充分考虑了建筑结构的现状和未来使用需求，方案具有高度的安全性和经济性，得</w:t>
            </w:r>
            <w:r>
              <w:rPr>
                <w:rFonts w:hint="eastAsia" w:ascii="宋体" w:hAnsi="宋体" w:cs="宋体"/>
                <w:b/>
                <w:bCs/>
                <w:color w:val="auto"/>
                <w:szCs w:val="21"/>
                <w:highlight w:val="none"/>
                <w:u w:val="single"/>
                <w:lang w:val="en-US" w:eastAsia="zh-CN"/>
              </w:rPr>
              <w:t>20</w:t>
            </w:r>
            <w:r>
              <w:rPr>
                <w:rFonts w:hint="eastAsia" w:ascii="宋体" w:hAnsi="宋体" w:cs="宋体"/>
                <w:b w:val="0"/>
                <w:bCs w:val="0"/>
                <w:color w:val="auto"/>
                <w:szCs w:val="21"/>
                <w:highlight w:val="none"/>
                <w:u w:val="none"/>
              </w:rPr>
              <w:t>分</w:t>
            </w:r>
            <w:r>
              <w:rPr>
                <w:rFonts w:hint="eastAsia" w:ascii="宋体" w:hAnsi="宋体" w:cs="宋体"/>
                <w:color w:val="auto"/>
                <w:szCs w:val="21"/>
                <w:highlight w:val="none"/>
              </w:rPr>
              <w:t>；</w:t>
            </w:r>
          </w:p>
          <w:p w14:paraId="55D59291">
            <w:pPr>
              <w:keepNext w:val="0"/>
              <w:keepLines w:val="0"/>
              <w:pageBreakBefore w:val="0"/>
              <w:widowControl w:val="0"/>
              <w:kinsoku/>
              <w:wordWrap/>
              <w:overflowPunct/>
              <w:topLinePunct w:val="0"/>
              <w:autoSpaceDE/>
              <w:autoSpaceDN/>
              <w:bidi w:val="0"/>
              <w:adjustRightInd/>
              <w:snapToGrid w:val="0"/>
              <w:spacing w:afterLines="25"/>
              <w:ind w:left="632" w:leftChars="0" w:hanging="632" w:hangingChars="300"/>
              <w:jc w:val="left"/>
              <w:textAlignment w:val="auto"/>
              <w:rPr>
                <w:rFonts w:ascii="宋体" w:hAnsi="宋体" w:cs="宋体"/>
                <w:color w:val="auto"/>
                <w:szCs w:val="21"/>
                <w:highlight w:val="none"/>
              </w:rPr>
            </w:pPr>
            <w:r>
              <w:rPr>
                <w:rFonts w:hint="eastAsia" w:ascii="宋体" w:hAnsi="宋体" w:eastAsia="宋体" w:cs="宋体"/>
                <w:b/>
                <w:bCs/>
                <w:color w:val="auto"/>
                <w:szCs w:val="21"/>
                <w:highlight w:val="none"/>
              </w:rPr>
              <w:t>[良]</w:t>
            </w:r>
            <w:r>
              <w:rPr>
                <w:rFonts w:hint="eastAsia" w:ascii="宋体" w:hAnsi="宋体" w:cs="宋体"/>
                <w:b/>
                <w:bCs/>
                <w:color w:val="auto"/>
                <w:szCs w:val="21"/>
                <w:highlight w:val="none"/>
                <w:lang w:eastAsia="zh-CN"/>
              </w:rPr>
              <w:t>：</w:t>
            </w:r>
            <w:r>
              <w:rPr>
                <w:rFonts w:hint="eastAsia" w:ascii="宋体" w:hAnsi="宋体" w:eastAsia="宋体" w:cs="宋体"/>
                <w:b w:val="0"/>
                <w:bCs w:val="0"/>
                <w:color w:val="auto"/>
                <w:szCs w:val="21"/>
                <w:highlight w:val="none"/>
              </w:rPr>
              <w:t>结</w:t>
            </w:r>
            <w:r>
              <w:rPr>
                <w:rFonts w:hint="eastAsia" w:ascii="宋体" w:hAnsi="宋体" w:cs="宋体"/>
                <w:color w:val="auto"/>
                <w:szCs w:val="21"/>
                <w:highlight w:val="none"/>
              </w:rPr>
              <w:t>构加固设计方案较为合理，能够满足基本需求，但在安全性和经济性上可能有所不足，得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p w14:paraId="67EE7E36">
            <w:pPr>
              <w:keepNext w:val="0"/>
              <w:keepLines w:val="0"/>
              <w:pageBreakBefore w:val="0"/>
              <w:widowControl w:val="0"/>
              <w:kinsoku/>
              <w:wordWrap/>
              <w:overflowPunct/>
              <w:topLinePunct w:val="0"/>
              <w:autoSpaceDE/>
              <w:autoSpaceDN/>
              <w:bidi w:val="0"/>
              <w:adjustRightInd/>
              <w:snapToGrid w:val="0"/>
              <w:spacing w:afterLines="25"/>
              <w:ind w:left="632" w:leftChars="0" w:hanging="632" w:hangingChars="300"/>
              <w:jc w:val="left"/>
              <w:textAlignment w:val="auto"/>
              <w:rPr>
                <w:rFonts w:ascii="宋体" w:hAnsi="宋体" w:cs="宋体"/>
                <w:color w:val="auto"/>
                <w:szCs w:val="21"/>
                <w:highlight w:val="none"/>
              </w:rPr>
            </w:pPr>
            <w:r>
              <w:rPr>
                <w:rFonts w:hint="eastAsia" w:ascii="宋体" w:hAnsi="宋体" w:eastAsia="宋体" w:cs="宋体"/>
                <w:b/>
                <w:bCs/>
                <w:color w:val="auto"/>
                <w:szCs w:val="21"/>
                <w:highlight w:val="none"/>
              </w:rPr>
              <w:t>[中]</w:t>
            </w:r>
            <w:r>
              <w:rPr>
                <w:rFonts w:hint="eastAsia" w:ascii="宋体" w:hAnsi="宋体" w:cs="宋体"/>
                <w:b/>
                <w:bCs/>
                <w:color w:val="auto"/>
                <w:szCs w:val="21"/>
                <w:highlight w:val="none"/>
                <w:lang w:eastAsia="zh-CN"/>
              </w:rPr>
              <w:t>：</w:t>
            </w:r>
            <w:r>
              <w:rPr>
                <w:rFonts w:hint="eastAsia" w:ascii="宋体" w:hAnsi="宋体" w:cs="宋体"/>
                <w:color w:val="auto"/>
                <w:szCs w:val="21"/>
                <w:highlight w:val="none"/>
              </w:rPr>
              <w:t>结构加固设计方案一般，存在安全隐患或经济性不佳的情况，得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p w14:paraId="7056D132">
            <w:pPr>
              <w:keepNext w:val="0"/>
              <w:keepLines w:val="0"/>
              <w:pageBreakBefore w:val="0"/>
              <w:widowControl w:val="0"/>
              <w:kinsoku/>
              <w:wordWrap/>
              <w:overflowPunct/>
              <w:topLinePunct w:val="0"/>
              <w:autoSpaceDE/>
              <w:autoSpaceDN/>
              <w:bidi w:val="0"/>
              <w:adjustRightInd/>
              <w:snapToGrid w:val="0"/>
              <w:spacing w:afterLines="25"/>
              <w:ind w:left="632" w:leftChars="0" w:hanging="632" w:hangingChars="300"/>
              <w:jc w:val="left"/>
              <w:textAlignment w:val="auto"/>
              <w:rPr>
                <w:rFonts w:hint="eastAsia" w:ascii="宋体" w:hAnsi="宋体" w:cs="宋体"/>
                <w:color w:val="auto"/>
                <w:szCs w:val="21"/>
              </w:rPr>
            </w:pPr>
            <w:r>
              <w:rPr>
                <w:rFonts w:hint="eastAsia" w:ascii="宋体" w:hAnsi="宋体" w:eastAsia="宋体" w:cs="宋体"/>
                <w:b/>
                <w:bCs/>
                <w:color w:val="auto"/>
                <w:szCs w:val="21"/>
                <w:highlight w:val="none"/>
              </w:rPr>
              <w:t>[差]</w:t>
            </w:r>
            <w:r>
              <w:rPr>
                <w:rFonts w:hint="eastAsia" w:ascii="宋体" w:hAnsi="宋体" w:cs="宋体"/>
                <w:b/>
                <w:bCs/>
                <w:color w:val="auto"/>
                <w:szCs w:val="21"/>
                <w:highlight w:val="none"/>
                <w:lang w:eastAsia="zh-CN"/>
              </w:rPr>
              <w:t>：</w:t>
            </w:r>
            <w:r>
              <w:rPr>
                <w:rFonts w:hint="eastAsia" w:ascii="宋体" w:hAnsi="宋体" w:cs="宋体"/>
                <w:color w:val="auto"/>
                <w:szCs w:val="21"/>
                <w:highlight w:val="none"/>
              </w:rPr>
              <w:t>结构加固设计方案不合理，存在严重安全隐患或经济性极差，得0分。</w:t>
            </w:r>
          </w:p>
        </w:tc>
      </w:tr>
      <w:tr w14:paraId="2C20FF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4224" w:hRule="atLeast"/>
          <w:jc w:val="center"/>
        </w:trPr>
        <w:tc>
          <w:tcPr>
            <w:tcW w:w="676" w:type="dxa"/>
            <w:vMerge w:val="continue"/>
            <w:tcBorders>
              <w:right w:val="single" w:color="auto" w:sz="4" w:space="0"/>
            </w:tcBorders>
            <w:noWrap w:val="0"/>
            <w:vAlign w:val="center"/>
          </w:tcPr>
          <w:p w14:paraId="34005269">
            <w:pPr>
              <w:snapToGrid w:val="0"/>
              <w:ind w:left="-53" w:leftChars="-25" w:right="-53" w:rightChars="-25"/>
              <w:jc w:val="center"/>
              <w:rPr>
                <w:rFonts w:hint="eastAsia" w:ascii="宋体" w:hAnsi="宋体" w:cs="宋体"/>
                <w:szCs w:val="21"/>
              </w:rPr>
            </w:pPr>
          </w:p>
        </w:tc>
        <w:tc>
          <w:tcPr>
            <w:tcW w:w="1005" w:type="dxa"/>
            <w:vMerge w:val="continue"/>
            <w:tcBorders>
              <w:right w:val="single" w:color="auto" w:sz="4" w:space="0"/>
            </w:tcBorders>
            <w:noWrap w:val="0"/>
            <w:vAlign w:val="center"/>
          </w:tcPr>
          <w:p w14:paraId="5728A374">
            <w:pPr>
              <w:snapToGrid w:val="0"/>
              <w:ind w:left="-53" w:leftChars="-25" w:right="-53" w:rightChars="-25"/>
              <w:jc w:val="center"/>
              <w:rPr>
                <w:rFonts w:hint="eastAsia" w:ascii="宋体" w:hAnsi="宋体" w:cs="宋体"/>
                <w:szCs w:val="21"/>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09B472F3">
            <w:pPr>
              <w:snapToGrid w:val="0"/>
              <w:jc w:val="center"/>
              <w:rPr>
                <w:rFonts w:hint="default" w:ascii="宋体" w:hAnsi="宋体" w:cs="宋体"/>
                <w:color w:val="auto"/>
                <w:szCs w:val="21"/>
                <w:highlight w:val="none"/>
              </w:rPr>
            </w:pPr>
            <w:r>
              <w:rPr>
                <w:rFonts w:hint="default" w:ascii="宋体" w:hAnsi="宋体" w:cs="宋体"/>
                <w:color w:val="auto"/>
                <w:szCs w:val="21"/>
                <w:highlight w:val="none"/>
              </w:rPr>
              <w:t>设备改造方案</w:t>
            </w:r>
          </w:p>
          <w:p w14:paraId="75CFA0F4">
            <w:pPr>
              <w:snapToGrid w:val="0"/>
              <w:jc w:val="center"/>
              <w:rPr>
                <w:rFonts w:hint="eastAsia" w:ascii="宋体" w:hAnsi="宋体" w:cs="宋体"/>
                <w:color w:val="auto"/>
                <w:szCs w:val="21"/>
                <w:highlight w:val="none"/>
              </w:rPr>
            </w:pPr>
            <w:r>
              <w:rPr>
                <w:rFonts w:hint="default" w:ascii="宋体" w:hAnsi="宋体" w:cs="宋体"/>
                <w:color w:val="auto"/>
                <w:szCs w:val="21"/>
                <w:highlight w:val="none"/>
              </w:rPr>
              <w:t>（1</w:t>
            </w:r>
            <w:r>
              <w:rPr>
                <w:rFonts w:hint="eastAsia" w:ascii="宋体" w:hAnsi="宋体" w:cs="宋体"/>
                <w:color w:val="auto"/>
                <w:szCs w:val="21"/>
                <w:highlight w:val="none"/>
                <w:lang w:val="en-US" w:eastAsia="zh-CN"/>
              </w:rPr>
              <w:t>5</w:t>
            </w:r>
            <w:r>
              <w:rPr>
                <w:rFonts w:hint="default" w:ascii="宋体" w:hAnsi="宋体" w:cs="宋体"/>
                <w:color w:val="auto"/>
                <w:szCs w:val="21"/>
                <w:highlight w:val="none"/>
              </w:rPr>
              <w:t>分）</w:t>
            </w:r>
          </w:p>
          <w:p w14:paraId="4061DBD4">
            <w:pPr>
              <w:pStyle w:val="27"/>
              <w:snapToGrid w:val="0"/>
              <w:jc w:val="center"/>
              <w:rPr>
                <w:rFonts w:hint="eastAsia" w:ascii="宋体" w:hAnsi="宋体" w:cs="宋体"/>
                <w:szCs w:val="21"/>
              </w:rPr>
            </w:pPr>
          </w:p>
        </w:tc>
        <w:tc>
          <w:tcPr>
            <w:tcW w:w="5721" w:type="dxa"/>
            <w:tcBorders>
              <w:top w:val="single" w:color="auto" w:sz="4" w:space="0"/>
              <w:left w:val="single" w:color="auto" w:sz="4" w:space="0"/>
              <w:bottom w:val="single" w:color="auto" w:sz="4" w:space="0"/>
              <w:right w:val="single" w:color="auto" w:sz="4" w:space="0"/>
            </w:tcBorders>
            <w:noWrap w:val="0"/>
            <w:vAlign w:val="top"/>
          </w:tcPr>
          <w:p w14:paraId="3AD71F8B">
            <w:pPr>
              <w:keepNext w:val="0"/>
              <w:keepLines w:val="0"/>
              <w:pageBreakBefore w:val="0"/>
              <w:widowControl w:val="0"/>
              <w:kinsoku/>
              <w:wordWrap/>
              <w:overflowPunct/>
              <w:topLinePunct w:val="0"/>
              <w:autoSpaceDE/>
              <w:autoSpaceDN/>
              <w:bidi w:val="0"/>
              <w:adjustRightInd/>
              <w:snapToGrid w:val="0"/>
              <w:spacing w:afterLines="25"/>
              <w:ind w:left="0" w:leftChars="0" w:firstLine="0" w:firstLineChars="0"/>
              <w:jc w:val="left"/>
              <w:textAlignment w:val="auto"/>
              <w:rPr>
                <w:rFonts w:hint="eastAsia" w:ascii="宋体" w:hAnsi="宋体" w:cs="宋体"/>
                <w:i w:val="0"/>
                <w:iCs w:val="0"/>
                <w:color w:val="auto"/>
                <w:szCs w:val="21"/>
                <w:highlight w:val="none"/>
                <w:lang w:val="zh-CN"/>
              </w:rPr>
            </w:pPr>
            <w:r>
              <w:rPr>
                <w:rFonts w:hint="eastAsia" w:ascii="宋体" w:hAnsi="宋体" w:cs="宋体"/>
                <w:i w:val="0"/>
                <w:iCs w:val="0"/>
                <w:color w:val="auto"/>
                <w:szCs w:val="21"/>
                <w:highlight w:val="none"/>
                <w:lang w:val="zh-CN"/>
              </w:rPr>
              <w:t>设备改造方案需综合满足医疗场所对空调、电气、给排水系统的专业性、安全性、节能性及兼容性要求：</w:t>
            </w:r>
          </w:p>
          <w:p w14:paraId="51C560AE">
            <w:pPr>
              <w:keepNext w:val="0"/>
              <w:keepLines w:val="0"/>
              <w:pageBreakBefore w:val="0"/>
              <w:widowControl w:val="0"/>
              <w:kinsoku/>
              <w:wordWrap/>
              <w:overflowPunct/>
              <w:topLinePunct w:val="0"/>
              <w:autoSpaceDE/>
              <w:autoSpaceDN/>
              <w:bidi w:val="0"/>
              <w:adjustRightInd/>
              <w:snapToGrid w:val="0"/>
              <w:spacing w:afterLines="25"/>
              <w:ind w:left="632" w:leftChars="0" w:hanging="632" w:hangingChars="300"/>
              <w:jc w:val="left"/>
              <w:textAlignment w:val="auto"/>
              <w:rPr>
                <w:rFonts w:hint="eastAsia" w:ascii="宋体" w:hAnsi="宋体" w:cs="宋体"/>
                <w:color w:val="auto"/>
                <w:szCs w:val="21"/>
                <w:highlight w:val="none"/>
                <w:lang w:val="zh-CN"/>
              </w:rPr>
            </w:pPr>
            <w:r>
              <w:rPr>
                <w:rFonts w:hint="eastAsia"/>
                <w:b/>
                <w:bCs/>
                <w:color w:val="auto"/>
                <w:highlight w:val="none"/>
                <w:lang w:val="zh-CN"/>
              </w:rPr>
              <w:t>[</w:t>
            </w:r>
            <w:r>
              <w:rPr>
                <w:rFonts w:hint="eastAsia" w:ascii="宋体" w:hAnsi="宋体" w:cs="宋体"/>
                <w:b/>
                <w:bCs/>
                <w:color w:val="auto"/>
                <w:szCs w:val="21"/>
                <w:highlight w:val="none"/>
                <w:lang w:val="zh-CN"/>
              </w:rPr>
              <w:t>优]：</w:t>
            </w:r>
            <w:r>
              <w:rPr>
                <w:rFonts w:hint="eastAsia" w:ascii="宋体" w:hAnsi="宋体" w:cs="宋体"/>
                <w:color w:val="auto"/>
                <w:szCs w:val="21"/>
                <w:highlight w:val="none"/>
                <w:lang w:val="zh-CN"/>
              </w:rPr>
              <w:t>空调改造契合规范，系统节能稳定；电气保障医疗设备供电安全，配电科学；给排水符合医疗废水处理及用水</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val="zh-CN"/>
              </w:rPr>
              <w:t>标准，整体方案与原有结构、流程兼容度极高，技术先进经济合理，得 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val="zh-CN"/>
              </w:rPr>
              <w:t xml:space="preserve"> 分。</w:t>
            </w:r>
          </w:p>
          <w:p w14:paraId="4C7663C2">
            <w:pPr>
              <w:keepNext w:val="0"/>
              <w:keepLines w:val="0"/>
              <w:pageBreakBefore w:val="0"/>
              <w:widowControl w:val="0"/>
              <w:kinsoku/>
              <w:wordWrap/>
              <w:overflowPunct/>
              <w:topLinePunct w:val="0"/>
              <w:autoSpaceDE/>
              <w:autoSpaceDN/>
              <w:bidi w:val="0"/>
              <w:adjustRightInd/>
              <w:snapToGrid w:val="0"/>
              <w:spacing w:afterLines="25"/>
              <w:ind w:left="632" w:leftChars="0" w:hanging="632" w:hangingChars="300"/>
              <w:jc w:val="left"/>
              <w:textAlignment w:val="auto"/>
              <w:rPr>
                <w:rFonts w:hint="eastAsia" w:ascii="宋体" w:hAnsi="宋体" w:cs="宋体"/>
                <w:color w:val="auto"/>
                <w:szCs w:val="21"/>
                <w:highlight w:val="none"/>
                <w:lang w:val="zh-CN"/>
              </w:rPr>
            </w:pPr>
            <w:r>
              <w:rPr>
                <w:rFonts w:hint="eastAsia" w:ascii="宋体" w:hAnsi="宋体" w:cs="宋体"/>
                <w:b/>
                <w:bCs/>
                <w:color w:val="auto"/>
                <w:szCs w:val="21"/>
                <w:highlight w:val="none"/>
                <w:lang w:val="zh-CN"/>
              </w:rPr>
              <w:t>[良]：</w:t>
            </w:r>
            <w:r>
              <w:rPr>
                <w:rFonts w:hint="eastAsia" w:ascii="宋体" w:hAnsi="宋体" w:cs="宋体"/>
                <w:color w:val="auto"/>
                <w:szCs w:val="21"/>
                <w:highlight w:val="none"/>
                <w:lang w:val="zh-CN"/>
              </w:rPr>
              <w:t>空调改造契合规范；电气保障核心设备供电，配电合理；给排水符合基础标准，方案兼容性较好，仅细节或节能性略有不足，得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lang w:val="zh-CN"/>
              </w:rPr>
              <w:t>分。</w:t>
            </w:r>
          </w:p>
          <w:p w14:paraId="6BC4C34C">
            <w:pPr>
              <w:keepNext w:val="0"/>
              <w:keepLines w:val="0"/>
              <w:pageBreakBefore w:val="0"/>
              <w:widowControl w:val="0"/>
              <w:kinsoku/>
              <w:wordWrap/>
              <w:overflowPunct/>
              <w:topLinePunct w:val="0"/>
              <w:autoSpaceDE/>
              <w:autoSpaceDN/>
              <w:bidi w:val="0"/>
              <w:adjustRightInd/>
              <w:snapToGrid w:val="0"/>
              <w:spacing w:afterLines="25"/>
              <w:ind w:left="632" w:leftChars="0" w:hanging="632" w:hangingChars="300"/>
              <w:jc w:val="left"/>
              <w:textAlignment w:val="auto"/>
              <w:rPr>
                <w:rFonts w:hint="eastAsia" w:ascii="宋体" w:hAnsi="宋体" w:cs="宋体"/>
                <w:color w:val="auto"/>
                <w:szCs w:val="21"/>
                <w:highlight w:val="none"/>
                <w:lang w:val="zh-CN"/>
              </w:rPr>
            </w:pPr>
            <w:r>
              <w:rPr>
                <w:rFonts w:hint="eastAsia" w:ascii="宋体" w:hAnsi="宋体" w:cs="宋体"/>
                <w:b/>
                <w:bCs/>
                <w:color w:val="auto"/>
                <w:szCs w:val="21"/>
                <w:highlight w:val="none"/>
                <w:lang w:val="zh-CN"/>
              </w:rPr>
              <w:t>[中]：</w:t>
            </w:r>
            <w:r>
              <w:rPr>
                <w:rFonts w:hint="eastAsia" w:ascii="宋体" w:hAnsi="宋体" w:cs="宋体"/>
                <w:color w:val="auto"/>
                <w:szCs w:val="21"/>
                <w:highlight w:val="none"/>
                <w:lang w:val="zh-CN"/>
              </w:rPr>
              <w:t>空调改造契合规范，节能性一般；电气保障基本供电但应急冗余不足；给排水满足日常用水但医疗专项功能不完善，与原有结构存在少量兼容问题，得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val="zh-CN"/>
              </w:rPr>
              <w:t>分。</w:t>
            </w:r>
          </w:p>
          <w:p w14:paraId="409B5C9D">
            <w:pPr>
              <w:keepNext w:val="0"/>
              <w:keepLines w:val="0"/>
              <w:pageBreakBefore w:val="0"/>
              <w:widowControl w:val="0"/>
              <w:kinsoku/>
              <w:wordWrap/>
              <w:overflowPunct/>
              <w:topLinePunct w:val="0"/>
              <w:autoSpaceDE/>
              <w:autoSpaceDN/>
              <w:bidi w:val="0"/>
              <w:adjustRightInd/>
              <w:snapToGrid w:val="0"/>
              <w:spacing w:afterLines="25"/>
              <w:ind w:left="632" w:leftChars="0" w:hanging="632" w:hangingChars="300"/>
              <w:jc w:val="left"/>
              <w:textAlignment w:val="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zh-CN"/>
              </w:rPr>
              <w:t>[差]：</w:t>
            </w:r>
            <w:r>
              <w:rPr>
                <w:rFonts w:hint="eastAsia" w:ascii="宋体" w:hAnsi="宋体" w:cs="宋体"/>
                <w:color w:val="auto"/>
                <w:szCs w:val="21"/>
                <w:highlight w:val="none"/>
                <w:lang w:val="zh-CN"/>
              </w:rPr>
              <w:t>空调改造不符合规范，影响诊疗环境；电气存在安全隐患或布局混乱；给排水未达医疗标准，方案与原有结构、流程明显冲突，得 0 分。</w:t>
            </w:r>
          </w:p>
        </w:tc>
      </w:tr>
      <w:tr w14:paraId="6CE92B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noWrap w:val="0"/>
            <w:vAlign w:val="center"/>
          </w:tcPr>
          <w:p w14:paraId="0ADE790A">
            <w:pPr>
              <w:snapToGrid w:val="0"/>
              <w:ind w:left="-53" w:leftChars="-25" w:right="-53" w:rightChars="-25"/>
              <w:jc w:val="center"/>
              <w:rPr>
                <w:rFonts w:hint="eastAsia" w:ascii="宋体" w:hAnsi="宋体" w:cs="宋体"/>
                <w:szCs w:val="21"/>
              </w:rPr>
            </w:pPr>
          </w:p>
        </w:tc>
        <w:tc>
          <w:tcPr>
            <w:tcW w:w="1005" w:type="dxa"/>
            <w:vMerge w:val="continue"/>
            <w:tcBorders>
              <w:right w:val="single" w:color="auto" w:sz="4" w:space="0"/>
            </w:tcBorders>
            <w:noWrap w:val="0"/>
            <w:vAlign w:val="center"/>
          </w:tcPr>
          <w:p w14:paraId="0CD7E158">
            <w:pPr>
              <w:snapToGrid w:val="0"/>
              <w:ind w:left="-53" w:leftChars="-25" w:right="-53" w:rightChars="-25"/>
              <w:jc w:val="center"/>
              <w:rPr>
                <w:rFonts w:hint="eastAsia" w:ascii="宋体" w:hAnsi="宋体" w:cs="宋体"/>
                <w:szCs w:val="21"/>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4D3CAC0E">
            <w:pPr>
              <w:snapToGrid w:val="0"/>
              <w:jc w:val="center"/>
              <w:rPr>
                <w:rFonts w:hint="eastAsia" w:ascii="宋体" w:hAnsi="宋体" w:cs="宋体"/>
                <w:szCs w:val="21"/>
                <w:highlight w:val="none"/>
              </w:rPr>
            </w:pPr>
            <w:r>
              <w:rPr>
                <w:rFonts w:hint="eastAsia" w:ascii="宋体" w:hAnsi="宋体" w:cs="宋体"/>
                <w:szCs w:val="21"/>
                <w:highlight w:val="none"/>
              </w:rPr>
              <w:t>消防改造设计方案</w:t>
            </w:r>
          </w:p>
          <w:p w14:paraId="5744619D">
            <w:pPr>
              <w:pStyle w:val="27"/>
              <w:snapToGrid w:val="0"/>
              <w:jc w:val="center"/>
              <w:rPr>
                <w:rFonts w:hint="eastAsia"/>
                <w:szCs w:val="21"/>
              </w:rPr>
            </w:pPr>
            <w:r>
              <w:rPr>
                <w:rFonts w:hint="eastAsia"/>
                <w:szCs w:val="21"/>
                <w:highlight w:val="none"/>
              </w:rPr>
              <w:t>（15分）</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1ED1B1FC">
            <w:pPr>
              <w:snapToGrid w:val="0"/>
              <w:spacing w:after="78" w:afterLines="25"/>
              <w:jc w:val="left"/>
              <w:rPr>
                <w:rFonts w:hint="eastAsia" w:ascii="宋体" w:hAnsi="宋体" w:cs="宋体"/>
                <w:b w:val="0"/>
                <w:bCs/>
                <w:color w:val="000000"/>
                <w:szCs w:val="21"/>
                <w:highlight w:val="none"/>
                <w:lang w:val="zh-CN"/>
              </w:rPr>
            </w:pPr>
            <w:r>
              <w:rPr>
                <w:rFonts w:hint="eastAsia" w:ascii="宋体" w:hAnsi="宋体" w:cs="宋体"/>
                <w:color w:val="000000"/>
                <w:szCs w:val="21"/>
                <w:highlight w:val="none"/>
              </w:rPr>
              <w:t>根据现有的消防设施条件，提出切实可行的消防改造方案，优化消防布局、完善消防报警及联动系统。全面提升</w:t>
            </w:r>
            <w:r>
              <w:rPr>
                <w:rFonts w:hint="eastAsia" w:ascii="宋体" w:hAnsi="宋体" w:cs="宋体"/>
                <w:color w:val="000000"/>
                <w:szCs w:val="21"/>
                <w:highlight w:val="none"/>
                <w:lang w:val="en-US" w:eastAsia="zh-CN"/>
              </w:rPr>
              <w:t>本项目</w:t>
            </w:r>
            <w:r>
              <w:rPr>
                <w:rFonts w:hint="eastAsia" w:ascii="宋体" w:hAnsi="宋体" w:cs="宋体"/>
                <w:color w:val="000000"/>
                <w:szCs w:val="21"/>
                <w:highlight w:val="none"/>
              </w:rPr>
              <w:t>的消防能力</w:t>
            </w:r>
            <w:r>
              <w:rPr>
                <w:rFonts w:hint="eastAsia" w:ascii="宋体" w:hAnsi="宋体" w:cs="宋体"/>
                <w:b w:val="0"/>
                <w:bCs/>
                <w:color w:val="000000"/>
                <w:szCs w:val="21"/>
                <w:highlight w:val="none"/>
                <w:lang w:val="zh-CN"/>
              </w:rPr>
              <w:t>：​</w:t>
            </w:r>
          </w:p>
          <w:p w14:paraId="5DF7BA33">
            <w:pPr>
              <w:snapToGrid w:val="0"/>
              <w:spacing w:after="78" w:afterLines="25"/>
              <w:ind w:left="630" w:hanging="630" w:hangingChars="300"/>
              <w:jc w:val="left"/>
              <w:rPr>
                <w:rFonts w:hint="eastAsia" w:ascii="宋体" w:hAnsi="宋体" w:cs="宋体"/>
                <w:b w:val="0"/>
                <w:bCs/>
                <w:szCs w:val="21"/>
                <w:highlight w:val="none"/>
                <w:lang w:val="zh-CN"/>
              </w:rPr>
            </w:pPr>
            <w:r>
              <w:rPr>
                <w:rFonts w:hint="eastAsia" w:ascii="宋体" w:hAnsi="宋体" w:cs="宋体"/>
                <w:b w:val="0"/>
                <w:bCs/>
                <w:szCs w:val="21"/>
                <w:highlight w:val="none"/>
                <w:lang w:val="zh-CN"/>
              </w:rPr>
              <w:t>[优]：提出的消防改造方案切实可行，能有效优化消防布局、完善消防报警及联动系统，全面提升本装修施工区域内的消防能力；方案完善且完全符合相关法规要求，可充分确保消防安全，得 15 分；</w:t>
            </w:r>
          </w:p>
          <w:p w14:paraId="1AF840C0">
            <w:pPr>
              <w:snapToGrid w:val="0"/>
              <w:spacing w:after="78" w:afterLines="25"/>
              <w:ind w:left="630" w:hanging="630" w:hangingChars="300"/>
              <w:jc w:val="left"/>
              <w:rPr>
                <w:rFonts w:hint="eastAsia" w:ascii="宋体" w:hAnsi="宋体" w:cs="宋体"/>
                <w:b w:val="0"/>
                <w:bCs/>
                <w:szCs w:val="21"/>
                <w:highlight w:val="none"/>
                <w:lang w:val="zh-CN"/>
              </w:rPr>
            </w:pPr>
            <w:r>
              <w:rPr>
                <w:rFonts w:hint="eastAsia" w:ascii="宋体" w:hAnsi="宋体" w:cs="宋体"/>
                <w:b w:val="0"/>
                <w:bCs/>
                <w:szCs w:val="21"/>
                <w:highlight w:val="none"/>
                <w:lang w:val="zh-CN"/>
              </w:rPr>
              <w:t>[良]：消防改造设计符合法规要求，方案较为完善，能在一定程度上优化消防布局和系统，提升消防能力，但在设备选型或布局上可能存在细微不足，得 10 分；​</w:t>
            </w:r>
          </w:p>
          <w:p w14:paraId="6310C868">
            <w:pPr>
              <w:snapToGrid w:val="0"/>
              <w:spacing w:after="78" w:afterLines="25"/>
              <w:ind w:left="630" w:hanging="630" w:hangingChars="300"/>
              <w:jc w:val="left"/>
              <w:rPr>
                <w:rFonts w:hint="eastAsia" w:ascii="宋体" w:hAnsi="宋体" w:cs="宋体"/>
                <w:b w:val="0"/>
                <w:bCs/>
                <w:szCs w:val="21"/>
                <w:highlight w:val="none"/>
                <w:lang w:val="zh-CN"/>
              </w:rPr>
            </w:pPr>
            <w:r>
              <w:rPr>
                <w:rFonts w:hint="eastAsia" w:ascii="宋体" w:hAnsi="宋体" w:cs="宋体"/>
                <w:b w:val="0"/>
                <w:bCs/>
                <w:szCs w:val="21"/>
                <w:highlight w:val="none"/>
                <w:lang w:val="zh-CN"/>
              </w:rPr>
              <w:t>[中]：消防改造设计存在一定缺陷，未能完全满足法规要求，方案不够完善，对消防能力的提升有限，存在一定安全隐患，得 5 分；​</w:t>
            </w:r>
          </w:p>
          <w:p w14:paraId="6C63FE9F">
            <w:pPr>
              <w:ind w:left="630" w:leftChars="0" w:hanging="630" w:hangingChars="300"/>
              <w:rPr>
                <w:rFonts w:hint="eastAsia" w:ascii="宋体" w:hAnsi="宋体" w:cs="宋体"/>
                <w:b/>
                <w:szCs w:val="21"/>
                <w:lang w:val="zh-CN"/>
              </w:rPr>
            </w:pPr>
            <w:r>
              <w:rPr>
                <w:rFonts w:hint="eastAsia" w:ascii="宋体" w:hAnsi="宋体" w:cs="宋体"/>
                <w:b w:val="0"/>
                <w:bCs/>
                <w:szCs w:val="21"/>
                <w:highlight w:val="none"/>
                <w:lang w:val="zh-CN"/>
              </w:rPr>
              <w:t>[差]：消防改造设计严重不符合法规要求，方案存在重大漏洞，无法提升消防能力，反而存在重大安全隐患，得 0 分。</w:t>
            </w:r>
          </w:p>
        </w:tc>
      </w:tr>
      <w:tr w14:paraId="1906B0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noWrap w:val="0"/>
            <w:vAlign w:val="center"/>
          </w:tcPr>
          <w:p w14:paraId="3B5DD20C">
            <w:pPr>
              <w:snapToGrid w:val="0"/>
              <w:ind w:left="-53" w:leftChars="-25" w:right="-53" w:rightChars="-25"/>
              <w:jc w:val="center"/>
              <w:rPr>
                <w:rFonts w:hint="eastAsia" w:ascii="宋体" w:hAnsi="宋体" w:cs="宋体"/>
                <w:szCs w:val="21"/>
              </w:rPr>
            </w:pPr>
          </w:p>
        </w:tc>
        <w:tc>
          <w:tcPr>
            <w:tcW w:w="1005" w:type="dxa"/>
            <w:vMerge w:val="continue"/>
            <w:tcBorders>
              <w:right w:val="single" w:color="auto" w:sz="4" w:space="0"/>
            </w:tcBorders>
            <w:noWrap w:val="0"/>
            <w:vAlign w:val="center"/>
          </w:tcPr>
          <w:p w14:paraId="29012E74">
            <w:pPr>
              <w:snapToGrid w:val="0"/>
              <w:ind w:left="-53" w:leftChars="-25" w:right="-53" w:rightChars="-25"/>
              <w:jc w:val="center"/>
              <w:rPr>
                <w:rFonts w:hint="eastAsia" w:ascii="宋体" w:hAnsi="宋体" w:cs="宋体"/>
                <w:szCs w:val="21"/>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2C40D312">
            <w:pPr>
              <w:snapToGrid w:val="0"/>
              <w:jc w:val="center"/>
              <w:rPr>
                <w:rFonts w:ascii="宋体" w:hAnsi="宋体" w:cs="宋体"/>
                <w:szCs w:val="21"/>
                <w:highlight w:val="none"/>
              </w:rPr>
            </w:pPr>
            <w:r>
              <w:rPr>
                <w:rFonts w:hint="eastAsia" w:ascii="宋体" w:hAnsi="宋体" w:cs="宋体"/>
                <w:szCs w:val="21"/>
                <w:highlight w:val="none"/>
              </w:rPr>
              <w:t>品质提升与设计</w:t>
            </w:r>
          </w:p>
          <w:p w14:paraId="15D55BD9">
            <w:pPr>
              <w:snapToGrid w:val="0"/>
              <w:jc w:val="center"/>
              <w:rPr>
                <w:rFonts w:hint="eastAsia" w:ascii="宋体" w:hAnsi="宋体" w:cs="宋体"/>
                <w:szCs w:val="21"/>
              </w:rPr>
            </w:pPr>
            <w:r>
              <w:rPr>
                <w:rFonts w:hint="eastAsia" w:ascii="宋体" w:hAnsi="宋体" w:cs="宋体"/>
                <w:szCs w:val="21"/>
                <w:highlight w:val="none"/>
              </w:rPr>
              <w:t>（1</w:t>
            </w: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5618A2A1">
            <w:pPr>
              <w:keepNext w:val="0"/>
              <w:keepLines w:val="0"/>
              <w:pageBreakBefore w:val="0"/>
              <w:widowControl w:val="0"/>
              <w:kinsoku/>
              <w:wordWrap/>
              <w:overflowPunct/>
              <w:topLinePunct w:val="0"/>
              <w:autoSpaceDE/>
              <w:autoSpaceDN/>
              <w:bidi w:val="0"/>
              <w:adjustRightInd/>
              <w:snapToGrid w:val="0"/>
              <w:spacing w:afterLines="25"/>
              <w:ind w:left="0" w:leftChars="0" w:firstLine="0" w:firstLineChars="0"/>
              <w:textAlignment w:val="auto"/>
              <w:rPr>
                <w:rFonts w:hint="eastAsia" w:ascii="宋体" w:hAnsi="宋体" w:cs="宋体"/>
                <w:szCs w:val="21"/>
                <w:highlight w:val="none"/>
              </w:rPr>
            </w:pPr>
            <w:r>
              <w:rPr>
                <w:rFonts w:hint="eastAsia" w:ascii="宋体" w:hAnsi="宋体" w:cs="宋体"/>
                <w:szCs w:val="21"/>
                <w:highlight w:val="none"/>
              </w:rPr>
              <w:t>针对本项目整体品质提升及门诊、医技科室等区域内部装修、大楼整体标识系统、公共区域主要功能的效果图呈现效果进行评分：</w:t>
            </w:r>
          </w:p>
          <w:p w14:paraId="552570E4">
            <w:pPr>
              <w:keepNext w:val="0"/>
              <w:keepLines w:val="0"/>
              <w:pageBreakBefore w:val="0"/>
              <w:widowControl w:val="0"/>
              <w:kinsoku/>
              <w:wordWrap/>
              <w:overflowPunct/>
              <w:topLinePunct w:val="0"/>
              <w:autoSpaceDE/>
              <w:autoSpaceDN/>
              <w:bidi w:val="0"/>
              <w:adjustRightInd/>
              <w:snapToGrid w:val="0"/>
              <w:spacing w:afterLines="25"/>
              <w:ind w:left="630" w:leftChars="0" w:hanging="630" w:hangingChars="300"/>
              <w:textAlignment w:val="auto"/>
              <w:rPr>
                <w:rFonts w:hint="eastAsia" w:ascii="宋体" w:hAnsi="宋体" w:cs="宋体"/>
                <w:szCs w:val="21"/>
                <w:highlight w:val="none"/>
              </w:rPr>
            </w:pPr>
            <w:r>
              <w:rPr>
                <w:rFonts w:hint="eastAsia" w:ascii="宋体" w:hAnsi="宋体" w:cs="宋体"/>
                <w:szCs w:val="21"/>
                <w:highlight w:val="none"/>
              </w:rPr>
              <w:t>[优]</w:t>
            </w:r>
            <w:r>
              <w:rPr>
                <w:rFonts w:hint="eastAsia" w:ascii="宋体" w:hAnsi="宋体" w:cs="宋体"/>
                <w:szCs w:val="21"/>
                <w:highlight w:val="none"/>
                <w:lang w:eastAsia="zh-CN"/>
              </w:rPr>
              <w:t>：</w:t>
            </w:r>
            <w:r>
              <w:rPr>
                <w:rFonts w:hint="eastAsia" w:ascii="宋体" w:hAnsi="宋体" w:cs="宋体"/>
                <w:szCs w:val="21"/>
                <w:highlight w:val="none"/>
              </w:rPr>
              <w:t>品质提升显著，效果图充分体现高水平建筑设计，</w:t>
            </w:r>
            <w:r>
              <w:rPr>
                <w:rFonts w:hint="eastAsia" w:ascii="宋体" w:hAnsi="宋体" w:cs="宋体"/>
                <w:b/>
                <w:bCs/>
                <w:szCs w:val="21"/>
                <w:highlight w:val="none"/>
                <w:u w:val="single"/>
                <w:lang w:val="en-US" w:eastAsia="zh-CN"/>
              </w:rPr>
              <w:t>效果图</w:t>
            </w:r>
            <w:r>
              <w:rPr>
                <w:rFonts w:hint="eastAsia" w:ascii="宋体" w:hAnsi="宋体" w:cs="宋体"/>
                <w:szCs w:val="21"/>
                <w:highlight w:val="none"/>
                <w:lang w:val="en-US" w:eastAsia="zh-CN"/>
              </w:rPr>
              <w:t>能体现</w:t>
            </w:r>
            <w:r>
              <w:rPr>
                <w:rFonts w:hint="eastAsia" w:ascii="宋体" w:hAnsi="宋体" w:cs="宋体"/>
                <w:szCs w:val="21"/>
                <w:highlight w:val="none"/>
              </w:rPr>
              <w:t>有力提升医院整体形象，得 15 分；</w:t>
            </w:r>
          </w:p>
          <w:p w14:paraId="0050A223">
            <w:pPr>
              <w:keepNext w:val="0"/>
              <w:keepLines w:val="0"/>
              <w:pageBreakBefore w:val="0"/>
              <w:widowControl w:val="0"/>
              <w:kinsoku/>
              <w:wordWrap/>
              <w:overflowPunct/>
              <w:topLinePunct w:val="0"/>
              <w:autoSpaceDE/>
              <w:autoSpaceDN/>
              <w:bidi w:val="0"/>
              <w:adjustRightInd/>
              <w:snapToGrid w:val="0"/>
              <w:spacing w:afterLines="25"/>
              <w:ind w:left="630" w:leftChars="0" w:hanging="630" w:hangingChars="300"/>
              <w:textAlignment w:val="auto"/>
              <w:rPr>
                <w:rFonts w:hint="eastAsia" w:ascii="宋体" w:hAnsi="宋体" w:cs="宋体"/>
                <w:szCs w:val="21"/>
                <w:highlight w:val="none"/>
              </w:rPr>
            </w:pPr>
            <w:r>
              <w:rPr>
                <w:rFonts w:hint="eastAsia" w:ascii="宋体" w:hAnsi="宋体" w:cs="宋体"/>
                <w:szCs w:val="21"/>
                <w:highlight w:val="none"/>
              </w:rPr>
              <w:t>[良]</w:t>
            </w:r>
            <w:r>
              <w:rPr>
                <w:rFonts w:hint="eastAsia" w:ascii="宋体" w:hAnsi="宋体" w:cs="宋体"/>
                <w:szCs w:val="21"/>
                <w:highlight w:val="none"/>
                <w:lang w:eastAsia="zh-CN"/>
              </w:rPr>
              <w:t>：</w:t>
            </w:r>
            <w:r>
              <w:rPr>
                <w:rFonts w:hint="eastAsia" w:ascii="宋体" w:hAnsi="宋体" w:cs="宋体"/>
                <w:szCs w:val="21"/>
                <w:highlight w:val="none"/>
              </w:rPr>
              <w:t>品质提升较为明显，效果图基本展现良好设计，</w:t>
            </w:r>
            <w:r>
              <w:rPr>
                <w:rFonts w:hint="eastAsia" w:ascii="宋体" w:hAnsi="宋体" w:cs="宋体"/>
                <w:b/>
                <w:bCs/>
                <w:szCs w:val="21"/>
                <w:highlight w:val="none"/>
                <w:u w:val="single"/>
                <w:lang w:val="en-US" w:eastAsia="zh-CN"/>
              </w:rPr>
              <w:t>效果图的</w:t>
            </w:r>
            <w:r>
              <w:rPr>
                <w:rFonts w:hint="eastAsia" w:ascii="宋体" w:hAnsi="宋体" w:cs="宋体"/>
                <w:b/>
                <w:bCs/>
                <w:szCs w:val="21"/>
                <w:highlight w:val="none"/>
                <w:u w:val="single"/>
              </w:rPr>
              <w:t>部分</w:t>
            </w:r>
            <w:r>
              <w:rPr>
                <w:rFonts w:hint="eastAsia" w:ascii="宋体" w:hAnsi="宋体" w:cs="宋体"/>
                <w:szCs w:val="21"/>
                <w:highlight w:val="none"/>
              </w:rPr>
              <w:t>设计存在轻微不足，得 10 分；</w:t>
            </w:r>
          </w:p>
          <w:p w14:paraId="2D1C45EA">
            <w:pPr>
              <w:keepNext w:val="0"/>
              <w:keepLines w:val="0"/>
              <w:pageBreakBefore w:val="0"/>
              <w:widowControl w:val="0"/>
              <w:kinsoku/>
              <w:wordWrap/>
              <w:overflowPunct/>
              <w:topLinePunct w:val="0"/>
              <w:autoSpaceDE/>
              <w:autoSpaceDN/>
              <w:bidi w:val="0"/>
              <w:adjustRightInd/>
              <w:snapToGrid w:val="0"/>
              <w:spacing w:afterLines="25"/>
              <w:ind w:left="630" w:leftChars="0" w:hanging="630" w:hangingChars="300"/>
              <w:textAlignment w:val="auto"/>
              <w:rPr>
                <w:rFonts w:hint="eastAsia" w:ascii="宋体" w:hAnsi="宋体" w:cs="宋体"/>
                <w:szCs w:val="21"/>
                <w:highlight w:val="none"/>
              </w:rPr>
            </w:pPr>
            <w:r>
              <w:rPr>
                <w:rFonts w:hint="eastAsia" w:ascii="宋体" w:hAnsi="宋体" w:cs="宋体"/>
                <w:szCs w:val="21"/>
                <w:highlight w:val="none"/>
              </w:rPr>
              <w:t>[中]</w:t>
            </w:r>
            <w:r>
              <w:rPr>
                <w:rFonts w:hint="eastAsia" w:ascii="宋体" w:hAnsi="宋体" w:cs="宋体"/>
                <w:szCs w:val="21"/>
                <w:highlight w:val="none"/>
                <w:lang w:eastAsia="zh-CN"/>
              </w:rPr>
              <w:t>：</w:t>
            </w:r>
            <w:r>
              <w:rPr>
                <w:rFonts w:hint="eastAsia" w:ascii="宋体" w:hAnsi="宋体" w:cs="宋体"/>
                <w:szCs w:val="21"/>
                <w:highlight w:val="none"/>
              </w:rPr>
              <w:t>品质提升一般，效果图在设计体现上较为平淡，</w:t>
            </w:r>
            <w:r>
              <w:rPr>
                <w:rFonts w:hint="eastAsia" w:ascii="宋体" w:hAnsi="宋体" w:cs="宋体"/>
                <w:b/>
                <w:bCs/>
                <w:szCs w:val="21"/>
                <w:highlight w:val="none"/>
                <w:u w:val="single"/>
                <w:lang w:val="en-US" w:eastAsia="zh-CN"/>
              </w:rPr>
              <w:t>效果图中</w:t>
            </w:r>
            <w:r>
              <w:rPr>
                <w:rFonts w:hint="eastAsia" w:ascii="宋体" w:hAnsi="宋体" w:cs="宋体"/>
                <w:szCs w:val="21"/>
                <w:highlight w:val="none"/>
              </w:rPr>
              <w:t>设计不够精致，存在明显瑕疵，得 5 分；</w:t>
            </w:r>
          </w:p>
          <w:p w14:paraId="455422DA">
            <w:pPr>
              <w:keepNext w:val="0"/>
              <w:keepLines w:val="0"/>
              <w:pageBreakBefore w:val="0"/>
              <w:widowControl w:val="0"/>
              <w:kinsoku/>
              <w:wordWrap/>
              <w:overflowPunct/>
              <w:topLinePunct w:val="0"/>
              <w:autoSpaceDE/>
              <w:autoSpaceDN/>
              <w:bidi w:val="0"/>
              <w:adjustRightInd/>
              <w:snapToGrid w:val="0"/>
              <w:spacing w:afterLines="25"/>
              <w:ind w:left="630" w:leftChars="0" w:hanging="630" w:hangingChars="300"/>
              <w:textAlignment w:val="auto"/>
              <w:rPr>
                <w:rFonts w:hint="eastAsia" w:ascii="宋体" w:hAnsi="宋体" w:cs="宋体"/>
                <w:szCs w:val="21"/>
              </w:rPr>
            </w:pPr>
            <w:r>
              <w:rPr>
                <w:rFonts w:hint="eastAsia" w:ascii="宋体" w:hAnsi="宋体" w:cs="宋体"/>
                <w:szCs w:val="21"/>
                <w:highlight w:val="none"/>
              </w:rPr>
              <w:t>[差]</w:t>
            </w:r>
            <w:r>
              <w:rPr>
                <w:rFonts w:hint="eastAsia" w:ascii="宋体" w:hAnsi="宋体" w:cs="宋体"/>
                <w:szCs w:val="21"/>
                <w:highlight w:val="none"/>
                <w:lang w:eastAsia="zh-CN"/>
              </w:rPr>
              <w:t>：</w:t>
            </w:r>
            <w:r>
              <w:rPr>
                <w:rFonts w:hint="eastAsia" w:ascii="宋体" w:hAnsi="宋体" w:cs="宋体"/>
                <w:szCs w:val="21"/>
                <w:highlight w:val="none"/>
              </w:rPr>
              <w:t>品质提升不明显，效果图呈现的设计粗糙，影响医院整体形象及患者满意度，得 0 分。</w:t>
            </w:r>
          </w:p>
        </w:tc>
      </w:tr>
      <w:tr w14:paraId="20FA2D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1259" w:hRule="atLeast"/>
          <w:jc w:val="center"/>
        </w:trPr>
        <w:tc>
          <w:tcPr>
            <w:tcW w:w="676" w:type="dxa"/>
            <w:vMerge w:val="restart"/>
            <w:tcBorders>
              <w:top w:val="single" w:color="auto" w:sz="4" w:space="0"/>
              <w:right w:val="single" w:color="auto" w:sz="4" w:space="0"/>
            </w:tcBorders>
            <w:noWrap w:val="0"/>
            <w:vAlign w:val="center"/>
          </w:tcPr>
          <w:p w14:paraId="2404493F">
            <w:pPr>
              <w:snapToGrid w:val="0"/>
              <w:ind w:left="-53" w:leftChars="-25" w:right="-53" w:rightChars="-25"/>
              <w:rPr>
                <w:rFonts w:hint="eastAsia" w:ascii="宋体" w:hAnsi="宋体" w:cs="宋体"/>
                <w:szCs w:val="21"/>
              </w:rPr>
            </w:pPr>
            <w:r>
              <w:rPr>
                <w:rFonts w:hint="eastAsia" w:ascii="宋体" w:hAnsi="宋体" w:cs="宋体"/>
                <w:szCs w:val="21"/>
              </w:rPr>
              <w:t>2.2.4（2）</w:t>
            </w:r>
          </w:p>
        </w:tc>
        <w:tc>
          <w:tcPr>
            <w:tcW w:w="1005" w:type="dxa"/>
            <w:vMerge w:val="restart"/>
            <w:tcBorders>
              <w:top w:val="single" w:color="auto" w:sz="4" w:space="0"/>
              <w:right w:val="single" w:color="auto" w:sz="4" w:space="0"/>
            </w:tcBorders>
            <w:noWrap w:val="0"/>
            <w:vAlign w:val="center"/>
          </w:tcPr>
          <w:p w14:paraId="0DF3D69D">
            <w:pPr>
              <w:snapToGrid w:val="0"/>
              <w:ind w:left="-53" w:leftChars="-25" w:right="-53" w:rightChars="-25"/>
              <w:jc w:val="center"/>
              <w:rPr>
                <w:rFonts w:hint="eastAsia" w:ascii="宋体" w:hAnsi="宋体" w:cs="宋体"/>
                <w:szCs w:val="21"/>
              </w:rPr>
            </w:pPr>
            <w:r>
              <w:rPr>
                <w:rFonts w:hint="eastAsia" w:ascii="宋体" w:hAnsi="宋体" w:cs="宋体"/>
                <w:szCs w:val="21"/>
              </w:rPr>
              <w:t>工程总承包实施方案评分标准</w:t>
            </w:r>
          </w:p>
          <w:p w14:paraId="136794FB">
            <w:pPr>
              <w:snapToGrid w:val="0"/>
              <w:ind w:left="-53" w:leftChars="-25" w:right="-53" w:rightChars="-25"/>
              <w:jc w:val="center"/>
              <w:rPr>
                <w:rFonts w:hint="eastAsia" w:ascii="宋体" w:hAnsi="宋体" w:cs="宋体"/>
                <w:szCs w:val="21"/>
              </w:rPr>
            </w:pPr>
            <w:r>
              <w:rPr>
                <w:rFonts w:hint="eastAsia" w:ascii="宋体" w:hAnsi="宋体" w:cs="宋体"/>
                <w:szCs w:val="21"/>
              </w:rPr>
              <w:t>（100分）</w:t>
            </w:r>
          </w:p>
        </w:tc>
        <w:tc>
          <w:tcPr>
            <w:tcW w:w="966" w:type="dxa"/>
            <w:vMerge w:val="restart"/>
            <w:tcBorders>
              <w:top w:val="single" w:color="auto" w:sz="4" w:space="0"/>
              <w:left w:val="single" w:color="auto" w:sz="4" w:space="0"/>
              <w:right w:val="single" w:color="auto" w:sz="4" w:space="0"/>
            </w:tcBorders>
            <w:noWrap w:val="0"/>
            <w:vAlign w:val="center"/>
          </w:tcPr>
          <w:p w14:paraId="5BC5E5FC">
            <w:pPr>
              <w:snapToGrid w:val="0"/>
              <w:ind w:left="-53" w:leftChars="-25" w:right="-53" w:rightChars="-25"/>
              <w:jc w:val="center"/>
              <w:rPr>
                <w:rFonts w:hint="eastAsia" w:ascii="宋体" w:hAnsi="宋体" w:cs="宋体"/>
              </w:rPr>
            </w:pPr>
            <w:r>
              <w:rPr>
                <w:rFonts w:hint="eastAsia" w:ascii="宋体" w:hAnsi="宋体" w:cs="宋体"/>
              </w:rPr>
              <w:t>企业资信</w:t>
            </w:r>
          </w:p>
          <w:p w14:paraId="64DFCB67">
            <w:pPr>
              <w:snapToGrid w:val="0"/>
              <w:ind w:left="-53" w:leftChars="-25" w:right="-53" w:rightChars="-25"/>
              <w:jc w:val="center"/>
              <w:rPr>
                <w:rFonts w:hint="eastAsia" w:ascii="宋体" w:hAnsi="宋体" w:cs="宋体"/>
                <w:szCs w:val="21"/>
              </w:rPr>
            </w:pPr>
            <w:r>
              <w:rPr>
                <w:rFonts w:hint="eastAsia" w:ascii="宋体" w:hAnsi="宋体" w:cs="宋体"/>
              </w:rPr>
              <w:t>（</w:t>
            </w:r>
            <w:r>
              <w:rPr>
                <w:rFonts w:hint="eastAsia" w:ascii="宋体" w:hAnsi="宋体" w:cs="宋体"/>
                <w:lang w:val="en-US" w:eastAsia="zh-CN"/>
              </w:rPr>
              <w:t>24</w:t>
            </w:r>
            <w:r>
              <w:rPr>
                <w:rFonts w:hint="eastAsia" w:ascii="宋体" w:hAnsi="宋体" w:cs="宋体"/>
              </w:rPr>
              <w:t>分）</w:t>
            </w:r>
          </w:p>
        </w:tc>
        <w:tc>
          <w:tcPr>
            <w:tcW w:w="1459" w:type="dxa"/>
            <w:vMerge w:val="restart"/>
            <w:tcBorders>
              <w:top w:val="single" w:color="auto" w:sz="4" w:space="0"/>
              <w:left w:val="single" w:color="auto" w:sz="4" w:space="0"/>
              <w:right w:val="single" w:color="auto" w:sz="4" w:space="0"/>
            </w:tcBorders>
            <w:noWrap w:val="0"/>
            <w:vAlign w:val="center"/>
          </w:tcPr>
          <w:p w14:paraId="56307485">
            <w:pPr>
              <w:snapToGrid w:val="0"/>
              <w:ind w:left="-53" w:leftChars="-25" w:right="-53" w:rightChars="-25"/>
              <w:jc w:val="center"/>
              <w:rPr>
                <w:rFonts w:hint="eastAsia" w:ascii="宋体" w:hAnsi="宋体" w:cs="宋体"/>
              </w:rPr>
            </w:pPr>
            <w:r>
              <w:rPr>
                <w:rFonts w:hint="eastAsia" w:ascii="宋体" w:hAnsi="宋体" w:cs="宋体"/>
              </w:rPr>
              <w:t>企业业绩</w:t>
            </w:r>
          </w:p>
          <w:p w14:paraId="100BFE14">
            <w:pPr>
              <w:snapToGrid w:val="0"/>
              <w:ind w:left="-53" w:leftChars="-25" w:right="-53" w:rightChars="-25"/>
              <w:jc w:val="center"/>
              <w:rPr>
                <w:rFonts w:hint="eastAsia" w:ascii="宋体" w:hAnsi="宋体" w:cs="宋体"/>
              </w:rPr>
            </w:pPr>
            <w:r>
              <w:rPr>
                <w:rFonts w:hint="eastAsia" w:ascii="宋体" w:hAnsi="宋体" w:cs="宋体"/>
              </w:rPr>
              <w:t>（</w:t>
            </w:r>
            <w:r>
              <w:rPr>
                <w:rFonts w:hint="eastAsia" w:ascii="宋体" w:hAnsi="宋体" w:cs="宋体"/>
                <w:lang w:val="en-US" w:eastAsia="zh-CN"/>
              </w:rPr>
              <w:t>4</w:t>
            </w:r>
            <w:r>
              <w:rPr>
                <w:rFonts w:hint="eastAsia" w:ascii="宋体" w:hAnsi="宋体" w:cs="宋体"/>
              </w:rPr>
              <w:t>分）</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73464161">
            <w:pPr>
              <w:snapToGrid w:val="0"/>
              <w:rPr>
                <w:rFonts w:hint="eastAsia" w:ascii="宋体" w:hAnsi="宋体"/>
                <w:b/>
                <w:color w:val="000000"/>
                <w:szCs w:val="21"/>
              </w:rPr>
            </w:pPr>
            <w:r>
              <w:rPr>
                <w:rFonts w:hint="eastAsia" w:ascii="宋体" w:hAnsi="宋体"/>
                <w:b/>
                <w:bCs/>
                <w:color w:val="000000"/>
                <w:szCs w:val="21"/>
              </w:rPr>
              <w:t>施工业绩：</w:t>
            </w:r>
            <w:r>
              <w:rPr>
                <w:rFonts w:hint="eastAsia" w:ascii="宋体" w:hAnsi="宋体"/>
                <w:color w:val="000000"/>
                <w:szCs w:val="21"/>
              </w:rPr>
              <w:t>投标人（若为联合体，指联合体</w:t>
            </w:r>
            <w:r>
              <w:rPr>
                <w:rFonts w:hint="eastAsia" w:ascii="宋体" w:hAnsi="宋体"/>
                <w:color w:val="000000"/>
                <w:szCs w:val="21"/>
                <w:lang w:eastAsia="zh-CN"/>
              </w:rPr>
              <w:t>主办方</w:t>
            </w:r>
            <w:r>
              <w:rPr>
                <w:rFonts w:hint="eastAsia" w:ascii="宋体" w:hAnsi="宋体"/>
                <w:color w:val="000000"/>
                <w:szCs w:val="21"/>
              </w:rPr>
              <w:t>）自</w:t>
            </w:r>
            <w:r>
              <w:rPr>
                <w:rFonts w:hint="eastAsia" w:ascii="宋体" w:hAnsi="宋体"/>
                <w:color w:val="000000"/>
                <w:szCs w:val="21"/>
                <w:lang w:val="en-US" w:eastAsia="zh-CN"/>
              </w:rPr>
              <w:t>2019</w:t>
            </w:r>
            <w:r>
              <w:rPr>
                <w:rFonts w:hint="eastAsia" w:ascii="宋体" w:hAnsi="宋体"/>
                <w:color w:val="000000"/>
                <w:szCs w:val="21"/>
              </w:rPr>
              <w:t>年1月1日至投标截止，完成过质量合格的类似项目业绩，每项得</w:t>
            </w:r>
            <w:r>
              <w:rPr>
                <w:rFonts w:hint="eastAsia" w:ascii="宋体" w:hAnsi="宋体"/>
                <w:color w:val="000000"/>
                <w:szCs w:val="21"/>
                <w:lang w:val="en-US" w:eastAsia="zh-CN"/>
              </w:rPr>
              <w:t>1</w:t>
            </w:r>
            <w:r>
              <w:rPr>
                <w:rFonts w:hint="eastAsia" w:ascii="宋体" w:hAnsi="宋体"/>
                <w:color w:val="000000"/>
                <w:szCs w:val="21"/>
              </w:rPr>
              <w:t>分。（本项最高得</w:t>
            </w:r>
            <w:r>
              <w:rPr>
                <w:rFonts w:hint="eastAsia" w:ascii="宋体" w:hAnsi="宋体"/>
                <w:color w:val="000000"/>
                <w:szCs w:val="21"/>
                <w:lang w:val="en-US" w:eastAsia="zh-CN"/>
              </w:rPr>
              <w:t>2</w:t>
            </w:r>
            <w:r>
              <w:rPr>
                <w:rFonts w:hint="eastAsia" w:ascii="宋体" w:hAnsi="宋体"/>
                <w:color w:val="000000"/>
                <w:szCs w:val="21"/>
              </w:rPr>
              <w:t>分）</w:t>
            </w:r>
          </w:p>
        </w:tc>
      </w:tr>
      <w:tr w14:paraId="590009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1259" w:hRule="atLeast"/>
          <w:jc w:val="center"/>
        </w:trPr>
        <w:tc>
          <w:tcPr>
            <w:tcW w:w="676" w:type="dxa"/>
            <w:vMerge w:val="continue"/>
            <w:tcBorders>
              <w:top w:val="single" w:color="auto" w:sz="4" w:space="0"/>
              <w:right w:val="single" w:color="auto" w:sz="4" w:space="0"/>
            </w:tcBorders>
            <w:noWrap w:val="0"/>
            <w:vAlign w:val="center"/>
          </w:tcPr>
          <w:p w14:paraId="4B7DC556">
            <w:pPr>
              <w:snapToGrid w:val="0"/>
              <w:ind w:left="-53" w:leftChars="-25" w:right="-53" w:rightChars="-25"/>
              <w:rPr>
                <w:rFonts w:hint="eastAsia" w:ascii="宋体" w:hAnsi="宋体" w:cs="宋体"/>
                <w:szCs w:val="21"/>
              </w:rPr>
            </w:pPr>
          </w:p>
        </w:tc>
        <w:tc>
          <w:tcPr>
            <w:tcW w:w="1005" w:type="dxa"/>
            <w:vMerge w:val="continue"/>
            <w:tcBorders>
              <w:top w:val="single" w:color="auto" w:sz="4" w:space="0"/>
              <w:right w:val="single" w:color="auto" w:sz="4" w:space="0"/>
            </w:tcBorders>
            <w:noWrap w:val="0"/>
            <w:vAlign w:val="center"/>
          </w:tcPr>
          <w:p w14:paraId="28C5C0A0">
            <w:pPr>
              <w:snapToGrid w:val="0"/>
              <w:ind w:left="-53" w:leftChars="-25" w:right="-53" w:rightChars="-25"/>
              <w:jc w:val="center"/>
              <w:rPr>
                <w:rFonts w:hint="eastAsia" w:ascii="宋体" w:hAnsi="宋体" w:cs="宋体"/>
                <w:szCs w:val="21"/>
              </w:rPr>
            </w:pPr>
          </w:p>
        </w:tc>
        <w:tc>
          <w:tcPr>
            <w:tcW w:w="966" w:type="dxa"/>
            <w:vMerge w:val="continue"/>
            <w:tcBorders>
              <w:top w:val="single" w:color="auto" w:sz="4" w:space="0"/>
              <w:left w:val="single" w:color="auto" w:sz="4" w:space="0"/>
              <w:right w:val="single" w:color="auto" w:sz="4" w:space="0"/>
            </w:tcBorders>
            <w:noWrap w:val="0"/>
            <w:vAlign w:val="center"/>
          </w:tcPr>
          <w:p w14:paraId="783047C3">
            <w:pPr>
              <w:snapToGrid w:val="0"/>
              <w:ind w:left="-53" w:leftChars="-25" w:right="-53" w:rightChars="-25"/>
              <w:jc w:val="center"/>
              <w:rPr>
                <w:rFonts w:hint="eastAsia" w:ascii="宋体" w:hAnsi="宋体" w:cs="宋体"/>
              </w:rPr>
            </w:pPr>
          </w:p>
        </w:tc>
        <w:tc>
          <w:tcPr>
            <w:tcW w:w="1459" w:type="dxa"/>
            <w:vMerge w:val="continue"/>
            <w:tcBorders>
              <w:left w:val="single" w:color="auto" w:sz="4" w:space="0"/>
              <w:right w:val="single" w:color="auto" w:sz="4" w:space="0"/>
            </w:tcBorders>
            <w:noWrap w:val="0"/>
            <w:vAlign w:val="center"/>
          </w:tcPr>
          <w:p w14:paraId="5306D179">
            <w:pPr>
              <w:snapToGrid w:val="0"/>
              <w:ind w:left="-53" w:leftChars="-25" w:right="-53" w:rightChars="-25"/>
              <w:jc w:val="center"/>
              <w:rPr>
                <w:rFonts w:hint="eastAsia" w:ascii="宋体" w:hAnsi="宋体" w:cs="宋体"/>
              </w:rPr>
            </w:pPr>
          </w:p>
        </w:tc>
        <w:tc>
          <w:tcPr>
            <w:tcW w:w="5721" w:type="dxa"/>
            <w:tcBorders>
              <w:top w:val="single" w:color="auto" w:sz="4" w:space="0"/>
              <w:left w:val="single" w:color="auto" w:sz="4" w:space="0"/>
              <w:bottom w:val="single" w:color="auto" w:sz="4" w:space="0"/>
              <w:right w:val="single" w:color="auto" w:sz="4" w:space="0"/>
            </w:tcBorders>
            <w:noWrap w:val="0"/>
            <w:vAlign w:val="center"/>
          </w:tcPr>
          <w:p w14:paraId="5F1A2E76">
            <w:pPr>
              <w:snapToGrid w:val="0"/>
              <w:rPr>
                <w:rFonts w:hint="eastAsia" w:ascii="宋体" w:hAnsi="宋体"/>
                <w:b/>
                <w:bCs/>
                <w:color w:val="000000"/>
                <w:szCs w:val="21"/>
              </w:rPr>
            </w:pPr>
            <w:r>
              <w:rPr>
                <w:rFonts w:hint="eastAsia" w:ascii="宋体" w:hAnsi="宋体"/>
                <w:color w:val="000000"/>
                <w:szCs w:val="21"/>
              </w:rPr>
              <w:t>设计业绩：投标人（若为联合体，指联合体设计方）自</w:t>
            </w:r>
            <w:r>
              <w:rPr>
                <w:rFonts w:hint="eastAsia" w:ascii="宋体" w:hAnsi="宋体"/>
                <w:color w:val="000000"/>
                <w:szCs w:val="21"/>
                <w:lang w:val="en-US" w:eastAsia="zh-CN"/>
              </w:rPr>
              <w:t>2019</w:t>
            </w:r>
            <w:r>
              <w:rPr>
                <w:rFonts w:hint="eastAsia" w:ascii="宋体" w:hAnsi="宋体"/>
                <w:color w:val="000000"/>
                <w:szCs w:val="21"/>
              </w:rPr>
              <w:t>年1月1日至投标截止，承接过总建筑面积</w:t>
            </w:r>
            <w:r>
              <w:rPr>
                <w:rFonts w:hint="eastAsia" w:ascii="宋体" w:hAnsi="宋体"/>
                <w:color w:val="000000"/>
                <w:szCs w:val="21"/>
                <w:lang w:val="en-US" w:eastAsia="zh-CN"/>
              </w:rPr>
              <w:t>1</w:t>
            </w:r>
            <w:r>
              <w:rPr>
                <w:rFonts w:hint="eastAsia" w:ascii="宋体" w:hAnsi="宋体"/>
                <w:color w:val="000000"/>
                <w:szCs w:val="21"/>
              </w:rPr>
              <w:t>万平方米或以上的类似工程项目中的设计部分业绩（类似工程是指公共建筑类工程项目），每项得</w:t>
            </w:r>
            <w:r>
              <w:rPr>
                <w:rFonts w:hint="eastAsia" w:ascii="宋体" w:hAnsi="宋体"/>
                <w:color w:val="000000"/>
                <w:szCs w:val="21"/>
                <w:lang w:val="en-US" w:eastAsia="zh-CN"/>
              </w:rPr>
              <w:t>0.5</w:t>
            </w:r>
            <w:r>
              <w:rPr>
                <w:rFonts w:hint="eastAsia" w:ascii="宋体" w:hAnsi="宋体"/>
                <w:color w:val="000000"/>
                <w:szCs w:val="21"/>
              </w:rPr>
              <w:t>分。（本项最高得</w:t>
            </w:r>
            <w:r>
              <w:rPr>
                <w:rFonts w:hint="eastAsia" w:ascii="宋体" w:hAnsi="宋体"/>
                <w:color w:val="000000"/>
                <w:szCs w:val="21"/>
                <w:lang w:val="en-US" w:eastAsia="zh-CN"/>
              </w:rPr>
              <w:t>2</w:t>
            </w:r>
            <w:r>
              <w:rPr>
                <w:rFonts w:hint="eastAsia" w:ascii="宋体" w:hAnsi="宋体"/>
                <w:color w:val="000000"/>
                <w:szCs w:val="21"/>
              </w:rPr>
              <w:t>分）</w:t>
            </w:r>
          </w:p>
        </w:tc>
      </w:tr>
      <w:tr w14:paraId="1B6F0F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noWrap w:val="0"/>
            <w:vAlign w:val="center"/>
          </w:tcPr>
          <w:p w14:paraId="678828DD">
            <w:pPr>
              <w:snapToGrid w:val="0"/>
              <w:ind w:left="-53" w:leftChars="-25" w:right="-53" w:rightChars="-25"/>
              <w:rPr>
                <w:rFonts w:hint="eastAsia" w:ascii="宋体" w:hAnsi="宋体" w:cs="宋体"/>
                <w:szCs w:val="21"/>
              </w:rPr>
            </w:pPr>
          </w:p>
        </w:tc>
        <w:tc>
          <w:tcPr>
            <w:tcW w:w="1005" w:type="dxa"/>
            <w:vMerge w:val="continue"/>
            <w:tcBorders>
              <w:right w:val="single" w:color="auto" w:sz="4" w:space="0"/>
            </w:tcBorders>
            <w:noWrap w:val="0"/>
            <w:vAlign w:val="center"/>
          </w:tcPr>
          <w:p w14:paraId="01B96DCE">
            <w:pPr>
              <w:snapToGrid w:val="0"/>
              <w:ind w:left="-53" w:leftChars="-25" w:right="-53" w:rightChars="-25"/>
              <w:jc w:val="center"/>
              <w:rPr>
                <w:rFonts w:hint="eastAsia" w:ascii="宋体" w:hAnsi="宋体" w:cs="宋体"/>
                <w:szCs w:val="21"/>
              </w:rPr>
            </w:pPr>
          </w:p>
        </w:tc>
        <w:tc>
          <w:tcPr>
            <w:tcW w:w="966" w:type="dxa"/>
            <w:vMerge w:val="continue"/>
            <w:tcBorders>
              <w:left w:val="single" w:color="auto" w:sz="4" w:space="0"/>
              <w:right w:val="single" w:color="auto" w:sz="4" w:space="0"/>
            </w:tcBorders>
            <w:noWrap w:val="0"/>
            <w:vAlign w:val="center"/>
          </w:tcPr>
          <w:p w14:paraId="74504C13">
            <w:pPr>
              <w:snapToGrid w:val="0"/>
              <w:ind w:left="-53" w:leftChars="-25" w:right="-53" w:rightChars="-25"/>
              <w:jc w:val="center"/>
              <w:rPr>
                <w:rFonts w:hint="eastAsia" w:ascii="宋体" w:hAnsi="宋体" w:cs="宋体"/>
              </w:rPr>
            </w:pPr>
          </w:p>
        </w:tc>
        <w:tc>
          <w:tcPr>
            <w:tcW w:w="1459" w:type="dxa"/>
            <w:tcBorders>
              <w:top w:val="single" w:color="auto" w:sz="4" w:space="0"/>
              <w:left w:val="single" w:color="auto" w:sz="4" w:space="0"/>
              <w:right w:val="single" w:color="auto" w:sz="4" w:space="0"/>
            </w:tcBorders>
            <w:noWrap w:val="0"/>
            <w:vAlign w:val="center"/>
          </w:tcPr>
          <w:p w14:paraId="1A11DB45">
            <w:pPr>
              <w:snapToGrid w:val="0"/>
              <w:ind w:left="-53" w:leftChars="-25" w:right="-53" w:rightChars="-25"/>
              <w:jc w:val="center"/>
              <w:rPr>
                <w:rFonts w:hint="eastAsia" w:ascii="宋体" w:hAnsi="宋体" w:cs="宋体"/>
              </w:rPr>
            </w:pPr>
            <w:r>
              <w:rPr>
                <w:rFonts w:hint="eastAsia" w:ascii="宋体" w:hAnsi="宋体" w:cs="宋体"/>
              </w:rPr>
              <w:t>工程获奖</w:t>
            </w:r>
          </w:p>
          <w:p w14:paraId="4B293ADD">
            <w:pPr>
              <w:snapToGrid w:val="0"/>
              <w:ind w:left="-53" w:leftChars="-25" w:right="-53" w:rightChars="-25"/>
              <w:jc w:val="center"/>
              <w:rPr>
                <w:rFonts w:hint="eastAsia" w:ascii="宋体" w:hAnsi="宋体" w:cs="宋体"/>
              </w:rPr>
            </w:pPr>
            <w:r>
              <w:rPr>
                <w:rFonts w:hint="eastAsia" w:ascii="宋体" w:hAnsi="宋体" w:cs="宋体"/>
              </w:rPr>
              <w:t>（</w:t>
            </w:r>
            <w:r>
              <w:rPr>
                <w:rFonts w:hint="eastAsia" w:ascii="宋体" w:hAnsi="宋体" w:cs="宋体"/>
                <w:lang w:val="en-US" w:eastAsia="zh-CN"/>
              </w:rPr>
              <w:t>3</w:t>
            </w:r>
            <w:r>
              <w:rPr>
                <w:rFonts w:hint="eastAsia" w:ascii="宋体" w:hAnsi="宋体" w:cs="宋体"/>
              </w:rPr>
              <w:t>分）</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08FD4D48">
            <w:pPr>
              <w:snapToGrid w:val="0"/>
              <w:rPr>
                <w:rFonts w:hint="eastAsia" w:ascii="宋体" w:hAnsi="宋体"/>
                <w:color w:val="000000"/>
                <w:szCs w:val="21"/>
              </w:rPr>
            </w:pPr>
            <w:r>
              <w:rPr>
                <w:rFonts w:hint="eastAsia" w:ascii="宋体" w:hAnsi="宋体"/>
                <w:color w:val="000000"/>
                <w:szCs w:val="21"/>
              </w:rPr>
              <w:t>投标人（若为联合体，指联合体</w:t>
            </w:r>
            <w:r>
              <w:rPr>
                <w:rFonts w:hint="eastAsia" w:ascii="宋体" w:hAnsi="宋体"/>
                <w:color w:val="000000"/>
                <w:szCs w:val="21"/>
                <w:lang w:eastAsia="zh-CN"/>
              </w:rPr>
              <w:t>主办方</w:t>
            </w:r>
            <w:r>
              <w:rPr>
                <w:rFonts w:hint="eastAsia" w:ascii="宋体" w:hAnsi="宋体"/>
                <w:color w:val="000000"/>
                <w:szCs w:val="21"/>
              </w:rPr>
              <w:t>）自</w:t>
            </w:r>
            <w:r>
              <w:rPr>
                <w:rFonts w:hint="eastAsia" w:ascii="宋体" w:hAnsi="宋体"/>
                <w:color w:val="000000"/>
                <w:szCs w:val="21"/>
                <w:lang w:val="en-US" w:eastAsia="zh-CN"/>
              </w:rPr>
              <w:t>2019</w:t>
            </w:r>
            <w:r>
              <w:rPr>
                <w:rFonts w:hint="eastAsia" w:ascii="宋体" w:hAnsi="宋体"/>
                <w:color w:val="000000"/>
                <w:szCs w:val="21"/>
              </w:rPr>
              <w:t>年1月1日至投标截止，完成过的建筑工程类（含建筑装饰类）项目获得工程质量奖项的：国家级奖项，每项得</w:t>
            </w:r>
            <w:r>
              <w:rPr>
                <w:rFonts w:hint="eastAsia" w:ascii="宋体" w:hAnsi="宋体"/>
                <w:color w:val="000000"/>
                <w:szCs w:val="21"/>
                <w:lang w:val="en-US" w:eastAsia="zh-CN"/>
              </w:rPr>
              <w:t>1.5</w:t>
            </w:r>
            <w:r>
              <w:rPr>
                <w:rFonts w:hint="eastAsia" w:ascii="宋体" w:hAnsi="宋体"/>
                <w:color w:val="000000"/>
                <w:szCs w:val="21"/>
              </w:rPr>
              <w:t>分；省级奖项，每项得</w:t>
            </w:r>
            <w:r>
              <w:rPr>
                <w:rFonts w:hint="eastAsia" w:ascii="宋体" w:hAnsi="宋体"/>
                <w:color w:val="000000"/>
                <w:szCs w:val="21"/>
                <w:lang w:val="en-US" w:eastAsia="zh-CN"/>
              </w:rPr>
              <w:t>0.6</w:t>
            </w:r>
            <w:r>
              <w:rPr>
                <w:rFonts w:hint="eastAsia" w:ascii="宋体" w:hAnsi="宋体"/>
                <w:color w:val="000000"/>
                <w:szCs w:val="21"/>
              </w:rPr>
              <w:t>分；市级奖项，每项得</w:t>
            </w:r>
            <w:r>
              <w:rPr>
                <w:rFonts w:hint="eastAsia" w:ascii="宋体" w:hAnsi="宋体"/>
                <w:color w:val="000000"/>
                <w:szCs w:val="21"/>
                <w:lang w:val="en-US" w:eastAsia="zh-CN"/>
              </w:rPr>
              <w:t>0.3</w:t>
            </w:r>
            <w:r>
              <w:rPr>
                <w:rFonts w:hint="eastAsia" w:ascii="宋体" w:hAnsi="宋体"/>
                <w:color w:val="000000"/>
                <w:szCs w:val="21"/>
              </w:rPr>
              <w:t>分。（本项最高得</w:t>
            </w:r>
            <w:r>
              <w:rPr>
                <w:rFonts w:hint="eastAsia" w:ascii="宋体" w:hAnsi="宋体"/>
                <w:color w:val="000000"/>
                <w:szCs w:val="21"/>
                <w:lang w:val="en-US" w:eastAsia="zh-CN"/>
              </w:rPr>
              <w:t>3</w:t>
            </w:r>
            <w:r>
              <w:rPr>
                <w:rFonts w:hint="eastAsia" w:ascii="宋体" w:hAnsi="宋体"/>
                <w:color w:val="000000"/>
                <w:szCs w:val="21"/>
              </w:rPr>
              <w:t>分）</w:t>
            </w:r>
          </w:p>
        </w:tc>
      </w:tr>
      <w:tr w14:paraId="62C015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1452" w:hRule="atLeast"/>
          <w:jc w:val="center"/>
        </w:trPr>
        <w:tc>
          <w:tcPr>
            <w:tcW w:w="676" w:type="dxa"/>
            <w:vMerge w:val="continue"/>
            <w:tcBorders>
              <w:right w:val="single" w:color="auto" w:sz="4" w:space="0"/>
            </w:tcBorders>
            <w:noWrap w:val="0"/>
            <w:vAlign w:val="center"/>
          </w:tcPr>
          <w:p w14:paraId="3D0FA397">
            <w:pPr>
              <w:snapToGrid w:val="0"/>
              <w:ind w:left="-53" w:leftChars="-25" w:right="-53" w:rightChars="-25"/>
              <w:rPr>
                <w:rFonts w:hint="eastAsia" w:ascii="宋体" w:hAnsi="宋体" w:cs="宋体"/>
              </w:rPr>
            </w:pPr>
          </w:p>
        </w:tc>
        <w:tc>
          <w:tcPr>
            <w:tcW w:w="1005" w:type="dxa"/>
            <w:vMerge w:val="continue"/>
            <w:tcBorders>
              <w:right w:val="single" w:color="auto" w:sz="4" w:space="0"/>
            </w:tcBorders>
            <w:noWrap w:val="0"/>
            <w:vAlign w:val="top"/>
          </w:tcPr>
          <w:p w14:paraId="5DA69CFE">
            <w:pPr>
              <w:snapToGrid w:val="0"/>
              <w:ind w:left="-53" w:leftChars="-25" w:right="-53" w:rightChars="-25"/>
              <w:jc w:val="center"/>
              <w:rPr>
                <w:rFonts w:hint="eastAsia" w:ascii="宋体" w:hAnsi="宋体" w:cs="宋体"/>
              </w:rPr>
            </w:pPr>
          </w:p>
        </w:tc>
        <w:tc>
          <w:tcPr>
            <w:tcW w:w="966" w:type="dxa"/>
            <w:vMerge w:val="continue"/>
            <w:tcBorders>
              <w:left w:val="single" w:color="auto" w:sz="4" w:space="0"/>
              <w:right w:val="single" w:color="auto" w:sz="4" w:space="0"/>
            </w:tcBorders>
            <w:noWrap w:val="0"/>
            <w:vAlign w:val="center"/>
          </w:tcPr>
          <w:p w14:paraId="05087B2F">
            <w:pPr>
              <w:snapToGrid w:val="0"/>
              <w:jc w:val="center"/>
              <w:rPr>
                <w:rFonts w:hint="eastAsia" w:ascii="宋体" w:hAnsi="宋体" w:cs="宋体"/>
              </w:rPr>
            </w:pPr>
          </w:p>
        </w:tc>
        <w:tc>
          <w:tcPr>
            <w:tcW w:w="1459" w:type="dxa"/>
            <w:tcBorders>
              <w:top w:val="single" w:color="auto" w:sz="4" w:space="0"/>
              <w:left w:val="single" w:color="auto" w:sz="4" w:space="0"/>
              <w:right w:val="single" w:color="auto" w:sz="4" w:space="0"/>
            </w:tcBorders>
            <w:noWrap w:val="0"/>
            <w:vAlign w:val="center"/>
          </w:tcPr>
          <w:p w14:paraId="6804AFD3">
            <w:pPr>
              <w:snapToGrid w:val="0"/>
              <w:ind w:left="-53" w:leftChars="-25" w:right="-53" w:rightChars="-25"/>
              <w:jc w:val="center"/>
              <w:rPr>
                <w:rFonts w:hint="eastAsia" w:ascii="宋体" w:hAnsi="宋体" w:cs="宋体"/>
              </w:rPr>
            </w:pPr>
            <w:r>
              <w:rPr>
                <w:rFonts w:hint="eastAsia" w:ascii="宋体" w:hAnsi="宋体"/>
                <w:kern w:val="0"/>
                <w:szCs w:val="21"/>
              </w:rPr>
              <w:t>工程研发能力</w:t>
            </w:r>
          </w:p>
          <w:p w14:paraId="5C30736A">
            <w:pPr>
              <w:snapToGrid w:val="0"/>
              <w:ind w:left="-53" w:leftChars="-25" w:right="-53" w:rightChars="-25"/>
              <w:jc w:val="center"/>
              <w:rPr>
                <w:rFonts w:hint="eastAsia" w:ascii="宋体" w:hAnsi="宋体" w:cs="宋体"/>
              </w:rPr>
            </w:pPr>
            <w:r>
              <w:rPr>
                <w:rFonts w:hint="eastAsia" w:ascii="宋体" w:hAnsi="宋体" w:cs="宋体"/>
              </w:rPr>
              <w:t>（</w:t>
            </w:r>
            <w:r>
              <w:rPr>
                <w:rFonts w:hint="eastAsia" w:ascii="宋体" w:hAnsi="宋体" w:cs="宋体"/>
                <w:lang w:val="en-US" w:eastAsia="zh-CN"/>
              </w:rPr>
              <w:t>2</w:t>
            </w:r>
            <w:r>
              <w:rPr>
                <w:rFonts w:hint="eastAsia" w:ascii="宋体" w:hAnsi="宋体" w:cs="宋体"/>
              </w:rPr>
              <w:t>分）</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540B3241">
            <w:pPr>
              <w:snapToGrid w:val="0"/>
              <w:spacing w:afterLines="25"/>
              <w:rPr>
                <w:rFonts w:ascii="宋体" w:hAnsi="宋体"/>
                <w:color w:val="000000"/>
                <w:szCs w:val="21"/>
              </w:rPr>
            </w:pPr>
            <w:r>
              <w:rPr>
                <w:rFonts w:hint="eastAsia" w:ascii="宋体" w:hAnsi="宋体"/>
                <w:color w:val="000000"/>
                <w:szCs w:val="21"/>
              </w:rPr>
              <w:t>投标人（若为联合体，指联合体</w:t>
            </w:r>
            <w:r>
              <w:rPr>
                <w:rFonts w:hint="eastAsia" w:ascii="宋体" w:hAnsi="宋体"/>
                <w:color w:val="000000"/>
                <w:szCs w:val="21"/>
                <w:lang w:eastAsia="zh-CN"/>
              </w:rPr>
              <w:t>主办方</w:t>
            </w:r>
            <w:r>
              <w:rPr>
                <w:rFonts w:hint="eastAsia" w:ascii="宋体" w:hAnsi="宋体"/>
                <w:color w:val="000000"/>
                <w:szCs w:val="21"/>
              </w:rPr>
              <w:t>）自</w:t>
            </w:r>
            <w:r>
              <w:rPr>
                <w:rFonts w:hint="eastAsia" w:ascii="宋体" w:hAnsi="宋体"/>
                <w:color w:val="000000"/>
                <w:szCs w:val="21"/>
                <w:lang w:val="en-US" w:eastAsia="zh-CN"/>
              </w:rPr>
              <w:t>2019</w:t>
            </w:r>
            <w:r>
              <w:rPr>
                <w:rFonts w:hint="eastAsia" w:ascii="宋体" w:hAnsi="宋体"/>
                <w:color w:val="000000"/>
                <w:szCs w:val="21"/>
              </w:rPr>
              <w:t>年1月1日至投标截止，获得过国家版权局的工程建设类计算机软件著作权登记证书情况：</w:t>
            </w:r>
          </w:p>
          <w:p w14:paraId="002CAAF3">
            <w:pPr>
              <w:snapToGrid w:val="0"/>
              <w:rPr>
                <w:rFonts w:ascii="宋体" w:hAnsi="宋体"/>
                <w:bCs/>
                <w:color w:val="000000"/>
                <w:szCs w:val="21"/>
              </w:rPr>
            </w:pPr>
            <w:r>
              <w:rPr>
                <w:rFonts w:hint="eastAsia" w:ascii="宋体" w:hAnsi="宋体"/>
                <w:b/>
                <w:bCs/>
                <w:color w:val="000000"/>
                <w:szCs w:val="21"/>
              </w:rPr>
              <w:t>[优]</w:t>
            </w:r>
            <w:r>
              <w:rPr>
                <w:rFonts w:hint="eastAsia" w:ascii="宋体" w:hAnsi="宋体"/>
                <w:bCs/>
                <w:color w:val="000000"/>
                <w:szCs w:val="21"/>
              </w:rPr>
              <w:t xml:space="preserve"> 累计获得</w:t>
            </w:r>
            <w:r>
              <w:rPr>
                <w:rFonts w:hint="eastAsia" w:ascii="宋体" w:hAnsi="宋体"/>
                <w:bCs/>
                <w:color w:val="000000"/>
                <w:szCs w:val="21"/>
                <w:lang w:val="en-US" w:eastAsia="zh-CN"/>
              </w:rPr>
              <w:t>10</w:t>
            </w:r>
            <w:r>
              <w:rPr>
                <w:rFonts w:hint="eastAsia" w:ascii="宋体" w:hAnsi="宋体"/>
                <w:bCs/>
                <w:color w:val="000000"/>
                <w:szCs w:val="21"/>
              </w:rPr>
              <w:t>项或以上的，得</w:t>
            </w:r>
            <w:r>
              <w:rPr>
                <w:rFonts w:hint="eastAsia" w:ascii="宋体" w:hAnsi="宋体"/>
                <w:bCs/>
                <w:color w:val="000000"/>
                <w:szCs w:val="21"/>
                <w:lang w:val="en-US" w:eastAsia="zh-CN"/>
              </w:rPr>
              <w:t>2</w:t>
            </w:r>
            <w:r>
              <w:rPr>
                <w:rFonts w:hint="eastAsia" w:ascii="宋体" w:hAnsi="宋体"/>
                <w:bCs/>
                <w:color w:val="000000"/>
                <w:szCs w:val="21"/>
              </w:rPr>
              <w:t>分；</w:t>
            </w:r>
          </w:p>
          <w:p w14:paraId="35A0EB4B">
            <w:pPr>
              <w:snapToGrid w:val="0"/>
              <w:rPr>
                <w:rFonts w:ascii="宋体" w:hAnsi="宋体"/>
                <w:bCs/>
                <w:color w:val="000000"/>
                <w:szCs w:val="21"/>
              </w:rPr>
            </w:pPr>
            <w:r>
              <w:rPr>
                <w:rFonts w:hint="eastAsia" w:ascii="宋体" w:hAnsi="宋体"/>
                <w:b/>
                <w:bCs/>
                <w:color w:val="000000"/>
                <w:szCs w:val="21"/>
              </w:rPr>
              <w:t>[良]</w:t>
            </w:r>
            <w:r>
              <w:rPr>
                <w:rFonts w:hint="eastAsia" w:ascii="宋体" w:hAnsi="宋体"/>
                <w:bCs/>
                <w:color w:val="000000"/>
                <w:szCs w:val="21"/>
              </w:rPr>
              <w:t xml:space="preserve"> 累计获得</w:t>
            </w:r>
            <w:r>
              <w:rPr>
                <w:rFonts w:hint="eastAsia" w:ascii="宋体" w:hAnsi="宋体"/>
                <w:bCs/>
                <w:color w:val="000000"/>
                <w:szCs w:val="21"/>
                <w:lang w:val="en-US" w:eastAsia="zh-CN"/>
              </w:rPr>
              <w:t>7</w:t>
            </w:r>
            <w:r>
              <w:rPr>
                <w:rFonts w:hint="eastAsia" w:ascii="宋体" w:hAnsi="宋体"/>
                <w:bCs/>
                <w:color w:val="000000"/>
                <w:szCs w:val="21"/>
              </w:rPr>
              <w:t>～</w:t>
            </w:r>
            <w:r>
              <w:rPr>
                <w:rFonts w:hint="eastAsia" w:ascii="宋体" w:hAnsi="宋体"/>
                <w:bCs/>
                <w:color w:val="000000"/>
                <w:szCs w:val="21"/>
                <w:lang w:val="en-US" w:eastAsia="zh-CN"/>
              </w:rPr>
              <w:t>9</w:t>
            </w:r>
            <w:r>
              <w:rPr>
                <w:rFonts w:hint="eastAsia" w:ascii="宋体" w:hAnsi="宋体"/>
                <w:bCs/>
                <w:color w:val="000000"/>
                <w:szCs w:val="21"/>
              </w:rPr>
              <w:t>项的，得</w:t>
            </w:r>
            <w:r>
              <w:rPr>
                <w:rFonts w:hint="eastAsia" w:ascii="宋体" w:hAnsi="宋体"/>
                <w:bCs/>
                <w:color w:val="000000"/>
                <w:szCs w:val="21"/>
                <w:lang w:val="en-US" w:eastAsia="zh-CN"/>
              </w:rPr>
              <w:t>1.2</w:t>
            </w:r>
            <w:r>
              <w:rPr>
                <w:rFonts w:hint="eastAsia" w:ascii="宋体" w:hAnsi="宋体"/>
                <w:bCs/>
                <w:color w:val="000000"/>
                <w:szCs w:val="21"/>
              </w:rPr>
              <w:t>分；</w:t>
            </w:r>
          </w:p>
          <w:p w14:paraId="67162910">
            <w:pPr>
              <w:snapToGrid w:val="0"/>
              <w:rPr>
                <w:rFonts w:ascii="宋体" w:hAnsi="宋体"/>
                <w:bCs/>
                <w:color w:val="000000"/>
                <w:szCs w:val="21"/>
              </w:rPr>
            </w:pPr>
            <w:r>
              <w:rPr>
                <w:rFonts w:hint="eastAsia" w:ascii="宋体" w:hAnsi="宋体"/>
                <w:b/>
                <w:bCs/>
                <w:color w:val="000000"/>
                <w:szCs w:val="21"/>
              </w:rPr>
              <w:t>[中]</w:t>
            </w:r>
            <w:r>
              <w:rPr>
                <w:rFonts w:hint="eastAsia" w:ascii="宋体" w:hAnsi="宋体"/>
                <w:bCs/>
                <w:color w:val="000000"/>
                <w:szCs w:val="21"/>
              </w:rPr>
              <w:t xml:space="preserve"> 累计获得</w:t>
            </w:r>
            <w:r>
              <w:rPr>
                <w:rFonts w:hint="eastAsia" w:ascii="宋体" w:hAnsi="宋体"/>
                <w:bCs/>
                <w:color w:val="000000"/>
                <w:szCs w:val="21"/>
                <w:lang w:val="en-US" w:eastAsia="zh-CN"/>
              </w:rPr>
              <w:t>4</w:t>
            </w:r>
            <w:r>
              <w:rPr>
                <w:rFonts w:hint="eastAsia" w:ascii="宋体" w:hAnsi="宋体"/>
                <w:bCs/>
                <w:color w:val="000000"/>
                <w:szCs w:val="21"/>
              </w:rPr>
              <w:t>～</w:t>
            </w:r>
            <w:r>
              <w:rPr>
                <w:rFonts w:hint="eastAsia" w:ascii="宋体" w:hAnsi="宋体"/>
                <w:bCs/>
                <w:color w:val="000000"/>
                <w:szCs w:val="21"/>
                <w:lang w:val="en-US" w:eastAsia="zh-CN"/>
              </w:rPr>
              <w:t>6</w:t>
            </w:r>
            <w:r>
              <w:rPr>
                <w:rFonts w:hint="eastAsia" w:ascii="宋体" w:hAnsi="宋体"/>
                <w:bCs/>
                <w:color w:val="000000"/>
                <w:szCs w:val="21"/>
              </w:rPr>
              <w:t>项的，得</w:t>
            </w:r>
            <w:r>
              <w:rPr>
                <w:rFonts w:hint="eastAsia" w:ascii="宋体" w:hAnsi="宋体"/>
                <w:bCs/>
                <w:color w:val="000000"/>
                <w:szCs w:val="21"/>
                <w:lang w:val="en-US" w:eastAsia="zh-CN"/>
              </w:rPr>
              <w:t>1</w:t>
            </w:r>
            <w:r>
              <w:rPr>
                <w:rFonts w:hint="eastAsia" w:ascii="宋体" w:hAnsi="宋体"/>
                <w:bCs/>
                <w:color w:val="000000"/>
                <w:szCs w:val="21"/>
              </w:rPr>
              <w:t>分；</w:t>
            </w:r>
          </w:p>
          <w:p w14:paraId="249348E2">
            <w:pPr>
              <w:snapToGrid w:val="0"/>
              <w:rPr>
                <w:rFonts w:hint="eastAsia" w:ascii="宋体" w:hAnsi="宋体"/>
                <w:color w:val="000000"/>
                <w:szCs w:val="21"/>
              </w:rPr>
            </w:pPr>
            <w:r>
              <w:rPr>
                <w:rFonts w:hint="eastAsia" w:ascii="宋体" w:hAnsi="宋体"/>
                <w:b/>
                <w:bCs/>
                <w:color w:val="000000"/>
                <w:szCs w:val="21"/>
              </w:rPr>
              <w:t>[差]</w:t>
            </w:r>
            <w:r>
              <w:rPr>
                <w:rFonts w:hint="eastAsia" w:ascii="宋体" w:hAnsi="宋体"/>
                <w:bCs/>
                <w:color w:val="000000"/>
                <w:szCs w:val="21"/>
              </w:rPr>
              <w:t xml:space="preserve"> 累计获得1～</w:t>
            </w:r>
            <w:r>
              <w:rPr>
                <w:rFonts w:hint="eastAsia" w:ascii="宋体" w:hAnsi="宋体"/>
                <w:bCs/>
                <w:color w:val="000000"/>
                <w:szCs w:val="21"/>
                <w:lang w:val="en-US" w:eastAsia="zh-CN"/>
              </w:rPr>
              <w:t>3</w:t>
            </w:r>
            <w:r>
              <w:rPr>
                <w:rFonts w:hint="eastAsia" w:ascii="宋体" w:hAnsi="宋体"/>
                <w:bCs/>
                <w:color w:val="000000"/>
                <w:szCs w:val="21"/>
              </w:rPr>
              <w:t>项的，得</w:t>
            </w:r>
            <w:r>
              <w:rPr>
                <w:rFonts w:hint="eastAsia" w:ascii="宋体" w:hAnsi="宋体"/>
                <w:bCs/>
                <w:color w:val="000000"/>
                <w:szCs w:val="21"/>
                <w:lang w:val="en-US" w:eastAsia="zh-CN"/>
              </w:rPr>
              <w:t>0.5</w:t>
            </w:r>
            <w:r>
              <w:rPr>
                <w:rFonts w:hint="eastAsia" w:ascii="宋体" w:hAnsi="宋体"/>
                <w:bCs/>
                <w:color w:val="000000"/>
                <w:szCs w:val="21"/>
              </w:rPr>
              <w:t>分。</w:t>
            </w:r>
          </w:p>
        </w:tc>
      </w:tr>
      <w:tr w14:paraId="5E15CE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247" w:hRule="atLeast"/>
          <w:jc w:val="center"/>
        </w:trPr>
        <w:tc>
          <w:tcPr>
            <w:tcW w:w="676" w:type="dxa"/>
            <w:vMerge w:val="continue"/>
            <w:tcBorders>
              <w:right w:val="single" w:color="auto" w:sz="4" w:space="0"/>
            </w:tcBorders>
            <w:noWrap w:val="0"/>
            <w:vAlign w:val="center"/>
          </w:tcPr>
          <w:p w14:paraId="1302D0DA">
            <w:pPr>
              <w:snapToGrid w:val="0"/>
              <w:ind w:left="-53" w:leftChars="-25" w:right="-53" w:rightChars="-25"/>
              <w:rPr>
                <w:rFonts w:hint="eastAsia" w:ascii="宋体" w:hAnsi="宋体" w:cs="宋体"/>
              </w:rPr>
            </w:pPr>
          </w:p>
        </w:tc>
        <w:tc>
          <w:tcPr>
            <w:tcW w:w="1005" w:type="dxa"/>
            <w:vMerge w:val="continue"/>
            <w:tcBorders>
              <w:right w:val="single" w:color="auto" w:sz="4" w:space="0"/>
            </w:tcBorders>
            <w:noWrap w:val="0"/>
            <w:vAlign w:val="top"/>
          </w:tcPr>
          <w:p w14:paraId="40A05613">
            <w:pPr>
              <w:snapToGrid w:val="0"/>
              <w:ind w:left="-53" w:leftChars="-25" w:right="-53" w:rightChars="-25"/>
              <w:jc w:val="center"/>
              <w:rPr>
                <w:rFonts w:hint="eastAsia" w:ascii="宋体" w:hAnsi="宋体" w:cs="宋体"/>
              </w:rPr>
            </w:pPr>
          </w:p>
        </w:tc>
        <w:tc>
          <w:tcPr>
            <w:tcW w:w="966" w:type="dxa"/>
            <w:vMerge w:val="continue"/>
            <w:tcBorders>
              <w:left w:val="single" w:color="auto" w:sz="4" w:space="0"/>
              <w:right w:val="single" w:color="auto" w:sz="4" w:space="0"/>
            </w:tcBorders>
            <w:noWrap w:val="0"/>
            <w:vAlign w:val="center"/>
          </w:tcPr>
          <w:p w14:paraId="71F59BBF">
            <w:pPr>
              <w:snapToGrid w:val="0"/>
              <w:jc w:val="center"/>
              <w:rPr>
                <w:rFonts w:hint="eastAsia" w:ascii="宋体" w:hAnsi="宋体" w:cs="宋体"/>
              </w:rPr>
            </w:pPr>
          </w:p>
        </w:tc>
        <w:tc>
          <w:tcPr>
            <w:tcW w:w="1459" w:type="dxa"/>
            <w:tcBorders>
              <w:top w:val="single" w:color="auto" w:sz="4" w:space="0"/>
              <w:left w:val="single" w:color="auto" w:sz="4" w:space="0"/>
              <w:right w:val="single" w:color="auto" w:sz="4" w:space="0"/>
            </w:tcBorders>
            <w:noWrap w:val="0"/>
            <w:vAlign w:val="center"/>
          </w:tcPr>
          <w:p w14:paraId="227258F0">
            <w:pPr>
              <w:snapToGrid w:val="0"/>
              <w:ind w:left="-53" w:leftChars="-25" w:right="-53" w:rightChars="-25"/>
              <w:jc w:val="center"/>
              <w:rPr>
                <w:rFonts w:hint="eastAsia" w:ascii="宋体" w:hAnsi="宋体" w:cs="宋体"/>
              </w:rPr>
            </w:pPr>
            <w:r>
              <w:rPr>
                <w:rFonts w:hint="eastAsia" w:ascii="宋体" w:hAnsi="宋体" w:cs="宋体"/>
              </w:rPr>
              <w:t>第三方评价</w:t>
            </w:r>
          </w:p>
          <w:p w14:paraId="77F00607">
            <w:pPr>
              <w:snapToGrid w:val="0"/>
              <w:ind w:left="-53" w:leftChars="-25" w:right="-53" w:rightChars="-25"/>
              <w:jc w:val="center"/>
              <w:rPr>
                <w:rFonts w:hint="eastAsia" w:ascii="宋体" w:hAnsi="宋体" w:cs="宋体"/>
              </w:rPr>
            </w:pPr>
            <w:r>
              <w:rPr>
                <w:rFonts w:hint="eastAsia" w:ascii="宋体" w:hAnsi="宋体" w:cs="宋体"/>
              </w:rPr>
              <w:t>（</w:t>
            </w:r>
            <w:r>
              <w:rPr>
                <w:rFonts w:hint="eastAsia" w:ascii="宋体" w:hAnsi="宋体" w:cs="宋体"/>
                <w:lang w:val="en-US" w:eastAsia="zh-CN"/>
              </w:rPr>
              <w:t>2</w:t>
            </w:r>
            <w:r>
              <w:rPr>
                <w:rFonts w:hint="eastAsia" w:ascii="宋体" w:hAnsi="宋体" w:cs="宋体"/>
              </w:rPr>
              <w:t>分）</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6A4EA1A5">
            <w:pPr>
              <w:snapToGrid w:val="0"/>
              <w:spacing w:afterLines="25"/>
              <w:rPr>
                <w:rFonts w:ascii="宋体" w:hAnsi="宋体"/>
                <w:szCs w:val="21"/>
              </w:rPr>
            </w:pPr>
            <w:r>
              <w:rPr>
                <w:rFonts w:hint="eastAsia" w:ascii="宋体" w:hAnsi="宋体"/>
                <w:szCs w:val="21"/>
              </w:rPr>
              <w:t>投标人（若为联合体，指联合体</w:t>
            </w:r>
            <w:r>
              <w:rPr>
                <w:rFonts w:hint="eastAsia" w:ascii="宋体" w:hAnsi="宋体"/>
                <w:szCs w:val="21"/>
                <w:lang w:eastAsia="zh-CN"/>
              </w:rPr>
              <w:t>主办方</w:t>
            </w:r>
            <w:r>
              <w:rPr>
                <w:rFonts w:hint="eastAsia" w:ascii="宋体" w:hAnsi="宋体"/>
                <w:szCs w:val="21"/>
              </w:rPr>
              <w:t>）具有有效期内的质量管理体系认证、环境管理体系认证、职业健康安全管理体系认证、工程绿色施工企业评价体系认证情况：</w:t>
            </w:r>
          </w:p>
          <w:p w14:paraId="1D801945">
            <w:pPr>
              <w:snapToGrid w:val="0"/>
              <w:rPr>
                <w:rFonts w:ascii="宋体" w:hAnsi="宋体"/>
                <w:szCs w:val="21"/>
              </w:rPr>
            </w:pPr>
            <w:r>
              <w:rPr>
                <w:rFonts w:hint="eastAsia" w:ascii="宋体" w:hAnsi="宋体"/>
                <w:szCs w:val="21"/>
              </w:rPr>
              <w:t>[优] 获得4项的，得</w:t>
            </w:r>
            <w:r>
              <w:rPr>
                <w:rFonts w:hint="eastAsia" w:ascii="宋体" w:hAnsi="宋体"/>
                <w:szCs w:val="21"/>
                <w:lang w:val="en-US" w:eastAsia="zh-CN"/>
              </w:rPr>
              <w:t>2</w:t>
            </w:r>
            <w:r>
              <w:rPr>
                <w:rFonts w:hint="eastAsia" w:ascii="宋体" w:hAnsi="宋体"/>
                <w:szCs w:val="21"/>
              </w:rPr>
              <w:t>分；</w:t>
            </w:r>
          </w:p>
          <w:p w14:paraId="7D525D15">
            <w:pPr>
              <w:snapToGrid w:val="0"/>
              <w:rPr>
                <w:rFonts w:ascii="宋体" w:hAnsi="宋体"/>
                <w:szCs w:val="21"/>
              </w:rPr>
            </w:pPr>
            <w:r>
              <w:rPr>
                <w:rFonts w:hint="eastAsia" w:ascii="宋体" w:hAnsi="宋体"/>
                <w:szCs w:val="21"/>
              </w:rPr>
              <w:t>[良] 获得3项的，得</w:t>
            </w:r>
            <w:r>
              <w:rPr>
                <w:rFonts w:hint="eastAsia" w:ascii="宋体" w:hAnsi="宋体"/>
                <w:szCs w:val="21"/>
                <w:lang w:val="en-US" w:eastAsia="zh-CN"/>
              </w:rPr>
              <w:t>1.5</w:t>
            </w:r>
            <w:r>
              <w:rPr>
                <w:rFonts w:hint="eastAsia" w:ascii="宋体" w:hAnsi="宋体"/>
                <w:szCs w:val="21"/>
              </w:rPr>
              <w:t>分；</w:t>
            </w:r>
          </w:p>
          <w:p w14:paraId="33F7EECA">
            <w:pPr>
              <w:snapToGrid w:val="0"/>
              <w:rPr>
                <w:rFonts w:ascii="宋体" w:hAnsi="宋体"/>
                <w:szCs w:val="21"/>
              </w:rPr>
            </w:pPr>
            <w:r>
              <w:rPr>
                <w:rFonts w:hint="eastAsia" w:ascii="宋体" w:hAnsi="宋体"/>
                <w:szCs w:val="21"/>
              </w:rPr>
              <w:t>[中] 获得2项的，得</w:t>
            </w:r>
            <w:r>
              <w:rPr>
                <w:rFonts w:hint="eastAsia" w:ascii="宋体" w:hAnsi="宋体"/>
                <w:szCs w:val="21"/>
                <w:lang w:val="en-US" w:eastAsia="zh-CN"/>
              </w:rPr>
              <w:t>1</w:t>
            </w:r>
            <w:r>
              <w:rPr>
                <w:rFonts w:hint="eastAsia" w:ascii="宋体" w:hAnsi="宋体"/>
                <w:szCs w:val="21"/>
              </w:rPr>
              <w:t>分；</w:t>
            </w:r>
          </w:p>
          <w:p w14:paraId="5340BAB6">
            <w:pPr>
              <w:snapToGrid w:val="0"/>
              <w:rPr>
                <w:rFonts w:hint="eastAsia" w:ascii="宋体" w:hAnsi="宋体"/>
                <w:szCs w:val="21"/>
              </w:rPr>
            </w:pPr>
            <w:r>
              <w:rPr>
                <w:rFonts w:hint="eastAsia" w:ascii="宋体" w:hAnsi="宋体"/>
                <w:szCs w:val="21"/>
              </w:rPr>
              <w:t>[差] 获得1～2项的，得0.5分。</w:t>
            </w:r>
          </w:p>
        </w:tc>
      </w:tr>
      <w:tr w14:paraId="277FE4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504" w:hRule="atLeast"/>
          <w:jc w:val="center"/>
        </w:trPr>
        <w:tc>
          <w:tcPr>
            <w:tcW w:w="676" w:type="dxa"/>
            <w:vMerge w:val="continue"/>
            <w:tcBorders>
              <w:right w:val="single" w:color="auto" w:sz="4" w:space="0"/>
            </w:tcBorders>
            <w:noWrap w:val="0"/>
            <w:vAlign w:val="center"/>
          </w:tcPr>
          <w:p w14:paraId="4BCAE4EF">
            <w:pPr>
              <w:snapToGrid w:val="0"/>
              <w:ind w:left="-53" w:leftChars="-25" w:right="-53" w:rightChars="-25"/>
              <w:rPr>
                <w:rFonts w:hint="eastAsia" w:ascii="宋体" w:hAnsi="宋体" w:cs="宋体"/>
              </w:rPr>
            </w:pPr>
          </w:p>
        </w:tc>
        <w:tc>
          <w:tcPr>
            <w:tcW w:w="1005" w:type="dxa"/>
            <w:vMerge w:val="continue"/>
            <w:tcBorders>
              <w:right w:val="single" w:color="auto" w:sz="4" w:space="0"/>
            </w:tcBorders>
            <w:noWrap w:val="0"/>
            <w:vAlign w:val="top"/>
          </w:tcPr>
          <w:p w14:paraId="2B30B3F3">
            <w:pPr>
              <w:snapToGrid w:val="0"/>
              <w:ind w:left="-53" w:leftChars="-25" w:right="-53" w:rightChars="-25"/>
              <w:jc w:val="center"/>
              <w:rPr>
                <w:rFonts w:hint="eastAsia" w:ascii="宋体" w:hAnsi="宋体" w:cs="宋体"/>
              </w:rPr>
            </w:pPr>
          </w:p>
        </w:tc>
        <w:tc>
          <w:tcPr>
            <w:tcW w:w="966" w:type="dxa"/>
            <w:tcBorders>
              <w:left w:val="single" w:color="auto" w:sz="4" w:space="0"/>
              <w:right w:val="single" w:color="auto" w:sz="4" w:space="0"/>
            </w:tcBorders>
            <w:noWrap w:val="0"/>
            <w:vAlign w:val="center"/>
          </w:tcPr>
          <w:p w14:paraId="571A2A31">
            <w:pPr>
              <w:snapToGrid w:val="0"/>
              <w:jc w:val="center"/>
              <w:rPr>
                <w:rFonts w:hint="eastAsia" w:ascii="宋体" w:hAnsi="宋体" w:cs="宋体"/>
              </w:rPr>
            </w:pPr>
          </w:p>
        </w:tc>
        <w:tc>
          <w:tcPr>
            <w:tcW w:w="1459" w:type="dxa"/>
            <w:tcBorders>
              <w:top w:val="single" w:color="auto" w:sz="4" w:space="0"/>
              <w:left w:val="single" w:color="auto" w:sz="4" w:space="0"/>
              <w:right w:val="single" w:color="auto" w:sz="4" w:space="0"/>
            </w:tcBorders>
            <w:noWrap w:val="0"/>
            <w:vAlign w:val="center"/>
          </w:tcPr>
          <w:p w14:paraId="725B90FC">
            <w:pPr>
              <w:snapToGrid w:val="0"/>
              <w:ind w:left="-53" w:leftChars="-25" w:right="-53" w:rightChars="-25"/>
              <w:jc w:val="center"/>
              <w:rPr>
                <w:rFonts w:hint="eastAsia" w:ascii="宋体" w:hAnsi="宋体" w:cs="宋体"/>
              </w:rPr>
            </w:pPr>
            <w:r>
              <w:rPr>
                <w:rFonts w:hint="eastAsia" w:ascii="宋体" w:hAnsi="宋体" w:cs="宋体"/>
              </w:rPr>
              <w:t>项目团队配备</w:t>
            </w:r>
          </w:p>
          <w:p w14:paraId="71FC7346">
            <w:pPr>
              <w:snapToGrid w:val="0"/>
              <w:ind w:left="-53" w:leftChars="-25" w:right="-53" w:rightChars="-25"/>
              <w:jc w:val="center"/>
              <w:rPr>
                <w:rFonts w:hint="eastAsia" w:ascii="宋体" w:hAnsi="宋体" w:cs="宋体"/>
              </w:rPr>
            </w:pPr>
            <w:r>
              <w:rPr>
                <w:rFonts w:hint="eastAsia" w:ascii="宋体" w:hAnsi="宋体" w:cs="宋体"/>
              </w:rPr>
              <w:t>（</w:t>
            </w:r>
            <w:r>
              <w:rPr>
                <w:rFonts w:hint="eastAsia" w:ascii="宋体" w:hAnsi="宋体" w:cs="宋体"/>
                <w:lang w:val="en-US" w:eastAsia="zh-CN"/>
              </w:rPr>
              <w:t>13</w:t>
            </w:r>
            <w:r>
              <w:rPr>
                <w:rFonts w:hint="eastAsia" w:ascii="宋体" w:hAnsi="宋体" w:cs="宋体"/>
              </w:rPr>
              <w:t>分）</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2E4B8256">
            <w:pPr>
              <w:snapToGrid w:val="0"/>
              <w:spacing w:afterLines="25"/>
              <w:ind w:left="316" w:leftChars="0" w:right="-53" w:rightChars="-25" w:hanging="316" w:hangingChars="150"/>
              <w:rPr>
                <w:rFonts w:ascii="宋体" w:hAnsi="宋体" w:cs="宋体"/>
                <w:b/>
                <w:color w:val="auto"/>
              </w:rPr>
            </w:pPr>
            <w:r>
              <w:rPr>
                <w:rFonts w:hint="eastAsia" w:ascii="宋体" w:hAnsi="宋体" w:cs="宋体"/>
                <w:b/>
                <w:color w:val="auto"/>
              </w:rPr>
              <w:t>施工团队（联合体</w:t>
            </w:r>
            <w:r>
              <w:rPr>
                <w:rFonts w:hint="eastAsia" w:ascii="宋体" w:hAnsi="宋体" w:cs="宋体"/>
                <w:b/>
                <w:color w:val="auto"/>
                <w:lang w:eastAsia="zh-CN"/>
              </w:rPr>
              <w:t>主办方</w:t>
            </w:r>
            <w:r>
              <w:rPr>
                <w:rFonts w:hint="eastAsia" w:ascii="宋体" w:hAnsi="宋体" w:cs="宋体"/>
                <w:b/>
                <w:color w:val="auto"/>
              </w:rPr>
              <w:t>人员）</w:t>
            </w:r>
          </w:p>
          <w:p w14:paraId="55887EBA">
            <w:pPr>
              <w:snapToGrid w:val="0"/>
              <w:spacing w:afterLines="25"/>
              <w:ind w:left="315" w:leftChars="0" w:right="-53" w:rightChars="-25" w:hanging="315" w:hangingChars="150"/>
              <w:rPr>
                <w:rFonts w:ascii="宋体" w:hAnsi="宋体" w:cs="宋体"/>
                <w:color w:val="auto"/>
              </w:rPr>
            </w:pPr>
            <w:r>
              <w:rPr>
                <w:rFonts w:hint="eastAsia" w:ascii="宋体" w:hAnsi="宋体" w:cs="宋体"/>
                <w:color w:val="auto"/>
                <w:lang w:eastAsia="zh-CN"/>
              </w:rPr>
              <w:t>（</w:t>
            </w:r>
            <w:r>
              <w:rPr>
                <w:rFonts w:hint="eastAsia" w:ascii="宋体" w:hAnsi="宋体" w:cs="宋体"/>
                <w:color w:val="auto"/>
              </w:rPr>
              <w:t>1</w:t>
            </w:r>
            <w:r>
              <w:rPr>
                <w:rFonts w:hint="eastAsia" w:ascii="宋体" w:hAnsi="宋体" w:cs="宋体"/>
                <w:color w:val="auto"/>
                <w:lang w:eastAsia="zh-CN"/>
              </w:rPr>
              <w:t>）</w:t>
            </w:r>
            <w:r>
              <w:rPr>
                <w:rFonts w:hint="eastAsia" w:ascii="宋体" w:hAnsi="宋体" w:cs="宋体"/>
                <w:color w:val="auto"/>
              </w:rPr>
              <w:t>项目负责人：</w:t>
            </w:r>
          </w:p>
          <w:p w14:paraId="52707E1A">
            <w:pPr>
              <w:snapToGrid w:val="0"/>
              <w:spacing w:afterLines="25"/>
              <w:ind w:left="315" w:right="-53" w:rightChars="-25" w:hanging="315" w:hangingChars="150"/>
              <w:rPr>
                <w:rFonts w:ascii="宋体" w:hAnsi="宋体"/>
                <w:color w:val="auto"/>
              </w:rPr>
            </w:pPr>
            <w:r>
              <w:rPr>
                <w:rFonts w:hint="eastAsia" w:ascii="宋体" w:hAnsi="宋体" w:cs="宋体"/>
                <w:color w:val="auto"/>
              </w:rPr>
              <w:t>①</w:t>
            </w:r>
            <w:r>
              <w:rPr>
                <w:rFonts w:hint="eastAsia" w:ascii="宋体" w:hAnsi="宋体"/>
                <w:color w:val="auto"/>
              </w:rPr>
              <w:t>取得建筑装饰施工类专业高级工程师职称证书5年以下</w:t>
            </w:r>
            <w:r>
              <w:rPr>
                <w:rFonts w:hint="eastAsia" w:ascii="宋体" w:hAnsi="宋体"/>
                <w:color w:val="auto"/>
                <w:lang w:eastAsia="zh-CN"/>
              </w:rPr>
              <w:t>（</w:t>
            </w:r>
            <w:r>
              <w:rPr>
                <w:rFonts w:hint="eastAsia" w:ascii="宋体" w:hAnsi="宋体"/>
                <w:color w:val="auto"/>
              </w:rPr>
              <w:t>不含</w:t>
            </w:r>
            <w:r>
              <w:rPr>
                <w:rFonts w:hint="eastAsia" w:ascii="宋体" w:hAnsi="宋体"/>
                <w:color w:val="auto"/>
                <w:lang w:eastAsia="zh-CN"/>
              </w:rPr>
              <w:t>）</w:t>
            </w:r>
            <w:r>
              <w:rPr>
                <w:rFonts w:hint="eastAsia" w:ascii="宋体" w:hAnsi="宋体"/>
                <w:color w:val="auto"/>
              </w:rPr>
              <w:t>得</w:t>
            </w:r>
            <w:r>
              <w:rPr>
                <w:rFonts w:hint="eastAsia" w:ascii="宋体" w:hAnsi="宋体"/>
                <w:color w:val="auto"/>
                <w:lang w:val="en-US" w:eastAsia="zh-CN"/>
              </w:rPr>
              <w:t>1</w:t>
            </w:r>
            <w:r>
              <w:rPr>
                <w:rFonts w:hint="eastAsia" w:ascii="宋体" w:hAnsi="宋体"/>
                <w:color w:val="auto"/>
              </w:rPr>
              <w:t>分；取得建筑装饰施工类专业高级工程师职称证书5年以上</w:t>
            </w:r>
            <w:r>
              <w:rPr>
                <w:rFonts w:hint="eastAsia" w:ascii="宋体" w:hAnsi="宋体"/>
                <w:color w:val="auto"/>
                <w:lang w:eastAsia="zh-CN"/>
              </w:rPr>
              <w:t>（</w:t>
            </w:r>
            <w:r>
              <w:rPr>
                <w:rFonts w:hint="eastAsia" w:ascii="宋体" w:hAnsi="宋体"/>
                <w:color w:val="auto"/>
              </w:rPr>
              <w:t>含</w:t>
            </w:r>
            <w:r>
              <w:rPr>
                <w:rFonts w:hint="eastAsia" w:ascii="宋体" w:hAnsi="宋体"/>
                <w:color w:val="auto"/>
                <w:lang w:eastAsia="zh-CN"/>
              </w:rPr>
              <w:t>）</w:t>
            </w:r>
            <w:r>
              <w:rPr>
                <w:rFonts w:hint="eastAsia" w:ascii="宋体" w:hAnsi="宋体"/>
                <w:color w:val="auto"/>
              </w:rPr>
              <w:t>或建筑装饰施工类专业正高级工程师职称证书得</w:t>
            </w:r>
            <w:r>
              <w:rPr>
                <w:rFonts w:hint="eastAsia" w:ascii="宋体" w:hAnsi="宋体"/>
                <w:color w:val="auto"/>
                <w:lang w:val="en-US" w:eastAsia="zh-CN"/>
              </w:rPr>
              <w:t>3</w:t>
            </w:r>
            <w:r>
              <w:rPr>
                <w:rFonts w:hint="eastAsia" w:ascii="宋体" w:hAnsi="宋体"/>
                <w:color w:val="auto"/>
              </w:rPr>
              <w:t>分。（本项最高得</w:t>
            </w:r>
            <w:r>
              <w:rPr>
                <w:rFonts w:hint="eastAsia" w:ascii="宋体" w:hAnsi="宋体"/>
                <w:color w:val="auto"/>
                <w:lang w:val="en-US" w:eastAsia="zh-CN"/>
              </w:rPr>
              <w:t>3</w:t>
            </w:r>
            <w:r>
              <w:rPr>
                <w:rFonts w:hint="eastAsia" w:ascii="宋体" w:hAnsi="宋体"/>
                <w:color w:val="auto"/>
              </w:rPr>
              <w:t>分）</w:t>
            </w:r>
          </w:p>
          <w:p w14:paraId="768F0070">
            <w:pPr>
              <w:snapToGrid w:val="0"/>
              <w:spacing w:afterLines="25"/>
              <w:ind w:left="315" w:right="-53" w:rightChars="-25" w:hanging="315" w:hangingChars="150"/>
              <w:rPr>
                <w:rFonts w:ascii="宋体" w:hAnsi="宋体" w:cs="宋体"/>
                <w:color w:val="auto"/>
              </w:rPr>
            </w:pPr>
            <w:r>
              <w:rPr>
                <w:rFonts w:hint="eastAsia" w:ascii="宋体" w:hAnsi="宋体"/>
                <w:color w:val="auto"/>
              </w:rPr>
              <w:t>②作为项目负责人主持完成过质量合格的类似项目业绩的，得</w:t>
            </w:r>
            <w:r>
              <w:rPr>
                <w:rFonts w:hint="eastAsia" w:ascii="宋体" w:hAnsi="宋体"/>
                <w:color w:val="auto"/>
                <w:lang w:val="en-US" w:eastAsia="zh-CN"/>
              </w:rPr>
              <w:t>1</w:t>
            </w:r>
            <w:r>
              <w:rPr>
                <w:rFonts w:hint="eastAsia" w:ascii="宋体" w:hAnsi="宋体"/>
                <w:color w:val="auto"/>
              </w:rPr>
              <w:t>分。（本项最高得</w:t>
            </w:r>
            <w:r>
              <w:rPr>
                <w:rFonts w:hint="eastAsia" w:ascii="宋体" w:hAnsi="宋体"/>
                <w:color w:val="auto"/>
                <w:lang w:val="en-US" w:eastAsia="zh-CN"/>
              </w:rPr>
              <w:t>1</w:t>
            </w:r>
            <w:r>
              <w:rPr>
                <w:rFonts w:hint="eastAsia" w:ascii="宋体" w:hAnsi="宋体"/>
                <w:color w:val="auto"/>
              </w:rPr>
              <w:t>分）</w:t>
            </w:r>
          </w:p>
          <w:p w14:paraId="74553273">
            <w:pPr>
              <w:snapToGrid w:val="0"/>
              <w:spacing w:afterLines="25"/>
              <w:ind w:left="315" w:leftChars="0" w:right="-53" w:rightChars="-25" w:hanging="315" w:hangingChars="150"/>
              <w:rPr>
                <w:rFonts w:ascii="宋体" w:hAnsi="宋体" w:cs="宋体"/>
                <w:color w:val="auto"/>
              </w:rPr>
            </w:pPr>
            <w:r>
              <w:rPr>
                <w:rFonts w:hint="eastAsia" w:ascii="宋体" w:hAnsi="宋体" w:cs="宋体"/>
                <w:color w:val="auto"/>
                <w:lang w:eastAsia="zh-CN"/>
              </w:rPr>
              <w:t>（</w:t>
            </w:r>
            <w:r>
              <w:rPr>
                <w:rFonts w:hint="eastAsia" w:ascii="宋体" w:hAnsi="宋体" w:cs="宋体"/>
                <w:color w:val="auto"/>
              </w:rPr>
              <w:t>2</w:t>
            </w:r>
            <w:r>
              <w:rPr>
                <w:rFonts w:hint="eastAsia" w:ascii="宋体" w:hAnsi="宋体" w:cs="宋体"/>
                <w:color w:val="auto"/>
                <w:lang w:eastAsia="zh-CN"/>
              </w:rPr>
              <w:t>）</w:t>
            </w:r>
            <w:r>
              <w:rPr>
                <w:rFonts w:hint="eastAsia" w:ascii="宋体" w:hAnsi="宋体" w:cs="宋体"/>
                <w:color w:val="auto"/>
              </w:rPr>
              <w:t>技术负责人：</w:t>
            </w:r>
            <w:r>
              <w:rPr>
                <w:rFonts w:hint="eastAsia" w:ascii="宋体" w:hAnsi="宋体"/>
                <w:color w:val="auto"/>
              </w:rPr>
              <w:t>取得建筑施工类专业高级工程师职称证书5年</w:t>
            </w:r>
            <w:r>
              <w:rPr>
                <w:rFonts w:hint="eastAsia" w:ascii="宋体" w:hAnsi="宋体"/>
                <w:color w:val="auto"/>
                <w:lang w:eastAsia="zh-CN"/>
              </w:rPr>
              <w:t>（</w:t>
            </w:r>
            <w:r>
              <w:rPr>
                <w:rFonts w:hint="eastAsia" w:ascii="宋体" w:hAnsi="宋体"/>
                <w:color w:val="auto"/>
              </w:rPr>
              <w:t>含</w:t>
            </w:r>
            <w:r>
              <w:rPr>
                <w:rFonts w:hint="eastAsia" w:ascii="宋体" w:hAnsi="宋体"/>
                <w:color w:val="auto"/>
                <w:lang w:eastAsia="zh-CN"/>
              </w:rPr>
              <w:t>）</w:t>
            </w:r>
            <w:r>
              <w:rPr>
                <w:rFonts w:hint="eastAsia" w:ascii="宋体" w:hAnsi="宋体"/>
                <w:color w:val="auto"/>
              </w:rPr>
              <w:t>-10年</w:t>
            </w:r>
            <w:r>
              <w:rPr>
                <w:rFonts w:hint="eastAsia" w:ascii="宋体" w:hAnsi="宋体"/>
                <w:color w:val="auto"/>
                <w:lang w:eastAsia="zh-CN"/>
              </w:rPr>
              <w:t>（</w:t>
            </w:r>
            <w:r>
              <w:rPr>
                <w:rFonts w:hint="eastAsia" w:ascii="宋体" w:hAnsi="宋体"/>
                <w:color w:val="auto"/>
              </w:rPr>
              <w:t>不含</w:t>
            </w:r>
            <w:r>
              <w:rPr>
                <w:rFonts w:hint="eastAsia" w:ascii="宋体" w:hAnsi="宋体"/>
                <w:color w:val="auto"/>
                <w:lang w:eastAsia="zh-CN"/>
              </w:rPr>
              <w:t>）</w:t>
            </w:r>
            <w:r>
              <w:rPr>
                <w:rFonts w:hint="eastAsia" w:ascii="宋体" w:hAnsi="宋体"/>
                <w:color w:val="auto"/>
              </w:rPr>
              <w:t>得</w:t>
            </w:r>
            <w:r>
              <w:rPr>
                <w:rFonts w:hint="eastAsia" w:ascii="宋体" w:hAnsi="宋体"/>
                <w:color w:val="auto"/>
                <w:lang w:val="en-US" w:eastAsia="zh-CN"/>
              </w:rPr>
              <w:t>0.7</w:t>
            </w:r>
            <w:r>
              <w:rPr>
                <w:rFonts w:hint="eastAsia" w:ascii="宋体" w:hAnsi="宋体"/>
                <w:color w:val="auto"/>
              </w:rPr>
              <w:t>分；取得建筑施工类专业高级工程师职称证书10年以上</w:t>
            </w:r>
            <w:r>
              <w:rPr>
                <w:rFonts w:hint="eastAsia" w:ascii="宋体" w:hAnsi="宋体"/>
                <w:color w:val="auto"/>
                <w:lang w:eastAsia="zh-CN"/>
              </w:rPr>
              <w:t>（</w:t>
            </w:r>
            <w:r>
              <w:rPr>
                <w:rFonts w:hint="eastAsia" w:ascii="宋体" w:hAnsi="宋体"/>
                <w:color w:val="auto"/>
              </w:rPr>
              <w:t>含</w:t>
            </w:r>
            <w:r>
              <w:rPr>
                <w:rFonts w:hint="eastAsia" w:ascii="宋体" w:hAnsi="宋体"/>
                <w:color w:val="auto"/>
                <w:lang w:eastAsia="zh-CN"/>
              </w:rPr>
              <w:t>）</w:t>
            </w:r>
            <w:r>
              <w:rPr>
                <w:rFonts w:hint="eastAsia" w:ascii="宋体" w:hAnsi="宋体"/>
                <w:color w:val="auto"/>
                <w:lang w:val="en-US" w:eastAsia="zh-CN"/>
              </w:rPr>
              <w:t>或</w:t>
            </w:r>
            <w:r>
              <w:rPr>
                <w:rFonts w:hint="eastAsia" w:ascii="宋体" w:hAnsi="宋体"/>
                <w:color w:val="auto"/>
                <w:lang w:eastAsia="zh-CN"/>
              </w:rPr>
              <w:t>建筑施工类</w:t>
            </w:r>
            <w:r>
              <w:rPr>
                <w:rFonts w:hint="eastAsia" w:ascii="宋体" w:hAnsi="宋体"/>
                <w:color w:val="auto"/>
              </w:rPr>
              <w:t>专业正高级工程师职称证书得</w:t>
            </w:r>
            <w:r>
              <w:rPr>
                <w:rFonts w:hint="eastAsia" w:ascii="宋体" w:hAnsi="宋体"/>
                <w:color w:val="auto"/>
                <w:lang w:val="en-US" w:eastAsia="zh-CN"/>
              </w:rPr>
              <w:t>1.5</w:t>
            </w:r>
            <w:r>
              <w:rPr>
                <w:rFonts w:hint="eastAsia" w:ascii="宋体" w:hAnsi="宋体"/>
                <w:color w:val="auto"/>
              </w:rPr>
              <w:t>分。（本项最高得</w:t>
            </w:r>
            <w:r>
              <w:rPr>
                <w:rFonts w:hint="eastAsia" w:ascii="宋体" w:hAnsi="宋体"/>
                <w:color w:val="auto"/>
                <w:lang w:val="en-US" w:eastAsia="zh-CN"/>
              </w:rPr>
              <w:t>1.5</w:t>
            </w:r>
            <w:r>
              <w:rPr>
                <w:rFonts w:hint="eastAsia" w:ascii="宋体" w:hAnsi="宋体"/>
                <w:color w:val="auto"/>
              </w:rPr>
              <w:t>分）</w:t>
            </w:r>
          </w:p>
          <w:p w14:paraId="1A018C5E">
            <w:pPr>
              <w:snapToGrid w:val="0"/>
              <w:spacing w:afterLines="25"/>
              <w:ind w:left="315" w:leftChars="0" w:right="-53" w:rightChars="-25" w:hanging="315" w:hangingChars="150"/>
              <w:rPr>
                <w:rFonts w:ascii="宋体" w:hAnsi="宋体" w:cs="宋体"/>
                <w:color w:val="auto"/>
              </w:rPr>
            </w:pPr>
            <w:r>
              <w:rPr>
                <w:rFonts w:hint="eastAsia" w:ascii="宋体" w:hAnsi="宋体" w:cs="宋体"/>
                <w:color w:val="auto"/>
                <w:lang w:eastAsia="zh-CN"/>
              </w:rPr>
              <w:t>（</w:t>
            </w:r>
            <w:r>
              <w:rPr>
                <w:rFonts w:hint="eastAsia" w:ascii="宋体" w:hAnsi="宋体" w:cs="宋体"/>
                <w:color w:val="auto"/>
              </w:rPr>
              <w:t>3</w:t>
            </w:r>
            <w:r>
              <w:rPr>
                <w:rFonts w:hint="eastAsia" w:ascii="宋体" w:hAnsi="宋体" w:cs="宋体"/>
                <w:color w:val="auto"/>
                <w:lang w:eastAsia="zh-CN"/>
              </w:rPr>
              <w:t>）</w:t>
            </w:r>
            <w:r>
              <w:rPr>
                <w:rFonts w:hint="eastAsia" w:ascii="宋体" w:hAnsi="宋体" w:cs="宋体"/>
                <w:color w:val="auto"/>
              </w:rPr>
              <w:t>造价负责人：</w:t>
            </w:r>
            <w:r>
              <w:rPr>
                <w:rFonts w:hint="eastAsia" w:ascii="宋体" w:hAnsi="宋体"/>
                <w:color w:val="auto"/>
              </w:rPr>
              <w:t>取得建筑工程造价类专业高级工程师职称证书5年以下</w:t>
            </w:r>
            <w:r>
              <w:rPr>
                <w:rFonts w:hint="eastAsia" w:ascii="宋体" w:hAnsi="宋体"/>
                <w:color w:val="auto"/>
                <w:lang w:eastAsia="zh-CN"/>
              </w:rPr>
              <w:t>（</w:t>
            </w:r>
            <w:r>
              <w:rPr>
                <w:rFonts w:hint="eastAsia" w:ascii="宋体" w:hAnsi="宋体"/>
                <w:color w:val="auto"/>
              </w:rPr>
              <w:t>不含</w:t>
            </w:r>
            <w:r>
              <w:rPr>
                <w:rFonts w:hint="eastAsia" w:ascii="宋体" w:hAnsi="宋体"/>
                <w:color w:val="auto"/>
                <w:lang w:eastAsia="zh-CN"/>
              </w:rPr>
              <w:t>）</w:t>
            </w:r>
            <w:r>
              <w:rPr>
                <w:rFonts w:hint="eastAsia" w:ascii="宋体" w:hAnsi="宋体"/>
                <w:color w:val="auto"/>
              </w:rPr>
              <w:t>得0.5分；取得建筑工程造价类专业高级工程师职称证书5年</w:t>
            </w:r>
            <w:r>
              <w:rPr>
                <w:rFonts w:hint="eastAsia" w:ascii="宋体" w:hAnsi="宋体"/>
                <w:color w:val="auto"/>
                <w:lang w:eastAsia="zh-CN"/>
              </w:rPr>
              <w:t>（</w:t>
            </w:r>
            <w:r>
              <w:rPr>
                <w:rFonts w:hint="eastAsia" w:ascii="宋体" w:hAnsi="宋体"/>
                <w:color w:val="auto"/>
              </w:rPr>
              <w:t>含</w:t>
            </w:r>
            <w:r>
              <w:rPr>
                <w:rFonts w:hint="eastAsia" w:ascii="宋体" w:hAnsi="宋体"/>
                <w:color w:val="auto"/>
                <w:lang w:eastAsia="zh-CN"/>
              </w:rPr>
              <w:t>）</w:t>
            </w:r>
            <w:r>
              <w:rPr>
                <w:rFonts w:hint="eastAsia" w:ascii="宋体" w:hAnsi="宋体"/>
                <w:color w:val="auto"/>
              </w:rPr>
              <w:t>-10年</w:t>
            </w:r>
            <w:r>
              <w:rPr>
                <w:rFonts w:hint="eastAsia" w:ascii="宋体" w:hAnsi="宋体"/>
                <w:color w:val="auto"/>
                <w:lang w:eastAsia="zh-CN"/>
              </w:rPr>
              <w:t>（</w:t>
            </w:r>
            <w:r>
              <w:rPr>
                <w:rFonts w:hint="eastAsia" w:ascii="宋体" w:hAnsi="宋体"/>
                <w:color w:val="auto"/>
              </w:rPr>
              <w:t>不含</w:t>
            </w:r>
            <w:r>
              <w:rPr>
                <w:rFonts w:hint="eastAsia" w:ascii="宋体" w:hAnsi="宋体"/>
                <w:color w:val="auto"/>
                <w:lang w:eastAsia="zh-CN"/>
              </w:rPr>
              <w:t>）</w:t>
            </w:r>
            <w:r>
              <w:rPr>
                <w:rFonts w:hint="eastAsia" w:ascii="宋体" w:hAnsi="宋体"/>
                <w:color w:val="auto"/>
              </w:rPr>
              <w:t>得</w:t>
            </w:r>
            <w:r>
              <w:rPr>
                <w:rFonts w:hint="eastAsia" w:ascii="宋体" w:hAnsi="宋体"/>
                <w:color w:val="auto"/>
                <w:lang w:val="en-US" w:eastAsia="zh-CN"/>
              </w:rPr>
              <w:t>0.7</w:t>
            </w:r>
            <w:r>
              <w:rPr>
                <w:rFonts w:hint="eastAsia" w:ascii="宋体" w:hAnsi="宋体"/>
                <w:color w:val="auto"/>
              </w:rPr>
              <w:t>分；取得建筑工程造价类专业高级工程师职称证书10年以上</w:t>
            </w:r>
            <w:r>
              <w:rPr>
                <w:rFonts w:hint="eastAsia" w:ascii="宋体" w:hAnsi="宋体"/>
                <w:color w:val="auto"/>
                <w:lang w:eastAsia="zh-CN"/>
              </w:rPr>
              <w:t>（</w:t>
            </w:r>
            <w:r>
              <w:rPr>
                <w:rFonts w:hint="eastAsia" w:ascii="宋体" w:hAnsi="宋体"/>
                <w:color w:val="auto"/>
              </w:rPr>
              <w:t>含</w:t>
            </w:r>
            <w:r>
              <w:rPr>
                <w:rFonts w:hint="eastAsia" w:ascii="宋体" w:hAnsi="宋体"/>
                <w:color w:val="auto"/>
                <w:lang w:eastAsia="zh-CN"/>
              </w:rPr>
              <w:t>）</w:t>
            </w:r>
            <w:r>
              <w:rPr>
                <w:rFonts w:hint="eastAsia" w:ascii="宋体" w:hAnsi="宋体"/>
                <w:color w:val="auto"/>
              </w:rPr>
              <w:t>或建筑工程造价类专业正高级工程师职称证书得1分。（本项最高得1分）</w:t>
            </w:r>
          </w:p>
          <w:p w14:paraId="3E868253">
            <w:pPr>
              <w:snapToGrid w:val="0"/>
              <w:spacing w:afterLines="25"/>
              <w:ind w:left="315" w:leftChars="0" w:right="-53" w:rightChars="-25" w:hanging="315" w:hangingChars="150"/>
              <w:rPr>
                <w:rFonts w:ascii="宋体" w:hAnsi="宋体" w:cs="宋体"/>
                <w:color w:val="auto"/>
              </w:rPr>
            </w:pPr>
            <w:r>
              <w:rPr>
                <w:rFonts w:hint="eastAsia" w:ascii="宋体" w:hAnsi="宋体" w:cs="宋体"/>
                <w:color w:val="auto"/>
                <w:lang w:eastAsia="zh-CN"/>
              </w:rPr>
              <w:t>（</w:t>
            </w:r>
            <w:r>
              <w:rPr>
                <w:rFonts w:hint="eastAsia" w:ascii="宋体" w:hAnsi="宋体" w:cs="宋体"/>
                <w:color w:val="auto"/>
              </w:rPr>
              <w:t>4</w:t>
            </w:r>
            <w:r>
              <w:rPr>
                <w:rFonts w:hint="eastAsia" w:ascii="宋体" w:hAnsi="宋体" w:cs="宋体"/>
                <w:color w:val="auto"/>
                <w:lang w:eastAsia="zh-CN"/>
              </w:rPr>
              <w:t>）</w:t>
            </w:r>
            <w:r>
              <w:rPr>
                <w:rFonts w:hint="eastAsia" w:ascii="宋体" w:hAnsi="宋体" w:cs="宋体"/>
                <w:color w:val="auto"/>
              </w:rPr>
              <w:t>质量工程师：</w:t>
            </w:r>
            <w:r>
              <w:rPr>
                <w:rFonts w:hint="eastAsia" w:ascii="宋体" w:hAnsi="宋体"/>
                <w:color w:val="auto"/>
              </w:rPr>
              <w:t>取得建筑装饰施工类专业高级工程师职称证书5年以下</w:t>
            </w:r>
            <w:r>
              <w:rPr>
                <w:rFonts w:hint="eastAsia" w:ascii="宋体" w:hAnsi="宋体"/>
                <w:color w:val="auto"/>
                <w:lang w:eastAsia="zh-CN"/>
              </w:rPr>
              <w:t>（</w:t>
            </w:r>
            <w:r>
              <w:rPr>
                <w:rFonts w:hint="eastAsia" w:ascii="宋体" w:hAnsi="宋体"/>
                <w:color w:val="auto"/>
              </w:rPr>
              <w:t>不含</w:t>
            </w:r>
            <w:r>
              <w:rPr>
                <w:rFonts w:hint="eastAsia" w:ascii="宋体" w:hAnsi="宋体"/>
                <w:color w:val="auto"/>
                <w:lang w:eastAsia="zh-CN"/>
              </w:rPr>
              <w:t>）</w:t>
            </w:r>
            <w:r>
              <w:rPr>
                <w:rFonts w:hint="eastAsia" w:ascii="宋体" w:hAnsi="宋体"/>
                <w:color w:val="auto"/>
              </w:rPr>
              <w:t>得0.5分；取得建筑装饰施工类专业高级工程师职称证书5年</w:t>
            </w:r>
            <w:r>
              <w:rPr>
                <w:rFonts w:hint="eastAsia" w:ascii="宋体" w:hAnsi="宋体"/>
                <w:color w:val="auto"/>
                <w:lang w:eastAsia="zh-CN"/>
              </w:rPr>
              <w:t>（</w:t>
            </w:r>
            <w:r>
              <w:rPr>
                <w:rFonts w:hint="eastAsia" w:ascii="宋体" w:hAnsi="宋体"/>
                <w:color w:val="auto"/>
              </w:rPr>
              <w:t>含</w:t>
            </w:r>
            <w:r>
              <w:rPr>
                <w:rFonts w:hint="eastAsia" w:ascii="宋体" w:hAnsi="宋体"/>
                <w:color w:val="auto"/>
                <w:lang w:eastAsia="zh-CN"/>
              </w:rPr>
              <w:t>）</w:t>
            </w:r>
            <w:r>
              <w:rPr>
                <w:rFonts w:hint="eastAsia" w:ascii="宋体" w:hAnsi="宋体"/>
                <w:color w:val="auto"/>
              </w:rPr>
              <w:t>-10年</w:t>
            </w:r>
            <w:r>
              <w:rPr>
                <w:rFonts w:hint="eastAsia" w:ascii="宋体" w:hAnsi="宋体"/>
                <w:color w:val="auto"/>
                <w:lang w:eastAsia="zh-CN"/>
              </w:rPr>
              <w:t>（</w:t>
            </w:r>
            <w:r>
              <w:rPr>
                <w:rFonts w:hint="eastAsia" w:ascii="宋体" w:hAnsi="宋体"/>
                <w:color w:val="auto"/>
              </w:rPr>
              <w:t>不含</w:t>
            </w:r>
            <w:r>
              <w:rPr>
                <w:rFonts w:hint="eastAsia" w:ascii="宋体" w:hAnsi="宋体"/>
                <w:color w:val="auto"/>
                <w:lang w:eastAsia="zh-CN"/>
              </w:rPr>
              <w:t>）</w:t>
            </w:r>
            <w:r>
              <w:rPr>
                <w:rFonts w:hint="eastAsia" w:ascii="宋体" w:hAnsi="宋体"/>
                <w:color w:val="auto"/>
              </w:rPr>
              <w:t>得</w:t>
            </w:r>
            <w:r>
              <w:rPr>
                <w:rFonts w:hint="eastAsia" w:ascii="宋体" w:hAnsi="宋体"/>
                <w:color w:val="auto"/>
                <w:lang w:val="en-US" w:eastAsia="zh-CN"/>
              </w:rPr>
              <w:t>0.7</w:t>
            </w:r>
            <w:r>
              <w:rPr>
                <w:rFonts w:hint="eastAsia" w:ascii="宋体" w:hAnsi="宋体"/>
                <w:color w:val="auto"/>
              </w:rPr>
              <w:t>分；取得建筑装饰施工类专业高级工程师职称证书10年以上</w:t>
            </w:r>
            <w:r>
              <w:rPr>
                <w:rFonts w:hint="eastAsia" w:ascii="宋体" w:hAnsi="宋体"/>
                <w:color w:val="auto"/>
                <w:lang w:eastAsia="zh-CN"/>
              </w:rPr>
              <w:t>（</w:t>
            </w:r>
            <w:r>
              <w:rPr>
                <w:rFonts w:hint="eastAsia" w:ascii="宋体" w:hAnsi="宋体"/>
                <w:color w:val="auto"/>
              </w:rPr>
              <w:t>含</w:t>
            </w:r>
            <w:r>
              <w:rPr>
                <w:rFonts w:hint="eastAsia" w:ascii="宋体" w:hAnsi="宋体"/>
                <w:color w:val="auto"/>
                <w:lang w:eastAsia="zh-CN"/>
              </w:rPr>
              <w:t>）</w:t>
            </w:r>
            <w:r>
              <w:rPr>
                <w:rFonts w:hint="eastAsia" w:ascii="宋体" w:hAnsi="宋体"/>
                <w:color w:val="auto"/>
              </w:rPr>
              <w:t>或建筑装饰施工类专业正高级工程师职称证书得1分。（本项最高得1分）</w:t>
            </w:r>
          </w:p>
          <w:p w14:paraId="561F0F1D">
            <w:pPr>
              <w:snapToGrid w:val="0"/>
              <w:spacing w:afterLines="25"/>
              <w:ind w:left="315" w:leftChars="0" w:right="-53" w:rightChars="-25" w:hanging="315" w:hangingChars="150"/>
              <w:rPr>
                <w:color w:val="auto"/>
                <w:spacing w:val="-2"/>
              </w:rPr>
            </w:pPr>
            <w:r>
              <w:rPr>
                <w:rFonts w:hint="eastAsia" w:ascii="宋体" w:hAnsi="宋体" w:cs="宋体"/>
                <w:color w:val="auto"/>
                <w:lang w:eastAsia="zh-CN"/>
              </w:rPr>
              <w:t>（</w:t>
            </w:r>
            <w:r>
              <w:rPr>
                <w:rFonts w:hint="eastAsia" w:ascii="宋体" w:hAnsi="宋体" w:cs="宋体"/>
                <w:color w:val="auto"/>
              </w:rPr>
              <w:t>5</w:t>
            </w:r>
            <w:r>
              <w:rPr>
                <w:rFonts w:hint="eastAsia" w:ascii="宋体" w:hAnsi="宋体" w:cs="宋体"/>
                <w:color w:val="auto"/>
                <w:lang w:eastAsia="zh-CN"/>
              </w:rPr>
              <w:t>）</w:t>
            </w:r>
            <w:r>
              <w:rPr>
                <w:rFonts w:hint="eastAsia" w:ascii="宋体" w:hAnsi="宋体" w:cs="宋体"/>
                <w:color w:val="auto"/>
              </w:rPr>
              <w:t>安全工程师：</w:t>
            </w:r>
            <w:r>
              <w:rPr>
                <w:rFonts w:hint="eastAsia" w:ascii="宋体" w:hAnsi="宋体"/>
                <w:color w:val="auto"/>
              </w:rPr>
              <w:t>取得建筑施工类专业高级工程师职称证书5年以下</w:t>
            </w:r>
            <w:r>
              <w:rPr>
                <w:rFonts w:hint="eastAsia" w:ascii="宋体" w:hAnsi="宋体"/>
                <w:color w:val="auto"/>
                <w:lang w:eastAsia="zh-CN"/>
              </w:rPr>
              <w:t>（</w:t>
            </w:r>
            <w:r>
              <w:rPr>
                <w:rFonts w:hint="eastAsia" w:ascii="宋体" w:hAnsi="宋体"/>
                <w:color w:val="auto"/>
              </w:rPr>
              <w:t>不含</w:t>
            </w:r>
            <w:r>
              <w:rPr>
                <w:rFonts w:hint="eastAsia" w:ascii="宋体" w:hAnsi="宋体"/>
                <w:color w:val="auto"/>
                <w:lang w:eastAsia="zh-CN"/>
              </w:rPr>
              <w:t>）</w:t>
            </w:r>
            <w:r>
              <w:rPr>
                <w:rFonts w:hint="eastAsia" w:ascii="宋体" w:hAnsi="宋体"/>
                <w:color w:val="auto"/>
              </w:rPr>
              <w:t>得0.5分；取得建筑施工类专业高级工程师职称证书5年</w:t>
            </w:r>
            <w:r>
              <w:rPr>
                <w:rFonts w:hint="eastAsia" w:ascii="宋体" w:hAnsi="宋体"/>
                <w:color w:val="auto"/>
                <w:lang w:eastAsia="zh-CN"/>
              </w:rPr>
              <w:t>（</w:t>
            </w:r>
            <w:r>
              <w:rPr>
                <w:rFonts w:hint="eastAsia" w:ascii="宋体" w:hAnsi="宋体"/>
                <w:color w:val="auto"/>
              </w:rPr>
              <w:t>含</w:t>
            </w:r>
            <w:r>
              <w:rPr>
                <w:rFonts w:hint="eastAsia" w:ascii="宋体" w:hAnsi="宋体"/>
                <w:color w:val="auto"/>
                <w:lang w:eastAsia="zh-CN"/>
              </w:rPr>
              <w:t>）</w:t>
            </w:r>
            <w:r>
              <w:rPr>
                <w:rFonts w:hint="eastAsia" w:ascii="宋体" w:hAnsi="宋体"/>
                <w:color w:val="auto"/>
              </w:rPr>
              <w:t>-10年</w:t>
            </w:r>
            <w:r>
              <w:rPr>
                <w:rFonts w:hint="eastAsia" w:ascii="宋体" w:hAnsi="宋体"/>
                <w:color w:val="auto"/>
                <w:lang w:eastAsia="zh-CN"/>
              </w:rPr>
              <w:t>（</w:t>
            </w:r>
            <w:r>
              <w:rPr>
                <w:rFonts w:hint="eastAsia" w:ascii="宋体" w:hAnsi="宋体"/>
                <w:color w:val="auto"/>
              </w:rPr>
              <w:t>不含</w:t>
            </w:r>
            <w:r>
              <w:rPr>
                <w:rFonts w:hint="eastAsia" w:ascii="宋体" w:hAnsi="宋体"/>
                <w:color w:val="auto"/>
                <w:lang w:eastAsia="zh-CN"/>
              </w:rPr>
              <w:t>）</w:t>
            </w:r>
            <w:r>
              <w:rPr>
                <w:rFonts w:hint="eastAsia" w:ascii="宋体" w:hAnsi="宋体"/>
                <w:color w:val="auto"/>
              </w:rPr>
              <w:t>得</w:t>
            </w:r>
            <w:r>
              <w:rPr>
                <w:rFonts w:hint="eastAsia" w:ascii="宋体" w:hAnsi="宋体"/>
                <w:color w:val="auto"/>
                <w:lang w:val="en-US" w:eastAsia="zh-CN"/>
              </w:rPr>
              <w:t>0.7</w:t>
            </w:r>
            <w:r>
              <w:rPr>
                <w:rFonts w:hint="eastAsia" w:ascii="宋体" w:hAnsi="宋体"/>
                <w:color w:val="auto"/>
              </w:rPr>
              <w:t>分；取得建筑施工类专业高级工程师职称证书10年以上</w:t>
            </w:r>
            <w:r>
              <w:rPr>
                <w:rFonts w:hint="eastAsia" w:ascii="宋体" w:hAnsi="宋体"/>
                <w:color w:val="auto"/>
                <w:lang w:eastAsia="zh-CN"/>
              </w:rPr>
              <w:t>（</w:t>
            </w:r>
            <w:r>
              <w:rPr>
                <w:rFonts w:hint="eastAsia" w:ascii="宋体" w:hAnsi="宋体"/>
                <w:color w:val="auto"/>
              </w:rPr>
              <w:t>含</w:t>
            </w:r>
            <w:r>
              <w:rPr>
                <w:rFonts w:hint="eastAsia" w:ascii="宋体" w:hAnsi="宋体"/>
                <w:color w:val="auto"/>
                <w:lang w:eastAsia="zh-CN"/>
              </w:rPr>
              <w:t>）</w:t>
            </w:r>
            <w:r>
              <w:rPr>
                <w:rFonts w:hint="eastAsia" w:ascii="宋体" w:hAnsi="宋体"/>
                <w:color w:val="auto"/>
              </w:rPr>
              <w:t>或建筑施工类专业正高级工程师职称证书得1分。（本项最高得1分）</w:t>
            </w:r>
          </w:p>
          <w:p w14:paraId="47CA7683">
            <w:pPr>
              <w:snapToGrid w:val="0"/>
              <w:spacing w:afterLines="25"/>
              <w:ind w:left="315" w:leftChars="0" w:right="-53" w:rightChars="-25" w:hanging="315" w:hangingChars="150"/>
              <w:rPr>
                <w:rFonts w:ascii="宋体" w:hAnsi="宋体" w:cs="宋体"/>
                <w:color w:val="auto"/>
              </w:rPr>
            </w:pPr>
            <w:r>
              <w:rPr>
                <w:rFonts w:hint="eastAsia" w:ascii="宋体" w:hAnsi="宋体" w:cs="宋体"/>
                <w:color w:val="auto"/>
                <w:lang w:eastAsia="zh-CN"/>
              </w:rPr>
              <w:t>（</w:t>
            </w:r>
            <w:r>
              <w:rPr>
                <w:rFonts w:hint="eastAsia" w:ascii="宋体" w:hAnsi="宋体" w:cs="宋体"/>
                <w:color w:val="auto"/>
              </w:rPr>
              <w:t>6</w:t>
            </w:r>
            <w:r>
              <w:rPr>
                <w:rFonts w:hint="eastAsia" w:ascii="宋体" w:hAnsi="宋体" w:cs="宋体"/>
                <w:color w:val="auto"/>
                <w:lang w:eastAsia="zh-CN"/>
              </w:rPr>
              <w:t>）</w:t>
            </w:r>
            <w:r>
              <w:rPr>
                <w:rFonts w:hint="eastAsia" w:ascii="宋体" w:hAnsi="宋体" w:cs="宋体"/>
                <w:color w:val="auto"/>
              </w:rPr>
              <w:t>装修工程师：</w:t>
            </w:r>
            <w:r>
              <w:rPr>
                <w:rFonts w:hint="eastAsia" w:ascii="宋体" w:hAnsi="宋体"/>
                <w:color w:val="auto"/>
              </w:rPr>
              <w:t>取得建筑装饰施工类专业高级工程师</w:t>
            </w:r>
            <w:r>
              <w:rPr>
                <w:rFonts w:hint="eastAsia" w:ascii="宋体" w:hAnsi="宋体"/>
                <w:color w:val="auto"/>
                <w:lang w:eastAsia="zh-CN"/>
              </w:rPr>
              <w:t>（</w:t>
            </w:r>
            <w:r>
              <w:rPr>
                <w:rFonts w:hint="eastAsia" w:ascii="宋体" w:hAnsi="宋体"/>
                <w:color w:val="auto"/>
              </w:rPr>
              <w:t>或以上</w:t>
            </w:r>
            <w:r>
              <w:rPr>
                <w:rFonts w:hint="eastAsia" w:ascii="宋体" w:hAnsi="宋体"/>
                <w:color w:val="auto"/>
                <w:lang w:eastAsia="zh-CN"/>
              </w:rPr>
              <w:t>）</w:t>
            </w:r>
            <w:r>
              <w:rPr>
                <w:rFonts w:hint="eastAsia" w:ascii="宋体" w:hAnsi="宋体"/>
                <w:color w:val="auto"/>
              </w:rPr>
              <w:t>职称证书</w:t>
            </w:r>
            <w:r>
              <w:rPr>
                <w:rFonts w:hint="eastAsia" w:ascii="宋体" w:hAnsi="宋体" w:cs="宋体"/>
                <w:color w:val="auto"/>
              </w:rPr>
              <w:t>每人</w:t>
            </w:r>
            <w:r>
              <w:rPr>
                <w:rFonts w:hint="eastAsia" w:ascii="宋体" w:hAnsi="宋体"/>
                <w:color w:val="auto"/>
              </w:rPr>
              <w:t>得</w:t>
            </w:r>
            <w:r>
              <w:rPr>
                <w:rFonts w:hint="eastAsia" w:ascii="宋体" w:hAnsi="宋体" w:cs="宋体"/>
                <w:color w:val="auto"/>
                <w:lang w:val="en-US" w:eastAsia="zh-CN"/>
              </w:rPr>
              <w:t>1</w:t>
            </w:r>
            <w:r>
              <w:rPr>
                <w:rFonts w:hint="eastAsia" w:ascii="宋体" w:hAnsi="宋体" w:cs="宋体"/>
                <w:color w:val="auto"/>
              </w:rPr>
              <w:t>分。</w:t>
            </w:r>
            <w:r>
              <w:rPr>
                <w:rFonts w:hint="eastAsia" w:ascii="宋体" w:hAnsi="宋体"/>
                <w:color w:val="auto"/>
              </w:rPr>
              <w:t>（</w:t>
            </w:r>
            <w:r>
              <w:rPr>
                <w:rFonts w:hint="eastAsia" w:ascii="宋体" w:hAnsi="宋体" w:cs="宋体"/>
                <w:color w:val="auto"/>
              </w:rPr>
              <w:t>本项最高</w:t>
            </w:r>
            <w:r>
              <w:rPr>
                <w:rFonts w:hint="eastAsia" w:ascii="宋体" w:hAnsi="宋体"/>
                <w:color w:val="auto"/>
              </w:rPr>
              <w:t>得</w:t>
            </w:r>
            <w:r>
              <w:rPr>
                <w:rFonts w:hint="eastAsia" w:ascii="宋体" w:hAnsi="宋体" w:cs="宋体"/>
                <w:color w:val="auto"/>
              </w:rPr>
              <w:t>3分</w:t>
            </w:r>
            <w:r>
              <w:rPr>
                <w:rFonts w:hint="eastAsia" w:ascii="宋体" w:hAnsi="宋体"/>
                <w:color w:val="auto"/>
              </w:rPr>
              <w:t>）</w:t>
            </w:r>
          </w:p>
          <w:p w14:paraId="2EEAD3AA">
            <w:pPr>
              <w:snapToGrid w:val="0"/>
              <w:spacing w:afterLines="25"/>
              <w:ind w:left="316" w:leftChars="0" w:right="-53" w:rightChars="-25" w:hanging="316" w:hangingChars="150"/>
              <w:rPr>
                <w:rFonts w:ascii="宋体" w:hAnsi="宋体" w:cs="宋体"/>
                <w:color w:val="auto"/>
              </w:rPr>
            </w:pPr>
            <w:r>
              <w:rPr>
                <w:rFonts w:hint="eastAsia" w:ascii="宋体" w:hAnsi="宋体" w:cs="宋体"/>
                <w:b/>
                <w:color w:val="auto"/>
              </w:rPr>
              <w:t>设计团队（联合体设计方人员）</w:t>
            </w:r>
          </w:p>
          <w:p w14:paraId="08B7211A">
            <w:pPr>
              <w:snapToGrid w:val="0"/>
              <w:spacing w:afterLines="25"/>
              <w:ind w:left="315" w:leftChars="0" w:right="-53" w:rightChars="-25" w:hanging="315" w:hangingChars="150"/>
              <w:rPr>
                <w:rFonts w:ascii="宋体" w:hAnsi="宋体" w:cs="宋体"/>
                <w:color w:val="auto"/>
              </w:rPr>
            </w:pPr>
            <w:r>
              <w:rPr>
                <w:rFonts w:hint="eastAsia" w:ascii="宋体" w:hAnsi="宋体" w:cs="宋体"/>
                <w:color w:val="auto"/>
                <w:lang w:eastAsia="zh-CN"/>
              </w:rPr>
              <w:t>（</w:t>
            </w:r>
            <w:r>
              <w:rPr>
                <w:rFonts w:hint="eastAsia" w:ascii="宋体" w:hAnsi="宋体" w:cs="宋体"/>
                <w:color w:val="auto"/>
              </w:rPr>
              <w:t>1</w:t>
            </w:r>
            <w:r>
              <w:rPr>
                <w:rFonts w:hint="eastAsia" w:ascii="宋体" w:hAnsi="宋体" w:cs="宋体"/>
                <w:color w:val="auto"/>
                <w:lang w:eastAsia="zh-CN"/>
              </w:rPr>
              <w:t>）</w:t>
            </w:r>
            <w:r>
              <w:rPr>
                <w:rFonts w:hint="eastAsia" w:ascii="宋体" w:hAnsi="宋体" w:cs="宋体"/>
                <w:color w:val="auto"/>
              </w:rPr>
              <w:t>设计负责人：</w:t>
            </w:r>
          </w:p>
          <w:p w14:paraId="1B4BD656">
            <w:pPr>
              <w:snapToGrid w:val="0"/>
              <w:spacing w:afterLines="25"/>
              <w:ind w:left="315" w:leftChars="100" w:right="-53" w:rightChars="-25" w:hanging="105" w:hangingChars="50"/>
              <w:rPr>
                <w:rFonts w:ascii="宋体" w:hAnsi="宋体" w:cs="宋体"/>
                <w:color w:val="auto"/>
              </w:rPr>
            </w:pPr>
            <w:r>
              <w:rPr>
                <w:rFonts w:hint="eastAsia" w:ascii="宋体" w:hAnsi="宋体" w:cs="宋体"/>
                <w:color w:val="auto"/>
              </w:rPr>
              <w:t xml:space="preserve"> </w:t>
            </w:r>
            <w:r>
              <w:rPr>
                <w:rFonts w:hint="eastAsia" w:ascii="宋体" w:hAnsi="宋体"/>
                <w:color w:val="auto"/>
              </w:rPr>
              <w:t>取得建筑相关专业高级工程师职称证书得0.</w:t>
            </w:r>
            <w:r>
              <w:rPr>
                <w:rFonts w:hint="eastAsia" w:ascii="宋体" w:hAnsi="宋体"/>
                <w:color w:val="auto"/>
                <w:lang w:val="en-US" w:eastAsia="zh-CN"/>
              </w:rPr>
              <w:t>25</w:t>
            </w:r>
            <w:r>
              <w:rPr>
                <w:rFonts w:hint="eastAsia" w:ascii="宋体" w:hAnsi="宋体"/>
                <w:color w:val="auto"/>
              </w:rPr>
              <w:t>分；取得建筑相关专业正高级工程师职称证书得</w:t>
            </w:r>
            <w:r>
              <w:rPr>
                <w:rFonts w:hint="eastAsia" w:ascii="宋体" w:hAnsi="宋体"/>
                <w:color w:val="auto"/>
                <w:lang w:val="en-US" w:eastAsia="zh-CN"/>
              </w:rPr>
              <w:t>0.5</w:t>
            </w:r>
            <w:r>
              <w:rPr>
                <w:rFonts w:hint="eastAsia" w:ascii="宋体" w:hAnsi="宋体"/>
                <w:color w:val="auto"/>
              </w:rPr>
              <w:t>分。（本项最</w:t>
            </w:r>
            <w:r>
              <w:rPr>
                <w:rFonts w:hint="eastAsia" w:ascii="宋体" w:hAnsi="宋体"/>
                <w:color w:val="auto"/>
                <w:lang w:val="en-US" w:eastAsia="zh-CN"/>
              </w:rPr>
              <w:t>高得0.5）</w:t>
            </w:r>
          </w:p>
          <w:p w14:paraId="34215BAA">
            <w:pPr>
              <w:snapToGrid w:val="0"/>
              <w:spacing w:afterLines="25"/>
              <w:ind w:left="315" w:leftChars="0" w:right="-53" w:rightChars="-25" w:hanging="315" w:hangingChars="150"/>
              <w:rPr>
                <w:rFonts w:ascii="宋体" w:hAnsi="宋体" w:cs="宋体"/>
                <w:color w:val="auto"/>
              </w:rPr>
            </w:pPr>
            <w:r>
              <w:rPr>
                <w:rFonts w:hint="eastAsia" w:ascii="宋体" w:hAnsi="宋体" w:cs="宋体"/>
                <w:color w:val="auto"/>
                <w:lang w:eastAsia="zh-CN"/>
              </w:rPr>
              <w:t>（</w:t>
            </w:r>
            <w:r>
              <w:rPr>
                <w:rFonts w:hint="eastAsia" w:ascii="宋体" w:hAnsi="宋体" w:cs="宋体"/>
                <w:color w:val="auto"/>
              </w:rPr>
              <w:t>2</w:t>
            </w:r>
            <w:r>
              <w:rPr>
                <w:rFonts w:hint="eastAsia" w:ascii="宋体" w:hAnsi="宋体" w:cs="宋体"/>
                <w:color w:val="auto"/>
                <w:lang w:eastAsia="zh-CN"/>
              </w:rPr>
              <w:t>）</w:t>
            </w:r>
            <w:r>
              <w:rPr>
                <w:rFonts w:hint="eastAsia" w:ascii="宋体" w:hAnsi="宋体" w:cs="宋体"/>
                <w:color w:val="auto"/>
              </w:rPr>
              <w:t>设计技术负责人：</w:t>
            </w:r>
          </w:p>
          <w:p w14:paraId="3C28B64A">
            <w:pPr>
              <w:snapToGrid w:val="0"/>
              <w:spacing w:afterLines="25"/>
              <w:ind w:left="315" w:right="-53" w:rightChars="-25" w:hanging="315" w:hangingChars="150"/>
              <w:rPr>
                <w:rFonts w:ascii="宋体" w:hAnsi="宋体" w:cs="宋体"/>
                <w:color w:val="auto"/>
                <w:spacing w:val="-3"/>
              </w:rPr>
            </w:pPr>
            <w:r>
              <w:rPr>
                <w:rFonts w:hint="eastAsia" w:ascii="宋体" w:hAnsi="宋体" w:cs="宋体"/>
                <w:color w:val="auto"/>
              </w:rPr>
              <w:t xml:space="preserve">① </w:t>
            </w:r>
            <w:r>
              <w:rPr>
                <w:rFonts w:hint="eastAsia" w:ascii="宋体" w:hAnsi="宋体"/>
                <w:color w:val="auto"/>
              </w:rPr>
              <w:t>取得建筑结构设计类专业高级工程师职称证书得0.</w:t>
            </w:r>
            <w:r>
              <w:rPr>
                <w:rFonts w:hint="eastAsia" w:ascii="宋体" w:hAnsi="宋体"/>
                <w:color w:val="auto"/>
                <w:lang w:val="en-US" w:eastAsia="zh-CN"/>
              </w:rPr>
              <w:t>25</w:t>
            </w:r>
            <w:r>
              <w:rPr>
                <w:rFonts w:hint="eastAsia" w:ascii="宋体" w:hAnsi="宋体"/>
                <w:color w:val="auto"/>
              </w:rPr>
              <w:t>分；取得建筑结构设计类专业正高级工程师职称证书得</w:t>
            </w:r>
            <w:r>
              <w:rPr>
                <w:rFonts w:hint="eastAsia" w:ascii="宋体" w:hAnsi="宋体"/>
                <w:color w:val="auto"/>
                <w:lang w:val="en-US" w:eastAsia="zh-CN"/>
              </w:rPr>
              <w:t>0.5</w:t>
            </w:r>
            <w:r>
              <w:rPr>
                <w:rFonts w:hint="eastAsia" w:ascii="宋体" w:hAnsi="宋体"/>
                <w:color w:val="auto"/>
              </w:rPr>
              <w:t>分。（本项最高得</w:t>
            </w:r>
            <w:r>
              <w:rPr>
                <w:rFonts w:hint="eastAsia" w:ascii="宋体" w:hAnsi="宋体"/>
                <w:color w:val="auto"/>
                <w:lang w:val="en-US" w:eastAsia="zh-CN"/>
              </w:rPr>
              <w:t>0.5</w:t>
            </w:r>
            <w:r>
              <w:rPr>
                <w:rFonts w:hint="eastAsia" w:ascii="宋体" w:hAnsi="宋体"/>
                <w:color w:val="auto"/>
              </w:rPr>
              <w:t>分）</w:t>
            </w:r>
          </w:p>
          <w:p w14:paraId="15AA473D">
            <w:pPr>
              <w:pStyle w:val="20"/>
              <w:numPr>
                <w:ilvl w:val="0"/>
                <w:numId w:val="0"/>
              </w:numPr>
              <w:tabs>
                <w:tab w:val="left" w:pos="0"/>
              </w:tabs>
              <w:rPr>
                <w:rFonts w:hint="eastAsia" w:ascii="宋体" w:hAnsi="宋体"/>
                <w:szCs w:val="21"/>
              </w:rPr>
            </w:pPr>
            <w:r>
              <w:rPr>
                <w:rFonts w:hint="eastAsia" w:ascii="宋体" w:hAnsi="宋体" w:cs="宋体"/>
                <w:color w:val="auto"/>
              </w:rPr>
              <w:t>② 获得</w:t>
            </w:r>
            <w:r>
              <w:rPr>
                <w:rFonts w:hint="eastAsia" w:ascii="宋体" w:hAnsi="宋体"/>
                <w:color w:val="auto"/>
              </w:rPr>
              <w:t>市级“</w:t>
            </w:r>
            <w:r>
              <w:rPr>
                <w:rFonts w:hint="eastAsia" w:ascii="宋体" w:hAnsi="宋体" w:cs="宋体"/>
                <w:color w:val="auto"/>
              </w:rPr>
              <w:t>勘察设计大师”称号得0.</w:t>
            </w:r>
            <w:r>
              <w:rPr>
                <w:rFonts w:hint="eastAsia" w:ascii="宋体" w:hAnsi="宋体" w:cs="宋体"/>
                <w:color w:val="auto"/>
                <w:lang w:val="en-US" w:eastAsia="zh-CN"/>
              </w:rPr>
              <w:t>25</w:t>
            </w:r>
            <w:r>
              <w:rPr>
                <w:rFonts w:hint="eastAsia" w:ascii="宋体" w:hAnsi="宋体" w:cs="宋体"/>
                <w:color w:val="auto"/>
              </w:rPr>
              <w:t>分；获得省级</w:t>
            </w:r>
            <w:r>
              <w:rPr>
                <w:rFonts w:hint="eastAsia" w:ascii="宋体" w:hAnsi="宋体" w:cs="宋体"/>
                <w:color w:val="auto"/>
                <w:lang w:eastAsia="zh-CN"/>
              </w:rPr>
              <w:t>（</w:t>
            </w:r>
            <w:r>
              <w:rPr>
                <w:rFonts w:hint="eastAsia" w:ascii="宋体" w:hAnsi="宋体" w:cs="宋体"/>
                <w:color w:val="auto"/>
              </w:rPr>
              <w:t>或以上</w:t>
            </w:r>
            <w:r>
              <w:rPr>
                <w:rFonts w:hint="eastAsia" w:ascii="宋体" w:hAnsi="宋体" w:cs="宋体"/>
                <w:color w:val="auto"/>
                <w:lang w:eastAsia="zh-CN"/>
              </w:rPr>
              <w:t>）</w:t>
            </w:r>
            <w:r>
              <w:rPr>
                <w:rFonts w:hint="eastAsia" w:ascii="宋体" w:hAnsi="宋体"/>
                <w:color w:val="auto"/>
              </w:rPr>
              <w:t>“</w:t>
            </w:r>
            <w:r>
              <w:rPr>
                <w:rFonts w:hint="eastAsia" w:ascii="宋体" w:hAnsi="宋体" w:cs="宋体"/>
                <w:color w:val="auto"/>
              </w:rPr>
              <w:t>勘察设计大师”称号</w:t>
            </w:r>
            <w:r>
              <w:rPr>
                <w:rFonts w:hint="eastAsia" w:ascii="宋体" w:hAnsi="宋体" w:cs="宋体"/>
                <w:color w:val="auto"/>
                <w:lang w:val="en-US" w:eastAsia="zh-CN"/>
              </w:rPr>
              <w:t>或获得中国科学院、工程院院士称号</w:t>
            </w:r>
            <w:r>
              <w:rPr>
                <w:rFonts w:hint="eastAsia" w:ascii="宋体" w:hAnsi="宋体" w:cs="宋体"/>
                <w:color w:val="auto"/>
              </w:rPr>
              <w:t>得</w:t>
            </w:r>
            <w:r>
              <w:rPr>
                <w:rFonts w:hint="eastAsia" w:ascii="宋体" w:hAnsi="宋体" w:cs="宋体"/>
                <w:color w:val="auto"/>
                <w:lang w:val="en-US" w:eastAsia="zh-CN"/>
              </w:rPr>
              <w:t>0.5</w:t>
            </w:r>
            <w:r>
              <w:rPr>
                <w:rFonts w:hint="eastAsia" w:ascii="宋体" w:hAnsi="宋体" w:cs="宋体"/>
                <w:color w:val="auto"/>
              </w:rPr>
              <w:t>分。</w:t>
            </w:r>
            <w:r>
              <w:rPr>
                <w:rFonts w:hint="eastAsia" w:ascii="宋体" w:hAnsi="宋体"/>
                <w:color w:val="auto"/>
              </w:rPr>
              <w:t>（本项最高得</w:t>
            </w:r>
            <w:r>
              <w:rPr>
                <w:rFonts w:hint="eastAsia" w:ascii="宋体" w:hAnsi="宋体"/>
                <w:color w:val="auto"/>
                <w:lang w:val="en-US" w:eastAsia="zh-CN"/>
              </w:rPr>
              <w:t>0.5</w:t>
            </w:r>
            <w:r>
              <w:rPr>
                <w:rFonts w:hint="eastAsia" w:ascii="宋体" w:hAnsi="宋体"/>
                <w:color w:val="auto"/>
              </w:rPr>
              <w:t>分）</w:t>
            </w:r>
          </w:p>
        </w:tc>
      </w:tr>
      <w:tr w14:paraId="427A65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noWrap w:val="0"/>
            <w:vAlign w:val="center"/>
          </w:tcPr>
          <w:p w14:paraId="01814B1C">
            <w:pPr>
              <w:snapToGrid w:val="0"/>
              <w:ind w:left="-53" w:leftChars="-25" w:right="-53" w:rightChars="-25"/>
              <w:rPr>
                <w:rFonts w:hint="eastAsia" w:ascii="宋体" w:hAnsi="宋体" w:cs="宋体"/>
              </w:rPr>
            </w:pPr>
          </w:p>
        </w:tc>
        <w:tc>
          <w:tcPr>
            <w:tcW w:w="1005" w:type="dxa"/>
            <w:vMerge w:val="continue"/>
            <w:tcBorders>
              <w:right w:val="single" w:color="auto" w:sz="4" w:space="0"/>
            </w:tcBorders>
            <w:noWrap w:val="0"/>
            <w:vAlign w:val="top"/>
          </w:tcPr>
          <w:p w14:paraId="0B12B5C4">
            <w:pPr>
              <w:snapToGrid w:val="0"/>
              <w:ind w:left="-53" w:leftChars="-25" w:right="-53" w:rightChars="-25"/>
              <w:jc w:val="center"/>
              <w:rPr>
                <w:rFonts w:hint="eastAsia" w:ascii="宋体" w:hAnsi="宋体" w:cs="宋体"/>
              </w:rPr>
            </w:pPr>
          </w:p>
        </w:tc>
        <w:tc>
          <w:tcPr>
            <w:tcW w:w="966" w:type="dxa"/>
            <w:vMerge w:val="restart"/>
            <w:tcBorders>
              <w:top w:val="single" w:color="auto" w:sz="4" w:space="0"/>
              <w:left w:val="single" w:color="auto" w:sz="4" w:space="0"/>
              <w:right w:val="single" w:color="auto" w:sz="4" w:space="0"/>
            </w:tcBorders>
            <w:noWrap w:val="0"/>
            <w:vAlign w:val="center"/>
          </w:tcPr>
          <w:p w14:paraId="6A878E24">
            <w:pPr>
              <w:snapToGrid w:val="0"/>
              <w:ind w:left="-53" w:leftChars="-25" w:right="-53" w:rightChars="-25"/>
              <w:jc w:val="center"/>
              <w:rPr>
                <w:rFonts w:hint="eastAsia" w:ascii="宋体" w:hAnsi="宋体" w:cs="宋体"/>
              </w:rPr>
            </w:pPr>
            <w:r>
              <w:rPr>
                <w:rFonts w:hint="eastAsia" w:ascii="宋体" w:hAnsi="宋体" w:cs="宋体"/>
              </w:rPr>
              <w:t>工程实施方案</w:t>
            </w:r>
          </w:p>
          <w:p w14:paraId="769A09C7">
            <w:pPr>
              <w:snapToGrid w:val="0"/>
              <w:ind w:left="-53" w:leftChars="-25" w:right="-53" w:rightChars="-25"/>
              <w:jc w:val="center"/>
              <w:rPr>
                <w:rFonts w:hint="eastAsia" w:ascii="宋体" w:hAnsi="宋体" w:cs="宋体"/>
              </w:rPr>
            </w:pPr>
            <w:r>
              <w:rPr>
                <w:rFonts w:hint="eastAsia" w:ascii="宋体" w:hAnsi="宋体" w:cs="宋体"/>
              </w:rPr>
              <w:t>（</w:t>
            </w:r>
            <w:r>
              <w:rPr>
                <w:rFonts w:hint="eastAsia" w:ascii="宋体" w:hAnsi="宋体" w:cs="宋体"/>
                <w:lang w:val="en-US" w:eastAsia="zh-CN"/>
              </w:rPr>
              <w:t>76</w:t>
            </w:r>
            <w:r>
              <w:rPr>
                <w:rFonts w:hint="eastAsia" w:ascii="宋体" w:hAnsi="宋体" w:cs="宋体"/>
              </w:rPr>
              <w:t>分）</w:t>
            </w:r>
          </w:p>
        </w:tc>
        <w:tc>
          <w:tcPr>
            <w:tcW w:w="1459" w:type="dxa"/>
            <w:tcBorders>
              <w:top w:val="single" w:color="auto" w:sz="4" w:space="0"/>
              <w:left w:val="single" w:color="auto" w:sz="4" w:space="0"/>
              <w:bottom w:val="single" w:color="auto" w:sz="4" w:space="0"/>
              <w:right w:val="single" w:color="auto" w:sz="4" w:space="0"/>
            </w:tcBorders>
            <w:noWrap w:val="0"/>
            <w:vAlign w:val="center"/>
          </w:tcPr>
          <w:p w14:paraId="0CCA568F">
            <w:pPr>
              <w:snapToGrid w:val="0"/>
              <w:ind w:left="-53" w:leftChars="-25" w:right="-53" w:rightChars="-25"/>
              <w:jc w:val="center"/>
              <w:rPr>
                <w:rFonts w:ascii="宋体" w:hAnsi="宋体" w:cs="宋体"/>
              </w:rPr>
            </w:pPr>
            <w:r>
              <w:rPr>
                <w:rFonts w:hint="eastAsia" w:ascii="宋体" w:hAnsi="宋体" w:cs="宋体"/>
              </w:rPr>
              <w:t>设计和施工</w:t>
            </w:r>
          </w:p>
          <w:p w14:paraId="0E017625">
            <w:pPr>
              <w:snapToGrid w:val="0"/>
              <w:ind w:left="-53" w:leftChars="-25" w:right="-53" w:rightChars="-25"/>
              <w:jc w:val="center"/>
              <w:rPr>
                <w:rFonts w:ascii="宋体" w:hAnsi="宋体" w:cs="宋体"/>
              </w:rPr>
            </w:pPr>
            <w:r>
              <w:rPr>
                <w:rFonts w:hint="eastAsia" w:ascii="宋体" w:hAnsi="宋体" w:cs="宋体"/>
              </w:rPr>
              <w:t>融合措施</w:t>
            </w:r>
          </w:p>
          <w:p w14:paraId="35ACCE11">
            <w:pPr>
              <w:snapToGrid w:val="0"/>
              <w:ind w:left="-53" w:leftChars="-25" w:right="-53" w:rightChars="-25"/>
              <w:jc w:val="center"/>
              <w:rPr>
                <w:rFonts w:hint="eastAsia" w:ascii="宋体" w:hAnsi="宋体" w:cs="宋体"/>
              </w:rPr>
            </w:pPr>
            <w:r>
              <w:rPr>
                <w:rFonts w:hint="eastAsia" w:ascii="宋体" w:hAnsi="宋体" w:cs="宋体"/>
              </w:rPr>
              <w:t>（</w:t>
            </w:r>
            <w:r>
              <w:rPr>
                <w:rFonts w:hint="eastAsia" w:ascii="宋体" w:hAnsi="宋体" w:cs="宋体"/>
                <w:lang w:val="en-US" w:eastAsia="zh-CN"/>
              </w:rPr>
              <w:t>12</w:t>
            </w:r>
            <w:r>
              <w:rPr>
                <w:rFonts w:hint="eastAsia" w:ascii="宋体" w:hAnsi="宋体" w:cs="宋体"/>
              </w:rPr>
              <w:t>分）</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79DC0106">
            <w:pPr>
              <w:numPr>
                <w:ilvl w:val="0"/>
                <w:numId w:val="0"/>
              </w:numPr>
              <w:snapToGrid w:val="0"/>
              <w:spacing w:afterLines="25"/>
              <w:ind w:left="0" w:leftChars="0" w:right="0" w:rightChars="0" w:firstLine="0" w:firstLineChars="0"/>
              <w:rPr>
                <w:rFonts w:hint="eastAsia" w:ascii="宋体" w:hAnsi="宋体" w:eastAsia="宋体" w:cs="Times New Roman"/>
                <w:szCs w:val="21"/>
                <w:lang w:eastAsia="zh-CN"/>
              </w:rPr>
            </w:pPr>
            <w:r>
              <w:rPr>
                <w:rFonts w:hint="eastAsia" w:ascii="宋体" w:hAnsi="宋体" w:eastAsia="宋体" w:cs="Times New Roman"/>
                <w:szCs w:val="21"/>
              </w:rPr>
              <w:t>针对本项目特点，制定了相应的设计和施工的融合措施</w:t>
            </w:r>
            <w:r>
              <w:rPr>
                <w:rFonts w:hint="eastAsia" w:ascii="宋体" w:hAnsi="宋体" w:eastAsia="宋体" w:cs="Times New Roman"/>
                <w:szCs w:val="21"/>
                <w:lang w:eastAsia="zh-CN"/>
              </w:rPr>
              <w:t>。</w:t>
            </w:r>
          </w:p>
          <w:p w14:paraId="3AA281D5">
            <w:pPr>
              <w:numPr>
                <w:ilvl w:val="0"/>
                <w:numId w:val="0"/>
              </w:numPr>
              <w:snapToGrid w:val="0"/>
              <w:spacing w:afterLines="25"/>
              <w:ind w:left="0" w:leftChars="0" w:right="0" w:rightChars="0" w:firstLine="0" w:firstLineChars="0"/>
              <w:rPr>
                <w:rFonts w:hint="eastAsia" w:ascii="宋体" w:hAnsi="宋体" w:eastAsia="宋体" w:cs="Times New Roman"/>
                <w:szCs w:val="21"/>
              </w:rPr>
            </w:pPr>
            <w:r>
              <w:rPr>
                <w:rFonts w:hint="eastAsia" w:ascii="宋体" w:hAnsi="宋体" w:eastAsia="宋体" w:cs="Times New Roman"/>
                <w:b w:val="0"/>
                <w:bCs w:val="0"/>
                <w:szCs w:val="21"/>
              </w:rPr>
              <w:t>[优]</w:t>
            </w:r>
            <w:r>
              <w:rPr>
                <w:rFonts w:hint="eastAsia" w:ascii="宋体" w:hAnsi="宋体" w:eastAsia="宋体" w:cs="Times New Roman"/>
                <w:szCs w:val="21"/>
              </w:rPr>
              <w:t>有明确清晰的设计和施工融合目标，有行之有效的设计和施工融合管理体系，有逻辑性强、条理清晰的设计和施工融合措施，确保在项目的设计、施工及保修等过程中，设计方、施工方紧密协作以满足项目的各阶段需求，得12分。</w:t>
            </w:r>
          </w:p>
          <w:p w14:paraId="63FA4818">
            <w:pPr>
              <w:snapToGrid w:val="0"/>
              <w:spacing w:afterLines="25"/>
              <w:ind w:left="0" w:leftChars="0" w:right="0" w:rightChars="0" w:firstLine="0" w:firstLineChars="0"/>
              <w:rPr>
                <w:rFonts w:hint="eastAsia" w:ascii="宋体" w:hAnsi="宋体" w:eastAsia="宋体" w:cs="Times New Roman"/>
                <w:szCs w:val="21"/>
              </w:rPr>
            </w:pPr>
            <w:r>
              <w:rPr>
                <w:rFonts w:hint="eastAsia" w:ascii="宋体" w:hAnsi="宋体" w:eastAsia="宋体" w:cs="Times New Roman"/>
                <w:b w:val="0"/>
                <w:bCs w:val="0"/>
                <w:szCs w:val="21"/>
              </w:rPr>
              <w:t>[</w:t>
            </w:r>
            <w:r>
              <w:rPr>
                <w:rFonts w:hint="eastAsia" w:ascii="宋体" w:hAnsi="宋体" w:eastAsia="宋体" w:cs="Times New Roman"/>
                <w:b w:val="0"/>
                <w:bCs w:val="0"/>
                <w:szCs w:val="21"/>
                <w:lang w:val="en-US" w:eastAsia="zh-CN"/>
              </w:rPr>
              <w:t>良</w:t>
            </w:r>
            <w:r>
              <w:rPr>
                <w:rFonts w:hint="eastAsia" w:ascii="宋体" w:hAnsi="宋体" w:eastAsia="宋体" w:cs="Times New Roman"/>
                <w:b w:val="0"/>
                <w:bCs w:val="0"/>
                <w:szCs w:val="21"/>
              </w:rPr>
              <w:t>]</w:t>
            </w:r>
            <w:r>
              <w:rPr>
                <w:rFonts w:hint="eastAsia" w:ascii="宋体" w:hAnsi="宋体" w:eastAsia="宋体" w:cs="Times New Roman"/>
                <w:szCs w:val="21"/>
              </w:rPr>
              <w:t>有设计和施工融合措施，有效的设计和施工融合管理体系，逻辑性较强、条理较清晰的设计和施工融合措施，在项目的设计、施工及保修等过程中，设计方、施工方协作较满足项目的各阶段需求，得10分。</w:t>
            </w:r>
          </w:p>
          <w:p w14:paraId="1B5524F4">
            <w:pPr>
              <w:snapToGrid w:val="0"/>
              <w:spacing w:afterLines="25"/>
              <w:ind w:left="0" w:leftChars="0" w:right="0" w:rightChars="0" w:firstLine="0" w:firstLineChars="0"/>
              <w:rPr>
                <w:rFonts w:hint="eastAsia" w:ascii="宋体" w:hAnsi="宋体" w:eastAsia="宋体" w:cs="Times New Roman"/>
                <w:szCs w:val="21"/>
              </w:rPr>
            </w:pPr>
            <w:r>
              <w:rPr>
                <w:rFonts w:hint="eastAsia" w:ascii="宋体" w:hAnsi="宋体" w:eastAsia="宋体" w:cs="Times New Roman"/>
                <w:b w:val="0"/>
                <w:bCs w:val="0"/>
                <w:szCs w:val="21"/>
              </w:rPr>
              <w:t>[</w:t>
            </w:r>
            <w:r>
              <w:rPr>
                <w:rFonts w:hint="eastAsia" w:ascii="宋体" w:hAnsi="宋体" w:eastAsia="宋体" w:cs="Times New Roman"/>
                <w:b w:val="0"/>
                <w:bCs w:val="0"/>
                <w:szCs w:val="21"/>
                <w:lang w:val="en-US" w:eastAsia="zh-CN"/>
              </w:rPr>
              <w:t>中</w:t>
            </w:r>
            <w:r>
              <w:rPr>
                <w:rFonts w:hint="eastAsia" w:ascii="宋体" w:hAnsi="宋体" w:eastAsia="宋体" w:cs="Times New Roman"/>
                <w:b w:val="0"/>
                <w:bCs w:val="0"/>
                <w:szCs w:val="21"/>
              </w:rPr>
              <w:t>]</w:t>
            </w:r>
            <w:r>
              <w:rPr>
                <w:rFonts w:hint="eastAsia" w:ascii="宋体" w:hAnsi="宋体" w:eastAsia="宋体" w:cs="Times New Roman"/>
                <w:szCs w:val="21"/>
              </w:rPr>
              <w:t>有设计和施工融合措施，有设计和施工融合管理体系，逻辑性较一般、条理一般的设计和施工融合措施，在项目的设计、施工及保修等过程中，设计方、施工方协作基本符合项目的各阶段需求，得8分。</w:t>
            </w:r>
          </w:p>
          <w:p w14:paraId="1BAD16B3">
            <w:pPr>
              <w:snapToGrid w:val="0"/>
              <w:spacing w:afterLines="25"/>
              <w:ind w:left="0" w:leftChars="0" w:right="0" w:rightChars="0" w:firstLine="0" w:firstLineChars="0"/>
              <w:rPr>
                <w:rFonts w:hint="eastAsia" w:ascii="宋体" w:hAnsi="宋体" w:eastAsia="宋体" w:cs="Times New Roman"/>
                <w:szCs w:val="21"/>
              </w:rPr>
            </w:pPr>
            <w:r>
              <w:rPr>
                <w:rFonts w:hint="eastAsia" w:ascii="宋体" w:hAnsi="宋体" w:eastAsia="宋体" w:cs="Times New Roman"/>
                <w:b w:val="0"/>
                <w:bCs w:val="0"/>
                <w:szCs w:val="21"/>
              </w:rPr>
              <w:t>[</w:t>
            </w:r>
            <w:r>
              <w:rPr>
                <w:rFonts w:hint="eastAsia" w:ascii="宋体" w:hAnsi="宋体" w:eastAsia="宋体" w:cs="Times New Roman"/>
                <w:b w:val="0"/>
                <w:bCs w:val="0"/>
                <w:szCs w:val="21"/>
                <w:lang w:val="en-US" w:eastAsia="zh-CN"/>
              </w:rPr>
              <w:t>差</w:t>
            </w:r>
            <w:r>
              <w:rPr>
                <w:rFonts w:hint="eastAsia" w:ascii="宋体" w:hAnsi="宋体" w:eastAsia="宋体" w:cs="Times New Roman"/>
                <w:b w:val="0"/>
                <w:bCs w:val="0"/>
                <w:szCs w:val="21"/>
              </w:rPr>
              <w:t>]</w:t>
            </w:r>
            <w:r>
              <w:rPr>
                <w:rFonts w:hint="eastAsia" w:ascii="宋体" w:hAnsi="宋体" w:eastAsia="宋体" w:cs="Times New Roman"/>
                <w:szCs w:val="21"/>
              </w:rPr>
              <w:t>没有提供上述内容的，得0分。</w:t>
            </w:r>
          </w:p>
        </w:tc>
      </w:tr>
      <w:tr w14:paraId="7598F4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noWrap w:val="0"/>
            <w:vAlign w:val="center"/>
          </w:tcPr>
          <w:p w14:paraId="112D1C19">
            <w:pPr>
              <w:snapToGrid w:val="0"/>
              <w:ind w:left="-53" w:leftChars="-25" w:right="-53" w:rightChars="-25"/>
              <w:rPr>
                <w:rFonts w:hint="eastAsia" w:ascii="宋体" w:hAnsi="宋体" w:cs="宋体"/>
              </w:rPr>
            </w:pPr>
          </w:p>
        </w:tc>
        <w:tc>
          <w:tcPr>
            <w:tcW w:w="1005" w:type="dxa"/>
            <w:vMerge w:val="continue"/>
            <w:tcBorders>
              <w:right w:val="single" w:color="auto" w:sz="4" w:space="0"/>
            </w:tcBorders>
            <w:noWrap w:val="0"/>
            <w:vAlign w:val="top"/>
          </w:tcPr>
          <w:p w14:paraId="5F654ADB">
            <w:pPr>
              <w:snapToGrid w:val="0"/>
              <w:ind w:left="-53" w:leftChars="-25" w:right="-53" w:rightChars="-25"/>
              <w:jc w:val="center"/>
              <w:rPr>
                <w:rFonts w:hint="eastAsia" w:ascii="宋体" w:hAnsi="宋体" w:cs="宋体"/>
              </w:rPr>
            </w:pPr>
          </w:p>
        </w:tc>
        <w:tc>
          <w:tcPr>
            <w:tcW w:w="966" w:type="dxa"/>
            <w:vMerge w:val="continue"/>
            <w:tcBorders>
              <w:left w:val="single" w:color="auto" w:sz="4" w:space="0"/>
              <w:right w:val="single" w:color="auto" w:sz="4" w:space="0"/>
            </w:tcBorders>
            <w:noWrap w:val="0"/>
            <w:vAlign w:val="center"/>
          </w:tcPr>
          <w:p w14:paraId="63A88689">
            <w:pPr>
              <w:snapToGrid w:val="0"/>
              <w:jc w:val="center"/>
              <w:rPr>
                <w:rFonts w:hint="eastAsia" w:ascii="宋体" w:hAnsi="宋体" w:cs="宋体"/>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1C3A443E">
            <w:pPr>
              <w:snapToGrid w:val="0"/>
              <w:ind w:left="-53" w:leftChars="-25" w:right="-53" w:rightChars="-25"/>
              <w:jc w:val="center"/>
              <w:rPr>
                <w:rFonts w:ascii="宋体" w:hAnsi="宋体" w:cs="宋体"/>
              </w:rPr>
            </w:pPr>
            <w:r>
              <w:rPr>
                <w:rFonts w:hint="eastAsia" w:ascii="宋体" w:hAnsi="宋体" w:cs="宋体"/>
              </w:rPr>
              <w:t>绿色节能</w:t>
            </w:r>
          </w:p>
          <w:p w14:paraId="22E40693">
            <w:pPr>
              <w:snapToGrid w:val="0"/>
              <w:ind w:left="-53" w:leftChars="-25" w:right="-53" w:rightChars="-25"/>
              <w:jc w:val="center"/>
              <w:rPr>
                <w:rFonts w:ascii="宋体" w:hAnsi="宋体" w:cs="宋体"/>
              </w:rPr>
            </w:pPr>
            <w:r>
              <w:rPr>
                <w:rFonts w:hint="eastAsia" w:ascii="宋体" w:hAnsi="宋体" w:cs="宋体"/>
              </w:rPr>
              <w:t>控制措施</w:t>
            </w:r>
          </w:p>
          <w:p w14:paraId="1C4EC8F1">
            <w:pPr>
              <w:snapToGrid w:val="0"/>
              <w:ind w:left="-53" w:leftChars="-25" w:right="-53" w:rightChars="-25"/>
              <w:jc w:val="center"/>
              <w:rPr>
                <w:rFonts w:hint="eastAsia" w:ascii="宋体" w:hAnsi="宋体" w:cs="宋体"/>
              </w:rPr>
            </w:pPr>
            <w:r>
              <w:rPr>
                <w:rFonts w:hint="eastAsia" w:ascii="宋体" w:hAnsi="宋体" w:cs="宋体"/>
              </w:rPr>
              <w:t>（</w:t>
            </w:r>
            <w:r>
              <w:rPr>
                <w:rFonts w:hint="eastAsia" w:ascii="宋体" w:hAnsi="宋体" w:cs="宋体"/>
                <w:lang w:val="en-US" w:eastAsia="zh-CN"/>
              </w:rPr>
              <w:t>10</w:t>
            </w:r>
            <w:r>
              <w:rPr>
                <w:rFonts w:hint="eastAsia" w:ascii="宋体" w:hAnsi="宋体" w:cs="宋体"/>
              </w:rPr>
              <w:t>分）</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62EA3B09">
            <w:pPr>
              <w:snapToGrid w:val="0"/>
              <w:spacing w:afterLines="25"/>
              <w:ind w:left="0" w:leftChars="0" w:right="0" w:rightChars="0" w:firstLine="0" w:firstLineChars="0"/>
              <w:rPr>
                <w:rFonts w:hint="eastAsia" w:ascii="宋体" w:hAnsi="宋体" w:eastAsia="宋体" w:cs="Times New Roman"/>
                <w:szCs w:val="21"/>
              </w:rPr>
            </w:pPr>
            <w:r>
              <w:rPr>
                <w:rFonts w:hint="eastAsia" w:ascii="宋体" w:hAnsi="宋体" w:eastAsia="宋体" w:cs="Times New Roman"/>
                <w:szCs w:val="21"/>
              </w:rPr>
              <w:t>针对本项目特点，制定了相应的绿色节能控制措施；最大限度地节约资源与减少对环境的负面影响，以达到“四节一环保”目标。</w:t>
            </w:r>
          </w:p>
          <w:p w14:paraId="025E97C6">
            <w:pPr>
              <w:snapToGrid w:val="0"/>
              <w:spacing w:afterLines="25"/>
              <w:ind w:left="0" w:leftChars="0" w:right="0" w:rightChars="0" w:firstLine="0" w:firstLineChars="0"/>
              <w:rPr>
                <w:rFonts w:hint="eastAsia" w:ascii="宋体" w:hAnsi="宋体" w:eastAsia="宋体" w:cs="Times New Roman"/>
                <w:szCs w:val="21"/>
              </w:rPr>
            </w:pPr>
            <w:r>
              <w:rPr>
                <w:rFonts w:hint="eastAsia" w:ascii="宋体" w:hAnsi="宋体" w:eastAsia="宋体" w:cs="Times New Roman"/>
                <w:b w:val="0"/>
                <w:bCs w:val="0"/>
                <w:szCs w:val="21"/>
              </w:rPr>
              <w:t>[优]</w:t>
            </w:r>
            <w:r>
              <w:rPr>
                <w:rFonts w:hint="eastAsia" w:ascii="宋体" w:hAnsi="宋体" w:eastAsia="宋体" w:cs="Times New Roman"/>
                <w:szCs w:val="21"/>
              </w:rPr>
              <w:t>有针对性强的绿色节能控制措施，有科学、合理的环境保护措施，有承诺在施工过程中通过科学管理和先进的技术手段，最大限度地节约资源与减少对环境的负面影响，得10分。</w:t>
            </w:r>
          </w:p>
          <w:p w14:paraId="3299529C">
            <w:pPr>
              <w:snapToGrid w:val="0"/>
              <w:spacing w:afterLines="25"/>
              <w:ind w:left="0" w:leftChars="0" w:right="0" w:rightChars="0" w:firstLine="0" w:firstLineChars="0"/>
              <w:rPr>
                <w:rFonts w:hint="eastAsia" w:ascii="宋体" w:hAnsi="宋体" w:eastAsia="宋体" w:cs="Times New Roman"/>
                <w:szCs w:val="21"/>
              </w:rPr>
            </w:pPr>
            <w:r>
              <w:rPr>
                <w:rFonts w:hint="eastAsia" w:ascii="宋体" w:hAnsi="宋体" w:eastAsia="宋体" w:cs="Times New Roman"/>
                <w:b w:val="0"/>
                <w:bCs w:val="0"/>
                <w:szCs w:val="21"/>
              </w:rPr>
              <w:t>[</w:t>
            </w:r>
            <w:r>
              <w:rPr>
                <w:rFonts w:hint="eastAsia" w:ascii="宋体" w:hAnsi="宋体" w:eastAsia="宋体" w:cs="Times New Roman"/>
                <w:b w:val="0"/>
                <w:bCs w:val="0"/>
                <w:szCs w:val="21"/>
                <w:lang w:val="en-US" w:eastAsia="zh-CN"/>
              </w:rPr>
              <w:t>良</w:t>
            </w:r>
            <w:r>
              <w:rPr>
                <w:rFonts w:hint="eastAsia" w:ascii="宋体" w:hAnsi="宋体" w:eastAsia="宋体" w:cs="Times New Roman"/>
                <w:b w:val="0"/>
                <w:bCs w:val="0"/>
                <w:szCs w:val="21"/>
              </w:rPr>
              <w:t>]</w:t>
            </w:r>
            <w:r>
              <w:rPr>
                <w:rFonts w:hint="eastAsia" w:ascii="宋体" w:hAnsi="宋体" w:eastAsia="宋体" w:cs="Times New Roman"/>
                <w:szCs w:val="21"/>
              </w:rPr>
              <w:t>有针对性较强的绿色节能控制措施，有科学、较合理的环境保护措施，承诺在施工过程中通过科学管理和先进的技术手段，较大限度地节约资源与减少对环境的负面影响，得8分。</w:t>
            </w:r>
          </w:p>
          <w:p w14:paraId="20EC1DD0">
            <w:pPr>
              <w:snapToGrid w:val="0"/>
              <w:spacing w:afterLines="25"/>
              <w:ind w:left="0" w:leftChars="0" w:right="0" w:rightChars="0" w:firstLine="0" w:firstLineChars="0"/>
              <w:rPr>
                <w:rFonts w:hint="eastAsia" w:ascii="宋体" w:hAnsi="宋体" w:eastAsia="宋体" w:cs="Times New Roman"/>
                <w:szCs w:val="21"/>
              </w:rPr>
            </w:pPr>
            <w:r>
              <w:rPr>
                <w:rFonts w:hint="eastAsia" w:ascii="宋体" w:hAnsi="宋体" w:eastAsia="宋体" w:cs="Times New Roman"/>
                <w:b w:val="0"/>
                <w:bCs w:val="0"/>
                <w:szCs w:val="21"/>
              </w:rPr>
              <w:t>[</w:t>
            </w:r>
            <w:r>
              <w:rPr>
                <w:rFonts w:hint="eastAsia" w:ascii="宋体" w:hAnsi="宋体" w:eastAsia="宋体" w:cs="Times New Roman"/>
                <w:b w:val="0"/>
                <w:bCs w:val="0"/>
                <w:szCs w:val="21"/>
                <w:lang w:val="en-US" w:eastAsia="zh-CN"/>
              </w:rPr>
              <w:t>中</w:t>
            </w:r>
            <w:r>
              <w:rPr>
                <w:rFonts w:hint="eastAsia" w:ascii="宋体" w:hAnsi="宋体" w:eastAsia="宋体" w:cs="Times New Roman"/>
                <w:b w:val="0"/>
                <w:bCs w:val="0"/>
                <w:szCs w:val="21"/>
              </w:rPr>
              <w:t>]</w:t>
            </w:r>
            <w:r>
              <w:rPr>
                <w:rFonts w:hint="eastAsia" w:ascii="宋体" w:hAnsi="宋体" w:eastAsia="宋体" w:cs="Times New Roman"/>
                <w:szCs w:val="21"/>
              </w:rPr>
              <w:t>有针对性一般的绿色节能控制措施，有科学、一般合理的环境保护措施，有承诺在施工过程中节约资源与减少对环境的负面影响，得6分。</w:t>
            </w:r>
          </w:p>
          <w:p w14:paraId="1AC01A71">
            <w:pPr>
              <w:snapToGrid w:val="0"/>
              <w:spacing w:afterLines="25"/>
              <w:ind w:left="0" w:leftChars="0" w:right="0" w:rightChars="0" w:firstLine="0" w:firstLineChars="0"/>
              <w:rPr>
                <w:rFonts w:hint="eastAsia" w:ascii="宋体" w:hAnsi="宋体" w:eastAsia="宋体" w:cs="Times New Roman"/>
                <w:szCs w:val="21"/>
              </w:rPr>
            </w:pPr>
            <w:r>
              <w:rPr>
                <w:rFonts w:hint="eastAsia" w:ascii="宋体" w:hAnsi="宋体" w:eastAsia="宋体" w:cs="Times New Roman"/>
                <w:b w:val="0"/>
                <w:bCs w:val="0"/>
                <w:szCs w:val="21"/>
              </w:rPr>
              <w:t>[</w:t>
            </w:r>
            <w:r>
              <w:rPr>
                <w:rFonts w:hint="eastAsia" w:ascii="宋体" w:hAnsi="宋体" w:eastAsia="宋体" w:cs="Times New Roman"/>
                <w:b w:val="0"/>
                <w:bCs w:val="0"/>
                <w:szCs w:val="21"/>
                <w:lang w:val="en-US" w:eastAsia="zh-CN"/>
              </w:rPr>
              <w:t>差</w:t>
            </w:r>
            <w:r>
              <w:rPr>
                <w:rFonts w:hint="eastAsia" w:ascii="宋体" w:hAnsi="宋体" w:eastAsia="宋体" w:cs="Times New Roman"/>
                <w:b w:val="0"/>
                <w:bCs w:val="0"/>
                <w:szCs w:val="21"/>
              </w:rPr>
              <w:t>]</w:t>
            </w:r>
            <w:r>
              <w:rPr>
                <w:rFonts w:hint="eastAsia" w:ascii="宋体" w:hAnsi="宋体" w:eastAsia="宋体" w:cs="Times New Roman"/>
                <w:szCs w:val="21"/>
              </w:rPr>
              <w:t>没有提供上述内容的，得0分。</w:t>
            </w:r>
          </w:p>
        </w:tc>
      </w:tr>
      <w:tr w14:paraId="741759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noWrap w:val="0"/>
            <w:vAlign w:val="center"/>
          </w:tcPr>
          <w:p w14:paraId="21C2E266">
            <w:pPr>
              <w:snapToGrid w:val="0"/>
              <w:ind w:left="-53" w:leftChars="-25" w:right="-53" w:rightChars="-25"/>
              <w:rPr>
                <w:rFonts w:hint="eastAsia" w:ascii="宋体" w:hAnsi="宋体" w:cs="宋体"/>
              </w:rPr>
            </w:pPr>
          </w:p>
        </w:tc>
        <w:tc>
          <w:tcPr>
            <w:tcW w:w="1005" w:type="dxa"/>
            <w:vMerge w:val="continue"/>
            <w:tcBorders>
              <w:right w:val="single" w:color="auto" w:sz="4" w:space="0"/>
            </w:tcBorders>
            <w:noWrap w:val="0"/>
            <w:vAlign w:val="top"/>
          </w:tcPr>
          <w:p w14:paraId="3634CEE0">
            <w:pPr>
              <w:snapToGrid w:val="0"/>
              <w:ind w:left="-53" w:leftChars="-25" w:right="-53" w:rightChars="-25"/>
              <w:jc w:val="center"/>
              <w:rPr>
                <w:rFonts w:hint="eastAsia" w:ascii="宋体" w:hAnsi="宋体" w:cs="宋体"/>
              </w:rPr>
            </w:pPr>
          </w:p>
        </w:tc>
        <w:tc>
          <w:tcPr>
            <w:tcW w:w="966" w:type="dxa"/>
            <w:vMerge w:val="continue"/>
            <w:tcBorders>
              <w:left w:val="single" w:color="auto" w:sz="4" w:space="0"/>
              <w:right w:val="single" w:color="auto" w:sz="4" w:space="0"/>
            </w:tcBorders>
            <w:noWrap w:val="0"/>
            <w:vAlign w:val="center"/>
          </w:tcPr>
          <w:p w14:paraId="52F7E392">
            <w:pPr>
              <w:snapToGrid w:val="0"/>
              <w:jc w:val="center"/>
              <w:rPr>
                <w:rFonts w:hint="eastAsia" w:ascii="宋体" w:hAnsi="宋体" w:cs="宋体"/>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7AFFBF8B">
            <w:pPr>
              <w:snapToGrid w:val="0"/>
              <w:ind w:left="-53" w:leftChars="-25" w:right="-53" w:rightChars="-25"/>
              <w:jc w:val="center"/>
              <w:rPr>
                <w:rFonts w:ascii="宋体" w:hAnsi="宋体" w:cs="宋体"/>
              </w:rPr>
            </w:pPr>
            <w:r>
              <w:rPr>
                <w:rFonts w:hint="eastAsia" w:ascii="宋体" w:hAnsi="宋体" w:cs="宋体"/>
              </w:rPr>
              <w:t>安全控制措施</w:t>
            </w:r>
          </w:p>
          <w:p w14:paraId="789BEF5A">
            <w:pPr>
              <w:snapToGrid w:val="0"/>
              <w:ind w:left="-53" w:leftChars="-25" w:right="-53" w:rightChars="-25"/>
              <w:jc w:val="center"/>
              <w:rPr>
                <w:rFonts w:hint="eastAsia" w:ascii="宋体" w:hAnsi="宋体" w:cs="宋体"/>
              </w:rPr>
            </w:pPr>
            <w:r>
              <w:rPr>
                <w:rFonts w:hint="eastAsia" w:ascii="宋体" w:hAnsi="宋体" w:cs="宋体"/>
              </w:rPr>
              <w:t>（</w:t>
            </w:r>
            <w:r>
              <w:rPr>
                <w:rFonts w:hint="eastAsia" w:ascii="宋体" w:hAnsi="宋体" w:cs="宋体"/>
                <w:lang w:val="en-US" w:eastAsia="zh-CN"/>
              </w:rPr>
              <w:t>10</w:t>
            </w:r>
            <w:r>
              <w:rPr>
                <w:rFonts w:hint="eastAsia" w:ascii="宋体" w:hAnsi="宋体" w:cs="宋体"/>
              </w:rPr>
              <w:t>分）</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512FCAF5">
            <w:pPr>
              <w:snapToGrid w:val="0"/>
              <w:spacing w:afterLines="25"/>
              <w:ind w:left="0" w:leftChars="0" w:right="0" w:rightChars="0" w:firstLine="0" w:firstLineChars="0"/>
              <w:rPr>
                <w:rFonts w:hint="eastAsia" w:ascii="宋体" w:hAnsi="宋体" w:eastAsia="宋体" w:cs="Times New Roman"/>
                <w:szCs w:val="21"/>
              </w:rPr>
            </w:pPr>
            <w:r>
              <w:rPr>
                <w:rFonts w:hint="eastAsia" w:ascii="宋体" w:hAnsi="宋体" w:eastAsia="宋体" w:cs="Times New Roman"/>
                <w:szCs w:val="21"/>
              </w:rPr>
              <w:t>针对本项目特点，建立了相应的安全文明施工保障体系和制定了相应的保证措施。</w:t>
            </w:r>
          </w:p>
          <w:p w14:paraId="0B808648">
            <w:pPr>
              <w:snapToGrid w:val="0"/>
              <w:spacing w:afterLines="25"/>
              <w:ind w:left="0" w:leftChars="0" w:right="0" w:rightChars="0" w:firstLine="0" w:firstLineChars="0"/>
              <w:rPr>
                <w:rFonts w:hint="eastAsia" w:ascii="宋体" w:hAnsi="宋体" w:eastAsia="宋体" w:cs="Times New Roman"/>
                <w:szCs w:val="21"/>
              </w:rPr>
            </w:pPr>
            <w:r>
              <w:rPr>
                <w:rFonts w:hint="eastAsia" w:ascii="宋体" w:hAnsi="宋体" w:eastAsia="宋体" w:cs="Times New Roman"/>
                <w:b w:val="0"/>
                <w:bCs w:val="0"/>
                <w:szCs w:val="21"/>
              </w:rPr>
              <w:t>[优]</w:t>
            </w:r>
            <w:r>
              <w:rPr>
                <w:rFonts w:hint="eastAsia" w:ascii="宋体" w:hAnsi="宋体" w:eastAsia="宋体" w:cs="Times New Roman"/>
                <w:szCs w:val="21"/>
              </w:rPr>
              <w:t>有确保不发生等级安全事故，提供安全文明施工目标、安全文明施工管理体系、安全文明施工保证措施，得10分；</w:t>
            </w:r>
          </w:p>
          <w:p w14:paraId="6DB763A9">
            <w:pPr>
              <w:snapToGrid w:val="0"/>
              <w:spacing w:afterLines="25"/>
              <w:ind w:left="0" w:leftChars="0" w:right="0" w:rightChars="0" w:firstLine="0" w:firstLineChars="0"/>
              <w:rPr>
                <w:rFonts w:hint="eastAsia" w:ascii="宋体" w:hAnsi="宋体" w:eastAsia="宋体" w:cs="Times New Roman"/>
                <w:szCs w:val="21"/>
              </w:rPr>
            </w:pPr>
            <w:r>
              <w:rPr>
                <w:rFonts w:hint="eastAsia" w:ascii="宋体" w:hAnsi="宋体" w:eastAsia="宋体" w:cs="Times New Roman"/>
                <w:b w:val="0"/>
                <w:bCs w:val="0"/>
                <w:szCs w:val="21"/>
              </w:rPr>
              <w:t>[</w:t>
            </w:r>
            <w:r>
              <w:rPr>
                <w:rFonts w:hint="eastAsia" w:ascii="宋体" w:hAnsi="宋体" w:eastAsia="宋体" w:cs="Times New Roman"/>
                <w:b w:val="0"/>
                <w:bCs w:val="0"/>
                <w:szCs w:val="21"/>
                <w:lang w:val="en-US" w:eastAsia="zh-CN"/>
              </w:rPr>
              <w:t>良</w:t>
            </w:r>
            <w:r>
              <w:rPr>
                <w:rFonts w:hint="eastAsia" w:ascii="宋体" w:hAnsi="宋体" w:eastAsia="宋体" w:cs="Times New Roman"/>
                <w:b w:val="0"/>
                <w:bCs w:val="0"/>
                <w:szCs w:val="21"/>
              </w:rPr>
              <w:t>]</w:t>
            </w:r>
            <w:r>
              <w:rPr>
                <w:rFonts w:hint="eastAsia" w:ascii="宋体" w:hAnsi="宋体" w:eastAsia="宋体" w:cs="Times New Roman"/>
                <w:szCs w:val="21"/>
              </w:rPr>
              <w:t>确保不发生等级安全事故，提供安全文明施工目标、安全文明施工保证措施，得8分；</w:t>
            </w:r>
          </w:p>
          <w:p w14:paraId="06C00C80">
            <w:pPr>
              <w:snapToGrid w:val="0"/>
              <w:spacing w:afterLines="25"/>
              <w:ind w:left="0" w:leftChars="0" w:right="0" w:rightChars="0" w:firstLine="0" w:firstLineChars="0"/>
              <w:rPr>
                <w:rFonts w:hint="eastAsia" w:ascii="宋体" w:hAnsi="宋体" w:eastAsia="宋体" w:cs="Times New Roman"/>
                <w:szCs w:val="21"/>
              </w:rPr>
            </w:pPr>
            <w:r>
              <w:rPr>
                <w:rFonts w:hint="eastAsia" w:ascii="宋体" w:hAnsi="宋体" w:eastAsia="宋体" w:cs="Times New Roman"/>
                <w:b w:val="0"/>
                <w:bCs w:val="0"/>
                <w:szCs w:val="21"/>
              </w:rPr>
              <w:t>[</w:t>
            </w:r>
            <w:r>
              <w:rPr>
                <w:rFonts w:hint="eastAsia" w:ascii="宋体" w:hAnsi="宋体" w:eastAsia="宋体" w:cs="Times New Roman"/>
                <w:b w:val="0"/>
                <w:bCs w:val="0"/>
                <w:szCs w:val="21"/>
                <w:lang w:val="en-US" w:eastAsia="zh-CN"/>
              </w:rPr>
              <w:t>中</w:t>
            </w:r>
            <w:r>
              <w:rPr>
                <w:rFonts w:hint="eastAsia" w:ascii="宋体" w:hAnsi="宋体" w:eastAsia="宋体" w:cs="Times New Roman"/>
                <w:b w:val="0"/>
                <w:bCs w:val="0"/>
                <w:szCs w:val="21"/>
              </w:rPr>
              <w:t>]</w:t>
            </w:r>
            <w:r>
              <w:rPr>
                <w:rFonts w:hint="eastAsia" w:ascii="宋体" w:hAnsi="宋体" w:eastAsia="宋体" w:cs="Times New Roman"/>
                <w:szCs w:val="21"/>
              </w:rPr>
              <w:t>确保不发生等级安全事故，提供安全文明施工目标，安全文明施工管理体系，得6分；</w:t>
            </w:r>
          </w:p>
          <w:p w14:paraId="562E3F6C">
            <w:pPr>
              <w:snapToGrid w:val="0"/>
              <w:spacing w:afterLines="25"/>
              <w:ind w:left="0" w:leftChars="0" w:right="0" w:rightChars="0" w:firstLine="0" w:firstLineChars="0"/>
              <w:rPr>
                <w:rFonts w:hint="eastAsia" w:ascii="宋体" w:hAnsi="宋体" w:eastAsia="宋体" w:cs="Times New Roman"/>
                <w:szCs w:val="21"/>
              </w:rPr>
            </w:pPr>
            <w:r>
              <w:rPr>
                <w:rFonts w:hint="eastAsia" w:ascii="宋体" w:hAnsi="宋体" w:eastAsia="宋体" w:cs="Times New Roman"/>
                <w:b w:val="0"/>
                <w:bCs w:val="0"/>
                <w:szCs w:val="21"/>
              </w:rPr>
              <w:t>[</w:t>
            </w:r>
            <w:r>
              <w:rPr>
                <w:rFonts w:hint="eastAsia" w:ascii="宋体" w:hAnsi="宋体" w:eastAsia="宋体" w:cs="Times New Roman"/>
                <w:b w:val="0"/>
                <w:bCs w:val="0"/>
                <w:szCs w:val="21"/>
                <w:lang w:val="en-US" w:eastAsia="zh-CN"/>
              </w:rPr>
              <w:t>差</w:t>
            </w:r>
            <w:r>
              <w:rPr>
                <w:rFonts w:hint="eastAsia" w:ascii="宋体" w:hAnsi="宋体" w:eastAsia="宋体" w:cs="Times New Roman"/>
                <w:b w:val="0"/>
                <w:bCs w:val="0"/>
                <w:szCs w:val="21"/>
              </w:rPr>
              <w:t>]</w:t>
            </w:r>
            <w:r>
              <w:rPr>
                <w:rFonts w:hint="eastAsia" w:ascii="宋体" w:hAnsi="宋体" w:eastAsia="宋体" w:cs="Times New Roman"/>
                <w:szCs w:val="21"/>
              </w:rPr>
              <w:t>不满足前述要求者，得0分。</w:t>
            </w:r>
          </w:p>
        </w:tc>
      </w:tr>
      <w:tr w14:paraId="180A14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noWrap w:val="0"/>
            <w:vAlign w:val="center"/>
          </w:tcPr>
          <w:p w14:paraId="3C161761">
            <w:pPr>
              <w:snapToGrid w:val="0"/>
              <w:ind w:left="-53" w:leftChars="-25" w:right="-53" w:rightChars="-25"/>
              <w:rPr>
                <w:rFonts w:hint="eastAsia" w:ascii="宋体" w:hAnsi="宋体" w:cs="宋体"/>
              </w:rPr>
            </w:pPr>
          </w:p>
        </w:tc>
        <w:tc>
          <w:tcPr>
            <w:tcW w:w="1005" w:type="dxa"/>
            <w:vMerge w:val="continue"/>
            <w:tcBorders>
              <w:right w:val="single" w:color="auto" w:sz="4" w:space="0"/>
            </w:tcBorders>
            <w:noWrap w:val="0"/>
            <w:vAlign w:val="top"/>
          </w:tcPr>
          <w:p w14:paraId="6E954769">
            <w:pPr>
              <w:snapToGrid w:val="0"/>
              <w:ind w:left="-53" w:leftChars="-25" w:right="-53" w:rightChars="-25"/>
              <w:jc w:val="center"/>
              <w:rPr>
                <w:rFonts w:hint="eastAsia" w:ascii="宋体" w:hAnsi="宋体" w:cs="宋体"/>
              </w:rPr>
            </w:pPr>
          </w:p>
        </w:tc>
        <w:tc>
          <w:tcPr>
            <w:tcW w:w="966" w:type="dxa"/>
            <w:vMerge w:val="continue"/>
            <w:tcBorders>
              <w:left w:val="single" w:color="auto" w:sz="4" w:space="0"/>
              <w:right w:val="single" w:color="auto" w:sz="4" w:space="0"/>
            </w:tcBorders>
            <w:noWrap w:val="0"/>
            <w:vAlign w:val="center"/>
          </w:tcPr>
          <w:p w14:paraId="183406D7">
            <w:pPr>
              <w:snapToGrid w:val="0"/>
              <w:jc w:val="center"/>
              <w:rPr>
                <w:rFonts w:hint="eastAsia" w:ascii="宋体" w:hAnsi="宋体" w:cs="宋体"/>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36753A2F">
            <w:pPr>
              <w:snapToGrid w:val="0"/>
              <w:ind w:left="-53" w:leftChars="-25" w:right="-53" w:rightChars="-25"/>
              <w:jc w:val="center"/>
              <w:rPr>
                <w:rFonts w:ascii="宋体" w:hAnsi="宋体" w:cs="宋体"/>
              </w:rPr>
            </w:pPr>
            <w:r>
              <w:rPr>
                <w:rFonts w:hint="eastAsia" w:ascii="宋体" w:hAnsi="宋体" w:cs="宋体"/>
              </w:rPr>
              <w:t>质量控制措施</w:t>
            </w:r>
          </w:p>
          <w:p w14:paraId="2E94D2DA">
            <w:pPr>
              <w:snapToGrid w:val="0"/>
              <w:ind w:left="-53" w:leftChars="-25" w:right="-53" w:rightChars="-25"/>
              <w:jc w:val="center"/>
              <w:rPr>
                <w:rFonts w:hint="eastAsia" w:ascii="宋体" w:hAnsi="宋体" w:cs="宋体"/>
              </w:rPr>
            </w:pPr>
            <w:r>
              <w:rPr>
                <w:rFonts w:hint="eastAsia" w:ascii="宋体" w:hAnsi="宋体" w:cs="宋体"/>
              </w:rPr>
              <w:t>（</w:t>
            </w:r>
            <w:r>
              <w:rPr>
                <w:rFonts w:hint="eastAsia" w:ascii="宋体" w:hAnsi="宋体" w:cs="宋体"/>
                <w:lang w:val="en-US" w:eastAsia="zh-CN"/>
              </w:rPr>
              <w:t>10</w:t>
            </w:r>
            <w:r>
              <w:rPr>
                <w:rFonts w:hint="eastAsia" w:ascii="宋体" w:hAnsi="宋体" w:cs="宋体"/>
              </w:rPr>
              <w:t>分）</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0B8A19EC">
            <w:pPr>
              <w:snapToGrid w:val="0"/>
              <w:spacing w:afterLines="25"/>
              <w:ind w:left="0" w:leftChars="0" w:right="0" w:rightChars="0" w:firstLine="0" w:firstLineChars="0"/>
              <w:rPr>
                <w:rFonts w:hint="eastAsia" w:ascii="宋体" w:hAnsi="宋体" w:eastAsia="宋体" w:cs="Times New Roman"/>
                <w:szCs w:val="21"/>
                <w:lang w:eastAsia="zh-CN"/>
              </w:rPr>
            </w:pPr>
            <w:r>
              <w:rPr>
                <w:rFonts w:hint="eastAsia" w:ascii="宋体" w:hAnsi="宋体" w:eastAsia="宋体" w:cs="Times New Roman"/>
                <w:spacing w:val="0"/>
                <w:szCs w:val="21"/>
              </w:rPr>
              <w:t>针对本项目特点，制定了相应的质量控制措施</w:t>
            </w:r>
            <w:r>
              <w:rPr>
                <w:rFonts w:hint="eastAsia" w:ascii="宋体" w:hAnsi="宋体" w:eastAsia="宋体" w:cs="Times New Roman"/>
                <w:spacing w:val="0"/>
                <w:szCs w:val="21"/>
                <w:lang w:eastAsia="zh-CN"/>
              </w:rPr>
              <w:t>。</w:t>
            </w:r>
          </w:p>
          <w:p w14:paraId="0410D424">
            <w:pPr>
              <w:snapToGrid w:val="0"/>
              <w:spacing w:afterLines="25"/>
              <w:ind w:left="0" w:leftChars="0" w:right="0" w:rightChars="0" w:firstLine="0" w:firstLineChars="0"/>
              <w:rPr>
                <w:rFonts w:hint="eastAsia" w:ascii="宋体" w:hAnsi="宋体" w:eastAsia="宋体" w:cs="Times New Roman"/>
                <w:szCs w:val="21"/>
              </w:rPr>
            </w:pPr>
            <w:r>
              <w:rPr>
                <w:rFonts w:hint="eastAsia" w:ascii="宋体" w:hAnsi="宋体" w:eastAsia="宋体" w:cs="Times New Roman"/>
                <w:b w:val="0"/>
                <w:bCs w:val="0"/>
                <w:szCs w:val="21"/>
              </w:rPr>
              <w:t>[优]</w:t>
            </w:r>
            <w:r>
              <w:rPr>
                <w:rFonts w:hint="eastAsia" w:ascii="宋体" w:hAnsi="宋体" w:eastAsia="宋体" w:cs="Times New Roman"/>
                <w:szCs w:val="21"/>
              </w:rPr>
              <w:t>制定了针对性强、切实可行的的质量管控体系、质量保证措施，质量目标满足招标文件要求，得10分；</w:t>
            </w:r>
          </w:p>
          <w:p w14:paraId="527547CD">
            <w:pPr>
              <w:snapToGrid w:val="0"/>
              <w:spacing w:afterLines="25"/>
              <w:ind w:left="0" w:leftChars="0" w:right="0" w:rightChars="0" w:firstLine="0" w:firstLineChars="0"/>
              <w:rPr>
                <w:rFonts w:hint="eastAsia" w:ascii="宋体" w:hAnsi="宋体" w:eastAsia="宋体" w:cs="Times New Roman"/>
                <w:szCs w:val="21"/>
              </w:rPr>
            </w:pPr>
            <w:r>
              <w:rPr>
                <w:rFonts w:hint="eastAsia" w:ascii="宋体" w:hAnsi="宋体" w:eastAsia="宋体" w:cs="Times New Roman"/>
                <w:b w:val="0"/>
                <w:bCs w:val="0"/>
                <w:szCs w:val="21"/>
              </w:rPr>
              <w:t>[</w:t>
            </w:r>
            <w:r>
              <w:rPr>
                <w:rFonts w:hint="eastAsia" w:ascii="宋体" w:hAnsi="宋体" w:eastAsia="宋体" w:cs="Times New Roman"/>
                <w:b w:val="0"/>
                <w:bCs w:val="0"/>
                <w:szCs w:val="21"/>
                <w:lang w:val="en-US" w:eastAsia="zh-CN"/>
              </w:rPr>
              <w:t>良</w:t>
            </w:r>
            <w:r>
              <w:rPr>
                <w:rFonts w:hint="eastAsia" w:ascii="宋体" w:hAnsi="宋体" w:eastAsia="宋体" w:cs="Times New Roman"/>
                <w:b w:val="0"/>
                <w:bCs w:val="0"/>
                <w:szCs w:val="21"/>
              </w:rPr>
              <w:t>]</w:t>
            </w:r>
            <w:r>
              <w:rPr>
                <w:rFonts w:hint="eastAsia" w:ascii="宋体" w:hAnsi="宋体" w:eastAsia="宋体" w:cs="Times New Roman"/>
                <w:szCs w:val="21"/>
              </w:rPr>
              <w:t>制定了针对性较强、较为切实可行的质量管控体系、质量保证措施，质量目标较满足招标文件要求，得8分；</w:t>
            </w:r>
          </w:p>
          <w:p w14:paraId="35C69D71">
            <w:pPr>
              <w:snapToGrid w:val="0"/>
              <w:spacing w:afterLines="25"/>
              <w:ind w:left="0" w:leftChars="0" w:right="0" w:rightChars="0" w:firstLine="0" w:firstLineChars="0"/>
              <w:rPr>
                <w:rFonts w:hint="eastAsia" w:ascii="宋体" w:hAnsi="宋体" w:eastAsia="宋体" w:cs="Times New Roman"/>
                <w:szCs w:val="21"/>
              </w:rPr>
            </w:pPr>
            <w:r>
              <w:rPr>
                <w:rFonts w:hint="eastAsia" w:ascii="宋体" w:hAnsi="宋体" w:eastAsia="宋体" w:cs="Times New Roman"/>
                <w:b w:val="0"/>
                <w:bCs w:val="0"/>
                <w:szCs w:val="21"/>
              </w:rPr>
              <w:t>[</w:t>
            </w:r>
            <w:r>
              <w:rPr>
                <w:rFonts w:hint="eastAsia" w:ascii="宋体" w:hAnsi="宋体" w:eastAsia="宋体" w:cs="Times New Roman"/>
                <w:b w:val="0"/>
                <w:bCs w:val="0"/>
                <w:szCs w:val="21"/>
                <w:lang w:val="en-US" w:eastAsia="zh-CN"/>
              </w:rPr>
              <w:t>中</w:t>
            </w:r>
            <w:r>
              <w:rPr>
                <w:rFonts w:hint="eastAsia" w:ascii="宋体" w:hAnsi="宋体" w:eastAsia="宋体" w:cs="Times New Roman"/>
                <w:b w:val="0"/>
                <w:bCs w:val="0"/>
                <w:szCs w:val="21"/>
              </w:rPr>
              <w:t>]</w:t>
            </w:r>
            <w:r>
              <w:rPr>
                <w:rFonts w:hint="eastAsia" w:ascii="宋体" w:hAnsi="宋体" w:eastAsia="宋体" w:cs="Times New Roman"/>
                <w:szCs w:val="21"/>
              </w:rPr>
              <w:t>制定了针对性一般、可行性一般的质量管控体系、质量保证措施，质量目标基本满足招标文件要求，得6分；</w:t>
            </w:r>
          </w:p>
          <w:p w14:paraId="62527ED1">
            <w:pPr>
              <w:snapToGrid w:val="0"/>
              <w:spacing w:afterLines="25"/>
              <w:ind w:left="0" w:leftChars="0" w:right="0" w:rightChars="0" w:firstLine="0" w:firstLineChars="0"/>
              <w:rPr>
                <w:rFonts w:hint="eastAsia" w:ascii="宋体" w:hAnsi="宋体" w:eastAsia="宋体" w:cs="Times New Roman"/>
                <w:szCs w:val="21"/>
              </w:rPr>
            </w:pPr>
            <w:r>
              <w:rPr>
                <w:rFonts w:hint="eastAsia" w:ascii="宋体" w:hAnsi="宋体" w:eastAsia="宋体" w:cs="Times New Roman"/>
                <w:b w:val="0"/>
                <w:bCs w:val="0"/>
                <w:szCs w:val="21"/>
              </w:rPr>
              <w:t>[</w:t>
            </w:r>
            <w:r>
              <w:rPr>
                <w:rFonts w:hint="eastAsia" w:ascii="宋体" w:hAnsi="宋体" w:eastAsia="宋体" w:cs="Times New Roman"/>
                <w:b w:val="0"/>
                <w:bCs w:val="0"/>
                <w:szCs w:val="21"/>
                <w:lang w:val="en-US" w:eastAsia="zh-CN"/>
              </w:rPr>
              <w:t>差</w:t>
            </w:r>
            <w:r>
              <w:rPr>
                <w:rFonts w:hint="eastAsia" w:ascii="宋体" w:hAnsi="宋体" w:eastAsia="宋体" w:cs="Times New Roman"/>
                <w:b w:val="0"/>
                <w:bCs w:val="0"/>
                <w:szCs w:val="21"/>
              </w:rPr>
              <w:t>]</w:t>
            </w:r>
            <w:r>
              <w:rPr>
                <w:rFonts w:hint="eastAsia" w:ascii="宋体" w:hAnsi="宋体" w:eastAsia="宋体" w:cs="Times New Roman"/>
                <w:szCs w:val="21"/>
              </w:rPr>
              <w:t>没有提供上述内容的，得0分。</w:t>
            </w:r>
          </w:p>
        </w:tc>
      </w:tr>
      <w:tr w14:paraId="567763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noWrap w:val="0"/>
            <w:vAlign w:val="center"/>
          </w:tcPr>
          <w:p w14:paraId="00A861EB">
            <w:pPr>
              <w:snapToGrid w:val="0"/>
              <w:ind w:left="-53" w:leftChars="-25" w:right="-53" w:rightChars="-25"/>
              <w:rPr>
                <w:rFonts w:hint="eastAsia" w:ascii="宋体" w:hAnsi="宋体" w:cs="宋体"/>
              </w:rPr>
            </w:pPr>
          </w:p>
        </w:tc>
        <w:tc>
          <w:tcPr>
            <w:tcW w:w="1005" w:type="dxa"/>
            <w:vMerge w:val="continue"/>
            <w:tcBorders>
              <w:right w:val="single" w:color="auto" w:sz="4" w:space="0"/>
            </w:tcBorders>
            <w:noWrap w:val="0"/>
            <w:vAlign w:val="top"/>
          </w:tcPr>
          <w:p w14:paraId="464C70D9">
            <w:pPr>
              <w:snapToGrid w:val="0"/>
              <w:ind w:left="-53" w:leftChars="-25" w:right="-53" w:rightChars="-25"/>
              <w:jc w:val="center"/>
              <w:rPr>
                <w:rFonts w:hint="eastAsia" w:ascii="宋体" w:hAnsi="宋体" w:cs="宋体"/>
              </w:rPr>
            </w:pPr>
          </w:p>
        </w:tc>
        <w:tc>
          <w:tcPr>
            <w:tcW w:w="966" w:type="dxa"/>
            <w:vMerge w:val="continue"/>
            <w:tcBorders>
              <w:left w:val="single" w:color="auto" w:sz="4" w:space="0"/>
              <w:right w:val="single" w:color="auto" w:sz="4" w:space="0"/>
            </w:tcBorders>
            <w:noWrap w:val="0"/>
            <w:vAlign w:val="center"/>
          </w:tcPr>
          <w:p w14:paraId="45C56E96">
            <w:pPr>
              <w:snapToGrid w:val="0"/>
              <w:jc w:val="center"/>
              <w:rPr>
                <w:rFonts w:hint="eastAsia" w:ascii="宋体" w:hAnsi="宋体" w:cs="宋体"/>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31FB16A1">
            <w:pPr>
              <w:snapToGrid w:val="0"/>
              <w:ind w:left="-53" w:leftChars="-25" w:right="-53" w:rightChars="-25"/>
              <w:jc w:val="center"/>
              <w:rPr>
                <w:rFonts w:hint="eastAsia" w:ascii="宋体" w:hAnsi="宋体" w:cs="宋体"/>
              </w:rPr>
            </w:pPr>
            <w:r>
              <w:rPr>
                <w:rFonts w:hint="eastAsia" w:ascii="宋体" w:hAnsi="宋体" w:cs="宋体"/>
              </w:rPr>
              <w:t>进度控制措施（</w:t>
            </w:r>
            <w:r>
              <w:rPr>
                <w:rFonts w:hint="eastAsia" w:ascii="宋体" w:hAnsi="宋体" w:cs="宋体"/>
                <w:lang w:val="en-US" w:eastAsia="zh-CN"/>
              </w:rPr>
              <w:t>12</w:t>
            </w:r>
            <w:r>
              <w:rPr>
                <w:rFonts w:hint="eastAsia" w:ascii="宋体" w:hAnsi="宋体" w:cs="宋体"/>
              </w:rPr>
              <w:t>分）</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098591F3">
            <w:pPr>
              <w:snapToGrid w:val="0"/>
              <w:spacing w:afterLines="25"/>
              <w:ind w:left="0" w:leftChars="0" w:right="0" w:rightChars="0" w:firstLine="0" w:firstLineChars="0"/>
              <w:rPr>
                <w:rFonts w:hint="eastAsia" w:ascii="宋体" w:hAnsi="宋体" w:eastAsia="宋体" w:cs="Times New Roman"/>
                <w:szCs w:val="21"/>
              </w:rPr>
            </w:pPr>
            <w:r>
              <w:rPr>
                <w:rFonts w:hint="eastAsia" w:ascii="宋体" w:hAnsi="宋体" w:eastAsia="宋体" w:cs="Times New Roman"/>
                <w:szCs w:val="21"/>
              </w:rPr>
              <w:t>针对本项目特点，制定了相应的施工进度计划和保证措施的。</w:t>
            </w:r>
          </w:p>
          <w:p w14:paraId="6C36C7E9">
            <w:pPr>
              <w:snapToGrid w:val="0"/>
              <w:spacing w:afterLines="25"/>
              <w:ind w:left="0" w:leftChars="0" w:right="0" w:rightChars="0" w:firstLine="0" w:firstLineChars="0"/>
              <w:rPr>
                <w:rFonts w:hint="eastAsia" w:ascii="宋体" w:hAnsi="宋体" w:eastAsia="宋体" w:cs="Times New Roman"/>
                <w:szCs w:val="21"/>
              </w:rPr>
            </w:pPr>
            <w:r>
              <w:rPr>
                <w:rFonts w:hint="eastAsia" w:ascii="宋体" w:hAnsi="宋体" w:eastAsia="宋体" w:cs="Times New Roman"/>
                <w:b w:val="0"/>
                <w:bCs w:val="0"/>
                <w:szCs w:val="21"/>
              </w:rPr>
              <w:t>[优]</w:t>
            </w:r>
            <w:r>
              <w:rPr>
                <w:rFonts w:hint="eastAsia" w:ascii="宋体" w:hAnsi="宋体" w:eastAsia="宋体" w:cs="Times New Roman"/>
                <w:szCs w:val="21"/>
              </w:rPr>
              <w:t>提供工期目标、施工进度计划横道图、进度保证措施，逻辑性强、可行、合理，保证措施明确具体，得12分；</w:t>
            </w:r>
          </w:p>
          <w:p w14:paraId="51EE4B4E">
            <w:pPr>
              <w:snapToGrid w:val="0"/>
              <w:spacing w:afterLines="25"/>
              <w:ind w:left="0" w:leftChars="0" w:right="0" w:rightChars="0" w:firstLine="0" w:firstLineChars="0"/>
              <w:rPr>
                <w:rFonts w:hint="eastAsia" w:ascii="宋体" w:hAnsi="宋体" w:eastAsia="宋体" w:cs="Times New Roman"/>
                <w:szCs w:val="21"/>
              </w:rPr>
            </w:pPr>
            <w:r>
              <w:rPr>
                <w:rFonts w:hint="eastAsia" w:ascii="宋体" w:hAnsi="宋体" w:eastAsia="宋体" w:cs="Times New Roman"/>
                <w:b w:val="0"/>
                <w:bCs w:val="0"/>
                <w:szCs w:val="21"/>
              </w:rPr>
              <w:t>[</w:t>
            </w:r>
            <w:r>
              <w:rPr>
                <w:rFonts w:hint="eastAsia" w:ascii="宋体" w:hAnsi="宋体" w:eastAsia="宋体" w:cs="Times New Roman"/>
                <w:b w:val="0"/>
                <w:bCs w:val="0"/>
                <w:szCs w:val="21"/>
                <w:lang w:val="en-US" w:eastAsia="zh-CN"/>
              </w:rPr>
              <w:t>良</w:t>
            </w:r>
            <w:r>
              <w:rPr>
                <w:rFonts w:hint="eastAsia" w:ascii="宋体" w:hAnsi="宋体" w:eastAsia="宋体" w:cs="Times New Roman"/>
                <w:b w:val="0"/>
                <w:bCs w:val="0"/>
                <w:szCs w:val="21"/>
              </w:rPr>
              <w:t>]</w:t>
            </w:r>
            <w:r>
              <w:rPr>
                <w:rFonts w:hint="eastAsia" w:ascii="宋体" w:hAnsi="宋体" w:eastAsia="宋体" w:cs="Times New Roman"/>
                <w:szCs w:val="21"/>
              </w:rPr>
              <w:t>提供工期目标、施工进度计划横道图，逻辑性较强、可行、较合理，有保证措施，得10分；</w:t>
            </w:r>
          </w:p>
          <w:p w14:paraId="39B9A955">
            <w:pPr>
              <w:snapToGrid w:val="0"/>
              <w:spacing w:afterLines="25"/>
              <w:ind w:left="0" w:leftChars="0" w:right="0" w:rightChars="0" w:firstLine="0" w:firstLineChars="0"/>
              <w:rPr>
                <w:rFonts w:hint="eastAsia" w:ascii="宋体" w:hAnsi="宋体" w:eastAsia="宋体" w:cs="Times New Roman"/>
                <w:szCs w:val="21"/>
              </w:rPr>
            </w:pPr>
            <w:r>
              <w:rPr>
                <w:rFonts w:hint="eastAsia" w:ascii="宋体" w:hAnsi="宋体" w:eastAsia="宋体" w:cs="Times New Roman"/>
                <w:b w:val="0"/>
                <w:bCs w:val="0"/>
                <w:szCs w:val="21"/>
              </w:rPr>
              <w:t>[</w:t>
            </w:r>
            <w:r>
              <w:rPr>
                <w:rFonts w:hint="eastAsia" w:ascii="宋体" w:hAnsi="宋体" w:eastAsia="宋体" w:cs="Times New Roman"/>
                <w:b w:val="0"/>
                <w:bCs w:val="0"/>
                <w:szCs w:val="21"/>
                <w:lang w:val="en-US" w:eastAsia="zh-CN"/>
              </w:rPr>
              <w:t>中</w:t>
            </w:r>
            <w:r>
              <w:rPr>
                <w:rFonts w:hint="eastAsia" w:ascii="宋体" w:hAnsi="宋体" w:eastAsia="宋体" w:cs="Times New Roman"/>
                <w:b w:val="0"/>
                <w:bCs w:val="0"/>
                <w:szCs w:val="21"/>
              </w:rPr>
              <w:t>]</w:t>
            </w:r>
            <w:r>
              <w:rPr>
                <w:rFonts w:hint="eastAsia" w:ascii="宋体" w:hAnsi="宋体" w:eastAsia="宋体" w:cs="Times New Roman"/>
                <w:szCs w:val="21"/>
              </w:rPr>
              <w:t>提供工期目标、进度保证措施，逻辑性一般、较可行、较合理，得8分；</w:t>
            </w:r>
          </w:p>
          <w:p w14:paraId="63327952">
            <w:pPr>
              <w:snapToGrid w:val="0"/>
              <w:spacing w:afterLines="25"/>
              <w:ind w:left="0" w:leftChars="0" w:right="0" w:rightChars="0" w:firstLine="0" w:firstLineChars="0"/>
              <w:rPr>
                <w:rFonts w:hint="eastAsia" w:ascii="宋体" w:hAnsi="宋体" w:eastAsia="宋体" w:cs="Times New Roman"/>
                <w:szCs w:val="21"/>
              </w:rPr>
            </w:pPr>
            <w:r>
              <w:rPr>
                <w:rFonts w:hint="eastAsia" w:ascii="宋体" w:hAnsi="宋体" w:eastAsia="宋体" w:cs="Times New Roman"/>
                <w:b w:val="0"/>
                <w:bCs w:val="0"/>
                <w:szCs w:val="21"/>
              </w:rPr>
              <w:t>[</w:t>
            </w:r>
            <w:r>
              <w:rPr>
                <w:rFonts w:hint="eastAsia" w:ascii="宋体" w:hAnsi="宋体" w:eastAsia="宋体" w:cs="Times New Roman"/>
                <w:b w:val="0"/>
                <w:bCs w:val="0"/>
                <w:szCs w:val="21"/>
                <w:lang w:val="en-US" w:eastAsia="zh-CN"/>
              </w:rPr>
              <w:t>差</w:t>
            </w:r>
            <w:r>
              <w:rPr>
                <w:rFonts w:hint="eastAsia" w:ascii="宋体" w:hAnsi="宋体" w:eastAsia="宋体" w:cs="Times New Roman"/>
                <w:b w:val="0"/>
                <w:bCs w:val="0"/>
                <w:szCs w:val="21"/>
              </w:rPr>
              <w:t>]</w:t>
            </w:r>
            <w:r>
              <w:rPr>
                <w:rFonts w:hint="eastAsia" w:ascii="宋体" w:hAnsi="宋体" w:eastAsia="宋体" w:cs="Times New Roman"/>
                <w:szCs w:val="21"/>
              </w:rPr>
              <w:t>不满足前述要求者，得0分。</w:t>
            </w:r>
          </w:p>
        </w:tc>
      </w:tr>
      <w:tr w14:paraId="63F6F4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noWrap w:val="0"/>
            <w:vAlign w:val="center"/>
          </w:tcPr>
          <w:p w14:paraId="75F589BF">
            <w:pPr>
              <w:snapToGrid w:val="0"/>
              <w:ind w:left="-53" w:leftChars="-25" w:right="-53" w:rightChars="-25"/>
              <w:rPr>
                <w:rFonts w:hint="eastAsia" w:ascii="宋体" w:hAnsi="宋体" w:cs="宋体"/>
              </w:rPr>
            </w:pPr>
          </w:p>
        </w:tc>
        <w:tc>
          <w:tcPr>
            <w:tcW w:w="1005" w:type="dxa"/>
            <w:vMerge w:val="continue"/>
            <w:tcBorders>
              <w:right w:val="single" w:color="auto" w:sz="4" w:space="0"/>
            </w:tcBorders>
            <w:noWrap w:val="0"/>
            <w:vAlign w:val="top"/>
          </w:tcPr>
          <w:p w14:paraId="1DE6AE8E">
            <w:pPr>
              <w:snapToGrid w:val="0"/>
              <w:ind w:left="-53" w:leftChars="-25" w:right="-53" w:rightChars="-25"/>
              <w:jc w:val="center"/>
              <w:rPr>
                <w:rFonts w:hint="eastAsia" w:ascii="宋体" w:hAnsi="宋体" w:cs="宋体"/>
              </w:rPr>
            </w:pPr>
          </w:p>
        </w:tc>
        <w:tc>
          <w:tcPr>
            <w:tcW w:w="966" w:type="dxa"/>
            <w:vMerge w:val="continue"/>
            <w:tcBorders>
              <w:left w:val="single" w:color="auto" w:sz="4" w:space="0"/>
              <w:right w:val="single" w:color="auto" w:sz="4" w:space="0"/>
            </w:tcBorders>
            <w:noWrap w:val="0"/>
            <w:vAlign w:val="center"/>
          </w:tcPr>
          <w:p w14:paraId="1B3B4846">
            <w:pPr>
              <w:snapToGrid w:val="0"/>
              <w:jc w:val="center"/>
              <w:rPr>
                <w:rFonts w:hint="eastAsia" w:ascii="宋体" w:hAnsi="宋体" w:cs="宋体"/>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5446C4DE">
            <w:pPr>
              <w:snapToGrid w:val="0"/>
              <w:ind w:left="-53" w:leftChars="-25" w:right="-53" w:rightChars="-25"/>
              <w:jc w:val="center"/>
              <w:rPr>
                <w:rFonts w:hint="eastAsia" w:ascii="宋体" w:hAnsi="宋体" w:cs="宋体"/>
              </w:rPr>
            </w:pPr>
            <w:r>
              <w:rPr>
                <w:rFonts w:hint="eastAsia" w:ascii="宋体" w:hAnsi="宋体"/>
                <w:color w:val="auto"/>
                <w:kern w:val="0"/>
                <w:szCs w:val="21"/>
                <w:highlight w:val="none"/>
              </w:rPr>
              <w:t>资源投入计划及保证措施</w:t>
            </w:r>
          </w:p>
          <w:p w14:paraId="4CFCB97C">
            <w:pPr>
              <w:snapToGrid w:val="0"/>
              <w:ind w:left="-53" w:leftChars="-25" w:right="-53" w:rightChars="-25"/>
              <w:jc w:val="center"/>
              <w:rPr>
                <w:rFonts w:hint="eastAsia" w:ascii="宋体" w:hAnsi="宋体" w:cs="宋体"/>
              </w:rPr>
            </w:pPr>
            <w:r>
              <w:rPr>
                <w:rFonts w:hint="eastAsia" w:ascii="宋体" w:hAnsi="宋体" w:cs="宋体"/>
              </w:rPr>
              <w:t>（</w:t>
            </w:r>
            <w:r>
              <w:rPr>
                <w:rFonts w:hint="eastAsia" w:ascii="宋体" w:hAnsi="宋体" w:cs="宋体"/>
                <w:lang w:val="en-US" w:eastAsia="zh-CN"/>
              </w:rPr>
              <w:t>10</w:t>
            </w:r>
            <w:r>
              <w:rPr>
                <w:rFonts w:hint="eastAsia" w:ascii="宋体" w:hAnsi="宋体" w:cs="宋体"/>
              </w:rPr>
              <w:t>分）</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03A0A529">
            <w:pPr>
              <w:snapToGrid w:val="0"/>
              <w:spacing w:afterLines="25"/>
              <w:ind w:left="0" w:leftChars="0" w:right="0" w:rightChars="0" w:firstLine="0" w:firstLineChars="0"/>
              <w:rPr>
                <w:rFonts w:hint="eastAsia" w:ascii="宋体" w:hAnsi="宋体" w:eastAsia="宋体" w:cs="Times New Roman"/>
                <w:szCs w:val="21"/>
              </w:rPr>
            </w:pPr>
            <w:r>
              <w:rPr>
                <w:rFonts w:hint="eastAsia" w:ascii="宋体" w:hAnsi="宋体" w:eastAsia="宋体" w:cs="Times New Roman"/>
                <w:szCs w:val="21"/>
              </w:rPr>
              <w:t>根据本工程特点，制定了相应的劳动力、机械设备投入计划和保证措施。</w:t>
            </w:r>
          </w:p>
          <w:p w14:paraId="42851DD3">
            <w:pPr>
              <w:snapToGrid w:val="0"/>
              <w:spacing w:afterLines="25"/>
              <w:ind w:left="0" w:leftChars="0" w:right="0" w:rightChars="0" w:firstLine="0" w:firstLineChars="0"/>
              <w:rPr>
                <w:rFonts w:hint="eastAsia" w:ascii="宋体" w:hAnsi="宋体" w:eastAsia="宋体" w:cs="Times New Roman"/>
                <w:szCs w:val="21"/>
              </w:rPr>
            </w:pPr>
            <w:r>
              <w:rPr>
                <w:rFonts w:hint="eastAsia" w:ascii="宋体" w:hAnsi="宋体" w:eastAsia="宋体" w:cs="Times New Roman"/>
                <w:szCs w:val="21"/>
                <w:lang w:val="en-US" w:eastAsia="zh-CN"/>
              </w:rPr>
              <w:t>[</w:t>
            </w:r>
            <w:r>
              <w:rPr>
                <w:rFonts w:hint="eastAsia" w:ascii="宋体" w:hAnsi="宋体" w:eastAsia="宋体" w:cs="Times New Roman"/>
                <w:szCs w:val="21"/>
              </w:rPr>
              <w:t>优</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措施有效、合理、可操作性强的，得</w:t>
            </w:r>
            <w:r>
              <w:rPr>
                <w:rFonts w:hint="eastAsia" w:ascii="宋体" w:hAnsi="宋体" w:eastAsia="宋体" w:cs="Times New Roman"/>
                <w:szCs w:val="21"/>
                <w:lang w:val="en-US" w:eastAsia="zh-CN"/>
              </w:rPr>
              <w:t>10</w:t>
            </w:r>
            <w:r>
              <w:rPr>
                <w:rFonts w:hint="eastAsia" w:ascii="宋体" w:hAnsi="宋体" w:eastAsia="宋体" w:cs="Times New Roman"/>
                <w:szCs w:val="21"/>
              </w:rPr>
              <w:t>分。</w:t>
            </w:r>
          </w:p>
          <w:p w14:paraId="2966C4F2">
            <w:pPr>
              <w:snapToGrid w:val="0"/>
              <w:spacing w:afterLines="25"/>
              <w:ind w:left="0" w:leftChars="0" w:right="0" w:rightChars="0" w:firstLine="0" w:firstLineChars="0"/>
              <w:rPr>
                <w:rFonts w:hint="eastAsia" w:ascii="宋体" w:hAnsi="宋体" w:eastAsia="宋体" w:cs="Times New Roman"/>
                <w:szCs w:val="21"/>
              </w:rPr>
            </w:pPr>
            <w:r>
              <w:rPr>
                <w:rFonts w:hint="eastAsia" w:ascii="宋体" w:hAnsi="宋体" w:eastAsia="宋体" w:cs="Times New Roman"/>
                <w:szCs w:val="21"/>
                <w:lang w:val="en-US" w:eastAsia="zh-CN"/>
              </w:rPr>
              <w:t>[</w:t>
            </w:r>
            <w:r>
              <w:rPr>
                <w:rFonts w:hint="eastAsia" w:ascii="宋体" w:hAnsi="宋体" w:eastAsia="宋体" w:cs="Times New Roman"/>
                <w:szCs w:val="21"/>
              </w:rPr>
              <w:t>良</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措施效果一般，现场可操作性一般的，得</w:t>
            </w:r>
            <w:r>
              <w:rPr>
                <w:rFonts w:hint="eastAsia" w:ascii="宋体" w:hAnsi="宋体" w:eastAsia="宋体" w:cs="Times New Roman"/>
                <w:szCs w:val="21"/>
                <w:lang w:val="en-US" w:eastAsia="zh-CN"/>
              </w:rPr>
              <w:t>8</w:t>
            </w:r>
            <w:r>
              <w:rPr>
                <w:rFonts w:hint="eastAsia" w:ascii="宋体" w:hAnsi="宋体" w:eastAsia="宋体" w:cs="Times New Roman"/>
                <w:szCs w:val="21"/>
              </w:rPr>
              <w:t>分。</w:t>
            </w:r>
          </w:p>
          <w:p w14:paraId="39CACEB3">
            <w:pPr>
              <w:snapToGrid w:val="0"/>
              <w:spacing w:afterLines="25"/>
              <w:ind w:left="0" w:leftChars="0" w:right="0" w:rightChars="0" w:firstLine="0" w:firstLineChars="0"/>
              <w:rPr>
                <w:rFonts w:hint="eastAsia" w:ascii="宋体" w:hAnsi="宋体" w:eastAsia="宋体" w:cs="Times New Roman"/>
                <w:szCs w:val="21"/>
              </w:rPr>
            </w:pPr>
            <w:r>
              <w:rPr>
                <w:rFonts w:hint="eastAsia" w:ascii="宋体" w:hAnsi="宋体" w:eastAsia="宋体" w:cs="Times New Roman"/>
                <w:szCs w:val="21"/>
                <w:lang w:val="en-US" w:eastAsia="zh-CN"/>
              </w:rPr>
              <w:t>[</w:t>
            </w:r>
            <w:r>
              <w:rPr>
                <w:rFonts w:hint="eastAsia" w:ascii="宋体" w:hAnsi="宋体" w:eastAsia="宋体" w:cs="Times New Roman"/>
                <w:szCs w:val="21"/>
              </w:rPr>
              <w:t>中</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措施效果较差，现场可操作性较差的，得</w:t>
            </w:r>
            <w:r>
              <w:rPr>
                <w:rFonts w:hint="eastAsia" w:ascii="宋体" w:hAnsi="宋体" w:eastAsia="宋体" w:cs="Times New Roman"/>
                <w:szCs w:val="21"/>
                <w:lang w:val="en-US" w:eastAsia="zh-CN"/>
              </w:rPr>
              <w:t>6</w:t>
            </w:r>
            <w:r>
              <w:rPr>
                <w:rFonts w:hint="eastAsia" w:ascii="宋体" w:hAnsi="宋体" w:eastAsia="宋体" w:cs="Times New Roman"/>
                <w:szCs w:val="21"/>
              </w:rPr>
              <w:t>分。</w:t>
            </w:r>
          </w:p>
          <w:p w14:paraId="29DB30FD">
            <w:pPr>
              <w:snapToGrid w:val="0"/>
              <w:spacing w:afterLines="25"/>
              <w:ind w:left="0" w:leftChars="0" w:right="0" w:rightChars="0" w:firstLine="0" w:firstLineChars="0"/>
              <w:jc w:val="left"/>
              <w:rPr>
                <w:rFonts w:hint="eastAsia" w:ascii="Times New Roman" w:hAnsi="Times New Roman" w:eastAsia="宋体" w:cs="Times New Roman"/>
                <w:kern w:val="2"/>
                <w:sz w:val="21"/>
                <w:szCs w:val="24"/>
                <w:lang w:val="en-US" w:eastAsia="zh-CN" w:bidi="ar-SA"/>
              </w:rPr>
            </w:pPr>
            <w:r>
              <w:rPr>
                <w:rFonts w:hint="eastAsia" w:ascii="宋体" w:hAnsi="宋体" w:eastAsia="宋体" w:cs="Times New Roman"/>
                <w:szCs w:val="21"/>
                <w:lang w:val="en-US" w:eastAsia="zh-CN"/>
              </w:rPr>
              <w:t>[</w:t>
            </w:r>
            <w:r>
              <w:rPr>
                <w:rFonts w:hint="eastAsia" w:ascii="宋体" w:hAnsi="宋体" w:eastAsia="宋体" w:cs="Times New Roman"/>
                <w:szCs w:val="21"/>
              </w:rPr>
              <w:t>差</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没有提供上述内容的，得0分。</w:t>
            </w:r>
          </w:p>
        </w:tc>
      </w:tr>
      <w:tr w14:paraId="480A8A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tcBorders>
              <w:right w:val="single" w:color="auto" w:sz="4" w:space="0"/>
            </w:tcBorders>
            <w:noWrap w:val="0"/>
            <w:vAlign w:val="center"/>
          </w:tcPr>
          <w:p w14:paraId="64CBE2ED">
            <w:pPr>
              <w:snapToGrid w:val="0"/>
              <w:ind w:left="-53" w:leftChars="-25" w:right="-53" w:rightChars="-25"/>
              <w:rPr>
                <w:rFonts w:hint="eastAsia" w:ascii="宋体" w:hAnsi="宋体" w:cs="宋体"/>
              </w:rPr>
            </w:pPr>
          </w:p>
        </w:tc>
        <w:tc>
          <w:tcPr>
            <w:tcW w:w="1005" w:type="dxa"/>
            <w:tcBorders>
              <w:right w:val="single" w:color="auto" w:sz="4" w:space="0"/>
            </w:tcBorders>
            <w:noWrap w:val="0"/>
            <w:vAlign w:val="top"/>
          </w:tcPr>
          <w:p w14:paraId="320D4833">
            <w:pPr>
              <w:snapToGrid w:val="0"/>
              <w:ind w:left="-53" w:leftChars="-25" w:right="-53" w:rightChars="-25"/>
              <w:jc w:val="center"/>
              <w:rPr>
                <w:rFonts w:hint="eastAsia" w:ascii="宋体" w:hAnsi="宋体" w:cs="宋体"/>
              </w:rPr>
            </w:pPr>
          </w:p>
        </w:tc>
        <w:tc>
          <w:tcPr>
            <w:tcW w:w="966" w:type="dxa"/>
            <w:tcBorders>
              <w:left w:val="single" w:color="auto" w:sz="4" w:space="0"/>
              <w:right w:val="single" w:color="auto" w:sz="4" w:space="0"/>
            </w:tcBorders>
            <w:noWrap w:val="0"/>
            <w:vAlign w:val="center"/>
          </w:tcPr>
          <w:p w14:paraId="294AC494">
            <w:pPr>
              <w:snapToGrid w:val="0"/>
              <w:jc w:val="center"/>
              <w:rPr>
                <w:rFonts w:hint="eastAsia" w:ascii="宋体" w:hAnsi="宋体" w:cs="宋体"/>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12CDADCE">
            <w:pPr>
              <w:snapToGrid w:val="0"/>
              <w:ind w:left="-53" w:leftChars="-25" w:right="-53" w:rightChars="-25"/>
              <w:jc w:val="center"/>
              <w:rPr>
                <w:rFonts w:hint="eastAsia" w:ascii="宋体" w:hAnsi="宋体" w:eastAsia="宋体" w:cs="宋体"/>
                <w:lang w:eastAsia="zh-CN"/>
              </w:rPr>
            </w:pPr>
            <w:r>
              <w:rPr>
                <w:rFonts w:hint="eastAsia" w:ascii="宋体" w:hAnsi="宋体" w:cs="宋体"/>
                <w:b w:val="0"/>
                <w:bCs/>
                <w:kern w:val="0"/>
                <w:szCs w:val="21"/>
                <w:shd w:val="clear" w:color="auto" w:fill="FFFFFF"/>
                <w:lang w:bidi="ar"/>
              </w:rPr>
              <w:t>项目负责人答辩</w:t>
            </w:r>
            <w:r>
              <w:rPr>
                <w:rFonts w:hint="eastAsia" w:ascii="宋体" w:hAnsi="宋体" w:cs="宋体"/>
                <w:b w:val="0"/>
                <w:bCs/>
                <w:kern w:val="0"/>
                <w:szCs w:val="21"/>
                <w:shd w:val="clear" w:color="auto" w:fill="FFFFFF"/>
                <w:lang w:eastAsia="zh-CN" w:bidi="ar"/>
              </w:rPr>
              <w:t>（</w:t>
            </w:r>
            <w:r>
              <w:rPr>
                <w:rFonts w:hint="eastAsia" w:ascii="宋体" w:hAnsi="宋体" w:cs="宋体"/>
                <w:b w:val="0"/>
                <w:bCs/>
                <w:kern w:val="0"/>
                <w:szCs w:val="21"/>
                <w:shd w:val="clear" w:color="auto" w:fill="FFFFFF"/>
                <w:lang w:val="en-US" w:eastAsia="zh-CN" w:bidi="ar"/>
              </w:rPr>
              <w:t>12</w:t>
            </w:r>
            <w:r>
              <w:rPr>
                <w:rFonts w:hint="eastAsia" w:ascii="宋体" w:hAnsi="宋体" w:cs="宋体"/>
                <w:b w:val="0"/>
                <w:bCs/>
              </w:rPr>
              <w:t>分</w:t>
            </w:r>
            <w:r>
              <w:rPr>
                <w:rFonts w:hint="eastAsia" w:ascii="宋体" w:hAnsi="宋体" w:cs="宋体"/>
                <w:b w:val="0"/>
                <w:bCs w:val="0"/>
                <w:kern w:val="0"/>
                <w:szCs w:val="21"/>
                <w:shd w:val="clear" w:color="auto" w:fill="FFFFFF"/>
                <w:lang w:eastAsia="zh-CN" w:bidi="ar"/>
              </w:rPr>
              <w:t>）</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2C8A42A2">
            <w:pPr>
              <w:widowControl/>
              <w:jc w:val="left"/>
              <w:rPr>
                <w:rFonts w:ascii="宋体" w:hAnsi="Calibri" w:cs="宋体"/>
                <w:b/>
                <w:bCs/>
                <w:kern w:val="0"/>
                <w:szCs w:val="21"/>
              </w:rPr>
            </w:pPr>
            <w:r>
              <w:rPr>
                <w:rFonts w:hint="eastAsia" w:ascii="宋体" w:hAnsi="Calibri" w:cs="宋体"/>
                <w:b/>
                <w:bCs/>
                <w:kern w:val="0"/>
                <w:szCs w:val="21"/>
              </w:rPr>
              <w:t>1、项目负责人陈述（包括但不限于以下）：</w:t>
            </w:r>
          </w:p>
          <w:p w14:paraId="0AC53C4E">
            <w:pPr>
              <w:widowControl/>
              <w:jc w:val="left"/>
              <w:rPr>
                <w:rFonts w:hint="eastAsia" w:ascii="宋体" w:hAnsi="Calibri" w:cs="宋体"/>
                <w:color w:val="auto"/>
                <w:kern w:val="0"/>
                <w:szCs w:val="21"/>
              </w:rPr>
            </w:pPr>
            <w:r>
              <w:rPr>
                <w:rFonts w:hint="eastAsia" w:ascii="宋体" w:hAnsi="Calibri" w:cs="宋体"/>
                <w:kern w:val="0"/>
                <w:szCs w:val="21"/>
              </w:rPr>
              <w:t>（1）</w:t>
            </w:r>
            <w:r>
              <w:rPr>
                <w:rFonts w:hint="eastAsia" w:ascii="宋体" w:hAnsi="Calibri" w:cs="宋体"/>
                <w:color w:val="auto"/>
                <w:kern w:val="0"/>
                <w:szCs w:val="21"/>
              </w:rPr>
              <w:t>对参与投标项目的了解情况；</w:t>
            </w:r>
          </w:p>
          <w:p w14:paraId="3EC1D62C">
            <w:pPr>
              <w:widowControl/>
              <w:jc w:val="left"/>
              <w:rPr>
                <w:rFonts w:ascii="宋体" w:hAnsi="Calibri" w:cs="宋体"/>
                <w:color w:val="auto"/>
                <w:kern w:val="0"/>
                <w:szCs w:val="21"/>
              </w:rPr>
            </w:pPr>
            <w:r>
              <w:rPr>
                <w:rFonts w:hint="eastAsia" w:ascii="宋体" w:hAnsi="Calibri" w:cs="宋体"/>
                <w:color w:val="auto"/>
                <w:kern w:val="0"/>
                <w:szCs w:val="21"/>
              </w:rPr>
              <w:t>（2）施工组织方案要点、安全防范措施；</w:t>
            </w:r>
          </w:p>
          <w:p w14:paraId="14C5D23C">
            <w:pPr>
              <w:widowControl/>
              <w:jc w:val="left"/>
              <w:rPr>
                <w:rFonts w:hint="eastAsia" w:ascii="宋体" w:hAnsi="Calibri" w:cs="宋体"/>
                <w:color w:val="auto"/>
                <w:kern w:val="0"/>
                <w:szCs w:val="21"/>
              </w:rPr>
            </w:pPr>
            <w:r>
              <w:rPr>
                <w:rFonts w:hint="eastAsia" w:ascii="宋体" w:hAnsi="Calibri" w:cs="宋体"/>
                <w:color w:val="auto"/>
                <w:kern w:val="0"/>
                <w:szCs w:val="21"/>
              </w:rPr>
              <w:t>（3）项目施工组织对重点工程重点难点分析（</w:t>
            </w:r>
            <w:r>
              <w:rPr>
                <w:rFonts w:hint="eastAsia" w:ascii="宋体" w:hAnsi="Calibri" w:cs="宋体"/>
                <w:color w:val="auto"/>
                <w:kern w:val="0"/>
                <w:szCs w:val="21"/>
                <w:lang w:val="en-US" w:eastAsia="zh-CN"/>
              </w:rPr>
              <w:t>加建电梯</w:t>
            </w:r>
            <w:r>
              <w:rPr>
                <w:rFonts w:hint="eastAsia" w:ascii="宋体" w:hAnsi="Calibri" w:cs="宋体"/>
                <w:color w:val="auto"/>
                <w:kern w:val="0"/>
                <w:szCs w:val="21"/>
              </w:rPr>
              <w:t>、补强加固部分）到位及应对措施；</w:t>
            </w:r>
          </w:p>
          <w:p w14:paraId="2D939A3B">
            <w:pPr>
              <w:widowControl/>
              <w:jc w:val="left"/>
              <w:rPr>
                <w:rFonts w:hint="eastAsia" w:ascii="宋体" w:hAnsi="Calibri" w:cs="宋体"/>
                <w:color w:val="auto"/>
                <w:kern w:val="0"/>
                <w:szCs w:val="21"/>
              </w:rPr>
            </w:pPr>
            <w:r>
              <w:rPr>
                <w:rFonts w:hint="eastAsia" w:ascii="宋体" w:hAnsi="Calibri" w:cs="宋体"/>
                <w:color w:val="auto"/>
                <w:kern w:val="0"/>
                <w:szCs w:val="21"/>
              </w:rPr>
              <w:t>（4）人员、设备投入计划。</w:t>
            </w:r>
          </w:p>
          <w:p w14:paraId="796256B8">
            <w:pPr>
              <w:widowControl/>
              <w:jc w:val="left"/>
              <w:rPr>
                <w:rFonts w:ascii="宋体" w:hAnsi="Calibri" w:cs="宋体"/>
                <w:color w:val="auto"/>
                <w:kern w:val="0"/>
                <w:szCs w:val="21"/>
              </w:rPr>
            </w:pPr>
            <w:r>
              <w:rPr>
                <w:rFonts w:hint="eastAsia" w:ascii="宋体" w:hAnsi="Calibri" w:cs="宋体"/>
                <w:color w:val="auto"/>
                <w:kern w:val="0"/>
                <w:szCs w:val="21"/>
              </w:rPr>
              <w:t>2、评委针对其陈述内容及方案所提的相关问题</w:t>
            </w:r>
          </w:p>
          <w:p w14:paraId="3343A86D">
            <w:pPr>
              <w:widowControl/>
              <w:jc w:val="left"/>
              <w:rPr>
                <w:rFonts w:ascii="宋体" w:hAnsi="Calibri" w:cs="宋体"/>
                <w:color w:val="auto"/>
                <w:kern w:val="0"/>
                <w:szCs w:val="21"/>
              </w:rPr>
            </w:pPr>
            <w:r>
              <w:rPr>
                <w:rFonts w:hint="eastAsia" w:ascii="宋体" w:hAnsi="Calibri" w:cs="宋体"/>
                <w:color w:val="auto"/>
                <w:kern w:val="0"/>
                <w:szCs w:val="21"/>
              </w:rPr>
              <w:t>优：【</w:t>
            </w:r>
            <w:r>
              <w:rPr>
                <w:rFonts w:hint="eastAsia" w:ascii="宋体" w:hAnsi="Calibri" w:cs="宋体"/>
                <w:color w:val="auto"/>
                <w:kern w:val="0"/>
                <w:szCs w:val="21"/>
                <w:lang w:val="en-US" w:eastAsia="zh-CN"/>
              </w:rPr>
              <w:t>12</w:t>
            </w:r>
            <w:r>
              <w:rPr>
                <w:rFonts w:hint="eastAsia" w:ascii="宋体" w:hAnsi="Calibri" w:cs="宋体"/>
                <w:color w:val="auto"/>
                <w:kern w:val="0"/>
                <w:szCs w:val="21"/>
              </w:rPr>
              <w:t>）</w:t>
            </w:r>
            <w:r>
              <w:rPr>
                <w:rFonts w:ascii="宋体" w:hAnsi="Calibri" w:cs="宋体"/>
                <w:color w:val="auto"/>
                <w:kern w:val="0"/>
                <w:szCs w:val="21"/>
              </w:rPr>
              <w:t>分，</w:t>
            </w:r>
            <w:r>
              <w:rPr>
                <w:rFonts w:hint="eastAsia" w:ascii="宋体" w:hAnsi="Calibri" w:cs="宋体"/>
                <w:color w:val="auto"/>
                <w:kern w:val="0"/>
                <w:szCs w:val="21"/>
              </w:rPr>
              <w:t>对施工组织方案认识清晰，对施工的重点、难点（</w:t>
            </w:r>
            <w:r>
              <w:rPr>
                <w:rFonts w:hint="eastAsia" w:ascii="宋体" w:hAnsi="Calibri" w:cs="宋体"/>
                <w:color w:val="auto"/>
                <w:kern w:val="0"/>
                <w:szCs w:val="21"/>
                <w:lang w:val="en-US" w:eastAsia="zh-CN"/>
              </w:rPr>
              <w:t>加建电梯</w:t>
            </w:r>
            <w:r>
              <w:rPr>
                <w:rFonts w:hint="eastAsia" w:ascii="宋体" w:hAnsi="Calibri" w:cs="宋体"/>
                <w:color w:val="auto"/>
                <w:kern w:val="0"/>
                <w:szCs w:val="21"/>
              </w:rPr>
              <w:t>、补强加固部分）认识深刻，危大工程安全防范措施及其他应对措施合理可行，人员、设备投入计划对工程进度有保障，对设计工作的配合方案合理可行，施工组织方案对工程质量、工期的保证合理可行；回答评委提问思路清晰、内容准确。</w:t>
            </w:r>
          </w:p>
          <w:p w14:paraId="0CAD74A8">
            <w:pPr>
              <w:widowControl/>
              <w:jc w:val="left"/>
              <w:rPr>
                <w:rFonts w:ascii="宋体" w:hAnsi="Calibri" w:cs="宋体"/>
                <w:color w:val="auto"/>
                <w:kern w:val="0"/>
                <w:szCs w:val="21"/>
              </w:rPr>
            </w:pPr>
            <w:r>
              <w:rPr>
                <w:rFonts w:hint="eastAsia" w:ascii="宋体" w:hAnsi="Calibri" w:cs="宋体"/>
                <w:color w:val="auto"/>
                <w:kern w:val="0"/>
                <w:szCs w:val="21"/>
              </w:rPr>
              <w:t>良：【</w:t>
            </w:r>
            <w:r>
              <w:rPr>
                <w:rFonts w:hint="eastAsia" w:ascii="宋体" w:hAnsi="Calibri" w:cs="宋体"/>
                <w:color w:val="auto"/>
                <w:kern w:val="0"/>
                <w:szCs w:val="21"/>
                <w:lang w:val="en-US" w:eastAsia="zh-CN"/>
              </w:rPr>
              <w:t>6</w:t>
            </w:r>
            <w:r>
              <w:rPr>
                <w:rFonts w:hint="eastAsia" w:ascii="宋体" w:hAnsi="Calibri" w:cs="宋体"/>
                <w:color w:val="auto"/>
                <w:kern w:val="0"/>
                <w:szCs w:val="21"/>
              </w:rPr>
              <w:t>）</w:t>
            </w:r>
            <w:r>
              <w:rPr>
                <w:rFonts w:ascii="宋体" w:hAnsi="Calibri" w:cs="宋体"/>
                <w:color w:val="auto"/>
                <w:kern w:val="0"/>
                <w:szCs w:val="21"/>
              </w:rPr>
              <w:t>分，</w:t>
            </w:r>
            <w:r>
              <w:rPr>
                <w:rFonts w:hint="eastAsia" w:ascii="宋体" w:hAnsi="Calibri" w:cs="宋体"/>
                <w:color w:val="auto"/>
                <w:kern w:val="0"/>
                <w:szCs w:val="21"/>
              </w:rPr>
              <w:t>对施工组织方案认识较清晰，对施工的重点、难点（</w:t>
            </w:r>
            <w:r>
              <w:rPr>
                <w:rFonts w:hint="eastAsia" w:ascii="宋体" w:hAnsi="Calibri" w:cs="宋体"/>
                <w:color w:val="auto"/>
                <w:kern w:val="0"/>
                <w:szCs w:val="21"/>
                <w:lang w:val="en-US" w:eastAsia="zh-CN"/>
              </w:rPr>
              <w:t>加建电梯</w:t>
            </w:r>
            <w:r>
              <w:rPr>
                <w:rFonts w:hint="eastAsia" w:ascii="宋体" w:hAnsi="Calibri" w:cs="宋体"/>
                <w:color w:val="auto"/>
                <w:kern w:val="0"/>
                <w:szCs w:val="21"/>
              </w:rPr>
              <w:t>、补强加固部分）认识到位，安全防范措施及其他应对措施基本合理，人员、设备投入计划对工程进度基本有保障，对设计工作的配合方案基本可行，施工组织方案对工程质量、工期的保证基本合理可行；回答评委提问思路比较清晰、内容基本准确。</w:t>
            </w:r>
          </w:p>
          <w:p w14:paraId="1AF50E4B">
            <w:pPr>
              <w:rPr>
                <w:rFonts w:ascii="宋体" w:hAnsi="Calibri" w:cs="宋体"/>
                <w:kern w:val="0"/>
                <w:szCs w:val="21"/>
              </w:rPr>
            </w:pPr>
            <w:r>
              <w:rPr>
                <w:rFonts w:hint="eastAsia" w:ascii="宋体" w:hAnsi="Calibri" w:cs="宋体"/>
                <w:color w:val="auto"/>
                <w:kern w:val="0"/>
                <w:szCs w:val="21"/>
              </w:rPr>
              <w:t>中：【</w:t>
            </w:r>
            <w:r>
              <w:rPr>
                <w:rFonts w:hint="eastAsia" w:ascii="宋体" w:hAnsi="Calibri" w:cs="宋体"/>
                <w:color w:val="auto"/>
                <w:kern w:val="0"/>
                <w:szCs w:val="21"/>
                <w:lang w:val="en-US" w:eastAsia="zh-CN"/>
              </w:rPr>
              <w:t>3</w:t>
            </w:r>
            <w:r>
              <w:rPr>
                <w:rFonts w:hint="eastAsia" w:ascii="宋体" w:hAnsi="Calibri" w:cs="宋体"/>
                <w:color w:val="auto"/>
                <w:kern w:val="0"/>
                <w:szCs w:val="21"/>
              </w:rPr>
              <w:t>)</w:t>
            </w:r>
            <w:r>
              <w:rPr>
                <w:rFonts w:ascii="宋体" w:hAnsi="Calibri" w:cs="宋体"/>
                <w:color w:val="auto"/>
                <w:kern w:val="0"/>
                <w:szCs w:val="21"/>
              </w:rPr>
              <w:t>分，</w:t>
            </w:r>
            <w:r>
              <w:rPr>
                <w:rFonts w:hint="eastAsia" w:ascii="宋体" w:hAnsi="Calibri" w:cs="宋体"/>
                <w:color w:val="auto"/>
                <w:kern w:val="0"/>
                <w:szCs w:val="21"/>
              </w:rPr>
              <w:t>对施工组织方案认识一般；或未能把握施工的重点、难点（</w:t>
            </w:r>
            <w:r>
              <w:rPr>
                <w:rFonts w:hint="eastAsia" w:ascii="宋体" w:hAnsi="Calibri" w:cs="宋体"/>
                <w:color w:val="auto"/>
                <w:kern w:val="0"/>
                <w:szCs w:val="21"/>
                <w:lang w:val="en-US" w:eastAsia="zh-CN"/>
              </w:rPr>
              <w:t>加建电梯</w:t>
            </w:r>
            <w:r>
              <w:rPr>
                <w:rFonts w:hint="eastAsia" w:ascii="宋体" w:hAnsi="Calibri" w:cs="宋体"/>
                <w:color w:val="auto"/>
                <w:kern w:val="0"/>
                <w:szCs w:val="21"/>
              </w:rPr>
              <w:t>、补强加固部分）；</w:t>
            </w:r>
            <w:r>
              <w:rPr>
                <w:rFonts w:hint="eastAsia" w:ascii="宋体" w:hAnsi="宋体" w:cs="宋体"/>
                <w:color w:val="auto"/>
                <w:kern w:val="0"/>
                <w:szCs w:val="21"/>
                <w:lang w:bidi="ar"/>
              </w:rPr>
              <w:t>或安全防范措施及其他应对措施欠合理；或人员、设备投入计划对</w:t>
            </w:r>
            <w:r>
              <w:rPr>
                <w:rFonts w:hint="eastAsia" w:ascii="宋体" w:hAnsi="宋体" w:cs="宋体"/>
                <w:kern w:val="0"/>
                <w:szCs w:val="21"/>
                <w:lang w:bidi="ar"/>
              </w:rPr>
              <w:t>工程进度保障差；或对设计工作的配合方案可行性较差，施工组织方案对工程质量、工期的保证可行性较差；或回答评委提问思路不清晰、答非所问。</w:t>
            </w:r>
          </w:p>
          <w:p w14:paraId="36D40E3E">
            <w:pPr>
              <w:spacing w:line="288" w:lineRule="auto"/>
              <w:ind w:firstLine="420" w:firstLineChars="200"/>
              <w:rPr>
                <w:rFonts w:hint="eastAsia" w:ascii="宋体" w:hAnsi="宋体" w:cs="宋体"/>
                <w:b/>
                <w:kern w:val="0"/>
                <w:szCs w:val="21"/>
                <w:shd w:val="clear" w:color="auto" w:fill="FFFFFF"/>
                <w:lang w:val="en-US" w:eastAsia="zh-CN" w:bidi="ar"/>
              </w:rPr>
            </w:pPr>
            <w:r>
              <w:rPr>
                <w:rFonts w:hint="eastAsia" w:hAnsi="宋体" w:cs="宋体"/>
                <w:sz w:val="21"/>
                <w:szCs w:val="21"/>
                <w:lang w:bidi="ar"/>
              </w:rPr>
              <w:t>差：0分，项目负责人未参加答辩。</w:t>
            </w:r>
            <w:r>
              <w:rPr>
                <w:rFonts w:hint="eastAsia" w:hAnsi="宋体" w:cs="宋体"/>
                <w:sz w:val="21"/>
                <w:szCs w:val="21"/>
                <w:lang w:bidi="ar"/>
              </w:rPr>
              <w:br w:type="textWrapping"/>
            </w:r>
            <w:r>
              <w:rPr>
                <w:rFonts w:hint="eastAsia" w:ascii="宋体" w:hAnsi="宋体" w:cs="宋体"/>
                <w:b/>
                <w:kern w:val="0"/>
                <w:szCs w:val="21"/>
                <w:shd w:val="clear" w:color="auto" w:fill="FFFFFF"/>
                <w:lang w:val="en-US" w:eastAsia="zh-CN" w:bidi="ar"/>
              </w:rPr>
              <w:t>注：</w:t>
            </w:r>
          </w:p>
          <w:p w14:paraId="5046B830">
            <w:pPr>
              <w:rPr>
                <w:rFonts w:hint="eastAsia" w:ascii="宋体" w:hAnsi="宋体" w:cs="宋体"/>
                <w:kern w:val="0"/>
                <w:szCs w:val="21"/>
                <w:lang w:bidi="ar"/>
              </w:rPr>
            </w:pPr>
            <w:r>
              <w:rPr>
                <w:rFonts w:hint="eastAsia" w:ascii="宋体" w:hAnsi="宋体" w:cs="宋体"/>
                <w:kern w:val="0"/>
                <w:szCs w:val="21"/>
                <w:lang w:bidi="ar"/>
              </w:rPr>
              <w:t>（1）答辨顺序的确定：按照本招标项目《开标记录表》中的序号，由小到大依次排序进行签到答辩。</w:t>
            </w:r>
          </w:p>
          <w:p w14:paraId="0AA5FFBF">
            <w:pPr>
              <w:rPr>
                <w:rFonts w:hint="eastAsia" w:ascii="宋体" w:hAnsi="宋体" w:cs="宋体"/>
                <w:kern w:val="0"/>
                <w:szCs w:val="21"/>
                <w:lang w:bidi="ar"/>
              </w:rPr>
            </w:pPr>
            <w:r>
              <w:rPr>
                <w:rFonts w:hint="eastAsia" w:ascii="宋体" w:hAnsi="宋体" w:cs="宋体"/>
                <w:kern w:val="0"/>
                <w:szCs w:val="21"/>
                <w:lang w:bidi="ar"/>
              </w:rPr>
              <w:t>（2）答辩人员的到场要求：各参加答辩的投标单位按照答辩顺序，由参与答辩的人员出示身份证原件，核对确认身份后签到。</w:t>
            </w:r>
          </w:p>
          <w:p w14:paraId="051FE905">
            <w:pPr>
              <w:rPr>
                <w:rFonts w:hint="eastAsia" w:ascii="宋体" w:hAnsi="宋体" w:cs="宋体"/>
                <w:kern w:val="0"/>
                <w:szCs w:val="21"/>
                <w:lang w:bidi="ar"/>
              </w:rPr>
            </w:pPr>
            <w:r>
              <w:rPr>
                <w:rFonts w:hint="eastAsia" w:ascii="宋体" w:hAnsi="宋体" w:cs="宋体"/>
                <w:kern w:val="0"/>
                <w:szCs w:val="21"/>
                <w:lang w:bidi="ar"/>
              </w:rPr>
              <w:t>（3）答辩形式与要求：答辩人员先陈述，评委针对陈述内容提问，由答辩人员进行解答；</w:t>
            </w:r>
          </w:p>
          <w:p w14:paraId="1E501BBC">
            <w:pPr>
              <w:rPr>
                <w:rFonts w:hint="eastAsia" w:ascii="宋体" w:hAnsi="宋体" w:eastAsia="宋体" w:cs="Times New Roman"/>
                <w:szCs w:val="21"/>
                <w:lang w:val="en-US" w:eastAsia="zh-CN"/>
              </w:rPr>
            </w:pPr>
            <w:r>
              <w:rPr>
                <w:rFonts w:hint="eastAsia" w:ascii="宋体" w:hAnsi="宋体" w:cs="宋体"/>
                <w:kern w:val="0"/>
                <w:szCs w:val="21"/>
                <w:lang w:bidi="ar"/>
              </w:rPr>
              <w:t>（4）答辩时长控制：每个投标人的答辩时间控制在</w:t>
            </w:r>
            <w:r>
              <w:rPr>
                <w:rFonts w:hint="eastAsia" w:ascii="宋体" w:hAnsi="宋体" w:cs="宋体"/>
                <w:kern w:val="0"/>
                <w:szCs w:val="21"/>
                <w:lang w:val="en-US" w:eastAsia="zh-CN" w:bidi="ar"/>
              </w:rPr>
              <w:t>20</w:t>
            </w:r>
            <w:r>
              <w:rPr>
                <w:rFonts w:hint="eastAsia" w:ascii="宋体" w:hAnsi="宋体" w:cs="宋体"/>
                <w:kern w:val="0"/>
                <w:szCs w:val="21"/>
                <w:lang w:bidi="ar"/>
              </w:rPr>
              <w:t>分钟内。</w:t>
            </w:r>
          </w:p>
        </w:tc>
      </w:tr>
      <w:tr w14:paraId="2687FE5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40" w:type="dxa"/>
            <w:left w:w="85" w:type="dxa"/>
            <w:bottom w:w="34" w:type="dxa"/>
            <w:right w:w="85" w:type="dxa"/>
          </w:tblCellMar>
        </w:tblPrEx>
        <w:trPr>
          <w:trHeight w:val="284" w:hRule="atLeast"/>
          <w:jc w:val="center"/>
        </w:trPr>
        <w:tc>
          <w:tcPr>
            <w:tcW w:w="676" w:type="dxa"/>
            <w:tcBorders>
              <w:top w:val="single" w:color="auto" w:sz="4" w:space="0"/>
              <w:left w:val="single" w:color="auto" w:sz="4" w:space="0"/>
              <w:bottom w:val="single" w:color="auto" w:sz="4" w:space="0"/>
              <w:right w:val="single" w:color="auto" w:sz="4" w:space="0"/>
            </w:tcBorders>
            <w:noWrap w:val="0"/>
            <w:vAlign w:val="center"/>
          </w:tcPr>
          <w:p w14:paraId="4865034C">
            <w:pPr>
              <w:snapToGrid w:val="0"/>
              <w:ind w:left="-53" w:leftChars="-25" w:right="-53" w:rightChars="-25"/>
              <w:jc w:val="center"/>
              <w:rPr>
                <w:rFonts w:hint="eastAsia" w:ascii="宋体" w:hAnsi="宋体" w:cs="宋体"/>
                <w:szCs w:val="21"/>
              </w:rPr>
            </w:pPr>
            <w:r>
              <w:rPr>
                <w:rFonts w:hint="eastAsia" w:ascii="宋体" w:hAnsi="宋体" w:cs="宋体"/>
                <w:szCs w:val="21"/>
              </w:rPr>
              <w:t>2.2.4（3）</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3FC4773E">
            <w:pPr>
              <w:snapToGrid w:val="0"/>
              <w:ind w:left="-53" w:leftChars="-25" w:right="-53" w:rightChars="-25"/>
              <w:jc w:val="center"/>
              <w:rPr>
                <w:rFonts w:hint="eastAsia" w:ascii="宋体" w:hAnsi="宋体" w:cs="宋体"/>
                <w:szCs w:val="21"/>
              </w:rPr>
            </w:pPr>
            <w:r>
              <w:rPr>
                <w:rFonts w:hint="eastAsia" w:ascii="宋体" w:hAnsi="宋体" w:cs="宋体"/>
                <w:szCs w:val="21"/>
              </w:rPr>
              <w:t>投标报价评分标准</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70F9CED6">
            <w:pPr>
              <w:snapToGrid w:val="0"/>
              <w:jc w:val="center"/>
              <w:rPr>
                <w:rFonts w:hint="eastAsia" w:ascii="宋体" w:hAnsi="宋体" w:cs="宋体"/>
                <w:szCs w:val="21"/>
              </w:rPr>
            </w:pPr>
            <w:r>
              <w:rPr>
                <w:rFonts w:hint="eastAsia" w:ascii="宋体" w:hAnsi="宋体" w:cs="宋体"/>
                <w:szCs w:val="21"/>
              </w:rPr>
              <w:t>报价得分</w:t>
            </w:r>
          </w:p>
          <w:p w14:paraId="7C3BDE65">
            <w:pPr>
              <w:widowControl/>
              <w:snapToGrid w:val="0"/>
              <w:jc w:val="center"/>
              <w:rPr>
                <w:rFonts w:hint="eastAsia" w:ascii="宋体" w:hAnsi="宋体"/>
              </w:rPr>
            </w:pPr>
            <w:r>
              <w:rPr>
                <w:rFonts w:hint="eastAsia" w:ascii="宋体" w:hAnsi="宋体"/>
              </w:rPr>
              <w:t>（</w:t>
            </w:r>
            <w:r>
              <w:rPr>
                <w:rFonts w:ascii="宋体" w:hAnsi="宋体"/>
              </w:rPr>
              <w:t>100</w:t>
            </w:r>
            <w:r>
              <w:rPr>
                <w:rFonts w:hint="eastAsia" w:ascii="宋体" w:hAnsi="宋体"/>
              </w:rPr>
              <w:t>分）</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5ADD9C04">
            <w:pPr>
              <w:pStyle w:val="7"/>
            </w:pPr>
            <w:r>
              <w:rPr>
                <w:rFonts w:hint="eastAsia" w:ascii="宋体" w:hAnsi="宋体" w:cs="宋体"/>
                <w:kern w:val="2"/>
                <w:sz w:val="21"/>
                <w:szCs w:val="24"/>
              </w:rPr>
              <w:t>当投标总报价等于评标基准价时得100分，投标总报价每高于评标基准价1%，扣1.5分，每低于评标基准价1%，扣1分，最多扣100分，得出投标报价得分，精确到小数点后两位。</w:t>
            </w:r>
          </w:p>
          <w:p w14:paraId="30F712BA">
            <w:pPr>
              <w:snapToGrid w:val="0"/>
              <w:jc w:val="left"/>
              <w:rPr>
                <w:rFonts w:hint="eastAsia" w:ascii="宋体" w:hAnsi="宋体" w:cs="宋体"/>
                <w:szCs w:val="21"/>
              </w:rPr>
            </w:pPr>
          </w:p>
        </w:tc>
      </w:tr>
    </w:tbl>
    <w:p w14:paraId="2F4A4DE7">
      <w:pPr>
        <w:spacing w:line="320" w:lineRule="exact"/>
        <w:ind w:left="-321" w:leftChars="-153" w:firstLine="632" w:firstLineChars="300"/>
        <w:rPr>
          <w:rFonts w:ascii="宋体" w:hAnsi="宋体"/>
          <w:b/>
        </w:rPr>
      </w:pPr>
      <w:r>
        <w:rPr>
          <w:rFonts w:hint="eastAsia" w:ascii="宋体" w:hAnsi="宋体"/>
          <w:b/>
        </w:rPr>
        <w:t>备注：</w:t>
      </w:r>
    </w:p>
    <w:p w14:paraId="2A4D3946">
      <w:pPr>
        <w:spacing w:line="320" w:lineRule="exact"/>
        <w:ind w:firstLine="316" w:firstLineChars="150"/>
        <w:rPr>
          <w:rFonts w:ascii="宋体" w:hAnsi="宋体"/>
          <w:b/>
        </w:rPr>
      </w:pPr>
      <w:r>
        <w:rPr>
          <w:rFonts w:hint="eastAsia" w:ascii="宋体" w:hAnsi="宋体"/>
          <w:b/>
        </w:rPr>
        <w:t>1、【企业业绩】：</w:t>
      </w:r>
    </w:p>
    <w:p w14:paraId="33D0C4FB">
      <w:pPr>
        <w:spacing w:line="320" w:lineRule="exact"/>
        <w:ind w:firstLine="316" w:firstLineChars="150"/>
        <w:rPr>
          <w:rFonts w:ascii="宋体" w:hAnsi="宋体"/>
        </w:rPr>
      </w:pPr>
      <w:r>
        <w:rPr>
          <w:rFonts w:hint="eastAsia" w:ascii="宋体" w:hAnsi="宋体"/>
          <w:b/>
        </w:rPr>
        <w:t>1.1 施工业绩：</w:t>
      </w:r>
      <w:r>
        <w:rPr>
          <w:rFonts w:hint="eastAsia" w:ascii="宋体" w:hAnsi="宋体"/>
          <w:b w:val="0"/>
          <w:bCs/>
          <w:color w:val="auto"/>
        </w:rPr>
        <w:t>类似项目是指单项中标金额大于或等于</w:t>
      </w:r>
      <w:r>
        <w:rPr>
          <w:rFonts w:hint="eastAsia" w:ascii="宋体" w:hAnsi="宋体"/>
          <w:b w:val="0"/>
          <w:bCs/>
          <w:color w:val="auto"/>
          <w:lang w:val="en-US" w:eastAsia="zh-CN"/>
        </w:rPr>
        <w:t>3000</w:t>
      </w:r>
      <w:r>
        <w:rPr>
          <w:rFonts w:hint="eastAsia" w:ascii="宋体" w:hAnsi="宋体"/>
          <w:b w:val="0"/>
          <w:bCs/>
          <w:color w:val="auto"/>
        </w:rPr>
        <w:t>万元的建筑装修装饰工程</w:t>
      </w:r>
      <w:r>
        <w:rPr>
          <w:rFonts w:hint="eastAsia" w:ascii="宋体" w:hAnsi="宋体"/>
          <w:b w:val="0"/>
          <w:bCs/>
          <w:color w:val="auto"/>
          <w:lang w:val="en-US" w:eastAsia="zh-CN"/>
        </w:rPr>
        <w:t>专业承包</w:t>
      </w:r>
      <w:r>
        <w:rPr>
          <w:rFonts w:hint="eastAsia" w:ascii="宋体" w:hAnsi="宋体"/>
          <w:b w:val="0"/>
          <w:bCs/>
          <w:color w:val="auto"/>
        </w:rPr>
        <w:t>或建筑工程施工总承包施工项目</w:t>
      </w:r>
      <w:r>
        <w:rPr>
          <w:rFonts w:hint="eastAsia" w:ascii="宋体" w:hAnsi="宋体"/>
          <w:b w:val="0"/>
          <w:bCs/>
          <w:color w:val="auto"/>
          <w:lang w:eastAsia="zh-CN"/>
        </w:rPr>
        <w:t>或EPC项目</w:t>
      </w:r>
      <w:r>
        <w:rPr>
          <w:rFonts w:hint="eastAsia" w:ascii="宋体" w:hAnsi="宋体"/>
          <w:b w:val="0"/>
          <w:bCs/>
          <w:color w:val="auto"/>
          <w:lang w:val="en-US" w:eastAsia="zh-CN"/>
        </w:rPr>
        <w:t>。</w:t>
      </w:r>
      <w:r>
        <w:rPr>
          <w:rFonts w:hint="eastAsia" w:ascii="宋体" w:hAnsi="宋体"/>
        </w:rPr>
        <w:t>业绩取自广州市住建行业信用管理平台。投标人须提供类似项目业绩的项目名称及业绩在广州市住建行业信用管理平台中项目编号、相应业绩在广州市住建行业信用管理平台的网页信息截图（截图须包含广州市住建行业信用管理平台中的“项目基本信息”、“工程规模”、“验收材料”、“工程对应的企业资质”栏）。不提供项目名称及项目编号、网页信息截图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投标文件中可不需重复提交相关业绩上传件）。（1）用于本项目投标的类似业绩，在平台中“工程对应的企业资质”栏中须登记有与本项目要求相对应的</w:t>
      </w:r>
      <w:r>
        <w:rPr>
          <w:rFonts w:hint="eastAsia" w:ascii="宋体" w:hAnsi="宋体"/>
          <w:szCs w:val="21"/>
        </w:rPr>
        <w:t>资质（具体资质要求：</w:t>
      </w:r>
      <w:r>
        <w:rPr>
          <w:rFonts w:hint="eastAsia" w:ascii="宋体" w:hAnsi="宋体"/>
          <w:b w:val="0"/>
          <w:bCs/>
          <w:color w:val="auto"/>
        </w:rPr>
        <w:t>建筑装修装饰工程</w:t>
      </w:r>
      <w:r>
        <w:rPr>
          <w:rFonts w:hint="eastAsia" w:ascii="宋体" w:hAnsi="宋体"/>
          <w:b w:val="0"/>
          <w:bCs/>
          <w:color w:val="auto"/>
          <w:lang w:val="en-US" w:eastAsia="zh-CN"/>
        </w:rPr>
        <w:t>专业承包类似业绩</w:t>
      </w:r>
      <w:r>
        <w:rPr>
          <w:rFonts w:hint="eastAsia" w:ascii="宋体" w:hAnsi="宋体"/>
        </w:rPr>
        <w:t>对应</w:t>
      </w:r>
      <w:r>
        <w:rPr>
          <w:rFonts w:hint="eastAsia" w:ascii="宋体" w:hAnsi="宋体"/>
          <w:lang w:eastAsia="zh-CN"/>
        </w:rPr>
        <w:t>“建筑装修装饰工程”</w:t>
      </w:r>
      <w:r>
        <w:rPr>
          <w:rFonts w:hint="eastAsia" w:ascii="宋体" w:hAnsi="宋体"/>
          <w:szCs w:val="21"/>
        </w:rPr>
        <w:t>资质</w:t>
      </w:r>
      <w:r>
        <w:rPr>
          <w:rFonts w:hint="eastAsia" w:ascii="宋体" w:hAnsi="宋体"/>
          <w:szCs w:val="21"/>
          <w:lang w:eastAsia="zh-CN"/>
        </w:rPr>
        <w:t>；</w:t>
      </w:r>
      <w:r>
        <w:rPr>
          <w:rFonts w:hint="eastAsia" w:ascii="宋体" w:hAnsi="宋体"/>
          <w:b w:val="0"/>
          <w:bCs/>
          <w:color w:val="auto"/>
        </w:rPr>
        <w:t>建筑工程施工总承包</w:t>
      </w:r>
      <w:r>
        <w:rPr>
          <w:rFonts w:hint="eastAsia" w:ascii="宋体" w:hAnsi="宋体"/>
          <w:b w:val="0"/>
          <w:bCs/>
          <w:color w:val="auto"/>
          <w:lang w:val="en-US" w:eastAsia="zh-CN"/>
        </w:rPr>
        <w:t>类似业绩</w:t>
      </w:r>
      <w:r>
        <w:rPr>
          <w:rFonts w:hint="eastAsia" w:ascii="宋体" w:hAnsi="宋体"/>
        </w:rPr>
        <w:t>对应</w:t>
      </w:r>
      <w:r>
        <w:rPr>
          <w:rFonts w:hint="eastAsia" w:ascii="宋体" w:hAnsi="宋体"/>
          <w:lang w:eastAsia="zh-CN"/>
        </w:rPr>
        <w:t>“建筑工程施工总承包（原房屋建筑工程施工总承包）”</w:t>
      </w:r>
      <w:r>
        <w:rPr>
          <w:rFonts w:hint="eastAsia" w:ascii="宋体" w:hAnsi="宋体"/>
          <w:szCs w:val="21"/>
        </w:rPr>
        <w:t>资质</w:t>
      </w:r>
      <w:r>
        <w:rPr>
          <w:rFonts w:hint="eastAsia" w:ascii="宋体" w:hAnsi="宋体"/>
          <w:lang w:eastAsia="zh-CN"/>
        </w:rPr>
        <w:t>；</w:t>
      </w:r>
      <w:r>
        <w:rPr>
          <w:rFonts w:hint="eastAsia" w:ascii="宋体" w:hAnsi="宋体"/>
          <w:b w:val="0"/>
          <w:bCs/>
          <w:color w:val="auto"/>
          <w:lang w:val="en-US" w:eastAsia="zh-CN"/>
        </w:rPr>
        <w:t>EPC项目类似业绩</w:t>
      </w:r>
      <w:r>
        <w:rPr>
          <w:rFonts w:hint="eastAsia" w:ascii="宋体" w:hAnsi="宋体"/>
          <w:color w:val="auto"/>
        </w:rPr>
        <w:t>对应</w:t>
      </w:r>
      <w:r>
        <w:rPr>
          <w:rFonts w:hint="eastAsia" w:ascii="宋体" w:hAnsi="宋体"/>
          <w:color w:val="auto"/>
          <w:lang w:eastAsia="zh-CN"/>
        </w:rPr>
        <w:t>“建筑工程施工总承包（原房屋建筑工程施工总承包）”</w:t>
      </w:r>
      <w:r>
        <w:rPr>
          <w:rFonts w:hint="eastAsia" w:ascii="宋体" w:hAnsi="宋体"/>
          <w:color w:val="auto"/>
          <w:szCs w:val="21"/>
        </w:rPr>
        <w:t>资质</w:t>
      </w:r>
      <w:r>
        <w:rPr>
          <w:rFonts w:hint="eastAsia" w:ascii="宋体" w:hAnsi="宋体"/>
          <w:color w:val="auto"/>
        </w:rPr>
        <w:t>。</w:t>
      </w:r>
      <w:r>
        <w:rPr>
          <w:rFonts w:hint="eastAsia" w:ascii="宋体" w:hAnsi="宋体"/>
          <w:color w:val="auto"/>
          <w:szCs w:val="21"/>
        </w:rPr>
        <w:t>）</w:t>
      </w:r>
      <w:r>
        <w:rPr>
          <w:rFonts w:hint="eastAsia" w:ascii="宋体" w:hAnsi="宋体"/>
        </w:rPr>
        <w:t>（2）①单独发包的专业工程的业绩金额以中标通知书为准，中标通知书上没有金额或免招标的，以施工合同（不含补充合同）为准。如中标通知书未能体现对应的专业工程金额，则以施工合同载明的对应的专业工程金额为准，如中标通知书与施工合同均不能单独体现对应的专业工程金额，则以建设单位提供的证明资料中载明的对应专业金额为准。由总承包单位依法分包的专业工程业绩其金额以分包合同中约定的合同金额为准。如上述资料均未能体现对应专业工程金额的以广州市住建行业信用管理平台中项目业绩页面的“工程规模”栏中所记录的</w:t>
      </w:r>
      <w:r>
        <w:rPr>
          <w:rFonts w:hint="eastAsia" w:ascii="宋体" w:hAnsi="宋体"/>
          <w:lang w:val="en-US" w:eastAsia="zh-CN"/>
        </w:rPr>
        <w:t>相应专业</w:t>
      </w:r>
      <w:r>
        <w:rPr>
          <w:rFonts w:hint="eastAsia" w:ascii="宋体" w:hAnsi="宋体"/>
        </w:rPr>
        <w:t>工程造价为准。②施工总承包项目业绩的金额以中标通知书为准，中标通知书上没有金额或免招标的，以施工合同（不含补充合同）为准。</w:t>
      </w:r>
      <w:r>
        <w:rPr>
          <w:rFonts w:hint="eastAsia" w:ascii="宋体" w:hAnsi="宋体"/>
          <w:lang w:val="en-US" w:eastAsia="zh-CN"/>
        </w:rPr>
        <w:t>③EPC</w:t>
      </w:r>
      <w:r>
        <w:rPr>
          <w:rFonts w:hint="eastAsia" w:ascii="宋体" w:hAnsi="宋体"/>
        </w:rPr>
        <w:t>项目业绩的金额以中标通知书</w:t>
      </w:r>
      <w:r>
        <w:rPr>
          <w:rFonts w:hint="eastAsia" w:ascii="宋体" w:hAnsi="宋体"/>
          <w:lang w:val="en-US" w:eastAsia="zh-CN"/>
        </w:rPr>
        <w:t>中施工费用</w:t>
      </w:r>
      <w:r>
        <w:rPr>
          <w:rFonts w:hint="eastAsia" w:ascii="宋体" w:hAnsi="宋体"/>
        </w:rPr>
        <w:t>为准，中标通知书上没有金额或免招标的，以合同</w:t>
      </w:r>
      <w:r>
        <w:rPr>
          <w:rFonts w:hint="eastAsia" w:ascii="宋体" w:hAnsi="宋体"/>
          <w:lang w:val="en-US" w:eastAsia="zh-CN"/>
        </w:rPr>
        <w:t>中施工费用</w:t>
      </w:r>
      <w:r>
        <w:rPr>
          <w:rFonts w:hint="eastAsia" w:ascii="宋体" w:hAnsi="宋体"/>
        </w:rPr>
        <w:t>（不含补充合同）为准。（3）①单独发包的专业工程的业绩完成时间以子分部工程质量验收记录时间为准。未提供子分部工程质量验收记录的，完成时间以竣工验收报告记录时间为准。验收记录或竣工验收报告至少具有建设单位、设计、施工和监理单位盖章。②施工总承包项目业绩完成时间以竣工验收文件为准。验收文件至少具有建设单位、设计、施工和监理单位盖章。</w:t>
      </w:r>
      <w:r>
        <w:rPr>
          <w:rFonts w:hint="eastAsia" w:ascii="宋体" w:hAnsi="宋体"/>
          <w:lang w:val="en-US" w:eastAsia="zh-CN"/>
        </w:rPr>
        <w:t>③EPC</w:t>
      </w:r>
      <w:r>
        <w:rPr>
          <w:rFonts w:hint="eastAsia" w:ascii="宋体" w:hAnsi="宋体"/>
        </w:rPr>
        <w:t>项目业绩完成时间以竣工验收文件为准。验收文件至少具有建设单位、设计、施工和监理单位盖章。（4）平台内业绩上传件不符合上述要求的或登记的工程资质内容与施工合同等业绩证明资料不相符的，该项业绩不予认定。</w:t>
      </w:r>
    </w:p>
    <w:p w14:paraId="47D12BF7">
      <w:pPr>
        <w:spacing w:line="320" w:lineRule="exact"/>
        <w:ind w:firstLine="316" w:firstLineChars="150"/>
        <w:rPr>
          <w:rFonts w:hint="eastAsia" w:ascii="宋体" w:hAnsi="宋体"/>
        </w:rPr>
      </w:pPr>
      <w:r>
        <w:rPr>
          <w:rFonts w:hint="eastAsia" w:ascii="宋体" w:hAnsi="宋体"/>
          <w:b/>
        </w:rPr>
        <w:t>1.2 设计业绩：</w:t>
      </w:r>
      <w:r>
        <w:rPr>
          <w:rFonts w:hint="eastAsia" w:ascii="宋体" w:hAnsi="宋体"/>
        </w:rPr>
        <w:t>①</w:t>
      </w:r>
      <w:r>
        <w:rPr>
          <w:rFonts w:hint="eastAsia" w:ascii="宋体" w:hAnsi="宋体"/>
          <w:b w:val="0"/>
          <w:lang w:val="en-US" w:eastAsia="zh-CN"/>
        </w:rPr>
        <w:t>需同时提供设计合同关键页、中标通知书或免招标的证明、施工图审查证明文件。</w:t>
      </w:r>
      <w:r>
        <w:rPr>
          <w:rFonts w:hint="eastAsia" w:ascii="宋体" w:hAnsi="宋体"/>
        </w:rPr>
        <w:t>②总建筑面积以合同中注明的面积为准</w:t>
      </w:r>
      <w:r>
        <w:rPr>
          <w:rFonts w:hint="eastAsia" w:ascii="宋体" w:hAnsi="宋体"/>
          <w:b w:val="0"/>
          <w:lang w:val="en-US" w:eastAsia="zh-CN"/>
        </w:rPr>
        <w:t>。若合同无法体现的，需另提供建设单位确认的证明材料。时间以签订合同（不含补充合同）的时间为准；③</w:t>
      </w:r>
      <w:r>
        <w:rPr>
          <w:rFonts w:hint="eastAsia" w:ascii="宋体" w:hAnsi="宋体"/>
        </w:rPr>
        <w:t>同一项目业绩不重复计算得分。④不符合上述条件或未提供相关证明材料的不得分。</w:t>
      </w:r>
    </w:p>
    <w:p w14:paraId="5C0232EE">
      <w:pPr>
        <w:spacing w:line="320" w:lineRule="exact"/>
        <w:ind w:firstLine="316" w:firstLineChars="150"/>
        <w:rPr>
          <w:rFonts w:hint="eastAsia" w:ascii="宋体" w:hAnsi="宋体"/>
          <w:b w:val="0"/>
          <w:color w:val="auto"/>
        </w:rPr>
      </w:pPr>
      <w:r>
        <w:rPr>
          <w:rFonts w:hint="eastAsia" w:ascii="宋体" w:hAnsi="宋体"/>
          <w:b/>
          <w:color w:val="auto"/>
        </w:rPr>
        <w:t>2、【工程获奖】：</w:t>
      </w:r>
      <w:r>
        <w:rPr>
          <w:rFonts w:hint="eastAsia" w:ascii="宋体" w:hAnsi="宋体"/>
          <w:b w:val="0"/>
          <w:color w:val="auto"/>
          <w:lang w:val="en-US" w:eastAsia="zh-CN"/>
        </w:rPr>
        <w:t>工程奖项可取自广州市住建行业信用管理平台或提供获奖证书原件扫描件。①国家级奖项指的是中国建设工程鲁班奖、中国土木工程詹天佑奖、国家优质工程金奖、国家优质工程奖、中国（全国）建筑工程装饰奖（不含设计类获奖）；省级或市级奖项指由建设行政主管部门或经民政部门备案成立的建筑相关行业协会或学会(含其所属专业分会)颁发的质量奖项。②只计算房建类工程获得质量奖项，其他非房建类项目工程奖项或非质量奖项（如：机电、市政、路桥、铁路、水利、电力、化工、冶金、QC、安全文明、技术创新、科技进步及技术应用类等奖项）不参与计分。③同一项目获得多个奖项的，该项目获奖只按其中一个奖项所在最高级别计算一次分数，不得重复计算。④时间以获奖证书颁发时间为准。</w:t>
      </w:r>
    </w:p>
    <w:p w14:paraId="0F859235">
      <w:pPr>
        <w:spacing w:line="320" w:lineRule="exact"/>
        <w:ind w:firstLine="315" w:firstLineChars="150"/>
        <w:rPr>
          <w:rFonts w:hint="eastAsia" w:ascii="宋体" w:hAnsi="宋体"/>
          <w:b w:val="0"/>
          <w:color w:val="auto"/>
          <w:lang w:val="en-US" w:eastAsia="zh-CN"/>
        </w:rPr>
      </w:pPr>
      <w:r>
        <w:rPr>
          <w:rFonts w:hint="eastAsia" w:ascii="宋体" w:hAnsi="宋体"/>
          <w:b w:val="0"/>
          <w:color w:val="auto"/>
          <w:lang w:val="en-US" w:eastAsia="zh-CN"/>
        </w:rPr>
        <w:t>（1）投标人须提交获奖证书扫描件或广州市住建行业信用管理平台的网页信息截图（网页信息截图须能清晰显示带有“住建行业信用管理平台”名称，并至少包含“项目基本信息”、“奖项信息”等信息）及获奖证书上传件，时间以获奖证书颁发时间为准，并加盖投标人电子印章，不符合上述条件的不予评审。</w:t>
      </w:r>
    </w:p>
    <w:p w14:paraId="3F9430B1">
      <w:pPr>
        <w:spacing w:line="320" w:lineRule="exact"/>
        <w:ind w:firstLine="315" w:firstLineChars="150"/>
        <w:rPr>
          <w:rFonts w:hint="eastAsia" w:ascii="宋体" w:hAnsi="宋体"/>
          <w:b w:val="0"/>
          <w:color w:val="auto"/>
        </w:rPr>
      </w:pPr>
      <w:r>
        <w:rPr>
          <w:rFonts w:hint="eastAsia" w:ascii="宋体" w:hAnsi="宋体"/>
          <w:b w:val="0"/>
          <w:color w:val="auto"/>
          <w:lang w:val="en-US" w:eastAsia="zh-CN"/>
        </w:rPr>
        <w:t>（2）奖项提供获奖证书原件扫描件的，投标人须提供获奖证书原件扫描件及该获奖工程在“全国建筑市场监管公共服务平台”的网页信息截图并加盖投标人企业电子印章。不符合上述条件或上述资料相关信息不一致或提供的资料不齐全的获奖业绩不予评审。评标委员会对获奖业绩的评审以投标人提供的完整的证明资料为依据。</w:t>
      </w:r>
    </w:p>
    <w:p w14:paraId="6E7E9B2E">
      <w:pPr>
        <w:spacing w:line="320" w:lineRule="exact"/>
        <w:ind w:firstLine="316" w:firstLineChars="150"/>
        <w:rPr>
          <w:rFonts w:hint="eastAsia" w:ascii="宋体" w:hAnsi="宋体"/>
          <w:color w:val="auto"/>
        </w:rPr>
      </w:pPr>
      <w:r>
        <w:rPr>
          <w:rFonts w:hint="eastAsia" w:ascii="宋体" w:hAnsi="宋体"/>
          <w:b/>
          <w:color w:val="auto"/>
        </w:rPr>
        <w:t>3、【工程研发能力】：</w:t>
      </w:r>
      <w:r>
        <w:rPr>
          <w:rFonts w:hint="eastAsia" w:ascii="宋体" w:hAnsi="宋体"/>
          <w:bCs/>
          <w:color w:val="auto"/>
        </w:rPr>
        <w:t>（1）</w:t>
      </w:r>
      <w:r>
        <w:rPr>
          <w:rFonts w:hint="eastAsia" w:ascii="宋体" w:hAnsi="宋体"/>
          <w:color w:val="auto"/>
        </w:rPr>
        <w:t>“计算机软件著作权”以证书所列主要完成单位为准，计算机软件著作权时间以登记日加盖国家版权局登记专用章时间为准。投标人须提供计算机软件著作权证书原件扫描件（或证书电子版文件）和在中国版权保护中心（http://www.ccopyright.com.cn）中相应的查询结果页面截图，并加盖投标人企业电子印章，否则不得分。</w:t>
      </w:r>
    </w:p>
    <w:p w14:paraId="1F784007">
      <w:pPr>
        <w:spacing w:line="320" w:lineRule="exact"/>
        <w:ind w:firstLine="316" w:firstLineChars="150"/>
        <w:rPr>
          <w:rFonts w:hint="eastAsia" w:ascii="宋体" w:hAnsi="宋体"/>
          <w:bCs/>
          <w:color w:val="auto"/>
        </w:rPr>
      </w:pPr>
      <w:r>
        <w:rPr>
          <w:rFonts w:hint="eastAsia" w:ascii="宋体" w:hAnsi="宋体"/>
          <w:b/>
          <w:color w:val="auto"/>
        </w:rPr>
        <w:t>4、【第三方评价】：</w:t>
      </w:r>
      <w:r>
        <w:rPr>
          <w:rFonts w:hint="eastAsia" w:ascii="宋体" w:hAnsi="宋体"/>
          <w:bCs/>
          <w:color w:val="auto"/>
        </w:rPr>
        <w:t>（1）投标人需同时提供体系证书原件扫描件及在国家认证认可监督管理委员会（网址：</w:t>
      </w:r>
      <w:r>
        <w:rPr>
          <w:rFonts w:hint="eastAsia" w:ascii="宋体" w:hAnsi="宋体"/>
          <w:bCs/>
          <w:color w:val="auto"/>
        </w:rPr>
        <w:fldChar w:fldCharType="begin"/>
      </w:r>
      <w:r>
        <w:rPr>
          <w:rFonts w:hint="eastAsia" w:ascii="宋体" w:hAnsi="宋体"/>
          <w:bCs/>
          <w:color w:val="auto"/>
        </w:rPr>
        <w:instrText xml:space="preserve"> HYPERLINK "http://www.cnca.gov.cn/%EF%BC%89%E7%BD%91%E7%AB%99%E6%9F%A5%E8%AF%A2%E7%BB%93%E6%9E%9C%E6%88%AA%E5%9B%BE%E5%B9%B6%E5%8A%A0%E7%9B%96%E6%8A%95%E6%A0%87%E5%8D%95%E4%BD%8D%E7%94%B5%E5%AD%90%E5%8D%B0%E7%AB%A0%EF%BC%8C%E5%8F%AA%E8%AE%A1%E7%AE%97%E6%8A%95%E6%A0%87%E4%BA%BA%E8%87%AA%E8%BA%AB%EF%BC%88%E4%B8%8D%E5%90%AB%E6%8A%95%E6%A0%87%E4%BA%BA%E7%9A%84%E5%AD%90%E3%80%81%E5%88%86%E5%85%AC%E5%8F%B8%E6%88%96%E5%8C%BA%E5%9F%9F%E5%85%AC%E5%8F%B8%EF%BC%89%EF%BC%8C%E5%B7%B2%E5%A4%B1%E6%95%88%E6%88%96%E6%92%A4%E9%94%80%E6%88%96%E6%97%A0%E6%8F%90%E4%BE%9B%E7%9A%84%E4%B8%8D%E5%BE%97%E5%88%86%E3%80%82%E4%B8%8D%E7%AC%A6%E5%90%88%E4%B8%8A%E8%BF%B0%E6%9D%A1%E4%BB%B6%E6%88%96%E6%9C%AA%E6%8F%90%E4%BE%9B%E4%B8%8A%E8%BF%B0%E8%B5%84%E6%96%99%E7%9A%84%E4%B8%8D%E5%BE%97%E5%88%86%E3%80%82" </w:instrText>
      </w:r>
      <w:r>
        <w:rPr>
          <w:rFonts w:hint="eastAsia" w:ascii="宋体" w:hAnsi="宋体"/>
          <w:bCs/>
          <w:color w:val="auto"/>
        </w:rPr>
        <w:fldChar w:fldCharType="separate"/>
      </w:r>
      <w:r>
        <w:rPr>
          <w:rFonts w:hint="eastAsia" w:ascii="宋体" w:hAnsi="宋体"/>
          <w:bCs/>
          <w:color w:val="auto"/>
        </w:rPr>
        <w:t>http://www.cnca.gov.cn/）网站查询结果截图并加盖投标人电子印章，只计算投标人自身（不含投标人的子、分公司或区域公司），已失效或撤销或无提供的不得分。不符合上述条件或未提供上述资料的不得分。</w:t>
      </w:r>
      <w:r>
        <w:rPr>
          <w:rFonts w:hint="eastAsia" w:ascii="宋体" w:hAnsi="宋体"/>
          <w:bCs/>
          <w:color w:val="auto"/>
        </w:rPr>
        <w:fldChar w:fldCharType="end"/>
      </w:r>
    </w:p>
    <w:p w14:paraId="0A82040E">
      <w:pPr>
        <w:spacing w:line="320" w:lineRule="exact"/>
        <w:ind w:firstLine="316" w:firstLineChars="150"/>
        <w:rPr>
          <w:rFonts w:ascii="宋体" w:hAnsi="宋体"/>
          <w:b/>
          <w:color w:val="auto"/>
        </w:rPr>
      </w:pPr>
      <w:r>
        <w:rPr>
          <w:rFonts w:hint="eastAsia" w:ascii="宋体" w:hAnsi="宋体"/>
          <w:b/>
          <w:color w:val="auto"/>
        </w:rPr>
        <w:t>5、【施工团队与设计团队】：</w:t>
      </w:r>
    </w:p>
    <w:p w14:paraId="152C73E1">
      <w:pPr>
        <w:spacing w:line="320" w:lineRule="exact"/>
        <w:ind w:firstLine="315" w:firstLineChars="150"/>
        <w:rPr>
          <w:rFonts w:ascii="宋体" w:hAnsi="宋体"/>
          <w:color w:val="auto"/>
        </w:rPr>
      </w:pPr>
      <w:r>
        <w:rPr>
          <w:rFonts w:hint="eastAsia" w:ascii="宋体" w:hAnsi="宋体"/>
          <w:color w:val="auto"/>
        </w:rPr>
        <w:t>（1）人员岗位不能相互兼任。</w:t>
      </w:r>
    </w:p>
    <w:p w14:paraId="12046F4B">
      <w:pPr>
        <w:spacing w:line="320" w:lineRule="exact"/>
        <w:ind w:firstLine="315" w:firstLineChars="150"/>
        <w:rPr>
          <w:rFonts w:ascii="宋体" w:hAnsi="宋体"/>
          <w:color w:val="auto"/>
        </w:rPr>
      </w:pPr>
      <w:r>
        <w:rPr>
          <w:rFonts w:hint="eastAsia" w:ascii="宋体" w:hAnsi="宋体"/>
          <w:color w:val="auto"/>
        </w:rPr>
        <w:t>（2）拟派的所有人员须提供相关证明资料和近一个月（202</w:t>
      </w:r>
      <w:r>
        <w:rPr>
          <w:rFonts w:hint="eastAsia" w:ascii="宋体" w:hAnsi="宋体"/>
          <w:color w:val="auto"/>
          <w:lang w:val="en-US" w:eastAsia="zh-CN"/>
        </w:rPr>
        <w:t>5</w:t>
      </w:r>
      <w:r>
        <w:rPr>
          <w:rFonts w:hint="eastAsia" w:ascii="宋体" w:hAnsi="宋体"/>
          <w:color w:val="auto"/>
        </w:rPr>
        <w:t>年8月）在投标单位缴纳社保的证明材料扫描件并加盖投标人企业电子印章。未提供或所提供的证明资料不符合要求的，则该评分节点不予评审。</w:t>
      </w:r>
    </w:p>
    <w:p w14:paraId="77BAB0C4">
      <w:pPr>
        <w:spacing w:line="320" w:lineRule="exact"/>
        <w:ind w:firstLine="315" w:firstLineChars="150"/>
        <w:rPr>
          <w:rFonts w:hint="eastAsia" w:ascii="宋体" w:hAnsi="宋体"/>
          <w:color w:val="auto"/>
        </w:rPr>
      </w:pPr>
      <w:r>
        <w:rPr>
          <w:rFonts w:hint="eastAsia" w:ascii="宋体" w:hAnsi="宋体"/>
          <w:color w:val="auto"/>
        </w:rPr>
        <w:t>（3）取得职称证的年限以发证时间开始计算（如证书未体现发证时间的，以评审通过时间开始计算）；高级职称证书以人社部门核发为准，若非人社部门核发的职称证书，投标人应同时提供地市级以上人社部门委托核发机构开展职称评审工作的证明文件或其他可由该机构核发的政策文件依据，或在人社部门专业技术人才职称管理系统登记的信息记录网页及截图，否则，对该职称证书不予认可。</w:t>
      </w:r>
    </w:p>
    <w:p w14:paraId="2C517756">
      <w:pPr>
        <w:spacing w:line="320" w:lineRule="exact"/>
        <w:ind w:firstLine="315" w:firstLineChars="150"/>
        <w:rPr>
          <w:rFonts w:hint="eastAsia" w:ascii="宋体" w:hAnsi="宋体" w:eastAsia="宋体" w:cs="Times New Roman"/>
          <w:b w:val="0"/>
          <w:bCs w:val="0"/>
          <w:color w:val="auto"/>
          <w:u w:val="none"/>
          <w:lang w:val="en-US" w:eastAsia="zh-CN"/>
        </w:rPr>
      </w:pPr>
      <w:r>
        <w:rPr>
          <w:rFonts w:hint="eastAsia" w:ascii="宋体" w:hAnsi="宋体" w:eastAsia="宋体" w:cs="Times New Roman"/>
          <w:b w:val="0"/>
          <w:bCs w:val="0"/>
          <w:color w:val="auto"/>
          <w:lang w:val="en-US" w:eastAsia="zh-CN"/>
        </w:rPr>
        <w:t>（4）项目</w:t>
      </w:r>
      <w:r>
        <w:rPr>
          <w:rFonts w:hint="eastAsia" w:ascii="宋体" w:hAnsi="宋体" w:cs="Times New Roman"/>
          <w:b w:val="0"/>
          <w:bCs w:val="0"/>
          <w:color w:val="auto"/>
          <w:lang w:val="en-US" w:eastAsia="zh-CN"/>
        </w:rPr>
        <w:t>负责人</w:t>
      </w:r>
      <w:r>
        <w:rPr>
          <w:rFonts w:hint="eastAsia" w:ascii="宋体" w:hAnsi="宋体" w:eastAsia="宋体" w:cs="Times New Roman"/>
          <w:b w:val="0"/>
          <w:bCs w:val="0"/>
          <w:color w:val="auto"/>
          <w:lang w:val="en-US" w:eastAsia="zh-CN"/>
        </w:rPr>
        <w:t>类似业绩：类似项目业绩是指单项中标金额大于或等于</w:t>
      </w:r>
      <w:r>
        <w:rPr>
          <w:rFonts w:hint="eastAsia" w:ascii="宋体" w:hAnsi="宋体" w:cs="Times New Roman"/>
          <w:b w:val="0"/>
          <w:bCs w:val="0"/>
          <w:color w:val="auto"/>
          <w:lang w:val="en-US" w:eastAsia="zh-CN"/>
        </w:rPr>
        <w:t>3000</w:t>
      </w:r>
      <w:r>
        <w:rPr>
          <w:rFonts w:hint="eastAsia" w:ascii="宋体" w:hAnsi="宋体" w:eastAsia="宋体" w:cs="Times New Roman"/>
          <w:b w:val="0"/>
          <w:bCs w:val="0"/>
          <w:color w:val="auto"/>
          <w:lang w:val="en-US" w:eastAsia="zh-CN"/>
        </w:rPr>
        <w:t>万元的建筑装修装饰工程专业承包或建筑工程施工总承包施工项目</w:t>
      </w:r>
      <w:r>
        <w:rPr>
          <w:rFonts w:hint="eastAsia" w:ascii="宋体" w:hAnsi="宋体" w:cs="Times New Roman"/>
          <w:b w:val="0"/>
          <w:bCs w:val="0"/>
          <w:color w:val="auto"/>
          <w:lang w:val="en-US" w:eastAsia="zh-CN"/>
        </w:rPr>
        <w:t>或</w:t>
      </w:r>
      <w:r>
        <w:rPr>
          <w:rFonts w:hint="eastAsia" w:ascii="宋体" w:hAnsi="宋体" w:eastAsia="宋体" w:cs="Times New Roman"/>
          <w:b w:val="0"/>
          <w:bCs w:val="0"/>
          <w:color w:val="auto"/>
          <w:lang w:val="en-US" w:eastAsia="zh-CN"/>
        </w:rPr>
        <w:t>EPC项目。（1）①单独发包的专业工程的业绩金额以中标通知书为准，中标通知书上没有金额或免招标的，以施工合同（不含补充合同）为准。如中标通知书未能体现对应的专业工程金额，则以施工合同载明的对应的专业工程金额为准，如中标通知书与施工合同均不能单独体现对应的专业工程金额，则以建设单位提供的证明资料中载明的对应专业金额为准。由总承包单位依法分包的专业工程业绩其金额以分包合同中约定的合同金额为准。如上述资料均未能体现对应专业工程金额的以广州市住建行业信用管理平台中项目业绩页面的“工程规模”栏中所记录的相应专业工程造价为准。②施工总承包项目业绩的金额以中标通知书为准，中标通知书上没有金额或免招标的，以施工合同（不含补充合同）为准。③EPC项目业绩的金额以中标通知书中施工费用为准，中标通知书上没有金额或免招标的，以合同中施工费用（不含补充合同）为准。（2）①单独发包的专业工程的业绩完成时间以子分部工程质量验收记录时间为准。未提供子分部工程质量验收记录的，完成时间以竣工验收报告记录时间为准。验收记录或竣工验收报告至少具有建设单位、设计、施工和监理单位盖章。</w:t>
      </w:r>
      <w:r>
        <w:rPr>
          <w:rFonts w:hint="eastAsia" w:ascii="宋体" w:hAnsi="宋体" w:eastAsia="宋体" w:cs="Times New Roman"/>
          <w:b w:val="0"/>
          <w:bCs w:val="0"/>
          <w:color w:val="auto"/>
          <w:u w:val="none"/>
          <w:lang w:val="en-US" w:eastAsia="zh-CN"/>
        </w:rPr>
        <w:t>若竣工验收文件无法体现项目负责人的，则须提供其他相关证明材料（如业主证明材料等）。</w:t>
      </w:r>
      <w:r>
        <w:rPr>
          <w:rFonts w:hint="eastAsia" w:ascii="宋体" w:hAnsi="宋体" w:eastAsia="宋体" w:cs="Times New Roman"/>
          <w:b w:val="0"/>
          <w:bCs w:val="0"/>
          <w:color w:val="auto"/>
          <w:lang w:val="en-US" w:eastAsia="zh-CN"/>
        </w:rPr>
        <w:t>②施工总承包项目业绩完成时间以竣工验收文件为准。验收文件至少具有建设单位、设计、施工和监理单位盖章。</w:t>
      </w:r>
      <w:r>
        <w:rPr>
          <w:rFonts w:hint="eastAsia" w:ascii="宋体" w:hAnsi="宋体" w:eastAsia="宋体" w:cs="Times New Roman"/>
          <w:b w:val="0"/>
          <w:bCs w:val="0"/>
          <w:color w:val="auto"/>
          <w:u w:val="none"/>
          <w:lang w:val="en-US" w:eastAsia="zh-CN"/>
        </w:rPr>
        <w:t>若竣工验收文件无法体现项目负责人的，则须提供其他相关证明材料（如业主证明材料等）。</w:t>
      </w:r>
      <w:r>
        <w:rPr>
          <w:rFonts w:hint="eastAsia" w:ascii="宋体" w:hAnsi="宋体" w:eastAsia="宋体" w:cs="Times New Roman"/>
          <w:b w:val="0"/>
          <w:bCs w:val="0"/>
          <w:color w:val="auto"/>
          <w:lang w:val="en-US" w:eastAsia="zh-CN"/>
        </w:rPr>
        <w:t>③EPC项目业绩完成时间以竣工验收文件为准。验收文件至少具有建设单位、设计、施工和监理单位盖章。</w:t>
      </w:r>
      <w:r>
        <w:rPr>
          <w:rFonts w:hint="eastAsia" w:ascii="宋体" w:hAnsi="宋体" w:eastAsia="宋体" w:cs="Times New Roman"/>
          <w:b w:val="0"/>
          <w:bCs w:val="0"/>
          <w:color w:val="auto"/>
          <w:u w:val="none"/>
          <w:lang w:val="en-US" w:eastAsia="zh-CN"/>
        </w:rPr>
        <w:t>若竣工验收文件无法体现项目负责人的，则须提供其他相关证明材料（如业主证明材料等）。</w:t>
      </w:r>
    </w:p>
    <w:p w14:paraId="2B5D4531">
      <w:pPr>
        <w:spacing w:line="320" w:lineRule="exact"/>
        <w:ind w:firstLine="315" w:firstLineChars="150"/>
        <w:rPr>
          <w:rFonts w:hint="eastAsia" w:ascii="宋体" w:hAnsi="宋体" w:eastAsia="宋体" w:cs="Times New Roman"/>
          <w:color w:val="auto"/>
        </w:rPr>
      </w:pPr>
      <w:r>
        <w:rPr>
          <w:rFonts w:hint="eastAsia" w:ascii="宋体" w:hAnsi="宋体" w:eastAsia="宋体" w:cs="Times New Roman"/>
          <w:color w:val="auto"/>
        </w:rPr>
        <w:t>（</w:t>
      </w:r>
      <w:r>
        <w:rPr>
          <w:rFonts w:hint="eastAsia" w:ascii="宋体" w:hAnsi="宋体" w:cs="Times New Roman"/>
          <w:color w:val="auto"/>
          <w:lang w:val="en-US" w:eastAsia="zh-CN"/>
        </w:rPr>
        <w:t>5</w:t>
      </w:r>
      <w:r>
        <w:rPr>
          <w:rFonts w:hint="eastAsia" w:ascii="宋体" w:hAnsi="宋体" w:eastAsia="宋体" w:cs="Times New Roman"/>
          <w:color w:val="auto"/>
        </w:rPr>
        <w:t>）设计技术负责人获奖证明：须提供院士或者勘察设计大师相关证明文件的扫描件。</w:t>
      </w:r>
    </w:p>
    <w:p w14:paraId="10648C14">
      <w:pPr>
        <w:spacing w:line="320" w:lineRule="exact"/>
        <w:ind w:firstLine="315" w:firstLineChars="150"/>
        <w:rPr>
          <w:rFonts w:ascii="宋体" w:hAnsi="宋体"/>
        </w:rPr>
      </w:pPr>
      <w:r>
        <w:rPr>
          <w:rFonts w:hint="eastAsia" w:ascii="宋体" w:hAnsi="宋体" w:eastAsia="宋体" w:cs="Times New Roman"/>
        </w:rPr>
        <w:t>（</w:t>
      </w:r>
      <w:r>
        <w:rPr>
          <w:rFonts w:hint="eastAsia" w:ascii="宋体" w:hAnsi="宋体" w:cs="Times New Roman"/>
          <w:lang w:val="en-US" w:eastAsia="zh-CN"/>
        </w:rPr>
        <w:t>6</w:t>
      </w:r>
      <w:r>
        <w:rPr>
          <w:rFonts w:hint="eastAsia" w:ascii="宋体" w:hAnsi="宋体" w:eastAsia="宋体" w:cs="Times New Roman"/>
        </w:rPr>
        <w:t>）联合体投标的，项目团队中的勘察团队人员应为联合体勘</w:t>
      </w:r>
      <w:r>
        <w:rPr>
          <w:rFonts w:hint="eastAsia" w:ascii="宋体" w:hAnsi="宋体"/>
        </w:rPr>
        <w:t>察方人员，设计团队人员应为联合体设计方人员，其他施工管理人员均要求为联合体</w:t>
      </w:r>
      <w:r>
        <w:rPr>
          <w:rFonts w:hint="eastAsia" w:ascii="宋体" w:hAnsi="宋体"/>
          <w:lang w:eastAsia="zh-CN"/>
        </w:rPr>
        <w:t>主办方</w:t>
      </w:r>
      <w:r>
        <w:rPr>
          <w:rFonts w:hint="eastAsia" w:ascii="宋体" w:hAnsi="宋体"/>
        </w:rPr>
        <w:t>人员。</w:t>
      </w:r>
    </w:p>
    <w:p w14:paraId="62653ED1">
      <w:pPr>
        <w:spacing w:line="320" w:lineRule="exact"/>
        <w:ind w:firstLine="315" w:firstLineChars="150"/>
        <w:rPr>
          <w:rFonts w:hint="eastAsia" w:ascii="宋体" w:hAnsi="宋体"/>
        </w:rPr>
      </w:pPr>
      <w:r>
        <w:rPr>
          <w:rFonts w:hint="eastAsia" w:ascii="宋体" w:hAnsi="宋体"/>
        </w:rPr>
        <w:t>6、本表按百分制评分，所有评委总分汇总后的算术平均值为投标人的最终得分。分数出现小数点，保留小数点后二位小数，三位小数四舍五入。</w:t>
      </w:r>
    </w:p>
    <w:p w14:paraId="299D353E">
      <w:pPr>
        <w:spacing w:line="320" w:lineRule="exact"/>
        <w:ind w:firstLine="315" w:firstLineChars="150"/>
        <w:rPr>
          <w:rFonts w:hint="eastAsia" w:ascii="宋体" w:hAnsi="宋体"/>
        </w:rPr>
      </w:pPr>
    </w:p>
    <w:p w14:paraId="0B5104B8">
      <w:pPr>
        <w:pStyle w:val="2"/>
      </w:pPr>
      <w:r>
        <w:rPr>
          <w:rFonts w:ascii="宋体" w:hAnsi="宋体"/>
          <w:szCs w:val="21"/>
        </w:rPr>
        <w:br w:type="page"/>
      </w:r>
      <w:bookmarkStart w:id="462" w:name="_Toc247527625"/>
      <w:bookmarkStart w:id="463" w:name="_Toc247514024"/>
      <w:bookmarkStart w:id="464" w:name="_Toc144974567"/>
      <w:bookmarkStart w:id="465" w:name="_Toc134304578"/>
      <w:bookmarkStart w:id="466" w:name="_Toc152045600"/>
      <w:bookmarkStart w:id="467" w:name="_Toc152042377"/>
      <w:bookmarkStart w:id="468" w:name="_Toc28120"/>
      <w:bookmarkStart w:id="469" w:name="_Toc152045609"/>
      <w:bookmarkStart w:id="470" w:name="_Toc152042387"/>
      <w:bookmarkStart w:id="471" w:name="_Toc13796"/>
      <w:bookmarkStart w:id="472" w:name="_Toc247527634"/>
      <w:bookmarkStart w:id="473" w:name="_Toc247514033"/>
      <w:bookmarkStart w:id="474" w:name="_Toc144974577"/>
      <w:r>
        <w:rPr>
          <w:rFonts w:hint="eastAsia"/>
        </w:rPr>
        <w:t>1. 评标方法</w:t>
      </w:r>
      <w:bookmarkEnd w:id="462"/>
      <w:bookmarkEnd w:id="463"/>
      <w:bookmarkEnd w:id="464"/>
      <w:bookmarkEnd w:id="465"/>
      <w:bookmarkEnd w:id="466"/>
      <w:bookmarkEnd w:id="467"/>
      <w:bookmarkEnd w:id="468"/>
    </w:p>
    <w:p w14:paraId="40141333">
      <w:pPr>
        <w:spacing w:line="360" w:lineRule="auto"/>
        <w:ind w:firstLine="404" w:firstLineChars="200"/>
        <w:rPr>
          <w:rFonts w:hint="eastAsia" w:ascii="宋体" w:hAnsi="宋体" w:cs="宋体"/>
          <w:u w:val="single"/>
        </w:rPr>
      </w:pPr>
      <w:bookmarkStart w:id="475" w:name="_Toc247514025"/>
      <w:bookmarkStart w:id="476" w:name="_Toc247527626"/>
      <w:bookmarkStart w:id="477" w:name="_Toc144974568"/>
      <w:bookmarkStart w:id="478" w:name="_Toc152042378"/>
      <w:bookmarkStart w:id="479" w:name="_Toc152045601"/>
      <w:bookmarkStart w:id="480" w:name="_Toc29422"/>
      <w:r>
        <w:rPr>
          <w:rFonts w:hint="eastAsia" w:ascii="宋体" w:hAnsi="宋体" w:cs="宋体"/>
          <w:spacing w:val="-4"/>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w:t>
      </w:r>
      <w:r>
        <w:rPr>
          <w:rFonts w:hint="eastAsia" w:ascii="宋体" w:hAnsi="宋体" w:cs="宋体"/>
          <w:u w:val="single"/>
        </w:rPr>
        <w:t>总分相同的，以工程总承包实施方案评审得分较高的排前；总分与工程总承包实施方案评审得分均相同的投标文件，以投标报价得分高的排前；如仍存在相同情况，则对具有相同情况的投标人，按中标候选人数量规定，则由评标委员会采用记名投票以得票多优先，确定中标候选人的排序。评标委员会应按排序先后，向招标人推荐前3名投标人依次为第一中标候选人至第三中标候选人，并编写评标报告</w:t>
      </w:r>
      <w:r>
        <w:rPr>
          <w:rFonts w:hint="eastAsia" w:ascii="宋体" w:hAnsi="宋体" w:cs="宋体"/>
        </w:rPr>
        <w:t>。</w:t>
      </w:r>
    </w:p>
    <w:p w14:paraId="0088915D">
      <w:pPr>
        <w:pStyle w:val="2"/>
      </w:pPr>
      <w:bookmarkStart w:id="481" w:name="_Toc134304579"/>
      <w:bookmarkStart w:id="482" w:name="_Toc27247"/>
      <w:r>
        <w:rPr>
          <w:rFonts w:hint="eastAsia"/>
        </w:rPr>
        <w:t>2. 评审标准</w:t>
      </w:r>
      <w:bookmarkEnd w:id="475"/>
      <w:bookmarkEnd w:id="476"/>
      <w:bookmarkEnd w:id="477"/>
      <w:bookmarkEnd w:id="478"/>
      <w:bookmarkEnd w:id="479"/>
      <w:bookmarkEnd w:id="480"/>
      <w:bookmarkEnd w:id="481"/>
      <w:bookmarkEnd w:id="482"/>
    </w:p>
    <w:p w14:paraId="5F312A5E">
      <w:pPr>
        <w:pStyle w:val="4"/>
        <w:rPr>
          <w:rFonts w:hint="eastAsia"/>
        </w:rPr>
      </w:pPr>
      <w:bookmarkStart w:id="483" w:name="_Toc152045602"/>
      <w:bookmarkStart w:id="484" w:name="_Toc3043"/>
      <w:bookmarkStart w:id="485" w:name="_Toc134304580"/>
      <w:bookmarkStart w:id="486" w:name="_Toc20046"/>
      <w:bookmarkStart w:id="487" w:name="_Toc247514026"/>
      <w:bookmarkStart w:id="488" w:name="_Toc247527627"/>
      <w:bookmarkStart w:id="489" w:name="_Toc20319"/>
      <w:bookmarkStart w:id="490" w:name="_Toc144974569"/>
      <w:bookmarkStart w:id="491" w:name="_Toc87238948"/>
      <w:bookmarkStart w:id="492" w:name="_Toc152042379"/>
      <w:r>
        <w:rPr>
          <w:rFonts w:hint="eastAsia"/>
        </w:rPr>
        <w:t>2.1 初步评审标准</w:t>
      </w:r>
      <w:bookmarkEnd w:id="483"/>
      <w:bookmarkEnd w:id="484"/>
      <w:bookmarkEnd w:id="485"/>
      <w:bookmarkEnd w:id="486"/>
      <w:bookmarkEnd w:id="487"/>
      <w:bookmarkEnd w:id="488"/>
      <w:bookmarkEnd w:id="489"/>
      <w:bookmarkEnd w:id="490"/>
      <w:bookmarkEnd w:id="491"/>
      <w:bookmarkEnd w:id="492"/>
    </w:p>
    <w:p w14:paraId="47C61405">
      <w:pPr>
        <w:spacing w:line="360" w:lineRule="auto"/>
        <w:ind w:firstLine="420" w:firstLineChars="200"/>
        <w:rPr>
          <w:rFonts w:hint="eastAsia" w:ascii="宋体" w:hAnsi="宋体" w:cs="宋体"/>
        </w:rPr>
      </w:pPr>
      <w:r>
        <w:rPr>
          <w:rFonts w:hint="eastAsia" w:ascii="宋体" w:hAnsi="宋体" w:cs="宋体"/>
        </w:rPr>
        <w:t>2.1.1 形式评审标准：见评标办法前附表。</w:t>
      </w:r>
    </w:p>
    <w:p w14:paraId="0BDCFF70">
      <w:pPr>
        <w:spacing w:line="360" w:lineRule="auto"/>
        <w:ind w:firstLine="420" w:firstLineChars="200"/>
        <w:rPr>
          <w:rFonts w:hint="eastAsia" w:ascii="宋体" w:hAnsi="宋体" w:cs="宋体"/>
        </w:rPr>
      </w:pPr>
      <w:r>
        <w:rPr>
          <w:rFonts w:hint="eastAsia" w:ascii="宋体" w:hAnsi="宋体" w:cs="宋体"/>
        </w:rPr>
        <w:t>2.1.2 设计方案审查标准：见评标办法前附表。</w:t>
      </w:r>
    </w:p>
    <w:p w14:paraId="161A72B1">
      <w:pPr>
        <w:spacing w:line="360" w:lineRule="auto"/>
        <w:ind w:firstLine="420" w:firstLineChars="200"/>
        <w:rPr>
          <w:rFonts w:hint="eastAsia" w:ascii="宋体" w:hAnsi="宋体" w:cs="宋体"/>
        </w:rPr>
      </w:pPr>
      <w:r>
        <w:rPr>
          <w:rFonts w:hint="eastAsia" w:ascii="宋体" w:hAnsi="宋体" w:cs="宋体"/>
        </w:rPr>
        <w:t>2.1.3 资格评审标准：见评标办法前附表。</w:t>
      </w:r>
    </w:p>
    <w:p w14:paraId="0E24EBA3">
      <w:pPr>
        <w:spacing w:line="360" w:lineRule="auto"/>
        <w:ind w:firstLine="420" w:firstLineChars="200"/>
        <w:rPr>
          <w:rFonts w:hint="eastAsia" w:ascii="新宋体" w:hAnsi="新宋体" w:eastAsia="新宋体" w:cs="新宋体"/>
        </w:rPr>
      </w:pPr>
      <w:bookmarkStart w:id="493" w:name="_Toc247514027"/>
      <w:bookmarkStart w:id="494" w:name="_Toc10133"/>
      <w:bookmarkStart w:id="495" w:name="_Toc152042380"/>
      <w:bookmarkStart w:id="496" w:name="_Toc152045603"/>
      <w:bookmarkStart w:id="497" w:name="_Toc12471"/>
      <w:bookmarkStart w:id="498" w:name="_Toc144974570"/>
      <w:bookmarkStart w:id="499" w:name="_Toc247527628"/>
      <w:bookmarkStart w:id="500" w:name="_Toc15561"/>
      <w:r>
        <w:rPr>
          <w:rFonts w:hint="eastAsia" w:ascii="新宋体" w:hAnsi="新宋体" w:eastAsia="新宋体" w:cs="新宋体"/>
        </w:rPr>
        <w:t xml:space="preserve">2.1.4 </w:t>
      </w:r>
      <w:r>
        <w:rPr>
          <w:rFonts w:hint="eastAsia" w:ascii="宋体" w:hAnsi="宋体" w:cs="宋体"/>
          <w:szCs w:val="21"/>
          <w:u w:val="single"/>
        </w:rPr>
        <w:t>工程总承包实施方案</w:t>
      </w:r>
      <w:r>
        <w:rPr>
          <w:rFonts w:hint="eastAsia" w:ascii="新宋体" w:hAnsi="新宋体" w:eastAsia="新宋体" w:cs="新宋体"/>
          <w:u w:val="single"/>
        </w:rPr>
        <w:t>响应性评审标标准：见评标办法前附表</w:t>
      </w:r>
      <w:r>
        <w:rPr>
          <w:rFonts w:hint="eastAsia" w:ascii="新宋体" w:hAnsi="新宋体" w:eastAsia="新宋体" w:cs="新宋体"/>
        </w:rPr>
        <w:t>。</w:t>
      </w:r>
    </w:p>
    <w:p w14:paraId="1A29AC51">
      <w:pPr>
        <w:pStyle w:val="4"/>
        <w:rPr>
          <w:rFonts w:hint="eastAsia"/>
        </w:rPr>
      </w:pPr>
      <w:bookmarkStart w:id="501" w:name="_Toc134304581"/>
      <w:bookmarkStart w:id="502" w:name="_Toc87238949"/>
      <w:r>
        <w:rPr>
          <w:rFonts w:hint="eastAsia"/>
        </w:rPr>
        <w:t>2.2 分值构成与评分标准</w:t>
      </w:r>
      <w:bookmarkEnd w:id="493"/>
      <w:bookmarkEnd w:id="494"/>
      <w:bookmarkEnd w:id="495"/>
      <w:bookmarkEnd w:id="496"/>
      <w:bookmarkEnd w:id="497"/>
      <w:bookmarkEnd w:id="498"/>
      <w:bookmarkEnd w:id="499"/>
      <w:bookmarkEnd w:id="500"/>
      <w:bookmarkEnd w:id="501"/>
      <w:bookmarkEnd w:id="502"/>
    </w:p>
    <w:p w14:paraId="68F1BD48">
      <w:pPr>
        <w:spacing w:line="360" w:lineRule="auto"/>
        <w:ind w:firstLine="420" w:firstLineChars="200"/>
        <w:rPr>
          <w:rFonts w:hint="eastAsia" w:ascii="宋体" w:hAnsi="宋体" w:cs="宋体"/>
        </w:rPr>
      </w:pPr>
      <w:r>
        <w:rPr>
          <w:rFonts w:hint="eastAsia" w:ascii="宋体" w:hAnsi="宋体" w:cs="宋体"/>
        </w:rPr>
        <w:t>2.2.1 分值构成</w:t>
      </w:r>
    </w:p>
    <w:p w14:paraId="36FE511C">
      <w:pPr>
        <w:spacing w:line="360" w:lineRule="auto"/>
        <w:ind w:firstLine="420" w:firstLineChars="200"/>
        <w:rPr>
          <w:rFonts w:hint="eastAsia" w:ascii="宋体" w:hAnsi="宋体" w:cs="宋体"/>
          <w:u w:val="single"/>
        </w:rPr>
      </w:pPr>
      <w:r>
        <w:rPr>
          <w:rFonts w:hint="eastAsia" w:ascii="宋体" w:hAnsi="宋体" w:cs="宋体"/>
          <w:u w:val="single"/>
        </w:rPr>
        <w:t>（1）设计方案：见评标办法前附表；</w:t>
      </w:r>
    </w:p>
    <w:p w14:paraId="49500006">
      <w:pPr>
        <w:spacing w:line="360" w:lineRule="auto"/>
        <w:ind w:firstLine="420" w:firstLineChars="200"/>
        <w:rPr>
          <w:rFonts w:hint="eastAsia" w:ascii="宋体" w:hAnsi="宋体" w:cs="宋体"/>
          <w:u w:val="single"/>
        </w:rPr>
      </w:pPr>
      <w:r>
        <w:rPr>
          <w:rFonts w:hint="eastAsia" w:ascii="宋体" w:hAnsi="宋体" w:cs="宋体"/>
          <w:u w:val="single"/>
        </w:rPr>
        <w:t>（2）工程总承包实施方案：见评标办法前附表；</w:t>
      </w:r>
    </w:p>
    <w:p w14:paraId="511AFE1D">
      <w:pPr>
        <w:spacing w:line="360" w:lineRule="auto"/>
        <w:ind w:firstLine="420" w:firstLineChars="200"/>
        <w:rPr>
          <w:rFonts w:hint="eastAsia" w:ascii="宋体" w:hAnsi="宋体" w:cs="宋体"/>
          <w:u w:val="single"/>
        </w:rPr>
      </w:pPr>
      <w:r>
        <w:rPr>
          <w:rFonts w:hint="eastAsia" w:ascii="宋体" w:hAnsi="宋体" w:cs="宋体"/>
          <w:u w:val="single"/>
        </w:rPr>
        <w:t>（3）投标报价：见评标办法前附表。</w:t>
      </w:r>
    </w:p>
    <w:p w14:paraId="727C8C77">
      <w:pPr>
        <w:spacing w:line="360" w:lineRule="auto"/>
        <w:ind w:firstLine="420" w:firstLineChars="200"/>
        <w:rPr>
          <w:rFonts w:hint="eastAsia" w:ascii="宋体" w:hAnsi="宋体" w:cs="宋体"/>
        </w:rPr>
      </w:pPr>
      <w:r>
        <w:rPr>
          <w:rFonts w:hint="eastAsia" w:ascii="宋体" w:hAnsi="宋体" w:cs="宋体"/>
        </w:rPr>
        <w:t>2.2.2 评标基准价计算</w:t>
      </w:r>
    </w:p>
    <w:p w14:paraId="37BEEF13">
      <w:pPr>
        <w:spacing w:line="360" w:lineRule="auto"/>
        <w:ind w:firstLine="420" w:firstLineChars="200"/>
        <w:rPr>
          <w:rFonts w:hint="eastAsia" w:ascii="宋体" w:hAnsi="宋体" w:cs="宋体"/>
        </w:rPr>
      </w:pPr>
      <w:r>
        <w:rPr>
          <w:rFonts w:hint="eastAsia" w:ascii="宋体" w:hAnsi="宋体" w:cs="宋体"/>
        </w:rPr>
        <w:t>评标基准价计算方法：见评标办法前附表。</w:t>
      </w:r>
    </w:p>
    <w:p w14:paraId="72300F72">
      <w:pPr>
        <w:spacing w:line="360" w:lineRule="auto"/>
        <w:ind w:firstLine="420" w:firstLineChars="200"/>
        <w:rPr>
          <w:rFonts w:hint="eastAsia" w:ascii="宋体" w:hAnsi="宋体" w:cs="宋体"/>
        </w:rPr>
      </w:pPr>
      <w:r>
        <w:rPr>
          <w:rFonts w:hint="eastAsia" w:ascii="宋体" w:hAnsi="宋体" w:cs="宋体"/>
        </w:rPr>
        <w:t>2.2.3 投标报价的偏差率计算</w:t>
      </w:r>
    </w:p>
    <w:p w14:paraId="15C354C2">
      <w:pPr>
        <w:spacing w:line="360" w:lineRule="auto"/>
        <w:ind w:firstLine="420" w:firstLineChars="200"/>
        <w:rPr>
          <w:rFonts w:hint="eastAsia" w:ascii="宋体" w:hAnsi="宋体" w:cs="宋体"/>
        </w:rPr>
      </w:pPr>
      <w:r>
        <w:rPr>
          <w:rFonts w:hint="eastAsia" w:ascii="宋体" w:hAnsi="宋体" w:cs="宋体"/>
        </w:rPr>
        <w:t>投标报价的偏差率计算公式：见评标办法前附表。</w:t>
      </w:r>
    </w:p>
    <w:p w14:paraId="18985061">
      <w:pPr>
        <w:spacing w:line="360" w:lineRule="auto"/>
        <w:ind w:firstLine="420" w:firstLineChars="200"/>
        <w:rPr>
          <w:rFonts w:hint="eastAsia" w:ascii="宋体" w:hAnsi="宋体" w:cs="宋体"/>
        </w:rPr>
      </w:pPr>
      <w:r>
        <w:rPr>
          <w:rFonts w:hint="eastAsia" w:ascii="宋体" w:hAnsi="宋体" w:cs="宋体"/>
        </w:rPr>
        <w:t>2.2.4 评分标准</w:t>
      </w:r>
    </w:p>
    <w:p w14:paraId="40B5B5CB">
      <w:pPr>
        <w:spacing w:line="360" w:lineRule="auto"/>
        <w:ind w:firstLine="420" w:firstLineChars="200"/>
        <w:rPr>
          <w:rFonts w:hint="eastAsia" w:ascii="宋体" w:hAnsi="宋体" w:cs="宋体"/>
          <w:u w:val="single"/>
        </w:rPr>
      </w:pPr>
      <w:bookmarkStart w:id="503" w:name="_Toc144974571"/>
      <w:bookmarkStart w:id="504" w:name="_Toc152042381"/>
      <w:bookmarkStart w:id="505" w:name="_Toc247514028"/>
      <w:bookmarkStart w:id="506" w:name="_Toc152045604"/>
      <w:bookmarkStart w:id="507" w:name="_Toc247527629"/>
      <w:bookmarkStart w:id="508" w:name="_Toc18562"/>
      <w:bookmarkStart w:id="509" w:name="_Toc20112"/>
      <w:r>
        <w:rPr>
          <w:rFonts w:hint="eastAsia" w:ascii="宋体" w:hAnsi="宋体" w:cs="宋体"/>
          <w:u w:val="single"/>
        </w:rPr>
        <w:t>（1）设计方案评分标准：见评标办法前附表；</w:t>
      </w:r>
    </w:p>
    <w:p w14:paraId="02173451">
      <w:pPr>
        <w:spacing w:line="360" w:lineRule="auto"/>
        <w:ind w:firstLine="420" w:firstLineChars="200"/>
        <w:rPr>
          <w:rFonts w:hint="eastAsia" w:ascii="宋体" w:hAnsi="宋体" w:cs="宋体"/>
          <w:u w:val="single"/>
        </w:rPr>
      </w:pPr>
      <w:r>
        <w:rPr>
          <w:rFonts w:hint="eastAsia" w:ascii="宋体" w:hAnsi="宋体" w:cs="宋体"/>
          <w:u w:val="single"/>
        </w:rPr>
        <w:t>（2）工程总承包实施方案评分标准：见评标办法前附表；</w:t>
      </w:r>
    </w:p>
    <w:p w14:paraId="48BF0CC9">
      <w:pPr>
        <w:spacing w:line="360" w:lineRule="auto"/>
        <w:ind w:firstLine="420" w:firstLineChars="200"/>
      </w:pPr>
      <w:r>
        <w:rPr>
          <w:rFonts w:hint="eastAsia" w:ascii="宋体" w:hAnsi="宋体" w:cs="宋体"/>
          <w:u w:val="single"/>
        </w:rPr>
        <w:t>（3）投标报价评分标准：见评标办法前附表</w:t>
      </w:r>
    </w:p>
    <w:p w14:paraId="42BF8E14">
      <w:pPr>
        <w:pStyle w:val="2"/>
      </w:pPr>
      <w:bookmarkStart w:id="510" w:name="_Toc134304582"/>
      <w:r>
        <w:rPr>
          <w:rFonts w:hint="eastAsia"/>
        </w:rPr>
        <w:t>3. 评标程序</w:t>
      </w:r>
      <w:bookmarkEnd w:id="503"/>
      <w:bookmarkEnd w:id="504"/>
      <w:bookmarkEnd w:id="505"/>
      <w:bookmarkEnd w:id="506"/>
      <w:bookmarkEnd w:id="507"/>
      <w:bookmarkEnd w:id="508"/>
      <w:bookmarkEnd w:id="509"/>
      <w:bookmarkEnd w:id="510"/>
    </w:p>
    <w:p w14:paraId="3D9E1259">
      <w:pPr>
        <w:spacing w:line="360" w:lineRule="auto"/>
        <w:ind w:firstLine="420" w:firstLineChars="200"/>
        <w:rPr>
          <w:rFonts w:hint="eastAsia" w:ascii="宋体" w:hAnsi="宋体" w:cs="宋体"/>
          <w:szCs w:val="21"/>
          <w:u w:val="single"/>
        </w:rPr>
      </w:pPr>
      <w:r>
        <w:rPr>
          <w:rFonts w:hint="eastAsia" w:ascii="宋体" w:hAnsi="宋体" w:cs="宋体"/>
          <w:szCs w:val="21"/>
          <w:u w:val="single"/>
        </w:rPr>
        <w:t>本项目采取电子评标。设计方案由设计评审组负责，形式审查、资格审查（适用于资格后审项目）、工程总承包实施方案和投标报价的评审及评审汇总由施工评审组负责。</w:t>
      </w:r>
    </w:p>
    <w:p w14:paraId="548301D4">
      <w:pPr>
        <w:pStyle w:val="4"/>
        <w:rPr>
          <w:rFonts w:hint="eastAsia"/>
        </w:rPr>
      </w:pPr>
      <w:bookmarkStart w:id="511" w:name="_Toc27541"/>
      <w:bookmarkStart w:id="512" w:name="_Toc134304583"/>
      <w:bookmarkStart w:id="513" w:name="_Toc87238951"/>
      <w:bookmarkStart w:id="514" w:name="_Toc5650"/>
      <w:bookmarkStart w:id="515" w:name="_Toc3343"/>
      <w:bookmarkStart w:id="516" w:name="_Toc33695048"/>
      <w:bookmarkStart w:id="517" w:name="_Toc4286"/>
      <w:bookmarkStart w:id="518" w:name="_Toc439246059"/>
      <w:bookmarkStart w:id="519" w:name="_Toc439240660"/>
      <w:r>
        <w:rPr>
          <w:rFonts w:hint="eastAsia"/>
        </w:rPr>
        <w:t>3.1 形式审查及资格审查（由施工评审组负责）</w:t>
      </w:r>
      <w:bookmarkEnd w:id="511"/>
      <w:bookmarkEnd w:id="512"/>
      <w:bookmarkEnd w:id="513"/>
      <w:bookmarkEnd w:id="514"/>
      <w:bookmarkEnd w:id="515"/>
      <w:bookmarkEnd w:id="516"/>
      <w:bookmarkEnd w:id="517"/>
    </w:p>
    <w:p w14:paraId="1F8DEE24">
      <w:pPr>
        <w:spacing w:line="360" w:lineRule="auto"/>
        <w:ind w:firstLine="420" w:firstLineChars="200"/>
        <w:rPr>
          <w:rFonts w:hint="eastAsia" w:ascii="宋体" w:hAnsi="宋体" w:cs="宋体"/>
          <w:szCs w:val="21"/>
          <w:u w:val="single"/>
        </w:rPr>
      </w:pPr>
      <w:r>
        <w:rPr>
          <w:rFonts w:hint="eastAsia" w:ascii="宋体" w:hAnsi="宋体" w:cs="宋体"/>
          <w:szCs w:val="21"/>
          <w:u w:val="single"/>
        </w:rPr>
        <w:t>3.1.1 形式审查中全部符合形式评审标准（详见前附表）中规定情形的，为形式审查合格。否则为形式审查不合格，经</w:t>
      </w:r>
      <w:r>
        <w:rPr>
          <w:rFonts w:hint="eastAsia" w:ascii="宋体" w:hAnsi="宋体" w:cs="宋体"/>
          <w:u w:val="single"/>
        </w:rPr>
        <w:t>施工评审组评委共同</w:t>
      </w:r>
      <w:r>
        <w:rPr>
          <w:rFonts w:hint="eastAsia" w:ascii="宋体" w:hAnsi="宋体" w:cs="宋体"/>
          <w:szCs w:val="21"/>
          <w:u w:val="single"/>
        </w:rPr>
        <w:t>认定后，其投标文件将被拒绝。如</w:t>
      </w:r>
      <w:r>
        <w:rPr>
          <w:rFonts w:hint="eastAsia" w:ascii="宋体" w:hAnsi="宋体" w:cs="宋体"/>
          <w:u w:val="single"/>
        </w:rPr>
        <w:t>施工评审组</w:t>
      </w:r>
      <w:r>
        <w:rPr>
          <w:rFonts w:hint="eastAsia" w:ascii="宋体" w:hAnsi="宋体" w:cs="宋体"/>
          <w:szCs w:val="21"/>
          <w:u w:val="single"/>
        </w:rPr>
        <w:t>评委的评审意见不一致时，以</w:t>
      </w:r>
      <w:r>
        <w:rPr>
          <w:rFonts w:hint="eastAsia" w:ascii="宋体" w:hAnsi="宋体" w:cs="宋体"/>
          <w:u w:val="single"/>
        </w:rPr>
        <w:t>施工评审组</w:t>
      </w:r>
      <w:r>
        <w:rPr>
          <w:rFonts w:hint="eastAsia" w:ascii="宋体" w:hAnsi="宋体" w:cs="宋体"/>
          <w:szCs w:val="21"/>
          <w:u w:val="single"/>
        </w:rPr>
        <w:t>过半数成员的意见作为</w:t>
      </w:r>
      <w:r>
        <w:rPr>
          <w:rFonts w:hint="eastAsia" w:ascii="宋体" w:hAnsi="宋体" w:cs="宋体"/>
          <w:u w:val="single"/>
        </w:rPr>
        <w:t>施工评审组</w:t>
      </w:r>
      <w:r>
        <w:rPr>
          <w:rFonts w:hint="eastAsia" w:ascii="宋体" w:hAnsi="宋体" w:cs="宋体"/>
          <w:szCs w:val="21"/>
          <w:u w:val="single"/>
        </w:rPr>
        <w:t>对该情形的认定结论。</w:t>
      </w:r>
    </w:p>
    <w:p w14:paraId="7A2BB766">
      <w:pPr>
        <w:spacing w:line="360" w:lineRule="auto"/>
        <w:ind w:firstLine="420" w:firstLineChars="200"/>
        <w:rPr>
          <w:rFonts w:hint="eastAsia" w:ascii="宋体" w:hAnsi="宋体" w:cs="宋体"/>
          <w:szCs w:val="21"/>
          <w:u w:val="single"/>
        </w:rPr>
      </w:pPr>
      <w:r>
        <w:rPr>
          <w:rFonts w:hint="eastAsia" w:ascii="宋体" w:hAnsi="宋体" w:cs="宋体"/>
          <w:szCs w:val="21"/>
          <w:u w:val="single"/>
        </w:rPr>
        <w:t>3.1.2 投标人有以下情形之一的，评标委员会应当否决其投标：</w:t>
      </w:r>
    </w:p>
    <w:p w14:paraId="4EF04274">
      <w:pPr>
        <w:spacing w:line="360" w:lineRule="auto"/>
        <w:ind w:firstLine="420" w:firstLineChars="200"/>
        <w:rPr>
          <w:rFonts w:hint="eastAsia" w:ascii="宋体" w:hAnsi="宋体" w:cs="宋体"/>
          <w:szCs w:val="21"/>
          <w:u w:val="single"/>
        </w:rPr>
      </w:pPr>
      <w:r>
        <w:rPr>
          <w:rFonts w:hint="eastAsia" w:ascii="宋体" w:hAnsi="宋体" w:cs="宋体"/>
          <w:szCs w:val="21"/>
          <w:u w:val="single"/>
        </w:rPr>
        <w:t>（1）第二章“投标人须知”第1.4.3项、第1.4.4项规定的任何一种情形的；</w:t>
      </w:r>
    </w:p>
    <w:p w14:paraId="2CF9F0B4">
      <w:pPr>
        <w:spacing w:line="360" w:lineRule="auto"/>
        <w:ind w:firstLine="420" w:firstLineChars="200"/>
        <w:rPr>
          <w:rFonts w:hint="eastAsia" w:ascii="宋体" w:hAnsi="宋体" w:cs="宋体"/>
          <w:szCs w:val="21"/>
          <w:u w:val="single"/>
        </w:rPr>
      </w:pPr>
      <w:r>
        <w:rPr>
          <w:rFonts w:hint="eastAsia" w:ascii="宋体" w:hAnsi="宋体" w:cs="宋体"/>
          <w:szCs w:val="21"/>
          <w:u w:val="single"/>
        </w:rPr>
        <w:t>（2）串通投标或弄虚作假或有其他违法行为的；</w:t>
      </w:r>
    </w:p>
    <w:p w14:paraId="14F6234D">
      <w:pPr>
        <w:spacing w:line="360" w:lineRule="auto"/>
        <w:ind w:firstLine="420" w:firstLineChars="200"/>
        <w:rPr>
          <w:rFonts w:hint="eastAsia" w:ascii="宋体" w:hAnsi="宋体" w:cs="宋体"/>
          <w:szCs w:val="21"/>
          <w:u w:val="single"/>
        </w:rPr>
      </w:pPr>
      <w:r>
        <w:rPr>
          <w:rFonts w:hint="eastAsia" w:ascii="宋体" w:hAnsi="宋体" w:cs="宋体"/>
          <w:szCs w:val="21"/>
          <w:u w:val="single"/>
        </w:rPr>
        <w:t>（3）不按评标委员会要求澄清、说明或补正的。</w:t>
      </w:r>
    </w:p>
    <w:p w14:paraId="0212C507">
      <w:pPr>
        <w:spacing w:line="360" w:lineRule="auto"/>
        <w:ind w:firstLine="420" w:firstLineChars="200"/>
        <w:rPr>
          <w:rFonts w:hint="eastAsia" w:ascii="宋体" w:hAnsi="宋体" w:cs="宋体"/>
          <w:szCs w:val="21"/>
          <w:u w:val="single"/>
        </w:rPr>
      </w:pPr>
      <w:r>
        <w:rPr>
          <w:rFonts w:hint="eastAsia" w:ascii="宋体" w:hAnsi="宋体" w:cs="宋体"/>
          <w:szCs w:val="21"/>
          <w:u w:val="single"/>
        </w:rPr>
        <w:t>3.1.3 汇总形式审查情况，只有通过形式审查的投标人方可进入下一阶段的评审。形式审查合格的投标人少于3名的，则本项目招标失败。</w:t>
      </w:r>
    </w:p>
    <w:p w14:paraId="6B8EC29A">
      <w:pPr>
        <w:spacing w:line="360" w:lineRule="auto"/>
        <w:ind w:firstLine="420" w:firstLineChars="200"/>
        <w:rPr>
          <w:rFonts w:hint="eastAsia" w:ascii="宋体" w:hAnsi="宋体" w:cs="宋体"/>
          <w:szCs w:val="21"/>
          <w:u w:val="single"/>
        </w:rPr>
      </w:pPr>
      <w:r>
        <w:rPr>
          <w:rFonts w:hint="eastAsia" w:ascii="宋体" w:hAnsi="宋体" w:cs="宋体"/>
          <w:szCs w:val="21"/>
          <w:u w:val="single"/>
        </w:rPr>
        <w:t xml:space="preserve">3.1.4 </w:t>
      </w:r>
      <w:r>
        <w:rPr>
          <w:rFonts w:hint="eastAsia" w:ascii="宋体" w:hAnsi="宋体" w:cs="宋体"/>
          <w:u w:val="single"/>
        </w:rPr>
        <w:t>施工评审组评委</w:t>
      </w:r>
      <w:r>
        <w:rPr>
          <w:rFonts w:hint="eastAsia" w:ascii="宋体" w:hAnsi="宋体" w:cs="宋体"/>
          <w:szCs w:val="21"/>
          <w:u w:val="single"/>
        </w:rPr>
        <w:t>对所有通过形式审查的投标人进行资格审查。资格审查文件中全部符合</w:t>
      </w:r>
      <w:r>
        <w:rPr>
          <w:rFonts w:hint="eastAsia" w:ascii="宋体" w:hAnsi="宋体" w:cs="宋体"/>
          <w:u w:val="single"/>
        </w:rPr>
        <w:t>资格评审标准（详见前附表）</w:t>
      </w:r>
      <w:r>
        <w:rPr>
          <w:rFonts w:hint="eastAsia" w:ascii="宋体" w:hAnsi="宋体" w:cs="宋体"/>
          <w:szCs w:val="21"/>
          <w:u w:val="single"/>
        </w:rPr>
        <w:t>中规定情形的，为资格审查合格。否则为资格审查不合格，经</w:t>
      </w:r>
      <w:r>
        <w:rPr>
          <w:rFonts w:hint="eastAsia" w:ascii="宋体" w:hAnsi="宋体" w:cs="宋体"/>
          <w:u w:val="single"/>
        </w:rPr>
        <w:t>施工评审组评委共同</w:t>
      </w:r>
      <w:r>
        <w:rPr>
          <w:rFonts w:hint="eastAsia" w:ascii="宋体" w:hAnsi="宋体" w:cs="宋体"/>
          <w:szCs w:val="21"/>
          <w:u w:val="single"/>
        </w:rPr>
        <w:t>认定后，其投标将被拒绝。如</w:t>
      </w:r>
      <w:r>
        <w:rPr>
          <w:rFonts w:hint="eastAsia" w:ascii="宋体" w:hAnsi="宋体" w:cs="宋体"/>
          <w:u w:val="single"/>
        </w:rPr>
        <w:t>施工评审组</w:t>
      </w:r>
      <w:r>
        <w:rPr>
          <w:rFonts w:hint="eastAsia" w:ascii="宋体" w:hAnsi="宋体" w:cs="宋体"/>
          <w:szCs w:val="21"/>
          <w:u w:val="single"/>
        </w:rPr>
        <w:t>评委的评审意见不一致时，以</w:t>
      </w:r>
      <w:r>
        <w:rPr>
          <w:rFonts w:hint="eastAsia" w:ascii="宋体" w:hAnsi="宋体" w:cs="宋体"/>
          <w:u w:val="single"/>
        </w:rPr>
        <w:t>施工评审组</w:t>
      </w:r>
      <w:r>
        <w:rPr>
          <w:rFonts w:hint="eastAsia" w:ascii="宋体" w:hAnsi="宋体" w:cs="宋体"/>
          <w:szCs w:val="21"/>
          <w:u w:val="single"/>
        </w:rPr>
        <w:t>过半数成员的意见作为评标委员会对该情形的认定结论。只有通过资格审查的投标人方可进入下一阶段的评审。</w:t>
      </w:r>
    </w:p>
    <w:p w14:paraId="20702FCA">
      <w:pPr>
        <w:spacing w:line="360" w:lineRule="auto"/>
        <w:ind w:firstLine="420" w:firstLineChars="200"/>
        <w:rPr>
          <w:rFonts w:hint="eastAsia" w:ascii="宋体" w:hAnsi="宋体" w:cs="宋体"/>
          <w:szCs w:val="21"/>
          <w:u w:val="single"/>
        </w:rPr>
      </w:pPr>
      <w:r>
        <w:rPr>
          <w:rFonts w:hint="eastAsia" w:ascii="宋体" w:hAnsi="宋体" w:cs="宋体"/>
          <w:szCs w:val="21"/>
          <w:u w:val="single"/>
        </w:rPr>
        <w:t>3.1.5 汇总资格审查情况，编写资格审查报告。资格审查合格的投标人少于3名的，则本项目招标失败。</w:t>
      </w:r>
    </w:p>
    <w:p w14:paraId="6243499E">
      <w:pPr>
        <w:spacing w:line="360" w:lineRule="auto"/>
        <w:ind w:firstLine="420" w:firstLineChars="200"/>
        <w:rPr>
          <w:rFonts w:hint="eastAsia" w:ascii="宋体" w:hAnsi="宋体" w:cs="宋体"/>
          <w:szCs w:val="21"/>
          <w:u w:val="single"/>
        </w:rPr>
      </w:pPr>
      <w:r>
        <w:rPr>
          <w:rFonts w:hint="eastAsia" w:ascii="宋体" w:hAnsi="宋体" w:cs="宋体"/>
          <w:szCs w:val="21"/>
          <w:u w:val="single"/>
        </w:rPr>
        <w:t>3.1.6 资格审查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14:paraId="42D7D35D">
      <w:pPr>
        <w:spacing w:line="360" w:lineRule="auto"/>
        <w:ind w:firstLine="422" w:firstLineChars="200"/>
        <w:rPr>
          <w:rFonts w:hint="eastAsia" w:ascii="宋体" w:hAnsi="宋体" w:cs="宋体"/>
          <w:b/>
          <w:szCs w:val="21"/>
          <w:u w:val="single"/>
        </w:rPr>
      </w:pPr>
      <w:r>
        <w:rPr>
          <w:rFonts w:hint="eastAsia" w:ascii="宋体" w:hAnsi="宋体" w:cs="宋体"/>
          <w:b/>
          <w:szCs w:val="21"/>
          <w:u w:val="single"/>
        </w:rPr>
        <w:t>特别声明：资审合格后，投标人的资格发生变化而不满足投标人合格条件，在发出中标通知书前，资格问题仍未解决的，招标人将取消其中标资格。</w:t>
      </w:r>
      <w:bookmarkEnd w:id="518"/>
      <w:bookmarkEnd w:id="519"/>
    </w:p>
    <w:p w14:paraId="456B916D">
      <w:pPr>
        <w:pStyle w:val="4"/>
        <w:rPr>
          <w:rFonts w:hint="eastAsia"/>
          <w:szCs w:val="21"/>
        </w:rPr>
      </w:pPr>
      <w:bookmarkStart w:id="520" w:name="_Toc134304584"/>
      <w:bookmarkStart w:id="521" w:name="_Toc109114720"/>
      <w:bookmarkStart w:id="522" w:name="_Toc439240661"/>
      <w:bookmarkStart w:id="523" w:name="_Toc439246060"/>
      <w:bookmarkStart w:id="524" w:name="_Toc28052"/>
      <w:bookmarkStart w:id="525" w:name="_Toc28376"/>
      <w:bookmarkStart w:id="526" w:name="_Toc414"/>
      <w:bookmarkStart w:id="527" w:name="_Toc33695050"/>
      <w:bookmarkStart w:id="528" w:name="_Toc87238952"/>
      <w:bookmarkStart w:id="529" w:name="_Toc29953"/>
      <w:r>
        <w:rPr>
          <w:rFonts w:hint="eastAsia"/>
        </w:rPr>
        <w:t>3.2 设计方案评审（暗标评审，由设计评审组负责）</w:t>
      </w:r>
      <w:bookmarkEnd w:id="520"/>
      <w:bookmarkEnd w:id="521"/>
    </w:p>
    <w:p w14:paraId="7B8F120F">
      <w:pPr>
        <w:spacing w:line="360" w:lineRule="auto"/>
        <w:ind w:firstLine="420" w:firstLineChars="200"/>
        <w:rPr>
          <w:rFonts w:hint="eastAsia" w:ascii="宋体" w:hAnsi="宋体" w:cs="宋体"/>
          <w:szCs w:val="21"/>
          <w:u w:val="single"/>
        </w:rPr>
      </w:pPr>
      <w:r>
        <w:rPr>
          <w:rFonts w:hint="eastAsia" w:ascii="宋体" w:hAnsi="宋体" w:cs="宋体"/>
          <w:szCs w:val="21"/>
          <w:u w:val="single"/>
        </w:rPr>
        <w:t>3.2.1 设计方案的响应性审查：通过资格审查的投标文件中没有任一种列于设计方案响应性评审标准（详见前附表）中情形的，为有效标书。否则为无效标书，经设计</w:t>
      </w:r>
      <w:r>
        <w:rPr>
          <w:rFonts w:hint="eastAsia" w:ascii="宋体" w:hAnsi="宋体" w:cs="宋体"/>
          <w:u w:val="single"/>
        </w:rPr>
        <w:t>评审组</w:t>
      </w:r>
      <w:r>
        <w:rPr>
          <w:rFonts w:hint="eastAsia" w:ascii="宋体" w:hAnsi="宋体" w:cs="宋体"/>
          <w:szCs w:val="21"/>
          <w:u w:val="single"/>
        </w:rPr>
        <w:t>评委共同认定后，其投标文件将被拒绝。如设计</w:t>
      </w:r>
      <w:r>
        <w:rPr>
          <w:rFonts w:hint="eastAsia" w:ascii="宋体" w:hAnsi="宋体" w:cs="宋体"/>
          <w:u w:val="single"/>
        </w:rPr>
        <w:t>评审组</w:t>
      </w:r>
      <w:r>
        <w:rPr>
          <w:rFonts w:hint="eastAsia" w:ascii="宋体" w:hAnsi="宋体" w:cs="宋体"/>
          <w:szCs w:val="21"/>
          <w:u w:val="single"/>
        </w:rPr>
        <w:t>评委的评审意见不一致时，以设计</w:t>
      </w:r>
      <w:r>
        <w:rPr>
          <w:rFonts w:hint="eastAsia" w:ascii="宋体" w:hAnsi="宋体" w:cs="宋体"/>
          <w:u w:val="single"/>
        </w:rPr>
        <w:t>评审组</w:t>
      </w:r>
      <w:r>
        <w:rPr>
          <w:rFonts w:hint="eastAsia" w:ascii="宋体" w:hAnsi="宋体" w:cs="宋体"/>
          <w:szCs w:val="21"/>
          <w:u w:val="single"/>
        </w:rPr>
        <w:t>评委过半数成员的意见作为评标委员会对该情形的认定结论。</w:t>
      </w:r>
    </w:p>
    <w:p w14:paraId="4F418E76">
      <w:pPr>
        <w:spacing w:line="360" w:lineRule="auto"/>
        <w:ind w:firstLine="420" w:firstLineChars="200"/>
        <w:rPr>
          <w:rFonts w:hint="eastAsia" w:ascii="宋体" w:hAnsi="宋体" w:cs="宋体"/>
          <w:szCs w:val="21"/>
          <w:u w:val="single"/>
        </w:rPr>
      </w:pPr>
      <w:r>
        <w:rPr>
          <w:rFonts w:hint="eastAsia" w:ascii="宋体" w:hAnsi="宋体" w:cs="宋体"/>
          <w:szCs w:val="21"/>
          <w:u w:val="single"/>
        </w:rPr>
        <w:t>3.2.2设计方案投标文件详细审查评分：评标委员会按照设计方案评分标准（详见前附表），对通过有效性审查的投标文件进行详细审查评分，评出设计方案得分（投标人的得分为各评委评分汇总后的算术平均值，若分数出现小数点时，保留小数点后二位，第三位小数四舍五入）。</w:t>
      </w:r>
    </w:p>
    <w:p w14:paraId="1970229A">
      <w:pPr>
        <w:spacing w:line="360" w:lineRule="auto"/>
        <w:ind w:firstLine="420" w:firstLineChars="200"/>
        <w:rPr>
          <w:rFonts w:hint="eastAsia" w:ascii="宋体" w:hAnsi="宋体" w:cs="宋体"/>
          <w:szCs w:val="21"/>
          <w:u w:val="single"/>
        </w:rPr>
      </w:pPr>
      <w:r>
        <w:rPr>
          <w:rFonts w:hint="eastAsia" w:ascii="宋体" w:hAnsi="宋体" w:cs="宋体"/>
          <w:szCs w:val="21"/>
          <w:u w:val="single"/>
        </w:rPr>
        <w:t>3.2.3 评委揭晓投标人身份，并公布设计方案投标文件评审结果。设计组评标委员会取消未通过设计方案投标文件有效性审查的投标人的得分。</w:t>
      </w:r>
    </w:p>
    <w:p w14:paraId="22913F60">
      <w:pPr>
        <w:spacing w:line="360" w:lineRule="auto"/>
        <w:ind w:firstLine="420" w:firstLineChars="200"/>
        <w:rPr>
          <w:rFonts w:hint="eastAsia" w:ascii="宋体" w:hAnsi="宋体" w:cs="宋体"/>
          <w:szCs w:val="21"/>
          <w:u w:val="single"/>
        </w:rPr>
      </w:pPr>
      <w:r>
        <w:rPr>
          <w:rFonts w:hint="eastAsia" w:ascii="宋体" w:hAnsi="宋体" w:cs="宋体"/>
          <w:szCs w:val="21"/>
          <w:u w:val="single"/>
        </w:rPr>
        <w:t>3.2.4 设计组评标委员会编写、签署评标报告。评标报告由评标委员会全体成员签字，对评标结论持有异议的评标委员会成员可以书面方式阐述其不同意见和理由。</w:t>
      </w:r>
    </w:p>
    <w:p w14:paraId="7C89E598">
      <w:pPr>
        <w:spacing w:line="360" w:lineRule="auto"/>
        <w:ind w:firstLine="420" w:firstLineChars="200"/>
        <w:rPr>
          <w:rFonts w:hint="eastAsia" w:ascii="宋体" w:hAnsi="宋体" w:cs="宋体"/>
          <w:szCs w:val="21"/>
          <w:u w:val="single"/>
        </w:rPr>
      </w:pPr>
      <w:r>
        <w:rPr>
          <w:rFonts w:hint="eastAsia" w:ascii="宋体" w:hAnsi="宋体" w:cs="宋体"/>
          <w:szCs w:val="21"/>
          <w:u w:val="single"/>
        </w:rPr>
        <w:t>3.2.5 设计组评标委员会向招标人提交书面评标报告后即告解散，评标过程中使用的文件、表格以及其他资料应当即时归还招标人（招标代理机构）。</w:t>
      </w:r>
    </w:p>
    <w:p w14:paraId="7F5F9CD6">
      <w:pPr>
        <w:pStyle w:val="4"/>
        <w:rPr>
          <w:rFonts w:hint="eastAsia"/>
          <w:szCs w:val="21"/>
        </w:rPr>
      </w:pPr>
      <w:bookmarkStart w:id="530" w:name="_Toc134304585"/>
      <w:r>
        <w:rPr>
          <w:rFonts w:hint="eastAsia"/>
        </w:rPr>
        <w:t>3.3 工程总承包实施方案评审</w:t>
      </w:r>
      <w:bookmarkEnd w:id="522"/>
      <w:bookmarkEnd w:id="523"/>
      <w:r>
        <w:rPr>
          <w:rFonts w:hint="eastAsia"/>
        </w:rPr>
        <w:t>（由施工评审组负责）</w:t>
      </w:r>
      <w:bookmarkEnd w:id="524"/>
      <w:bookmarkEnd w:id="525"/>
      <w:bookmarkEnd w:id="526"/>
      <w:bookmarkEnd w:id="527"/>
      <w:bookmarkEnd w:id="528"/>
      <w:bookmarkEnd w:id="529"/>
      <w:bookmarkEnd w:id="530"/>
    </w:p>
    <w:p w14:paraId="35F548AF">
      <w:pPr>
        <w:spacing w:line="360" w:lineRule="auto"/>
        <w:ind w:firstLine="420" w:firstLineChars="200"/>
        <w:rPr>
          <w:rFonts w:hint="eastAsia" w:ascii="宋体" w:hAnsi="宋体" w:cs="宋体"/>
          <w:szCs w:val="21"/>
          <w:u w:val="single"/>
        </w:rPr>
      </w:pPr>
      <w:r>
        <w:rPr>
          <w:rFonts w:hint="eastAsia" w:ascii="宋体" w:hAnsi="宋体" w:cs="宋体"/>
          <w:szCs w:val="21"/>
          <w:u w:val="single"/>
        </w:rPr>
        <w:t>3.3.1 工程总承包实施方案的响应性审查：通过资格审查的投标文件中没有任一种列于工程总承包实施方案响应性评审标准（详见前附表）中情形的，为有效标书。否则为无效标书，经</w:t>
      </w:r>
      <w:r>
        <w:rPr>
          <w:rFonts w:hint="eastAsia" w:ascii="宋体" w:hAnsi="宋体" w:cs="宋体"/>
          <w:u w:val="single"/>
        </w:rPr>
        <w:t>施工评审组</w:t>
      </w:r>
      <w:r>
        <w:rPr>
          <w:rFonts w:hint="eastAsia" w:ascii="宋体" w:hAnsi="宋体" w:cs="宋体"/>
          <w:szCs w:val="21"/>
          <w:u w:val="single"/>
        </w:rPr>
        <w:t>评委共同认定后，其投标文件将被拒绝。如</w:t>
      </w:r>
      <w:r>
        <w:rPr>
          <w:rFonts w:hint="eastAsia" w:ascii="宋体" w:hAnsi="宋体" w:cs="宋体"/>
          <w:u w:val="single"/>
        </w:rPr>
        <w:t>施工评审组</w:t>
      </w:r>
      <w:r>
        <w:rPr>
          <w:rFonts w:hint="eastAsia" w:ascii="宋体" w:hAnsi="宋体" w:cs="宋体"/>
          <w:szCs w:val="21"/>
          <w:u w:val="single"/>
        </w:rPr>
        <w:t>评委的评审意见不一致时，以</w:t>
      </w:r>
      <w:r>
        <w:rPr>
          <w:rFonts w:hint="eastAsia" w:ascii="宋体" w:hAnsi="宋体" w:cs="宋体"/>
          <w:u w:val="single"/>
        </w:rPr>
        <w:t>施工评审组</w:t>
      </w:r>
      <w:r>
        <w:rPr>
          <w:rFonts w:hint="eastAsia" w:ascii="宋体" w:hAnsi="宋体" w:cs="宋体"/>
          <w:szCs w:val="21"/>
          <w:u w:val="single"/>
        </w:rPr>
        <w:t>评委过半数成员的意见作为评标委员会对该情形的认定结论。</w:t>
      </w:r>
    </w:p>
    <w:p w14:paraId="73B13206">
      <w:pPr>
        <w:spacing w:line="360" w:lineRule="auto"/>
        <w:ind w:firstLine="420" w:firstLineChars="200"/>
        <w:rPr>
          <w:rFonts w:hint="eastAsia" w:ascii="宋体" w:hAnsi="宋体" w:cs="宋体"/>
          <w:szCs w:val="21"/>
          <w:u w:val="single"/>
        </w:rPr>
      </w:pPr>
      <w:r>
        <w:rPr>
          <w:rFonts w:hint="eastAsia" w:ascii="宋体" w:hAnsi="宋体" w:cs="宋体"/>
          <w:szCs w:val="21"/>
          <w:u w:val="single"/>
        </w:rPr>
        <w:t>3.3.2 工程总承包实施方案详细审查：</w:t>
      </w:r>
      <w:r>
        <w:rPr>
          <w:rFonts w:hint="eastAsia" w:ascii="宋体" w:hAnsi="宋体" w:cs="宋体"/>
          <w:u w:val="single"/>
        </w:rPr>
        <w:t>施工评审组</w:t>
      </w:r>
      <w:r>
        <w:rPr>
          <w:rFonts w:hint="eastAsia" w:ascii="宋体" w:hAnsi="宋体" w:cs="宋体"/>
          <w:szCs w:val="21"/>
          <w:u w:val="single"/>
        </w:rPr>
        <w:t>评委按照工程总承包实施方案评分标准（详见前附表），对通过响应性审查的投标文件进行详细审查，评分。</w:t>
      </w:r>
    </w:p>
    <w:p w14:paraId="6168907D">
      <w:pPr>
        <w:spacing w:line="360" w:lineRule="auto"/>
        <w:ind w:firstLine="420" w:firstLineChars="200"/>
        <w:rPr>
          <w:rFonts w:hint="eastAsia" w:ascii="宋体" w:hAnsi="宋体" w:cs="宋体"/>
          <w:szCs w:val="21"/>
          <w:u w:val="single"/>
        </w:rPr>
      </w:pPr>
      <w:r>
        <w:rPr>
          <w:rFonts w:hint="eastAsia" w:ascii="宋体" w:hAnsi="宋体" w:cs="宋体"/>
          <w:szCs w:val="21"/>
          <w:u w:val="single"/>
        </w:rPr>
        <w:t>3.3.3 各投标人工程总承包实施方案得分为各评委评分的算术平均值，</w:t>
      </w:r>
      <w:r>
        <w:rPr>
          <w:rFonts w:hint="eastAsia" w:ascii="宋体" w:hAnsi="宋体" w:cs="宋体"/>
          <w:u w:val="single"/>
        </w:rPr>
        <w:t>施工评审组</w:t>
      </w:r>
      <w:r>
        <w:rPr>
          <w:rFonts w:hint="eastAsia" w:ascii="宋体" w:hAnsi="宋体" w:cs="宋体"/>
          <w:szCs w:val="21"/>
          <w:u w:val="single"/>
        </w:rPr>
        <w:t>评委按此汇总每个投标人工程总承包实施方案详细审查得分，分数出现小数点，保留小数点后二位，第三位小数四舍五入。</w:t>
      </w:r>
    </w:p>
    <w:p w14:paraId="699C2C65">
      <w:pPr>
        <w:pStyle w:val="4"/>
        <w:rPr>
          <w:rFonts w:hint="eastAsia"/>
        </w:rPr>
      </w:pPr>
      <w:bookmarkStart w:id="531" w:name="_Toc87238953"/>
      <w:bookmarkStart w:id="532" w:name="_Toc134304586"/>
      <w:r>
        <w:rPr>
          <w:rFonts w:hint="eastAsia"/>
        </w:rPr>
        <w:t>34 投标报价得分（由施工评审组评委负责）</w:t>
      </w:r>
      <w:bookmarkEnd w:id="531"/>
      <w:bookmarkEnd w:id="532"/>
    </w:p>
    <w:p w14:paraId="1E15A9C8">
      <w:pPr>
        <w:spacing w:line="360" w:lineRule="auto"/>
        <w:ind w:firstLine="420" w:firstLineChars="200"/>
        <w:rPr>
          <w:rFonts w:hint="eastAsia" w:ascii="宋体" w:hAnsi="宋体" w:cs="宋体"/>
          <w:szCs w:val="21"/>
          <w:u w:val="single"/>
        </w:rPr>
      </w:pPr>
      <w:r>
        <w:rPr>
          <w:rFonts w:hint="eastAsia" w:ascii="宋体" w:hAnsi="宋体" w:cs="宋体"/>
          <w:szCs w:val="21"/>
          <w:u w:val="single"/>
        </w:rPr>
        <w:t>3.4.1 施工评审组评委汇总工程总承包实施方案响应性评审结果，未通过工程总承包实施方案响应性评审的投标人的投标报价，不再进行投标报价评审，也不参与评标基准价的计算。</w:t>
      </w:r>
    </w:p>
    <w:p w14:paraId="38025289">
      <w:pPr>
        <w:spacing w:line="360" w:lineRule="auto"/>
        <w:ind w:firstLine="420" w:firstLineChars="200"/>
        <w:rPr>
          <w:rFonts w:hint="eastAsia" w:ascii="宋体" w:hAnsi="宋体" w:cs="宋体"/>
          <w:szCs w:val="21"/>
          <w:u w:val="single"/>
        </w:rPr>
      </w:pPr>
      <w:r>
        <w:rPr>
          <w:rFonts w:hint="eastAsia" w:ascii="宋体" w:hAnsi="宋体" w:cs="宋体"/>
          <w:szCs w:val="21"/>
          <w:u w:val="single"/>
        </w:rPr>
        <w:t>3.4.2 投标报价的算术校核。</w:t>
      </w:r>
      <w:r>
        <w:rPr>
          <w:rFonts w:hint="eastAsia" w:ascii="宋体" w:hAnsi="宋体" w:cs="宋体"/>
          <w:u w:val="single"/>
        </w:rPr>
        <w:t>施工评审组</w:t>
      </w:r>
      <w:r>
        <w:rPr>
          <w:rFonts w:hint="eastAsia" w:ascii="宋体" w:hAnsi="宋体" w:cs="宋体"/>
          <w:szCs w:val="21"/>
          <w:u w:val="single"/>
        </w:rPr>
        <w:t>评委对通过工程总承包实施方案响应性审查的投标文件的投标报进行算术校核，具体标准如下：</w:t>
      </w:r>
    </w:p>
    <w:p w14:paraId="3FC58B08">
      <w:pPr>
        <w:spacing w:line="360" w:lineRule="auto"/>
        <w:ind w:firstLine="420" w:firstLineChars="200"/>
        <w:rPr>
          <w:rFonts w:hint="eastAsia" w:ascii="宋体" w:hAnsi="宋体" w:cs="宋体"/>
          <w:szCs w:val="21"/>
          <w:u w:val="single"/>
        </w:rPr>
      </w:pPr>
      <w:r>
        <w:rPr>
          <w:rFonts w:hint="eastAsia" w:ascii="宋体" w:hAnsi="宋体" w:cs="宋体"/>
          <w:szCs w:val="21"/>
          <w:u w:val="single"/>
        </w:rPr>
        <w:t>（1）如果投标报价与最高投标限价计算的下浮率不等于投标下浮率时，以计算下浮率为准修正投标下浮率；</w:t>
      </w:r>
    </w:p>
    <w:p w14:paraId="4123D3F6">
      <w:pPr>
        <w:spacing w:line="360" w:lineRule="auto"/>
        <w:ind w:firstLine="420" w:firstLineChars="200"/>
        <w:rPr>
          <w:rFonts w:hint="eastAsia" w:ascii="宋体" w:hAnsi="宋体" w:cs="宋体"/>
          <w:szCs w:val="21"/>
          <w:u w:val="single"/>
        </w:rPr>
      </w:pPr>
      <w:r>
        <w:rPr>
          <w:rFonts w:hint="eastAsia" w:ascii="宋体" w:hAnsi="宋体" w:cs="宋体"/>
          <w:szCs w:val="21"/>
          <w:u w:val="single"/>
        </w:rPr>
        <w:t>（2）如果分项报价累加不等总价的，以分项报价累加为准，修正总价；</w:t>
      </w:r>
    </w:p>
    <w:p w14:paraId="133576EB">
      <w:pPr>
        <w:spacing w:line="360" w:lineRule="auto"/>
        <w:ind w:firstLine="420" w:firstLineChars="200"/>
        <w:rPr>
          <w:rFonts w:hint="eastAsia" w:ascii="宋体" w:hAnsi="宋体" w:cs="宋体"/>
          <w:szCs w:val="21"/>
          <w:u w:val="single"/>
        </w:rPr>
      </w:pPr>
      <w:r>
        <w:rPr>
          <w:rFonts w:hint="eastAsia" w:ascii="宋体" w:hAnsi="宋体" w:cs="宋体"/>
          <w:szCs w:val="21"/>
          <w:u w:val="single"/>
        </w:rPr>
        <w:t>（3）投标文件存在其他计算性错误的，按就低不就高计算并修正；</w:t>
      </w:r>
    </w:p>
    <w:p w14:paraId="41ED61EE">
      <w:pPr>
        <w:spacing w:line="360" w:lineRule="auto"/>
        <w:ind w:firstLine="420" w:firstLineChars="200"/>
        <w:rPr>
          <w:rFonts w:hint="eastAsia" w:ascii="宋体" w:hAnsi="宋体" w:cs="宋体"/>
          <w:szCs w:val="21"/>
          <w:u w:val="single"/>
        </w:rPr>
      </w:pPr>
      <w:r>
        <w:rPr>
          <w:rFonts w:hint="eastAsia" w:ascii="宋体" w:hAnsi="宋体" w:cs="宋体"/>
          <w:szCs w:val="21"/>
          <w:u w:val="single"/>
        </w:rPr>
        <w:t>（4）若修正后的投标报价超过最高投标限价的，作否决投标处理；</w:t>
      </w:r>
    </w:p>
    <w:p w14:paraId="33A8687B">
      <w:pPr>
        <w:spacing w:line="360" w:lineRule="auto"/>
        <w:ind w:firstLine="420" w:firstLineChars="200"/>
        <w:rPr>
          <w:rFonts w:hint="eastAsia" w:ascii="宋体" w:hAnsi="宋体" w:cs="宋体"/>
          <w:szCs w:val="21"/>
          <w:u w:val="single"/>
        </w:rPr>
      </w:pPr>
      <w:r>
        <w:rPr>
          <w:rFonts w:hint="eastAsia" w:ascii="宋体" w:hAnsi="宋体" w:cs="宋体"/>
          <w:szCs w:val="21"/>
          <w:u w:val="single"/>
        </w:rPr>
        <w:t>（5）按上述修正错误的原则及方法调整或修正投标文件的投标报价，调整后的投标报价对投标人起约束作用。如果投标人不接受修正后的报价，则取消其投标资格或中标资格。</w:t>
      </w:r>
    </w:p>
    <w:p w14:paraId="52B48CC5">
      <w:pPr>
        <w:spacing w:line="360" w:lineRule="auto"/>
        <w:ind w:firstLine="420" w:firstLineChars="200"/>
        <w:rPr>
          <w:rFonts w:hint="eastAsia" w:ascii="宋体" w:hAnsi="宋体" w:cs="宋体"/>
          <w:szCs w:val="21"/>
          <w:u w:val="single"/>
        </w:rPr>
      </w:pPr>
      <w:r>
        <w:rPr>
          <w:rFonts w:hint="eastAsia" w:ascii="宋体" w:hAnsi="宋体" w:cs="宋体"/>
          <w:szCs w:val="21"/>
          <w:u w:val="single"/>
        </w:rPr>
        <w:t>3.4.3 投标报价评分</w:t>
      </w:r>
    </w:p>
    <w:p w14:paraId="439D1AAA">
      <w:pPr>
        <w:spacing w:line="360" w:lineRule="auto"/>
        <w:ind w:firstLine="420" w:firstLineChars="200"/>
        <w:rPr>
          <w:rFonts w:hint="eastAsia" w:ascii="宋体" w:hAnsi="宋体" w:cs="宋体"/>
          <w:szCs w:val="21"/>
          <w:u w:val="single"/>
          <w:lang w:val="zh-TW" w:eastAsia="zh-TW"/>
        </w:rPr>
      </w:pPr>
      <w:r>
        <w:rPr>
          <w:rFonts w:hint="eastAsia" w:ascii="宋体" w:hAnsi="宋体" w:cs="宋体"/>
          <w:szCs w:val="21"/>
          <w:u w:val="single"/>
          <w:lang w:val="zh-TW" w:eastAsia="zh-TW"/>
        </w:rPr>
        <w:t>（1）</w:t>
      </w:r>
      <w:r>
        <w:rPr>
          <w:rFonts w:hint="eastAsia" w:ascii="宋体" w:hAnsi="宋体" w:cs="宋体"/>
          <w:szCs w:val="21"/>
          <w:u w:val="single"/>
          <w:lang w:val="zh-TW"/>
        </w:rPr>
        <w:t>评标基准价</w:t>
      </w:r>
      <w:r>
        <w:rPr>
          <w:rFonts w:hint="eastAsia" w:ascii="宋体" w:hAnsi="宋体" w:cs="宋体"/>
          <w:szCs w:val="21"/>
          <w:u w:val="single"/>
          <w:lang w:val="zh-TW" w:eastAsia="zh-TW"/>
        </w:rPr>
        <w:t>计算方法：</w:t>
      </w:r>
    </w:p>
    <w:p w14:paraId="244C3FC2">
      <w:pPr>
        <w:spacing w:line="360" w:lineRule="auto"/>
        <w:ind w:firstLine="420" w:firstLineChars="200"/>
        <w:rPr>
          <w:rFonts w:hint="eastAsia" w:ascii="宋体" w:hAnsi="宋体" w:cs="宋体"/>
          <w:szCs w:val="21"/>
          <w:u w:val="single"/>
          <w:lang w:val="zh-TW" w:eastAsia="zh-TW"/>
        </w:rPr>
      </w:pPr>
      <w:r>
        <w:rPr>
          <w:rFonts w:hint="eastAsia" w:ascii="宋体" w:hAnsi="宋体" w:cs="宋体"/>
          <w:szCs w:val="21"/>
          <w:u w:val="single"/>
          <w:lang w:val="zh-TW" w:eastAsia="zh-TW"/>
        </w:rPr>
        <w:t>区间抽取法：</w:t>
      </w:r>
    </w:p>
    <w:p w14:paraId="63335E1A">
      <w:pPr>
        <w:spacing w:line="360" w:lineRule="auto"/>
        <w:ind w:firstLine="420" w:firstLineChars="200"/>
        <w:rPr>
          <w:rFonts w:hint="eastAsia" w:ascii="宋体" w:hAnsi="宋体" w:cs="宋体"/>
          <w:szCs w:val="21"/>
          <w:u w:val="single"/>
          <w:lang w:val="zh-TW" w:eastAsia="zh-TW"/>
        </w:rPr>
      </w:pPr>
      <w:r>
        <w:rPr>
          <w:rFonts w:hint="eastAsia" w:ascii="宋体" w:hAnsi="宋体" w:cs="宋体"/>
          <w:szCs w:val="21"/>
          <w:u w:val="single"/>
          <w:lang w:val="zh-TW" w:eastAsia="zh-TW"/>
        </w:rPr>
        <w:t>设立入围合格分数线（设计方案得分+工程总承包实施方案得分之和</w:t>
      </w:r>
      <w:r>
        <w:rPr>
          <w:rFonts w:hint="eastAsia" w:ascii="宋体" w:hAnsi="宋体" w:cs="宋体"/>
          <w:szCs w:val="21"/>
          <w:u w:val="single"/>
          <w:lang w:val="en-US" w:eastAsia="zh-CN"/>
        </w:rPr>
        <w:t>52</w:t>
      </w:r>
      <w:r>
        <w:rPr>
          <w:rFonts w:hint="eastAsia" w:ascii="宋体" w:hAnsi="宋体" w:cs="宋体"/>
          <w:szCs w:val="21"/>
          <w:u w:val="single"/>
          <w:lang w:val="zh-TW" w:eastAsia="zh-TW"/>
        </w:rPr>
        <w:t>分），达到或超过及格线的投标人的报价方能参与</w:t>
      </w:r>
      <w:r>
        <w:rPr>
          <w:rFonts w:hint="eastAsia" w:ascii="宋体" w:hAnsi="宋体" w:cs="宋体"/>
          <w:szCs w:val="21"/>
          <w:u w:val="single"/>
          <w:lang w:val="zh-TW"/>
        </w:rPr>
        <w:t>评标基准价</w:t>
      </w:r>
      <w:r>
        <w:rPr>
          <w:rFonts w:hint="eastAsia" w:ascii="宋体" w:hAnsi="宋体" w:cs="宋体"/>
          <w:szCs w:val="21"/>
          <w:u w:val="single"/>
          <w:lang w:val="zh-TW" w:eastAsia="zh-TW"/>
        </w:rPr>
        <w:t>的计算。将达到或超过及格分数线的投标报价由低至高进行排列，按以下公式计算</w:t>
      </w:r>
      <w:r>
        <w:rPr>
          <w:rFonts w:hint="eastAsia" w:ascii="宋体" w:hAnsi="宋体" w:cs="宋体"/>
          <w:szCs w:val="21"/>
          <w:u w:val="single"/>
          <w:lang w:val="zh-TW"/>
        </w:rPr>
        <w:t>评标基准价</w:t>
      </w:r>
      <w:r>
        <w:rPr>
          <w:rFonts w:hint="eastAsia" w:ascii="宋体" w:hAnsi="宋体" w:cs="宋体"/>
          <w:szCs w:val="21"/>
          <w:u w:val="single"/>
          <w:lang w:val="zh-TW" w:eastAsia="zh-TW"/>
        </w:rPr>
        <w:t>，计算公式如下：</w:t>
      </w:r>
    </w:p>
    <w:p w14:paraId="2CE5E383">
      <w:pPr>
        <w:spacing w:line="360" w:lineRule="auto"/>
        <w:ind w:firstLine="420" w:firstLineChars="200"/>
        <w:rPr>
          <w:rFonts w:hint="eastAsia" w:ascii="宋体" w:hAnsi="宋体" w:cs="宋体"/>
          <w:szCs w:val="21"/>
          <w:u w:val="single"/>
          <w:lang w:val="zh-TW" w:eastAsia="zh-TW"/>
        </w:rPr>
      </w:pPr>
      <w:r>
        <w:rPr>
          <w:rFonts w:hint="eastAsia" w:ascii="宋体" w:hAnsi="宋体" w:cs="宋体"/>
          <w:szCs w:val="21"/>
          <w:u w:val="single"/>
          <w:lang w:val="zh-TW"/>
        </w:rPr>
        <w:t>评标基准价</w:t>
      </w:r>
      <w:r>
        <w:rPr>
          <w:rFonts w:hint="eastAsia" w:ascii="宋体" w:hAnsi="宋体" w:cs="宋体"/>
          <w:szCs w:val="21"/>
          <w:u w:val="single"/>
          <w:lang w:val="zh-TW" w:eastAsia="zh-TW"/>
        </w:rPr>
        <w:t>=（Q高-Q低）/100*X+Q低</w:t>
      </w:r>
    </w:p>
    <w:p w14:paraId="19DAD4CF">
      <w:pPr>
        <w:spacing w:line="360" w:lineRule="auto"/>
        <w:ind w:firstLine="420" w:firstLineChars="200"/>
        <w:rPr>
          <w:rFonts w:hint="eastAsia" w:ascii="宋体" w:hAnsi="宋体" w:cs="宋体"/>
          <w:szCs w:val="21"/>
          <w:u w:val="single"/>
          <w:lang w:val="zh-TW" w:eastAsia="zh-TW"/>
        </w:rPr>
      </w:pPr>
      <w:r>
        <w:rPr>
          <w:rFonts w:hint="eastAsia" w:ascii="宋体" w:hAnsi="宋体" w:cs="宋体"/>
          <w:szCs w:val="21"/>
          <w:u w:val="single"/>
          <w:lang w:val="zh-TW" w:eastAsia="zh-TW"/>
        </w:rPr>
        <w:t>Q低：为达到或超过及格分数线的投标人最低报价与工程成本警示价两者中的较高值；如投标人均没有达到入围合格分数线的，则Q低为工程成本警示价。</w:t>
      </w:r>
    </w:p>
    <w:p w14:paraId="5D90B09D">
      <w:pPr>
        <w:spacing w:line="360" w:lineRule="auto"/>
        <w:ind w:firstLine="420" w:firstLineChars="200"/>
        <w:rPr>
          <w:rFonts w:hint="eastAsia" w:ascii="宋体" w:hAnsi="宋体" w:cs="宋体"/>
          <w:szCs w:val="21"/>
          <w:u w:val="single"/>
          <w:lang w:val="zh-TW" w:eastAsia="zh-TW"/>
        </w:rPr>
      </w:pPr>
      <w:r>
        <w:rPr>
          <w:rFonts w:hint="eastAsia" w:ascii="宋体" w:hAnsi="宋体" w:cs="宋体"/>
          <w:szCs w:val="21"/>
          <w:u w:val="single"/>
          <w:lang w:val="zh-TW" w:eastAsia="zh-TW"/>
        </w:rPr>
        <w:t>Q高：最高投标限价</w:t>
      </w:r>
    </w:p>
    <w:p w14:paraId="54EAEA97">
      <w:pPr>
        <w:spacing w:line="360" w:lineRule="auto"/>
        <w:ind w:firstLine="420" w:firstLineChars="200"/>
        <w:rPr>
          <w:rFonts w:hint="eastAsia" w:ascii="宋体" w:hAnsi="宋体" w:cs="宋体"/>
          <w:szCs w:val="21"/>
          <w:u w:val="single"/>
          <w:lang w:val="zh-TW" w:eastAsia="zh-TW"/>
        </w:rPr>
      </w:pPr>
      <w:r>
        <w:rPr>
          <w:rFonts w:hint="eastAsia" w:ascii="宋体" w:hAnsi="宋体" w:cs="宋体"/>
          <w:szCs w:val="21"/>
          <w:u w:val="single"/>
          <w:lang w:val="zh-TW" w:eastAsia="zh-TW"/>
        </w:rPr>
        <w:t>X：为等分点值，在开标前从[0,100]整数中随机抽取</w:t>
      </w:r>
    </w:p>
    <w:p w14:paraId="2D0B009C">
      <w:pPr>
        <w:spacing w:line="360" w:lineRule="auto"/>
        <w:ind w:firstLine="420" w:firstLineChars="200"/>
        <w:rPr>
          <w:rFonts w:hint="eastAsia" w:ascii="宋体" w:hAnsi="宋体" w:cs="宋体"/>
          <w:b/>
          <w:kern w:val="1"/>
          <w:sz w:val="24"/>
          <w:lang w:val="zh-CN"/>
        </w:rPr>
      </w:pPr>
      <w:r>
        <w:rPr>
          <w:rFonts w:hint="eastAsia" w:ascii="宋体" w:hAnsi="宋体" w:cs="宋体"/>
          <w:szCs w:val="21"/>
          <w:u w:val="single"/>
        </w:rPr>
        <w:t>（2）当经算术校核的投标施工费报价等于评标基准价时得100分，报价每高于评标基准价1%，扣1.5分，每低于评标基准价1%，扣1.0分，扣至0分为止，得出投标报价得分，精确到小数点后两位。</w:t>
      </w:r>
    </w:p>
    <w:p w14:paraId="2D39D424">
      <w:pPr>
        <w:pStyle w:val="4"/>
        <w:rPr>
          <w:rFonts w:hint="eastAsia"/>
        </w:rPr>
      </w:pPr>
      <w:bookmarkStart w:id="533" w:name="_Toc2675447"/>
      <w:bookmarkStart w:id="534" w:name="_Toc24469"/>
      <w:bookmarkStart w:id="535" w:name="_Toc12088"/>
      <w:bookmarkStart w:id="536" w:name="_Toc134304587"/>
      <w:bookmarkStart w:id="537" w:name="_Toc87238954"/>
      <w:bookmarkStart w:id="538" w:name="_Toc31412"/>
      <w:bookmarkStart w:id="539" w:name="_Toc8695"/>
      <w:bookmarkStart w:id="540" w:name="_Toc33695052"/>
      <w:r>
        <w:rPr>
          <w:rFonts w:hint="eastAsia"/>
        </w:rPr>
        <w:t>3.</w:t>
      </w:r>
      <w:bookmarkEnd w:id="533"/>
      <w:bookmarkStart w:id="541" w:name="_Toc2675448"/>
      <w:r>
        <w:rPr>
          <w:rFonts w:hint="eastAsia"/>
        </w:rPr>
        <w:t>4 评审汇总（由施工评审组评委负责）</w:t>
      </w:r>
      <w:bookmarkEnd w:id="534"/>
      <w:bookmarkEnd w:id="535"/>
      <w:bookmarkEnd w:id="536"/>
      <w:bookmarkEnd w:id="537"/>
      <w:bookmarkEnd w:id="538"/>
      <w:bookmarkEnd w:id="539"/>
      <w:bookmarkEnd w:id="540"/>
    </w:p>
    <w:p w14:paraId="46675705">
      <w:pPr>
        <w:spacing w:line="360" w:lineRule="auto"/>
        <w:ind w:firstLine="420" w:firstLineChars="200"/>
        <w:rPr>
          <w:rFonts w:hint="eastAsia" w:ascii="宋体" w:hAnsi="宋体" w:cs="宋体"/>
          <w:szCs w:val="21"/>
          <w:u w:val="single"/>
        </w:rPr>
      </w:pPr>
      <w:r>
        <w:rPr>
          <w:rFonts w:hint="eastAsia" w:ascii="宋体" w:hAnsi="宋体" w:cs="宋体"/>
          <w:szCs w:val="21"/>
          <w:u w:val="single"/>
        </w:rPr>
        <w:t>3.4.1 投标人总得分满分为100分，各部分分值分配详见评标办法前附表。</w:t>
      </w:r>
    </w:p>
    <w:p w14:paraId="2CDFA8B1">
      <w:pPr>
        <w:spacing w:line="360" w:lineRule="auto"/>
        <w:ind w:firstLine="420" w:firstLineChars="200"/>
        <w:rPr>
          <w:rFonts w:hint="eastAsia" w:ascii="宋体" w:hAnsi="宋体" w:cs="宋体"/>
          <w:szCs w:val="21"/>
          <w:u w:val="single"/>
        </w:rPr>
      </w:pPr>
      <w:r>
        <w:rPr>
          <w:rFonts w:hint="eastAsia" w:ascii="宋体" w:hAnsi="宋体" w:cs="宋体"/>
          <w:szCs w:val="21"/>
          <w:u w:val="single"/>
        </w:rPr>
        <w:t xml:space="preserve">3.4.2 </w:t>
      </w:r>
      <w:r>
        <w:rPr>
          <w:rFonts w:hint="eastAsia" w:ascii="宋体" w:hAnsi="宋体" w:cs="宋体"/>
          <w:u w:val="single"/>
        </w:rPr>
        <w:t>施工评审组</w:t>
      </w:r>
      <w:r>
        <w:rPr>
          <w:rFonts w:hint="eastAsia" w:ascii="宋体" w:hAnsi="宋体" w:cs="宋体"/>
          <w:szCs w:val="21"/>
          <w:u w:val="single"/>
        </w:rPr>
        <w:t>汇总各有效投标文件的总分，并按照总分从高到低排列先后次序，只有通过形式审查、资格审查、工程总承包实施方案</w:t>
      </w:r>
      <w:r>
        <w:rPr>
          <w:rFonts w:hint="eastAsia" w:ascii="宋体" w:hAnsi="宋体" w:cs="宋体"/>
          <w:u w:val="single"/>
        </w:rPr>
        <w:t>响应性审查</w:t>
      </w:r>
      <w:r>
        <w:rPr>
          <w:rFonts w:hint="eastAsia" w:ascii="宋体" w:hAnsi="宋体" w:cs="宋体"/>
          <w:szCs w:val="21"/>
          <w:u w:val="single"/>
        </w:rPr>
        <w:t>的投标文件方可计算总分。</w:t>
      </w:r>
      <w:r>
        <w:rPr>
          <w:rFonts w:hint="eastAsia" w:ascii="宋体" w:hAnsi="宋体" w:cs="宋体"/>
          <w:u w:val="single"/>
        </w:rPr>
        <w:t>总分相同的，以工程总承包实施方案评审得分较高的排前；总分与工程总承包实施方案评审得分均相同的投标文件，以投标报价得分高的排前；如仍存在相同情况，则对具有相同情况的投标人，按中标候选人数量规定，则由评标委员会采用记名投票以得票多优先，确定中标候选人的排序。评标委员会应按排序先后，向招标人推荐前3名投标人依次为第一中标候选人至第三中标候选人，并编写评标报告</w:t>
      </w:r>
      <w:r>
        <w:rPr>
          <w:rFonts w:hint="eastAsia" w:ascii="宋体" w:hAnsi="宋体" w:cs="宋体"/>
          <w:szCs w:val="21"/>
          <w:u w:val="single"/>
        </w:rPr>
        <w:t>。</w:t>
      </w:r>
    </w:p>
    <w:p w14:paraId="2A5B9899">
      <w:pPr>
        <w:spacing w:line="360" w:lineRule="auto"/>
        <w:ind w:firstLine="420" w:firstLineChars="200"/>
        <w:rPr>
          <w:rFonts w:hint="eastAsia" w:ascii="宋体" w:hAnsi="宋体" w:cs="宋体"/>
          <w:szCs w:val="21"/>
          <w:u w:val="single"/>
        </w:rPr>
      </w:pPr>
      <w:r>
        <w:rPr>
          <w:rFonts w:hint="eastAsia" w:ascii="宋体" w:hAnsi="宋体" w:cs="宋体"/>
          <w:szCs w:val="21"/>
          <w:u w:val="single"/>
        </w:rPr>
        <w:t>3.4.3 有效投标单位不足三家，应当依法重新组织招标。</w:t>
      </w:r>
    </w:p>
    <w:p w14:paraId="0B092141">
      <w:pPr>
        <w:pStyle w:val="4"/>
        <w:rPr>
          <w:rFonts w:hint="eastAsia"/>
        </w:rPr>
      </w:pPr>
      <w:bookmarkStart w:id="542" w:name="_Toc31614"/>
      <w:bookmarkStart w:id="543" w:name="_Toc28206"/>
      <w:bookmarkStart w:id="544" w:name="_Toc87238955"/>
      <w:bookmarkStart w:id="545" w:name="_Toc134304588"/>
      <w:bookmarkStart w:id="546" w:name="_Toc28792"/>
      <w:bookmarkStart w:id="547" w:name="_Toc26291"/>
      <w:bookmarkStart w:id="548" w:name="_Toc33695053"/>
      <w:r>
        <w:rPr>
          <w:rFonts w:hint="eastAsia"/>
        </w:rPr>
        <w:t>3.5 投标文件的澄清和补正</w:t>
      </w:r>
      <w:bookmarkEnd w:id="541"/>
      <w:bookmarkEnd w:id="542"/>
      <w:bookmarkEnd w:id="543"/>
      <w:bookmarkEnd w:id="544"/>
      <w:bookmarkEnd w:id="545"/>
      <w:bookmarkEnd w:id="546"/>
      <w:bookmarkEnd w:id="547"/>
      <w:bookmarkEnd w:id="548"/>
    </w:p>
    <w:p w14:paraId="407D123B">
      <w:pPr>
        <w:spacing w:line="360" w:lineRule="auto"/>
        <w:ind w:firstLine="420" w:firstLineChars="200"/>
        <w:rPr>
          <w:rFonts w:hint="eastAsia" w:ascii="宋体" w:hAnsi="宋体" w:cs="宋体"/>
          <w:u w:val="single"/>
        </w:rPr>
      </w:pPr>
      <w:r>
        <w:rPr>
          <w:rFonts w:hint="eastAsia" w:ascii="宋体" w:hAnsi="宋体" w:cs="宋体"/>
          <w:u w:val="single"/>
        </w:rPr>
        <w:t>3.5.1 为有助于投标文件的审查、评价和比较，评标期间，经评标委员会中两人以上（含两人）的成员以书面形式提出动议，评标委员会应当书面发出澄清通知，要求投标人对投标文件含义不明确的内容作出澄清。</w:t>
      </w:r>
    </w:p>
    <w:p w14:paraId="5C4F6E0A">
      <w:pPr>
        <w:spacing w:line="360" w:lineRule="auto"/>
        <w:ind w:firstLine="420" w:firstLineChars="200"/>
        <w:rPr>
          <w:rFonts w:hint="eastAsia" w:ascii="宋体" w:hAnsi="宋体" w:cs="宋体"/>
          <w:u w:val="single"/>
        </w:rPr>
      </w:pPr>
      <w:r>
        <w:rPr>
          <w:rFonts w:hint="eastAsia" w:ascii="宋体" w:hAnsi="宋体" w:cs="宋体"/>
          <w:u w:val="single"/>
        </w:rPr>
        <w:t>3.5.2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相应评审的依据。</w:t>
      </w:r>
    </w:p>
    <w:p w14:paraId="16E29B25">
      <w:pPr>
        <w:spacing w:line="360" w:lineRule="auto"/>
        <w:ind w:firstLine="396" w:firstLineChars="200"/>
        <w:rPr>
          <w:rFonts w:hint="eastAsia" w:ascii="宋体" w:hAnsi="宋体" w:cs="宋体"/>
          <w:spacing w:val="-6"/>
          <w:u w:val="single"/>
        </w:rPr>
      </w:pPr>
      <w:r>
        <w:rPr>
          <w:rFonts w:hint="eastAsia" w:ascii="宋体" w:hAnsi="宋体" w:cs="宋体"/>
          <w:spacing w:val="-6"/>
          <w:u w:val="single"/>
        </w:rPr>
        <w:t>3.5.3 评标委员会成员均应当阅读投标人的澄清，但应独立参考澄清对投标文件进行评审。</w:t>
      </w:r>
    </w:p>
    <w:p w14:paraId="443975C0">
      <w:pPr>
        <w:spacing w:line="360" w:lineRule="auto"/>
        <w:ind w:firstLine="420" w:firstLineChars="200"/>
        <w:rPr>
          <w:rFonts w:hint="eastAsia" w:ascii="宋体" w:hAnsi="宋体" w:cs="宋体"/>
          <w:u w:val="single"/>
        </w:rPr>
      </w:pPr>
      <w:r>
        <w:rPr>
          <w:rFonts w:hint="eastAsia" w:ascii="宋体" w:hAnsi="宋体" w:cs="宋体"/>
          <w:u w:val="single"/>
        </w:rPr>
        <w:t>3.5.4 如果投标文件实质上不响应招标文件的各项要求，评标委员会相应评审将按照响应性审查标准予以拒绝，不接受投标人通过修改或撤销其不符合要求的差异或保留，使之成为具有响应性的投标。</w:t>
      </w:r>
    </w:p>
    <w:p w14:paraId="377DF46C">
      <w:pPr>
        <w:pStyle w:val="4"/>
        <w:rPr>
          <w:rFonts w:hint="eastAsia"/>
        </w:rPr>
      </w:pPr>
      <w:bookmarkStart w:id="549" w:name="_Toc87238956"/>
      <w:bookmarkStart w:id="550" w:name="_Toc27953"/>
      <w:bookmarkStart w:id="551" w:name="_Toc134304589"/>
      <w:bookmarkStart w:id="552" w:name="_Toc33695054"/>
      <w:bookmarkStart w:id="553" w:name="_Toc13739"/>
      <w:bookmarkStart w:id="554" w:name="_Toc15798"/>
      <w:bookmarkStart w:id="555" w:name="_Toc19558"/>
      <w:bookmarkStart w:id="556" w:name="_Toc2675449"/>
      <w:r>
        <w:rPr>
          <w:rFonts w:hint="eastAsia"/>
        </w:rPr>
        <w:t>3.6 评标结果</w:t>
      </w:r>
      <w:bookmarkEnd w:id="549"/>
      <w:bookmarkEnd w:id="550"/>
      <w:bookmarkEnd w:id="551"/>
      <w:bookmarkEnd w:id="552"/>
      <w:bookmarkEnd w:id="553"/>
      <w:bookmarkEnd w:id="554"/>
      <w:bookmarkEnd w:id="555"/>
      <w:bookmarkEnd w:id="556"/>
    </w:p>
    <w:p w14:paraId="718B6322">
      <w:pPr>
        <w:spacing w:line="360" w:lineRule="auto"/>
        <w:ind w:firstLine="420" w:firstLineChars="200"/>
        <w:rPr>
          <w:rFonts w:hint="eastAsia" w:ascii="宋体" w:hAnsi="宋体" w:cs="宋体"/>
          <w:u w:val="single"/>
        </w:rPr>
      </w:pPr>
      <w:r>
        <w:rPr>
          <w:rFonts w:hint="eastAsia" w:ascii="宋体" w:hAnsi="宋体" w:cs="宋体"/>
          <w:u w:val="single"/>
        </w:rPr>
        <w:t>3.6.1 除第二章“投标人须知”前附表授权直接确定中标人外，评标委员会按照得分由高到低的顺序推荐中标候选人。</w:t>
      </w:r>
    </w:p>
    <w:p w14:paraId="3E2D7EAB">
      <w:pPr>
        <w:spacing w:line="360" w:lineRule="auto"/>
        <w:ind w:firstLine="420" w:firstLineChars="200"/>
        <w:rPr>
          <w:rFonts w:hint="eastAsia" w:ascii="宋体" w:hAnsi="宋体" w:cs="宋体"/>
          <w:u w:val="single"/>
        </w:rPr>
      </w:pPr>
      <w:r>
        <w:rPr>
          <w:rFonts w:hint="eastAsia" w:ascii="宋体" w:hAnsi="宋体" w:cs="宋体"/>
          <w:u w:val="single"/>
        </w:rPr>
        <w:t>3.6.2 评标委员会完成评标后，应当向招标人提交书面评标报告。</w:t>
      </w:r>
    </w:p>
    <w:p w14:paraId="39CD155D">
      <w:pPr>
        <w:spacing w:line="360" w:lineRule="auto"/>
        <w:ind w:firstLine="420" w:firstLineChars="200"/>
        <w:rPr>
          <w:rFonts w:hint="eastAsia" w:ascii="宋体" w:hAnsi="宋体" w:cs="宋体"/>
          <w:u w:val="single"/>
        </w:rPr>
      </w:pPr>
      <w:r>
        <w:rPr>
          <w:rFonts w:hint="eastAsia" w:ascii="宋体" w:hAnsi="宋体" w:cs="宋体"/>
          <w:u w:val="single"/>
        </w:rPr>
        <w:t>3.6.3 投标人如在本项目中存在串通投标、弄虚作假、行贿情形且在评标过程中未被发现的，其投标不改变本项目评标结果排序。招标人按照《中华人民共和国招标投标法实施条例》第五十五条的规定确定中标人或重新招标。</w:t>
      </w:r>
    </w:p>
    <w:p w14:paraId="46F009FF">
      <w:pPr>
        <w:spacing w:line="360" w:lineRule="auto"/>
        <w:ind w:firstLine="420" w:firstLineChars="200"/>
      </w:pPr>
      <w:r>
        <w:br w:type="page"/>
      </w:r>
    </w:p>
    <w:p w14:paraId="5964825A">
      <w:pPr>
        <w:pStyle w:val="25"/>
      </w:pPr>
    </w:p>
    <w:p w14:paraId="36FC1B30">
      <w:pPr>
        <w:pStyle w:val="25"/>
      </w:pPr>
    </w:p>
    <w:p w14:paraId="29B4FF77">
      <w:pPr>
        <w:pStyle w:val="3"/>
        <w:rPr>
          <w:rFonts w:hint="eastAsia"/>
        </w:rPr>
      </w:pPr>
      <w:bookmarkStart w:id="557" w:name="_Toc134304590"/>
      <w:r>
        <w:rPr>
          <w:rFonts w:hint="eastAsia"/>
        </w:rPr>
        <w:t>第四章 合同条款及格式</w:t>
      </w:r>
      <w:bookmarkEnd w:id="469"/>
      <w:bookmarkEnd w:id="470"/>
      <w:bookmarkEnd w:id="471"/>
      <w:bookmarkEnd w:id="472"/>
      <w:bookmarkEnd w:id="473"/>
      <w:bookmarkEnd w:id="474"/>
      <w:bookmarkEnd w:id="557"/>
      <w:bookmarkStart w:id="558" w:name="_Toc184635097"/>
      <w:bookmarkStart w:id="559" w:name="_Toc152045610"/>
      <w:bookmarkStart w:id="560" w:name="_Toc247527635"/>
      <w:bookmarkStart w:id="561" w:name="_Toc247514034"/>
      <w:bookmarkStart w:id="562" w:name="_Toc152042388"/>
      <w:bookmarkStart w:id="563" w:name="_Toc144974578"/>
    </w:p>
    <w:p w14:paraId="74451F6E">
      <w:pPr>
        <w:jc w:val="center"/>
        <w:rPr>
          <w:rFonts w:hint="eastAsia" w:eastAsia="宋体"/>
          <w:b/>
          <w:bCs/>
          <w:kern w:val="44"/>
          <w:sz w:val="44"/>
          <w:szCs w:val="44"/>
          <w:lang w:val="en-US" w:eastAsia="zh-CN"/>
        </w:rPr>
      </w:pPr>
      <w:r>
        <w:rPr>
          <w:rFonts w:hint="eastAsia"/>
          <w:b/>
          <w:bCs/>
          <w:kern w:val="44"/>
          <w:sz w:val="44"/>
          <w:szCs w:val="44"/>
          <w:lang w:val="en-US" w:eastAsia="zh-CN"/>
        </w:rPr>
        <w:t>(另册)</w:t>
      </w:r>
    </w:p>
    <w:p w14:paraId="20DAD9D1">
      <w:pPr>
        <w:jc w:val="center"/>
        <w:rPr>
          <w:rFonts w:hint="eastAsia" w:ascii="宋体" w:hAnsi="宋体" w:cs="宋体"/>
        </w:rPr>
      </w:pPr>
      <w:r>
        <w:rPr>
          <w:rFonts w:hint="eastAsia" w:ascii="宋体" w:hAnsi="宋体" w:cs="宋体"/>
        </w:rPr>
        <w:br w:type="page"/>
      </w:r>
    </w:p>
    <w:p w14:paraId="151889FF">
      <w:pPr>
        <w:pStyle w:val="14"/>
      </w:pPr>
    </w:p>
    <w:p w14:paraId="565B7F5F">
      <w:pPr>
        <w:topLinePunct/>
        <w:spacing w:line="440" w:lineRule="exact"/>
        <w:ind w:firstLine="420"/>
        <w:jc w:val="center"/>
        <w:rPr>
          <w:rFonts w:hint="eastAsia" w:ascii="宋体" w:hAnsi="宋体" w:cs="宋体"/>
        </w:rPr>
      </w:pPr>
    </w:p>
    <w:p w14:paraId="0C8D5809">
      <w:pPr>
        <w:spacing w:line="400" w:lineRule="exact"/>
        <w:ind w:firstLine="420"/>
        <w:rPr>
          <w:rFonts w:hint="eastAsia" w:ascii="宋体" w:hAnsi="宋体" w:cs="宋体"/>
        </w:rPr>
      </w:pPr>
    </w:p>
    <w:p w14:paraId="73137DA9">
      <w:pPr>
        <w:spacing w:line="400" w:lineRule="exact"/>
        <w:ind w:firstLine="420"/>
        <w:rPr>
          <w:rFonts w:hint="eastAsia" w:ascii="宋体" w:hAnsi="宋体" w:cs="宋体"/>
        </w:rPr>
      </w:pPr>
    </w:p>
    <w:p w14:paraId="1A5C6EDE">
      <w:pPr>
        <w:pStyle w:val="25"/>
      </w:pPr>
    </w:p>
    <w:bookmarkEnd w:id="558"/>
    <w:bookmarkEnd w:id="559"/>
    <w:bookmarkEnd w:id="560"/>
    <w:bookmarkEnd w:id="561"/>
    <w:bookmarkEnd w:id="562"/>
    <w:bookmarkEnd w:id="563"/>
    <w:p w14:paraId="0F7B0CE8">
      <w:pPr>
        <w:spacing w:line="400" w:lineRule="exact"/>
        <w:ind w:firstLine="420"/>
        <w:rPr>
          <w:rFonts w:hint="eastAsia" w:ascii="宋体" w:hAnsi="宋体" w:cs="宋体"/>
        </w:rPr>
      </w:pPr>
    </w:p>
    <w:p w14:paraId="07806019">
      <w:pPr>
        <w:spacing w:line="400" w:lineRule="exact"/>
        <w:ind w:firstLine="420"/>
        <w:rPr>
          <w:rFonts w:hint="eastAsia" w:ascii="宋体" w:hAnsi="宋体" w:cs="宋体"/>
        </w:rPr>
      </w:pPr>
    </w:p>
    <w:p w14:paraId="42A69F8B">
      <w:pPr>
        <w:pStyle w:val="3"/>
      </w:pPr>
      <w:bookmarkStart w:id="564" w:name="_Toc247514232"/>
      <w:bookmarkStart w:id="565" w:name="_Toc134304591"/>
      <w:bookmarkStart w:id="566" w:name="_Toc247527819"/>
      <w:bookmarkStart w:id="567" w:name="_Toc25556"/>
      <w:r>
        <w:rPr>
          <w:rFonts w:hint="eastAsia"/>
        </w:rPr>
        <w:t>第二卷</w:t>
      </w:r>
      <w:bookmarkEnd w:id="564"/>
      <w:bookmarkEnd w:id="565"/>
      <w:bookmarkEnd w:id="566"/>
    </w:p>
    <w:p w14:paraId="6A356170">
      <w:pPr>
        <w:spacing w:line="400" w:lineRule="exact"/>
        <w:ind w:firstLine="420"/>
        <w:rPr>
          <w:rFonts w:hint="eastAsia" w:ascii="宋体" w:hAnsi="宋体" w:cs="宋体"/>
        </w:rPr>
      </w:pPr>
    </w:p>
    <w:p w14:paraId="38DA3B6F">
      <w:pPr>
        <w:spacing w:line="400" w:lineRule="exact"/>
        <w:ind w:firstLine="420"/>
        <w:rPr>
          <w:rFonts w:hint="eastAsia" w:ascii="宋体" w:hAnsi="宋体" w:cs="宋体"/>
        </w:rPr>
      </w:pPr>
    </w:p>
    <w:p w14:paraId="29725CAA">
      <w:pPr>
        <w:spacing w:line="400" w:lineRule="exact"/>
        <w:ind w:firstLine="420"/>
        <w:rPr>
          <w:szCs w:val="20"/>
        </w:rPr>
      </w:pPr>
      <w:r>
        <w:rPr>
          <w:rFonts w:hint="eastAsia" w:ascii="宋体" w:hAnsi="宋体" w:cs="宋体"/>
        </w:rPr>
        <w:br w:type="page"/>
      </w:r>
      <w:bookmarkEnd w:id="567"/>
    </w:p>
    <w:p w14:paraId="273EEA3F">
      <w:pPr>
        <w:spacing w:line="440" w:lineRule="exact"/>
        <w:ind w:firstLine="400"/>
        <w:jc w:val="center"/>
        <w:rPr>
          <w:rFonts w:hint="eastAsia" w:ascii="宋体" w:hAnsi="宋体" w:cs="宋体"/>
          <w:sz w:val="20"/>
          <w:szCs w:val="20"/>
        </w:rPr>
      </w:pPr>
    </w:p>
    <w:p w14:paraId="5AD69084">
      <w:pPr>
        <w:spacing w:line="440" w:lineRule="exact"/>
        <w:ind w:firstLine="400"/>
        <w:jc w:val="center"/>
        <w:rPr>
          <w:rFonts w:hint="eastAsia" w:ascii="宋体" w:hAnsi="宋体" w:cs="宋体"/>
          <w:sz w:val="20"/>
          <w:szCs w:val="20"/>
        </w:rPr>
      </w:pPr>
    </w:p>
    <w:p w14:paraId="5F3D48A8">
      <w:pPr>
        <w:pStyle w:val="3"/>
      </w:pPr>
      <w:bookmarkStart w:id="568" w:name="_Toc144974851"/>
      <w:bookmarkStart w:id="569" w:name="_Toc247527820"/>
      <w:bookmarkStart w:id="570" w:name="_Toc152042571"/>
      <w:bookmarkStart w:id="571" w:name="_Toc152045782"/>
      <w:bookmarkStart w:id="572" w:name="_Toc247514233"/>
      <w:bookmarkStart w:id="573" w:name="_Toc16616"/>
      <w:bookmarkStart w:id="574" w:name="_Toc134304592"/>
      <w:r>
        <w:rPr>
          <w:rFonts w:hint="eastAsia"/>
        </w:rPr>
        <w:t xml:space="preserve">第五章  </w:t>
      </w:r>
      <w:bookmarkEnd w:id="568"/>
      <w:bookmarkEnd w:id="569"/>
      <w:bookmarkEnd w:id="570"/>
      <w:bookmarkEnd w:id="571"/>
      <w:bookmarkEnd w:id="572"/>
      <w:r>
        <w:rPr>
          <w:rFonts w:hint="eastAsia"/>
        </w:rPr>
        <w:t>招标人要求</w:t>
      </w:r>
      <w:bookmarkEnd w:id="573"/>
      <w:bookmarkEnd w:id="574"/>
    </w:p>
    <w:p w14:paraId="01063839">
      <w:pPr>
        <w:widowControl/>
        <w:spacing w:line="360" w:lineRule="auto"/>
        <w:ind w:firstLine="420" w:firstLineChars="200"/>
        <w:jc w:val="left"/>
        <w:rPr>
          <w:rFonts w:hint="eastAsia" w:ascii="宋体" w:hAnsi="宋体" w:eastAsia="宋体" w:cs="宋体"/>
          <w:sz w:val="21"/>
          <w:u w:val="single"/>
          <w:lang w:bidi="ar"/>
        </w:rPr>
      </w:pPr>
      <w:r>
        <w:rPr>
          <w:rFonts w:hint="eastAsia" w:ascii="宋体" w:hAnsi="宋体" w:eastAsia="宋体" w:cs="宋体"/>
          <w:sz w:val="21"/>
          <w:u w:val="single"/>
          <w:lang w:bidi="ar"/>
        </w:rPr>
        <w:t>施工现场建筑垃圾源头减量的具体要求和建筑垃圾综合利用品的使用要求</w:t>
      </w:r>
    </w:p>
    <w:p w14:paraId="1CE479C6">
      <w:pPr>
        <w:spacing w:line="360" w:lineRule="auto"/>
        <w:ind w:right="0" w:firstLine="482" w:firstLineChars="200"/>
        <w:jc w:val="left"/>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1.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w:t>
      </w:r>
    </w:p>
    <w:p w14:paraId="545659E7">
      <w:pPr>
        <w:spacing w:line="360" w:lineRule="auto"/>
        <w:ind w:right="0" w:firstLine="482" w:firstLineChars="200"/>
        <w:jc w:val="left"/>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（1）工程概况和施工单位基本信息；</w:t>
      </w:r>
    </w:p>
    <w:p w14:paraId="14AEB009">
      <w:pPr>
        <w:spacing w:line="360" w:lineRule="auto"/>
        <w:ind w:right="0" w:firstLine="482" w:firstLineChars="200"/>
        <w:jc w:val="left"/>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（2）建筑垃圾产生量与种类；</w:t>
      </w:r>
    </w:p>
    <w:p w14:paraId="70454E83">
      <w:pPr>
        <w:spacing w:line="360" w:lineRule="auto"/>
        <w:ind w:right="0" w:firstLine="482" w:firstLineChars="200"/>
        <w:jc w:val="left"/>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（3）建筑垃圾源头减量、分类收集、综合利用、污染防治的措施和目标；</w:t>
      </w:r>
    </w:p>
    <w:p w14:paraId="769D9634">
      <w:pPr>
        <w:spacing w:line="360" w:lineRule="auto"/>
        <w:ind w:right="0" w:firstLine="482" w:firstLineChars="200"/>
        <w:jc w:val="left"/>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（4）需要外运的建筑垃圾种类、数量与运输的时间、路线、方式和运输单位；</w:t>
      </w:r>
    </w:p>
    <w:p w14:paraId="213E5571">
      <w:pPr>
        <w:spacing w:line="360" w:lineRule="auto"/>
        <w:ind w:right="0" w:firstLine="482" w:firstLineChars="200"/>
        <w:jc w:val="left"/>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（5）建筑垃圾回填、消纳、综合利用场所名称；</w:t>
      </w:r>
    </w:p>
    <w:p w14:paraId="4D61D373">
      <w:pPr>
        <w:spacing w:line="360" w:lineRule="auto"/>
        <w:ind w:right="0" w:firstLine="482" w:firstLineChars="200"/>
        <w:jc w:val="left"/>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（6）法律、法规规定的其他内容。</w:t>
      </w:r>
    </w:p>
    <w:p w14:paraId="0EACF2C3">
      <w:pPr>
        <w:spacing w:line="360" w:lineRule="auto"/>
        <w:ind w:right="0" w:firstLine="482" w:firstLineChars="200"/>
        <w:jc w:val="left"/>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2.建筑垃圾应当按照国家有关规定进行分类，实行分类收集、分类贮存、分类运输、分类处置。</w:t>
      </w:r>
    </w:p>
    <w:p w14:paraId="5EB7F902">
      <w:pPr>
        <w:spacing w:line="360" w:lineRule="auto"/>
        <w:ind w:right="0" w:firstLine="482" w:firstLineChars="200"/>
        <w:jc w:val="left"/>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3.建设单位应当建立建筑垃圾分类收集、贮存以及台账管理等制度，督促施工单位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14:paraId="3F851068">
      <w:pPr>
        <w:spacing w:line="360" w:lineRule="auto"/>
        <w:ind w:right="0" w:firstLine="482" w:firstLineChars="200"/>
        <w:jc w:val="left"/>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4.运输建筑垃圾应当遵守下列规定：</w:t>
      </w:r>
    </w:p>
    <w:p w14:paraId="2FD43E5F">
      <w:pPr>
        <w:spacing w:line="360" w:lineRule="auto"/>
        <w:ind w:right="0" w:firstLine="482" w:firstLineChars="200"/>
        <w:jc w:val="left"/>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（1）建立建筑垃圾运输管理台账；</w:t>
      </w:r>
    </w:p>
    <w:p w14:paraId="445EB0AD">
      <w:pPr>
        <w:spacing w:line="360" w:lineRule="auto"/>
        <w:ind w:right="0" w:firstLine="482" w:firstLineChars="200"/>
        <w:jc w:val="left"/>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（2）不得将工程渣土、工程泥浆与其他建筑垃圾混合运输；</w:t>
      </w:r>
    </w:p>
    <w:p w14:paraId="1CAC07C2">
      <w:pPr>
        <w:spacing w:line="360" w:lineRule="auto"/>
        <w:ind w:right="0" w:firstLine="482" w:firstLineChars="200"/>
        <w:jc w:val="left"/>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（3）保持运输车辆、船舶等运输工具的行驶记录、卫星定位等电子装置正常使用；</w:t>
      </w:r>
    </w:p>
    <w:p w14:paraId="561CAB99">
      <w:pPr>
        <w:spacing w:line="360" w:lineRule="auto"/>
        <w:ind w:right="0" w:firstLine="482" w:firstLineChars="200"/>
        <w:jc w:val="left"/>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（4）运输过程中保持运输工具整洁，采取密闭或者其他有效措施防止遗撒建筑垃圾，不得擅自倾倒、抛撒建筑垃圾；</w:t>
      </w:r>
    </w:p>
    <w:p w14:paraId="56EA945C">
      <w:pPr>
        <w:spacing w:line="360" w:lineRule="auto"/>
        <w:ind w:right="0" w:firstLine="482" w:firstLineChars="200"/>
        <w:jc w:val="left"/>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（5）按照建筑垃圾处理方案确定的时间、路线、方式、场所进行运输。建筑垃圾运输车辆、船舶应当符合相应的载运技术条件。建筑垃圾处置场所为陆域的，不得采用开底式船舶运输建筑垃圾。</w:t>
      </w:r>
    </w:p>
    <w:p w14:paraId="73E8EEA5">
      <w:pPr>
        <w:keepNext w:val="0"/>
        <w:keepLines w:val="0"/>
        <w:pageBreakBefore w:val="0"/>
        <w:widowControl w:val="0"/>
        <w:wordWrap/>
        <w:topLinePunct w:val="0"/>
        <w:autoSpaceDE/>
        <w:autoSpaceDN/>
        <w:bidi w:val="0"/>
        <w:adjustRightInd/>
        <w:spacing w:line="360" w:lineRule="auto"/>
        <w:ind w:right="0" w:firstLine="482" w:firstLineChars="200"/>
        <w:jc w:val="left"/>
        <w:textAlignment w:val="auto"/>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5.工程泥浆应当在施工现场进行脱水固化处理。施工现场不具备条件的，应当采用罐装器具密闭运输至依法设置的建筑垃圾处置场所进行处置。水上工程中依法无需经脱水处理的除外。</w:t>
      </w:r>
    </w:p>
    <w:p w14:paraId="09274B65">
      <w:pPr>
        <w:keepNext w:val="0"/>
        <w:keepLines w:val="0"/>
        <w:pageBreakBefore w:val="0"/>
        <w:widowControl w:val="0"/>
        <w:wordWrap/>
        <w:topLinePunct w:val="0"/>
        <w:autoSpaceDE/>
        <w:autoSpaceDN/>
        <w:bidi w:val="0"/>
        <w:adjustRightInd/>
        <w:spacing w:line="360" w:lineRule="auto"/>
        <w:ind w:right="0" w:firstLine="482" w:firstLineChars="200"/>
        <w:jc w:val="left"/>
        <w:textAlignment w:val="auto"/>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6.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具备现场综合利用条件的建设工程，应当进行建筑垃圾现场综合利用。</w:t>
      </w:r>
    </w:p>
    <w:p w14:paraId="70F12376">
      <w:pPr>
        <w:ind w:firstLine="420" w:firstLineChars="0"/>
        <w:rPr>
          <w:u w:val="single"/>
        </w:rPr>
      </w:pPr>
      <w:r>
        <w:rPr>
          <w:rFonts w:hint="eastAsia" w:ascii="宋体" w:hAnsi="宋体" w:eastAsia="宋体" w:cs="宋体"/>
          <w:b/>
          <w:bCs/>
          <w:color w:val="auto"/>
          <w:sz w:val="24"/>
          <w:szCs w:val="24"/>
          <w:highlight w:val="none"/>
          <w:u w:val="single"/>
          <w:lang w:val="en-US" w:eastAsia="zh-CN"/>
        </w:rPr>
        <w:t>7.建设单位和施工单位严格遵守并执行《广东省建筑垃圾管理条例》。</w:t>
      </w:r>
    </w:p>
    <w:p w14:paraId="76372580">
      <w:pPr>
        <w:topLinePunct/>
        <w:spacing w:line="440" w:lineRule="exact"/>
        <w:ind w:firstLine="420"/>
        <w:jc w:val="center"/>
        <w:rPr>
          <w:rFonts w:hint="eastAsia" w:ascii="宋体" w:hAnsi="宋体" w:cs="宋体"/>
        </w:rPr>
      </w:pPr>
    </w:p>
    <w:p w14:paraId="173E4AD9">
      <w:pPr>
        <w:spacing w:line="400" w:lineRule="exact"/>
        <w:ind w:firstLine="420"/>
        <w:jc w:val="center"/>
        <w:rPr>
          <w:rFonts w:hint="eastAsia" w:ascii="宋体" w:hAnsi="宋体" w:cs="宋体"/>
          <w:szCs w:val="21"/>
        </w:rPr>
      </w:pPr>
      <w:r>
        <w:rPr>
          <w:rFonts w:hint="eastAsia" w:ascii="宋体" w:hAnsi="宋体" w:cs="宋体"/>
          <w:szCs w:val="21"/>
        </w:rPr>
        <w:br w:type="page"/>
      </w:r>
    </w:p>
    <w:p w14:paraId="60F28DFD">
      <w:pPr>
        <w:spacing w:line="400" w:lineRule="exact"/>
        <w:ind w:firstLine="420"/>
        <w:rPr>
          <w:rFonts w:hint="eastAsia" w:ascii="宋体" w:hAnsi="宋体" w:cs="宋体"/>
          <w:szCs w:val="21"/>
        </w:rPr>
      </w:pPr>
    </w:p>
    <w:p w14:paraId="7F225689">
      <w:pPr>
        <w:spacing w:line="360" w:lineRule="auto"/>
        <w:ind w:firstLine="420"/>
        <w:rPr>
          <w:rFonts w:hint="eastAsia" w:ascii="宋体" w:hAnsi="宋体" w:cs="宋体"/>
          <w:szCs w:val="21"/>
        </w:rPr>
      </w:pPr>
    </w:p>
    <w:p w14:paraId="2D8F67A6">
      <w:pPr>
        <w:pStyle w:val="3"/>
        <w:numPr>
          <w:ilvl w:val="0"/>
          <w:numId w:val="1"/>
        </w:numPr>
        <w:rPr>
          <w:rFonts w:hint="eastAsia"/>
        </w:rPr>
      </w:pPr>
      <w:bookmarkStart w:id="575" w:name="_Toc134304593"/>
      <w:bookmarkStart w:id="576" w:name="_Toc23943"/>
      <w:r>
        <w:rPr>
          <w:rFonts w:hint="eastAsia"/>
        </w:rPr>
        <w:t xml:space="preserve"> 招标人提供的资料</w:t>
      </w:r>
      <w:bookmarkEnd w:id="575"/>
      <w:bookmarkEnd w:id="576"/>
    </w:p>
    <w:p w14:paraId="667CDA68">
      <w:pPr>
        <w:jc w:val="center"/>
        <w:rPr>
          <w:rFonts w:hint="eastAsia" w:eastAsia="宋体"/>
          <w:b/>
          <w:bCs/>
          <w:kern w:val="44"/>
          <w:sz w:val="44"/>
          <w:szCs w:val="44"/>
          <w:lang w:val="en-US" w:eastAsia="zh-CN"/>
        </w:rPr>
      </w:pPr>
      <w:r>
        <w:rPr>
          <w:rFonts w:hint="eastAsia"/>
          <w:b/>
          <w:bCs/>
          <w:kern w:val="44"/>
          <w:sz w:val="44"/>
          <w:szCs w:val="44"/>
          <w:lang w:val="en-US" w:eastAsia="zh-CN"/>
        </w:rPr>
        <w:t>(另册)</w:t>
      </w:r>
    </w:p>
    <w:p w14:paraId="6F81830F">
      <w:pPr>
        <w:numPr>
          <w:ilvl w:val="-1"/>
          <w:numId w:val="0"/>
        </w:numPr>
      </w:pPr>
    </w:p>
    <w:p w14:paraId="454B7757">
      <w:pPr>
        <w:jc w:val="left"/>
        <w:rPr>
          <w:rFonts w:ascii="Arial" w:hAnsi="Arial" w:cs="Arial"/>
          <w:b/>
          <w:sz w:val="32"/>
          <w:szCs w:val="32"/>
        </w:rPr>
      </w:pPr>
      <w:bookmarkStart w:id="577" w:name="OLE_LINK18"/>
      <w:r>
        <w:rPr>
          <w:rFonts w:hint="eastAsia" w:ascii="Arial" w:hAnsi="Arial" w:cs="Arial"/>
          <w:b/>
          <w:sz w:val="32"/>
          <w:szCs w:val="32"/>
        </w:rPr>
        <w:br w:type="page"/>
      </w:r>
    </w:p>
    <w:bookmarkEnd w:id="577"/>
    <w:p w14:paraId="2EB4AFF3">
      <w:pPr>
        <w:spacing w:line="400" w:lineRule="exact"/>
        <w:ind w:firstLine="420"/>
        <w:rPr>
          <w:rFonts w:hint="eastAsia" w:ascii="宋体" w:hAnsi="宋体" w:cs="宋体"/>
          <w:szCs w:val="22"/>
        </w:rPr>
      </w:pPr>
    </w:p>
    <w:p w14:paraId="2848D1F6">
      <w:pPr>
        <w:spacing w:line="400" w:lineRule="exact"/>
        <w:ind w:firstLine="420"/>
        <w:rPr>
          <w:rFonts w:hint="eastAsia" w:ascii="宋体" w:hAnsi="宋体" w:cs="宋体"/>
        </w:rPr>
      </w:pPr>
    </w:p>
    <w:p w14:paraId="22D5A60B">
      <w:pPr>
        <w:spacing w:line="400" w:lineRule="exact"/>
        <w:ind w:firstLine="420"/>
        <w:rPr>
          <w:rFonts w:hint="eastAsia" w:ascii="宋体" w:hAnsi="宋体" w:cs="宋体"/>
        </w:rPr>
      </w:pPr>
      <w:bookmarkStart w:id="578" w:name="_Toc15557"/>
      <w:bookmarkStart w:id="579" w:name="_Toc247514244"/>
      <w:bookmarkStart w:id="580" w:name="_Toc247527825"/>
      <w:bookmarkStart w:id="581" w:name="_Toc144974855"/>
      <w:bookmarkStart w:id="582" w:name="_Toc152045786"/>
      <w:bookmarkStart w:id="583" w:name="_Toc152042575"/>
    </w:p>
    <w:p w14:paraId="24DB0AD8">
      <w:pPr>
        <w:pStyle w:val="3"/>
      </w:pPr>
      <w:bookmarkStart w:id="584" w:name="_Toc134304594"/>
      <w:r>
        <w:rPr>
          <w:rFonts w:hint="eastAsia"/>
        </w:rPr>
        <w:t>第三卷</w:t>
      </w:r>
      <w:bookmarkEnd w:id="584"/>
    </w:p>
    <w:p w14:paraId="10D6E375">
      <w:pPr>
        <w:spacing w:line="400" w:lineRule="exact"/>
        <w:ind w:firstLine="420"/>
        <w:rPr>
          <w:rFonts w:hint="eastAsia" w:ascii="宋体" w:hAnsi="宋体" w:cs="宋体"/>
        </w:rPr>
      </w:pPr>
    </w:p>
    <w:p w14:paraId="4775BD4F">
      <w:pPr>
        <w:spacing w:line="400" w:lineRule="exact"/>
        <w:ind w:firstLine="420"/>
        <w:rPr>
          <w:rFonts w:hint="eastAsia" w:ascii="宋体" w:hAnsi="宋体" w:cs="宋体"/>
        </w:rPr>
      </w:pPr>
    </w:p>
    <w:bookmarkEnd w:id="578"/>
    <w:bookmarkEnd w:id="579"/>
    <w:bookmarkEnd w:id="580"/>
    <w:p w14:paraId="32C7F77A">
      <w:pPr>
        <w:spacing w:line="400" w:lineRule="exact"/>
        <w:ind w:firstLine="420"/>
        <w:rPr>
          <w:rFonts w:hint="eastAsia" w:ascii="宋体" w:hAnsi="宋体" w:cs="宋体"/>
        </w:rPr>
      </w:pPr>
      <w:r>
        <w:rPr>
          <w:rFonts w:hint="eastAsia" w:ascii="宋体" w:hAnsi="宋体" w:cs="宋体"/>
          <w:b/>
          <w:bCs/>
          <w:sz w:val="32"/>
        </w:rPr>
        <w:br w:type="page"/>
      </w:r>
      <w:bookmarkStart w:id="585" w:name="_Toc247527826"/>
      <w:bookmarkStart w:id="586" w:name="_Toc247514245"/>
      <w:bookmarkStart w:id="587" w:name="_Toc19881"/>
    </w:p>
    <w:p w14:paraId="41785B4E">
      <w:pPr>
        <w:spacing w:line="400" w:lineRule="exact"/>
        <w:ind w:firstLine="420"/>
        <w:rPr>
          <w:rFonts w:hint="eastAsia" w:ascii="宋体" w:hAnsi="宋体" w:cs="宋体"/>
        </w:rPr>
      </w:pPr>
    </w:p>
    <w:p w14:paraId="670DD769">
      <w:pPr>
        <w:spacing w:line="400" w:lineRule="exact"/>
        <w:ind w:firstLine="420"/>
        <w:rPr>
          <w:rFonts w:hint="eastAsia" w:ascii="宋体" w:hAnsi="宋体" w:cs="宋体"/>
        </w:rPr>
      </w:pPr>
    </w:p>
    <w:p w14:paraId="27324CA8">
      <w:pPr>
        <w:spacing w:line="400" w:lineRule="exact"/>
        <w:ind w:firstLine="420"/>
        <w:rPr>
          <w:rFonts w:hint="eastAsia" w:ascii="宋体" w:hAnsi="宋体" w:cs="宋体"/>
        </w:rPr>
      </w:pPr>
    </w:p>
    <w:p w14:paraId="0DE18F8D">
      <w:pPr>
        <w:pStyle w:val="3"/>
      </w:pPr>
      <w:bookmarkStart w:id="588" w:name="_Toc134304595"/>
      <w:r>
        <w:rPr>
          <w:rFonts w:hint="eastAsia"/>
        </w:rPr>
        <w:t>第七章 投标文件格式</w:t>
      </w:r>
      <w:bookmarkEnd w:id="581"/>
      <w:bookmarkEnd w:id="582"/>
      <w:bookmarkEnd w:id="583"/>
      <w:bookmarkEnd w:id="585"/>
      <w:bookmarkEnd w:id="586"/>
      <w:bookmarkEnd w:id="587"/>
      <w:bookmarkEnd w:id="588"/>
    </w:p>
    <w:p w14:paraId="621962E4">
      <w:pPr>
        <w:spacing w:line="400" w:lineRule="exact"/>
        <w:ind w:firstLine="420"/>
        <w:rPr>
          <w:rFonts w:hint="eastAsia" w:ascii="宋体" w:hAnsi="宋体" w:cs="宋体"/>
        </w:rPr>
      </w:pPr>
    </w:p>
    <w:p w14:paraId="15D95E68">
      <w:pPr>
        <w:spacing w:line="400" w:lineRule="exact"/>
        <w:ind w:firstLine="420"/>
        <w:rPr>
          <w:rFonts w:hint="eastAsia" w:ascii="宋体" w:hAnsi="宋体" w:cs="宋体"/>
        </w:rPr>
      </w:pPr>
    </w:p>
    <w:p w14:paraId="295EC910">
      <w:pPr>
        <w:spacing w:line="400" w:lineRule="exact"/>
        <w:ind w:firstLine="420"/>
        <w:rPr>
          <w:rFonts w:hint="eastAsia" w:ascii="宋体" w:hAnsi="宋体" w:cs="宋体"/>
        </w:rPr>
      </w:pPr>
    </w:p>
    <w:p w14:paraId="44082EE7">
      <w:pPr>
        <w:spacing w:line="400" w:lineRule="exact"/>
        <w:ind w:firstLine="420"/>
        <w:rPr>
          <w:rFonts w:hint="eastAsia" w:ascii="宋体" w:hAnsi="宋体" w:cs="宋体"/>
        </w:rPr>
      </w:pPr>
    </w:p>
    <w:p w14:paraId="66F0BF42">
      <w:pPr>
        <w:spacing w:line="400" w:lineRule="exact"/>
        <w:ind w:firstLine="420"/>
        <w:rPr>
          <w:rFonts w:hint="eastAsia" w:ascii="宋体" w:hAnsi="宋体" w:cs="宋体"/>
        </w:rPr>
      </w:pPr>
    </w:p>
    <w:p w14:paraId="1F09848C">
      <w:pPr>
        <w:spacing w:line="400" w:lineRule="exact"/>
        <w:ind w:firstLine="420"/>
        <w:rPr>
          <w:rFonts w:hint="eastAsia" w:ascii="宋体" w:hAnsi="宋体" w:cs="宋体"/>
        </w:rPr>
      </w:pPr>
    </w:p>
    <w:p w14:paraId="3E59ADDE">
      <w:pPr>
        <w:spacing w:line="360" w:lineRule="auto"/>
        <w:outlineLvl w:val="1"/>
        <w:rPr>
          <w:rFonts w:hint="eastAsia" w:ascii="宋体" w:hAnsi="宋体" w:cs="宋体"/>
          <w:b/>
          <w:bCs/>
          <w:sz w:val="28"/>
          <w:szCs w:val="28"/>
        </w:rPr>
      </w:pPr>
      <w:r>
        <w:rPr>
          <w:rFonts w:hint="eastAsia" w:ascii="宋体" w:hAnsi="宋体" w:cs="宋体"/>
        </w:rPr>
        <w:br w:type="page"/>
      </w:r>
      <w:bookmarkStart w:id="589" w:name="_Toc57392563"/>
      <w:bookmarkStart w:id="590" w:name="_Toc134304596"/>
      <w:r>
        <w:rPr>
          <w:rFonts w:hint="eastAsia" w:ascii="宋体" w:hAnsi="宋体" w:cs="宋体"/>
          <w:bCs/>
          <w:sz w:val="24"/>
        </w:rPr>
        <w:t>格式1</w:t>
      </w:r>
      <w:bookmarkEnd w:id="589"/>
      <w:bookmarkEnd w:id="590"/>
    </w:p>
    <w:p w14:paraId="04E5F7D5">
      <w:pPr>
        <w:autoSpaceDE w:val="0"/>
        <w:autoSpaceDN w:val="0"/>
        <w:adjustRightInd w:val="0"/>
        <w:spacing w:line="360" w:lineRule="auto"/>
        <w:jc w:val="center"/>
        <w:rPr>
          <w:rFonts w:hint="eastAsia" w:ascii="宋体" w:hAnsi="宋体" w:cs="宋体"/>
          <w:b/>
          <w:bCs/>
          <w:sz w:val="36"/>
          <w:szCs w:val="36"/>
          <w:lang w:val="zh-CN"/>
        </w:rPr>
      </w:pPr>
      <w:r>
        <w:rPr>
          <w:rFonts w:hint="eastAsia" w:ascii="宋体" w:hAnsi="宋体" w:cs="宋体"/>
          <w:b/>
          <w:bCs/>
          <w:sz w:val="36"/>
          <w:szCs w:val="36"/>
          <w:lang w:val="zh-CN"/>
        </w:rPr>
        <w:t>投 标 书</w:t>
      </w:r>
    </w:p>
    <w:p w14:paraId="4E9223DA">
      <w:pPr>
        <w:wordWrap w:val="0"/>
        <w:autoSpaceDE w:val="0"/>
        <w:autoSpaceDN w:val="0"/>
        <w:adjustRightInd w:val="0"/>
        <w:spacing w:line="360" w:lineRule="auto"/>
        <w:jc w:val="right"/>
        <w:rPr>
          <w:rFonts w:hint="eastAsia" w:ascii="宋体" w:hAnsi="宋体" w:cs="宋体"/>
          <w:b/>
          <w:bCs/>
          <w:sz w:val="32"/>
          <w:szCs w:val="32"/>
          <w:lang w:val="zh-CN"/>
        </w:rPr>
      </w:pPr>
      <w:r>
        <w:rPr>
          <w:rFonts w:hint="eastAsia" w:ascii="宋体" w:hAnsi="宋体" w:cs="宋体"/>
          <w:b/>
          <w:sz w:val="24"/>
          <w:lang w:val="zh-CN"/>
        </w:rPr>
        <w:t xml:space="preserve">投标日期：   年  月  日  </w:t>
      </w:r>
    </w:p>
    <w:tbl>
      <w:tblPr>
        <w:tblStyle w:val="21"/>
        <w:tblW w:w="8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0"/>
        <w:gridCol w:w="2291"/>
        <w:gridCol w:w="2873"/>
      </w:tblGrid>
      <w:tr w14:paraId="27F9C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80" w:type="dxa"/>
            <w:tcBorders>
              <w:top w:val="single" w:color="auto" w:sz="4" w:space="0"/>
              <w:left w:val="single" w:color="auto" w:sz="4" w:space="0"/>
              <w:bottom w:val="single" w:color="auto" w:sz="4" w:space="0"/>
              <w:right w:val="single" w:color="auto" w:sz="4" w:space="0"/>
            </w:tcBorders>
            <w:noWrap w:val="0"/>
            <w:vAlign w:val="center"/>
          </w:tcPr>
          <w:p w14:paraId="6C859386">
            <w:pPr>
              <w:autoSpaceDE w:val="0"/>
              <w:autoSpaceDN w:val="0"/>
              <w:adjustRightInd w:val="0"/>
              <w:snapToGrid w:val="0"/>
              <w:jc w:val="center"/>
              <w:rPr>
                <w:rFonts w:hint="eastAsia" w:ascii="宋体" w:hAnsi="宋体" w:cs="宋体"/>
                <w:b/>
                <w:bCs/>
                <w:szCs w:val="21"/>
                <w:lang w:val="zh-CN"/>
              </w:rPr>
            </w:pPr>
            <w:r>
              <w:rPr>
                <w:rFonts w:hint="eastAsia" w:ascii="宋体" w:hAnsi="宋体" w:cs="宋体"/>
                <w:b/>
                <w:szCs w:val="21"/>
                <w:lang w:val="zh-CN"/>
              </w:rPr>
              <w:t>工 程 名 称</w:t>
            </w:r>
          </w:p>
        </w:tc>
        <w:tc>
          <w:tcPr>
            <w:tcW w:w="5164" w:type="dxa"/>
            <w:gridSpan w:val="2"/>
            <w:tcBorders>
              <w:top w:val="single" w:color="auto" w:sz="4" w:space="0"/>
              <w:left w:val="single" w:color="auto" w:sz="4" w:space="0"/>
              <w:bottom w:val="single" w:color="auto" w:sz="4" w:space="0"/>
              <w:right w:val="single" w:color="auto" w:sz="4" w:space="0"/>
            </w:tcBorders>
            <w:noWrap w:val="0"/>
            <w:vAlign w:val="center"/>
          </w:tcPr>
          <w:p w14:paraId="47F5E8E3">
            <w:pPr>
              <w:autoSpaceDE w:val="0"/>
              <w:autoSpaceDN w:val="0"/>
              <w:adjustRightInd w:val="0"/>
              <w:snapToGrid w:val="0"/>
              <w:rPr>
                <w:rFonts w:hint="eastAsia" w:ascii="宋体" w:hAnsi="宋体" w:cs="宋体"/>
                <w:b/>
                <w:bCs/>
                <w:szCs w:val="21"/>
                <w:lang w:val="zh-CN"/>
              </w:rPr>
            </w:pPr>
          </w:p>
        </w:tc>
      </w:tr>
      <w:tr w14:paraId="0F975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380" w:type="dxa"/>
            <w:vMerge w:val="restart"/>
            <w:tcBorders>
              <w:top w:val="single" w:color="auto" w:sz="4" w:space="0"/>
              <w:left w:val="single" w:color="auto" w:sz="4" w:space="0"/>
              <w:right w:val="single" w:color="auto" w:sz="4" w:space="0"/>
            </w:tcBorders>
            <w:noWrap w:val="0"/>
            <w:vAlign w:val="center"/>
          </w:tcPr>
          <w:p w14:paraId="78835628">
            <w:pPr>
              <w:snapToGrid w:val="0"/>
              <w:jc w:val="center"/>
              <w:rPr>
                <w:rFonts w:hint="eastAsia" w:ascii="宋体" w:hAnsi="宋体" w:cs="宋体"/>
                <w:b/>
                <w:szCs w:val="21"/>
                <w:lang w:val="zh-CN"/>
              </w:rPr>
            </w:pPr>
            <w:r>
              <w:rPr>
                <w:rFonts w:hint="eastAsia" w:ascii="宋体" w:hAnsi="宋体" w:cs="宋体"/>
                <w:b/>
                <w:szCs w:val="21"/>
                <w:lang w:val="zh-CN"/>
              </w:rPr>
              <w:t>投标总报价</w:t>
            </w:r>
          </w:p>
          <w:p w14:paraId="15A2A29D">
            <w:pPr>
              <w:snapToGrid w:val="0"/>
              <w:jc w:val="center"/>
              <w:rPr>
                <w:rFonts w:hint="eastAsia" w:ascii="宋体" w:hAnsi="宋体" w:cs="宋体"/>
                <w:b/>
                <w:szCs w:val="21"/>
                <w:lang w:val="zh-CN"/>
              </w:rPr>
            </w:pPr>
            <w:r>
              <w:rPr>
                <w:rFonts w:hint="eastAsia" w:ascii="宋体" w:hAnsi="宋体" w:cs="宋体"/>
                <w:b/>
                <w:szCs w:val="21"/>
                <w:lang w:val="zh-CN"/>
              </w:rPr>
              <w:t>（元）</w:t>
            </w:r>
          </w:p>
        </w:tc>
        <w:tc>
          <w:tcPr>
            <w:tcW w:w="5164" w:type="dxa"/>
            <w:gridSpan w:val="2"/>
            <w:tcBorders>
              <w:top w:val="single" w:color="auto" w:sz="4" w:space="0"/>
              <w:left w:val="single" w:color="auto" w:sz="4" w:space="0"/>
              <w:bottom w:val="single" w:color="auto" w:sz="4" w:space="0"/>
              <w:right w:val="single" w:color="auto" w:sz="4" w:space="0"/>
            </w:tcBorders>
            <w:noWrap w:val="0"/>
            <w:vAlign w:val="center"/>
          </w:tcPr>
          <w:p w14:paraId="53753497">
            <w:pPr>
              <w:autoSpaceDE w:val="0"/>
              <w:autoSpaceDN w:val="0"/>
              <w:adjustRightInd w:val="0"/>
              <w:snapToGrid w:val="0"/>
              <w:ind w:left="207" w:hanging="207" w:hangingChars="98"/>
              <w:rPr>
                <w:rFonts w:hint="eastAsia" w:ascii="宋体" w:hAnsi="宋体" w:cs="宋体"/>
                <w:b/>
                <w:bCs/>
                <w:szCs w:val="21"/>
                <w:u w:val="single"/>
                <w:lang w:val="zh-CN"/>
              </w:rPr>
            </w:pPr>
            <w:r>
              <w:rPr>
                <w:rFonts w:ascii="宋体" w:hAnsi="宋体" w:cs="宋体"/>
                <w:b/>
                <w:bCs/>
                <w:szCs w:val="21"/>
                <w:lang w:val="zh-CN"/>
              </w:rPr>
              <w:t>大写：</w:t>
            </w:r>
          </w:p>
          <w:p w14:paraId="5FF77DF7">
            <w:pPr>
              <w:autoSpaceDE w:val="0"/>
              <w:autoSpaceDN w:val="0"/>
              <w:adjustRightInd w:val="0"/>
              <w:snapToGrid w:val="0"/>
              <w:ind w:left="207" w:hanging="207" w:hangingChars="98"/>
              <w:rPr>
                <w:rFonts w:hint="eastAsia" w:ascii="宋体" w:hAnsi="宋体" w:cs="宋体"/>
                <w:b/>
                <w:bCs/>
                <w:szCs w:val="21"/>
                <w:lang w:val="zh-CN"/>
              </w:rPr>
            </w:pPr>
            <w:r>
              <w:rPr>
                <w:rFonts w:hint="eastAsia" w:ascii="宋体" w:hAnsi="宋体" w:cs="宋体"/>
                <w:b/>
                <w:bCs/>
                <w:szCs w:val="21"/>
                <w:lang w:val="zh-CN"/>
              </w:rPr>
              <w:t>小写：</w:t>
            </w:r>
          </w:p>
        </w:tc>
      </w:tr>
      <w:tr w14:paraId="6AFE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3380" w:type="dxa"/>
            <w:vMerge w:val="continue"/>
            <w:tcBorders>
              <w:left w:val="single" w:color="auto" w:sz="4" w:space="0"/>
              <w:right w:val="single" w:color="auto" w:sz="4" w:space="0"/>
            </w:tcBorders>
            <w:noWrap w:val="0"/>
            <w:vAlign w:val="center"/>
          </w:tcPr>
          <w:p w14:paraId="1F674517">
            <w:pPr>
              <w:snapToGrid w:val="0"/>
              <w:jc w:val="center"/>
              <w:rPr>
                <w:rFonts w:hint="eastAsia" w:ascii="宋体" w:hAnsi="宋体" w:cs="宋体"/>
                <w:b/>
                <w:szCs w:val="21"/>
                <w:lang w:val="zh-CN"/>
              </w:rPr>
            </w:pPr>
          </w:p>
        </w:tc>
        <w:tc>
          <w:tcPr>
            <w:tcW w:w="5164" w:type="dxa"/>
            <w:gridSpan w:val="2"/>
            <w:tcBorders>
              <w:top w:val="single" w:color="auto" w:sz="4" w:space="0"/>
              <w:left w:val="single" w:color="auto" w:sz="4" w:space="0"/>
              <w:bottom w:val="single" w:color="auto" w:sz="4" w:space="0"/>
              <w:right w:val="single" w:color="auto" w:sz="4" w:space="0"/>
            </w:tcBorders>
            <w:noWrap w:val="0"/>
            <w:vAlign w:val="center"/>
          </w:tcPr>
          <w:p w14:paraId="5DE1570A">
            <w:pPr>
              <w:autoSpaceDE w:val="0"/>
              <w:autoSpaceDN w:val="0"/>
              <w:adjustRightInd w:val="0"/>
              <w:snapToGrid w:val="0"/>
              <w:ind w:left="207" w:hanging="207" w:hangingChars="98"/>
              <w:rPr>
                <w:rFonts w:hint="eastAsia" w:ascii="宋体" w:hAnsi="宋体" w:cs="宋体"/>
                <w:b/>
                <w:bCs/>
                <w:szCs w:val="21"/>
                <w:lang w:val="zh-CN"/>
              </w:rPr>
            </w:pPr>
            <w:r>
              <w:rPr>
                <w:rFonts w:hint="eastAsia" w:ascii="宋体" w:hAnsi="宋体" w:cs="宋体"/>
                <w:b/>
                <w:bCs/>
                <w:szCs w:val="21"/>
                <w:lang w:val="zh-CN"/>
              </w:rPr>
              <w:t>其中，设计费报价：</w:t>
            </w:r>
          </w:p>
          <w:p w14:paraId="7452D950">
            <w:pPr>
              <w:autoSpaceDE w:val="0"/>
              <w:autoSpaceDN w:val="0"/>
              <w:adjustRightInd w:val="0"/>
              <w:snapToGrid w:val="0"/>
              <w:ind w:left="207" w:hanging="207" w:hangingChars="98"/>
              <w:rPr>
                <w:rFonts w:hint="eastAsia" w:ascii="宋体" w:hAnsi="宋体" w:cs="宋体"/>
                <w:b/>
                <w:bCs/>
                <w:szCs w:val="21"/>
                <w:lang w:val="zh-CN"/>
              </w:rPr>
            </w:pPr>
            <w:r>
              <w:rPr>
                <w:rFonts w:hint="eastAsia" w:ascii="宋体" w:hAnsi="宋体" w:cs="宋体"/>
                <w:b/>
                <w:bCs/>
                <w:szCs w:val="21"/>
                <w:lang w:val="zh-CN"/>
              </w:rPr>
              <w:t>大写：</w:t>
            </w:r>
          </w:p>
          <w:p w14:paraId="0BB9B31F">
            <w:pPr>
              <w:autoSpaceDE w:val="0"/>
              <w:autoSpaceDN w:val="0"/>
              <w:adjustRightInd w:val="0"/>
              <w:snapToGrid w:val="0"/>
              <w:ind w:left="207" w:hanging="207" w:hangingChars="98"/>
              <w:rPr>
                <w:rFonts w:hint="eastAsia" w:ascii="宋体" w:hAnsi="宋体" w:cs="宋体"/>
                <w:b/>
                <w:bCs/>
                <w:szCs w:val="21"/>
                <w:lang w:val="zh-CN"/>
              </w:rPr>
            </w:pPr>
            <w:r>
              <w:rPr>
                <w:rFonts w:hint="eastAsia" w:ascii="宋体" w:hAnsi="宋体" w:cs="宋体"/>
                <w:b/>
                <w:bCs/>
                <w:szCs w:val="21"/>
                <w:lang w:val="zh-CN"/>
              </w:rPr>
              <w:t>小写：</w:t>
            </w:r>
          </w:p>
          <w:p w14:paraId="32404086">
            <w:pPr>
              <w:autoSpaceDE w:val="0"/>
              <w:autoSpaceDN w:val="0"/>
              <w:adjustRightInd w:val="0"/>
              <w:snapToGrid w:val="0"/>
              <w:ind w:left="207" w:hanging="207" w:hangingChars="98"/>
              <w:rPr>
                <w:rFonts w:hint="eastAsia" w:ascii="宋体" w:hAnsi="宋体" w:cs="宋体"/>
                <w:b/>
                <w:bCs/>
                <w:szCs w:val="21"/>
                <w:lang w:val="zh-CN"/>
              </w:rPr>
            </w:pPr>
            <w:r>
              <w:rPr>
                <w:rFonts w:hint="eastAsia" w:ascii="宋体" w:hAnsi="宋体" w:cs="宋体"/>
                <w:b/>
                <w:bCs/>
                <w:szCs w:val="21"/>
                <w:lang w:val="zh-CN"/>
              </w:rPr>
              <w:t xml:space="preserve">设计费下浮率（%）：    %  </w:t>
            </w:r>
          </w:p>
        </w:tc>
      </w:tr>
      <w:tr w14:paraId="7849F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3380" w:type="dxa"/>
            <w:vMerge w:val="continue"/>
            <w:tcBorders>
              <w:left w:val="single" w:color="auto" w:sz="4" w:space="0"/>
              <w:right w:val="single" w:color="auto" w:sz="4" w:space="0"/>
            </w:tcBorders>
            <w:noWrap w:val="0"/>
            <w:vAlign w:val="center"/>
          </w:tcPr>
          <w:p w14:paraId="2ADC8A2B">
            <w:pPr>
              <w:snapToGrid w:val="0"/>
              <w:jc w:val="center"/>
              <w:rPr>
                <w:rFonts w:hint="eastAsia" w:ascii="宋体" w:hAnsi="宋体" w:cs="宋体"/>
                <w:b/>
                <w:szCs w:val="21"/>
                <w:lang w:val="zh-CN"/>
              </w:rPr>
            </w:pPr>
          </w:p>
        </w:tc>
        <w:tc>
          <w:tcPr>
            <w:tcW w:w="5164" w:type="dxa"/>
            <w:gridSpan w:val="2"/>
            <w:tcBorders>
              <w:top w:val="single" w:color="auto" w:sz="4" w:space="0"/>
              <w:left w:val="single" w:color="auto" w:sz="4" w:space="0"/>
              <w:bottom w:val="single" w:color="auto" w:sz="4" w:space="0"/>
              <w:right w:val="single" w:color="auto" w:sz="4" w:space="0"/>
            </w:tcBorders>
            <w:noWrap w:val="0"/>
            <w:vAlign w:val="center"/>
          </w:tcPr>
          <w:p w14:paraId="0973DFC9">
            <w:pPr>
              <w:autoSpaceDE w:val="0"/>
              <w:autoSpaceDN w:val="0"/>
              <w:adjustRightInd w:val="0"/>
              <w:snapToGrid w:val="0"/>
              <w:ind w:left="207" w:hanging="207" w:hangingChars="98"/>
              <w:rPr>
                <w:rFonts w:hint="eastAsia" w:ascii="宋体" w:hAnsi="宋体" w:cs="宋体"/>
                <w:b/>
                <w:bCs/>
                <w:szCs w:val="21"/>
                <w:lang w:val="zh-CN"/>
              </w:rPr>
            </w:pPr>
            <w:r>
              <w:rPr>
                <w:rFonts w:hint="eastAsia" w:ascii="宋体" w:hAnsi="宋体" w:cs="宋体"/>
                <w:b/>
                <w:bCs/>
                <w:szCs w:val="21"/>
                <w:lang w:val="zh-CN"/>
              </w:rPr>
              <w:t>其中，施工费报价：</w:t>
            </w:r>
          </w:p>
          <w:p w14:paraId="16050DDF">
            <w:pPr>
              <w:autoSpaceDE w:val="0"/>
              <w:autoSpaceDN w:val="0"/>
              <w:adjustRightInd w:val="0"/>
              <w:snapToGrid w:val="0"/>
              <w:ind w:left="207" w:hanging="207" w:hangingChars="98"/>
              <w:rPr>
                <w:rFonts w:hint="eastAsia" w:ascii="宋体" w:hAnsi="宋体" w:cs="宋体"/>
                <w:b/>
                <w:bCs/>
                <w:szCs w:val="21"/>
                <w:lang w:val="zh-CN"/>
              </w:rPr>
            </w:pPr>
            <w:r>
              <w:rPr>
                <w:rFonts w:ascii="宋体" w:hAnsi="宋体" w:cs="宋体"/>
                <w:b/>
                <w:bCs/>
                <w:szCs w:val="21"/>
                <w:lang w:val="zh-CN"/>
              </w:rPr>
              <w:t>大写：</w:t>
            </w:r>
          </w:p>
          <w:p w14:paraId="453D1308">
            <w:pPr>
              <w:autoSpaceDE w:val="0"/>
              <w:autoSpaceDN w:val="0"/>
              <w:adjustRightInd w:val="0"/>
              <w:snapToGrid w:val="0"/>
              <w:ind w:left="207" w:hanging="207" w:hangingChars="98"/>
              <w:rPr>
                <w:rFonts w:hint="eastAsia" w:ascii="宋体" w:hAnsi="宋体" w:cs="宋体"/>
                <w:b/>
                <w:bCs/>
                <w:szCs w:val="21"/>
                <w:lang w:val="zh-CN"/>
              </w:rPr>
            </w:pPr>
            <w:r>
              <w:rPr>
                <w:rFonts w:hint="eastAsia" w:ascii="宋体" w:hAnsi="宋体" w:cs="宋体"/>
                <w:b/>
                <w:bCs/>
                <w:szCs w:val="21"/>
                <w:lang w:val="zh-CN"/>
              </w:rPr>
              <w:t>小写：</w:t>
            </w:r>
          </w:p>
          <w:p w14:paraId="116ADBF9">
            <w:pPr>
              <w:autoSpaceDE w:val="0"/>
              <w:autoSpaceDN w:val="0"/>
              <w:adjustRightInd w:val="0"/>
              <w:snapToGrid w:val="0"/>
              <w:ind w:left="207" w:hanging="207" w:hangingChars="98"/>
              <w:rPr>
                <w:rFonts w:hint="eastAsia" w:ascii="宋体" w:hAnsi="宋体" w:cs="宋体"/>
                <w:b/>
                <w:bCs/>
                <w:szCs w:val="21"/>
                <w:lang w:val="zh-CN"/>
              </w:rPr>
            </w:pPr>
            <w:r>
              <w:rPr>
                <w:rFonts w:hint="eastAsia" w:ascii="宋体" w:hAnsi="宋体" w:cs="宋体"/>
                <w:b/>
                <w:bCs/>
                <w:szCs w:val="21"/>
                <w:lang w:val="zh-CN"/>
              </w:rPr>
              <w:t>施工费下浮率（%）：</w:t>
            </w:r>
            <w:r>
              <w:rPr>
                <w:rFonts w:hint="eastAsia" w:ascii="宋体" w:hAnsi="宋体" w:cs="宋体"/>
                <w:b/>
                <w:bCs/>
                <w:szCs w:val="21"/>
                <w:u w:val="single"/>
                <w:lang w:val="zh-CN"/>
              </w:rPr>
              <w:t xml:space="preserve">    %  </w:t>
            </w:r>
          </w:p>
        </w:tc>
      </w:tr>
      <w:tr w14:paraId="60170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80" w:type="dxa"/>
            <w:tcBorders>
              <w:top w:val="single" w:color="auto" w:sz="4" w:space="0"/>
              <w:left w:val="single" w:color="auto" w:sz="4" w:space="0"/>
              <w:right w:val="single" w:color="auto" w:sz="4" w:space="0"/>
            </w:tcBorders>
            <w:noWrap w:val="0"/>
            <w:vAlign w:val="center"/>
          </w:tcPr>
          <w:p w14:paraId="1D9AE000">
            <w:pPr>
              <w:snapToGrid w:val="0"/>
              <w:jc w:val="center"/>
              <w:rPr>
                <w:rFonts w:hint="eastAsia" w:ascii="宋体" w:hAnsi="宋体" w:cs="宋体"/>
                <w:b/>
                <w:szCs w:val="21"/>
                <w:lang w:val="zh-CN"/>
              </w:rPr>
            </w:pPr>
            <w:r>
              <w:rPr>
                <w:rFonts w:hint="eastAsia" w:ascii="宋体" w:hAnsi="宋体" w:cs="宋体"/>
                <w:b/>
                <w:szCs w:val="21"/>
                <w:lang w:val="zh-CN"/>
              </w:rPr>
              <w:t>投标总工期</w:t>
            </w:r>
            <w:r>
              <w:rPr>
                <w:rFonts w:hint="eastAsia" w:ascii="宋体" w:hAnsi="宋体" w:cs="宋体"/>
                <w:b/>
                <w:bCs/>
                <w:szCs w:val="21"/>
                <w:lang w:val="zh-CN"/>
              </w:rPr>
              <w:t>（含设计工期）</w:t>
            </w:r>
          </w:p>
          <w:p w14:paraId="276CB269">
            <w:pPr>
              <w:snapToGrid w:val="0"/>
              <w:jc w:val="center"/>
              <w:rPr>
                <w:rFonts w:hint="eastAsia" w:ascii="宋体" w:hAnsi="宋体" w:cs="宋体"/>
                <w:b/>
                <w:szCs w:val="21"/>
                <w:lang w:val="zh-CN"/>
              </w:rPr>
            </w:pPr>
            <w:r>
              <w:rPr>
                <w:rFonts w:hint="eastAsia" w:ascii="宋体" w:hAnsi="宋体" w:cs="宋体"/>
                <w:b/>
                <w:szCs w:val="21"/>
                <w:lang w:val="zh-CN"/>
              </w:rPr>
              <w:t>（日历天）</w:t>
            </w:r>
          </w:p>
        </w:tc>
        <w:tc>
          <w:tcPr>
            <w:tcW w:w="5164" w:type="dxa"/>
            <w:gridSpan w:val="2"/>
            <w:tcBorders>
              <w:top w:val="single" w:color="auto" w:sz="4" w:space="0"/>
              <w:left w:val="single" w:color="auto" w:sz="4" w:space="0"/>
              <w:bottom w:val="single" w:color="auto" w:sz="4" w:space="0"/>
              <w:right w:val="single" w:color="auto" w:sz="4" w:space="0"/>
            </w:tcBorders>
            <w:noWrap w:val="0"/>
            <w:vAlign w:val="center"/>
          </w:tcPr>
          <w:p w14:paraId="629670E1">
            <w:pPr>
              <w:autoSpaceDE w:val="0"/>
              <w:autoSpaceDN w:val="0"/>
              <w:adjustRightInd w:val="0"/>
              <w:snapToGrid w:val="0"/>
              <w:ind w:left="207" w:hanging="207" w:hangingChars="98"/>
              <w:rPr>
                <w:rFonts w:hint="eastAsia" w:ascii="宋体" w:hAnsi="宋体" w:cs="宋体"/>
                <w:b/>
                <w:bCs/>
                <w:szCs w:val="21"/>
                <w:lang w:val="zh-CN"/>
              </w:rPr>
            </w:pPr>
            <w:r>
              <w:rPr>
                <w:rFonts w:ascii="宋体" w:hAnsi="宋体" w:cs="宋体"/>
                <w:b/>
                <w:bCs/>
                <w:szCs w:val="21"/>
                <w:lang w:val="zh-CN"/>
              </w:rPr>
              <w:t>按招标文件的要求。</w:t>
            </w:r>
          </w:p>
        </w:tc>
      </w:tr>
      <w:tr w14:paraId="18AF8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80" w:type="dxa"/>
            <w:tcBorders>
              <w:left w:val="single" w:color="auto" w:sz="4" w:space="0"/>
              <w:bottom w:val="single" w:color="auto" w:sz="4" w:space="0"/>
              <w:right w:val="single" w:color="auto" w:sz="4" w:space="0"/>
            </w:tcBorders>
            <w:noWrap w:val="0"/>
            <w:vAlign w:val="center"/>
          </w:tcPr>
          <w:p w14:paraId="06D737D1">
            <w:pPr>
              <w:snapToGrid w:val="0"/>
              <w:jc w:val="center"/>
              <w:rPr>
                <w:rFonts w:hint="eastAsia" w:ascii="宋体" w:hAnsi="宋体" w:cs="宋体"/>
                <w:b/>
                <w:szCs w:val="21"/>
                <w:lang w:val="zh-CN"/>
              </w:rPr>
            </w:pPr>
            <w:r>
              <w:rPr>
                <w:rFonts w:hint="eastAsia" w:ascii="宋体" w:hAnsi="宋体" w:cs="宋体"/>
                <w:b/>
                <w:bCs/>
                <w:szCs w:val="21"/>
                <w:lang w:val="zh-CN"/>
              </w:rPr>
              <w:t>质量标准</w:t>
            </w:r>
          </w:p>
        </w:tc>
        <w:tc>
          <w:tcPr>
            <w:tcW w:w="5164" w:type="dxa"/>
            <w:gridSpan w:val="2"/>
            <w:tcBorders>
              <w:top w:val="single" w:color="auto" w:sz="4" w:space="0"/>
              <w:left w:val="single" w:color="auto" w:sz="4" w:space="0"/>
              <w:bottom w:val="single" w:color="auto" w:sz="4" w:space="0"/>
              <w:right w:val="single" w:color="auto" w:sz="4" w:space="0"/>
            </w:tcBorders>
            <w:noWrap w:val="0"/>
            <w:vAlign w:val="center"/>
          </w:tcPr>
          <w:p w14:paraId="56E6DD9A">
            <w:pPr>
              <w:autoSpaceDE w:val="0"/>
              <w:autoSpaceDN w:val="0"/>
              <w:adjustRightInd w:val="0"/>
              <w:snapToGrid w:val="0"/>
              <w:rPr>
                <w:rFonts w:hint="eastAsia" w:ascii="宋体" w:hAnsi="宋体" w:cs="宋体"/>
                <w:b/>
                <w:bCs/>
                <w:szCs w:val="21"/>
                <w:lang w:val="zh-CN"/>
              </w:rPr>
            </w:pPr>
            <w:r>
              <w:rPr>
                <w:rFonts w:ascii="宋体" w:hAnsi="宋体" w:cs="宋体"/>
                <w:b/>
                <w:bCs/>
                <w:szCs w:val="21"/>
                <w:lang w:val="zh-CN"/>
              </w:rPr>
              <w:t>按招标文件的要求。</w:t>
            </w:r>
          </w:p>
        </w:tc>
      </w:tr>
      <w:tr w14:paraId="4D72E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80" w:type="dxa"/>
            <w:tcBorders>
              <w:top w:val="single" w:color="auto" w:sz="4" w:space="0"/>
              <w:left w:val="single" w:color="auto" w:sz="4" w:space="0"/>
              <w:bottom w:val="single" w:color="auto" w:sz="4" w:space="0"/>
              <w:right w:val="single" w:color="auto" w:sz="4" w:space="0"/>
            </w:tcBorders>
            <w:noWrap w:val="0"/>
            <w:vAlign w:val="center"/>
          </w:tcPr>
          <w:p w14:paraId="7266516F">
            <w:pPr>
              <w:autoSpaceDE w:val="0"/>
              <w:autoSpaceDN w:val="0"/>
              <w:adjustRightInd w:val="0"/>
              <w:snapToGrid w:val="0"/>
              <w:jc w:val="center"/>
              <w:rPr>
                <w:rFonts w:hint="eastAsia" w:ascii="宋体" w:hAnsi="宋体" w:cs="宋体"/>
                <w:b/>
                <w:szCs w:val="21"/>
                <w:lang w:val="zh-CN"/>
              </w:rPr>
            </w:pPr>
            <w:r>
              <w:rPr>
                <w:rFonts w:hint="eastAsia" w:ascii="宋体" w:hAnsi="宋体" w:cs="宋体"/>
                <w:b/>
                <w:szCs w:val="21"/>
                <w:lang w:val="zh-CN"/>
              </w:rPr>
              <w:t>保修期限</w:t>
            </w:r>
          </w:p>
        </w:tc>
        <w:tc>
          <w:tcPr>
            <w:tcW w:w="5164" w:type="dxa"/>
            <w:gridSpan w:val="2"/>
            <w:tcBorders>
              <w:top w:val="single" w:color="auto" w:sz="4" w:space="0"/>
              <w:left w:val="single" w:color="auto" w:sz="4" w:space="0"/>
              <w:bottom w:val="single" w:color="auto" w:sz="4" w:space="0"/>
              <w:right w:val="single" w:color="auto" w:sz="4" w:space="0"/>
            </w:tcBorders>
            <w:noWrap w:val="0"/>
            <w:vAlign w:val="center"/>
          </w:tcPr>
          <w:p w14:paraId="436CFA51">
            <w:pPr>
              <w:autoSpaceDE w:val="0"/>
              <w:autoSpaceDN w:val="0"/>
              <w:adjustRightInd w:val="0"/>
              <w:snapToGrid w:val="0"/>
              <w:rPr>
                <w:rFonts w:hint="eastAsia" w:ascii="宋体" w:hAnsi="宋体" w:cs="宋体"/>
                <w:b/>
                <w:bCs/>
                <w:szCs w:val="21"/>
                <w:lang w:val="zh-CN"/>
              </w:rPr>
            </w:pPr>
            <w:r>
              <w:rPr>
                <w:rFonts w:ascii="宋体" w:hAnsi="宋体" w:cs="宋体"/>
                <w:b/>
                <w:bCs/>
                <w:szCs w:val="21"/>
                <w:lang w:val="zh-CN"/>
              </w:rPr>
              <w:t>按招标文件的要求。</w:t>
            </w:r>
          </w:p>
        </w:tc>
      </w:tr>
      <w:tr w14:paraId="12B22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80" w:type="dxa"/>
            <w:tcBorders>
              <w:top w:val="single" w:color="auto" w:sz="4" w:space="0"/>
              <w:left w:val="single" w:color="auto" w:sz="4" w:space="0"/>
              <w:bottom w:val="single" w:color="auto" w:sz="4" w:space="0"/>
              <w:right w:val="single" w:color="auto" w:sz="4" w:space="0"/>
            </w:tcBorders>
            <w:noWrap w:val="0"/>
            <w:vAlign w:val="center"/>
          </w:tcPr>
          <w:p w14:paraId="4043B851">
            <w:pPr>
              <w:autoSpaceDE w:val="0"/>
              <w:autoSpaceDN w:val="0"/>
              <w:adjustRightInd w:val="0"/>
              <w:snapToGrid w:val="0"/>
              <w:jc w:val="center"/>
              <w:rPr>
                <w:rFonts w:hint="eastAsia" w:ascii="宋体" w:hAnsi="宋体" w:cs="宋体"/>
                <w:b/>
                <w:bCs/>
                <w:szCs w:val="21"/>
                <w:lang w:val="zh-CN"/>
              </w:rPr>
            </w:pPr>
            <w:r>
              <w:rPr>
                <w:rFonts w:hint="eastAsia" w:ascii="宋体" w:hAnsi="宋体" w:cs="宋体"/>
                <w:b/>
                <w:szCs w:val="21"/>
                <w:lang w:val="zh-CN"/>
              </w:rPr>
              <w:t>委派的项目负责人</w:t>
            </w:r>
          </w:p>
        </w:tc>
        <w:tc>
          <w:tcPr>
            <w:tcW w:w="2291" w:type="dxa"/>
            <w:tcBorders>
              <w:top w:val="single" w:color="auto" w:sz="4" w:space="0"/>
              <w:left w:val="single" w:color="auto" w:sz="4" w:space="0"/>
              <w:bottom w:val="single" w:color="auto" w:sz="4" w:space="0"/>
              <w:right w:val="single" w:color="auto" w:sz="4" w:space="0"/>
            </w:tcBorders>
            <w:noWrap w:val="0"/>
            <w:vAlign w:val="center"/>
          </w:tcPr>
          <w:p w14:paraId="6605890A">
            <w:pPr>
              <w:adjustRightInd w:val="0"/>
              <w:snapToGrid w:val="0"/>
              <w:jc w:val="center"/>
              <w:rPr>
                <w:rFonts w:hint="eastAsia" w:ascii="宋体" w:hAnsi="宋体" w:cs="宋体"/>
                <w:b/>
                <w:szCs w:val="21"/>
              </w:rPr>
            </w:pPr>
            <w:r>
              <w:rPr>
                <w:rFonts w:hint="eastAsia" w:ascii="宋体" w:hAnsi="宋体" w:cs="宋体"/>
                <w:b/>
                <w:szCs w:val="21"/>
              </w:rPr>
              <w:t>姓    名</w:t>
            </w:r>
          </w:p>
        </w:tc>
        <w:tc>
          <w:tcPr>
            <w:tcW w:w="2873" w:type="dxa"/>
            <w:tcBorders>
              <w:top w:val="single" w:color="auto" w:sz="4" w:space="0"/>
              <w:left w:val="single" w:color="auto" w:sz="4" w:space="0"/>
              <w:bottom w:val="single" w:color="auto" w:sz="4" w:space="0"/>
              <w:right w:val="single" w:color="auto" w:sz="4" w:space="0"/>
            </w:tcBorders>
            <w:noWrap w:val="0"/>
            <w:vAlign w:val="center"/>
          </w:tcPr>
          <w:p w14:paraId="65348C94">
            <w:pPr>
              <w:autoSpaceDE w:val="0"/>
              <w:autoSpaceDN w:val="0"/>
              <w:adjustRightInd w:val="0"/>
              <w:snapToGrid w:val="0"/>
              <w:rPr>
                <w:rFonts w:hint="eastAsia" w:ascii="宋体" w:hAnsi="宋体" w:cs="宋体"/>
                <w:b/>
                <w:bCs/>
                <w:szCs w:val="21"/>
                <w:lang w:val="zh-CN"/>
              </w:rPr>
            </w:pPr>
          </w:p>
        </w:tc>
      </w:tr>
      <w:tr w14:paraId="4F3CC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80" w:type="dxa"/>
            <w:tcBorders>
              <w:top w:val="single" w:color="auto" w:sz="4" w:space="0"/>
              <w:left w:val="single" w:color="auto" w:sz="4" w:space="0"/>
              <w:right w:val="single" w:color="auto" w:sz="4" w:space="0"/>
            </w:tcBorders>
            <w:noWrap w:val="0"/>
            <w:vAlign w:val="center"/>
          </w:tcPr>
          <w:p w14:paraId="51D183DD">
            <w:pPr>
              <w:autoSpaceDE w:val="0"/>
              <w:autoSpaceDN w:val="0"/>
              <w:adjustRightInd w:val="0"/>
              <w:snapToGrid w:val="0"/>
              <w:jc w:val="center"/>
              <w:rPr>
                <w:rFonts w:hint="eastAsia" w:ascii="宋体" w:hAnsi="宋体" w:cs="宋体"/>
                <w:b/>
                <w:bCs/>
                <w:szCs w:val="21"/>
                <w:lang w:val="zh-CN"/>
              </w:rPr>
            </w:pPr>
            <w:r>
              <w:rPr>
                <w:rFonts w:hint="eastAsia" w:ascii="宋体" w:hAnsi="宋体" w:cs="宋体"/>
                <w:b/>
                <w:szCs w:val="21"/>
                <w:lang w:val="zh-CN"/>
              </w:rPr>
              <w:t>委派的</w:t>
            </w:r>
            <w:r>
              <w:rPr>
                <w:rFonts w:hint="eastAsia" w:ascii="宋体" w:hAnsi="宋体" w:cs="宋体"/>
                <w:b/>
                <w:bCs/>
                <w:szCs w:val="21"/>
                <w:lang w:val="zh-CN"/>
              </w:rPr>
              <w:t>设计负责人</w:t>
            </w:r>
          </w:p>
        </w:tc>
        <w:tc>
          <w:tcPr>
            <w:tcW w:w="2291" w:type="dxa"/>
            <w:tcBorders>
              <w:top w:val="single" w:color="auto" w:sz="4" w:space="0"/>
              <w:left w:val="single" w:color="auto" w:sz="4" w:space="0"/>
              <w:bottom w:val="single" w:color="auto" w:sz="4" w:space="0"/>
              <w:right w:val="single" w:color="auto" w:sz="4" w:space="0"/>
            </w:tcBorders>
            <w:noWrap w:val="0"/>
            <w:vAlign w:val="center"/>
          </w:tcPr>
          <w:p w14:paraId="314EAC4B">
            <w:pPr>
              <w:autoSpaceDE w:val="0"/>
              <w:autoSpaceDN w:val="0"/>
              <w:adjustRightInd w:val="0"/>
              <w:snapToGrid w:val="0"/>
              <w:jc w:val="center"/>
              <w:rPr>
                <w:rFonts w:hint="eastAsia" w:ascii="宋体" w:hAnsi="宋体" w:cs="宋体"/>
                <w:b/>
                <w:bCs/>
                <w:szCs w:val="21"/>
                <w:lang w:val="zh-CN"/>
              </w:rPr>
            </w:pPr>
            <w:r>
              <w:rPr>
                <w:rFonts w:hint="eastAsia" w:ascii="宋体" w:hAnsi="宋体" w:cs="宋体"/>
                <w:b/>
                <w:szCs w:val="21"/>
              </w:rPr>
              <w:t>姓    名</w:t>
            </w:r>
          </w:p>
        </w:tc>
        <w:tc>
          <w:tcPr>
            <w:tcW w:w="2873" w:type="dxa"/>
            <w:tcBorders>
              <w:top w:val="single" w:color="auto" w:sz="4" w:space="0"/>
              <w:left w:val="single" w:color="auto" w:sz="4" w:space="0"/>
              <w:bottom w:val="single" w:color="auto" w:sz="4" w:space="0"/>
              <w:right w:val="single" w:color="auto" w:sz="4" w:space="0"/>
            </w:tcBorders>
            <w:noWrap w:val="0"/>
            <w:vAlign w:val="center"/>
          </w:tcPr>
          <w:p w14:paraId="130395E4">
            <w:pPr>
              <w:autoSpaceDE w:val="0"/>
              <w:autoSpaceDN w:val="0"/>
              <w:adjustRightInd w:val="0"/>
              <w:snapToGrid w:val="0"/>
              <w:rPr>
                <w:rFonts w:hint="eastAsia" w:ascii="宋体" w:hAnsi="宋体" w:cs="宋体"/>
                <w:b/>
                <w:bCs/>
                <w:szCs w:val="21"/>
                <w:lang w:val="zh-CN"/>
              </w:rPr>
            </w:pPr>
          </w:p>
        </w:tc>
      </w:tr>
      <w:tr w14:paraId="29093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80" w:type="dxa"/>
            <w:tcBorders>
              <w:top w:val="single" w:color="auto" w:sz="4" w:space="0"/>
              <w:left w:val="single" w:color="auto" w:sz="4" w:space="0"/>
              <w:right w:val="single" w:color="auto" w:sz="4" w:space="0"/>
            </w:tcBorders>
            <w:noWrap w:val="0"/>
            <w:vAlign w:val="center"/>
          </w:tcPr>
          <w:p w14:paraId="5AA38F9B">
            <w:pPr>
              <w:autoSpaceDE w:val="0"/>
              <w:autoSpaceDN w:val="0"/>
              <w:adjustRightInd w:val="0"/>
              <w:snapToGrid w:val="0"/>
              <w:jc w:val="center"/>
              <w:rPr>
                <w:rFonts w:hint="eastAsia" w:ascii="宋体" w:hAnsi="宋体" w:cs="宋体"/>
                <w:b/>
                <w:bCs/>
                <w:szCs w:val="21"/>
                <w:lang w:val="zh-CN"/>
              </w:rPr>
            </w:pPr>
            <w:r>
              <w:rPr>
                <w:rFonts w:hint="eastAsia" w:ascii="宋体" w:hAnsi="宋体" w:cs="宋体"/>
                <w:b/>
                <w:szCs w:val="21"/>
                <w:lang w:val="zh-CN"/>
              </w:rPr>
              <w:t>委派的技术</w:t>
            </w:r>
            <w:r>
              <w:rPr>
                <w:rFonts w:hint="eastAsia" w:ascii="宋体" w:hAnsi="宋体" w:cs="宋体"/>
                <w:b/>
                <w:bCs/>
                <w:szCs w:val="21"/>
                <w:lang w:val="zh-CN"/>
              </w:rPr>
              <w:t>负责人</w:t>
            </w:r>
          </w:p>
        </w:tc>
        <w:tc>
          <w:tcPr>
            <w:tcW w:w="2291" w:type="dxa"/>
            <w:tcBorders>
              <w:top w:val="single" w:color="auto" w:sz="4" w:space="0"/>
              <w:left w:val="single" w:color="auto" w:sz="4" w:space="0"/>
              <w:bottom w:val="single" w:color="auto" w:sz="4" w:space="0"/>
              <w:right w:val="single" w:color="auto" w:sz="4" w:space="0"/>
            </w:tcBorders>
            <w:noWrap w:val="0"/>
            <w:vAlign w:val="center"/>
          </w:tcPr>
          <w:p w14:paraId="6871D996">
            <w:pPr>
              <w:autoSpaceDE w:val="0"/>
              <w:autoSpaceDN w:val="0"/>
              <w:adjustRightInd w:val="0"/>
              <w:snapToGrid w:val="0"/>
              <w:jc w:val="center"/>
              <w:rPr>
                <w:rFonts w:hint="eastAsia" w:ascii="宋体" w:hAnsi="宋体" w:cs="宋体"/>
                <w:b/>
                <w:bCs/>
                <w:szCs w:val="21"/>
                <w:lang w:val="zh-CN"/>
              </w:rPr>
            </w:pPr>
            <w:r>
              <w:rPr>
                <w:rFonts w:hint="eastAsia" w:ascii="宋体" w:hAnsi="宋体" w:cs="宋体"/>
                <w:b/>
                <w:szCs w:val="21"/>
              </w:rPr>
              <w:t>姓    名</w:t>
            </w:r>
          </w:p>
        </w:tc>
        <w:tc>
          <w:tcPr>
            <w:tcW w:w="2873" w:type="dxa"/>
            <w:tcBorders>
              <w:top w:val="single" w:color="auto" w:sz="4" w:space="0"/>
              <w:left w:val="single" w:color="auto" w:sz="4" w:space="0"/>
              <w:bottom w:val="single" w:color="auto" w:sz="4" w:space="0"/>
              <w:right w:val="single" w:color="auto" w:sz="4" w:space="0"/>
            </w:tcBorders>
            <w:noWrap w:val="0"/>
            <w:vAlign w:val="center"/>
          </w:tcPr>
          <w:p w14:paraId="520CCFF6">
            <w:pPr>
              <w:autoSpaceDE w:val="0"/>
              <w:autoSpaceDN w:val="0"/>
              <w:adjustRightInd w:val="0"/>
              <w:snapToGrid w:val="0"/>
              <w:rPr>
                <w:rFonts w:hint="eastAsia" w:ascii="宋体" w:hAnsi="宋体" w:cs="宋体"/>
                <w:b/>
                <w:bCs/>
                <w:szCs w:val="21"/>
                <w:lang w:val="zh-CN"/>
              </w:rPr>
            </w:pPr>
          </w:p>
        </w:tc>
      </w:tr>
      <w:tr w14:paraId="4D4EF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80" w:type="dxa"/>
            <w:tcBorders>
              <w:top w:val="single" w:color="auto" w:sz="4" w:space="0"/>
              <w:left w:val="single" w:color="auto" w:sz="4" w:space="0"/>
              <w:right w:val="single" w:color="auto" w:sz="4" w:space="0"/>
            </w:tcBorders>
            <w:noWrap w:val="0"/>
            <w:vAlign w:val="center"/>
          </w:tcPr>
          <w:p w14:paraId="2FBA5844">
            <w:pPr>
              <w:autoSpaceDE w:val="0"/>
              <w:autoSpaceDN w:val="0"/>
              <w:adjustRightInd w:val="0"/>
              <w:snapToGrid w:val="0"/>
              <w:jc w:val="center"/>
              <w:rPr>
                <w:rFonts w:hint="eastAsia" w:ascii="宋体" w:hAnsi="宋体" w:cs="宋体"/>
                <w:b/>
                <w:bCs/>
                <w:szCs w:val="21"/>
                <w:lang w:val="zh-CN"/>
              </w:rPr>
            </w:pPr>
            <w:r>
              <w:rPr>
                <w:rFonts w:hint="eastAsia" w:ascii="宋体" w:hAnsi="宋体" w:cs="宋体"/>
                <w:b/>
                <w:szCs w:val="21"/>
                <w:lang w:val="zh-CN"/>
              </w:rPr>
              <w:t>委派的</w:t>
            </w:r>
            <w:r>
              <w:rPr>
                <w:rFonts w:hint="eastAsia" w:ascii="宋体" w:hAnsi="宋体" w:cs="宋体"/>
                <w:b/>
                <w:bCs/>
                <w:szCs w:val="21"/>
                <w:lang w:val="zh-CN"/>
              </w:rPr>
              <w:t>安全员</w:t>
            </w:r>
          </w:p>
        </w:tc>
        <w:tc>
          <w:tcPr>
            <w:tcW w:w="2291" w:type="dxa"/>
            <w:tcBorders>
              <w:top w:val="single" w:color="auto" w:sz="4" w:space="0"/>
              <w:left w:val="single" w:color="auto" w:sz="4" w:space="0"/>
              <w:bottom w:val="single" w:color="auto" w:sz="4" w:space="0"/>
              <w:right w:val="single" w:color="auto" w:sz="4" w:space="0"/>
            </w:tcBorders>
            <w:noWrap w:val="0"/>
            <w:vAlign w:val="center"/>
          </w:tcPr>
          <w:p w14:paraId="08D37C79">
            <w:pPr>
              <w:autoSpaceDE w:val="0"/>
              <w:autoSpaceDN w:val="0"/>
              <w:adjustRightInd w:val="0"/>
              <w:snapToGrid w:val="0"/>
              <w:jc w:val="center"/>
              <w:rPr>
                <w:rFonts w:hint="eastAsia" w:ascii="宋体" w:hAnsi="宋体" w:cs="宋体"/>
                <w:b/>
                <w:bCs/>
                <w:szCs w:val="21"/>
                <w:lang w:val="zh-CN"/>
              </w:rPr>
            </w:pPr>
            <w:r>
              <w:rPr>
                <w:rFonts w:hint="eastAsia" w:ascii="宋体" w:hAnsi="宋体" w:cs="宋体"/>
                <w:b/>
                <w:bCs/>
                <w:szCs w:val="21"/>
                <w:lang w:val="zh-CN"/>
              </w:rPr>
              <w:t>姓   名</w:t>
            </w:r>
          </w:p>
        </w:tc>
        <w:tc>
          <w:tcPr>
            <w:tcW w:w="2873" w:type="dxa"/>
            <w:tcBorders>
              <w:top w:val="single" w:color="auto" w:sz="4" w:space="0"/>
              <w:left w:val="single" w:color="auto" w:sz="4" w:space="0"/>
              <w:bottom w:val="single" w:color="auto" w:sz="4" w:space="0"/>
              <w:right w:val="single" w:color="auto" w:sz="4" w:space="0"/>
            </w:tcBorders>
            <w:noWrap w:val="0"/>
            <w:vAlign w:val="center"/>
          </w:tcPr>
          <w:p w14:paraId="73757B0C">
            <w:pPr>
              <w:autoSpaceDE w:val="0"/>
              <w:autoSpaceDN w:val="0"/>
              <w:adjustRightInd w:val="0"/>
              <w:snapToGrid w:val="0"/>
              <w:rPr>
                <w:rFonts w:hint="eastAsia" w:ascii="宋体" w:hAnsi="宋体" w:cs="宋体"/>
                <w:b/>
                <w:bCs/>
                <w:szCs w:val="21"/>
                <w:lang w:val="zh-CN"/>
              </w:rPr>
            </w:pPr>
          </w:p>
        </w:tc>
      </w:tr>
      <w:tr w14:paraId="56FCF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380" w:type="dxa"/>
            <w:tcBorders>
              <w:top w:val="single" w:color="auto" w:sz="4" w:space="0"/>
              <w:left w:val="single" w:color="auto" w:sz="4" w:space="0"/>
              <w:bottom w:val="single" w:color="auto" w:sz="4" w:space="0"/>
              <w:right w:val="single" w:color="auto" w:sz="4" w:space="0"/>
            </w:tcBorders>
            <w:noWrap w:val="0"/>
            <w:vAlign w:val="center"/>
          </w:tcPr>
          <w:p w14:paraId="65985E22">
            <w:pPr>
              <w:autoSpaceDE w:val="0"/>
              <w:autoSpaceDN w:val="0"/>
              <w:adjustRightInd w:val="0"/>
              <w:snapToGrid w:val="0"/>
              <w:jc w:val="center"/>
              <w:rPr>
                <w:rFonts w:hint="eastAsia" w:ascii="宋体" w:hAnsi="宋体" w:cs="宋体"/>
                <w:b/>
                <w:bCs/>
                <w:szCs w:val="21"/>
                <w:lang w:val="zh-CN"/>
              </w:rPr>
            </w:pPr>
            <w:r>
              <w:rPr>
                <w:rFonts w:hint="eastAsia" w:ascii="宋体" w:hAnsi="宋体" w:cs="宋体"/>
                <w:b/>
                <w:bCs/>
                <w:szCs w:val="21"/>
                <w:lang w:val="zh-CN"/>
              </w:rPr>
              <w:t>法定代表人或授权委托人</w:t>
            </w:r>
          </w:p>
          <w:p w14:paraId="6E4CD223">
            <w:pPr>
              <w:autoSpaceDE w:val="0"/>
              <w:autoSpaceDN w:val="0"/>
              <w:adjustRightInd w:val="0"/>
              <w:snapToGrid w:val="0"/>
              <w:jc w:val="center"/>
              <w:rPr>
                <w:rFonts w:hint="eastAsia" w:ascii="宋体" w:hAnsi="宋体" w:cs="宋体"/>
                <w:b/>
                <w:bCs/>
                <w:szCs w:val="21"/>
                <w:lang w:val="zh-CN"/>
              </w:rPr>
            </w:pPr>
            <w:r>
              <w:rPr>
                <w:rFonts w:hint="eastAsia" w:ascii="宋体" w:hAnsi="宋体" w:cs="宋体"/>
                <w:b/>
                <w:bCs/>
                <w:szCs w:val="21"/>
                <w:lang w:val="zh-CN"/>
              </w:rPr>
              <w:t>（签名或盖章）</w:t>
            </w:r>
          </w:p>
        </w:tc>
        <w:tc>
          <w:tcPr>
            <w:tcW w:w="5164" w:type="dxa"/>
            <w:gridSpan w:val="2"/>
            <w:tcBorders>
              <w:top w:val="single" w:color="auto" w:sz="4" w:space="0"/>
              <w:left w:val="single" w:color="auto" w:sz="4" w:space="0"/>
              <w:bottom w:val="single" w:color="auto" w:sz="4" w:space="0"/>
              <w:right w:val="single" w:color="auto" w:sz="4" w:space="0"/>
            </w:tcBorders>
            <w:noWrap w:val="0"/>
            <w:vAlign w:val="center"/>
          </w:tcPr>
          <w:p w14:paraId="132B0DE6">
            <w:pPr>
              <w:autoSpaceDE w:val="0"/>
              <w:autoSpaceDN w:val="0"/>
              <w:adjustRightInd w:val="0"/>
              <w:snapToGrid w:val="0"/>
              <w:rPr>
                <w:rFonts w:hint="eastAsia" w:ascii="宋体" w:hAnsi="宋体" w:cs="宋体"/>
                <w:b/>
                <w:bCs/>
                <w:szCs w:val="21"/>
                <w:lang w:val="zh-CN"/>
              </w:rPr>
            </w:pPr>
          </w:p>
        </w:tc>
      </w:tr>
      <w:tr w14:paraId="39024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380" w:type="dxa"/>
            <w:tcBorders>
              <w:top w:val="single" w:color="auto" w:sz="4" w:space="0"/>
              <w:left w:val="single" w:color="auto" w:sz="4" w:space="0"/>
              <w:bottom w:val="single" w:color="auto" w:sz="4" w:space="0"/>
              <w:right w:val="single" w:color="auto" w:sz="4" w:space="0"/>
            </w:tcBorders>
            <w:noWrap w:val="0"/>
            <w:vAlign w:val="center"/>
          </w:tcPr>
          <w:p w14:paraId="237D3FA4">
            <w:pPr>
              <w:autoSpaceDE w:val="0"/>
              <w:autoSpaceDN w:val="0"/>
              <w:adjustRightInd w:val="0"/>
              <w:snapToGrid w:val="0"/>
              <w:jc w:val="center"/>
              <w:rPr>
                <w:rFonts w:hint="eastAsia" w:ascii="宋体" w:hAnsi="宋体" w:cs="宋体"/>
                <w:b/>
                <w:bCs/>
                <w:szCs w:val="21"/>
                <w:lang w:val="zh-CN"/>
              </w:rPr>
            </w:pPr>
            <w:r>
              <w:rPr>
                <w:rFonts w:hint="eastAsia" w:ascii="宋体" w:hAnsi="宋体" w:cs="宋体"/>
                <w:b/>
                <w:bCs/>
                <w:szCs w:val="21"/>
                <w:lang w:val="zh-CN"/>
              </w:rPr>
              <w:t>投  标  单  位</w:t>
            </w:r>
          </w:p>
          <w:p w14:paraId="3C09F73E">
            <w:pPr>
              <w:autoSpaceDE w:val="0"/>
              <w:autoSpaceDN w:val="0"/>
              <w:adjustRightInd w:val="0"/>
              <w:snapToGrid w:val="0"/>
              <w:ind w:firstLine="209" w:firstLineChars="99"/>
              <w:jc w:val="center"/>
              <w:rPr>
                <w:rFonts w:hint="eastAsia" w:ascii="宋体" w:hAnsi="宋体" w:cs="宋体"/>
                <w:b/>
                <w:bCs/>
                <w:szCs w:val="21"/>
                <w:lang w:val="zh-CN"/>
              </w:rPr>
            </w:pPr>
            <w:r>
              <w:rPr>
                <w:rFonts w:hint="eastAsia" w:ascii="宋体" w:hAnsi="宋体" w:cs="宋体"/>
                <w:b/>
                <w:bCs/>
                <w:szCs w:val="21"/>
                <w:lang w:val="zh-CN"/>
              </w:rPr>
              <w:t>（企业公章）</w:t>
            </w:r>
          </w:p>
        </w:tc>
        <w:tc>
          <w:tcPr>
            <w:tcW w:w="5164" w:type="dxa"/>
            <w:gridSpan w:val="2"/>
            <w:tcBorders>
              <w:top w:val="single" w:color="auto" w:sz="4" w:space="0"/>
              <w:left w:val="single" w:color="auto" w:sz="4" w:space="0"/>
              <w:bottom w:val="single" w:color="auto" w:sz="4" w:space="0"/>
              <w:right w:val="single" w:color="auto" w:sz="4" w:space="0"/>
            </w:tcBorders>
            <w:noWrap w:val="0"/>
            <w:vAlign w:val="center"/>
          </w:tcPr>
          <w:p w14:paraId="01FD774F">
            <w:pPr>
              <w:autoSpaceDE w:val="0"/>
              <w:autoSpaceDN w:val="0"/>
              <w:adjustRightInd w:val="0"/>
              <w:snapToGrid w:val="0"/>
              <w:rPr>
                <w:rFonts w:hint="eastAsia" w:ascii="宋体" w:hAnsi="宋体" w:cs="宋体"/>
                <w:b/>
                <w:bCs/>
                <w:szCs w:val="21"/>
                <w:lang w:val="zh-CN"/>
              </w:rPr>
            </w:pPr>
          </w:p>
        </w:tc>
      </w:tr>
    </w:tbl>
    <w:p w14:paraId="5169A41B">
      <w:pPr>
        <w:widowControl/>
        <w:jc w:val="left"/>
        <w:rPr>
          <w:rFonts w:hint="eastAsia" w:ascii="宋体" w:hAnsi="宋体" w:cs="宋体"/>
          <w:b/>
          <w:sz w:val="18"/>
          <w:szCs w:val="18"/>
        </w:rPr>
      </w:pPr>
      <w:r>
        <w:rPr>
          <w:rFonts w:hint="eastAsia" w:ascii="宋体" w:hAnsi="宋体" w:cs="宋体"/>
          <w:b/>
          <w:sz w:val="18"/>
          <w:szCs w:val="18"/>
        </w:rPr>
        <w:t>注：（1）联合体投标的，“投标单位”一栏需书写所有联合体成员的单位全称，可由主办方签署、盖章。</w:t>
      </w:r>
    </w:p>
    <w:p w14:paraId="6EFA9ABE">
      <w:pPr>
        <w:widowControl/>
        <w:ind w:firstLine="390" w:firstLineChars="216"/>
        <w:jc w:val="left"/>
      </w:pPr>
      <w:r>
        <w:rPr>
          <w:rFonts w:hint="eastAsia" w:ascii="宋体" w:hAnsi="宋体" w:cs="宋体"/>
          <w:b/>
          <w:sz w:val="18"/>
          <w:szCs w:val="18"/>
        </w:rPr>
        <w:t>（2）设计费下浮率、施工费下浮率为：（1－相应投标报价÷相应最高投标限价）×100%。</w:t>
      </w:r>
    </w:p>
    <w:p w14:paraId="73AE5D7A">
      <w:pPr>
        <w:spacing w:line="360" w:lineRule="auto"/>
        <w:outlineLvl w:val="1"/>
        <w:rPr>
          <w:rFonts w:hint="eastAsia" w:ascii="宋体" w:hAnsi="宋体" w:cs="宋体"/>
          <w:bCs/>
          <w:sz w:val="24"/>
        </w:rPr>
      </w:pPr>
      <w:r>
        <w:rPr>
          <w:rFonts w:ascii="宋体" w:hAnsi="宋体" w:cs="宋体"/>
        </w:rPr>
        <w:br w:type="page"/>
      </w:r>
      <w:bookmarkStart w:id="591" w:name="_Toc134304597"/>
      <w:r>
        <w:rPr>
          <w:rFonts w:hint="eastAsia" w:ascii="宋体" w:hAnsi="宋体" w:cs="宋体"/>
          <w:bCs/>
          <w:sz w:val="24"/>
        </w:rPr>
        <w:t>格式2</w:t>
      </w:r>
      <w:bookmarkEnd w:id="591"/>
    </w:p>
    <w:p w14:paraId="1037890F">
      <w:pPr>
        <w:autoSpaceDE w:val="0"/>
        <w:autoSpaceDN w:val="0"/>
        <w:adjustRightInd w:val="0"/>
        <w:spacing w:line="360" w:lineRule="auto"/>
        <w:jc w:val="center"/>
        <w:rPr>
          <w:rFonts w:hint="eastAsia" w:ascii="宋体" w:hAnsi="宋体" w:cs="宋体"/>
          <w:b/>
          <w:bCs/>
          <w:sz w:val="36"/>
          <w:szCs w:val="36"/>
          <w:lang w:val="zh-CN"/>
        </w:rPr>
      </w:pPr>
      <w:r>
        <w:rPr>
          <w:rFonts w:hint="eastAsia" w:ascii="宋体" w:hAnsi="宋体" w:cs="宋体"/>
          <w:b/>
          <w:bCs/>
          <w:sz w:val="36"/>
          <w:szCs w:val="36"/>
          <w:lang w:val="zh-CN"/>
        </w:rPr>
        <w:t>投标承诺函</w:t>
      </w:r>
    </w:p>
    <w:p w14:paraId="41807547">
      <w:pPr>
        <w:autoSpaceDE w:val="0"/>
        <w:autoSpaceDN w:val="0"/>
        <w:adjustRightInd w:val="0"/>
        <w:spacing w:line="360" w:lineRule="auto"/>
        <w:jc w:val="center"/>
        <w:rPr>
          <w:rFonts w:hint="eastAsia" w:ascii="宋体" w:hAnsi="宋体" w:cs="宋体"/>
          <w:bCs/>
          <w:sz w:val="24"/>
        </w:rPr>
      </w:pPr>
    </w:p>
    <w:p w14:paraId="63ACBC14">
      <w:pPr>
        <w:spacing w:line="440" w:lineRule="exact"/>
        <w:rPr>
          <w:rFonts w:hint="eastAsia" w:ascii="宋体" w:hAnsi="宋体" w:cs="宋体"/>
          <w:szCs w:val="21"/>
        </w:rPr>
      </w:pPr>
      <w:r>
        <w:rPr>
          <w:rFonts w:hint="eastAsia" w:ascii="宋体" w:hAnsi="宋体" w:cs="宋体"/>
          <w:szCs w:val="21"/>
        </w:rPr>
        <w:t>（招标人名称）：</w:t>
      </w:r>
    </w:p>
    <w:p w14:paraId="2AB92DA5">
      <w:pPr>
        <w:spacing w:line="360" w:lineRule="auto"/>
        <w:ind w:firstLine="420" w:firstLineChars="200"/>
        <w:rPr>
          <w:rFonts w:hint="eastAsia" w:ascii="宋体" w:hAnsi="宋体" w:cs="宋体"/>
          <w:szCs w:val="21"/>
        </w:rPr>
      </w:pPr>
      <w:r>
        <w:rPr>
          <w:rFonts w:hint="eastAsia" w:ascii="宋体" w:hAnsi="宋体" w:cs="宋体"/>
          <w:szCs w:val="21"/>
        </w:rPr>
        <w:t>1．我方已仔细研究了（项目名称）招标文件的全部内容，愿意以《投标书》中承诺的投标报价和工期，按合同约定进行设计、实施和竣工承包工程，修补工程中的任何缺陷，实现工程目的。我方充分了解了现场条件对可能存在的所有风险都已充分考虑，我方放弃在此方面提出含糊意见或误解的一切权力，承认招标文件的所有条款，按招标文件规定条款完成本次招标项目的内容。</w:t>
      </w:r>
    </w:p>
    <w:p w14:paraId="23FDD788">
      <w:pPr>
        <w:spacing w:line="360" w:lineRule="auto"/>
        <w:ind w:firstLine="420" w:firstLineChars="200"/>
        <w:rPr>
          <w:rFonts w:hint="eastAsia" w:ascii="宋体" w:hAnsi="宋体" w:cs="宋体"/>
          <w:szCs w:val="21"/>
        </w:rPr>
      </w:pPr>
      <w:r>
        <w:rPr>
          <w:rFonts w:hint="eastAsia" w:ascii="宋体" w:hAnsi="宋体" w:cs="宋体"/>
          <w:szCs w:val="21"/>
        </w:rPr>
        <w:t>2．我方已充分阅读了本项目招标文件并充分了解有关报价方式及变更、结算方式，我方完全响应招标文件的规定。</w:t>
      </w:r>
    </w:p>
    <w:p w14:paraId="053B6FBD">
      <w:pPr>
        <w:spacing w:line="360" w:lineRule="auto"/>
        <w:ind w:firstLine="420" w:firstLineChars="200"/>
        <w:rPr>
          <w:rFonts w:hint="eastAsia" w:ascii="宋体" w:hAnsi="宋体" w:cs="宋体"/>
          <w:szCs w:val="21"/>
        </w:rPr>
      </w:pPr>
      <w:r>
        <w:rPr>
          <w:rFonts w:hint="eastAsia" w:ascii="宋体" w:hAnsi="宋体" w:cs="宋体"/>
          <w:szCs w:val="21"/>
        </w:rPr>
        <w:t>3．我方承诺投标文件中的一切资料、数据是真实的，并承担由此引起的一切责任。</w:t>
      </w:r>
    </w:p>
    <w:p w14:paraId="276D2417">
      <w:pPr>
        <w:spacing w:line="440" w:lineRule="exact"/>
        <w:ind w:firstLine="420" w:firstLineChars="200"/>
        <w:rPr>
          <w:rFonts w:hint="eastAsia" w:ascii="宋体" w:hAnsi="宋体" w:cs="宋体"/>
          <w:szCs w:val="21"/>
        </w:rPr>
      </w:pPr>
      <w:r>
        <w:rPr>
          <w:rFonts w:hint="eastAsia" w:ascii="宋体" w:hAnsi="宋体" w:cs="宋体"/>
          <w:szCs w:val="21"/>
        </w:rPr>
        <w:t>4．我方承诺在招标文件规定的投标有效期内不修改、撤销投标文件。</w:t>
      </w:r>
    </w:p>
    <w:p w14:paraId="3A9CBD45">
      <w:pPr>
        <w:spacing w:line="440" w:lineRule="exact"/>
        <w:ind w:firstLine="420" w:firstLineChars="200"/>
        <w:rPr>
          <w:rFonts w:hint="eastAsia" w:ascii="宋体" w:hAnsi="宋体" w:cs="宋体"/>
          <w:szCs w:val="21"/>
        </w:rPr>
      </w:pPr>
      <w:r>
        <w:rPr>
          <w:rFonts w:hint="eastAsia" w:ascii="宋体" w:hAnsi="宋体" w:cs="宋体"/>
          <w:szCs w:val="21"/>
        </w:rPr>
        <w:t>5．随同本投标函提交投标保证金一份，我方对招标文件中不予退还投标保证金的情形无异议。</w:t>
      </w:r>
    </w:p>
    <w:p w14:paraId="6C2042A0">
      <w:pPr>
        <w:spacing w:line="440" w:lineRule="exact"/>
        <w:ind w:firstLine="420" w:firstLineChars="200"/>
        <w:rPr>
          <w:rFonts w:hint="eastAsia" w:ascii="宋体" w:hAnsi="宋体" w:cs="宋体"/>
          <w:szCs w:val="21"/>
        </w:rPr>
      </w:pPr>
      <w:r>
        <w:rPr>
          <w:rFonts w:hint="eastAsia" w:ascii="宋体" w:hAnsi="宋体" w:cs="宋体"/>
          <w:szCs w:val="21"/>
        </w:rPr>
        <w:t>6．我方如果中标，我方保证：</w:t>
      </w:r>
    </w:p>
    <w:p w14:paraId="384D9B22">
      <w:pPr>
        <w:spacing w:line="440" w:lineRule="exact"/>
        <w:ind w:firstLine="420" w:firstLineChars="200"/>
        <w:rPr>
          <w:rFonts w:hint="eastAsia" w:ascii="宋体" w:hAnsi="宋体" w:cs="宋体"/>
          <w:szCs w:val="21"/>
        </w:rPr>
      </w:pPr>
      <w:r>
        <w:rPr>
          <w:rFonts w:hint="eastAsia" w:ascii="宋体" w:hAnsi="宋体" w:cs="宋体"/>
          <w:szCs w:val="21"/>
        </w:rPr>
        <w:t>（1）保证履行招标文件以及招标文件修改书（如有）中的全部责任和义务，在中标通知书规定的时间内签订合同，并严格按国家有关法规履行我方的全部责任，按质、按量、按期完成合同约定的全部任务。</w:t>
      </w:r>
    </w:p>
    <w:p w14:paraId="0823516C">
      <w:pPr>
        <w:spacing w:line="440" w:lineRule="exact"/>
        <w:ind w:firstLine="420" w:firstLineChars="200"/>
        <w:rPr>
          <w:rFonts w:hint="eastAsia" w:ascii="宋体" w:hAnsi="宋体" w:cs="宋体"/>
          <w:szCs w:val="21"/>
        </w:rPr>
      </w:pPr>
      <w:r>
        <w:rPr>
          <w:rFonts w:hint="eastAsia" w:ascii="宋体" w:hAnsi="宋体" w:cs="宋体"/>
          <w:szCs w:val="21"/>
        </w:rPr>
        <w:t>（2）保证将我方的资质承包范围不能涵盖或不具备相应能力（该能力须保证进度和质量且须获得发包人认可）的部分专业工程（如果有），委托获得发包人批准的具备相应专业资质和能力的单位实施，确保项目质量及进度。</w:t>
      </w:r>
    </w:p>
    <w:p w14:paraId="09D9FF33">
      <w:pPr>
        <w:spacing w:line="440" w:lineRule="exact"/>
        <w:ind w:firstLine="420" w:firstLineChars="200"/>
        <w:rPr>
          <w:rFonts w:hint="eastAsia" w:ascii="宋体" w:hAnsi="宋体" w:cs="宋体"/>
          <w:szCs w:val="21"/>
        </w:rPr>
      </w:pPr>
      <w:r>
        <w:rPr>
          <w:rFonts w:hint="eastAsia" w:ascii="宋体" w:hAnsi="宋体" w:cs="宋体"/>
          <w:szCs w:val="21"/>
        </w:rPr>
        <w:t>（3）保证所完成的设计将完全符合国家相关规范要求，符合或优于招标文件、技术条件、合同条款的要求。若我方完成的设计文件未能达到发包人（或相关政府部门）的要求，我方将无条件根据要求进行修改设计文件，直至得到发包人（及相关政府部门）的认可为止。</w:t>
      </w:r>
    </w:p>
    <w:p w14:paraId="44F84F5E">
      <w:pPr>
        <w:spacing w:line="440" w:lineRule="exact"/>
        <w:ind w:firstLine="420" w:firstLineChars="200"/>
        <w:rPr>
          <w:rFonts w:hint="eastAsia" w:ascii="宋体" w:hAnsi="宋体" w:cs="宋体"/>
          <w:szCs w:val="21"/>
        </w:rPr>
      </w:pPr>
      <w:r>
        <w:rPr>
          <w:rFonts w:hint="eastAsia" w:ascii="宋体" w:hAnsi="宋体" w:cs="宋体"/>
          <w:szCs w:val="21"/>
        </w:rPr>
        <w:t>（4）保证尽一切力量确保投标承诺的竣工日期，若我方未能按投标承诺的工期完成本项目，除承担合同约定的违约责任外，发包人有权解除合同，我方承担由于违约解除合同退场造成的对发包人的一切损失。</w:t>
      </w:r>
    </w:p>
    <w:p w14:paraId="66CBE3E8">
      <w:pPr>
        <w:spacing w:line="440" w:lineRule="exact"/>
        <w:ind w:firstLine="420" w:firstLineChars="200"/>
        <w:rPr>
          <w:rFonts w:hint="eastAsia" w:ascii="宋体" w:hAnsi="宋体" w:cs="宋体"/>
          <w:szCs w:val="21"/>
        </w:rPr>
      </w:pPr>
      <w:r>
        <w:rPr>
          <w:rFonts w:hint="eastAsia" w:ascii="宋体" w:hAnsi="宋体" w:cs="宋体"/>
          <w:szCs w:val="21"/>
        </w:rPr>
        <w:t>（5）保证所投入本项目的主要材料、设备质量符合或优于招标文件要求，所投入本项目的辅助设备、材料与主主要材料、设备质量一致并有良好的配套性。</w:t>
      </w:r>
    </w:p>
    <w:p w14:paraId="43A55F81">
      <w:pPr>
        <w:spacing w:line="440" w:lineRule="exact"/>
        <w:ind w:firstLine="420" w:firstLineChars="200"/>
        <w:rPr>
          <w:rFonts w:hint="eastAsia" w:ascii="宋体" w:hAnsi="宋体" w:cs="宋体"/>
          <w:szCs w:val="21"/>
        </w:rPr>
      </w:pPr>
      <w:r>
        <w:rPr>
          <w:rFonts w:hint="eastAsia" w:ascii="宋体" w:hAnsi="宋体" w:cs="宋体"/>
          <w:szCs w:val="21"/>
        </w:rPr>
        <w:t>（6）保证按照招标文件的要求确保安全生产及文明施工，如有违反，我方愿意按合同约定承担违约责任，并为此负相关的法律责任。</w:t>
      </w:r>
    </w:p>
    <w:p w14:paraId="35200AFC">
      <w:pPr>
        <w:spacing w:line="440" w:lineRule="exact"/>
        <w:ind w:firstLine="420" w:firstLineChars="200"/>
        <w:rPr>
          <w:rFonts w:hint="eastAsia" w:ascii="宋体" w:hAnsi="宋体" w:cs="宋体"/>
          <w:szCs w:val="21"/>
        </w:rPr>
      </w:pPr>
      <w:r>
        <w:rPr>
          <w:rFonts w:hint="eastAsia" w:ascii="宋体" w:hAnsi="宋体" w:cs="宋体"/>
          <w:szCs w:val="21"/>
        </w:rPr>
        <w:t>（7）保证按国家的有关规定制订保证民工工资支付的方案及保证措施，否则，我方愿按合同条款规定承担违约责任并赔偿发包人的全部损失。</w:t>
      </w:r>
    </w:p>
    <w:p w14:paraId="4959854F">
      <w:pPr>
        <w:spacing w:line="440" w:lineRule="exact"/>
        <w:ind w:firstLine="420" w:firstLineChars="200"/>
        <w:rPr>
          <w:rFonts w:hint="eastAsia" w:ascii="宋体" w:hAnsi="宋体" w:cs="宋体"/>
          <w:szCs w:val="21"/>
        </w:rPr>
      </w:pPr>
      <w:r>
        <w:rPr>
          <w:rFonts w:hint="eastAsia" w:ascii="宋体" w:hAnsi="宋体" w:cs="宋体"/>
          <w:szCs w:val="21"/>
        </w:rPr>
        <w:t>（8）保证按施工期间做好安全文明和交通保证措施，施工区全封闭围挡，根据工程进度计划分段施工分期围挡。最大限度满足交通和市民出行方便，施工行为做到便民，不扰民。</w:t>
      </w:r>
    </w:p>
    <w:p w14:paraId="0C96526B">
      <w:pPr>
        <w:spacing w:line="440" w:lineRule="exact"/>
        <w:ind w:firstLine="420" w:firstLineChars="200"/>
        <w:rPr>
          <w:rFonts w:hint="eastAsia" w:ascii="宋体" w:hAnsi="宋体" w:cs="宋体"/>
          <w:szCs w:val="21"/>
        </w:rPr>
      </w:pPr>
      <w:r>
        <w:rPr>
          <w:rFonts w:hint="eastAsia" w:ascii="宋体" w:hAnsi="宋体" w:cs="宋体"/>
          <w:szCs w:val="21"/>
        </w:rPr>
        <w:t>（9）保证按发包方工期要求编制施工进度计划，计划内用全面详实，根据项目特点合理组织分段施工，分段逐步移交。</w:t>
      </w:r>
    </w:p>
    <w:p w14:paraId="68414F58">
      <w:pPr>
        <w:spacing w:line="440" w:lineRule="exact"/>
        <w:ind w:firstLine="420" w:firstLineChars="200"/>
        <w:rPr>
          <w:rFonts w:hint="eastAsia" w:ascii="宋体" w:hAnsi="宋体" w:cs="宋体"/>
          <w:szCs w:val="21"/>
        </w:rPr>
      </w:pPr>
    </w:p>
    <w:p w14:paraId="06CA00E0">
      <w:pPr>
        <w:spacing w:line="440" w:lineRule="exact"/>
        <w:ind w:firstLine="420" w:firstLineChars="200"/>
        <w:rPr>
          <w:rFonts w:hint="eastAsia" w:ascii="宋体" w:hAnsi="宋体" w:cs="宋体"/>
          <w:szCs w:val="21"/>
        </w:rPr>
      </w:pPr>
    </w:p>
    <w:p w14:paraId="1CF6ECFB">
      <w:pPr>
        <w:spacing w:line="360" w:lineRule="auto"/>
        <w:ind w:firstLine="3520" w:firstLineChars="1600"/>
        <w:rPr>
          <w:rFonts w:hint="eastAsia" w:ascii="宋体" w:hAnsi="宋体" w:cs="宋体"/>
          <w:sz w:val="22"/>
        </w:rPr>
      </w:pPr>
    </w:p>
    <w:p w14:paraId="37BD2104">
      <w:pPr>
        <w:spacing w:line="360" w:lineRule="auto"/>
        <w:ind w:firstLine="3520" w:firstLineChars="1600"/>
        <w:rPr>
          <w:rFonts w:hint="eastAsia" w:ascii="宋体" w:hAnsi="宋体" w:cs="宋体"/>
          <w:sz w:val="22"/>
        </w:rPr>
      </w:pPr>
    </w:p>
    <w:p w14:paraId="5945E19A">
      <w:pPr>
        <w:spacing w:line="360" w:lineRule="auto"/>
        <w:ind w:firstLine="3520" w:firstLineChars="1600"/>
        <w:rPr>
          <w:rFonts w:hint="eastAsia" w:ascii="宋体" w:hAnsi="宋体" w:cs="宋体"/>
          <w:sz w:val="22"/>
        </w:rPr>
      </w:pPr>
      <w:r>
        <w:rPr>
          <w:rFonts w:hint="eastAsia" w:ascii="宋体" w:hAnsi="宋体" w:cs="宋体"/>
          <w:sz w:val="22"/>
        </w:rPr>
        <w:t>投标人：    （盖章）</w:t>
      </w:r>
    </w:p>
    <w:p w14:paraId="5D88784B">
      <w:pPr>
        <w:spacing w:line="360" w:lineRule="auto"/>
        <w:ind w:firstLine="3520" w:firstLineChars="1600"/>
        <w:rPr>
          <w:rFonts w:hint="eastAsia" w:ascii="宋体" w:hAnsi="宋体" w:cs="宋体"/>
          <w:sz w:val="22"/>
        </w:rPr>
      </w:pPr>
      <w:r>
        <w:rPr>
          <w:rFonts w:hint="eastAsia" w:ascii="宋体" w:hAnsi="宋体" w:cs="宋体"/>
          <w:sz w:val="22"/>
        </w:rPr>
        <w:t>法定代表人或其授权代理人（签名或盖章）：</w:t>
      </w:r>
    </w:p>
    <w:p w14:paraId="3147262F">
      <w:pPr>
        <w:spacing w:line="360" w:lineRule="auto"/>
        <w:ind w:firstLine="3520" w:firstLineChars="1600"/>
        <w:rPr>
          <w:rFonts w:hint="eastAsia" w:ascii="宋体" w:hAnsi="宋体" w:cs="宋体"/>
          <w:sz w:val="22"/>
        </w:rPr>
      </w:pPr>
      <w:r>
        <w:rPr>
          <w:rFonts w:hint="eastAsia" w:ascii="宋体" w:hAnsi="宋体" w:cs="宋体"/>
          <w:sz w:val="22"/>
        </w:rPr>
        <w:t>日   期：    年    月    日</w:t>
      </w:r>
    </w:p>
    <w:p w14:paraId="096445C0">
      <w:pPr>
        <w:pStyle w:val="13"/>
        <w:spacing w:line="360" w:lineRule="auto"/>
        <w:ind w:firstLine="240" w:firstLineChars="100"/>
        <w:rPr>
          <w:rFonts w:hint="eastAsia" w:hAnsi="宋体" w:cs="宋体"/>
          <w:b/>
          <w:sz w:val="24"/>
          <w:szCs w:val="24"/>
        </w:rPr>
      </w:pPr>
    </w:p>
    <w:p w14:paraId="17D2FBD6">
      <w:pPr>
        <w:pStyle w:val="13"/>
        <w:spacing w:line="360" w:lineRule="auto"/>
        <w:ind w:firstLine="240" w:firstLineChars="100"/>
        <w:rPr>
          <w:rFonts w:hint="eastAsia" w:hAnsi="宋体" w:cs="宋体"/>
          <w:b/>
          <w:sz w:val="24"/>
          <w:szCs w:val="24"/>
        </w:rPr>
      </w:pPr>
    </w:p>
    <w:p w14:paraId="26B144A9">
      <w:pPr>
        <w:pStyle w:val="13"/>
        <w:spacing w:line="360" w:lineRule="auto"/>
        <w:ind w:firstLine="240" w:firstLineChars="100"/>
        <w:rPr>
          <w:rFonts w:hint="eastAsia" w:hAnsi="宋体" w:cs="宋体"/>
          <w:b/>
          <w:sz w:val="24"/>
          <w:szCs w:val="24"/>
        </w:rPr>
      </w:pPr>
    </w:p>
    <w:p w14:paraId="73F42963">
      <w:pPr>
        <w:spacing w:line="360" w:lineRule="auto"/>
        <w:rPr>
          <w:rFonts w:hint="eastAsia" w:ascii="宋体" w:hAnsi="宋体" w:cs="宋体"/>
          <w:b/>
          <w:sz w:val="18"/>
          <w:szCs w:val="18"/>
        </w:rPr>
      </w:pPr>
      <w:r>
        <w:rPr>
          <w:rFonts w:hint="eastAsia" w:ascii="宋体" w:hAnsi="宋体" w:cs="宋体"/>
          <w:b/>
          <w:sz w:val="18"/>
          <w:szCs w:val="18"/>
        </w:rPr>
        <w:t>注：联合体投标的，“投标人”一栏需书写所有联合体成员的单位全称，可由主办方签署、盖章。</w:t>
      </w:r>
    </w:p>
    <w:p w14:paraId="36855C14">
      <w:pPr>
        <w:spacing w:line="360" w:lineRule="auto"/>
        <w:ind w:right="-617" w:rightChars="-294"/>
        <w:outlineLvl w:val="1"/>
        <w:rPr>
          <w:rFonts w:hint="eastAsia" w:ascii="宋体" w:hAnsi="宋体" w:cs="宋体"/>
          <w:b/>
          <w:bCs/>
          <w:sz w:val="24"/>
          <w:lang w:val="zh-CN"/>
        </w:rPr>
      </w:pPr>
      <w:r>
        <w:rPr>
          <w:rFonts w:hint="eastAsia" w:ascii="宋体" w:hAnsi="宋体" w:cs="宋体"/>
          <w:b/>
          <w:sz w:val="24"/>
        </w:rPr>
        <w:br w:type="page"/>
      </w:r>
      <w:bookmarkStart w:id="592" w:name="_Toc57392566"/>
      <w:bookmarkStart w:id="593" w:name="_Toc134304598"/>
      <w:r>
        <w:rPr>
          <w:rFonts w:hint="eastAsia" w:ascii="宋体" w:hAnsi="宋体" w:cs="宋体"/>
          <w:bCs/>
          <w:sz w:val="24"/>
        </w:rPr>
        <w:t>格式</w:t>
      </w:r>
      <w:bookmarkEnd w:id="592"/>
      <w:r>
        <w:rPr>
          <w:rFonts w:hint="eastAsia" w:ascii="宋体" w:hAnsi="宋体" w:cs="宋体"/>
          <w:bCs/>
          <w:sz w:val="24"/>
        </w:rPr>
        <w:t>3</w:t>
      </w:r>
      <w:bookmarkEnd w:id="593"/>
    </w:p>
    <w:p w14:paraId="2736E864">
      <w:pPr>
        <w:autoSpaceDE w:val="0"/>
        <w:autoSpaceDN w:val="0"/>
        <w:adjustRightInd w:val="0"/>
        <w:spacing w:line="360" w:lineRule="auto"/>
        <w:jc w:val="center"/>
        <w:rPr>
          <w:rFonts w:hint="eastAsia" w:ascii="宋体" w:hAnsi="宋体" w:cs="宋体"/>
          <w:b/>
          <w:bCs/>
          <w:sz w:val="36"/>
          <w:szCs w:val="36"/>
          <w:lang w:val="zh-CN"/>
        </w:rPr>
      </w:pPr>
      <w:r>
        <w:rPr>
          <w:rFonts w:hint="eastAsia" w:ascii="宋体" w:hAnsi="宋体" w:cs="宋体"/>
          <w:b/>
          <w:bCs/>
          <w:sz w:val="36"/>
          <w:szCs w:val="36"/>
          <w:lang w:val="zh-CN"/>
        </w:rPr>
        <w:t>项目团队情况</w:t>
      </w:r>
    </w:p>
    <w:p w14:paraId="5EEE05D8">
      <w:pPr>
        <w:autoSpaceDE w:val="0"/>
        <w:autoSpaceDN w:val="0"/>
        <w:adjustRightInd w:val="0"/>
        <w:spacing w:line="360" w:lineRule="auto"/>
        <w:jc w:val="center"/>
        <w:rPr>
          <w:rFonts w:hint="eastAsia" w:ascii="宋体" w:hAnsi="宋体" w:cs="宋体"/>
          <w:bCs/>
          <w:sz w:val="24"/>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64"/>
        <w:gridCol w:w="820"/>
        <w:gridCol w:w="2242"/>
        <w:gridCol w:w="2674"/>
        <w:gridCol w:w="709"/>
      </w:tblGrid>
      <w:tr w14:paraId="6E0BF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5" w:type="dxa"/>
            <w:noWrap w:val="0"/>
            <w:vAlign w:val="center"/>
          </w:tcPr>
          <w:p w14:paraId="57010081">
            <w:pPr>
              <w:adjustRightInd w:val="0"/>
              <w:snapToGrid w:val="0"/>
              <w:ind w:left="-63" w:leftChars="-30" w:right="-63" w:rightChars="-30"/>
              <w:jc w:val="center"/>
              <w:rPr>
                <w:rFonts w:hint="eastAsia" w:ascii="宋体" w:hAnsi="宋体" w:cs="宋体"/>
                <w:b/>
                <w:bCs/>
              </w:rPr>
            </w:pPr>
            <w:r>
              <w:rPr>
                <w:rFonts w:hint="eastAsia" w:ascii="宋体" w:hAnsi="宋体" w:cs="宋体"/>
                <w:b/>
                <w:bCs/>
              </w:rPr>
              <w:t>序号</w:t>
            </w:r>
          </w:p>
        </w:tc>
        <w:tc>
          <w:tcPr>
            <w:tcW w:w="1264" w:type="dxa"/>
            <w:noWrap w:val="0"/>
            <w:vAlign w:val="center"/>
          </w:tcPr>
          <w:p w14:paraId="2517BC75">
            <w:pPr>
              <w:adjustRightInd w:val="0"/>
              <w:snapToGrid w:val="0"/>
              <w:ind w:left="-63" w:leftChars="-30" w:right="-63" w:rightChars="-30"/>
              <w:jc w:val="center"/>
              <w:rPr>
                <w:rFonts w:hint="eastAsia" w:ascii="宋体" w:hAnsi="宋体" w:cs="宋体"/>
                <w:b/>
                <w:bCs/>
              </w:rPr>
            </w:pPr>
            <w:r>
              <w:rPr>
                <w:rFonts w:hint="eastAsia" w:ascii="宋体" w:hAnsi="宋体" w:cs="宋体"/>
                <w:b/>
                <w:bCs/>
              </w:rPr>
              <w:t>职务</w:t>
            </w:r>
          </w:p>
        </w:tc>
        <w:tc>
          <w:tcPr>
            <w:tcW w:w="820" w:type="dxa"/>
            <w:noWrap w:val="0"/>
            <w:vAlign w:val="center"/>
          </w:tcPr>
          <w:p w14:paraId="067BB61C">
            <w:pPr>
              <w:adjustRightInd w:val="0"/>
              <w:snapToGrid w:val="0"/>
              <w:ind w:left="-63" w:leftChars="-30" w:right="-63" w:rightChars="-30"/>
              <w:jc w:val="center"/>
              <w:rPr>
                <w:rFonts w:hint="eastAsia" w:ascii="宋体" w:hAnsi="宋体" w:cs="宋体"/>
                <w:b/>
                <w:bCs/>
              </w:rPr>
            </w:pPr>
            <w:r>
              <w:rPr>
                <w:rFonts w:hint="eastAsia" w:ascii="宋体" w:hAnsi="宋体" w:cs="宋体"/>
                <w:b/>
                <w:bCs/>
              </w:rPr>
              <w:t>姓名</w:t>
            </w:r>
          </w:p>
        </w:tc>
        <w:tc>
          <w:tcPr>
            <w:tcW w:w="2242" w:type="dxa"/>
            <w:noWrap w:val="0"/>
            <w:vAlign w:val="center"/>
          </w:tcPr>
          <w:p w14:paraId="1F7A87BE">
            <w:pPr>
              <w:adjustRightInd w:val="0"/>
              <w:snapToGrid w:val="0"/>
              <w:ind w:left="-63" w:leftChars="-30" w:right="-63" w:rightChars="-30"/>
              <w:jc w:val="center"/>
              <w:rPr>
                <w:rFonts w:hint="eastAsia" w:ascii="宋体" w:hAnsi="宋体" w:cs="宋体"/>
                <w:b/>
                <w:bCs/>
              </w:rPr>
            </w:pPr>
            <w:r>
              <w:rPr>
                <w:rFonts w:hint="eastAsia" w:ascii="宋体" w:hAnsi="宋体" w:cs="宋体"/>
                <w:b/>
                <w:bCs/>
              </w:rPr>
              <w:t>职称或执业资格</w:t>
            </w:r>
            <w:r>
              <w:rPr>
                <w:rFonts w:ascii="宋体" w:hAnsi="宋体" w:cs="宋体"/>
                <w:b/>
                <w:bCs/>
              </w:rPr>
              <w:t>专业</w:t>
            </w:r>
          </w:p>
        </w:tc>
        <w:tc>
          <w:tcPr>
            <w:tcW w:w="2674" w:type="dxa"/>
            <w:noWrap w:val="0"/>
            <w:vAlign w:val="center"/>
          </w:tcPr>
          <w:p w14:paraId="69C16BE4">
            <w:pPr>
              <w:adjustRightInd w:val="0"/>
              <w:snapToGrid w:val="0"/>
              <w:ind w:left="-63" w:leftChars="-30" w:right="-63" w:rightChars="-30"/>
              <w:jc w:val="center"/>
              <w:rPr>
                <w:rFonts w:hint="eastAsia" w:ascii="宋体" w:hAnsi="宋体" w:cs="宋体"/>
                <w:b/>
                <w:bCs/>
              </w:rPr>
            </w:pPr>
            <w:r>
              <w:rPr>
                <w:rFonts w:hint="eastAsia" w:ascii="宋体" w:hAnsi="宋体" w:cs="宋体"/>
                <w:b/>
                <w:bCs/>
              </w:rPr>
              <w:t>职称证书或资格证书编号</w:t>
            </w:r>
          </w:p>
        </w:tc>
        <w:tc>
          <w:tcPr>
            <w:tcW w:w="709" w:type="dxa"/>
            <w:noWrap w:val="0"/>
            <w:vAlign w:val="center"/>
          </w:tcPr>
          <w:p w14:paraId="13CCC423">
            <w:pPr>
              <w:adjustRightInd w:val="0"/>
              <w:snapToGrid w:val="0"/>
              <w:ind w:left="-63" w:leftChars="-30" w:right="-63" w:rightChars="-30"/>
              <w:jc w:val="center"/>
              <w:rPr>
                <w:rFonts w:hint="eastAsia" w:ascii="宋体" w:hAnsi="宋体" w:cs="宋体"/>
                <w:b/>
                <w:bCs/>
                <w:szCs w:val="20"/>
              </w:rPr>
            </w:pPr>
            <w:r>
              <w:rPr>
                <w:rFonts w:hint="eastAsia" w:ascii="宋体" w:hAnsi="宋体" w:cs="宋体"/>
                <w:b/>
                <w:bCs/>
                <w:szCs w:val="20"/>
              </w:rPr>
              <w:t>备注</w:t>
            </w:r>
          </w:p>
        </w:tc>
      </w:tr>
      <w:tr w14:paraId="3096E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noWrap w:val="0"/>
            <w:vAlign w:val="center"/>
          </w:tcPr>
          <w:p w14:paraId="6B6EF034">
            <w:pPr>
              <w:adjustRightInd w:val="0"/>
              <w:snapToGrid w:val="0"/>
              <w:ind w:left="-53" w:leftChars="-25" w:right="-53" w:rightChars="-25"/>
              <w:jc w:val="center"/>
              <w:rPr>
                <w:rFonts w:hint="eastAsia" w:ascii="宋体" w:hAnsi="宋体" w:cs="宋体"/>
                <w:bCs/>
              </w:rPr>
            </w:pPr>
          </w:p>
        </w:tc>
        <w:tc>
          <w:tcPr>
            <w:tcW w:w="1264" w:type="dxa"/>
            <w:noWrap w:val="0"/>
            <w:vAlign w:val="center"/>
          </w:tcPr>
          <w:p w14:paraId="19EB3138">
            <w:pPr>
              <w:adjustRightInd w:val="0"/>
              <w:snapToGrid w:val="0"/>
              <w:ind w:left="-53" w:leftChars="-25" w:right="-53" w:rightChars="-25"/>
              <w:jc w:val="center"/>
              <w:rPr>
                <w:rFonts w:hint="eastAsia" w:ascii="宋体" w:hAnsi="宋体" w:cs="宋体"/>
                <w:bCs/>
              </w:rPr>
            </w:pPr>
          </w:p>
        </w:tc>
        <w:tc>
          <w:tcPr>
            <w:tcW w:w="820" w:type="dxa"/>
            <w:noWrap w:val="0"/>
            <w:vAlign w:val="center"/>
          </w:tcPr>
          <w:p w14:paraId="70C3A739">
            <w:pPr>
              <w:adjustRightInd w:val="0"/>
              <w:snapToGrid w:val="0"/>
              <w:ind w:left="-53" w:leftChars="-25" w:right="-53" w:rightChars="-25"/>
              <w:jc w:val="center"/>
              <w:rPr>
                <w:rFonts w:hint="eastAsia" w:ascii="宋体" w:hAnsi="宋体" w:cs="宋体"/>
                <w:bCs/>
              </w:rPr>
            </w:pPr>
          </w:p>
        </w:tc>
        <w:tc>
          <w:tcPr>
            <w:tcW w:w="2242" w:type="dxa"/>
            <w:noWrap w:val="0"/>
            <w:vAlign w:val="center"/>
          </w:tcPr>
          <w:p w14:paraId="419E1A9D">
            <w:pPr>
              <w:adjustRightInd w:val="0"/>
              <w:snapToGrid w:val="0"/>
              <w:ind w:left="-53" w:leftChars="-25" w:right="-53" w:rightChars="-25"/>
              <w:jc w:val="center"/>
              <w:rPr>
                <w:rFonts w:hint="eastAsia" w:ascii="宋体" w:hAnsi="宋体" w:cs="宋体"/>
                <w:bCs/>
              </w:rPr>
            </w:pPr>
          </w:p>
        </w:tc>
        <w:tc>
          <w:tcPr>
            <w:tcW w:w="2674" w:type="dxa"/>
            <w:noWrap w:val="0"/>
            <w:vAlign w:val="center"/>
          </w:tcPr>
          <w:p w14:paraId="04878D99">
            <w:pPr>
              <w:adjustRightInd w:val="0"/>
              <w:snapToGrid w:val="0"/>
              <w:ind w:left="-53" w:leftChars="-25" w:right="-53" w:rightChars="-25"/>
              <w:jc w:val="center"/>
              <w:rPr>
                <w:rFonts w:hint="eastAsia" w:ascii="宋体" w:hAnsi="宋体" w:cs="宋体"/>
                <w:bCs/>
              </w:rPr>
            </w:pPr>
          </w:p>
        </w:tc>
        <w:tc>
          <w:tcPr>
            <w:tcW w:w="709" w:type="dxa"/>
            <w:noWrap w:val="0"/>
            <w:vAlign w:val="center"/>
          </w:tcPr>
          <w:p w14:paraId="01071A1A">
            <w:pPr>
              <w:adjustRightInd w:val="0"/>
              <w:snapToGrid w:val="0"/>
              <w:ind w:left="-53" w:leftChars="-25" w:right="-53" w:rightChars="-25"/>
              <w:jc w:val="center"/>
              <w:rPr>
                <w:rFonts w:hint="eastAsia" w:ascii="宋体" w:hAnsi="宋体" w:cs="宋体"/>
                <w:bCs/>
              </w:rPr>
            </w:pPr>
          </w:p>
        </w:tc>
      </w:tr>
      <w:tr w14:paraId="2A3F3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noWrap w:val="0"/>
            <w:vAlign w:val="center"/>
          </w:tcPr>
          <w:p w14:paraId="39C25E73">
            <w:pPr>
              <w:adjustRightInd w:val="0"/>
              <w:snapToGrid w:val="0"/>
              <w:ind w:left="-53" w:leftChars="-25" w:right="-53" w:rightChars="-25"/>
              <w:jc w:val="center"/>
              <w:rPr>
                <w:rFonts w:hint="eastAsia" w:ascii="宋体" w:hAnsi="宋体" w:cs="宋体"/>
                <w:bCs/>
              </w:rPr>
            </w:pPr>
          </w:p>
        </w:tc>
        <w:tc>
          <w:tcPr>
            <w:tcW w:w="1264" w:type="dxa"/>
            <w:noWrap w:val="0"/>
            <w:vAlign w:val="center"/>
          </w:tcPr>
          <w:p w14:paraId="13E1A6F6">
            <w:pPr>
              <w:adjustRightInd w:val="0"/>
              <w:snapToGrid w:val="0"/>
              <w:ind w:left="-53" w:leftChars="-25" w:right="-53" w:rightChars="-25"/>
              <w:jc w:val="center"/>
              <w:rPr>
                <w:rFonts w:hint="eastAsia" w:ascii="宋体" w:hAnsi="宋体" w:cs="宋体"/>
                <w:bCs/>
              </w:rPr>
            </w:pPr>
          </w:p>
        </w:tc>
        <w:tc>
          <w:tcPr>
            <w:tcW w:w="820" w:type="dxa"/>
            <w:noWrap w:val="0"/>
            <w:vAlign w:val="center"/>
          </w:tcPr>
          <w:p w14:paraId="38B8BE1B">
            <w:pPr>
              <w:adjustRightInd w:val="0"/>
              <w:snapToGrid w:val="0"/>
              <w:ind w:left="-53" w:leftChars="-25" w:right="-53" w:rightChars="-25"/>
              <w:jc w:val="center"/>
              <w:rPr>
                <w:rFonts w:hint="eastAsia" w:ascii="宋体" w:hAnsi="宋体" w:cs="宋体"/>
                <w:bCs/>
              </w:rPr>
            </w:pPr>
          </w:p>
        </w:tc>
        <w:tc>
          <w:tcPr>
            <w:tcW w:w="2242" w:type="dxa"/>
            <w:noWrap w:val="0"/>
            <w:vAlign w:val="center"/>
          </w:tcPr>
          <w:p w14:paraId="203D95FC">
            <w:pPr>
              <w:adjustRightInd w:val="0"/>
              <w:snapToGrid w:val="0"/>
              <w:ind w:left="-53" w:leftChars="-25" w:right="-53" w:rightChars="-25"/>
              <w:jc w:val="center"/>
              <w:rPr>
                <w:rFonts w:hint="eastAsia" w:ascii="宋体" w:hAnsi="宋体" w:cs="宋体"/>
                <w:bCs/>
              </w:rPr>
            </w:pPr>
          </w:p>
        </w:tc>
        <w:tc>
          <w:tcPr>
            <w:tcW w:w="2674" w:type="dxa"/>
            <w:noWrap w:val="0"/>
            <w:vAlign w:val="center"/>
          </w:tcPr>
          <w:p w14:paraId="55801C63">
            <w:pPr>
              <w:adjustRightInd w:val="0"/>
              <w:snapToGrid w:val="0"/>
              <w:ind w:left="-53" w:leftChars="-25" w:right="-53" w:rightChars="-25"/>
              <w:jc w:val="center"/>
              <w:rPr>
                <w:rFonts w:hint="eastAsia" w:ascii="宋体" w:hAnsi="宋体" w:cs="宋体"/>
                <w:bCs/>
              </w:rPr>
            </w:pPr>
          </w:p>
        </w:tc>
        <w:tc>
          <w:tcPr>
            <w:tcW w:w="709" w:type="dxa"/>
            <w:noWrap w:val="0"/>
            <w:vAlign w:val="center"/>
          </w:tcPr>
          <w:p w14:paraId="09817F35">
            <w:pPr>
              <w:adjustRightInd w:val="0"/>
              <w:snapToGrid w:val="0"/>
              <w:ind w:left="-53" w:leftChars="-25" w:right="-53" w:rightChars="-25"/>
              <w:jc w:val="center"/>
              <w:rPr>
                <w:rFonts w:hint="eastAsia" w:ascii="宋体" w:hAnsi="宋体" w:cs="宋体"/>
                <w:bCs/>
              </w:rPr>
            </w:pPr>
          </w:p>
        </w:tc>
      </w:tr>
      <w:tr w14:paraId="7EA92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noWrap w:val="0"/>
            <w:vAlign w:val="center"/>
          </w:tcPr>
          <w:p w14:paraId="34B2FEB7">
            <w:pPr>
              <w:adjustRightInd w:val="0"/>
              <w:snapToGrid w:val="0"/>
              <w:ind w:left="-53" w:leftChars="-25" w:right="-53" w:rightChars="-25"/>
              <w:jc w:val="center"/>
              <w:rPr>
                <w:rFonts w:hint="eastAsia" w:ascii="宋体" w:hAnsi="宋体" w:cs="宋体"/>
                <w:bCs/>
              </w:rPr>
            </w:pPr>
          </w:p>
        </w:tc>
        <w:tc>
          <w:tcPr>
            <w:tcW w:w="1264" w:type="dxa"/>
            <w:noWrap w:val="0"/>
            <w:vAlign w:val="center"/>
          </w:tcPr>
          <w:p w14:paraId="1B2FDBD0">
            <w:pPr>
              <w:adjustRightInd w:val="0"/>
              <w:snapToGrid w:val="0"/>
              <w:ind w:left="-53" w:leftChars="-25" w:right="-53" w:rightChars="-25"/>
              <w:jc w:val="center"/>
              <w:rPr>
                <w:rFonts w:hint="eastAsia" w:ascii="宋体" w:hAnsi="宋体" w:cs="宋体"/>
                <w:bCs/>
              </w:rPr>
            </w:pPr>
          </w:p>
        </w:tc>
        <w:tc>
          <w:tcPr>
            <w:tcW w:w="820" w:type="dxa"/>
            <w:noWrap w:val="0"/>
            <w:vAlign w:val="center"/>
          </w:tcPr>
          <w:p w14:paraId="2FD35316">
            <w:pPr>
              <w:adjustRightInd w:val="0"/>
              <w:snapToGrid w:val="0"/>
              <w:ind w:left="-53" w:leftChars="-25" w:right="-53" w:rightChars="-25"/>
              <w:jc w:val="center"/>
              <w:rPr>
                <w:rFonts w:hint="eastAsia" w:ascii="宋体" w:hAnsi="宋体" w:cs="宋体"/>
                <w:bCs/>
              </w:rPr>
            </w:pPr>
          </w:p>
        </w:tc>
        <w:tc>
          <w:tcPr>
            <w:tcW w:w="2242" w:type="dxa"/>
            <w:noWrap w:val="0"/>
            <w:vAlign w:val="center"/>
          </w:tcPr>
          <w:p w14:paraId="22298472">
            <w:pPr>
              <w:adjustRightInd w:val="0"/>
              <w:snapToGrid w:val="0"/>
              <w:ind w:left="-53" w:leftChars="-25" w:right="-53" w:rightChars="-25"/>
              <w:jc w:val="center"/>
              <w:rPr>
                <w:rFonts w:hint="eastAsia" w:ascii="宋体" w:hAnsi="宋体" w:cs="宋体"/>
                <w:bCs/>
              </w:rPr>
            </w:pPr>
          </w:p>
        </w:tc>
        <w:tc>
          <w:tcPr>
            <w:tcW w:w="2674" w:type="dxa"/>
            <w:noWrap w:val="0"/>
            <w:vAlign w:val="center"/>
          </w:tcPr>
          <w:p w14:paraId="60E78A2F">
            <w:pPr>
              <w:adjustRightInd w:val="0"/>
              <w:snapToGrid w:val="0"/>
              <w:ind w:left="-53" w:leftChars="-25" w:right="-53" w:rightChars="-25"/>
              <w:jc w:val="center"/>
              <w:rPr>
                <w:rFonts w:hint="eastAsia" w:ascii="宋体" w:hAnsi="宋体" w:cs="宋体"/>
                <w:bCs/>
              </w:rPr>
            </w:pPr>
          </w:p>
        </w:tc>
        <w:tc>
          <w:tcPr>
            <w:tcW w:w="709" w:type="dxa"/>
            <w:noWrap w:val="0"/>
            <w:vAlign w:val="center"/>
          </w:tcPr>
          <w:p w14:paraId="57B9738B">
            <w:pPr>
              <w:adjustRightInd w:val="0"/>
              <w:snapToGrid w:val="0"/>
              <w:ind w:left="-53" w:leftChars="-25" w:right="-53" w:rightChars="-25"/>
              <w:jc w:val="center"/>
              <w:rPr>
                <w:rFonts w:hint="eastAsia" w:ascii="宋体" w:hAnsi="宋体" w:cs="宋体"/>
                <w:bCs/>
              </w:rPr>
            </w:pPr>
          </w:p>
        </w:tc>
      </w:tr>
      <w:tr w14:paraId="6327E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noWrap w:val="0"/>
            <w:vAlign w:val="center"/>
          </w:tcPr>
          <w:p w14:paraId="655A1698">
            <w:pPr>
              <w:adjustRightInd w:val="0"/>
              <w:snapToGrid w:val="0"/>
              <w:ind w:left="-53" w:leftChars="-25" w:right="-53" w:rightChars="-25"/>
              <w:jc w:val="center"/>
              <w:rPr>
                <w:rFonts w:hint="eastAsia" w:ascii="宋体" w:hAnsi="宋体" w:cs="宋体"/>
                <w:bCs/>
              </w:rPr>
            </w:pPr>
          </w:p>
        </w:tc>
        <w:tc>
          <w:tcPr>
            <w:tcW w:w="1264" w:type="dxa"/>
            <w:noWrap w:val="0"/>
            <w:vAlign w:val="center"/>
          </w:tcPr>
          <w:p w14:paraId="2459AD84">
            <w:pPr>
              <w:adjustRightInd w:val="0"/>
              <w:snapToGrid w:val="0"/>
              <w:ind w:left="-53" w:leftChars="-25" w:right="-53" w:rightChars="-25"/>
              <w:jc w:val="center"/>
              <w:rPr>
                <w:rFonts w:hint="eastAsia" w:ascii="宋体" w:hAnsi="宋体" w:cs="宋体"/>
                <w:bCs/>
              </w:rPr>
            </w:pPr>
          </w:p>
        </w:tc>
        <w:tc>
          <w:tcPr>
            <w:tcW w:w="820" w:type="dxa"/>
            <w:noWrap w:val="0"/>
            <w:vAlign w:val="center"/>
          </w:tcPr>
          <w:p w14:paraId="46B550B0">
            <w:pPr>
              <w:adjustRightInd w:val="0"/>
              <w:snapToGrid w:val="0"/>
              <w:ind w:left="-53" w:leftChars="-25" w:right="-53" w:rightChars="-25"/>
              <w:jc w:val="center"/>
              <w:rPr>
                <w:rFonts w:hint="eastAsia" w:ascii="宋体" w:hAnsi="宋体" w:cs="宋体"/>
                <w:bCs/>
              </w:rPr>
            </w:pPr>
          </w:p>
        </w:tc>
        <w:tc>
          <w:tcPr>
            <w:tcW w:w="2242" w:type="dxa"/>
            <w:noWrap w:val="0"/>
            <w:vAlign w:val="center"/>
          </w:tcPr>
          <w:p w14:paraId="7EE3C5B6">
            <w:pPr>
              <w:adjustRightInd w:val="0"/>
              <w:snapToGrid w:val="0"/>
              <w:ind w:left="-53" w:leftChars="-25" w:right="-53" w:rightChars="-25"/>
              <w:jc w:val="center"/>
              <w:rPr>
                <w:rFonts w:hint="eastAsia" w:ascii="宋体" w:hAnsi="宋体" w:cs="宋体"/>
                <w:bCs/>
              </w:rPr>
            </w:pPr>
          </w:p>
        </w:tc>
        <w:tc>
          <w:tcPr>
            <w:tcW w:w="2674" w:type="dxa"/>
            <w:noWrap w:val="0"/>
            <w:vAlign w:val="center"/>
          </w:tcPr>
          <w:p w14:paraId="12056860">
            <w:pPr>
              <w:adjustRightInd w:val="0"/>
              <w:snapToGrid w:val="0"/>
              <w:ind w:left="-53" w:leftChars="-25" w:right="-53" w:rightChars="-25"/>
              <w:jc w:val="center"/>
              <w:rPr>
                <w:rFonts w:hint="eastAsia" w:ascii="宋体" w:hAnsi="宋体" w:cs="宋体"/>
                <w:bCs/>
              </w:rPr>
            </w:pPr>
          </w:p>
        </w:tc>
        <w:tc>
          <w:tcPr>
            <w:tcW w:w="709" w:type="dxa"/>
            <w:noWrap w:val="0"/>
            <w:vAlign w:val="center"/>
          </w:tcPr>
          <w:p w14:paraId="2C5585D1">
            <w:pPr>
              <w:adjustRightInd w:val="0"/>
              <w:snapToGrid w:val="0"/>
              <w:ind w:left="-53" w:leftChars="-25" w:right="-53" w:rightChars="-25"/>
              <w:jc w:val="center"/>
              <w:rPr>
                <w:rFonts w:hint="eastAsia" w:ascii="宋体" w:hAnsi="宋体" w:cs="宋体"/>
                <w:bCs/>
              </w:rPr>
            </w:pPr>
          </w:p>
        </w:tc>
      </w:tr>
      <w:tr w14:paraId="69A5C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noWrap w:val="0"/>
            <w:vAlign w:val="center"/>
          </w:tcPr>
          <w:p w14:paraId="7601CEEC">
            <w:pPr>
              <w:adjustRightInd w:val="0"/>
              <w:snapToGrid w:val="0"/>
              <w:ind w:left="-53" w:leftChars="-25" w:right="-53" w:rightChars="-25"/>
              <w:jc w:val="center"/>
              <w:rPr>
                <w:rFonts w:hint="eastAsia" w:ascii="宋体" w:hAnsi="宋体" w:cs="宋体"/>
                <w:bCs/>
              </w:rPr>
            </w:pPr>
          </w:p>
        </w:tc>
        <w:tc>
          <w:tcPr>
            <w:tcW w:w="1264" w:type="dxa"/>
            <w:noWrap w:val="0"/>
            <w:vAlign w:val="center"/>
          </w:tcPr>
          <w:p w14:paraId="74AA126B">
            <w:pPr>
              <w:adjustRightInd w:val="0"/>
              <w:snapToGrid w:val="0"/>
              <w:ind w:left="-53" w:leftChars="-25" w:right="-53" w:rightChars="-25"/>
              <w:jc w:val="center"/>
              <w:rPr>
                <w:rFonts w:hint="eastAsia" w:ascii="宋体" w:hAnsi="宋体" w:cs="宋体"/>
                <w:bCs/>
              </w:rPr>
            </w:pPr>
          </w:p>
        </w:tc>
        <w:tc>
          <w:tcPr>
            <w:tcW w:w="820" w:type="dxa"/>
            <w:noWrap w:val="0"/>
            <w:vAlign w:val="center"/>
          </w:tcPr>
          <w:p w14:paraId="5215B17F">
            <w:pPr>
              <w:adjustRightInd w:val="0"/>
              <w:snapToGrid w:val="0"/>
              <w:ind w:left="-53" w:leftChars="-25" w:right="-53" w:rightChars="-25"/>
              <w:jc w:val="center"/>
              <w:rPr>
                <w:rFonts w:hint="eastAsia" w:ascii="宋体" w:hAnsi="宋体" w:cs="宋体"/>
                <w:bCs/>
              </w:rPr>
            </w:pPr>
          </w:p>
        </w:tc>
        <w:tc>
          <w:tcPr>
            <w:tcW w:w="2242" w:type="dxa"/>
            <w:noWrap w:val="0"/>
            <w:vAlign w:val="center"/>
          </w:tcPr>
          <w:p w14:paraId="0DB36D4A">
            <w:pPr>
              <w:adjustRightInd w:val="0"/>
              <w:snapToGrid w:val="0"/>
              <w:ind w:left="-53" w:leftChars="-25" w:right="-53" w:rightChars="-25"/>
              <w:jc w:val="center"/>
              <w:rPr>
                <w:rFonts w:hint="eastAsia" w:ascii="宋体" w:hAnsi="宋体" w:cs="宋体"/>
                <w:bCs/>
              </w:rPr>
            </w:pPr>
          </w:p>
        </w:tc>
        <w:tc>
          <w:tcPr>
            <w:tcW w:w="2674" w:type="dxa"/>
            <w:noWrap w:val="0"/>
            <w:vAlign w:val="center"/>
          </w:tcPr>
          <w:p w14:paraId="075CAE7F">
            <w:pPr>
              <w:adjustRightInd w:val="0"/>
              <w:snapToGrid w:val="0"/>
              <w:ind w:left="-53" w:leftChars="-25" w:right="-53" w:rightChars="-25"/>
              <w:jc w:val="center"/>
              <w:rPr>
                <w:rFonts w:hint="eastAsia" w:ascii="宋体" w:hAnsi="宋体" w:cs="宋体"/>
                <w:bCs/>
              </w:rPr>
            </w:pPr>
          </w:p>
        </w:tc>
        <w:tc>
          <w:tcPr>
            <w:tcW w:w="709" w:type="dxa"/>
            <w:noWrap w:val="0"/>
            <w:vAlign w:val="center"/>
          </w:tcPr>
          <w:p w14:paraId="5DDE0547">
            <w:pPr>
              <w:adjustRightInd w:val="0"/>
              <w:snapToGrid w:val="0"/>
              <w:ind w:left="-53" w:leftChars="-25" w:right="-53" w:rightChars="-25"/>
              <w:jc w:val="center"/>
              <w:rPr>
                <w:rFonts w:hint="eastAsia" w:ascii="宋体" w:hAnsi="宋体" w:cs="宋体"/>
                <w:bCs/>
              </w:rPr>
            </w:pPr>
          </w:p>
        </w:tc>
      </w:tr>
      <w:tr w14:paraId="4948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noWrap w:val="0"/>
            <w:vAlign w:val="center"/>
          </w:tcPr>
          <w:p w14:paraId="315FEC1B">
            <w:pPr>
              <w:adjustRightInd w:val="0"/>
              <w:snapToGrid w:val="0"/>
              <w:ind w:left="-53" w:leftChars="-25" w:right="-53" w:rightChars="-25"/>
              <w:jc w:val="center"/>
              <w:rPr>
                <w:rFonts w:hint="eastAsia" w:ascii="宋体" w:hAnsi="宋体" w:cs="宋体"/>
                <w:bCs/>
              </w:rPr>
            </w:pPr>
          </w:p>
        </w:tc>
        <w:tc>
          <w:tcPr>
            <w:tcW w:w="1264" w:type="dxa"/>
            <w:noWrap w:val="0"/>
            <w:vAlign w:val="center"/>
          </w:tcPr>
          <w:p w14:paraId="38D06863">
            <w:pPr>
              <w:adjustRightInd w:val="0"/>
              <w:snapToGrid w:val="0"/>
              <w:ind w:left="-53" w:leftChars="-25" w:right="-53" w:rightChars="-25"/>
              <w:jc w:val="center"/>
              <w:rPr>
                <w:rFonts w:hint="eastAsia" w:ascii="宋体" w:hAnsi="宋体" w:cs="宋体"/>
                <w:bCs/>
              </w:rPr>
            </w:pPr>
          </w:p>
        </w:tc>
        <w:tc>
          <w:tcPr>
            <w:tcW w:w="820" w:type="dxa"/>
            <w:noWrap w:val="0"/>
            <w:vAlign w:val="center"/>
          </w:tcPr>
          <w:p w14:paraId="696CD570">
            <w:pPr>
              <w:adjustRightInd w:val="0"/>
              <w:snapToGrid w:val="0"/>
              <w:ind w:left="-53" w:leftChars="-25" w:right="-53" w:rightChars="-25"/>
              <w:jc w:val="center"/>
              <w:rPr>
                <w:rFonts w:hint="eastAsia" w:ascii="宋体" w:hAnsi="宋体" w:cs="宋体"/>
                <w:bCs/>
              </w:rPr>
            </w:pPr>
          </w:p>
        </w:tc>
        <w:tc>
          <w:tcPr>
            <w:tcW w:w="2242" w:type="dxa"/>
            <w:noWrap w:val="0"/>
            <w:vAlign w:val="center"/>
          </w:tcPr>
          <w:p w14:paraId="5AEA13AA">
            <w:pPr>
              <w:adjustRightInd w:val="0"/>
              <w:snapToGrid w:val="0"/>
              <w:ind w:left="-53" w:leftChars="-25" w:right="-53" w:rightChars="-25"/>
              <w:jc w:val="center"/>
              <w:rPr>
                <w:rFonts w:hint="eastAsia" w:ascii="宋体" w:hAnsi="宋体" w:cs="宋体"/>
                <w:bCs/>
              </w:rPr>
            </w:pPr>
          </w:p>
        </w:tc>
        <w:tc>
          <w:tcPr>
            <w:tcW w:w="2674" w:type="dxa"/>
            <w:noWrap w:val="0"/>
            <w:vAlign w:val="center"/>
          </w:tcPr>
          <w:p w14:paraId="71C7934F">
            <w:pPr>
              <w:adjustRightInd w:val="0"/>
              <w:snapToGrid w:val="0"/>
              <w:ind w:left="-53" w:leftChars="-25" w:right="-53" w:rightChars="-25"/>
              <w:jc w:val="center"/>
              <w:rPr>
                <w:rFonts w:hint="eastAsia" w:ascii="宋体" w:hAnsi="宋体" w:cs="宋体"/>
                <w:bCs/>
              </w:rPr>
            </w:pPr>
          </w:p>
        </w:tc>
        <w:tc>
          <w:tcPr>
            <w:tcW w:w="709" w:type="dxa"/>
            <w:noWrap w:val="0"/>
            <w:vAlign w:val="center"/>
          </w:tcPr>
          <w:p w14:paraId="10B2063D">
            <w:pPr>
              <w:adjustRightInd w:val="0"/>
              <w:snapToGrid w:val="0"/>
              <w:ind w:left="-53" w:leftChars="-25" w:right="-53" w:rightChars="-25"/>
              <w:jc w:val="center"/>
              <w:rPr>
                <w:rFonts w:hint="eastAsia" w:ascii="宋体" w:hAnsi="宋体" w:cs="宋体"/>
                <w:bCs/>
              </w:rPr>
            </w:pPr>
          </w:p>
        </w:tc>
      </w:tr>
      <w:tr w14:paraId="4FA9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noWrap w:val="0"/>
            <w:vAlign w:val="center"/>
          </w:tcPr>
          <w:p w14:paraId="0DCEB797">
            <w:pPr>
              <w:adjustRightInd w:val="0"/>
              <w:snapToGrid w:val="0"/>
              <w:ind w:left="-53" w:leftChars="-25" w:right="-53" w:rightChars="-25"/>
              <w:jc w:val="center"/>
              <w:rPr>
                <w:rFonts w:hint="eastAsia" w:ascii="宋体" w:hAnsi="宋体" w:cs="宋体"/>
                <w:bCs/>
              </w:rPr>
            </w:pPr>
          </w:p>
        </w:tc>
        <w:tc>
          <w:tcPr>
            <w:tcW w:w="1264" w:type="dxa"/>
            <w:noWrap w:val="0"/>
            <w:vAlign w:val="center"/>
          </w:tcPr>
          <w:p w14:paraId="3DEE1802">
            <w:pPr>
              <w:adjustRightInd w:val="0"/>
              <w:snapToGrid w:val="0"/>
              <w:ind w:left="-53" w:leftChars="-25" w:right="-53" w:rightChars="-25"/>
              <w:jc w:val="center"/>
              <w:rPr>
                <w:rFonts w:hint="eastAsia" w:ascii="宋体" w:hAnsi="宋体" w:cs="宋体"/>
                <w:bCs/>
              </w:rPr>
            </w:pPr>
          </w:p>
        </w:tc>
        <w:tc>
          <w:tcPr>
            <w:tcW w:w="820" w:type="dxa"/>
            <w:noWrap w:val="0"/>
            <w:vAlign w:val="center"/>
          </w:tcPr>
          <w:p w14:paraId="6AEE9856">
            <w:pPr>
              <w:adjustRightInd w:val="0"/>
              <w:snapToGrid w:val="0"/>
              <w:ind w:left="-53" w:leftChars="-25" w:right="-53" w:rightChars="-25"/>
              <w:jc w:val="center"/>
              <w:rPr>
                <w:rFonts w:hint="eastAsia" w:ascii="宋体" w:hAnsi="宋体" w:cs="宋体"/>
                <w:bCs/>
              </w:rPr>
            </w:pPr>
          </w:p>
        </w:tc>
        <w:tc>
          <w:tcPr>
            <w:tcW w:w="2242" w:type="dxa"/>
            <w:noWrap w:val="0"/>
            <w:vAlign w:val="center"/>
          </w:tcPr>
          <w:p w14:paraId="75328F84">
            <w:pPr>
              <w:adjustRightInd w:val="0"/>
              <w:snapToGrid w:val="0"/>
              <w:ind w:left="-53" w:leftChars="-25" w:right="-53" w:rightChars="-25"/>
              <w:jc w:val="center"/>
              <w:rPr>
                <w:rFonts w:hint="eastAsia" w:ascii="宋体" w:hAnsi="宋体" w:cs="宋体"/>
                <w:bCs/>
              </w:rPr>
            </w:pPr>
          </w:p>
        </w:tc>
        <w:tc>
          <w:tcPr>
            <w:tcW w:w="2674" w:type="dxa"/>
            <w:noWrap w:val="0"/>
            <w:vAlign w:val="center"/>
          </w:tcPr>
          <w:p w14:paraId="5BCF7046">
            <w:pPr>
              <w:adjustRightInd w:val="0"/>
              <w:snapToGrid w:val="0"/>
              <w:ind w:left="-53" w:leftChars="-25" w:right="-53" w:rightChars="-25"/>
              <w:jc w:val="center"/>
              <w:rPr>
                <w:rFonts w:hint="eastAsia" w:ascii="宋体" w:hAnsi="宋体" w:cs="宋体"/>
                <w:bCs/>
              </w:rPr>
            </w:pPr>
          </w:p>
        </w:tc>
        <w:tc>
          <w:tcPr>
            <w:tcW w:w="709" w:type="dxa"/>
            <w:noWrap w:val="0"/>
            <w:vAlign w:val="center"/>
          </w:tcPr>
          <w:p w14:paraId="1201A41D">
            <w:pPr>
              <w:adjustRightInd w:val="0"/>
              <w:snapToGrid w:val="0"/>
              <w:ind w:left="-53" w:leftChars="-25" w:right="-53" w:rightChars="-25"/>
              <w:jc w:val="center"/>
              <w:rPr>
                <w:rFonts w:hint="eastAsia" w:ascii="宋体" w:hAnsi="宋体" w:cs="宋体"/>
                <w:bCs/>
              </w:rPr>
            </w:pPr>
          </w:p>
        </w:tc>
      </w:tr>
      <w:tr w14:paraId="0F75D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noWrap w:val="0"/>
            <w:vAlign w:val="center"/>
          </w:tcPr>
          <w:p w14:paraId="606E0DD3">
            <w:pPr>
              <w:adjustRightInd w:val="0"/>
              <w:snapToGrid w:val="0"/>
              <w:ind w:left="-53" w:leftChars="-25" w:right="-53" w:rightChars="-25"/>
              <w:jc w:val="center"/>
              <w:rPr>
                <w:rFonts w:hint="eastAsia" w:ascii="宋体" w:hAnsi="宋体" w:cs="宋体"/>
                <w:bCs/>
              </w:rPr>
            </w:pPr>
          </w:p>
        </w:tc>
        <w:tc>
          <w:tcPr>
            <w:tcW w:w="1264" w:type="dxa"/>
            <w:noWrap w:val="0"/>
            <w:vAlign w:val="center"/>
          </w:tcPr>
          <w:p w14:paraId="3D844EDC">
            <w:pPr>
              <w:adjustRightInd w:val="0"/>
              <w:snapToGrid w:val="0"/>
              <w:ind w:left="-53" w:leftChars="-25" w:right="-53" w:rightChars="-25"/>
              <w:jc w:val="center"/>
              <w:rPr>
                <w:rFonts w:hint="eastAsia" w:ascii="宋体" w:hAnsi="宋体" w:cs="宋体"/>
                <w:bCs/>
              </w:rPr>
            </w:pPr>
          </w:p>
        </w:tc>
        <w:tc>
          <w:tcPr>
            <w:tcW w:w="820" w:type="dxa"/>
            <w:noWrap w:val="0"/>
            <w:vAlign w:val="center"/>
          </w:tcPr>
          <w:p w14:paraId="504B073E">
            <w:pPr>
              <w:adjustRightInd w:val="0"/>
              <w:snapToGrid w:val="0"/>
              <w:ind w:left="-53" w:leftChars="-25" w:right="-53" w:rightChars="-25"/>
              <w:jc w:val="center"/>
              <w:rPr>
                <w:rFonts w:hint="eastAsia" w:ascii="宋体" w:hAnsi="宋体" w:cs="宋体"/>
                <w:bCs/>
              </w:rPr>
            </w:pPr>
          </w:p>
        </w:tc>
        <w:tc>
          <w:tcPr>
            <w:tcW w:w="2242" w:type="dxa"/>
            <w:noWrap w:val="0"/>
            <w:vAlign w:val="center"/>
          </w:tcPr>
          <w:p w14:paraId="07B92DE6">
            <w:pPr>
              <w:adjustRightInd w:val="0"/>
              <w:snapToGrid w:val="0"/>
              <w:ind w:left="-53" w:leftChars="-25" w:right="-53" w:rightChars="-25"/>
              <w:jc w:val="center"/>
              <w:rPr>
                <w:rFonts w:hint="eastAsia" w:ascii="宋体" w:hAnsi="宋体" w:cs="宋体"/>
                <w:bCs/>
              </w:rPr>
            </w:pPr>
          </w:p>
        </w:tc>
        <w:tc>
          <w:tcPr>
            <w:tcW w:w="2674" w:type="dxa"/>
            <w:noWrap w:val="0"/>
            <w:vAlign w:val="center"/>
          </w:tcPr>
          <w:p w14:paraId="26249CBC">
            <w:pPr>
              <w:adjustRightInd w:val="0"/>
              <w:snapToGrid w:val="0"/>
              <w:ind w:left="-53" w:leftChars="-25" w:right="-53" w:rightChars="-25"/>
              <w:jc w:val="center"/>
              <w:rPr>
                <w:rFonts w:hint="eastAsia" w:ascii="宋体" w:hAnsi="宋体" w:cs="宋体"/>
                <w:bCs/>
              </w:rPr>
            </w:pPr>
          </w:p>
        </w:tc>
        <w:tc>
          <w:tcPr>
            <w:tcW w:w="709" w:type="dxa"/>
            <w:noWrap w:val="0"/>
            <w:vAlign w:val="center"/>
          </w:tcPr>
          <w:p w14:paraId="0D656349">
            <w:pPr>
              <w:adjustRightInd w:val="0"/>
              <w:snapToGrid w:val="0"/>
              <w:ind w:left="-53" w:leftChars="-25" w:right="-53" w:rightChars="-25"/>
              <w:jc w:val="center"/>
              <w:rPr>
                <w:rFonts w:hint="eastAsia" w:ascii="宋体" w:hAnsi="宋体" w:cs="宋体"/>
                <w:bCs/>
              </w:rPr>
            </w:pPr>
          </w:p>
        </w:tc>
      </w:tr>
      <w:tr w14:paraId="57F25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noWrap w:val="0"/>
            <w:vAlign w:val="center"/>
          </w:tcPr>
          <w:p w14:paraId="42E06636">
            <w:pPr>
              <w:adjustRightInd w:val="0"/>
              <w:snapToGrid w:val="0"/>
              <w:ind w:left="-53" w:leftChars="-25" w:right="-53" w:rightChars="-25"/>
              <w:jc w:val="center"/>
              <w:rPr>
                <w:rFonts w:hint="eastAsia" w:ascii="宋体" w:hAnsi="宋体" w:cs="宋体"/>
                <w:bCs/>
              </w:rPr>
            </w:pPr>
          </w:p>
        </w:tc>
        <w:tc>
          <w:tcPr>
            <w:tcW w:w="1264" w:type="dxa"/>
            <w:noWrap w:val="0"/>
            <w:vAlign w:val="center"/>
          </w:tcPr>
          <w:p w14:paraId="6FAF2BEE">
            <w:pPr>
              <w:adjustRightInd w:val="0"/>
              <w:snapToGrid w:val="0"/>
              <w:ind w:left="-53" w:leftChars="-25" w:right="-53" w:rightChars="-25"/>
              <w:jc w:val="center"/>
              <w:rPr>
                <w:rFonts w:hint="eastAsia" w:ascii="宋体" w:hAnsi="宋体" w:cs="宋体"/>
                <w:bCs/>
              </w:rPr>
            </w:pPr>
          </w:p>
        </w:tc>
        <w:tc>
          <w:tcPr>
            <w:tcW w:w="820" w:type="dxa"/>
            <w:noWrap w:val="0"/>
            <w:vAlign w:val="center"/>
          </w:tcPr>
          <w:p w14:paraId="677494BE">
            <w:pPr>
              <w:adjustRightInd w:val="0"/>
              <w:snapToGrid w:val="0"/>
              <w:ind w:left="-53" w:leftChars="-25" w:right="-53" w:rightChars="-25"/>
              <w:jc w:val="center"/>
              <w:rPr>
                <w:rFonts w:hint="eastAsia" w:ascii="宋体" w:hAnsi="宋体" w:cs="宋体"/>
                <w:bCs/>
              </w:rPr>
            </w:pPr>
          </w:p>
        </w:tc>
        <w:tc>
          <w:tcPr>
            <w:tcW w:w="2242" w:type="dxa"/>
            <w:noWrap w:val="0"/>
            <w:vAlign w:val="center"/>
          </w:tcPr>
          <w:p w14:paraId="17190829">
            <w:pPr>
              <w:adjustRightInd w:val="0"/>
              <w:snapToGrid w:val="0"/>
              <w:ind w:left="-53" w:leftChars="-25" w:right="-53" w:rightChars="-25"/>
              <w:jc w:val="center"/>
              <w:rPr>
                <w:rFonts w:hint="eastAsia" w:ascii="宋体" w:hAnsi="宋体" w:cs="宋体"/>
                <w:bCs/>
              </w:rPr>
            </w:pPr>
          </w:p>
        </w:tc>
        <w:tc>
          <w:tcPr>
            <w:tcW w:w="2674" w:type="dxa"/>
            <w:noWrap w:val="0"/>
            <w:vAlign w:val="center"/>
          </w:tcPr>
          <w:p w14:paraId="5480F426">
            <w:pPr>
              <w:adjustRightInd w:val="0"/>
              <w:snapToGrid w:val="0"/>
              <w:ind w:left="-53" w:leftChars="-25" w:right="-53" w:rightChars="-25"/>
              <w:jc w:val="center"/>
              <w:rPr>
                <w:rFonts w:hint="eastAsia" w:ascii="宋体" w:hAnsi="宋体" w:cs="宋体"/>
                <w:bCs/>
              </w:rPr>
            </w:pPr>
          </w:p>
        </w:tc>
        <w:tc>
          <w:tcPr>
            <w:tcW w:w="709" w:type="dxa"/>
            <w:noWrap w:val="0"/>
            <w:vAlign w:val="center"/>
          </w:tcPr>
          <w:p w14:paraId="1EB5B187">
            <w:pPr>
              <w:adjustRightInd w:val="0"/>
              <w:snapToGrid w:val="0"/>
              <w:ind w:left="-53" w:leftChars="-25" w:right="-53" w:rightChars="-25"/>
              <w:jc w:val="center"/>
              <w:rPr>
                <w:rFonts w:hint="eastAsia" w:ascii="宋体" w:hAnsi="宋体" w:cs="宋体"/>
                <w:bCs/>
              </w:rPr>
            </w:pPr>
          </w:p>
        </w:tc>
      </w:tr>
      <w:tr w14:paraId="2C670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noWrap w:val="0"/>
            <w:vAlign w:val="center"/>
          </w:tcPr>
          <w:p w14:paraId="1A639D36">
            <w:pPr>
              <w:adjustRightInd w:val="0"/>
              <w:snapToGrid w:val="0"/>
              <w:ind w:left="-53" w:leftChars="-25" w:right="-53" w:rightChars="-25"/>
              <w:jc w:val="center"/>
              <w:rPr>
                <w:rFonts w:hint="eastAsia" w:ascii="宋体" w:hAnsi="宋体" w:cs="宋体"/>
                <w:bCs/>
              </w:rPr>
            </w:pPr>
          </w:p>
        </w:tc>
        <w:tc>
          <w:tcPr>
            <w:tcW w:w="1264" w:type="dxa"/>
            <w:noWrap w:val="0"/>
            <w:vAlign w:val="center"/>
          </w:tcPr>
          <w:p w14:paraId="70B0F470">
            <w:pPr>
              <w:adjustRightInd w:val="0"/>
              <w:snapToGrid w:val="0"/>
              <w:ind w:left="-53" w:leftChars="-25" w:right="-53" w:rightChars="-25"/>
              <w:jc w:val="center"/>
              <w:rPr>
                <w:rFonts w:hint="eastAsia" w:ascii="宋体" w:hAnsi="宋体" w:cs="宋体"/>
                <w:bCs/>
              </w:rPr>
            </w:pPr>
          </w:p>
        </w:tc>
        <w:tc>
          <w:tcPr>
            <w:tcW w:w="820" w:type="dxa"/>
            <w:noWrap w:val="0"/>
            <w:vAlign w:val="center"/>
          </w:tcPr>
          <w:p w14:paraId="47638CF7">
            <w:pPr>
              <w:adjustRightInd w:val="0"/>
              <w:snapToGrid w:val="0"/>
              <w:ind w:left="-53" w:leftChars="-25" w:right="-53" w:rightChars="-25"/>
              <w:jc w:val="center"/>
              <w:rPr>
                <w:rFonts w:hint="eastAsia" w:ascii="宋体" w:hAnsi="宋体" w:cs="宋体"/>
                <w:bCs/>
              </w:rPr>
            </w:pPr>
          </w:p>
        </w:tc>
        <w:tc>
          <w:tcPr>
            <w:tcW w:w="2242" w:type="dxa"/>
            <w:noWrap w:val="0"/>
            <w:vAlign w:val="center"/>
          </w:tcPr>
          <w:p w14:paraId="7260EC75">
            <w:pPr>
              <w:adjustRightInd w:val="0"/>
              <w:snapToGrid w:val="0"/>
              <w:ind w:left="-53" w:leftChars="-25" w:right="-53" w:rightChars="-25"/>
              <w:jc w:val="center"/>
              <w:rPr>
                <w:rFonts w:hint="eastAsia" w:ascii="宋体" w:hAnsi="宋体" w:cs="宋体"/>
                <w:bCs/>
              </w:rPr>
            </w:pPr>
          </w:p>
        </w:tc>
        <w:tc>
          <w:tcPr>
            <w:tcW w:w="2674" w:type="dxa"/>
            <w:noWrap w:val="0"/>
            <w:vAlign w:val="center"/>
          </w:tcPr>
          <w:p w14:paraId="0B85F31D">
            <w:pPr>
              <w:adjustRightInd w:val="0"/>
              <w:snapToGrid w:val="0"/>
              <w:ind w:left="-53" w:leftChars="-25" w:right="-53" w:rightChars="-25"/>
              <w:jc w:val="center"/>
              <w:rPr>
                <w:rFonts w:hint="eastAsia" w:ascii="宋体" w:hAnsi="宋体" w:cs="宋体"/>
                <w:bCs/>
              </w:rPr>
            </w:pPr>
          </w:p>
        </w:tc>
        <w:tc>
          <w:tcPr>
            <w:tcW w:w="709" w:type="dxa"/>
            <w:noWrap w:val="0"/>
            <w:vAlign w:val="center"/>
          </w:tcPr>
          <w:p w14:paraId="215FD226">
            <w:pPr>
              <w:adjustRightInd w:val="0"/>
              <w:snapToGrid w:val="0"/>
              <w:ind w:left="-53" w:leftChars="-25" w:right="-53" w:rightChars="-25"/>
              <w:jc w:val="center"/>
              <w:rPr>
                <w:rFonts w:hint="eastAsia" w:ascii="宋体" w:hAnsi="宋体" w:cs="宋体"/>
                <w:bCs/>
              </w:rPr>
            </w:pPr>
          </w:p>
        </w:tc>
      </w:tr>
      <w:tr w14:paraId="35548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noWrap w:val="0"/>
            <w:vAlign w:val="center"/>
          </w:tcPr>
          <w:p w14:paraId="2C24664F">
            <w:pPr>
              <w:adjustRightInd w:val="0"/>
              <w:snapToGrid w:val="0"/>
              <w:ind w:left="-53" w:leftChars="-25" w:right="-53" w:rightChars="-25"/>
              <w:jc w:val="center"/>
              <w:rPr>
                <w:rFonts w:hint="eastAsia" w:ascii="宋体" w:hAnsi="宋体" w:cs="宋体"/>
                <w:bCs/>
              </w:rPr>
            </w:pPr>
          </w:p>
        </w:tc>
        <w:tc>
          <w:tcPr>
            <w:tcW w:w="1264" w:type="dxa"/>
            <w:noWrap w:val="0"/>
            <w:vAlign w:val="center"/>
          </w:tcPr>
          <w:p w14:paraId="321C5CA5">
            <w:pPr>
              <w:adjustRightInd w:val="0"/>
              <w:snapToGrid w:val="0"/>
              <w:ind w:left="-53" w:leftChars="-25" w:right="-53" w:rightChars="-25"/>
              <w:jc w:val="center"/>
              <w:rPr>
                <w:rFonts w:hint="eastAsia" w:ascii="宋体" w:hAnsi="宋体" w:cs="宋体"/>
                <w:bCs/>
              </w:rPr>
            </w:pPr>
          </w:p>
        </w:tc>
        <w:tc>
          <w:tcPr>
            <w:tcW w:w="820" w:type="dxa"/>
            <w:noWrap w:val="0"/>
            <w:vAlign w:val="center"/>
          </w:tcPr>
          <w:p w14:paraId="41A75F9E">
            <w:pPr>
              <w:adjustRightInd w:val="0"/>
              <w:snapToGrid w:val="0"/>
              <w:ind w:left="-53" w:leftChars="-25" w:right="-53" w:rightChars="-25"/>
              <w:jc w:val="center"/>
              <w:rPr>
                <w:rFonts w:hint="eastAsia" w:ascii="宋体" w:hAnsi="宋体" w:cs="宋体"/>
                <w:bCs/>
              </w:rPr>
            </w:pPr>
          </w:p>
        </w:tc>
        <w:tc>
          <w:tcPr>
            <w:tcW w:w="2242" w:type="dxa"/>
            <w:noWrap w:val="0"/>
            <w:vAlign w:val="center"/>
          </w:tcPr>
          <w:p w14:paraId="6A48EF2B">
            <w:pPr>
              <w:adjustRightInd w:val="0"/>
              <w:snapToGrid w:val="0"/>
              <w:ind w:left="-53" w:leftChars="-25" w:right="-53" w:rightChars="-25"/>
              <w:jc w:val="center"/>
              <w:rPr>
                <w:rFonts w:hint="eastAsia" w:ascii="宋体" w:hAnsi="宋体" w:cs="宋体"/>
                <w:bCs/>
              </w:rPr>
            </w:pPr>
          </w:p>
        </w:tc>
        <w:tc>
          <w:tcPr>
            <w:tcW w:w="2674" w:type="dxa"/>
            <w:noWrap w:val="0"/>
            <w:vAlign w:val="center"/>
          </w:tcPr>
          <w:p w14:paraId="31E2E019">
            <w:pPr>
              <w:adjustRightInd w:val="0"/>
              <w:snapToGrid w:val="0"/>
              <w:ind w:left="-53" w:leftChars="-25" w:right="-53" w:rightChars="-25"/>
              <w:jc w:val="center"/>
              <w:rPr>
                <w:rFonts w:hint="eastAsia" w:ascii="宋体" w:hAnsi="宋体" w:cs="宋体"/>
                <w:bCs/>
              </w:rPr>
            </w:pPr>
          </w:p>
        </w:tc>
        <w:tc>
          <w:tcPr>
            <w:tcW w:w="709" w:type="dxa"/>
            <w:noWrap w:val="0"/>
            <w:vAlign w:val="center"/>
          </w:tcPr>
          <w:p w14:paraId="5C33453F">
            <w:pPr>
              <w:adjustRightInd w:val="0"/>
              <w:snapToGrid w:val="0"/>
              <w:ind w:left="-53" w:leftChars="-25" w:right="-53" w:rightChars="-25"/>
              <w:jc w:val="center"/>
              <w:rPr>
                <w:rFonts w:hint="eastAsia" w:ascii="宋体" w:hAnsi="宋体" w:cs="宋体"/>
                <w:bCs/>
              </w:rPr>
            </w:pPr>
          </w:p>
        </w:tc>
      </w:tr>
      <w:tr w14:paraId="1A661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noWrap w:val="0"/>
            <w:vAlign w:val="center"/>
          </w:tcPr>
          <w:p w14:paraId="36182B2F">
            <w:pPr>
              <w:adjustRightInd w:val="0"/>
              <w:snapToGrid w:val="0"/>
              <w:ind w:left="-53" w:leftChars="-25" w:right="-53" w:rightChars="-25"/>
              <w:jc w:val="center"/>
              <w:rPr>
                <w:rFonts w:hint="eastAsia" w:ascii="宋体" w:hAnsi="宋体" w:cs="宋体"/>
                <w:bCs/>
              </w:rPr>
            </w:pPr>
          </w:p>
        </w:tc>
        <w:tc>
          <w:tcPr>
            <w:tcW w:w="1264" w:type="dxa"/>
            <w:noWrap w:val="0"/>
            <w:vAlign w:val="center"/>
          </w:tcPr>
          <w:p w14:paraId="393E41A5">
            <w:pPr>
              <w:adjustRightInd w:val="0"/>
              <w:snapToGrid w:val="0"/>
              <w:ind w:left="-53" w:leftChars="-25" w:right="-53" w:rightChars="-25"/>
              <w:jc w:val="center"/>
              <w:rPr>
                <w:rFonts w:hint="eastAsia" w:ascii="宋体" w:hAnsi="宋体" w:cs="宋体"/>
                <w:bCs/>
              </w:rPr>
            </w:pPr>
          </w:p>
        </w:tc>
        <w:tc>
          <w:tcPr>
            <w:tcW w:w="820" w:type="dxa"/>
            <w:noWrap w:val="0"/>
            <w:vAlign w:val="center"/>
          </w:tcPr>
          <w:p w14:paraId="47D5290B">
            <w:pPr>
              <w:adjustRightInd w:val="0"/>
              <w:snapToGrid w:val="0"/>
              <w:ind w:left="-53" w:leftChars="-25" w:right="-53" w:rightChars="-25"/>
              <w:jc w:val="center"/>
              <w:rPr>
                <w:rFonts w:hint="eastAsia" w:ascii="宋体" w:hAnsi="宋体" w:cs="宋体"/>
                <w:bCs/>
              </w:rPr>
            </w:pPr>
          </w:p>
        </w:tc>
        <w:tc>
          <w:tcPr>
            <w:tcW w:w="2242" w:type="dxa"/>
            <w:noWrap w:val="0"/>
            <w:vAlign w:val="center"/>
          </w:tcPr>
          <w:p w14:paraId="48CC2D1F">
            <w:pPr>
              <w:adjustRightInd w:val="0"/>
              <w:snapToGrid w:val="0"/>
              <w:ind w:left="-53" w:leftChars="-25" w:right="-53" w:rightChars="-25"/>
              <w:jc w:val="center"/>
              <w:rPr>
                <w:rFonts w:hint="eastAsia" w:ascii="宋体" w:hAnsi="宋体" w:cs="宋体"/>
                <w:bCs/>
              </w:rPr>
            </w:pPr>
          </w:p>
        </w:tc>
        <w:tc>
          <w:tcPr>
            <w:tcW w:w="2674" w:type="dxa"/>
            <w:noWrap w:val="0"/>
            <w:vAlign w:val="center"/>
          </w:tcPr>
          <w:p w14:paraId="44F82259">
            <w:pPr>
              <w:adjustRightInd w:val="0"/>
              <w:snapToGrid w:val="0"/>
              <w:ind w:left="-53" w:leftChars="-25" w:right="-53" w:rightChars="-25"/>
              <w:jc w:val="center"/>
              <w:rPr>
                <w:rFonts w:hint="eastAsia" w:ascii="宋体" w:hAnsi="宋体" w:cs="宋体"/>
                <w:bCs/>
              </w:rPr>
            </w:pPr>
          </w:p>
        </w:tc>
        <w:tc>
          <w:tcPr>
            <w:tcW w:w="709" w:type="dxa"/>
            <w:noWrap w:val="0"/>
            <w:vAlign w:val="center"/>
          </w:tcPr>
          <w:p w14:paraId="5F721ABE">
            <w:pPr>
              <w:adjustRightInd w:val="0"/>
              <w:snapToGrid w:val="0"/>
              <w:ind w:left="-53" w:leftChars="-25" w:right="-53" w:rightChars="-25"/>
              <w:jc w:val="center"/>
              <w:rPr>
                <w:rFonts w:hint="eastAsia" w:ascii="宋体" w:hAnsi="宋体" w:cs="宋体"/>
                <w:bCs/>
              </w:rPr>
            </w:pPr>
          </w:p>
        </w:tc>
      </w:tr>
      <w:tr w14:paraId="445CE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noWrap w:val="0"/>
            <w:vAlign w:val="center"/>
          </w:tcPr>
          <w:p w14:paraId="4C59DF70">
            <w:pPr>
              <w:adjustRightInd w:val="0"/>
              <w:snapToGrid w:val="0"/>
              <w:ind w:left="-53" w:leftChars="-25" w:right="-53" w:rightChars="-25"/>
              <w:jc w:val="center"/>
              <w:rPr>
                <w:rFonts w:hint="eastAsia" w:ascii="宋体" w:hAnsi="宋体" w:cs="宋体"/>
                <w:bCs/>
              </w:rPr>
            </w:pPr>
          </w:p>
        </w:tc>
        <w:tc>
          <w:tcPr>
            <w:tcW w:w="1264" w:type="dxa"/>
            <w:noWrap w:val="0"/>
            <w:vAlign w:val="center"/>
          </w:tcPr>
          <w:p w14:paraId="2B689346">
            <w:pPr>
              <w:adjustRightInd w:val="0"/>
              <w:snapToGrid w:val="0"/>
              <w:ind w:left="-53" w:leftChars="-25" w:right="-53" w:rightChars="-25"/>
              <w:jc w:val="center"/>
              <w:rPr>
                <w:rFonts w:hint="eastAsia" w:ascii="宋体" w:hAnsi="宋体" w:cs="宋体"/>
                <w:bCs/>
              </w:rPr>
            </w:pPr>
          </w:p>
        </w:tc>
        <w:tc>
          <w:tcPr>
            <w:tcW w:w="820" w:type="dxa"/>
            <w:noWrap w:val="0"/>
            <w:vAlign w:val="center"/>
          </w:tcPr>
          <w:p w14:paraId="79DAF6FD">
            <w:pPr>
              <w:adjustRightInd w:val="0"/>
              <w:snapToGrid w:val="0"/>
              <w:ind w:left="-53" w:leftChars="-25" w:right="-53" w:rightChars="-25"/>
              <w:jc w:val="center"/>
              <w:rPr>
                <w:rFonts w:hint="eastAsia" w:ascii="宋体" w:hAnsi="宋体" w:cs="宋体"/>
                <w:bCs/>
              </w:rPr>
            </w:pPr>
          </w:p>
        </w:tc>
        <w:tc>
          <w:tcPr>
            <w:tcW w:w="2242" w:type="dxa"/>
            <w:noWrap w:val="0"/>
            <w:vAlign w:val="center"/>
          </w:tcPr>
          <w:p w14:paraId="66797111">
            <w:pPr>
              <w:adjustRightInd w:val="0"/>
              <w:snapToGrid w:val="0"/>
              <w:ind w:left="-53" w:leftChars="-25" w:right="-53" w:rightChars="-25"/>
              <w:jc w:val="center"/>
              <w:rPr>
                <w:rFonts w:hint="eastAsia" w:ascii="宋体" w:hAnsi="宋体" w:cs="宋体"/>
                <w:bCs/>
              </w:rPr>
            </w:pPr>
          </w:p>
        </w:tc>
        <w:tc>
          <w:tcPr>
            <w:tcW w:w="2674" w:type="dxa"/>
            <w:noWrap w:val="0"/>
            <w:vAlign w:val="center"/>
          </w:tcPr>
          <w:p w14:paraId="26ED59D0">
            <w:pPr>
              <w:adjustRightInd w:val="0"/>
              <w:snapToGrid w:val="0"/>
              <w:ind w:left="-53" w:leftChars="-25" w:right="-53" w:rightChars="-25"/>
              <w:jc w:val="center"/>
              <w:rPr>
                <w:rFonts w:hint="eastAsia" w:ascii="宋体" w:hAnsi="宋体" w:cs="宋体"/>
                <w:bCs/>
              </w:rPr>
            </w:pPr>
          </w:p>
        </w:tc>
        <w:tc>
          <w:tcPr>
            <w:tcW w:w="709" w:type="dxa"/>
            <w:noWrap w:val="0"/>
            <w:vAlign w:val="center"/>
          </w:tcPr>
          <w:p w14:paraId="5AF3A989">
            <w:pPr>
              <w:adjustRightInd w:val="0"/>
              <w:snapToGrid w:val="0"/>
              <w:ind w:left="-53" w:leftChars="-25" w:right="-53" w:rightChars="-25"/>
              <w:jc w:val="center"/>
              <w:rPr>
                <w:rFonts w:hint="eastAsia" w:ascii="宋体" w:hAnsi="宋体" w:cs="宋体"/>
                <w:bCs/>
              </w:rPr>
            </w:pPr>
          </w:p>
        </w:tc>
      </w:tr>
    </w:tbl>
    <w:p w14:paraId="55985A48">
      <w:pPr>
        <w:rPr>
          <w:rFonts w:hint="eastAsia" w:ascii="宋体" w:hAnsi="宋体" w:cs="宋体"/>
          <w:sz w:val="18"/>
          <w:szCs w:val="18"/>
        </w:rPr>
      </w:pPr>
      <w:r>
        <w:rPr>
          <w:rFonts w:hint="eastAsia" w:ascii="宋体" w:hAnsi="宋体" w:cs="宋体"/>
          <w:sz w:val="18"/>
          <w:szCs w:val="18"/>
        </w:rPr>
        <w:t>注：① 投标人应根据招标文件要求结合设计、施工管理的实际需要填写，一旦中标，要求全部到位；</w:t>
      </w:r>
    </w:p>
    <w:p w14:paraId="3E1CFFDF">
      <w:pPr>
        <w:ind w:firstLine="360" w:firstLineChars="200"/>
        <w:rPr>
          <w:rFonts w:hint="eastAsia" w:ascii="宋体" w:hAnsi="宋体" w:cs="宋体"/>
          <w:sz w:val="18"/>
          <w:szCs w:val="18"/>
        </w:rPr>
      </w:pPr>
      <w:r>
        <w:rPr>
          <w:rFonts w:hint="eastAsia" w:ascii="宋体" w:hAnsi="宋体" w:cs="宋体"/>
          <w:sz w:val="18"/>
          <w:szCs w:val="18"/>
        </w:rPr>
        <w:t>② 提供本表所列人员最近一个月（2025年</w:t>
      </w:r>
      <w:r>
        <w:rPr>
          <w:rFonts w:hint="eastAsia" w:ascii="宋体" w:hAnsi="宋体" w:cs="宋体"/>
          <w:sz w:val="18"/>
          <w:szCs w:val="18"/>
          <w:lang w:val="en-US" w:eastAsia="zh-CN"/>
        </w:rPr>
        <w:t>8</w:t>
      </w:r>
      <w:r>
        <w:rPr>
          <w:rFonts w:hint="eastAsia" w:ascii="宋体" w:hAnsi="宋体" w:cs="宋体"/>
          <w:sz w:val="18"/>
          <w:szCs w:val="18"/>
        </w:rPr>
        <w:t>月）在本企业的社保证明；</w:t>
      </w:r>
    </w:p>
    <w:p w14:paraId="614B793F">
      <w:pPr>
        <w:ind w:firstLine="360" w:firstLineChars="200"/>
        <w:rPr>
          <w:rFonts w:hint="eastAsia" w:ascii="宋体" w:hAnsi="宋体" w:cs="宋体"/>
          <w:sz w:val="18"/>
          <w:szCs w:val="18"/>
        </w:rPr>
      </w:pPr>
      <w:r>
        <w:rPr>
          <w:rFonts w:hint="eastAsia" w:ascii="宋体" w:hAnsi="宋体" w:cs="宋体"/>
          <w:sz w:val="18"/>
          <w:szCs w:val="18"/>
        </w:rPr>
        <w:t>③ 本表后附所列人员相应证明材料的原件扫描件。</w:t>
      </w:r>
    </w:p>
    <w:p w14:paraId="04A67152">
      <w:pPr>
        <w:autoSpaceDE w:val="0"/>
        <w:autoSpaceDN w:val="0"/>
        <w:adjustRightInd w:val="0"/>
        <w:spacing w:line="360" w:lineRule="auto"/>
        <w:outlineLvl w:val="1"/>
        <w:rPr>
          <w:rFonts w:hint="eastAsia" w:ascii="宋体" w:hAnsi="宋体" w:cs="宋体"/>
          <w:bCs/>
          <w:sz w:val="30"/>
          <w:szCs w:val="30"/>
          <w:lang w:val="zh-CN"/>
        </w:rPr>
      </w:pPr>
      <w:r>
        <w:rPr>
          <w:rFonts w:hint="eastAsia" w:ascii="宋体" w:hAnsi="宋体" w:cs="宋体"/>
          <w:bCs/>
          <w:sz w:val="24"/>
        </w:rPr>
        <w:br w:type="page"/>
      </w:r>
      <w:bookmarkStart w:id="594" w:name="_Toc57392567"/>
      <w:bookmarkStart w:id="595" w:name="_Toc134304599"/>
      <w:r>
        <w:rPr>
          <w:rFonts w:hint="eastAsia" w:ascii="宋体" w:hAnsi="宋体" w:cs="宋体"/>
          <w:bCs/>
          <w:sz w:val="24"/>
        </w:rPr>
        <w:t>格式</w:t>
      </w:r>
      <w:bookmarkEnd w:id="594"/>
      <w:r>
        <w:rPr>
          <w:rFonts w:hint="eastAsia" w:ascii="宋体" w:hAnsi="宋体" w:cs="宋体"/>
          <w:bCs/>
          <w:sz w:val="24"/>
        </w:rPr>
        <w:t>4</w:t>
      </w:r>
      <w:bookmarkEnd w:id="595"/>
    </w:p>
    <w:p w14:paraId="73B94792">
      <w:pPr>
        <w:autoSpaceDE w:val="0"/>
        <w:autoSpaceDN w:val="0"/>
        <w:adjustRightInd w:val="0"/>
        <w:spacing w:line="360" w:lineRule="auto"/>
        <w:rPr>
          <w:rFonts w:hint="eastAsia" w:ascii="宋体" w:hAnsi="宋体" w:cs="宋体"/>
          <w:bCs/>
          <w:sz w:val="24"/>
        </w:rPr>
      </w:pPr>
    </w:p>
    <w:p w14:paraId="09531FF4">
      <w:pPr>
        <w:autoSpaceDE w:val="0"/>
        <w:autoSpaceDN w:val="0"/>
        <w:adjustRightInd w:val="0"/>
        <w:spacing w:line="360" w:lineRule="auto"/>
        <w:jc w:val="center"/>
        <w:rPr>
          <w:rFonts w:hint="eastAsia" w:ascii="宋体" w:hAnsi="宋体" w:cs="宋体"/>
          <w:b/>
          <w:bCs/>
          <w:sz w:val="36"/>
          <w:szCs w:val="36"/>
          <w:lang w:val="zh-CN"/>
        </w:rPr>
      </w:pPr>
      <w:r>
        <w:rPr>
          <w:rFonts w:hint="eastAsia" w:ascii="宋体" w:hAnsi="宋体" w:cs="宋体"/>
          <w:b/>
          <w:bCs/>
          <w:sz w:val="36"/>
          <w:szCs w:val="36"/>
          <w:lang w:val="zh-CN"/>
        </w:rPr>
        <w:t>参与编制投标文件人员名单</w:t>
      </w:r>
    </w:p>
    <w:p w14:paraId="579D6165">
      <w:pPr>
        <w:autoSpaceDE w:val="0"/>
        <w:autoSpaceDN w:val="0"/>
        <w:adjustRightInd w:val="0"/>
        <w:spacing w:line="360" w:lineRule="auto"/>
        <w:jc w:val="center"/>
        <w:rPr>
          <w:rFonts w:hint="eastAsia" w:ascii="宋体" w:hAnsi="宋体" w:cs="宋体"/>
          <w:bCs/>
          <w:sz w:val="24"/>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81"/>
        <w:gridCol w:w="1311"/>
        <w:gridCol w:w="2320"/>
        <w:gridCol w:w="2106"/>
        <w:gridCol w:w="1468"/>
      </w:tblGrid>
      <w:tr w14:paraId="605C3D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281" w:type="dxa"/>
            <w:noWrap w:val="0"/>
            <w:vAlign w:val="center"/>
          </w:tcPr>
          <w:p w14:paraId="6E312D54">
            <w:pPr>
              <w:tabs>
                <w:tab w:val="left" w:pos="0"/>
                <w:tab w:val="left" w:pos="720"/>
              </w:tabs>
              <w:adjustRightInd w:val="0"/>
              <w:snapToGrid w:val="0"/>
              <w:jc w:val="center"/>
              <w:rPr>
                <w:rFonts w:hint="eastAsia" w:ascii="宋体" w:hAnsi="宋体" w:cs="宋体"/>
                <w:b/>
                <w:szCs w:val="21"/>
              </w:rPr>
            </w:pPr>
            <w:r>
              <w:rPr>
                <w:rFonts w:hint="eastAsia" w:ascii="宋体" w:hAnsi="宋体" w:cs="宋体"/>
                <w:b/>
                <w:szCs w:val="21"/>
              </w:rPr>
              <w:t>姓名</w:t>
            </w:r>
          </w:p>
        </w:tc>
        <w:tc>
          <w:tcPr>
            <w:tcW w:w="1311" w:type="dxa"/>
            <w:noWrap w:val="0"/>
            <w:vAlign w:val="center"/>
          </w:tcPr>
          <w:p w14:paraId="66495DC7">
            <w:pPr>
              <w:tabs>
                <w:tab w:val="left" w:pos="0"/>
                <w:tab w:val="left" w:pos="720"/>
              </w:tabs>
              <w:adjustRightInd w:val="0"/>
              <w:snapToGrid w:val="0"/>
              <w:jc w:val="center"/>
              <w:rPr>
                <w:rFonts w:hint="eastAsia" w:ascii="宋体" w:hAnsi="宋体" w:cs="宋体"/>
                <w:b/>
                <w:szCs w:val="21"/>
              </w:rPr>
            </w:pPr>
            <w:r>
              <w:rPr>
                <w:rFonts w:hint="eastAsia" w:ascii="宋体" w:hAnsi="宋体" w:cs="宋体"/>
                <w:b/>
                <w:szCs w:val="21"/>
              </w:rPr>
              <w:t>职务</w:t>
            </w:r>
          </w:p>
        </w:tc>
        <w:tc>
          <w:tcPr>
            <w:tcW w:w="2320" w:type="dxa"/>
            <w:noWrap w:val="0"/>
            <w:vAlign w:val="center"/>
          </w:tcPr>
          <w:p w14:paraId="66F99D88">
            <w:pPr>
              <w:tabs>
                <w:tab w:val="left" w:pos="0"/>
                <w:tab w:val="left" w:pos="720"/>
              </w:tabs>
              <w:adjustRightInd w:val="0"/>
              <w:snapToGrid w:val="0"/>
              <w:jc w:val="center"/>
              <w:rPr>
                <w:rFonts w:hint="eastAsia" w:ascii="宋体" w:hAnsi="宋体" w:cs="宋体"/>
                <w:b/>
                <w:szCs w:val="21"/>
              </w:rPr>
            </w:pPr>
            <w:r>
              <w:rPr>
                <w:rFonts w:hint="eastAsia" w:ascii="宋体" w:hAnsi="宋体" w:cs="宋体"/>
                <w:b/>
                <w:szCs w:val="21"/>
              </w:rPr>
              <w:t>所承担工作</w:t>
            </w:r>
          </w:p>
        </w:tc>
        <w:tc>
          <w:tcPr>
            <w:tcW w:w="2106" w:type="dxa"/>
            <w:noWrap w:val="0"/>
            <w:vAlign w:val="center"/>
          </w:tcPr>
          <w:p w14:paraId="06FBE03D">
            <w:pPr>
              <w:tabs>
                <w:tab w:val="left" w:pos="0"/>
                <w:tab w:val="left" w:pos="720"/>
              </w:tabs>
              <w:adjustRightInd w:val="0"/>
              <w:snapToGrid w:val="0"/>
              <w:jc w:val="center"/>
              <w:rPr>
                <w:rFonts w:hint="eastAsia" w:ascii="宋体" w:hAnsi="宋体" w:cs="宋体"/>
                <w:b/>
                <w:szCs w:val="21"/>
              </w:rPr>
            </w:pPr>
            <w:r>
              <w:rPr>
                <w:rFonts w:hint="eastAsia" w:ascii="宋体" w:hAnsi="宋体" w:cs="宋体"/>
                <w:b/>
                <w:szCs w:val="21"/>
              </w:rPr>
              <w:t>身份证号码</w:t>
            </w:r>
          </w:p>
        </w:tc>
        <w:tc>
          <w:tcPr>
            <w:tcW w:w="1468" w:type="dxa"/>
            <w:noWrap w:val="0"/>
            <w:vAlign w:val="center"/>
          </w:tcPr>
          <w:p w14:paraId="6EF8FBCD">
            <w:pPr>
              <w:tabs>
                <w:tab w:val="left" w:pos="0"/>
                <w:tab w:val="left" w:pos="720"/>
              </w:tabs>
              <w:adjustRightInd w:val="0"/>
              <w:snapToGrid w:val="0"/>
              <w:rPr>
                <w:rFonts w:hint="eastAsia" w:ascii="宋体" w:hAnsi="宋体" w:cs="宋体"/>
                <w:b/>
                <w:szCs w:val="21"/>
              </w:rPr>
            </w:pPr>
            <w:r>
              <w:rPr>
                <w:rFonts w:hint="eastAsia" w:ascii="宋体" w:hAnsi="宋体" w:cs="宋体"/>
                <w:b/>
                <w:szCs w:val="21"/>
              </w:rPr>
              <w:t>本人签名栏</w:t>
            </w:r>
          </w:p>
        </w:tc>
      </w:tr>
      <w:tr w14:paraId="73F449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1281" w:type="dxa"/>
            <w:noWrap w:val="0"/>
            <w:vAlign w:val="center"/>
          </w:tcPr>
          <w:p w14:paraId="2803985F">
            <w:pPr>
              <w:tabs>
                <w:tab w:val="left" w:pos="0"/>
                <w:tab w:val="left" w:pos="720"/>
              </w:tabs>
              <w:adjustRightInd w:val="0"/>
              <w:snapToGrid w:val="0"/>
              <w:jc w:val="center"/>
              <w:rPr>
                <w:rFonts w:hint="eastAsia" w:ascii="宋体" w:hAnsi="宋体" w:cs="宋体"/>
                <w:szCs w:val="21"/>
              </w:rPr>
            </w:pPr>
          </w:p>
        </w:tc>
        <w:tc>
          <w:tcPr>
            <w:tcW w:w="1311" w:type="dxa"/>
            <w:noWrap w:val="0"/>
            <w:vAlign w:val="center"/>
          </w:tcPr>
          <w:p w14:paraId="2483221A">
            <w:pPr>
              <w:tabs>
                <w:tab w:val="left" w:pos="0"/>
                <w:tab w:val="left" w:pos="720"/>
              </w:tabs>
              <w:adjustRightInd w:val="0"/>
              <w:snapToGrid w:val="0"/>
              <w:jc w:val="center"/>
              <w:rPr>
                <w:rFonts w:hint="eastAsia" w:ascii="宋体" w:hAnsi="宋体" w:cs="宋体"/>
                <w:szCs w:val="21"/>
              </w:rPr>
            </w:pPr>
          </w:p>
        </w:tc>
        <w:tc>
          <w:tcPr>
            <w:tcW w:w="2320" w:type="dxa"/>
            <w:noWrap w:val="0"/>
            <w:vAlign w:val="center"/>
          </w:tcPr>
          <w:p w14:paraId="273FF50F">
            <w:pPr>
              <w:tabs>
                <w:tab w:val="left" w:pos="0"/>
                <w:tab w:val="left" w:pos="720"/>
              </w:tabs>
              <w:adjustRightInd w:val="0"/>
              <w:snapToGrid w:val="0"/>
              <w:jc w:val="center"/>
              <w:rPr>
                <w:rFonts w:hint="eastAsia" w:ascii="宋体" w:hAnsi="宋体" w:cs="宋体"/>
                <w:szCs w:val="21"/>
              </w:rPr>
            </w:pPr>
          </w:p>
        </w:tc>
        <w:tc>
          <w:tcPr>
            <w:tcW w:w="2106" w:type="dxa"/>
            <w:noWrap w:val="0"/>
            <w:vAlign w:val="center"/>
          </w:tcPr>
          <w:p w14:paraId="5B320529">
            <w:pPr>
              <w:tabs>
                <w:tab w:val="left" w:pos="0"/>
                <w:tab w:val="left" w:pos="720"/>
              </w:tabs>
              <w:adjustRightInd w:val="0"/>
              <w:snapToGrid w:val="0"/>
              <w:jc w:val="center"/>
              <w:rPr>
                <w:rFonts w:hint="eastAsia" w:ascii="宋体" w:hAnsi="宋体" w:cs="宋体"/>
                <w:szCs w:val="21"/>
              </w:rPr>
            </w:pPr>
          </w:p>
        </w:tc>
        <w:tc>
          <w:tcPr>
            <w:tcW w:w="1468" w:type="dxa"/>
            <w:noWrap w:val="0"/>
            <w:vAlign w:val="center"/>
          </w:tcPr>
          <w:p w14:paraId="39423D5B">
            <w:pPr>
              <w:tabs>
                <w:tab w:val="left" w:pos="0"/>
                <w:tab w:val="left" w:pos="720"/>
              </w:tabs>
              <w:adjustRightInd w:val="0"/>
              <w:snapToGrid w:val="0"/>
              <w:jc w:val="center"/>
              <w:rPr>
                <w:rFonts w:hint="eastAsia" w:ascii="宋体" w:hAnsi="宋体" w:cs="宋体"/>
                <w:szCs w:val="21"/>
              </w:rPr>
            </w:pPr>
          </w:p>
        </w:tc>
      </w:tr>
      <w:tr w14:paraId="0D77D4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14:paraId="69FFD7A7">
            <w:pPr>
              <w:tabs>
                <w:tab w:val="left" w:pos="0"/>
                <w:tab w:val="left" w:pos="720"/>
              </w:tabs>
              <w:adjustRightInd w:val="0"/>
              <w:snapToGrid w:val="0"/>
              <w:jc w:val="center"/>
              <w:rPr>
                <w:rFonts w:hint="eastAsia" w:ascii="宋体" w:hAnsi="宋体" w:cs="宋体"/>
                <w:szCs w:val="21"/>
              </w:rPr>
            </w:pPr>
          </w:p>
        </w:tc>
        <w:tc>
          <w:tcPr>
            <w:tcW w:w="1311" w:type="dxa"/>
            <w:noWrap w:val="0"/>
            <w:vAlign w:val="center"/>
          </w:tcPr>
          <w:p w14:paraId="45FEC7E1">
            <w:pPr>
              <w:tabs>
                <w:tab w:val="left" w:pos="0"/>
                <w:tab w:val="left" w:pos="720"/>
              </w:tabs>
              <w:adjustRightInd w:val="0"/>
              <w:snapToGrid w:val="0"/>
              <w:jc w:val="center"/>
              <w:rPr>
                <w:rFonts w:hint="eastAsia" w:ascii="宋体" w:hAnsi="宋体" w:cs="宋体"/>
                <w:szCs w:val="21"/>
              </w:rPr>
            </w:pPr>
          </w:p>
        </w:tc>
        <w:tc>
          <w:tcPr>
            <w:tcW w:w="2320" w:type="dxa"/>
            <w:noWrap w:val="0"/>
            <w:vAlign w:val="center"/>
          </w:tcPr>
          <w:p w14:paraId="502A4844">
            <w:pPr>
              <w:tabs>
                <w:tab w:val="left" w:pos="0"/>
                <w:tab w:val="left" w:pos="720"/>
              </w:tabs>
              <w:adjustRightInd w:val="0"/>
              <w:snapToGrid w:val="0"/>
              <w:jc w:val="center"/>
              <w:rPr>
                <w:rFonts w:hint="eastAsia" w:ascii="宋体" w:hAnsi="宋体" w:cs="宋体"/>
                <w:szCs w:val="21"/>
              </w:rPr>
            </w:pPr>
          </w:p>
        </w:tc>
        <w:tc>
          <w:tcPr>
            <w:tcW w:w="2106" w:type="dxa"/>
            <w:noWrap w:val="0"/>
            <w:vAlign w:val="center"/>
          </w:tcPr>
          <w:p w14:paraId="12639B9A">
            <w:pPr>
              <w:tabs>
                <w:tab w:val="left" w:pos="0"/>
                <w:tab w:val="left" w:pos="720"/>
              </w:tabs>
              <w:adjustRightInd w:val="0"/>
              <w:snapToGrid w:val="0"/>
              <w:jc w:val="center"/>
              <w:rPr>
                <w:rFonts w:hint="eastAsia" w:ascii="宋体" w:hAnsi="宋体" w:cs="宋体"/>
                <w:szCs w:val="21"/>
              </w:rPr>
            </w:pPr>
          </w:p>
        </w:tc>
        <w:tc>
          <w:tcPr>
            <w:tcW w:w="1468" w:type="dxa"/>
            <w:noWrap w:val="0"/>
            <w:vAlign w:val="center"/>
          </w:tcPr>
          <w:p w14:paraId="2ADB330C">
            <w:pPr>
              <w:tabs>
                <w:tab w:val="left" w:pos="0"/>
                <w:tab w:val="left" w:pos="720"/>
              </w:tabs>
              <w:adjustRightInd w:val="0"/>
              <w:snapToGrid w:val="0"/>
              <w:jc w:val="center"/>
              <w:rPr>
                <w:rFonts w:hint="eastAsia" w:ascii="宋体" w:hAnsi="宋体" w:cs="宋体"/>
                <w:szCs w:val="21"/>
              </w:rPr>
            </w:pPr>
          </w:p>
        </w:tc>
      </w:tr>
      <w:tr w14:paraId="304F2E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14:paraId="20A0C80B">
            <w:pPr>
              <w:tabs>
                <w:tab w:val="left" w:pos="0"/>
                <w:tab w:val="left" w:pos="720"/>
              </w:tabs>
              <w:adjustRightInd w:val="0"/>
              <w:snapToGrid w:val="0"/>
              <w:jc w:val="center"/>
              <w:rPr>
                <w:rFonts w:hint="eastAsia" w:ascii="宋体" w:hAnsi="宋体" w:cs="宋体"/>
                <w:szCs w:val="21"/>
              </w:rPr>
            </w:pPr>
          </w:p>
        </w:tc>
        <w:tc>
          <w:tcPr>
            <w:tcW w:w="1311" w:type="dxa"/>
            <w:noWrap w:val="0"/>
            <w:vAlign w:val="center"/>
          </w:tcPr>
          <w:p w14:paraId="49B33117">
            <w:pPr>
              <w:tabs>
                <w:tab w:val="left" w:pos="0"/>
                <w:tab w:val="left" w:pos="720"/>
              </w:tabs>
              <w:adjustRightInd w:val="0"/>
              <w:snapToGrid w:val="0"/>
              <w:jc w:val="center"/>
              <w:rPr>
                <w:rFonts w:hint="eastAsia" w:ascii="宋体" w:hAnsi="宋体" w:cs="宋体"/>
                <w:szCs w:val="21"/>
              </w:rPr>
            </w:pPr>
          </w:p>
        </w:tc>
        <w:tc>
          <w:tcPr>
            <w:tcW w:w="2320" w:type="dxa"/>
            <w:noWrap w:val="0"/>
            <w:vAlign w:val="center"/>
          </w:tcPr>
          <w:p w14:paraId="3D502454">
            <w:pPr>
              <w:tabs>
                <w:tab w:val="left" w:pos="0"/>
                <w:tab w:val="left" w:pos="720"/>
              </w:tabs>
              <w:adjustRightInd w:val="0"/>
              <w:snapToGrid w:val="0"/>
              <w:jc w:val="center"/>
              <w:rPr>
                <w:rFonts w:hint="eastAsia" w:ascii="宋体" w:hAnsi="宋体" w:cs="宋体"/>
                <w:szCs w:val="21"/>
              </w:rPr>
            </w:pPr>
          </w:p>
        </w:tc>
        <w:tc>
          <w:tcPr>
            <w:tcW w:w="2106" w:type="dxa"/>
            <w:noWrap w:val="0"/>
            <w:vAlign w:val="center"/>
          </w:tcPr>
          <w:p w14:paraId="4D7F1492">
            <w:pPr>
              <w:tabs>
                <w:tab w:val="left" w:pos="0"/>
                <w:tab w:val="left" w:pos="720"/>
              </w:tabs>
              <w:adjustRightInd w:val="0"/>
              <w:snapToGrid w:val="0"/>
              <w:jc w:val="center"/>
              <w:rPr>
                <w:rFonts w:hint="eastAsia" w:ascii="宋体" w:hAnsi="宋体" w:cs="宋体"/>
                <w:szCs w:val="21"/>
              </w:rPr>
            </w:pPr>
          </w:p>
        </w:tc>
        <w:tc>
          <w:tcPr>
            <w:tcW w:w="1468" w:type="dxa"/>
            <w:noWrap w:val="0"/>
            <w:vAlign w:val="center"/>
          </w:tcPr>
          <w:p w14:paraId="1EA957DE">
            <w:pPr>
              <w:tabs>
                <w:tab w:val="left" w:pos="0"/>
                <w:tab w:val="left" w:pos="720"/>
              </w:tabs>
              <w:adjustRightInd w:val="0"/>
              <w:snapToGrid w:val="0"/>
              <w:jc w:val="center"/>
              <w:rPr>
                <w:rFonts w:hint="eastAsia" w:ascii="宋体" w:hAnsi="宋体" w:cs="宋体"/>
                <w:szCs w:val="21"/>
              </w:rPr>
            </w:pPr>
          </w:p>
        </w:tc>
      </w:tr>
      <w:tr w14:paraId="58AC2E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14:paraId="4175735E">
            <w:pPr>
              <w:tabs>
                <w:tab w:val="left" w:pos="0"/>
                <w:tab w:val="left" w:pos="720"/>
              </w:tabs>
              <w:adjustRightInd w:val="0"/>
              <w:snapToGrid w:val="0"/>
              <w:jc w:val="center"/>
              <w:rPr>
                <w:rFonts w:hint="eastAsia" w:ascii="宋体" w:hAnsi="宋体" w:cs="宋体"/>
                <w:szCs w:val="21"/>
              </w:rPr>
            </w:pPr>
          </w:p>
        </w:tc>
        <w:tc>
          <w:tcPr>
            <w:tcW w:w="1311" w:type="dxa"/>
            <w:noWrap w:val="0"/>
            <w:vAlign w:val="center"/>
          </w:tcPr>
          <w:p w14:paraId="49EE2E5F">
            <w:pPr>
              <w:tabs>
                <w:tab w:val="left" w:pos="0"/>
                <w:tab w:val="left" w:pos="720"/>
              </w:tabs>
              <w:adjustRightInd w:val="0"/>
              <w:snapToGrid w:val="0"/>
              <w:jc w:val="center"/>
              <w:rPr>
                <w:rFonts w:hint="eastAsia" w:ascii="宋体" w:hAnsi="宋体" w:cs="宋体"/>
                <w:szCs w:val="21"/>
              </w:rPr>
            </w:pPr>
          </w:p>
        </w:tc>
        <w:tc>
          <w:tcPr>
            <w:tcW w:w="2320" w:type="dxa"/>
            <w:noWrap w:val="0"/>
            <w:vAlign w:val="center"/>
          </w:tcPr>
          <w:p w14:paraId="7DA9C545">
            <w:pPr>
              <w:tabs>
                <w:tab w:val="left" w:pos="0"/>
                <w:tab w:val="left" w:pos="720"/>
              </w:tabs>
              <w:adjustRightInd w:val="0"/>
              <w:snapToGrid w:val="0"/>
              <w:jc w:val="center"/>
              <w:rPr>
                <w:rFonts w:hint="eastAsia" w:ascii="宋体" w:hAnsi="宋体" w:cs="宋体"/>
                <w:szCs w:val="21"/>
              </w:rPr>
            </w:pPr>
          </w:p>
        </w:tc>
        <w:tc>
          <w:tcPr>
            <w:tcW w:w="2106" w:type="dxa"/>
            <w:noWrap w:val="0"/>
            <w:vAlign w:val="center"/>
          </w:tcPr>
          <w:p w14:paraId="0FF41CD0">
            <w:pPr>
              <w:tabs>
                <w:tab w:val="left" w:pos="0"/>
                <w:tab w:val="left" w:pos="720"/>
              </w:tabs>
              <w:adjustRightInd w:val="0"/>
              <w:snapToGrid w:val="0"/>
              <w:jc w:val="center"/>
              <w:rPr>
                <w:rFonts w:hint="eastAsia" w:ascii="宋体" w:hAnsi="宋体" w:cs="宋体"/>
                <w:szCs w:val="21"/>
              </w:rPr>
            </w:pPr>
          </w:p>
        </w:tc>
        <w:tc>
          <w:tcPr>
            <w:tcW w:w="1468" w:type="dxa"/>
            <w:noWrap w:val="0"/>
            <w:vAlign w:val="center"/>
          </w:tcPr>
          <w:p w14:paraId="71A9975A">
            <w:pPr>
              <w:tabs>
                <w:tab w:val="left" w:pos="0"/>
                <w:tab w:val="left" w:pos="720"/>
              </w:tabs>
              <w:adjustRightInd w:val="0"/>
              <w:snapToGrid w:val="0"/>
              <w:jc w:val="center"/>
              <w:rPr>
                <w:rFonts w:hint="eastAsia" w:ascii="宋体" w:hAnsi="宋体" w:cs="宋体"/>
                <w:szCs w:val="21"/>
              </w:rPr>
            </w:pPr>
          </w:p>
        </w:tc>
      </w:tr>
      <w:tr w14:paraId="6224FA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14:paraId="04CF54F7">
            <w:pPr>
              <w:tabs>
                <w:tab w:val="left" w:pos="0"/>
                <w:tab w:val="left" w:pos="720"/>
              </w:tabs>
              <w:adjustRightInd w:val="0"/>
              <w:snapToGrid w:val="0"/>
              <w:jc w:val="center"/>
              <w:rPr>
                <w:rFonts w:hint="eastAsia" w:ascii="宋体" w:hAnsi="宋体" w:cs="宋体"/>
                <w:szCs w:val="21"/>
              </w:rPr>
            </w:pPr>
          </w:p>
        </w:tc>
        <w:tc>
          <w:tcPr>
            <w:tcW w:w="1311" w:type="dxa"/>
            <w:noWrap w:val="0"/>
            <w:vAlign w:val="center"/>
          </w:tcPr>
          <w:p w14:paraId="4C957354">
            <w:pPr>
              <w:tabs>
                <w:tab w:val="left" w:pos="0"/>
                <w:tab w:val="left" w:pos="720"/>
              </w:tabs>
              <w:adjustRightInd w:val="0"/>
              <w:snapToGrid w:val="0"/>
              <w:jc w:val="center"/>
              <w:rPr>
                <w:rFonts w:hint="eastAsia" w:ascii="宋体" w:hAnsi="宋体" w:cs="宋体"/>
                <w:szCs w:val="21"/>
              </w:rPr>
            </w:pPr>
          </w:p>
        </w:tc>
        <w:tc>
          <w:tcPr>
            <w:tcW w:w="2320" w:type="dxa"/>
            <w:noWrap w:val="0"/>
            <w:vAlign w:val="center"/>
          </w:tcPr>
          <w:p w14:paraId="345C2EF2">
            <w:pPr>
              <w:tabs>
                <w:tab w:val="left" w:pos="0"/>
                <w:tab w:val="left" w:pos="720"/>
              </w:tabs>
              <w:adjustRightInd w:val="0"/>
              <w:snapToGrid w:val="0"/>
              <w:jc w:val="center"/>
              <w:rPr>
                <w:rFonts w:hint="eastAsia" w:ascii="宋体" w:hAnsi="宋体" w:cs="宋体"/>
                <w:szCs w:val="21"/>
              </w:rPr>
            </w:pPr>
          </w:p>
        </w:tc>
        <w:tc>
          <w:tcPr>
            <w:tcW w:w="2106" w:type="dxa"/>
            <w:noWrap w:val="0"/>
            <w:vAlign w:val="center"/>
          </w:tcPr>
          <w:p w14:paraId="5D9440EF">
            <w:pPr>
              <w:tabs>
                <w:tab w:val="left" w:pos="0"/>
                <w:tab w:val="left" w:pos="720"/>
              </w:tabs>
              <w:adjustRightInd w:val="0"/>
              <w:snapToGrid w:val="0"/>
              <w:jc w:val="center"/>
              <w:rPr>
                <w:rFonts w:hint="eastAsia" w:ascii="宋体" w:hAnsi="宋体" w:cs="宋体"/>
                <w:szCs w:val="21"/>
              </w:rPr>
            </w:pPr>
          </w:p>
        </w:tc>
        <w:tc>
          <w:tcPr>
            <w:tcW w:w="1468" w:type="dxa"/>
            <w:noWrap w:val="0"/>
            <w:vAlign w:val="center"/>
          </w:tcPr>
          <w:p w14:paraId="67D6AF94">
            <w:pPr>
              <w:tabs>
                <w:tab w:val="left" w:pos="0"/>
                <w:tab w:val="left" w:pos="720"/>
              </w:tabs>
              <w:adjustRightInd w:val="0"/>
              <w:snapToGrid w:val="0"/>
              <w:jc w:val="center"/>
              <w:rPr>
                <w:rFonts w:hint="eastAsia" w:ascii="宋体" w:hAnsi="宋体" w:cs="宋体"/>
                <w:szCs w:val="21"/>
              </w:rPr>
            </w:pPr>
          </w:p>
        </w:tc>
      </w:tr>
      <w:tr w14:paraId="78D936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14:paraId="68704CFD">
            <w:pPr>
              <w:tabs>
                <w:tab w:val="left" w:pos="0"/>
                <w:tab w:val="left" w:pos="720"/>
              </w:tabs>
              <w:adjustRightInd w:val="0"/>
              <w:snapToGrid w:val="0"/>
              <w:jc w:val="center"/>
              <w:rPr>
                <w:rFonts w:hint="eastAsia" w:ascii="宋体" w:hAnsi="宋体" w:cs="宋体"/>
                <w:szCs w:val="21"/>
              </w:rPr>
            </w:pPr>
          </w:p>
        </w:tc>
        <w:tc>
          <w:tcPr>
            <w:tcW w:w="1311" w:type="dxa"/>
            <w:noWrap w:val="0"/>
            <w:vAlign w:val="center"/>
          </w:tcPr>
          <w:p w14:paraId="588B510E">
            <w:pPr>
              <w:tabs>
                <w:tab w:val="left" w:pos="0"/>
                <w:tab w:val="left" w:pos="720"/>
              </w:tabs>
              <w:adjustRightInd w:val="0"/>
              <w:snapToGrid w:val="0"/>
              <w:jc w:val="center"/>
              <w:rPr>
                <w:rFonts w:hint="eastAsia" w:ascii="宋体" w:hAnsi="宋体" w:cs="宋体"/>
                <w:szCs w:val="21"/>
              </w:rPr>
            </w:pPr>
          </w:p>
        </w:tc>
        <w:tc>
          <w:tcPr>
            <w:tcW w:w="2320" w:type="dxa"/>
            <w:noWrap w:val="0"/>
            <w:vAlign w:val="center"/>
          </w:tcPr>
          <w:p w14:paraId="044E487C">
            <w:pPr>
              <w:tabs>
                <w:tab w:val="left" w:pos="0"/>
                <w:tab w:val="left" w:pos="720"/>
              </w:tabs>
              <w:adjustRightInd w:val="0"/>
              <w:snapToGrid w:val="0"/>
              <w:jc w:val="center"/>
              <w:rPr>
                <w:rFonts w:hint="eastAsia" w:ascii="宋体" w:hAnsi="宋体" w:cs="宋体"/>
                <w:szCs w:val="21"/>
              </w:rPr>
            </w:pPr>
          </w:p>
        </w:tc>
        <w:tc>
          <w:tcPr>
            <w:tcW w:w="2106" w:type="dxa"/>
            <w:noWrap w:val="0"/>
            <w:vAlign w:val="center"/>
          </w:tcPr>
          <w:p w14:paraId="7E46BB54">
            <w:pPr>
              <w:tabs>
                <w:tab w:val="left" w:pos="0"/>
                <w:tab w:val="left" w:pos="720"/>
              </w:tabs>
              <w:adjustRightInd w:val="0"/>
              <w:snapToGrid w:val="0"/>
              <w:jc w:val="center"/>
              <w:rPr>
                <w:rFonts w:hint="eastAsia" w:ascii="宋体" w:hAnsi="宋体" w:cs="宋体"/>
                <w:szCs w:val="21"/>
              </w:rPr>
            </w:pPr>
          </w:p>
        </w:tc>
        <w:tc>
          <w:tcPr>
            <w:tcW w:w="1468" w:type="dxa"/>
            <w:noWrap w:val="0"/>
            <w:vAlign w:val="center"/>
          </w:tcPr>
          <w:p w14:paraId="1EBA5BAD">
            <w:pPr>
              <w:tabs>
                <w:tab w:val="left" w:pos="0"/>
                <w:tab w:val="left" w:pos="720"/>
              </w:tabs>
              <w:adjustRightInd w:val="0"/>
              <w:snapToGrid w:val="0"/>
              <w:jc w:val="center"/>
              <w:rPr>
                <w:rFonts w:hint="eastAsia" w:ascii="宋体" w:hAnsi="宋体" w:cs="宋体"/>
                <w:szCs w:val="21"/>
              </w:rPr>
            </w:pPr>
          </w:p>
        </w:tc>
      </w:tr>
      <w:tr w14:paraId="221030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14:paraId="53497373">
            <w:pPr>
              <w:tabs>
                <w:tab w:val="left" w:pos="0"/>
                <w:tab w:val="left" w:pos="720"/>
              </w:tabs>
              <w:adjustRightInd w:val="0"/>
              <w:snapToGrid w:val="0"/>
              <w:jc w:val="center"/>
              <w:rPr>
                <w:rFonts w:hint="eastAsia" w:ascii="宋体" w:hAnsi="宋体" w:cs="宋体"/>
                <w:szCs w:val="21"/>
              </w:rPr>
            </w:pPr>
          </w:p>
        </w:tc>
        <w:tc>
          <w:tcPr>
            <w:tcW w:w="1311" w:type="dxa"/>
            <w:noWrap w:val="0"/>
            <w:vAlign w:val="center"/>
          </w:tcPr>
          <w:p w14:paraId="3BBA87F5">
            <w:pPr>
              <w:tabs>
                <w:tab w:val="left" w:pos="0"/>
                <w:tab w:val="left" w:pos="720"/>
              </w:tabs>
              <w:adjustRightInd w:val="0"/>
              <w:snapToGrid w:val="0"/>
              <w:jc w:val="center"/>
              <w:rPr>
                <w:rFonts w:hint="eastAsia" w:ascii="宋体" w:hAnsi="宋体" w:cs="宋体"/>
                <w:szCs w:val="21"/>
              </w:rPr>
            </w:pPr>
          </w:p>
        </w:tc>
        <w:tc>
          <w:tcPr>
            <w:tcW w:w="2320" w:type="dxa"/>
            <w:noWrap w:val="0"/>
            <w:vAlign w:val="center"/>
          </w:tcPr>
          <w:p w14:paraId="46814782">
            <w:pPr>
              <w:tabs>
                <w:tab w:val="left" w:pos="0"/>
                <w:tab w:val="left" w:pos="720"/>
              </w:tabs>
              <w:adjustRightInd w:val="0"/>
              <w:snapToGrid w:val="0"/>
              <w:jc w:val="center"/>
              <w:rPr>
                <w:rFonts w:hint="eastAsia" w:ascii="宋体" w:hAnsi="宋体" w:cs="宋体"/>
                <w:szCs w:val="21"/>
              </w:rPr>
            </w:pPr>
          </w:p>
        </w:tc>
        <w:tc>
          <w:tcPr>
            <w:tcW w:w="2106" w:type="dxa"/>
            <w:noWrap w:val="0"/>
            <w:vAlign w:val="center"/>
          </w:tcPr>
          <w:p w14:paraId="283F0AE9">
            <w:pPr>
              <w:tabs>
                <w:tab w:val="left" w:pos="0"/>
                <w:tab w:val="left" w:pos="720"/>
              </w:tabs>
              <w:adjustRightInd w:val="0"/>
              <w:snapToGrid w:val="0"/>
              <w:jc w:val="center"/>
              <w:rPr>
                <w:rFonts w:hint="eastAsia" w:ascii="宋体" w:hAnsi="宋体" w:cs="宋体"/>
                <w:szCs w:val="21"/>
              </w:rPr>
            </w:pPr>
          </w:p>
        </w:tc>
        <w:tc>
          <w:tcPr>
            <w:tcW w:w="1468" w:type="dxa"/>
            <w:noWrap w:val="0"/>
            <w:vAlign w:val="center"/>
          </w:tcPr>
          <w:p w14:paraId="1CAEE9DB">
            <w:pPr>
              <w:tabs>
                <w:tab w:val="left" w:pos="0"/>
                <w:tab w:val="left" w:pos="720"/>
              </w:tabs>
              <w:adjustRightInd w:val="0"/>
              <w:snapToGrid w:val="0"/>
              <w:jc w:val="center"/>
              <w:rPr>
                <w:rFonts w:hint="eastAsia" w:ascii="宋体" w:hAnsi="宋体" w:cs="宋体"/>
                <w:szCs w:val="21"/>
              </w:rPr>
            </w:pPr>
          </w:p>
        </w:tc>
      </w:tr>
      <w:tr w14:paraId="088429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14:paraId="4B871579">
            <w:pPr>
              <w:tabs>
                <w:tab w:val="left" w:pos="0"/>
                <w:tab w:val="left" w:pos="720"/>
              </w:tabs>
              <w:adjustRightInd w:val="0"/>
              <w:snapToGrid w:val="0"/>
              <w:jc w:val="center"/>
              <w:rPr>
                <w:rFonts w:hint="eastAsia" w:ascii="宋体" w:hAnsi="宋体" w:cs="宋体"/>
                <w:szCs w:val="21"/>
              </w:rPr>
            </w:pPr>
          </w:p>
        </w:tc>
        <w:tc>
          <w:tcPr>
            <w:tcW w:w="1311" w:type="dxa"/>
            <w:noWrap w:val="0"/>
            <w:vAlign w:val="center"/>
          </w:tcPr>
          <w:p w14:paraId="6AE171EC">
            <w:pPr>
              <w:tabs>
                <w:tab w:val="left" w:pos="0"/>
                <w:tab w:val="left" w:pos="720"/>
              </w:tabs>
              <w:adjustRightInd w:val="0"/>
              <w:snapToGrid w:val="0"/>
              <w:jc w:val="center"/>
              <w:rPr>
                <w:rFonts w:hint="eastAsia" w:ascii="宋体" w:hAnsi="宋体" w:cs="宋体"/>
                <w:szCs w:val="21"/>
              </w:rPr>
            </w:pPr>
          </w:p>
        </w:tc>
        <w:tc>
          <w:tcPr>
            <w:tcW w:w="2320" w:type="dxa"/>
            <w:noWrap w:val="0"/>
            <w:vAlign w:val="center"/>
          </w:tcPr>
          <w:p w14:paraId="3E50946F">
            <w:pPr>
              <w:tabs>
                <w:tab w:val="left" w:pos="0"/>
                <w:tab w:val="left" w:pos="720"/>
              </w:tabs>
              <w:adjustRightInd w:val="0"/>
              <w:snapToGrid w:val="0"/>
              <w:jc w:val="center"/>
              <w:rPr>
                <w:rFonts w:hint="eastAsia" w:ascii="宋体" w:hAnsi="宋体" w:cs="宋体"/>
                <w:szCs w:val="21"/>
              </w:rPr>
            </w:pPr>
          </w:p>
        </w:tc>
        <w:tc>
          <w:tcPr>
            <w:tcW w:w="2106" w:type="dxa"/>
            <w:noWrap w:val="0"/>
            <w:vAlign w:val="center"/>
          </w:tcPr>
          <w:p w14:paraId="0585FCF4">
            <w:pPr>
              <w:tabs>
                <w:tab w:val="left" w:pos="0"/>
                <w:tab w:val="left" w:pos="720"/>
              </w:tabs>
              <w:adjustRightInd w:val="0"/>
              <w:snapToGrid w:val="0"/>
              <w:jc w:val="center"/>
              <w:rPr>
                <w:rFonts w:hint="eastAsia" w:ascii="宋体" w:hAnsi="宋体" w:cs="宋体"/>
                <w:szCs w:val="21"/>
              </w:rPr>
            </w:pPr>
          </w:p>
        </w:tc>
        <w:tc>
          <w:tcPr>
            <w:tcW w:w="1468" w:type="dxa"/>
            <w:noWrap w:val="0"/>
            <w:vAlign w:val="center"/>
          </w:tcPr>
          <w:p w14:paraId="4523C253">
            <w:pPr>
              <w:tabs>
                <w:tab w:val="left" w:pos="0"/>
                <w:tab w:val="left" w:pos="720"/>
              </w:tabs>
              <w:adjustRightInd w:val="0"/>
              <w:snapToGrid w:val="0"/>
              <w:jc w:val="center"/>
              <w:rPr>
                <w:rFonts w:hint="eastAsia" w:ascii="宋体" w:hAnsi="宋体" w:cs="宋体"/>
                <w:szCs w:val="21"/>
              </w:rPr>
            </w:pPr>
          </w:p>
        </w:tc>
      </w:tr>
      <w:tr w14:paraId="0E3985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14:paraId="144297CE">
            <w:pPr>
              <w:tabs>
                <w:tab w:val="left" w:pos="0"/>
                <w:tab w:val="left" w:pos="720"/>
              </w:tabs>
              <w:adjustRightInd w:val="0"/>
              <w:snapToGrid w:val="0"/>
              <w:jc w:val="center"/>
              <w:rPr>
                <w:rFonts w:hint="eastAsia" w:ascii="宋体" w:hAnsi="宋体" w:cs="宋体"/>
                <w:szCs w:val="21"/>
              </w:rPr>
            </w:pPr>
          </w:p>
        </w:tc>
        <w:tc>
          <w:tcPr>
            <w:tcW w:w="1311" w:type="dxa"/>
            <w:noWrap w:val="0"/>
            <w:vAlign w:val="center"/>
          </w:tcPr>
          <w:p w14:paraId="642DF22E">
            <w:pPr>
              <w:tabs>
                <w:tab w:val="left" w:pos="0"/>
                <w:tab w:val="left" w:pos="720"/>
              </w:tabs>
              <w:adjustRightInd w:val="0"/>
              <w:snapToGrid w:val="0"/>
              <w:jc w:val="center"/>
              <w:rPr>
                <w:rFonts w:hint="eastAsia" w:ascii="宋体" w:hAnsi="宋体" w:cs="宋体"/>
                <w:szCs w:val="21"/>
              </w:rPr>
            </w:pPr>
          </w:p>
        </w:tc>
        <w:tc>
          <w:tcPr>
            <w:tcW w:w="2320" w:type="dxa"/>
            <w:noWrap w:val="0"/>
            <w:vAlign w:val="center"/>
          </w:tcPr>
          <w:p w14:paraId="6EB8A709">
            <w:pPr>
              <w:tabs>
                <w:tab w:val="left" w:pos="0"/>
                <w:tab w:val="left" w:pos="720"/>
              </w:tabs>
              <w:adjustRightInd w:val="0"/>
              <w:snapToGrid w:val="0"/>
              <w:jc w:val="center"/>
              <w:rPr>
                <w:rFonts w:hint="eastAsia" w:ascii="宋体" w:hAnsi="宋体" w:cs="宋体"/>
                <w:szCs w:val="21"/>
              </w:rPr>
            </w:pPr>
          </w:p>
        </w:tc>
        <w:tc>
          <w:tcPr>
            <w:tcW w:w="2106" w:type="dxa"/>
            <w:noWrap w:val="0"/>
            <w:vAlign w:val="center"/>
          </w:tcPr>
          <w:p w14:paraId="2EADC0FA">
            <w:pPr>
              <w:tabs>
                <w:tab w:val="left" w:pos="0"/>
                <w:tab w:val="left" w:pos="720"/>
              </w:tabs>
              <w:adjustRightInd w:val="0"/>
              <w:snapToGrid w:val="0"/>
              <w:jc w:val="center"/>
              <w:rPr>
                <w:rFonts w:hint="eastAsia" w:ascii="宋体" w:hAnsi="宋体" w:cs="宋体"/>
                <w:szCs w:val="21"/>
              </w:rPr>
            </w:pPr>
          </w:p>
        </w:tc>
        <w:tc>
          <w:tcPr>
            <w:tcW w:w="1468" w:type="dxa"/>
            <w:noWrap w:val="0"/>
            <w:vAlign w:val="center"/>
          </w:tcPr>
          <w:p w14:paraId="77D2CE5F">
            <w:pPr>
              <w:tabs>
                <w:tab w:val="left" w:pos="0"/>
                <w:tab w:val="left" w:pos="720"/>
              </w:tabs>
              <w:adjustRightInd w:val="0"/>
              <w:snapToGrid w:val="0"/>
              <w:jc w:val="center"/>
              <w:rPr>
                <w:rFonts w:hint="eastAsia" w:ascii="宋体" w:hAnsi="宋体" w:cs="宋体"/>
                <w:szCs w:val="21"/>
              </w:rPr>
            </w:pPr>
          </w:p>
        </w:tc>
      </w:tr>
      <w:tr w14:paraId="435C8E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14:paraId="02B360E6">
            <w:pPr>
              <w:tabs>
                <w:tab w:val="left" w:pos="0"/>
                <w:tab w:val="left" w:pos="720"/>
              </w:tabs>
              <w:adjustRightInd w:val="0"/>
              <w:snapToGrid w:val="0"/>
              <w:jc w:val="center"/>
              <w:rPr>
                <w:rFonts w:hint="eastAsia" w:ascii="宋体" w:hAnsi="宋体" w:cs="宋体"/>
                <w:szCs w:val="21"/>
              </w:rPr>
            </w:pPr>
          </w:p>
        </w:tc>
        <w:tc>
          <w:tcPr>
            <w:tcW w:w="1311" w:type="dxa"/>
            <w:noWrap w:val="0"/>
            <w:vAlign w:val="center"/>
          </w:tcPr>
          <w:p w14:paraId="0AE0CB31">
            <w:pPr>
              <w:tabs>
                <w:tab w:val="left" w:pos="0"/>
                <w:tab w:val="left" w:pos="720"/>
              </w:tabs>
              <w:adjustRightInd w:val="0"/>
              <w:snapToGrid w:val="0"/>
              <w:jc w:val="center"/>
              <w:rPr>
                <w:rFonts w:hint="eastAsia" w:ascii="宋体" w:hAnsi="宋体" w:cs="宋体"/>
                <w:szCs w:val="21"/>
              </w:rPr>
            </w:pPr>
          </w:p>
        </w:tc>
        <w:tc>
          <w:tcPr>
            <w:tcW w:w="2320" w:type="dxa"/>
            <w:noWrap w:val="0"/>
            <w:vAlign w:val="center"/>
          </w:tcPr>
          <w:p w14:paraId="743B4427">
            <w:pPr>
              <w:tabs>
                <w:tab w:val="left" w:pos="0"/>
                <w:tab w:val="left" w:pos="720"/>
              </w:tabs>
              <w:adjustRightInd w:val="0"/>
              <w:snapToGrid w:val="0"/>
              <w:jc w:val="center"/>
              <w:rPr>
                <w:rFonts w:hint="eastAsia" w:ascii="宋体" w:hAnsi="宋体" w:cs="宋体"/>
                <w:szCs w:val="21"/>
              </w:rPr>
            </w:pPr>
          </w:p>
        </w:tc>
        <w:tc>
          <w:tcPr>
            <w:tcW w:w="2106" w:type="dxa"/>
            <w:noWrap w:val="0"/>
            <w:vAlign w:val="center"/>
          </w:tcPr>
          <w:p w14:paraId="53416A4E">
            <w:pPr>
              <w:tabs>
                <w:tab w:val="left" w:pos="0"/>
                <w:tab w:val="left" w:pos="720"/>
              </w:tabs>
              <w:adjustRightInd w:val="0"/>
              <w:snapToGrid w:val="0"/>
              <w:jc w:val="center"/>
              <w:rPr>
                <w:rFonts w:hint="eastAsia" w:ascii="宋体" w:hAnsi="宋体" w:cs="宋体"/>
                <w:szCs w:val="21"/>
              </w:rPr>
            </w:pPr>
          </w:p>
        </w:tc>
        <w:tc>
          <w:tcPr>
            <w:tcW w:w="1468" w:type="dxa"/>
            <w:noWrap w:val="0"/>
            <w:vAlign w:val="center"/>
          </w:tcPr>
          <w:p w14:paraId="6A17A4CC">
            <w:pPr>
              <w:tabs>
                <w:tab w:val="left" w:pos="0"/>
                <w:tab w:val="left" w:pos="720"/>
              </w:tabs>
              <w:adjustRightInd w:val="0"/>
              <w:snapToGrid w:val="0"/>
              <w:jc w:val="center"/>
              <w:rPr>
                <w:rFonts w:hint="eastAsia" w:ascii="宋体" w:hAnsi="宋体" w:cs="宋体"/>
                <w:szCs w:val="21"/>
              </w:rPr>
            </w:pPr>
          </w:p>
        </w:tc>
      </w:tr>
      <w:tr w14:paraId="432AC9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14:paraId="01BB776F">
            <w:pPr>
              <w:tabs>
                <w:tab w:val="left" w:pos="0"/>
                <w:tab w:val="left" w:pos="720"/>
              </w:tabs>
              <w:adjustRightInd w:val="0"/>
              <w:snapToGrid w:val="0"/>
              <w:jc w:val="center"/>
              <w:rPr>
                <w:rFonts w:hint="eastAsia" w:ascii="宋体" w:hAnsi="宋体" w:cs="宋体"/>
                <w:szCs w:val="21"/>
              </w:rPr>
            </w:pPr>
          </w:p>
        </w:tc>
        <w:tc>
          <w:tcPr>
            <w:tcW w:w="1311" w:type="dxa"/>
            <w:noWrap w:val="0"/>
            <w:vAlign w:val="center"/>
          </w:tcPr>
          <w:p w14:paraId="7485F985">
            <w:pPr>
              <w:tabs>
                <w:tab w:val="left" w:pos="0"/>
                <w:tab w:val="left" w:pos="720"/>
              </w:tabs>
              <w:adjustRightInd w:val="0"/>
              <w:snapToGrid w:val="0"/>
              <w:jc w:val="center"/>
              <w:rPr>
                <w:rFonts w:hint="eastAsia" w:ascii="宋体" w:hAnsi="宋体" w:cs="宋体"/>
                <w:szCs w:val="21"/>
              </w:rPr>
            </w:pPr>
          </w:p>
        </w:tc>
        <w:tc>
          <w:tcPr>
            <w:tcW w:w="2320" w:type="dxa"/>
            <w:noWrap w:val="0"/>
            <w:vAlign w:val="center"/>
          </w:tcPr>
          <w:p w14:paraId="4DC2E0E1">
            <w:pPr>
              <w:tabs>
                <w:tab w:val="left" w:pos="0"/>
                <w:tab w:val="left" w:pos="720"/>
              </w:tabs>
              <w:adjustRightInd w:val="0"/>
              <w:snapToGrid w:val="0"/>
              <w:jc w:val="center"/>
              <w:rPr>
                <w:rFonts w:hint="eastAsia" w:ascii="宋体" w:hAnsi="宋体" w:cs="宋体"/>
                <w:szCs w:val="21"/>
              </w:rPr>
            </w:pPr>
          </w:p>
        </w:tc>
        <w:tc>
          <w:tcPr>
            <w:tcW w:w="2106" w:type="dxa"/>
            <w:noWrap w:val="0"/>
            <w:vAlign w:val="center"/>
          </w:tcPr>
          <w:p w14:paraId="2DE9DFA6">
            <w:pPr>
              <w:tabs>
                <w:tab w:val="left" w:pos="0"/>
                <w:tab w:val="left" w:pos="720"/>
              </w:tabs>
              <w:adjustRightInd w:val="0"/>
              <w:snapToGrid w:val="0"/>
              <w:jc w:val="center"/>
              <w:rPr>
                <w:rFonts w:hint="eastAsia" w:ascii="宋体" w:hAnsi="宋体" w:cs="宋体"/>
                <w:szCs w:val="21"/>
              </w:rPr>
            </w:pPr>
          </w:p>
        </w:tc>
        <w:tc>
          <w:tcPr>
            <w:tcW w:w="1468" w:type="dxa"/>
            <w:noWrap w:val="0"/>
            <w:vAlign w:val="center"/>
          </w:tcPr>
          <w:p w14:paraId="342EB63B">
            <w:pPr>
              <w:tabs>
                <w:tab w:val="left" w:pos="0"/>
                <w:tab w:val="left" w:pos="720"/>
              </w:tabs>
              <w:adjustRightInd w:val="0"/>
              <w:snapToGrid w:val="0"/>
              <w:jc w:val="center"/>
              <w:rPr>
                <w:rFonts w:hint="eastAsia" w:ascii="宋体" w:hAnsi="宋体" w:cs="宋体"/>
                <w:szCs w:val="21"/>
              </w:rPr>
            </w:pPr>
          </w:p>
        </w:tc>
      </w:tr>
      <w:tr w14:paraId="34790F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14:paraId="113C2CBD">
            <w:pPr>
              <w:tabs>
                <w:tab w:val="left" w:pos="0"/>
                <w:tab w:val="left" w:pos="720"/>
              </w:tabs>
              <w:adjustRightInd w:val="0"/>
              <w:snapToGrid w:val="0"/>
              <w:jc w:val="center"/>
              <w:rPr>
                <w:rFonts w:hint="eastAsia" w:ascii="宋体" w:hAnsi="宋体" w:cs="宋体"/>
                <w:szCs w:val="21"/>
              </w:rPr>
            </w:pPr>
          </w:p>
        </w:tc>
        <w:tc>
          <w:tcPr>
            <w:tcW w:w="1311" w:type="dxa"/>
            <w:noWrap w:val="0"/>
            <w:vAlign w:val="center"/>
          </w:tcPr>
          <w:p w14:paraId="0D22A3A1">
            <w:pPr>
              <w:tabs>
                <w:tab w:val="left" w:pos="0"/>
                <w:tab w:val="left" w:pos="720"/>
              </w:tabs>
              <w:adjustRightInd w:val="0"/>
              <w:snapToGrid w:val="0"/>
              <w:jc w:val="center"/>
              <w:rPr>
                <w:rFonts w:hint="eastAsia" w:ascii="宋体" w:hAnsi="宋体" w:cs="宋体"/>
                <w:szCs w:val="21"/>
              </w:rPr>
            </w:pPr>
          </w:p>
        </w:tc>
        <w:tc>
          <w:tcPr>
            <w:tcW w:w="2320" w:type="dxa"/>
            <w:noWrap w:val="0"/>
            <w:vAlign w:val="center"/>
          </w:tcPr>
          <w:p w14:paraId="4C3D2EC6">
            <w:pPr>
              <w:tabs>
                <w:tab w:val="left" w:pos="0"/>
                <w:tab w:val="left" w:pos="720"/>
              </w:tabs>
              <w:adjustRightInd w:val="0"/>
              <w:snapToGrid w:val="0"/>
              <w:jc w:val="center"/>
              <w:rPr>
                <w:rFonts w:hint="eastAsia" w:ascii="宋体" w:hAnsi="宋体" w:cs="宋体"/>
                <w:szCs w:val="21"/>
              </w:rPr>
            </w:pPr>
          </w:p>
        </w:tc>
        <w:tc>
          <w:tcPr>
            <w:tcW w:w="2106" w:type="dxa"/>
            <w:noWrap w:val="0"/>
            <w:vAlign w:val="center"/>
          </w:tcPr>
          <w:p w14:paraId="25CB84DF">
            <w:pPr>
              <w:tabs>
                <w:tab w:val="left" w:pos="0"/>
                <w:tab w:val="left" w:pos="720"/>
              </w:tabs>
              <w:adjustRightInd w:val="0"/>
              <w:snapToGrid w:val="0"/>
              <w:jc w:val="center"/>
              <w:rPr>
                <w:rFonts w:hint="eastAsia" w:ascii="宋体" w:hAnsi="宋体" w:cs="宋体"/>
                <w:szCs w:val="21"/>
              </w:rPr>
            </w:pPr>
          </w:p>
        </w:tc>
        <w:tc>
          <w:tcPr>
            <w:tcW w:w="1468" w:type="dxa"/>
            <w:noWrap w:val="0"/>
            <w:vAlign w:val="center"/>
          </w:tcPr>
          <w:p w14:paraId="7850FECA">
            <w:pPr>
              <w:tabs>
                <w:tab w:val="left" w:pos="0"/>
                <w:tab w:val="left" w:pos="720"/>
              </w:tabs>
              <w:adjustRightInd w:val="0"/>
              <w:snapToGrid w:val="0"/>
              <w:jc w:val="center"/>
              <w:rPr>
                <w:rFonts w:hint="eastAsia" w:ascii="宋体" w:hAnsi="宋体" w:cs="宋体"/>
                <w:szCs w:val="21"/>
              </w:rPr>
            </w:pPr>
          </w:p>
        </w:tc>
      </w:tr>
      <w:tr w14:paraId="441FF3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14:paraId="31AD8FB9">
            <w:pPr>
              <w:tabs>
                <w:tab w:val="left" w:pos="0"/>
                <w:tab w:val="left" w:pos="720"/>
              </w:tabs>
              <w:adjustRightInd w:val="0"/>
              <w:snapToGrid w:val="0"/>
              <w:jc w:val="center"/>
              <w:rPr>
                <w:rFonts w:hint="eastAsia" w:ascii="宋体" w:hAnsi="宋体" w:cs="宋体"/>
                <w:szCs w:val="21"/>
              </w:rPr>
            </w:pPr>
          </w:p>
        </w:tc>
        <w:tc>
          <w:tcPr>
            <w:tcW w:w="1311" w:type="dxa"/>
            <w:noWrap w:val="0"/>
            <w:vAlign w:val="center"/>
          </w:tcPr>
          <w:p w14:paraId="4F4C9575">
            <w:pPr>
              <w:tabs>
                <w:tab w:val="left" w:pos="0"/>
                <w:tab w:val="left" w:pos="720"/>
              </w:tabs>
              <w:adjustRightInd w:val="0"/>
              <w:snapToGrid w:val="0"/>
              <w:jc w:val="center"/>
              <w:rPr>
                <w:rFonts w:hint="eastAsia" w:ascii="宋体" w:hAnsi="宋体" w:cs="宋体"/>
                <w:szCs w:val="21"/>
              </w:rPr>
            </w:pPr>
          </w:p>
        </w:tc>
        <w:tc>
          <w:tcPr>
            <w:tcW w:w="2320" w:type="dxa"/>
            <w:noWrap w:val="0"/>
            <w:vAlign w:val="center"/>
          </w:tcPr>
          <w:p w14:paraId="6A37D272">
            <w:pPr>
              <w:tabs>
                <w:tab w:val="left" w:pos="0"/>
                <w:tab w:val="left" w:pos="720"/>
              </w:tabs>
              <w:adjustRightInd w:val="0"/>
              <w:snapToGrid w:val="0"/>
              <w:jc w:val="center"/>
              <w:rPr>
                <w:rFonts w:hint="eastAsia" w:ascii="宋体" w:hAnsi="宋体" w:cs="宋体"/>
                <w:szCs w:val="21"/>
              </w:rPr>
            </w:pPr>
          </w:p>
        </w:tc>
        <w:tc>
          <w:tcPr>
            <w:tcW w:w="2106" w:type="dxa"/>
            <w:noWrap w:val="0"/>
            <w:vAlign w:val="center"/>
          </w:tcPr>
          <w:p w14:paraId="0D7A639B">
            <w:pPr>
              <w:tabs>
                <w:tab w:val="left" w:pos="0"/>
                <w:tab w:val="left" w:pos="720"/>
              </w:tabs>
              <w:adjustRightInd w:val="0"/>
              <w:snapToGrid w:val="0"/>
              <w:jc w:val="center"/>
              <w:rPr>
                <w:rFonts w:hint="eastAsia" w:ascii="宋体" w:hAnsi="宋体" w:cs="宋体"/>
                <w:szCs w:val="21"/>
              </w:rPr>
            </w:pPr>
          </w:p>
        </w:tc>
        <w:tc>
          <w:tcPr>
            <w:tcW w:w="1468" w:type="dxa"/>
            <w:noWrap w:val="0"/>
            <w:vAlign w:val="center"/>
          </w:tcPr>
          <w:p w14:paraId="2FE1E991">
            <w:pPr>
              <w:tabs>
                <w:tab w:val="left" w:pos="0"/>
                <w:tab w:val="left" w:pos="720"/>
              </w:tabs>
              <w:adjustRightInd w:val="0"/>
              <w:snapToGrid w:val="0"/>
              <w:jc w:val="center"/>
              <w:rPr>
                <w:rFonts w:hint="eastAsia" w:ascii="宋体" w:hAnsi="宋体" w:cs="宋体"/>
                <w:szCs w:val="21"/>
              </w:rPr>
            </w:pPr>
          </w:p>
        </w:tc>
      </w:tr>
      <w:tr w14:paraId="4330C3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14:paraId="55E8DE6C">
            <w:pPr>
              <w:tabs>
                <w:tab w:val="left" w:pos="0"/>
                <w:tab w:val="left" w:pos="720"/>
              </w:tabs>
              <w:adjustRightInd w:val="0"/>
              <w:snapToGrid w:val="0"/>
              <w:jc w:val="center"/>
              <w:rPr>
                <w:rFonts w:hint="eastAsia" w:ascii="宋体" w:hAnsi="宋体" w:cs="宋体"/>
                <w:szCs w:val="21"/>
              </w:rPr>
            </w:pPr>
          </w:p>
        </w:tc>
        <w:tc>
          <w:tcPr>
            <w:tcW w:w="1311" w:type="dxa"/>
            <w:noWrap w:val="0"/>
            <w:vAlign w:val="center"/>
          </w:tcPr>
          <w:p w14:paraId="757B27C2">
            <w:pPr>
              <w:tabs>
                <w:tab w:val="left" w:pos="0"/>
                <w:tab w:val="left" w:pos="720"/>
              </w:tabs>
              <w:adjustRightInd w:val="0"/>
              <w:snapToGrid w:val="0"/>
              <w:jc w:val="center"/>
              <w:rPr>
                <w:rFonts w:hint="eastAsia" w:ascii="宋体" w:hAnsi="宋体" w:cs="宋体"/>
                <w:szCs w:val="21"/>
              </w:rPr>
            </w:pPr>
          </w:p>
        </w:tc>
        <w:tc>
          <w:tcPr>
            <w:tcW w:w="2320" w:type="dxa"/>
            <w:noWrap w:val="0"/>
            <w:vAlign w:val="center"/>
          </w:tcPr>
          <w:p w14:paraId="70B295FF">
            <w:pPr>
              <w:tabs>
                <w:tab w:val="left" w:pos="0"/>
                <w:tab w:val="left" w:pos="720"/>
              </w:tabs>
              <w:adjustRightInd w:val="0"/>
              <w:snapToGrid w:val="0"/>
              <w:jc w:val="center"/>
              <w:rPr>
                <w:rFonts w:hint="eastAsia" w:ascii="宋体" w:hAnsi="宋体" w:cs="宋体"/>
                <w:szCs w:val="21"/>
              </w:rPr>
            </w:pPr>
          </w:p>
        </w:tc>
        <w:tc>
          <w:tcPr>
            <w:tcW w:w="2106" w:type="dxa"/>
            <w:noWrap w:val="0"/>
            <w:vAlign w:val="center"/>
          </w:tcPr>
          <w:p w14:paraId="3E341395">
            <w:pPr>
              <w:tabs>
                <w:tab w:val="left" w:pos="0"/>
                <w:tab w:val="left" w:pos="720"/>
              </w:tabs>
              <w:adjustRightInd w:val="0"/>
              <w:snapToGrid w:val="0"/>
              <w:jc w:val="center"/>
              <w:rPr>
                <w:rFonts w:hint="eastAsia" w:ascii="宋体" w:hAnsi="宋体" w:cs="宋体"/>
                <w:szCs w:val="21"/>
              </w:rPr>
            </w:pPr>
          </w:p>
        </w:tc>
        <w:tc>
          <w:tcPr>
            <w:tcW w:w="1468" w:type="dxa"/>
            <w:noWrap w:val="0"/>
            <w:vAlign w:val="center"/>
          </w:tcPr>
          <w:p w14:paraId="52CC286A">
            <w:pPr>
              <w:tabs>
                <w:tab w:val="left" w:pos="0"/>
                <w:tab w:val="left" w:pos="720"/>
              </w:tabs>
              <w:adjustRightInd w:val="0"/>
              <w:snapToGrid w:val="0"/>
              <w:jc w:val="center"/>
              <w:rPr>
                <w:rFonts w:hint="eastAsia" w:ascii="宋体" w:hAnsi="宋体" w:cs="宋体"/>
                <w:szCs w:val="21"/>
              </w:rPr>
            </w:pPr>
          </w:p>
        </w:tc>
      </w:tr>
      <w:tr w14:paraId="2A1BA1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14:paraId="2E7B461F">
            <w:pPr>
              <w:tabs>
                <w:tab w:val="left" w:pos="0"/>
                <w:tab w:val="left" w:pos="720"/>
              </w:tabs>
              <w:adjustRightInd w:val="0"/>
              <w:snapToGrid w:val="0"/>
              <w:jc w:val="center"/>
              <w:rPr>
                <w:rFonts w:hint="eastAsia" w:ascii="宋体" w:hAnsi="宋体" w:cs="宋体"/>
                <w:szCs w:val="21"/>
              </w:rPr>
            </w:pPr>
          </w:p>
        </w:tc>
        <w:tc>
          <w:tcPr>
            <w:tcW w:w="1311" w:type="dxa"/>
            <w:noWrap w:val="0"/>
            <w:vAlign w:val="center"/>
          </w:tcPr>
          <w:p w14:paraId="62C4E616">
            <w:pPr>
              <w:tabs>
                <w:tab w:val="left" w:pos="0"/>
                <w:tab w:val="left" w:pos="720"/>
              </w:tabs>
              <w:adjustRightInd w:val="0"/>
              <w:snapToGrid w:val="0"/>
              <w:jc w:val="center"/>
              <w:rPr>
                <w:rFonts w:hint="eastAsia" w:ascii="宋体" w:hAnsi="宋体" w:cs="宋体"/>
                <w:szCs w:val="21"/>
              </w:rPr>
            </w:pPr>
          </w:p>
        </w:tc>
        <w:tc>
          <w:tcPr>
            <w:tcW w:w="2320" w:type="dxa"/>
            <w:noWrap w:val="0"/>
            <w:vAlign w:val="center"/>
          </w:tcPr>
          <w:p w14:paraId="477C885F">
            <w:pPr>
              <w:tabs>
                <w:tab w:val="left" w:pos="0"/>
                <w:tab w:val="left" w:pos="720"/>
              </w:tabs>
              <w:adjustRightInd w:val="0"/>
              <w:snapToGrid w:val="0"/>
              <w:jc w:val="center"/>
              <w:rPr>
                <w:rFonts w:hint="eastAsia" w:ascii="宋体" w:hAnsi="宋体" w:cs="宋体"/>
                <w:szCs w:val="21"/>
              </w:rPr>
            </w:pPr>
          </w:p>
        </w:tc>
        <w:tc>
          <w:tcPr>
            <w:tcW w:w="2106" w:type="dxa"/>
            <w:noWrap w:val="0"/>
            <w:vAlign w:val="center"/>
          </w:tcPr>
          <w:p w14:paraId="199C547B">
            <w:pPr>
              <w:tabs>
                <w:tab w:val="left" w:pos="0"/>
                <w:tab w:val="left" w:pos="720"/>
              </w:tabs>
              <w:adjustRightInd w:val="0"/>
              <w:snapToGrid w:val="0"/>
              <w:jc w:val="center"/>
              <w:rPr>
                <w:rFonts w:hint="eastAsia" w:ascii="宋体" w:hAnsi="宋体" w:cs="宋体"/>
                <w:szCs w:val="21"/>
              </w:rPr>
            </w:pPr>
          </w:p>
        </w:tc>
        <w:tc>
          <w:tcPr>
            <w:tcW w:w="1468" w:type="dxa"/>
            <w:noWrap w:val="0"/>
            <w:vAlign w:val="center"/>
          </w:tcPr>
          <w:p w14:paraId="767A9C06">
            <w:pPr>
              <w:tabs>
                <w:tab w:val="left" w:pos="0"/>
                <w:tab w:val="left" w:pos="720"/>
              </w:tabs>
              <w:adjustRightInd w:val="0"/>
              <w:snapToGrid w:val="0"/>
              <w:jc w:val="center"/>
              <w:rPr>
                <w:rFonts w:hint="eastAsia" w:ascii="宋体" w:hAnsi="宋体" w:cs="宋体"/>
                <w:szCs w:val="21"/>
              </w:rPr>
            </w:pPr>
          </w:p>
        </w:tc>
      </w:tr>
      <w:tr w14:paraId="6F5091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1281" w:type="dxa"/>
            <w:noWrap w:val="0"/>
            <w:vAlign w:val="center"/>
          </w:tcPr>
          <w:p w14:paraId="1F1F77C5">
            <w:pPr>
              <w:tabs>
                <w:tab w:val="left" w:pos="0"/>
                <w:tab w:val="left" w:pos="720"/>
              </w:tabs>
              <w:adjustRightInd w:val="0"/>
              <w:snapToGrid w:val="0"/>
              <w:jc w:val="center"/>
              <w:rPr>
                <w:rFonts w:hint="eastAsia" w:ascii="宋体" w:hAnsi="宋体" w:cs="宋体"/>
                <w:szCs w:val="21"/>
              </w:rPr>
            </w:pPr>
          </w:p>
        </w:tc>
        <w:tc>
          <w:tcPr>
            <w:tcW w:w="1311" w:type="dxa"/>
            <w:noWrap w:val="0"/>
            <w:vAlign w:val="center"/>
          </w:tcPr>
          <w:p w14:paraId="591171F6">
            <w:pPr>
              <w:tabs>
                <w:tab w:val="left" w:pos="0"/>
                <w:tab w:val="left" w:pos="720"/>
              </w:tabs>
              <w:adjustRightInd w:val="0"/>
              <w:snapToGrid w:val="0"/>
              <w:jc w:val="center"/>
              <w:rPr>
                <w:rFonts w:hint="eastAsia" w:ascii="宋体" w:hAnsi="宋体" w:cs="宋体"/>
                <w:szCs w:val="21"/>
              </w:rPr>
            </w:pPr>
          </w:p>
        </w:tc>
        <w:tc>
          <w:tcPr>
            <w:tcW w:w="2320" w:type="dxa"/>
            <w:noWrap w:val="0"/>
            <w:vAlign w:val="center"/>
          </w:tcPr>
          <w:p w14:paraId="29CCD856">
            <w:pPr>
              <w:tabs>
                <w:tab w:val="left" w:pos="0"/>
                <w:tab w:val="left" w:pos="720"/>
              </w:tabs>
              <w:adjustRightInd w:val="0"/>
              <w:snapToGrid w:val="0"/>
              <w:jc w:val="center"/>
              <w:rPr>
                <w:rFonts w:hint="eastAsia" w:ascii="宋体" w:hAnsi="宋体" w:cs="宋体"/>
                <w:szCs w:val="21"/>
              </w:rPr>
            </w:pPr>
          </w:p>
        </w:tc>
        <w:tc>
          <w:tcPr>
            <w:tcW w:w="2106" w:type="dxa"/>
            <w:noWrap w:val="0"/>
            <w:vAlign w:val="center"/>
          </w:tcPr>
          <w:p w14:paraId="18A0DC94">
            <w:pPr>
              <w:tabs>
                <w:tab w:val="left" w:pos="0"/>
                <w:tab w:val="left" w:pos="720"/>
              </w:tabs>
              <w:adjustRightInd w:val="0"/>
              <w:snapToGrid w:val="0"/>
              <w:jc w:val="center"/>
              <w:rPr>
                <w:rFonts w:hint="eastAsia" w:ascii="宋体" w:hAnsi="宋体" w:cs="宋体"/>
                <w:szCs w:val="21"/>
              </w:rPr>
            </w:pPr>
          </w:p>
        </w:tc>
        <w:tc>
          <w:tcPr>
            <w:tcW w:w="1468" w:type="dxa"/>
            <w:noWrap w:val="0"/>
            <w:vAlign w:val="center"/>
          </w:tcPr>
          <w:p w14:paraId="27C76E7F">
            <w:pPr>
              <w:tabs>
                <w:tab w:val="left" w:pos="0"/>
                <w:tab w:val="left" w:pos="720"/>
              </w:tabs>
              <w:adjustRightInd w:val="0"/>
              <w:snapToGrid w:val="0"/>
              <w:jc w:val="center"/>
              <w:rPr>
                <w:rFonts w:hint="eastAsia" w:ascii="宋体" w:hAnsi="宋体" w:cs="宋体"/>
                <w:szCs w:val="21"/>
              </w:rPr>
            </w:pPr>
          </w:p>
        </w:tc>
      </w:tr>
      <w:tr w14:paraId="0DD822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2" w:hRule="atLeast"/>
          <w:jc w:val="center"/>
        </w:trPr>
        <w:tc>
          <w:tcPr>
            <w:tcW w:w="1281" w:type="dxa"/>
            <w:noWrap w:val="0"/>
            <w:vAlign w:val="center"/>
          </w:tcPr>
          <w:p w14:paraId="1992B78C">
            <w:pPr>
              <w:tabs>
                <w:tab w:val="left" w:pos="0"/>
                <w:tab w:val="left" w:pos="720"/>
              </w:tabs>
              <w:adjustRightInd w:val="0"/>
              <w:snapToGrid w:val="0"/>
              <w:jc w:val="center"/>
              <w:rPr>
                <w:rFonts w:hint="eastAsia" w:ascii="宋体" w:hAnsi="宋体" w:cs="宋体"/>
                <w:szCs w:val="21"/>
              </w:rPr>
            </w:pPr>
          </w:p>
        </w:tc>
        <w:tc>
          <w:tcPr>
            <w:tcW w:w="1311" w:type="dxa"/>
            <w:noWrap w:val="0"/>
            <w:vAlign w:val="center"/>
          </w:tcPr>
          <w:p w14:paraId="5D0EB5A1">
            <w:pPr>
              <w:tabs>
                <w:tab w:val="left" w:pos="0"/>
                <w:tab w:val="left" w:pos="720"/>
              </w:tabs>
              <w:adjustRightInd w:val="0"/>
              <w:snapToGrid w:val="0"/>
              <w:jc w:val="center"/>
              <w:rPr>
                <w:rFonts w:hint="eastAsia" w:ascii="宋体" w:hAnsi="宋体" w:cs="宋体"/>
                <w:szCs w:val="21"/>
              </w:rPr>
            </w:pPr>
          </w:p>
        </w:tc>
        <w:tc>
          <w:tcPr>
            <w:tcW w:w="2320" w:type="dxa"/>
            <w:noWrap w:val="0"/>
            <w:vAlign w:val="center"/>
          </w:tcPr>
          <w:p w14:paraId="45D7F061">
            <w:pPr>
              <w:tabs>
                <w:tab w:val="left" w:pos="0"/>
                <w:tab w:val="left" w:pos="720"/>
              </w:tabs>
              <w:adjustRightInd w:val="0"/>
              <w:snapToGrid w:val="0"/>
              <w:jc w:val="center"/>
              <w:rPr>
                <w:rFonts w:hint="eastAsia" w:ascii="宋体" w:hAnsi="宋体" w:cs="宋体"/>
                <w:szCs w:val="21"/>
              </w:rPr>
            </w:pPr>
          </w:p>
        </w:tc>
        <w:tc>
          <w:tcPr>
            <w:tcW w:w="2106" w:type="dxa"/>
            <w:noWrap w:val="0"/>
            <w:vAlign w:val="center"/>
          </w:tcPr>
          <w:p w14:paraId="46C34C88">
            <w:pPr>
              <w:tabs>
                <w:tab w:val="left" w:pos="0"/>
                <w:tab w:val="left" w:pos="720"/>
              </w:tabs>
              <w:adjustRightInd w:val="0"/>
              <w:snapToGrid w:val="0"/>
              <w:jc w:val="center"/>
              <w:rPr>
                <w:rFonts w:hint="eastAsia" w:ascii="宋体" w:hAnsi="宋体" w:cs="宋体"/>
                <w:szCs w:val="21"/>
              </w:rPr>
            </w:pPr>
          </w:p>
        </w:tc>
        <w:tc>
          <w:tcPr>
            <w:tcW w:w="1468" w:type="dxa"/>
            <w:noWrap w:val="0"/>
            <w:vAlign w:val="center"/>
          </w:tcPr>
          <w:p w14:paraId="6466677A">
            <w:pPr>
              <w:tabs>
                <w:tab w:val="left" w:pos="0"/>
                <w:tab w:val="left" w:pos="720"/>
              </w:tabs>
              <w:adjustRightInd w:val="0"/>
              <w:snapToGrid w:val="0"/>
              <w:jc w:val="center"/>
              <w:rPr>
                <w:rFonts w:hint="eastAsia" w:ascii="宋体" w:hAnsi="宋体" w:cs="宋体"/>
                <w:szCs w:val="21"/>
              </w:rPr>
            </w:pPr>
          </w:p>
        </w:tc>
      </w:tr>
    </w:tbl>
    <w:p w14:paraId="420F6994">
      <w:pPr>
        <w:ind w:left="361" w:hanging="361" w:hangingChars="200"/>
        <w:rPr>
          <w:rFonts w:hint="eastAsia" w:ascii="宋体" w:hAnsi="宋体" w:cs="宋体"/>
          <w:b/>
          <w:sz w:val="18"/>
          <w:szCs w:val="18"/>
        </w:rPr>
      </w:pPr>
      <w:r>
        <w:rPr>
          <w:rFonts w:hint="eastAsia" w:ascii="宋体" w:hAnsi="宋体" w:cs="宋体"/>
          <w:b/>
          <w:sz w:val="18"/>
          <w:szCs w:val="18"/>
        </w:rPr>
        <w:t>注：参与编制标书所有人员名单应包括如编制投标文件（含资格审查文件）、负责清样校对、负责打印及复印等所有人员在内的人员名单。</w:t>
      </w:r>
    </w:p>
    <w:p w14:paraId="7195612D">
      <w:pPr>
        <w:spacing w:line="360" w:lineRule="auto"/>
        <w:ind w:left="-283" w:leftChars="-135" w:right="-191" w:rightChars="-91"/>
        <w:rPr>
          <w:rFonts w:hint="eastAsia" w:ascii="宋体" w:hAnsi="宋体" w:cs="宋体"/>
          <w:sz w:val="24"/>
        </w:rPr>
      </w:pPr>
    </w:p>
    <w:p w14:paraId="3E991C62">
      <w:pPr>
        <w:spacing w:line="360" w:lineRule="auto"/>
        <w:ind w:left="-283" w:leftChars="-135" w:right="-191" w:rightChars="-91"/>
        <w:rPr>
          <w:rFonts w:hint="eastAsia" w:ascii="宋体" w:hAnsi="宋体" w:cs="宋体"/>
          <w:sz w:val="24"/>
        </w:rPr>
      </w:pPr>
    </w:p>
    <w:p w14:paraId="40E1BA72">
      <w:pPr>
        <w:autoSpaceDE w:val="0"/>
        <w:autoSpaceDN w:val="0"/>
        <w:adjustRightInd w:val="0"/>
        <w:spacing w:line="360" w:lineRule="auto"/>
        <w:outlineLvl w:val="1"/>
        <w:rPr>
          <w:rFonts w:hint="eastAsia" w:ascii="宋体" w:hAnsi="宋体" w:cs="宋体"/>
          <w:bCs/>
          <w:sz w:val="30"/>
          <w:szCs w:val="30"/>
          <w:lang w:val="zh-CN"/>
        </w:rPr>
      </w:pPr>
      <w:r>
        <w:rPr>
          <w:rFonts w:ascii="宋体" w:hAnsi="宋体" w:cs="宋体"/>
          <w:sz w:val="24"/>
        </w:rPr>
        <w:br w:type="page"/>
      </w:r>
      <w:bookmarkStart w:id="596" w:name="_Toc57392568"/>
      <w:bookmarkStart w:id="597" w:name="_Toc134304600"/>
      <w:r>
        <w:rPr>
          <w:rFonts w:hint="eastAsia" w:ascii="宋体" w:hAnsi="宋体" w:cs="宋体"/>
          <w:bCs/>
          <w:sz w:val="24"/>
        </w:rPr>
        <w:t>格式</w:t>
      </w:r>
      <w:bookmarkEnd w:id="596"/>
      <w:r>
        <w:rPr>
          <w:rFonts w:hint="eastAsia" w:ascii="宋体" w:hAnsi="宋体" w:cs="宋体"/>
          <w:bCs/>
          <w:sz w:val="24"/>
        </w:rPr>
        <w:t>5</w:t>
      </w:r>
      <w:bookmarkEnd w:id="597"/>
    </w:p>
    <w:p w14:paraId="278B10B1">
      <w:pPr>
        <w:tabs>
          <w:tab w:val="center" w:pos="4832"/>
          <w:tab w:val="left" w:pos="8161"/>
        </w:tabs>
        <w:autoSpaceDE w:val="0"/>
        <w:autoSpaceDN w:val="0"/>
        <w:adjustRightInd w:val="0"/>
        <w:spacing w:line="360" w:lineRule="auto"/>
        <w:jc w:val="left"/>
        <w:rPr>
          <w:rFonts w:hint="eastAsia" w:ascii="宋体" w:hAnsi="宋体" w:cs="宋体"/>
          <w:b/>
          <w:bCs/>
          <w:sz w:val="36"/>
          <w:szCs w:val="36"/>
        </w:rPr>
      </w:pPr>
    </w:p>
    <w:p w14:paraId="002FF723">
      <w:pPr>
        <w:tabs>
          <w:tab w:val="center" w:pos="4832"/>
          <w:tab w:val="left" w:pos="8161"/>
        </w:tabs>
        <w:autoSpaceDE w:val="0"/>
        <w:autoSpaceDN w:val="0"/>
        <w:adjustRightInd w:val="0"/>
        <w:spacing w:line="360" w:lineRule="auto"/>
        <w:jc w:val="center"/>
        <w:rPr>
          <w:rFonts w:hint="eastAsia" w:ascii="宋体" w:hAnsi="宋体" w:cs="宋体"/>
          <w:b/>
          <w:bCs/>
          <w:sz w:val="36"/>
          <w:szCs w:val="36"/>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宋体" w:hAnsi="宋体" w:cs="宋体"/>
          <w:b/>
          <w:bCs/>
          <w:sz w:val="36"/>
          <w:szCs w:val="36"/>
        </w:rPr>
        <w:t>投标人认为应该提供的其他资料</w:t>
      </w:r>
    </w:p>
    <w:p w14:paraId="3577AC45">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cs="宋体" w:eastAsiaTheme="minorEastAsia"/>
          <w:b/>
          <w:bCs w:val="0"/>
          <w:i w:val="0"/>
          <w:iCs w:val="0"/>
          <w:caps w:val="0"/>
          <w:color w:val="333333"/>
          <w:spacing w:val="0"/>
          <w:sz w:val="25"/>
          <w:szCs w:val="25"/>
          <w:shd w:val="clear" w:fill="FFFFFF"/>
          <w:lang w:val="en-US" w:eastAsia="zh-CN"/>
        </w:rPr>
      </w:pPr>
      <w:r>
        <w:rPr>
          <w:rFonts w:hint="eastAsia" w:ascii="宋体" w:hAnsi="宋体" w:cs="宋体"/>
          <w:b/>
          <w:bCs w:val="0"/>
          <w:sz w:val="24"/>
        </w:rPr>
        <w:t>格式</w:t>
      </w:r>
      <w:r>
        <w:rPr>
          <w:rFonts w:hint="eastAsia" w:ascii="宋体" w:hAnsi="宋体" w:cs="宋体"/>
          <w:b/>
          <w:bCs w:val="0"/>
          <w:sz w:val="24"/>
          <w:lang w:val="en-US" w:eastAsia="zh-CN"/>
        </w:rPr>
        <w:t>6</w:t>
      </w:r>
    </w:p>
    <w:p w14:paraId="2B562B37">
      <w:pPr>
        <w:autoSpaceDE w:val="0"/>
        <w:autoSpaceDN w:val="0"/>
        <w:adjustRightInd w:val="0"/>
        <w:spacing w:line="360" w:lineRule="auto"/>
        <w:jc w:val="center"/>
        <w:rPr>
          <w:rFonts w:hint="eastAsia" w:ascii="宋体" w:hAnsi="宋体" w:cs="宋体"/>
          <w:b/>
          <w:bCs/>
          <w:color w:val="auto"/>
          <w:sz w:val="28"/>
          <w:szCs w:val="28"/>
          <w:highlight w:val="none"/>
          <w:u w:val="single"/>
          <w:lang w:val="zh-CN"/>
        </w:rPr>
      </w:pPr>
      <w:bookmarkStart w:id="598" w:name="_Toc15115"/>
      <w:r>
        <w:rPr>
          <w:rFonts w:hint="eastAsia" w:ascii="宋体" w:hAnsi="宋体" w:cs="宋体"/>
          <w:b/>
          <w:bCs/>
          <w:color w:val="auto"/>
          <w:sz w:val="28"/>
          <w:szCs w:val="28"/>
          <w:highlight w:val="none"/>
          <w:u w:val="single"/>
          <w:lang w:val="zh-CN"/>
        </w:rPr>
        <w:t>危险性较大的分部分项工程清单及超过一定规模的危险性较大的分部分项工程清单</w:t>
      </w:r>
      <w:bookmarkEnd w:id="598"/>
    </w:p>
    <w:p w14:paraId="248D3845">
      <w:pPr>
        <w:pStyle w:val="28"/>
        <w:numPr>
          <w:ilvl w:val="0"/>
          <w:numId w:val="2"/>
        </w:numPr>
        <w:autoSpaceDE w:val="0"/>
        <w:autoSpaceDN w:val="0"/>
        <w:adjustRightInd w:val="0"/>
        <w:spacing w:line="360" w:lineRule="auto"/>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根据中华人民共和国住房和城乡建设部令第37号《危险性较大的分部分项工程安全管理规定》（以下简称“37号文”），投标人在投标时须补充完善危大工程清单并明确相应的安全管理措施。</w:t>
      </w:r>
    </w:p>
    <w:p w14:paraId="5C438DEA">
      <w:pPr>
        <w:pStyle w:val="28"/>
        <w:numPr>
          <w:ilvl w:val="0"/>
          <w:numId w:val="2"/>
        </w:numPr>
        <w:autoSpaceDE w:val="0"/>
        <w:autoSpaceDN w:val="0"/>
        <w:adjustRightInd w:val="0"/>
        <w:spacing w:line="360" w:lineRule="auto"/>
        <w:ind w:left="0" w:leftChars="0" w:firstLine="422" w:firstLineChars="20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招标人根据设计文件的要求及37号文的规定列出“危险性较大的分部分项工程清单及超过一定规模的危险性较大的分部分项工程清单”中与本招标项目相关的清单项，具体详见第5点“打√”标识。</w:t>
      </w:r>
    </w:p>
    <w:p w14:paraId="76EE0DBF">
      <w:pPr>
        <w:pStyle w:val="28"/>
        <w:autoSpaceDE w:val="0"/>
        <w:autoSpaceDN w:val="0"/>
        <w:adjustRightInd w:val="0"/>
        <w:spacing w:line="360" w:lineRule="auto"/>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（1）投标单位同意建设单位在清单中标识的该项请在对应项打“√”标识，并与投标文件中提供相应的安全管理措施。</w:t>
      </w:r>
    </w:p>
    <w:p w14:paraId="1D8C71CD">
      <w:pPr>
        <w:pStyle w:val="28"/>
        <w:autoSpaceDE w:val="0"/>
        <w:autoSpaceDN w:val="0"/>
        <w:adjustRightInd w:val="0"/>
        <w:spacing w:line="360" w:lineRule="auto"/>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（2）投标单位对清单中认为需要补充的该项请在对应项打“√”标识，并与投标文件中提供相应的安全管理措施。</w:t>
      </w:r>
    </w:p>
    <w:p w14:paraId="37072E6E">
      <w:pPr>
        <w:pStyle w:val="28"/>
        <w:autoSpaceDE w:val="0"/>
        <w:autoSpaceDN w:val="0"/>
        <w:adjustRightInd w:val="0"/>
        <w:spacing w:line="360" w:lineRule="auto"/>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（3）投标单位不同意建设单位在清单中标识的该项请在对应项打“×”标识，并在备注栏填上相关说明。</w:t>
      </w:r>
    </w:p>
    <w:p w14:paraId="52A6B79F">
      <w:pPr>
        <w:pStyle w:val="28"/>
        <w:autoSpaceDE w:val="0"/>
        <w:autoSpaceDN w:val="0"/>
        <w:adjustRightInd w:val="0"/>
        <w:spacing w:line="360" w:lineRule="auto"/>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3</w:t>
      </w:r>
      <w:r>
        <w:rPr>
          <w:rFonts w:hint="eastAsia" w:ascii="宋体" w:hAnsi="宋体" w:cs="宋体"/>
          <w:b/>
          <w:bCs/>
          <w:color w:val="auto"/>
          <w:szCs w:val="21"/>
          <w:highlight w:val="none"/>
          <w:u w:val="single"/>
          <w:lang w:eastAsia="zh-CN"/>
        </w:rPr>
        <w:t>.</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auto"/>
          <w:szCs w:val="21"/>
          <w:highlight w:val="none"/>
          <w:u w:val="single"/>
        </w:rPr>
        <w:t>投标单位应当在投标时根据招标人提供的下述第5点清单，在中标后提供的施工组织中编制专项施工方案。</w:t>
      </w:r>
    </w:p>
    <w:p w14:paraId="3A3646EC">
      <w:pPr>
        <w:pStyle w:val="28"/>
        <w:autoSpaceDE w:val="0"/>
        <w:autoSpaceDN w:val="0"/>
        <w:adjustRightInd w:val="0"/>
        <w:spacing w:line="360" w:lineRule="auto"/>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4</w:t>
      </w:r>
      <w:r>
        <w:rPr>
          <w:rFonts w:hint="eastAsia" w:ascii="宋体" w:hAnsi="宋体" w:cs="宋体"/>
          <w:b/>
          <w:bCs/>
          <w:color w:val="auto"/>
          <w:szCs w:val="21"/>
          <w:highlight w:val="none"/>
          <w:u w:val="single"/>
          <w:lang w:eastAsia="zh-CN"/>
        </w:rPr>
        <w:t>.</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auto"/>
          <w:szCs w:val="21"/>
          <w:highlight w:val="none"/>
          <w:u w:val="singl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1978FFE1">
      <w:pPr>
        <w:pStyle w:val="28"/>
        <w:autoSpaceDE w:val="0"/>
        <w:autoSpaceDN w:val="0"/>
        <w:adjustRightInd w:val="0"/>
        <w:spacing w:line="360" w:lineRule="auto"/>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5</w:t>
      </w:r>
      <w:r>
        <w:rPr>
          <w:rFonts w:hint="eastAsia" w:ascii="宋体" w:hAnsi="宋体" w:cs="宋体"/>
          <w:b/>
          <w:bCs/>
          <w:color w:val="auto"/>
          <w:szCs w:val="21"/>
          <w:highlight w:val="none"/>
          <w:u w:val="single"/>
          <w:lang w:eastAsia="zh-CN"/>
        </w:rPr>
        <w:t>.</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auto"/>
          <w:szCs w:val="21"/>
          <w:highlight w:val="none"/>
          <w:u w:val="single"/>
        </w:rPr>
        <w:t>危险性较大的分部分项工程清单及超过一定规模的危险性较大的分部分项工程清单：</w:t>
      </w:r>
    </w:p>
    <w:tbl>
      <w:tblPr>
        <w:tblStyle w:val="21"/>
        <w:tblpPr w:leftFromText="180" w:rightFromText="180" w:vertAnchor="text" w:horzAnchor="page" w:tblpX="1441" w:tblpY="467"/>
        <w:tblOverlap w:val="never"/>
        <w:tblW w:w="9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4"/>
        <w:gridCol w:w="1377"/>
        <w:gridCol w:w="1081"/>
        <w:gridCol w:w="918"/>
        <w:gridCol w:w="1727"/>
      </w:tblGrid>
      <w:tr w14:paraId="2AC28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tcBorders>
              <w:top w:val="single" w:color="auto" w:sz="4" w:space="0"/>
              <w:left w:val="single" w:color="auto" w:sz="4" w:space="0"/>
              <w:bottom w:val="single" w:color="auto" w:sz="4" w:space="0"/>
              <w:right w:val="single" w:color="auto" w:sz="4" w:space="0"/>
            </w:tcBorders>
            <w:vAlign w:val="center"/>
          </w:tcPr>
          <w:p w14:paraId="411D7259">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一、危险性较大的分部分项工程清单</w:t>
            </w:r>
          </w:p>
        </w:tc>
        <w:tc>
          <w:tcPr>
            <w:tcW w:w="1377" w:type="dxa"/>
            <w:tcBorders>
              <w:top w:val="single" w:color="auto" w:sz="4" w:space="0"/>
              <w:left w:val="single" w:color="auto" w:sz="4" w:space="0"/>
              <w:bottom w:val="single" w:color="auto" w:sz="4" w:space="0"/>
              <w:right w:val="single" w:color="auto" w:sz="4" w:space="0"/>
            </w:tcBorders>
            <w:vAlign w:val="center"/>
          </w:tcPr>
          <w:p w14:paraId="0422B2CA">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建设单位</w:t>
            </w:r>
          </w:p>
        </w:tc>
        <w:tc>
          <w:tcPr>
            <w:tcW w:w="1081" w:type="dxa"/>
            <w:tcBorders>
              <w:top w:val="single" w:color="auto" w:sz="4" w:space="0"/>
              <w:left w:val="single" w:color="auto" w:sz="4" w:space="0"/>
              <w:bottom w:val="single" w:color="auto" w:sz="4" w:space="0"/>
              <w:right w:val="single" w:color="auto" w:sz="4" w:space="0"/>
            </w:tcBorders>
            <w:vAlign w:val="center"/>
          </w:tcPr>
          <w:p w14:paraId="46AACD26">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投标单位</w:t>
            </w:r>
          </w:p>
        </w:tc>
        <w:tc>
          <w:tcPr>
            <w:tcW w:w="918" w:type="dxa"/>
            <w:tcBorders>
              <w:top w:val="single" w:color="auto" w:sz="4" w:space="0"/>
              <w:left w:val="single" w:color="auto" w:sz="4" w:space="0"/>
              <w:bottom w:val="single" w:color="auto" w:sz="4" w:space="0"/>
              <w:right w:val="single" w:color="auto" w:sz="4" w:space="0"/>
            </w:tcBorders>
            <w:vAlign w:val="center"/>
          </w:tcPr>
          <w:p w14:paraId="0A8AF6D0">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安全管理措施</w:t>
            </w:r>
          </w:p>
        </w:tc>
        <w:tc>
          <w:tcPr>
            <w:tcW w:w="1727" w:type="dxa"/>
            <w:tcBorders>
              <w:top w:val="single" w:color="auto" w:sz="4" w:space="0"/>
              <w:left w:val="single" w:color="auto" w:sz="4" w:space="0"/>
              <w:bottom w:val="single" w:color="auto" w:sz="4" w:space="0"/>
              <w:right w:val="single" w:color="auto" w:sz="4" w:space="0"/>
            </w:tcBorders>
            <w:vAlign w:val="center"/>
          </w:tcPr>
          <w:p w14:paraId="0C89B453">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备注</w:t>
            </w:r>
          </w:p>
        </w:tc>
      </w:tr>
      <w:tr w14:paraId="368EE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tcBorders>
              <w:top w:val="single" w:color="auto" w:sz="4" w:space="0"/>
              <w:left w:val="single" w:color="auto" w:sz="4" w:space="0"/>
              <w:bottom w:val="single" w:color="auto" w:sz="4" w:space="0"/>
              <w:right w:val="single" w:color="auto" w:sz="4" w:space="0"/>
            </w:tcBorders>
            <w:vAlign w:val="center"/>
          </w:tcPr>
          <w:p w14:paraId="22E3BC74">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一、基坑支护</w:t>
            </w:r>
          </w:p>
        </w:tc>
        <w:tc>
          <w:tcPr>
            <w:tcW w:w="1377" w:type="dxa"/>
            <w:tcBorders>
              <w:top w:val="single" w:color="auto" w:sz="4" w:space="0"/>
              <w:left w:val="single" w:color="auto" w:sz="4" w:space="0"/>
              <w:bottom w:val="single" w:color="auto" w:sz="4" w:space="0"/>
              <w:right w:val="single" w:color="auto" w:sz="4" w:space="0"/>
            </w:tcBorders>
            <w:vAlign w:val="center"/>
          </w:tcPr>
          <w:p w14:paraId="1B77472E">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1081" w:type="dxa"/>
            <w:tcBorders>
              <w:top w:val="single" w:color="auto" w:sz="4" w:space="0"/>
              <w:left w:val="single" w:color="auto" w:sz="4" w:space="0"/>
              <w:bottom w:val="single" w:color="auto" w:sz="4" w:space="0"/>
              <w:right w:val="single" w:color="auto" w:sz="4" w:space="0"/>
            </w:tcBorders>
            <w:vAlign w:val="center"/>
          </w:tcPr>
          <w:p w14:paraId="26A5E1BC">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18" w:type="dxa"/>
            <w:tcBorders>
              <w:top w:val="single" w:color="auto" w:sz="4" w:space="0"/>
              <w:left w:val="single" w:color="auto" w:sz="4" w:space="0"/>
              <w:bottom w:val="single" w:color="auto" w:sz="4" w:space="0"/>
              <w:right w:val="single" w:color="auto" w:sz="4" w:space="0"/>
            </w:tcBorders>
            <w:vAlign w:val="center"/>
          </w:tcPr>
          <w:p w14:paraId="5ECB3392">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1727" w:type="dxa"/>
            <w:tcBorders>
              <w:top w:val="single" w:color="auto" w:sz="4" w:space="0"/>
              <w:left w:val="single" w:color="auto" w:sz="4" w:space="0"/>
              <w:bottom w:val="single" w:color="auto" w:sz="4" w:space="0"/>
              <w:right w:val="single" w:color="auto" w:sz="4" w:space="0"/>
            </w:tcBorders>
            <w:vAlign w:val="center"/>
          </w:tcPr>
          <w:p w14:paraId="3CA9936F">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01EE5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474" w:type="dxa"/>
            <w:tcBorders>
              <w:top w:val="single" w:color="auto" w:sz="4" w:space="0"/>
              <w:left w:val="single" w:color="auto" w:sz="4" w:space="0"/>
              <w:bottom w:val="single" w:color="auto" w:sz="4" w:space="0"/>
              <w:right w:val="single" w:color="auto" w:sz="4" w:space="0"/>
            </w:tcBorders>
            <w:vAlign w:val="center"/>
          </w:tcPr>
          <w:p w14:paraId="11C01E6F">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（一）开挖深度超过3m（含3m）的基坑（槽）的土方开挖、支护、降水工程。</w:t>
            </w:r>
          </w:p>
        </w:tc>
        <w:tc>
          <w:tcPr>
            <w:tcW w:w="1377" w:type="dxa"/>
            <w:tcBorders>
              <w:top w:val="single" w:color="auto" w:sz="4" w:space="0"/>
              <w:left w:val="single" w:color="auto" w:sz="4" w:space="0"/>
              <w:bottom w:val="single" w:color="auto" w:sz="4" w:space="0"/>
              <w:right w:val="single" w:color="auto" w:sz="4" w:space="0"/>
            </w:tcBorders>
            <w:vAlign w:val="center"/>
          </w:tcPr>
          <w:p w14:paraId="6090A4E3">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1081" w:type="dxa"/>
            <w:tcBorders>
              <w:top w:val="single" w:color="auto" w:sz="4" w:space="0"/>
              <w:left w:val="single" w:color="auto" w:sz="4" w:space="0"/>
              <w:bottom w:val="single" w:color="auto" w:sz="4" w:space="0"/>
              <w:right w:val="single" w:color="auto" w:sz="4" w:space="0"/>
            </w:tcBorders>
            <w:vAlign w:val="center"/>
          </w:tcPr>
          <w:p w14:paraId="4EE98B12">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918" w:type="dxa"/>
            <w:tcBorders>
              <w:top w:val="single" w:color="auto" w:sz="4" w:space="0"/>
              <w:left w:val="single" w:color="auto" w:sz="4" w:space="0"/>
              <w:bottom w:val="single" w:color="auto" w:sz="4" w:space="0"/>
              <w:right w:val="single" w:color="auto" w:sz="4" w:space="0"/>
            </w:tcBorders>
            <w:vAlign w:val="center"/>
          </w:tcPr>
          <w:p w14:paraId="2E750C09">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1727" w:type="dxa"/>
            <w:tcBorders>
              <w:top w:val="single" w:color="auto" w:sz="4" w:space="0"/>
              <w:left w:val="single" w:color="auto" w:sz="4" w:space="0"/>
              <w:bottom w:val="single" w:color="auto" w:sz="4" w:space="0"/>
              <w:right w:val="single" w:color="auto" w:sz="4" w:space="0"/>
            </w:tcBorders>
            <w:vAlign w:val="center"/>
          </w:tcPr>
          <w:p w14:paraId="0AF02772">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08B4F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4474" w:type="dxa"/>
            <w:tcBorders>
              <w:top w:val="single" w:color="auto" w:sz="4" w:space="0"/>
              <w:left w:val="single" w:color="auto" w:sz="4" w:space="0"/>
              <w:bottom w:val="single" w:color="auto" w:sz="4" w:space="0"/>
              <w:right w:val="single" w:color="auto" w:sz="4" w:space="0"/>
            </w:tcBorders>
            <w:vAlign w:val="center"/>
          </w:tcPr>
          <w:p w14:paraId="4FF60634">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（二）开挖深度虽未超过3m，但地质条件、周围环境和地下管线复杂，或影响毗邻建、构筑物安全的基坑（槽）的土方开挖、支护、降水工程。</w:t>
            </w:r>
          </w:p>
        </w:tc>
        <w:tc>
          <w:tcPr>
            <w:tcW w:w="1377" w:type="dxa"/>
            <w:tcBorders>
              <w:top w:val="single" w:color="auto" w:sz="4" w:space="0"/>
              <w:left w:val="single" w:color="auto" w:sz="4" w:space="0"/>
              <w:bottom w:val="single" w:color="auto" w:sz="4" w:space="0"/>
              <w:right w:val="single" w:color="auto" w:sz="4" w:space="0"/>
            </w:tcBorders>
            <w:vAlign w:val="center"/>
          </w:tcPr>
          <w:p w14:paraId="369097BD">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1081" w:type="dxa"/>
            <w:tcBorders>
              <w:top w:val="single" w:color="auto" w:sz="4" w:space="0"/>
              <w:left w:val="single" w:color="auto" w:sz="4" w:space="0"/>
              <w:bottom w:val="single" w:color="auto" w:sz="4" w:space="0"/>
              <w:right w:val="single" w:color="auto" w:sz="4" w:space="0"/>
            </w:tcBorders>
            <w:vAlign w:val="center"/>
          </w:tcPr>
          <w:p w14:paraId="1FD2A095">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918" w:type="dxa"/>
            <w:tcBorders>
              <w:top w:val="single" w:color="auto" w:sz="4" w:space="0"/>
              <w:left w:val="single" w:color="auto" w:sz="4" w:space="0"/>
              <w:bottom w:val="single" w:color="auto" w:sz="4" w:space="0"/>
              <w:right w:val="single" w:color="auto" w:sz="4" w:space="0"/>
            </w:tcBorders>
            <w:vAlign w:val="center"/>
          </w:tcPr>
          <w:p w14:paraId="37A72DB0">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1727" w:type="dxa"/>
            <w:tcBorders>
              <w:top w:val="single" w:color="auto" w:sz="4" w:space="0"/>
              <w:left w:val="single" w:color="auto" w:sz="4" w:space="0"/>
              <w:bottom w:val="single" w:color="auto" w:sz="4" w:space="0"/>
              <w:right w:val="single" w:color="auto" w:sz="4" w:space="0"/>
            </w:tcBorders>
            <w:vAlign w:val="center"/>
          </w:tcPr>
          <w:p w14:paraId="62A04886">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10EB5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tcBorders>
              <w:top w:val="single" w:color="auto" w:sz="4" w:space="0"/>
              <w:left w:val="single" w:color="auto" w:sz="4" w:space="0"/>
              <w:bottom w:val="single" w:color="auto" w:sz="4" w:space="0"/>
              <w:right w:val="single" w:color="auto" w:sz="4" w:space="0"/>
            </w:tcBorders>
            <w:vAlign w:val="center"/>
          </w:tcPr>
          <w:p w14:paraId="09CE7855">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二、模板工程及支撑体系</w:t>
            </w:r>
          </w:p>
        </w:tc>
        <w:tc>
          <w:tcPr>
            <w:tcW w:w="1377" w:type="dxa"/>
            <w:tcBorders>
              <w:top w:val="single" w:color="auto" w:sz="4" w:space="0"/>
              <w:left w:val="single" w:color="auto" w:sz="4" w:space="0"/>
              <w:bottom w:val="single" w:color="auto" w:sz="4" w:space="0"/>
              <w:right w:val="single" w:color="auto" w:sz="4" w:space="0"/>
            </w:tcBorders>
            <w:vAlign w:val="center"/>
          </w:tcPr>
          <w:p w14:paraId="6EA0C075">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1081" w:type="dxa"/>
            <w:tcBorders>
              <w:top w:val="single" w:color="auto" w:sz="4" w:space="0"/>
              <w:left w:val="single" w:color="auto" w:sz="4" w:space="0"/>
              <w:bottom w:val="single" w:color="auto" w:sz="4" w:space="0"/>
              <w:right w:val="single" w:color="auto" w:sz="4" w:space="0"/>
            </w:tcBorders>
            <w:vAlign w:val="center"/>
          </w:tcPr>
          <w:p w14:paraId="2C91C55E">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18" w:type="dxa"/>
            <w:tcBorders>
              <w:top w:val="single" w:color="auto" w:sz="4" w:space="0"/>
              <w:left w:val="single" w:color="auto" w:sz="4" w:space="0"/>
              <w:bottom w:val="single" w:color="auto" w:sz="4" w:space="0"/>
              <w:right w:val="single" w:color="auto" w:sz="4" w:space="0"/>
            </w:tcBorders>
            <w:vAlign w:val="center"/>
          </w:tcPr>
          <w:p w14:paraId="1FFCE002">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1727" w:type="dxa"/>
            <w:tcBorders>
              <w:top w:val="single" w:color="auto" w:sz="4" w:space="0"/>
              <w:left w:val="single" w:color="auto" w:sz="4" w:space="0"/>
              <w:bottom w:val="single" w:color="auto" w:sz="4" w:space="0"/>
              <w:right w:val="single" w:color="auto" w:sz="4" w:space="0"/>
            </w:tcBorders>
            <w:vAlign w:val="center"/>
          </w:tcPr>
          <w:p w14:paraId="5E7AC603">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4EEA2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474" w:type="dxa"/>
            <w:tcBorders>
              <w:top w:val="single" w:color="auto" w:sz="4" w:space="0"/>
              <w:left w:val="single" w:color="auto" w:sz="4" w:space="0"/>
              <w:bottom w:val="single" w:color="auto" w:sz="4" w:space="0"/>
              <w:right w:val="single" w:color="auto" w:sz="4" w:space="0"/>
            </w:tcBorders>
            <w:vAlign w:val="center"/>
          </w:tcPr>
          <w:p w14:paraId="7D4638C9">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（一）各类工具式模板工程：包括滑模、爬模、飞模、隧道模等工程。</w:t>
            </w:r>
          </w:p>
        </w:tc>
        <w:tc>
          <w:tcPr>
            <w:tcW w:w="1377" w:type="dxa"/>
            <w:tcBorders>
              <w:top w:val="single" w:color="auto" w:sz="4" w:space="0"/>
              <w:left w:val="single" w:color="auto" w:sz="4" w:space="0"/>
              <w:bottom w:val="single" w:color="auto" w:sz="4" w:space="0"/>
              <w:right w:val="single" w:color="auto" w:sz="4" w:space="0"/>
            </w:tcBorders>
            <w:vAlign w:val="center"/>
          </w:tcPr>
          <w:p w14:paraId="42E304CB">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auto"/>
                <w:szCs w:val="21"/>
                <w:highlight w:val="none"/>
                <w:u w:val="single"/>
              </w:rPr>
              <w:t xml:space="preserve"> )</w:t>
            </w:r>
          </w:p>
        </w:tc>
        <w:tc>
          <w:tcPr>
            <w:tcW w:w="1081" w:type="dxa"/>
            <w:tcBorders>
              <w:top w:val="single" w:color="auto" w:sz="4" w:space="0"/>
              <w:left w:val="single" w:color="auto" w:sz="4" w:space="0"/>
              <w:bottom w:val="single" w:color="auto" w:sz="4" w:space="0"/>
              <w:right w:val="single" w:color="auto" w:sz="4" w:space="0"/>
            </w:tcBorders>
            <w:vAlign w:val="center"/>
          </w:tcPr>
          <w:p w14:paraId="7F507CFB">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918" w:type="dxa"/>
            <w:tcBorders>
              <w:top w:val="single" w:color="auto" w:sz="4" w:space="0"/>
              <w:left w:val="single" w:color="auto" w:sz="4" w:space="0"/>
              <w:bottom w:val="single" w:color="auto" w:sz="4" w:space="0"/>
              <w:right w:val="single" w:color="auto" w:sz="4" w:space="0"/>
            </w:tcBorders>
            <w:vAlign w:val="center"/>
          </w:tcPr>
          <w:p w14:paraId="13D9E6EF">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1727" w:type="dxa"/>
            <w:tcBorders>
              <w:top w:val="single" w:color="auto" w:sz="4" w:space="0"/>
              <w:left w:val="single" w:color="auto" w:sz="4" w:space="0"/>
              <w:bottom w:val="single" w:color="auto" w:sz="4" w:space="0"/>
              <w:right w:val="single" w:color="auto" w:sz="4" w:space="0"/>
            </w:tcBorders>
            <w:vAlign w:val="center"/>
          </w:tcPr>
          <w:p w14:paraId="7FA4E084">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42FBF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4474" w:type="dxa"/>
            <w:tcBorders>
              <w:top w:val="single" w:color="auto" w:sz="4" w:space="0"/>
              <w:left w:val="single" w:color="auto" w:sz="4" w:space="0"/>
              <w:bottom w:val="single" w:color="auto" w:sz="4" w:space="0"/>
              <w:right w:val="single" w:color="auto" w:sz="4" w:space="0"/>
            </w:tcBorders>
            <w:vAlign w:val="center"/>
          </w:tcPr>
          <w:p w14:paraId="59350C7E">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77" w:type="dxa"/>
            <w:tcBorders>
              <w:top w:val="single" w:color="auto" w:sz="4" w:space="0"/>
              <w:left w:val="single" w:color="auto" w:sz="4" w:space="0"/>
              <w:bottom w:val="single" w:color="auto" w:sz="4" w:space="0"/>
              <w:right w:val="single" w:color="auto" w:sz="4" w:space="0"/>
            </w:tcBorders>
            <w:vAlign w:val="center"/>
          </w:tcPr>
          <w:p w14:paraId="7D74912F">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auto"/>
                <w:szCs w:val="21"/>
                <w:highlight w:val="none"/>
                <w:u w:val="single"/>
              </w:rPr>
              <w:t>)</w:t>
            </w:r>
          </w:p>
        </w:tc>
        <w:tc>
          <w:tcPr>
            <w:tcW w:w="1081" w:type="dxa"/>
            <w:tcBorders>
              <w:top w:val="single" w:color="auto" w:sz="4" w:space="0"/>
              <w:left w:val="single" w:color="auto" w:sz="4" w:space="0"/>
              <w:bottom w:val="single" w:color="auto" w:sz="4" w:space="0"/>
              <w:right w:val="single" w:color="auto" w:sz="4" w:space="0"/>
            </w:tcBorders>
            <w:vAlign w:val="center"/>
          </w:tcPr>
          <w:p w14:paraId="250F3FD6">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918" w:type="dxa"/>
            <w:tcBorders>
              <w:top w:val="single" w:color="auto" w:sz="4" w:space="0"/>
              <w:left w:val="single" w:color="auto" w:sz="4" w:space="0"/>
              <w:bottom w:val="single" w:color="auto" w:sz="4" w:space="0"/>
              <w:right w:val="single" w:color="auto" w:sz="4" w:space="0"/>
            </w:tcBorders>
            <w:vAlign w:val="center"/>
          </w:tcPr>
          <w:p w14:paraId="3D99AC37">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1727" w:type="dxa"/>
            <w:tcBorders>
              <w:top w:val="single" w:color="auto" w:sz="4" w:space="0"/>
              <w:left w:val="single" w:color="auto" w:sz="4" w:space="0"/>
              <w:bottom w:val="single" w:color="auto" w:sz="4" w:space="0"/>
              <w:right w:val="single" w:color="auto" w:sz="4" w:space="0"/>
            </w:tcBorders>
            <w:vAlign w:val="center"/>
          </w:tcPr>
          <w:p w14:paraId="7DC85B00">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20EDF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4474" w:type="dxa"/>
            <w:tcBorders>
              <w:top w:val="single" w:color="auto" w:sz="4" w:space="0"/>
              <w:left w:val="single" w:color="auto" w:sz="4" w:space="0"/>
              <w:bottom w:val="single" w:color="auto" w:sz="4" w:space="0"/>
              <w:right w:val="single" w:color="auto" w:sz="4" w:space="0"/>
            </w:tcBorders>
            <w:vAlign w:val="center"/>
          </w:tcPr>
          <w:p w14:paraId="6F6FE348">
            <w:pPr>
              <w:keepNext w:val="0"/>
              <w:keepLines w:val="0"/>
              <w:widowControl/>
              <w:suppressLineNumbers w:val="0"/>
              <w:spacing w:before="0" w:beforeAutospacing="0" w:after="0" w:afterAutospacing="0" w:line="360" w:lineRule="atLeast"/>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（三）承重支撑体系：用于钢结构安装等满堂支撑体系。</w:t>
            </w:r>
          </w:p>
        </w:tc>
        <w:tc>
          <w:tcPr>
            <w:tcW w:w="1377" w:type="dxa"/>
            <w:tcBorders>
              <w:top w:val="single" w:color="auto" w:sz="4" w:space="0"/>
              <w:left w:val="single" w:color="auto" w:sz="4" w:space="0"/>
              <w:bottom w:val="single" w:color="auto" w:sz="4" w:space="0"/>
              <w:right w:val="single" w:color="auto" w:sz="4" w:space="0"/>
            </w:tcBorders>
            <w:vAlign w:val="center"/>
          </w:tcPr>
          <w:p w14:paraId="12AC9FE2">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xml:space="preserve">( </w:t>
            </w:r>
            <w:r>
              <w:rPr>
                <w:rFonts w:hint="eastAsia"/>
                <w:b/>
                <w:bCs/>
                <w:color w:val="auto"/>
                <w:szCs w:val="21"/>
                <w:highlight w:val="none"/>
                <w:u w:val="single"/>
              </w:rPr>
              <w:t xml:space="preserve"> </w:t>
            </w:r>
            <w:r>
              <w:rPr>
                <w:rFonts w:hint="eastAsia" w:ascii="宋体" w:hAnsi="宋体" w:cs="宋体"/>
                <w:b/>
                <w:bCs/>
                <w:color w:val="auto"/>
                <w:szCs w:val="21"/>
                <w:highlight w:val="none"/>
                <w:u w:val="single"/>
              </w:rPr>
              <w:t xml:space="preserve"> )</w:t>
            </w:r>
          </w:p>
        </w:tc>
        <w:tc>
          <w:tcPr>
            <w:tcW w:w="1081" w:type="dxa"/>
            <w:tcBorders>
              <w:top w:val="single" w:color="auto" w:sz="4" w:space="0"/>
              <w:left w:val="single" w:color="auto" w:sz="4" w:space="0"/>
              <w:bottom w:val="single" w:color="auto" w:sz="4" w:space="0"/>
              <w:right w:val="single" w:color="auto" w:sz="4" w:space="0"/>
            </w:tcBorders>
            <w:vAlign w:val="center"/>
          </w:tcPr>
          <w:p w14:paraId="61D5759F">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918" w:type="dxa"/>
            <w:tcBorders>
              <w:top w:val="single" w:color="auto" w:sz="4" w:space="0"/>
              <w:left w:val="single" w:color="auto" w:sz="4" w:space="0"/>
              <w:bottom w:val="single" w:color="auto" w:sz="4" w:space="0"/>
              <w:right w:val="single" w:color="auto" w:sz="4" w:space="0"/>
            </w:tcBorders>
            <w:vAlign w:val="center"/>
          </w:tcPr>
          <w:p w14:paraId="3D5C13CE">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1727" w:type="dxa"/>
            <w:tcBorders>
              <w:top w:val="single" w:color="auto" w:sz="4" w:space="0"/>
              <w:left w:val="single" w:color="auto" w:sz="4" w:space="0"/>
              <w:bottom w:val="single" w:color="auto" w:sz="4" w:space="0"/>
              <w:right w:val="single" w:color="auto" w:sz="4" w:space="0"/>
            </w:tcBorders>
            <w:vAlign w:val="center"/>
          </w:tcPr>
          <w:p w14:paraId="44AF5950">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2AE3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74" w:type="dxa"/>
            <w:tcBorders>
              <w:top w:val="single" w:color="auto" w:sz="4" w:space="0"/>
              <w:left w:val="single" w:color="auto" w:sz="4" w:space="0"/>
              <w:bottom w:val="single" w:color="auto" w:sz="4" w:space="0"/>
              <w:right w:val="single" w:color="auto" w:sz="4" w:space="0"/>
            </w:tcBorders>
            <w:vAlign w:val="center"/>
          </w:tcPr>
          <w:p w14:paraId="041A45E2">
            <w:pPr>
              <w:keepNext w:val="0"/>
              <w:keepLines w:val="0"/>
              <w:widowControl/>
              <w:suppressLineNumbers w:val="0"/>
              <w:spacing w:before="0" w:beforeAutospacing="0" w:after="0" w:afterAutospacing="0" w:line="360" w:lineRule="atLeast"/>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三、起重吊装及起重机械安装拆卸工程</w:t>
            </w:r>
          </w:p>
        </w:tc>
        <w:tc>
          <w:tcPr>
            <w:tcW w:w="1377" w:type="dxa"/>
            <w:tcBorders>
              <w:top w:val="single" w:color="auto" w:sz="4" w:space="0"/>
              <w:left w:val="single" w:color="auto" w:sz="4" w:space="0"/>
              <w:bottom w:val="single" w:color="auto" w:sz="4" w:space="0"/>
              <w:right w:val="single" w:color="auto" w:sz="4" w:space="0"/>
            </w:tcBorders>
            <w:vAlign w:val="center"/>
          </w:tcPr>
          <w:p w14:paraId="47EC764C">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1081" w:type="dxa"/>
            <w:tcBorders>
              <w:top w:val="single" w:color="auto" w:sz="4" w:space="0"/>
              <w:left w:val="single" w:color="auto" w:sz="4" w:space="0"/>
              <w:bottom w:val="single" w:color="auto" w:sz="4" w:space="0"/>
              <w:right w:val="single" w:color="auto" w:sz="4" w:space="0"/>
            </w:tcBorders>
            <w:vAlign w:val="center"/>
          </w:tcPr>
          <w:p w14:paraId="68CFB8BA">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18" w:type="dxa"/>
            <w:tcBorders>
              <w:top w:val="single" w:color="auto" w:sz="4" w:space="0"/>
              <w:left w:val="single" w:color="auto" w:sz="4" w:space="0"/>
              <w:bottom w:val="single" w:color="auto" w:sz="4" w:space="0"/>
              <w:right w:val="single" w:color="auto" w:sz="4" w:space="0"/>
            </w:tcBorders>
            <w:vAlign w:val="center"/>
          </w:tcPr>
          <w:p w14:paraId="7D0E2F7C">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1727" w:type="dxa"/>
            <w:tcBorders>
              <w:top w:val="single" w:color="auto" w:sz="4" w:space="0"/>
              <w:left w:val="single" w:color="auto" w:sz="4" w:space="0"/>
              <w:bottom w:val="single" w:color="auto" w:sz="4" w:space="0"/>
              <w:right w:val="single" w:color="auto" w:sz="4" w:space="0"/>
            </w:tcBorders>
            <w:vAlign w:val="center"/>
          </w:tcPr>
          <w:p w14:paraId="01522225">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2DC25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4474" w:type="dxa"/>
            <w:tcBorders>
              <w:top w:val="single" w:color="auto" w:sz="4" w:space="0"/>
              <w:left w:val="single" w:color="auto" w:sz="4" w:space="0"/>
              <w:bottom w:val="single" w:color="auto" w:sz="4" w:space="0"/>
              <w:right w:val="single" w:color="auto" w:sz="4" w:space="0"/>
            </w:tcBorders>
            <w:vAlign w:val="center"/>
          </w:tcPr>
          <w:p w14:paraId="22C64927">
            <w:pPr>
              <w:keepNext w:val="0"/>
              <w:keepLines w:val="0"/>
              <w:widowControl/>
              <w:suppressLineNumbers w:val="0"/>
              <w:spacing w:before="0" w:beforeAutospacing="0" w:after="0" w:afterAutospacing="0" w:line="360" w:lineRule="atLeast"/>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（一）采用非常规起重设备、方法，且单件起吊重量在10kN及以上的起重吊装工程。</w:t>
            </w:r>
          </w:p>
        </w:tc>
        <w:tc>
          <w:tcPr>
            <w:tcW w:w="1377" w:type="dxa"/>
            <w:tcBorders>
              <w:top w:val="single" w:color="auto" w:sz="4" w:space="0"/>
              <w:left w:val="single" w:color="auto" w:sz="4" w:space="0"/>
              <w:bottom w:val="single" w:color="auto" w:sz="4" w:space="0"/>
              <w:right w:val="single" w:color="auto" w:sz="4" w:space="0"/>
            </w:tcBorders>
            <w:vAlign w:val="center"/>
          </w:tcPr>
          <w:p w14:paraId="334BD11F">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1081" w:type="dxa"/>
            <w:tcBorders>
              <w:top w:val="single" w:color="auto" w:sz="4" w:space="0"/>
              <w:left w:val="single" w:color="auto" w:sz="4" w:space="0"/>
              <w:bottom w:val="single" w:color="auto" w:sz="4" w:space="0"/>
              <w:right w:val="single" w:color="auto" w:sz="4" w:space="0"/>
            </w:tcBorders>
            <w:vAlign w:val="center"/>
          </w:tcPr>
          <w:p w14:paraId="36AC1382">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918" w:type="dxa"/>
            <w:tcBorders>
              <w:top w:val="single" w:color="auto" w:sz="4" w:space="0"/>
              <w:left w:val="single" w:color="auto" w:sz="4" w:space="0"/>
              <w:bottom w:val="single" w:color="auto" w:sz="4" w:space="0"/>
              <w:right w:val="single" w:color="auto" w:sz="4" w:space="0"/>
            </w:tcBorders>
            <w:vAlign w:val="center"/>
          </w:tcPr>
          <w:p w14:paraId="6EC387F5">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1727" w:type="dxa"/>
            <w:tcBorders>
              <w:top w:val="single" w:color="auto" w:sz="4" w:space="0"/>
              <w:left w:val="single" w:color="auto" w:sz="4" w:space="0"/>
              <w:bottom w:val="single" w:color="auto" w:sz="4" w:space="0"/>
              <w:right w:val="single" w:color="auto" w:sz="4" w:space="0"/>
            </w:tcBorders>
            <w:vAlign w:val="center"/>
          </w:tcPr>
          <w:p w14:paraId="3F60D53D">
            <w:pPr>
              <w:keepNext w:val="0"/>
              <w:keepLines w:val="0"/>
              <w:suppressLineNumbers w:val="0"/>
              <w:spacing w:before="0" w:beforeAutospacing="0" w:after="0" w:afterAutospacing="0"/>
              <w:ind w:left="0" w:right="0"/>
              <w:jc w:val="center"/>
              <w:rPr>
                <w:rFonts w:hint="eastAsia" w:ascii="宋体" w:hAnsi="宋体" w:eastAsia="宋体" w:cs="宋体"/>
                <w:b/>
                <w:bCs/>
                <w:color w:val="auto"/>
                <w:szCs w:val="21"/>
                <w:highlight w:val="none"/>
                <w:u w:val="single"/>
                <w:lang w:val="en-US" w:eastAsia="zh-CN"/>
              </w:rPr>
            </w:pPr>
          </w:p>
        </w:tc>
      </w:tr>
      <w:tr w14:paraId="12EF8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tcBorders>
              <w:top w:val="single" w:color="auto" w:sz="4" w:space="0"/>
              <w:left w:val="single" w:color="auto" w:sz="4" w:space="0"/>
              <w:bottom w:val="single" w:color="auto" w:sz="4" w:space="0"/>
              <w:right w:val="single" w:color="auto" w:sz="4" w:space="0"/>
            </w:tcBorders>
            <w:vAlign w:val="center"/>
          </w:tcPr>
          <w:p w14:paraId="19926883">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（二）采用起重机械进行安装的工程。</w:t>
            </w:r>
          </w:p>
        </w:tc>
        <w:tc>
          <w:tcPr>
            <w:tcW w:w="1377" w:type="dxa"/>
            <w:tcBorders>
              <w:top w:val="single" w:color="auto" w:sz="4" w:space="0"/>
              <w:left w:val="single" w:color="auto" w:sz="4" w:space="0"/>
              <w:bottom w:val="single" w:color="auto" w:sz="4" w:space="0"/>
              <w:right w:val="single" w:color="auto" w:sz="4" w:space="0"/>
            </w:tcBorders>
            <w:vAlign w:val="center"/>
          </w:tcPr>
          <w:p w14:paraId="068304A8">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1081" w:type="dxa"/>
            <w:tcBorders>
              <w:top w:val="single" w:color="auto" w:sz="4" w:space="0"/>
              <w:left w:val="single" w:color="auto" w:sz="4" w:space="0"/>
              <w:bottom w:val="single" w:color="auto" w:sz="4" w:space="0"/>
              <w:right w:val="single" w:color="auto" w:sz="4" w:space="0"/>
            </w:tcBorders>
            <w:vAlign w:val="center"/>
          </w:tcPr>
          <w:p w14:paraId="4D40C314">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918" w:type="dxa"/>
            <w:tcBorders>
              <w:top w:val="single" w:color="auto" w:sz="4" w:space="0"/>
              <w:left w:val="single" w:color="auto" w:sz="4" w:space="0"/>
              <w:bottom w:val="single" w:color="auto" w:sz="4" w:space="0"/>
              <w:right w:val="single" w:color="auto" w:sz="4" w:space="0"/>
            </w:tcBorders>
            <w:vAlign w:val="center"/>
          </w:tcPr>
          <w:p w14:paraId="2DC10285">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1727" w:type="dxa"/>
            <w:tcBorders>
              <w:top w:val="single" w:color="auto" w:sz="4" w:space="0"/>
              <w:left w:val="single" w:color="auto" w:sz="4" w:space="0"/>
              <w:bottom w:val="single" w:color="auto" w:sz="4" w:space="0"/>
              <w:right w:val="single" w:color="auto" w:sz="4" w:space="0"/>
            </w:tcBorders>
            <w:vAlign w:val="center"/>
          </w:tcPr>
          <w:p w14:paraId="2A557214">
            <w:pPr>
              <w:keepNext w:val="0"/>
              <w:keepLines w:val="0"/>
              <w:suppressLineNumbers w:val="0"/>
              <w:spacing w:before="0" w:beforeAutospacing="0" w:after="0" w:afterAutospacing="0"/>
              <w:ind w:left="0" w:right="0"/>
              <w:jc w:val="center"/>
              <w:rPr>
                <w:rFonts w:hint="eastAsia" w:ascii="宋体" w:hAnsi="宋体" w:eastAsia="宋体" w:cs="宋体"/>
                <w:b/>
                <w:bCs/>
                <w:color w:val="auto"/>
                <w:szCs w:val="21"/>
                <w:highlight w:val="none"/>
                <w:u w:val="single"/>
                <w:lang w:eastAsia="zh-CN"/>
              </w:rPr>
            </w:pPr>
          </w:p>
        </w:tc>
      </w:tr>
      <w:tr w14:paraId="3C89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tcBorders>
              <w:top w:val="single" w:color="auto" w:sz="4" w:space="0"/>
              <w:left w:val="single" w:color="auto" w:sz="4" w:space="0"/>
              <w:bottom w:val="single" w:color="auto" w:sz="4" w:space="0"/>
              <w:right w:val="single" w:color="auto" w:sz="4" w:space="0"/>
            </w:tcBorders>
            <w:vAlign w:val="center"/>
          </w:tcPr>
          <w:p w14:paraId="6815EBC4">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（三）起重机械安装和拆卸工程。</w:t>
            </w:r>
          </w:p>
        </w:tc>
        <w:tc>
          <w:tcPr>
            <w:tcW w:w="1377" w:type="dxa"/>
            <w:tcBorders>
              <w:top w:val="single" w:color="auto" w:sz="4" w:space="0"/>
              <w:left w:val="single" w:color="auto" w:sz="4" w:space="0"/>
              <w:bottom w:val="single" w:color="auto" w:sz="4" w:space="0"/>
              <w:right w:val="single" w:color="auto" w:sz="4" w:space="0"/>
            </w:tcBorders>
            <w:vAlign w:val="center"/>
          </w:tcPr>
          <w:p w14:paraId="374A3C04">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1081" w:type="dxa"/>
            <w:tcBorders>
              <w:top w:val="single" w:color="auto" w:sz="4" w:space="0"/>
              <w:left w:val="single" w:color="auto" w:sz="4" w:space="0"/>
              <w:bottom w:val="single" w:color="auto" w:sz="4" w:space="0"/>
              <w:right w:val="single" w:color="auto" w:sz="4" w:space="0"/>
            </w:tcBorders>
            <w:vAlign w:val="center"/>
          </w:tcPr>
          <w:p w14:paraId="55FE2268">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918" w:type="dxa"/>
            <w:tcBorders>
              <w:top w:val="single" w:color="auto" w:sz="4" w:space="0"/>
              <w:left w:val="single" w:color="auto" w:sz="4" w:space="0"/>
              <w:bottom w:val="single" w:color="auto" w:sz="4" w:space="0"/>
              <w:right w:val="single" w:color="auto" w:sz="4" w:space="0"/>
            </w:tcBorders>
            <w:vAlign w:val="center"/>
          </w:tcPr>
          <w:p w14:paraId="7DFEE376">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1727" w:type="dxa"/>
            <w:tcBorders>
              <w:top w:val="single" w:color="auto" w:sz="4" w:space="0"/>
              <w:left w:val="single" w:color="auto" w:sz="4" w:space="0"/>
              <w:bottom w:val="single" w:color="auto" w:sz="4" w:space="0"/>
              <w:right w:val="single" w:color="auto" w:sz="4" w:space="0"/>
            </w:tcBorders>
            <w:vAlign w:val="center"/>
          </w:tcPr>
          <w:p w14:paraId="2B53BEE6">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19365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tcBorders>
              <w:top w:val="single" w:color="auto" w:sz="4" w:space="0"/>
              <w:left w:val="single" w:color="auto" w:sz="4" w:space="0"/>
              <w:bottom w:val="single" w:color="auto" w:sz="4" w:space="0"/>
              <w:right w:val="single" w:color="auto" w:sz="4" w:space="0"/>
            </w:tcBorders>
            <w:vAlign w:val="center"/>
          </w:tcPr>
          <w:p w14:paraId="56AC82D9">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四、脚手架工程</w:t>
            </w:r>
          </w:p>
        </w:tc>
        <w:tc>
          <w:tcPr>
            <w:tcW w:w="1377" w:type="dxa"/>
            <w:tcBorders>
              <w:top w:val="single" w:color="auto" w:sz="4" w:space="0"/>
              <w:left w:val="single" w:color="auto" w:sz="4" w:space="0"/>
              <w:bottom w:val="single" w:color="auto" w:sz="4" w:space="0"/>
              <w:right w:val="single" w:color="auto" w:sz="4" w:space="0"/>
            </w:tcBorders>
            <w:vAlign w:val="center"/>
          </w:tcPr>
          <w:p w14:paraId="08BE7DE1">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1081" w:type="dxa"/>
            <w:tcBorders>
              <w:top w:val="single" w:color="auto" w:sz="4" w:space="0"/>
              <w:left w:val="single" w:color="auto" w:sz="4" w:space="0"/>
              <w:bottom w:val="single" w:color="auto" w:sz="4" w:space="0"/>
              <w:right w:val="single" w:color="auto" w:sz="4" w:space="0"/>
            </w:tcBorders>
            <w:vAlign w:val="center"/>
          </w:tcPr>
          <w:p w14:paraId="00C3852B">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918" w:type="dxa"/>
            <w:tcBorders>
              <w:top w:val="single" w:color="auto" w:sz="4" w:space="0"/>
              <w:left w:val="single" w:color="auto" w:sz="4" w:space="0"/>
              <w:bottom w:val="single" w:color="auto" w:sz="4" w:space="0"/>
              <w:right w:val="single" w:color="auto" w:sz="4" w:space="0"/>
            </w:tcBorders>
            <w:vAlign w:val="center"/>
          </w:tcPr>
          <w:p w14:paraId="5688A379">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1727" w:type="dxa"/>
            <w:tcBorders>
              <w:top w:val="single" w:color="auto" w:sz="4" w:space="0"/>
              <w:left w:val="single" w:color="auto" w:sz="4" w:space="0"/>
              <w:bottom w:val="single" w:color="auto" w:sz="4" w:space="0"/>
              <w:right w:val="single" w:color="auto" w:sz="4" w:space="0"/>
            </w:tcBorders>
            <w:vAlign w:val="center"/>
          </w:tcPr>
          <w:p w14:paraId="21A87D2E">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12ED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474" w:type="dxa"/>
            <w:tcBorders>
              <w:top w:val="single" w:color="auto" w:sz="4" w:space="0"/>
              <w:left w:val="single" w:color="auto" w:sz="4" w:space="0"/>
              <w:bottom w:val="single" w:color="auto" w:sz="4" w:space="0"/>
              <w:right w:val="single" w:color="auto" w:sz="4" w:space="0"/>
            </w:tcBorders>
            <w:vAlign w:val="center"/>
          </w:tcPr>
          <w:p w14:paraId="6E8D4101">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（一）搭设高度24m及以上的落地式钢管脚手架工程（包括采光井、电梯井脚手架）。</w:t>
            </w:r>
          </w:p>
        </w:tc>
        <w:tc>
          <w:tcPr>
            <w:tcW w:w="1377" w:type="dxa"/>
            <w:tcBorders>
              <w:top w:val="single" w:color="auto" w:sz="4" w:space="0"/>
              <w:left w:val="single" w:color="auto" w:sz="4" w:space="0"/>
              <w:bottom w:val="single" w:color="auto" w:sz="4" w:space="0"/>
              <w:right w:val="single" w:color="auto" w:sz="4" w:space="0"/>
            </w:tcBorders>
            <w:vAlign w:val="center"/>
          </w:tcPr>
          <w:p w14:paraId="4AA21453">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auto"/>
                <w:szCs w:val="21"/>
                <w:highlight w:val="none"/>
                <w:u w:val="single"/>
              </w:rPr>
              <w:t xml:space="preserve"> )</w:t>
            </w:r>
          </w:p>
        </w:tc>
        <w:tc>
          <w:tcPr>
            <w:tcW w:w="1081" w:type="dxa"/>
            <w:tcBorders>
              <w:top w:val="single" w:color="auto" w:sz="4" w:space="0"/>
              <w:left w:val="single" w:color="auto" w:sz="4" w:space="0"/>
              <w:bottom w:val="single" w:color="auto" w:sz="4" w:space="0"/>
              <w:right w:val="single" w:color="auto" w:sz="4" w:space="0"/>
            </w:tcBorders>
            <w:vAlign w:val="center"/>
          </w:tcPr>
          <w:p w14:paraId="036D38EB">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918" w:type="dxa"/>
            <w:tcBorders>
              <w:top w:val="single" w:color="auto" w:sz="4" w:space="0"/>
              <w:left w:val="single" w:color="auto" w:sz="4" w:space="0"/>
              <w:bottom w:val="single" w:color="auto" w:sz="4" w:space="0"/>
              <w:right w:val="single" w:color="auto" w:sz="4" w:space="0"/>
            </w:tcBorders>
            <w:vAlign w:val="center"/>
          </w:tcPr>
          <w:p w14:paraId="1284B41B">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1727" w:type="dxa"/>
            <w:tcBorders>
              <w:top w:val="single" w:color="auto" w:sz="4" w:space="0"/>
              <w:left w:val="single" w:color="auto" w:sz="4" w:space="0"/>
              <w:bottom w:val="single" w:color="auto" w:sz="4" w:space="0"/>
              <w:right w:val="single" w:color="auto" w:sz="4" w:space="0"/>
            </w:tcBorders>
            <w:vAlign w:val="center"/>
          </w:tcPr>
          <w:p w14:paraId="21AB598E">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2A9D1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tcBorders>
              <w:top w:val="single" w:color="auto" w:sz="4" w:space="0"/>
              <w:left w:val="single" w:color="auto" w:sz="4" w:space="0"/>
              <w:bottom w:val="single" w:color="auto" w:sz="4" w:space="0"/>
              <w:right w:val="single" w:color="auto" w:sz="4" w:space="0"/>
            </w:tcBorders>
            <w:vAlign w:val="center"/>
          </w:tcPr>
          <w:p w14:paraId="67AE04C6">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（二）附着式升降脚手架工程。</w:t>
            </w:r>
          </w:p>
        </w:tc>
        <w:tc>
          <w:tcPr>
            <w:tcW w:w="1377" w:type="dxa"/>
            <w:tcBorders>
              <w:top w:val="single" w:color="auto" w:sz="4" w:space="0"/>
              <w:left w:val="single" w:color="auto" w:sz="4" w:space="0"/>
              <w:bottom w:val="single" w:color="auto" w:sz="4" w:space="0"/>
              <w:right w:val="single" w:color="auto" w:sz="4" w:space="0"/>
            </w:tcBorders>
            <w:vAlign w:val="center"/>
          </w:tcPr>
          <w:p w14:paraId="48D4CC5D">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1081" w:type="dxa"/>
            <w:tcBorders>
              <w:top w:val="single" w:color="auto" w:sz="4" w:space="0"/>
              <w:left w:val="single" w:color="auto" w:sz="4" w:space="0"/>
              <w:bottom w:val="single" w:color="auto" w:sz="4" w:space="0"/>
              <w:right w:val="single" w:color="auto" w:sz="4" w:space="0"/>
            </w:tcBorders>
            <w:vAlign w:val="center"/>
          </w:tcPr>
          <w:p w14:paraId="2A2A42DA">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918" w:type="dxa"/>
            <w:tcBorders>
              <w:top w:val="single" w:color="auto" w:sz="4" w:space="0"/>
              <w:left w:val="single" w:color="auto" w:sz="4" w:space="0"/>
              <w:bottom w:val="single" w:color="auto" w:sz="4" w:space="0"/>
              <w:right w:val="single" w:color="auto" w:sz="4" w:space="0"/>
            </w:tcBorders>
            <w:vAlign w:val="center"/>
          </w:tcPr>
          <w:p w14:paraId="2210F73F">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1727" w:type="dxa"/>
            <w:tcBorders>
              <w:top w:val="single" w:color="auto" w:sz="4" w:space="0"/>
              <w:left w:val="single" w:color="auto" w:sz="4" w:space="0"/>
              <w:bottom w:val="single" w:color="auto" w:sz="4" w:space="0"/>
              <w:right w:val="single" w:color="auto" w:sz="4" w:space="0"/>
            </w:tcBorders>
            <w:vAlign w:val="center"/>
          </w:tcPr>
          <w:p w14:paraId="22A30D67">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76283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tcBorders>
              <w:top w:val="single" w:color="auto" w:sz="4" w:space="0"/>
              <w:left w:val="single" w:color="auto" w:sz="4" w:space="0"/>
              <w:bottom w:val="single" w:color="auto" w:sz="4" w:space="0"/>
              <w:right w:val="single" w:color="auto" w:sz="4" w:space="0"/>
            </w:tcBorders>
            <w:vAlign w:val="center"/>
          </w:tcPr>
          <w:p w14:paraId="0F88794E">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（三）悬挑式脚手架工程。</w:t>
            </w:r>
          </w:p>
        </w:tc>
        <w:tc>
          <w:tcPr>
            <w:tcW w:w="1377" w:type="dxa"/>
            <w:tcBorders>
              <w:top w:val="single" w:color="auto" w:sz="4" w:space="0"/>
              <w:left w:val="single" w:color="auto" w:sz="4" w:space="0"/>
              <w:bottom w:val="single" w:color="auto" w:sz="4" w:space="0"/>
              <w:right w:val="single" w:color="auto" w:sz="4" w:space="0"/>
            </w:tcBorders>
            <w:vAlign w:val="center"/>
          </w:tcPr>
          <w:p w14:paraId="673DC15C">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1081" w:type="dxa"/>
            <w:tcBorders>
              <w:top w:val="single" w:color="auto" w:sz="4" w:space="0"/>
              <w:left w:val="single" w:color="auto" w:sz="4" w:space="0"/>
              <w:bottom w:val="single" w:color="auto" w:sz="4" w:space="0"/>
              <w:right w:val="single" w:color="auto" w:sz="4" w:space="0"/>
            </w:tcBorders>
            <w:vAlign w:val="center"/>
          </w:tcPr>
          <w:p w14:paraId="59D60747">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918" w:type="dxa"/>
            <w:tcBorders>
              <w:top w:val="single" w:color="auto" w:sz="4" w:space="0"/>
              <w:left w:val="single" w:color="auto" w:sz="4" w:space="0"/>
              <w:bottom w:val="single" w:color="auto" w:sz="4" w:space="0"/>
              <w:right w:val="single" w:color="auto" w:sz="4" w:space="0"/>
            </w:tcBorders>
            <w:vAlign w:val="center"/>
          </w:tcPr>
          <w:p w14:paraId="35699DFF">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1727" w:type="dxa"/>
            <w:tcBorders>
              <w:top w:val="single" w:color="auto" w:sz="4" w:space="0"/>
              <w:left w:val="single" w:color="auto" w:sz="4" w:space="0"/>
              <w:bottom w:val="single" w:color="auto" w:sz="4" w:space="0"/>
              <w:right w:val="single" w:color="auto" w:sz="4" w:space="0"/>
            </w:tcBorders>
            <w:vAlign w:val="center"/>
          </w:tcPr>
          <w:p w14:paraId="274B39B8">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04E21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tcBorders>
              <w:top w:val="single" w:color="auto" w:sz="4" w:space="0"/>
              <w:left w:val="single" w:color="auto" w:sz="4" w:space="0"/>
              <w:bottom w:val="single" w:color="auto" w:sz="4" w:space="0"/>
              <w:right w:val="single" w:color="auto" w:sz="4" w:space="0"/>
            </w:tcBorders>
            <w:vAlign w:val="center"/>
          </w:tcPr>
          <w:p w14:paraId="65293540">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（四）高处作业吊篮。</w:t>
            </w:r>
          </w:p>
        </w:tc>
        <w:tc>
          <w:tcPr>
            <w:tcW w:w="1377" w:type="dxa"/>
            <w:tcBorders>
              <w:top w:val="single" w:color="auto" w:sz="4" w:space="0"/>
              <w:left w:val="single" w:color="auto" w:sz="4" w:space="0"/>
              <w:bottom w:val="single" w:color="auto" w:sz="4" w:space="0"/>
              <w:right w:val="single" w:color="auto" w:sz="4" w:space="0"/>
            </w:tcBorders>
            <w:vAlign w:val="center"/>
          </w:tcPr>
          <w:p w14:paraId="3B56FB16">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1081" w:type="dxa"/>
            <w:tcBorders>
              <w:top w:val="single" w:color="auto" w:sz="4" w:space="0"/>
              <w:left w:val="single" w:color="auto" w:sz="4" w:space="0"/>
              <w:bottom w:val="single" w:color="auto" w:sz="4" w:space="0"/>
              <w:right w:val="single" w:color="auto" w:sz="4" w:space="0"/>
            </w:tcBorders>
            <w:vAlign w:val="center"/>
          </w:tcPr>
          <w:p w14:paraId="0A57E911">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918" w:type="dxa"/>
            <w:tcBorders>
              <w:top w:val="single" w:color="auto" w:sz="4" w:space="0"/>
              <w:left w:val="single" w:color="auto" w:sz="4" w:space="0"/>
              <w:bottom w:val="single" w:color="auto" w:sz="4" w:space="0"/>
              <w:right w:val="single" w:color="auto" w:sz="4" w:space="0"/>
            </w:tcBorders>
            <w:vAlign w:val="center"/>
          </w:tcPr>
          <w:p w14:paraId="5B041670">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1727" w:type="dxa"/>
            <w:tcBorders>
              <w:top w:val="single" w:color="auto" w:sz="4" w:space="0"/>
              <w:left w:val="single" w:color="auto" w:sz="4" w:space="0"/>
              <w:bottom w:val="single" w:color="auto" w:sz="4" w:space="0"/>
              <w:right w:val="single" w:color="auto" w:sz="4" w:space="0"/>
            </w:tcBorders>
            <w:vAlign w:val="center"/>
          </w:tcPr>
          <w:p w14:paraId="4504B481">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0E7A2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tcBorders>
              <w:top w:val="single" w:color="auto" w:sz="4" w:space="0"/>
              <w:left w:val="single" w:color="auto" w:sz="4" w:space="0"/>
              <w:bottom w:val="single" w:color="auto" w:sz="4" w:space="0"/>
              <w:right w:val="single" w:color="auto" w:sz="4" w:space="0"/>
            </w:tcBorders>
            <w:vAlign w:val="center"/>
          </w:tcPr>
          <w:p w14:paraId="165A134A">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（五）卸料平台、操作平台工程。</w:t>
            </w:r>
          </w:p>
        </w:tc>
        <w:tc>
          <w:tcPr>
            <w:tcW w:w="1377" w:type="dxa"/>
            <w:tcBorders>
              <w:top w:val="single" w:color="auto" w:sz="4" w:space="0"/>
              <w:left w:val="single" w:color="auto" w:sz="4" w:space="0"/>
              <w:bottom w:val="single" w:color="auto" w:sz="4" w:space="0"/>
              <w:right w:val="single" w:color="auto" w:sz="4" w:space="0"/>
            </w:tcBorders>
            <w:vAlign w:val="center"/>
          </w:tcPr>
          <w:p w14:paraId="32508FD3">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1081" w:type="dxa"/>
            <w:tcBorders>
              <w:top w:val="single" w:color="auto" w:sz="4" w:space="0"/>
              <w:left w:val="single" w:color="auto" w:sz="4" w:space="0"/>
              <w:bottom w:val="single" w:color="auto" w:sz="4" w:space="0"/>
              <w:right w:val="single" w:color="auto" w:sz="4" w:space="0"/>
            </w:tcBorders>
            <w:vAlign w:val="center"/>
          </w:tcPr>
          <w:p w14:paraId="26B8A4E2">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918" w:type="dxa"/>
            <w:tcBorders>
              <w:top w:val="single" w:color="auto" w:sz="4" w:space="0"/>
              <w:left w:val="single" w:color="auto" w:sz="4" w:space="0"/>
              <w:bottom w:val="single" w:color="auto" w:sz="4" w:space="0"/>
              <w:right w:val="single" w:color="auto" w:sz="4" w:space="0"/>
            </w:tcBorders>
            <w:vAlign w:val="center"/>
          </w:tcPr>
          <w:p w14:paraId="418F725A">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1727" w:type="dxa"/>
            <w:tcBorders>
              <w:top w:val="single" w:color="auto" w:sz="4" w:space="0"/>
              <w:left w:val="single" w:color="auto" w:sz="4" w:space="0"/>
              <w:bottom w:val="single" w:color="auto" w:sz="4" w:space="0"/>
              <w:right w:val="single" w:color="auto" w:sz="4" w:space="0"/>
            </w:tcBorders>
            <w:vAlign w:val="center"/>
          </w:tcPr>
          <w:p w14:paraId="0D3328DA">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51141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tcBorders>
              <w:top w:val="single" w:color="auto" w:sz="4" w:space="0"/>
              <w:left w:val="single" w:color="auto" w:sz="4" w:space="0"/>
              <w:bottom w:val="single" w:color="auto" w:sz="4" w:space="0"/>
              <w:right w:val="single" w:color="auto" w:sz="4" w:space="0"/>
            </w:tcBorders>
            <w:vAlign w:val="center"/>
          </w:tcPr>
          <w:p w14:paraId="08DE3B65">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（六）异型脚手架工程。</w:t>
            </w:r>
          </w:p>
        </w:tc>
        <w:tc>
          <w:tcPr>
            <w:tcW w:w="1377" w:type="dxa"/>
            <w:tcBorders>
              <w:top w:val="single" w:color="auto" w:sz="4" w:space="0"/>
              <w:left w:val="single" w:color="auto" w:sz="4" w:space="0"/>
              <w:bottom w:val="single" w:color="auto" w:sz="4" w:space="0"/>
              <w:right w:val="single" w:color="auto" w:sz="4" w:space="0"/>
            </w:tcBorders>
            <w:vAlign w:val="center"/>
          </w:tcPr>
          <w:p w14:paraId="71687564">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1081" w:type="dxa"/>
            <w:tcBorders>
              <w:top w:val="single" w:color="auto" w:sz="4" w:space="0"/>
              <w:left w:val="single" w:color="auto" w:sz="4" w:space="0"/>
              <w:bottom w:val="single" w:color="auto" w:sz="4" w:space="0"/>
              <w:right w:val="single" w:color="auto" w:sz="4" w:space="0"/>
            </w:tcBorders>
            <w:vAlign w:val="center"/>
          </w:tcPr>
          <w:p w14:paraId="1B932675">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918" w:type="dxa"/>
            <w:tcBorders>
              <w:top w:val="single" w:color="auto" w:sz="4" w:space="0"/>
              <w:left w:val="single" w:color="auto" w:sz="4" w:space="0"/>
              <w:bottom w:val="single" w:color="auto" w:sz="4" w:space="0"/>
              <w:right w:val="single" w:color="auto" w:sz="4" w:space="0"/>
            </w:tcBorders>
            <w:vAlign w:val="center"/>
          </w:tcPr>
          <w:p w14:paraId="073AD0B9">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1727" w:type="dxa"/>
            <w:tcBorders>
              <w:top w:val="single" w:color="auto" w:sz="4" w:space="0"/>
              <w:left w:val="single" w:color="auto" w:sz="4" w:space="0"/>
              <w:bottom w:val="single" w:color="auto" w:sz="4" w:space="0"/>
              <w:right w:val="single" w:color="auto" w:sz="4" w:space="0"/>
            </w:tcBorders>
            <w:vAlign w:val="center"/>
          </w:tcPr>
          <w:p w14:paraId="0DA577B2">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7ABE2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tcBorders>
              <w:top w:val="single" w:color="auto" w:sz="4" w:space="0"/>
              <w:left w:val="single" w:color="auto" w:sz="4" w:space="0"/>
              <w:bottom w:val="single" w:color="auto" w:sz="4" w:space="0"/>
              <w:right w:val="single" w:color="auto" w:sz="4" w:space="0"/>
            </w:tcBorders>
            <w:vAlign w:val="center"/>
          </w:tcPr>
          <w:p w14:paraId="2C0D4077">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五、拆除工程</w:t>
            </w:r>
          </w:p>
        </w:tc>
        <w:tc>
          <w:tcPr>
            <w:tcW w:w="1377" w:type="dxa"/>
            <w:tcBorders>
              <w:top w:val="single" w:color="auto" w:sz="4" w:space="0"/>
              <w:left w:val="single" w:color="auto" w:sz="4" w:space="0"/>
              <w:bottom w:val="single" w:color="auto" w:sz="4" w:space="0"/>
              <w:right w:val="single" w:color="auto" w:sz="4" w:space="0"/>
            </w:tcBorders>
            <w:vAlign w:val="center"/>
          </w:tcPr>
          <w:p w14:paraId="09A879E0">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1081" w:type="dxa"/>
            <w:tcBorders>
              <w:top w:val="single" w:color="auto" w:sz="4" w:space="0"/>
              <w:left w:val="single" w:color="auto" w:sz="4" w:space="0"/>
              <w:bottom w:val="single" w:color="auto" w:sz="4" w:space="0"/>
              <w:right w:val="single" w:color="auto" w:sz="4" w:space="0"/>
            </w:tcBorders>
            <w:vAlign w:val="center"/>
          </w:tcPr>
          <w:p w14:paraId="15D69D7D">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918" w:type="dxa"/>
            <w:tcBorders>
              <w:top w:val="single" w:color="auto" w:sz="4" w:space="0"/>
              <w:left w:val="single" w:color="auto" w:sz="4" w:space="0"/>
              <w:bottom w:val="single" w:color="auto" w:sz="4" w:space="0"/>
              <w:right w:val="single" w:color="auto" w:sz="4" w:space="0"/>
            </w:tcBorders>
            <w:vAlign w:val="center"/>
          </w:tcPr>
          <w:p w14:paraId="407F023E">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1727" w:type="dxa"/>
            <w:tcBorders>
              <w:top w:val="single" w:color="auto" w:sz="4" w:space="0"/>
              <w:left w:val="single" w:color="auto" w:sz="4" w:space="0"/>
              <w:bottom w:val="single" w:color="auto" w:sz="4" w:space="0"/>
              <w:right w:val="single" w:color="auto" w:sz="4" w:space="0"/>
            </w:tcBorders>
            <w:vAlign w:val="center"/>
          </w:tcPr>
          <w:p w14:paraId="00A9D980">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5BE8D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474" w:type="dxa"/>
            <w:tcBorders>
              <w:top w:val="single" w:color="auto" w:sz="4" w:space="0"/>
              <w:left w:val="single" w:color="auto" w:sz="4" w:space="0"/>
              <w:bottom w:val="single" w:color="auto" w:sz="4" w:space="0"/>
              <w:right w:val="single" w:color="auto" w:sz="4" w:space="0"/>
            </w:tcBorders>
            <w:vAlign w:val="center"/>
          </w:tcPr>
          <w:p w14:paraId="71502F8A">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可能影响行人、交通、电力设施、通讯设施或其它建、构筑物安全的拆除工程。</w:t>
            </w:r>
          </w:p>
        </w:tc>
        <w:tc>
          <w:tcPr>
            <w:tcW w:w="1377" w:type="dxa"/>
            <w:tcBorders>
              <w:top w:val="single" w:color="auto" w:sz="4" w:space="0"/>
              <w:left w:val="single" w:color="auto" w:sz="4" w:space="0"/>
              <w:bottom w:val="single" w:color="auto" w:sz="4" w:space="0"/>
              <w:right w:val="single" w:color="auto" w:sz="4" w:space="0"/>
            </w:tcBorders>
            <w:vAlign w:val="center"/>
          </w:tcPr>
          <w:p w14:paraId="77972CB9">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1081" w:type="dxa"/>
            <w:tcBorders>
              <w:top w:val="single" w:color="auto" w:sz="4" w:space="0"/>
              <w:left w:val="single" w:color="auto" w:sz="4" w:space="0"/>
              <w:bottom w:val="single" w:color="auto" w:sz="4" w:space="0"/>
              <w:right w:val="single" w:color="auto" w:sz="4" w:space="0"/>
            </w:tcBorders>
            <w:vAlign w:val="center"/>
          </w:tcPr>
          <w:p w14:paraId="62D21F05">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918" w:type="dxa"/>
            <w:tcBorders>
              <w:top w:val="single" w:color="auto" w:sz="4" w:space="0"/>
              <w:left w:val="single" w:color="auto" w:sz="4" w:space="0"/>
              <w:bottom w:val="single" w:color="auto" w:sz="4" w:space="0"/>
              <w:right w:val="single" w:color="auto" w:sz="4" w:space="0"/>
            </w:tcBorders>
            <w:vAlign w:val="center"/>
          </w:tcPr>
          <w:p w14:paraId="22238C37">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1727" w:type="dxa"/>
            <w:tcBorders>
              <w:top w:val="single" w:color="auto" w:sz="4" w:space="0"/>
              <w:left w:val="single" w:color="auto" w:sz="4" w:space="0"/>
              <w:bottom w:val="single" w:color="auto" w:sz="4" w:space="0"/>
              <w:right w:val="single" w:color="auto" w:sz="4" w:space="0"/>
            </w:tcBorders>
            <w:vAlign w:val="center"/>
          </w:tcPr>
          <w:p w14:paraId="5E9B46D5">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706E7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tcBorders>
              <w:top w:val="single" w:color="auto" w:sz="4" w:space="0"/>
              <w:left w:val="single" w:color="auto" w:sz="4" w:space="0"/>
              <w:bottom w:val="single" w:color="auto" w:sz="4" w:space="0"/>
              <w:right w:val="single" w:color="auto" w:sz="4" w:space="0"/>
            </w:tcBorders>
            <w:vAlign w:val="center"/>
          </w:tcPr>
          <w:p w14:paraId="520F40F8">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六、暗挖工程</w:t>
            </w:r>
          </w:p>
        </w:tc>
        <w:tc>
          <w:tcPr>
            <w:tcW w:w="1377" w:type="dxa"/>
            <w:tcBorders>
              <w:top w:val="single" w:color="auto" w:sz="4" w:space="0"/>
              <w:left w:val="single" w:color="auto" w:sz="4" w:space="0"/>
              <w:bottom w:val="single" w:color="auto" w:sz="4" w:space="0"/>
              <w:right w:val="single" w:color="auto" w:sz="4" w:space="0"/>
            </w:tcBorders>
            <w:vAlign w:val="center"/>
          </w:tcPr>
          <w:p w14:paraId="62B98B5E">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1081" w:type="dxa"/>
            <w:tcBorders>
              <w:top w:val="single" w:color="auto" w:sz="4" w:space="0"/>
              <w:left w:val="single" w:color="auto" w:sz="4" w:space="0"/>
              <w:bottom w:val="single" w:color="auto" w:sz="4" w:space="0"/>
              <w:right w:val="single" w:color="auto" w:sz="4" w:space="0"/>
            </w:tcBorders>
            <w:vAlign w:val="center"/>
          </w:tcPr>
          <w:p w14:paraId="01EC3DE1">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918" w:type="dxa"/>
            <w:tcBorders>
              <w:top w:val="single" w:color="auto" w:sz="4" w:space="0"/>
              <w:left w:val="single" w:color="auto" w:sz="4" w:space="0"/>
              <w:bottom w:val="single" w:color="auto" w:sz="4" w:space="0"/>
              <w:right w:val="single" w:color="auto" w:sz="4" w:space="0"/>
            </w:tcBorders>
            <w:vAlign w:val="center"/>
          </w:tcPr>
          <w:p w14:paraId="5F182D4D">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1727" w:type="dxa"/>
            <w:tcBorders>
              <w:top w:val="single" w:color="auto" w:sz="4" w:space="0"/>
              <w:left w:val="single" w:color="auto" w:sz="4" w:space="0"/>
              <w:bottom w:val="single" w:color="auto" w:sz="4" w:space="0"/>
              <w:right w:val="single" w:color="auto" w:sz="4" w:space="0"/>
            </w:tcBorders>
            <w:vAlign w:val="center"/>
          </w:tcPr>
          <w:p w14:paraId="6279B0AB">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65F8A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474" w:type="dxa"/>
            <w:tcBorders>
              <w:top w:val="single" w:color="auto" w:sz="4" w:space="0"/>
              <w:left w:val="single" w:color="auto" w:sz="4" w:space="0"/>
              <w:bottom w:val="single" w:color="auto" w:sz="4" w:space="0"/>
              <w:right w:val="single" w:color="auto" w:sz="4" w:space="0"/>
            </w:tcBorders>
            <w:vAlign w:val="center"/>
          </w:tcPr>
          <w:p w14:paraId="42CB3706">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采用矿山法、盾构法、顶管法施工的隧道、洞室工程。</w:t>
            </w:r>
          </w:p>
        </w:tc>
        <w:tc>
          <w:tcPr>
            <w:tcW w:w="1377" w:type="dxa"/>
            <w:tcBorders>
              <w:top w:val="single" w:color="auto" w:sz="4" w:space="0"/>
              <w:left w:val="single" w:color="auto" w:sz="4" w:space="0"/>
              <w:bottom w:val="single" w:color="auto" w:sz="4" w:space="0"/>
              <w:right w:val="single" w:color="auto" w:sz="4" w:space="0"/>
            </w:tcBorders>
            <w:vAlign w:val="center"/>
          </w:tcPr>
          <w:p w14:paraId="38E07585">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1081" w:type="dxa"/>
            <w:tcBorders>
              <w:top w:val="single" w:color="auto" w:sz="4" w:space="0"/>
              <w:left w:val="single" w:color="auto" w:sz="4" w:space="0"/>
              <w:bottom w:val="single" w:color="auto" w:sz="4" w:space="0"/>
              <w:right w:val="single" w:color="auto" w:sz="4" w:space="0"/>
            </w:tcBorders>
            <w:vAlign w:val="center"/>
          </w:tcPr>
          <w:p w14:paraId="3F486261">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918" w:type="dxa"/>
            <w:tcBorders>
              <w:top w:val="single" w:color="auto" w:sz="4" w:space="0"/>
              <w:left w:val="single" w:color="auto" w:sz="4" w:space="0"/>
              <w:bottom w:val="single" w:color="auto" w:sz="4" w:space="0"/>
              <w:right w:val="single" w:color="auto" w:sz="4" w:space="0"/>
            </w:tcBorders>
            <w:vAlign w:val="center"/>
          </w:tcPr>
          <w:p w14:paraId="60595F93">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1727" w:type="dxa"/>
            <w:tcBorders>
              <w:top w:val="single" w:color="auto" w:sz="4" w:space="0"/>
              <w:left w:val="single" w:color="auto" w:sz="4" w:space="0"/>
              <w:bottom w:val="single" w:color="auto" w:sz="4" w:space="0"/>
              <w:right w:val="single" w:color="auto" w:sz="4" w:space="0"/>
            </w:tcBorders>
            <w:vAlign w:val="center"/>
          </w:tcPr>
          <w:p w14:paraId="04052C5E">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4E212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tcBorders>
              <w:top w:val="single" w:color="auto" w:sz="4" w:space="0"/>
              <w:left w:val="single" w:color="auto" w:sz="4" w:space="0"/>
              <w:bottom w:val="single" w:color="auto" w:sz="4" w:space="0"/>
              <w:right w:val="single" w:color="auto" w:sz="4" w:space="0"/>
            </w:tcBorders>
            <w:vAlign w:val="center"/>
          </w:tcPr>
          <w:p w14:paraId="69D40634">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七、其它</w:t>
            </w:r>
          </w:p>
        </w:tc>
        <w:tc>
          <w:tcPr>
            <w:tcW w:w="1377" w:type="dxa"/>
            <w:tcBorders>
              <w:top w:val="single" w:color="auto" w:sz="4" w:space="0"/>
              <w:left w:val="single" w:color="auto" w:sz="4" w:space="0"/>
              <w:bottom w:val="single" w:color="auto" w:sz="4" w:space="0"/>
              <w:right w:val="single" w:color="auto" w:sz="4" w:space="0"/>
            </w:tcBorders>
            <w:vAlign w:val="center"/>
          </w:tcPr>
          <w:p w14:paraId="24288F10">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1081" w:type="dxa"/>
            <w:tcBorders>
              <w:top w:val="single" w:color="auto" w:sz="4" w:space="0"/>
              <w:left w:val="single" w:color="auto" w:sz="4" w:space="0"/>
              <w:bottom w:val="single" w:color="auto" w:sz="4" w:space="0"/>
              <w:right w:val="single" w:color="auto" w:sz="4" w:space="0"/>
            </w:tcBorders>
            <w:vAlign w:val="center"/>
          </w:tcPr>
          <w:p w14:paraId="2D2ED9E6">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918" w:type="dxa"/>
            <w:tcBorders>
              <w:top w:val="single" w:color="auto" w:sz="4" w:space="0"/>
              <w:left w:val="single" w:color="auto" w:sz="4" w:space="0"/>
              <w:bottom w:val="single" w:color="auto" w:sz="4" w:space="0"/>
              <w:right w:val="single" w:color="auto" w:sz="4" w:space="0"/>
            </w:tcBorders>
            <w:vAlign w:val="center"/>
          </w:tcPr>
          <w:p w14:paraId="616ABDEE">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1727" w:type="dxa"/>
            <w:tcBorders>
              <w:top w:val="single" w:color="auto" w:sz="4" w:space="0"/>
              <w:left w:val="single" w:color="auto" w:sz="4" w:space="0"/>
              <w:bottom w:val="single" w:color="auto" w:sz="4" w:space="0"/>
              <w:right w:val="single" w:color="auto" w:sz="4" w:space="0"/>
            </w:tcBorders>
            <w:vAlign w:val="center"/>
          </w:tcPr>
          <w:p w14:paraId="48C62BAA">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13C0B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tcBorders>
              <w:top w:val="single" w:color="auto" w:sz="4" w:space="0"/>
              <w:left w:val="single" w:color="auto" w:sz="4" w:space="0"/>
              <w:bottom w:val="single" w:color="auto" w:sz="4" w:space="0"/>
              <w:right w:val="single" w:color="auto" w:sz="4" w:space="0"/>
            </w:tcBorders>
            <w:vAlign w:val="center"/>
          </w:tcPr>
          <w:p w14:paraId="468603A9">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（一）建筑幕墙安装工程。</w:t>
            </w:r>
          </w:p>
        </w:tc>
        <w:tc>
          <w:tcPr>
            <w:tcW w:w="1377" w:type="dxa"/>
            <w:tcBorders>
              <w:top w:val="single" w:color="auto" w:sz="4" w:space="0"/>
              <w:left w:val="single" w:color="auto" w:sz="4" w:space="0"/>
              <w:bottom w:val="single" w:color="auto" w:sz="4" w:space="0"/>
              <w:right w:val="single" w:color="auto" w:sz="4" w:space="0"/>
            </w:tcBorders>
            <w:vAlign w:val="center"/>
          </w:tcPr>
          <w:p w14:paraId="586B53B3">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auto"/>
                <w:szCs w:val="21"/>
                <w:highlight w:val="none"/>
                <w:u w:val="single"/>
              </w:rPr>
              <w:t xml:space="preserve"> )</w:t>
            </w:r>
          </w:p>
        </w:tc>
        <w:tc>
          <w:tcPr>
            <w:tcW w:w="1081" w:type="dxa"/>
            <w:tcBorders>
              <w:top w:val="single" w:color="auto" w:sz="4" w:space="0"/>
              <w:left w:val="single" w:color="auto" w:sz="4" w:space="0"/>
              <w:bottom w:val="single" w:color="auto" w:sz="4" w:space="0"/>
              <w:right w:val="single" w:color="auto" w:sz="4" w:space="0"/>
            </w:tcBorders>
            <w:vAlign w:val="center"/>
          </w:tcPr>
          <w:p w14:paraId="2BC57368">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918" w:type="dxa"/>
            <w:tcBorders>
              <w:top w:val="single" w:color="auto" w:sz="4" w:space="0"/>
              <w:left w:val="single" w:color="auto" w:sz="4" w:space="0"/>
              <w:bottom w:val="single" w:color="auto" w:sz="4" w:space="0"/>
              <w:right w:val="single" w:color="auto" w:sz="4" w:space="0"/>
            </w:tcBorders>
            <w:vAlign w:val="center"/>
          </w:tcPr>
          <w:p w14:paraId="1B7193C2">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1727" w:type="dxa"/>
            <w:tcBorders>
              <w:top w:val="single" w:color="auto" w:sz="4" w:space="0"/>
              <w:left w:val="single" w:color="auto" w:sz="4" w:space="0"/>
              <w:bottom w:val="single" w:color="auto" w:sz="4" w:space="0"/>
              <w:right w:val="single" w:color="auto" w:sz="4" w:space="0"/>
            </w:tcBorders>
            <w:vAlign w:val="center"/>
          </w:tcPr>
          <w:p w14:paraId="2225BE6E">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5DA0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tcBorders>
              <w:top w:val="single" w:color="auto" w:sz="4" w:space="0"/>
              <w:left w:val="single" w:color="auto" w:sz="4" w:space="0"/>
              <w:bottom w:val="single" w:color="auto" w:sz="4" w:space="0"/>
              <w:right w:val="single" w:color="auto" w:sz="4" w:space="0"/>
            </w:tcBorders>
            <w:vAlign w:val="center"/>
          </w:tcPr>
          <w:p w14:paraId="6E6E6E11">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（二）钢结构、网架和索膜结构安装工程。</w:t>
            </w:r>
          </w:p>
        </w:tc>
        <w:tc>
          <w:tcPr>
            <w:tcW w:w="1377" w:type="dxa"/>
            <w:tcBorders>
              <w:top w:val="single" w:color="auto" w:sz="4" w:space="0"/>
              <w:left w:val="single" w:color="auto" w:sz="4" w:space="0"/>
              <w:bottom w:val="single" w:color="auto" w:sz="4" w:space="0"/>
              <w:right w:val="single" w:color="auto" w:sz="4" w:space="0"/>
            </w:tcBorders>
            <w:vAlign w:val="center"/>
          </w:tcPr>
          <w:p w14:paraId="1A45327F">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1081" w:type="dxa"/>
            <w:tcBorders>
              <w:top w:val="single" w:color="auto" w:sz="4" w:space="0"/>
              <w:left w:val="single" w:color="auto" w:sz="4" w:space="0"/>
              <w:bottom w:val="single" w:color="auto" w:sz="4" w:space="0"/>
              <w:right w:val="single" w:color="auto" w:sz="4" w:space="0"/>
            </w:tcBorders>
            <w:vAlign w:val="center"/>
          </w:tcPr>
          <w:p w14:paraId="4E1842F9">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918" w:type="dxa"/>
            <w:tcBorders>
              <w:top w:val="single" w:color="auto" w:sz="4" w:space="0"/>
              <w:left w:val="single" w:color="auto" w:sz="4" w:space="0"/>
              <w:bottom w:val="single" w:color="auto" w:sz="4" w:space="0"/>
              <w:right w:val="single" w:color="auto" w:sz="4" w:space="0"/>
            </w:tcBorders>
            <w:vAlign w:val="center"/>
          </w:tcPr>
          <w:p w14:paraId="4B329091">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1727" w:type="dxa"/>
            <w:tcBorders>
              <w:top w:val="single" w:color="auto" w:sz="4" w:space="0"/>
              <w:left w:val="single" w:color="auto" w:sz="4" w:space="0"/>
              <w:bottom w:val="single" w:color="auto" w:sz="4" w:space="0"/>
              <w:right w:val="single" w:color="auto" w:sz="4" w:space="0"/>
            </w:tcBorders>
            <w:vAlign w:val="center"/>
          </w:tcPr>
          <w:p w14:paraId="0E3245AB">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05265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tcBorders>
              <w:top w:val="single" w:color="auto" w:sz="4" w:space="0"/>
              <w:left w:val="single" w:color="auto" w:sz="4" w:space="0"/>
              <w:bottom w:val="single" w:color="auto" w:sz="4" w:space="0"/>
              <w:right w:val="single" w:color="auto" w:sz="4" w:space="0"/>
            </w:tcBorders>
            <w:vAlign w:val="center"/>
          </w:tcPr>
          <w:p w14:paraId="6FE513BE">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（三）人工挖孔桩工程。</w:t>
            </w:r>
          </w:p>
        </w:tc>
        <w:tc>
          <w:tcPr>
            <w:tcW w:w="1377" w:type="dxa"/>
            <w:tcBorders>
              <w:top w:val="single" w:color="auto" w:sz="4" w:space="0"/>
              <w:left w:val="single" w:color="auto" w:sz="4" w:space="0"/>
              <w:bottom w:val="single" w:color="auto" w:sz="4" w:space="0"/>
              <w:right w:val="single" w:color="auto" w:sz="4" w:space="0"/>
            </w:tcBorders>
            <w:vAlign w:val="center"/>
          </w:tcPr>
          <w:p w14:paraId="6733DAE1">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1081" w:type="dxa"/>
            <w:tcBorders>
              <w:top w:val="single" w:color="auto" w:sz="4" w:space="0"/>
              <w:left w:val="single" w:color="auto" w:sz="4" w:space="0"/>
              <w:bottom w:val="single" w:color="auto" w:sz="4" w:space="0"/>
              <w:right w:val="single" w:color="auto" w:sz="4" w:space="0"/>
            </w:tcBorders>
            <w:vAlign w:val="center"/>
          </w:tcPr>
          <w:p w14:paraId="742C5037">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918" w:type="dxa"/>
            <w:tcBorders>
              <w:top w:val="single" w:color="auto" w:sz="4" w:space="0"/>
              <w:left w:val="single" w:color="auto" w:sz="4" w:space="0"/>
              <w:bottom w:val="single" w:color="auto" w:sz="4" w:space="0"/>
              <w:right w:val="single" w:color="auto" w:sz="4" w:space="0"/>
            </w:tcBorders>
            <w:vAlign w:val="center"/>
          </w:tcPr>
          <w:p w14:paraId="595F39E3">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1727" w:type="dxa"/>
            <w:tcBorders>
              <w:top w:val="single" w:color="auto" w:sz="4" w:space="0"/>
              <w:left w:val="single" w:color="auto" w:sz="4" w:space="0"/>
              <w:bottom w:val="single" w:color="auto" w:sz="4" w:space="0"/>
              <w:right w:val="single" w:color="auto" w:sz="4" w:space="0"/>
            </w:tcBorders>
            <w:vAlign w:val="center"/>
          </w:tcPr>
          <w:p w14:paraId="72693597">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7F0D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tcBorders>
              <w:top w:val="single" w:color="auto" w:sz="4" w:space="0"/>
              <w:left w:val="single" w:color="auto" w:sz="4" w:space="0"/>
              <w:bottom w:val="single" w:color="auto" w:sz="4" w:space="0"/>
              <w:right w:val="single" w:color="auto" w:sz="4" w:space="0"/>
            </w:tcBorders>
            <w:vAlign w:val="center"/>
          </w:tcPr>
          <w:p w14:paraId="2E08932E">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（四）水下作业工程。</w:t>
            </w:r>
          </w:p>
        </w:tc>
        <w:tc>
          <w:tcPr>
            <w:tcW w:w="1377" w:type="dxa"/>
            <w:tcBorders>
              <w:top w:val="single" w:color="auto" w:sz="4" w:space="0"/>
              <w:left w:val="single" w:color="auto" w:sz="4" w:space="0"/>
              <w:bottom w:val="single" w:color="auto" w:sz="4" w:space="0"/>
              <w:right w:val="single" w:color="auto" w:sz="4" w:space="0"/>
            </w:tcBorders>
            <w:vAlign w:val="center"/>
          </w:tcPr>
          <w:p w14:paraId="3E9E609F">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1081" w:type="dxa"/>
            <w:tcBorders>
              <w:top w:val="single" w:color="auto" w:sz="4" w:space="0"/>
              <w:left w:val="single" w:color="auto" w:sz="4" w:space="0"/>
              <w:bottom w:val="single" w:color="auto" w:sz="4" w:space="0"/>
              <w:right w:val="single" w:color="auto" w:sz="4" w:space="0"/>
            </w:tcBorders>
            <w:vAlign w:val="center"/>
          </w:tcPr>
          <w:p w14:paraId="1E31200D">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918" w:type="dxa"/>
            <w:tcBorders>
              <w:top w:val="single" w:color="auto" w:sz="4" w:space="0"/>
              <w:left w:val="single" w:color="auto" w:sz="4" w:space="0"/>
              <w:bottom w:val="single" w:color="auto" w:sz="4" w:space="0"/>
              <w:right w:val="single" w:color="auto" w:sz="4" w:space="0"/>
            </w:tcBorders>
            <w:vAlign w:val="center"/>
          </w:tcPr>
          <w:p w14:paraId="6FAC2365">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1727" w:type="dxa"/>
            <w:tcBorders>
              <w:top w:val="single" w:color="auto" w:sz="4" w:space="0"/>
              <w:left w:val="single" w:color="auto" w:sz="4" w:space="0"/>
              <w:bottom w:val="single" w:color="auto" w:sz="4" w:space="0"/>
              <w:right w:val="single" w:color="auto" w:sz="4" w:space="0"/>
            </w:tcBorders>
            <w:vAlign w:val="center"/>
          </w:tcPr>
          <w:p w14:paraId="01D53AC7">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73098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4474" w:type="dxa"/>
            <w:tcBorders>
              <w:top w:val="single" w:color="auto" w:sz="4" w:space="0"/>
              <w:left w:val="single" w:color="auto" w:sz="4" w:space="0"/>
              <w:bottom w:val="single" w:color="auto" w:sz="4" w:space="0"/>
              <w:right w:val="single" w:color="auto" w:sz="4" w:space="0"/>
            </w:tcBorders>
            <w:vAlign w:val="center"/>
          </w:tcPr>
          <w:p w14:paraId="3E4DC10F">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（五）装配式建筑混凝土预制构件安装工程。</w:t>
            </w:r>
          </w:p>
        </w:tc>
        <w:tc>
          <w:tcPr>
            <w:tcW w:w="1377" w:type="dxa"/>
            <w:tcBorders>
              <w:top w:val="single" w:color="auto" w:sz="4" w:space="0"/>
              <w:left w:val="single" w:color="auto" w:sz="4" w:space="0"/>
              <w:bottom w:val="single" w:color="auto" w:sz="4" w:space="0"/>
              <w:right w:val="single" w:color="auto" w:sz="4" w:space="0"/>
            </w:tcBorders>
            <w:vAlign w:val="center"/>
          </w:tcPr>
          <w:p w14:paraId="1B59ACE2">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1081" w:type="dxa"/>
            <w:tcBorders>
              <w:top w:val="single" w:color="auto" w:sz="4" w:space="0"/>
              <w:left w:val="single" w:color="auto" w:sz="4" w:space="0"/>
              <w:bottom w:val="single" w:color="auto" w:sz="4" w:space="0"/>
              <w:right w:val="single" w:color="auto" w:sz="4" w:space="0"/>
            </w:tcBorders>
            <w:vAlign w:val="center"/>
          </w:tcPr>
          <w:p w14:paraId="09E07440">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918" w:type="dxa"/>
            <w:tcBorders>
              <w:top w:val="single" w:color="auto" w:sz="4" w:space="0"/>
              <w:left w:val="single" w:color="auto" w:sz="4" w:space="0"/>
              <w:bottom w:val="single" w:color="auto" w:sz="4" w:space="0"/>
              <w:right w:val="single" w:color="auto" w:sz="4" w:space="0"/>
            </w:tcBorders>
            <w:vAlign w:val="center"/>
          </w:tcPr>
          <w:p w14:paraId="43BADEBB">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1727" w:type="dxa"/>
            <w:tcBorders>
              <w:top w:val="single" w:color="auto" w:sz="4" w:space="0"/>
              <w:left w:val="single" w:color="auto" w:sz="4" w:space="0"/>
              <w:bottom w:val="single" w:color="auto" w:sz="4" w:space="0"/>
              <w:right w:val="single" w:color="auto" w:sz="4" w:space="0"/>
            </w:tcBorders>
            <w:vAlign w:val="center"/>
          </w:tcPr>
          <w:p w14:paraId="136B4BC5">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0B91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74" w:type="dxa"/>
            <w:tcBorders>
              <w:top w:val="single" w:color="auto" w:sz="4" w:space="0"/>
              <w:left w:val="single" w:color="auto" w:sz="4" w:space="0"/>
              <w:bottom w:val="single" w:color="auto" w:sz="4" w:space="0"/>
              <w:right w:val="single" w:color="auto" w:sz="4" w:space="0"/>
            </w:tcBorders>
            <w:vAlign w:val="center"/>
          </w:tcPr>
          <w:p w14:paraId="324DCADD">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（六）采用新技术、新工艺、新材料、新设备可能影响工程施工安全，尚无国家、行业及地方技术标准的分部分项工程。</w:t>
            </w:r>
          </w:p>
        </w:tc>
        <w:tc>
          <w:tcPr>
            <w:tcW w:w="1377" w:type="dxa"/>
            <w:tcBorders>
              <w:top w:val="single" w:color="auto" w:sz="4" w:space="0"/>
              <w:left w:val="single" w:color="auto" w:sz="4" w:space="0"/>
              <w:bottom w:val="single" w:color="auto" w:sz="4" w:space="0"/>
              <w:right w:val="single" w:color="auto" w:sz="4" w:space="0"/>
            </w:tcBorders>
            <w:vAlign w:val="center"/>
          </w:tcPr>
          <w:p w14:paraId="4B1CE1F5">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1081" w:type="dxa"/>
            <w:tcBorders>
              <w:top w:val="single" w:color="auto" w:sz="4" w:space="0"/>
              <w:left w:val="single" w:color="auto" w:sz="4" w:space="0"/>
              <w:bottom w:val="single" w:color="auto" w:sz="4" w:space="0"/>
              <w:right w:val="single" w:color="auto" w:sz="4" w:space="0"/>
            </w:tcBorders>
            <w:vAlign w:val="center"/>
          </w:tcPr>
          <w:p w14:paraId="133E3B0E">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918" w:type="dxa"/>
            <w:tcBorders>
              <w:top w:val="single" w:color="auto" w:sz="4" w:space="0"/>
              <w:left w:val="single" w:color="auto" w:sz="4" w:space="0"/>
              <w:bottom w:val="single" w:color="auto" w:sz="4" w:space="0"/>
              <w:right w:val="single" w:color="auto" w:sz="4" w:space="0"/>
            </w:tcBorders>
            <w:vAlign w:val="center"/>
          </w:tcPr>
          <w:p w14:paraId="6C0ECE97">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1727" w:type="dxa"/>
            <w:tcBorders>
              <w:top w:val="single" w:color="auto" w:sz="4" w:space="0"/>
              <w:left w:val="single" w:color="auto" w:sz="4" w:space="0"/>
              <w:bottom w:val="single" w:color="auto" w:sz="4" w:space="0"/>
              <w:right w:val="single" w:color="auto" w:sz="4" w:space="0"/>
            </w:tcBorders>
            <w:vAlign w:val="center"/>
          </w:tcPr>
          <w:p w14:paraId="53BACDF0">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3539E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4474" w:type="dxa"/>
            <w:tcBorders>
              <w:top w:val="single" w:color="auto" w:sz="4" w:space="0"/>
              <w:left w:val="single" w:color="auto" w:sz="4" w:space="0"/>
              <w:bottom w:val="single" w:color="auto" w:sz="4" w:space="0"/>
              <w:right w:val="single" w:color="auto" w:sz="4" w:space="0"/>
            </w:tcBorders>
            <w:vAlign w:val="center"/>
          </w:tcPr>
          <w:p w14:paraId="50D26CAD">
            <w:pPr>
              <w:keepNext w:val="0"/>
              <w:keepLines w:val="0"/>
              <w:widowControl/>
              <w:suppressLineNumbers w:val="0"/>
              <w:spacing w:before="0" w:beforeAutospacing="0" w:after="0" w:afterAutospacing="0" w:line="360" w:lineRule="atLeast"/>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二、超过一定规模的危险性较大的分部分项工程清单</w:t>
            </w:r>
          </w:p>
        </w:tc>
        <w:tc>
          <w:tcPr>
            <w:tcW w:w="1377" w:type="dxa"/>
            <w:tcBorders>
              <w:top w:val="single" w:color="auto" w:sz="4" w:space="0"/>
              <w:left w:val="single" w:color="auto" w:sz="4" w:space="0"/>
              <w:bottom w:val="single" w:color="auto" w:sz="4" w:space="0"/>
              <w:right w:val="single" w:color="auto" w:sz="4" w:space="0"/>
            </w:tcBorders>
            <w:vAlign w:val="center"/>
          </w:tcPr>
          <w:p w14:paraId="6F155849">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1081" w:type="dxa"/>
            <w:tcBorders>
              <w:top w:val="single" w:color="auto" w:sz="4" w:space="0"/>
              <w:left w:val="single" w:color="auto" w:sz="4" w:space="0"/>
              <w:bottom w:val="single" w:color="auto" w:sz="4" w:space="0"/>
              <w:right w:val="single" w:color="auto" w:sz="4" w:space="0"/>
            </w:tcBorders>
            <w:vAlign w:val="center"/>
          </w:tcPr>
          <w:p w14:paraId="0155C918">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918" w:type="dxa"/>
            <w:tcBorders>
              <w:top w:val="single" w:color="auto" w:sz="4" w:space="0"/>
              <w:left w:val="single" w:color="auto" w:sz="4" w:space="0"/>
              <w:bottom w:val="single" w:color="auto" w:sz="4" w:space="0"/>
              <w:right w:val="single" w:color="auto" w:sz="4" w:space="0"/>
            </w:tcBorders>
            <w:vAlign w:val="center"/>
          </w:tcPr>
          <w:p w14:paraId="1FB4861E">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1727" w:type="dxa"/>
            <w:tcBorders>
              <w:top w:val="single" w:color="auto" w:sz="4" w:space="0"/>
              <w:left w:val="single" w:color="auto" w:sz="4" w:space="0"/>
              <w:bottom w:val="single" w:color="auto" w:sz="4" w:space="0"/>
              <w:right w:val="single" w:color="auto" w:sz="4" w:space="0"/>
            </w:tcBorders>
            <w:vAlign w:val="center"/>
          </w:tcPr>
          <w:p w14:paraId="35655174">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5502A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tcBorders>
              <w:top w:val="single" w:color="auto" w:sz="4" w:space="0"/>
              <w:left w:val="single" w:color="auto" w:sz="4" w:space="0"/>
              <w:bottom w:val="single" w:color="auto" w:sz="4" w:space="0"/>
              <w:right w:val="single" w:color="auto" w:sz="4" w:space="0"/>
            </w:tcBorders>
            <w:vAlign w:val="center"/>
          </w:tcPr>
          <w:p w14:paraId="5847C3C4">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一、深基坑工程</w:t>
            </w:r>
          </w:p>
        </w:tc>
        <w:tc>
          <w:tcPr>
            <w:tcW w:w="1377" w:type="dxa"/>
            <w:tcBorders>
              <w:top w:val="single" w:color="auto" w:sz="4" w:space="0"/>
              <w:left w:val="single" w:color="auto" w:sz="4" w:space="0"/>
              <w:bottom w:val="single" w:color="auto" w:sz="4" w:space="0"/>
              <w:right w:val="single" w:color="auto" w:sz="4" w:space="0"/>
            </w:tcBorders>
            <w:vAlign w:val="center"/>
          </w:tcPr>
          <w:p w14:paraId="0415D7D0">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1081" w:type="dxa"/>
            <w:tcBorders>
              <w:top w:val="single" w:color="auto" w:sz="4" w:space="0"/>
              <w:left w:val="single" w:color="auto" w:sz="4" w:space="0"/>
              <w:bottom w:val="single" w:color="auto" w:sz="4" w:space="0"/>
              <w:right w:val="single" w:color="auto" w:sz="4" w:space="0"/>
            </w:tcBorders>
            <w:vAlign w:val="center"/>
          </w:tcPr>
          <w:p w14:paraId="21E6FF3A">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918" w:type="dxa"/>
            <w:tcBorders>
              <w:top w:val="single" w:color="auto" w:sz="4" w:space="0"/>
              <w:left w:val="single" w:color="auto" w:sz="4" w:space="0"/>
              <w:bottom w:val="single" w:color="auto" w:sz="4" w:space="0"/>
              <w:right w:val="single" w:color="auto" w:sz="4" w:space="0"/>
            </w:tcBorders>
            <w:vAlign w:val="center"/>
          </w:tcPr>
          <w:p w14:paraId="06C00647">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1727" w:type="dxa"/>
            <w:tcBorders>
              <w:top w:val="single" w:color="auto" w:sz="4" w:space="0"/>
              <w:left w:val="single" w:color="auto" w:sz="4" w:space="0"/>
              <w:bottom w:val="single" w:color="auto" w:sz="4" w:space="0"/>
              <w:right w:val="single" w:color="auto" w:sz="4" w:space="0"/>
            </w:tcBorders>
            <w:vAlign w:val="center"/>
          </w:tcPr>
          <w:p w14:paraId="66005E99">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2A24D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474" w:type="dxa"/>
            <w:tcBorders>
              <w:top w:val="single" w:color="auto" w:sz="4" w:space="0"/>
              <w:left w:val="single" w:color="auto" w:sz="4" w:space="0"/>
              <w:bottom w:val="single" w:color="auto" w:sz="4" w:space="0"/>
              <w:right w:val="single" w:color="auto" w:sz="4" w:space="0"/>
            </w:tcBorders>
            <w:vAlign w:val="center"/>
          </w:tcPr>
          <w:p w14:paraId="4DF94C33">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开挖深度超过5m（含5m）的基坑（槽）的土方开挖、支护、降水工程。</w:t>
            </w:r>
          </w:p>
        </w:tc>
        <w:tc>
          <w:tcPr>
            <w:tcW w:w="1377" w:type="dxa"/>
            <w:tcBorders>
              <w:top w:val="single" w:color="auto" w:sz="4" w:space="0"/>
              <w:left w:val="single" w:color="auto" w:sz="4" w:space="0"/>
              <w:bottom w:val="single" w:color="auto" w:sz="4" w:space="0"/>
              <w:right w:val="single" w:color="auto" w:sz="4" w:space="0"/>
            </w:tcBorders>
            <w:vAlign w:val="center"/>
          </w:tcPr>
          <w:p w14:paraId="300BB07E">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auto"/>
                <w:szCs w:val="21"/>
                <w:highlight w:val="none"/>
                <w:u w:val="single"/>
              </w:rPr>
              <w:t xml:space="preserve"> )</w:t>
            </w:r>
          </w:p>
        </w:tc>
        <w:tc>
          <w:tcPr>
            <w:tcW w:w="1081" w:type="dxa"/>
            <w:tcBorders>
              <w:top w:val="single" w:color="auto" w:sz="4" w:space="0"/>
              <w:left w:val="single" w:color="auto" w:sz="4" w:space="0"/>
              <w:bottom w:val="single" w:color="auto" w:sz="4" w:space="0"/>
              <w:right w:val="single" w:color="auto" w:sz="4" w:space="0"/>
            </w:tcBorders>
            <w:vAlign w:val="center"/>
          </w:tcPr>
          <w:p w14:paraId="4D0344BC">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918" w:type="dxa"/>
            <w:tcBorders>
              <w:top w:val="single" w:color="auto" w:sz="4" w:space="0"/>
              <w:left w:val="single" w:color="auto" w:sz="4" w:space="0"/>
              <w:bottom w:val="single" w:color="auto" w:sz="4" w:space="0"/>
              <w:right w:val="single" w:color="auto" w:sz="4" w:space="0"/>
            </w:tcBorders>
            <w:vAlign w:val="center"/>
          </w:tcPr>
          <w:p w14:paraId="556F7E2A">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1727" w:type="dxa"/>
            <w:tcBorders>
              <w:top w:val="single" w:color="auto" w:sz="4" w:space="0"/>
              <w:left w:val="single" w:color="auto" w:sz="4" w:space="0"/>
              <w:bottom w:val="single" w:color="auto" w:sz="4" w:space="0"/>
              <w:right w:val="single" w:color="auto" w:sz="4" w:space="0"/>
            </w:tcBorders>
            <w:vAlign w:val="center"/>
          </w:tcPr>
          <w:p w14:paraId="407EC098">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55A5D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tcBorders>
              <w:top w:val="single" w:color="auto" w:sz="4" w:space="0"/>
              <w:left w:val="single" w:color="auto" w:sz="4" w:space="0"/>
              <w:bottom w:val="single" w:color="auto" w:sz="4" w:space="0"/>
              <w:right w:val="single" w:color="auto" w:sz="4" w:space="0"/>
            </w:tcBorders>
            <w:vAlign w:val="center"/>
          </w:tcPr>
          <w:p w14:paraId="327F36D0">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二、模板工程及支撑体系</w:t>
            </w:r>
          </w:p>
        </w:tc>
        <w:tc>
          <w:tcPr>
            <w:tcW w:w="1377" w:type="dxa"/>
            <w:tcBorders>
              <w:top w:val="single" w:color="auto" w:sz="4" w:space="0"/>
              <w:left w:val="single" w:color="auto" w:sz="4" w:space="0"/>
              <w:bottom w:val="single" w:color="auto" w:sz="4" w:space="0"/>
              <w:right w:val="single" w:color="auto" w:sz="4" w:space="0"/>
            </w:tcBorders>
            <w:vAlign w:val="center"/>
          </w:tcPr>
          <w:p w14:paraId="5820DDF5">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1081" w:type="dxa"/>
            <w:tcBorders>
              <w:top w:val="single" w:color="auto" w:sz="4" w:space="0"/>
              <w:left w:val="single" w:color="auto" w:sz="4" w:space="0"/>
              <w:bottom w:val="single" w:color="auto" w:sz="4" w:space="0"/>
              <w:right w:val="single" w:color="auto" w:sz="4" w:space="0"/>
            </w:tcBorders>
            <w:vAlign w:val="center"/>
          </w:tcPr>
          <w:p w14:paraId="2A49F166">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918" w:type="dxa"/>
            <w:tcBorders>
              <w:top w:val="single" w:color="auto" w:sz="4" w:space="0"/>
              <w:left w:val="single" w:color="auto" w:sz="4" w:space="0"/>
              <w:bottom w:val="single" w:color="auto" w:sz="4" w:space="0"/>
              <w:right w:val="single" w:color="auto" w:sz="4" w:space="0"/>
            </w:tcBorders>
            <w:vAlign w:val="center"/>
          </w:tcPr>
          <w:p w14:paraId="10BE2095">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1727" w:type="dxa"/>
            <w:tcBorders>
              <w:top w:val="single" w:color="auto" w:sz="4" w:space="0"/>
              <w:left w:val="single" w:color="auto" w:sz="4" w:space="0"/>
              <w:bottom w:val="single" w:color="auto" w:sz="4" w:space="0"/>
              <w:right w:val="single" w:color="auto" w:sz="4" w:space="0"/>
            </w:tcBorders>
            <w:vAlign w:val="center"/>
          </w:tcPr>
          <w:p w14:paraId="3F0ACC4A">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0F6A7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474" w:type="dxa"/>
            <w:tcBorders>
              <w:top w:val="single" w:color="auto" w:sz="4" w:space="0"/>
              <w:left w:val="single" w:color="auto" w:sz="4" w:space="0"/>
              <w:bottom w:val="single" w:color="auto" w:sz="4" w:space="0"/>
              <w:right w:val="single" w:color="auto" w:sz="4" w:space="0"/>
            </w:tcBorders>
            <w:vAlign w:val="center"/>
          </w:tcPr>
          <w:p w14:paraId="3BAD619E">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（一）各类工具式模板工程：包括滑模、爬模、飞模、隧道模等工程。</w:t>
            </w:r>
          </w:p>
        </w:tc>
        <w:tc>
          <w:tcPr>
            <w:tcW w:w="1377" w:type="dxa"/>
            <w:tcBorders>
              <w:top w:val="single" w:color="auto" w:sz="4" w:space="0"/>
              <w:left w:val="single" w:color="auto" w:sz="4" w:space="0"/>
              <w:bottom w:val="single" w:color="auto" w:sz="4" w:space="0"/>
              <w:right w:val="single" w:color="auto" w:sz="4" w:space="0"/>
            </w:tcBorders>
            <w:vAlign w:val="center"/>
          </w:tcPr>
          <w:p w14:paraId="1AE3C9CE">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1081" w:type="dxa"/>
            <w:tcBorders>
              <w:top w:val="single" w:color="auto" w:sz="4" w:space="0"/>
              <w:left w:val="single" w:color="auto" w:sz="4" w:space="0"/>
              <w:bottom w:val="single" w:color="auto" w:sz="4" w:space="0"/>
              <w:right w:val="single" w:color="auto" w:sz="4" w:space="0"/>
            </w:tcBorders>
            <w:vAlign w:val="center"/>
          </w:tcPr>
          <w:p w14:paraId="5957C5BC">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918" w:type="dxa"/>
            <w:tcBorders>
              <w:top w:val="single" w:color="auto" w:sz="4" w:space="0"/>
              <w:left w:val="single" w:color="auto" w:sz="4" w:space="0"/>
              <w:bottom w:val="single" w:color="auto" w:sz="4" w:space="0"/>
              <w:right w:val="single" w:color="auto" w:sz="4" w:space="0"/>
            </w:tcBorders>
            <w:vAlign w:val="center"/>
          </w:tcPr>
          <w:p w14:paraId="52ECC7E8">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1727" w:type="dxa"/>
            <w:tcBorders>
              <w:top w:val="single" w:color="auto" w:sz="4" w:space="0"/>
              <w:left w:val="single" w:color="auto" w:sz="4" w:space="0"/>
              <w:bottom w:val="single" w:color="auto" w:sz="4" w:space="0"/>
              <w:right w:val="single" w:color="auto" w:sz="4" w:space="0"/>
            </w:tcBorders>
            <w:vAlign w:val="center"/>
          </w:tcPr>
          <w:p w14:paraId="34FD2D5E">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2D2FA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4474" w:type="dxa"/>
            <w:tcBorders>
              <w:top w:val="single" w:color="auto" w:sz="4" w:space="0"/>
              <w:left w:val="single" w:color="auto" w:sz="4" w:space="0"/>
              <w:bottom w:val="single" w:color="auto" w:sz="4" w:space="0"/>
              <w:right w:val="single" w:color="auto" w:sz="4" w:space="0"/>
            </w:tcBorders>
            <w:vAlign w:val="center"/>
          </w:tcPr>
          <w:p w14:paraId="18AB4318">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（二）混凝土模板支撑工程：搭设高度8m及以上，或搭设跨度18m及以上，或施工总荷载（设计值）15kN/m2及以上，或集中线荷载（设计值）20kN/m及以上。</w:t>
            </w:r>
          </w:p>
        </w:tc>
        <w:tc>
          <w:tcPr>
            <w:tcW w:w="1377" w:type="dxa"/>
            <w:tcBorders>
              <w:top w:val="single" w:color="auto" w:sz="4" w:space="0"/>
              <w:left w:val="single" w:color="auto" w:sz="4" w:space="0"/>
              <w:bottom w:val="single" w:color="auto" w:sz="4" w:space="0"/>
              <w:right w:val="single" w:color="auto" w:sz="4" w:space="0"/>
            </w:tcBorders>
            <w:vAlign w:val="center"/>
          </w:tcPr>
          <w:p w14:paraId="284763C1">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auto"/>
                <w:szCs w:val="21"/>
                <w:highlight w:val="none"/>
                <w:u w:val="single"/>
              </w:rPr>
              <w:t xml:space="preserve"> )</w:t>
            </w:r>
          </w:p>
        </w:tc>
        <w:tc>
          <w:tcPr>
            <w:tcW w:w="1081" w:type="dxa"/>
            <w:tcBorders>
              <w:top w:val="single" w:color="auto" w:sz="4" w:space="0"/>
              <w:left w:val="single" w:color="auto" w:sz="4" w:space="0"/>
              <w:bottom w:val="single" w:color="auto" w:sz="4" w:space="0"/>
              <w:right w:val="single" w:color="auto" w:sz="4" w:space="0"/>
            </w:tcBorders>
            <w:vAlign w:val="center"/>
          </w:tcPr>
          <w:p w14:paraId="05DA5A54">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918" w:type="dxa"/>
            <w:tcBorders>
              <w:top w:val="single" w:color="auto" w:sz="4" w:space="0"/>
              <w:left w:val="single" w:color="auto" w:sz="4" w:space="0"/>
              <w:bottom w:val="single" w:color="auto" w:sz="4" w:space="0"/>
              <w:right w:val="single" w:color="auto" w:sz="4" w:space="0"/>
            </w:tcBorders>
            <w:vAlign w:val="center"/>
          </w:tcPr>
          <w:p w14:paraId="29EAA1C8">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1727" w:type="dxa"/>
            <w:tcBorders>
              <w:top w:val="single" w:color="auto" w:sz="4" w:space="0"/>
              <w:left w:val="single" w:color="auto" w:sz="4" w:space="0"/>
              <w:bottom w:val="single" w:color="auto" w:sz="4" w:space="0"/>
              <w:right w:val="single" w:color="auto" w:sz="4" w:space="0"/>
            </w:tcBorders>
            <w:vAlign w:val="center"/>
          </w:tcPr>
          <w:p w14:paraId="71008299">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437A8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474" w:type="dxa"/>
            <w:tcBorders>
              <w:top w:val="single" w:color="auto" w:sz="4" w:space="0"/>
              <w:left w:val="single" w:color="auto" w:sz="4" w:space="0"/>
              <w:bottom w:val="single" w:color="auto" w:sz="4" w:space="0"/>
              <w:right w:val="single" w:color="auto" w:sz="4" w:space="0"/>
            </w:tcBorders>
            <w:vAlign w:val="center"/>
          </w:tcPr>
          <w:p w14:paraId="2964B8CD">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（三）承重支撑体系：用于钢结构安装等满堂支撑体系，承受单点集中荷载7kN及以上。</w:t>
            </w:r>
          </w:p>
        </w:tc>
        <w:tc>
          <w:tcPr>
            <w:tcW w:w="1377" w:type="dxa"/>
            <w:tcBorders>
              <w:top w:val="single" w:color="auto" w:sz="4" w:space="0"/>
              <w:left w:val="single" w:color="auto" w:sz="4" w:space="0"/>
              <w:bottom w:val="single" w:color="auto" w:sz="4" w:space="0"/>
              <w:right w:val="single" w:color="auto" w:sz="4" w:space="0"/>
            </w:tcBorders>
            <w:vAlign w:val="center"/>
          </w:tcPr>
          <w:p w14:paraId="3834B8D4">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1081" w:type="dxa"/>
            <w:tcBorders>
              <w:top w:val="single" w:color="auto" w:sz="4" w:space="0"/>
              <w:left w:val="single" w:color="auto" w:sz="4" w:space="0"/>
              <w:bottom w:val="single" w:color="auto" w:sz="4" w:space="0"/>
              <w:right w:val="single" w:color="auto" w:sz="4" w:space="0"/>
            </w:tcBorders>
            <w:vAlign w:val="center"/>
          </w:tcPr>
          <w:p w14:paraId="414AB947">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918" w:type="dxa"/>
            <w:tcBorders>
              <w:top w:val="single" w:color="auto" w:sz="4" w:space="0"/>
              <w:left w:val="single" w:color="auto" w:sz="4" w:space="0"/>
              <w:bottom w:val="single" w:color="auto" w:sz="4" w:space="0"/>
              <w:right w:val="single" w:color="auto" w:sz="4" w:space="0"/>
            </w:tcBorders>
            <w:vAlign w:val="center"/>
          </w:tcPr>
          <w:p w14:paraId="1C027DB1">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1727" w:type="dxa"/>
            <w:tcBorders>
              <w:top w:val="single" w:color="auto" w:sz="4" w:space="0"/>
              <w:left w:val="single" w:color="auto" w:sz="4" w:space="0"/>
              <w:bottom w:val="single" w:color="auto" w:sz="4" w:space="0"/>
              <w:right w:val="single" w:color="auto" w:sz="4" w:space="0"/>
            </w:tcBorders>
            <w:vAlign w:val="center"/>
          </w:tcPr>
          <w:p w14:paraId="2E80CB6A">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1D47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tcBorders>
              <w:top w:val="single" w:color="auto" w:sz="4" w:space="0"/>
              <w:left w:val="single" w:color="auto" w:sz="4" w:space="0"/>
              <w:bottom w:val="single" w:color="auto" w:sz="4" w:space="0"/>
              <w:right w:val="single" w:color="auto" w:sz="4" w:space="0"/>
            </w:tcBorders>
            <w:vAlign w:val="center"/>
          </w:tcPr>
          <w:p w14:paraId="3FE7301A">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三、起重吊装及起重机械安装拆卸工程</w:t>
            </w:r>
          </w:p>
        </w:tc>
        <w:tc>
          <w:tcPr>
            <w:tcW w:w="1377" w:type="dxa"/>
            <w:tcBorders>
              <w:top w:val="single" w:color="auto" w:sz="4" w:space="0"/>
              <w:left w:val="single" w:color="auto" w:sz="4" w:space="0"/>
              <w:bottom w:val="single" w:color="auto" w:sz="4" w:space="0"/>
              <w:right w:val="single" w:color="auto" w:sz="4" w:space="0"/>
            </w:tcBorders>
            <w:vAlign w:val="center"/>
          </w:tcPr>
          <w:p w14:paraId="6A54C005">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1081" w:type="dxa"/>
            <w:tcBorders>
              <w:top w:val="single" w:color="auto" w:sz="4" w:space="0"/>
              <w:left w:val="single" w:color="auto" w:sz="4" w:space="0"/>
              <w:bottom w:val="single" w:color="auto" w:sz="4" w:space="0"/>
              <w:right w:val="single" w:color="auto" w:sz="4" w:space="0"/>
            </w:tcBorders>
            <w:vAlign w:val="center"/>
          </w:tcPr>
          <w:p w14:paraId="1E4AEF71">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918" w:type="dxa"/>
            <w:tcBorders>
              <w:top w:val="single" w:color="auto" w:sz="4" w:space="0"/>
              <w:left w:val="single" w:color="auto" w:sz="4" w:space="0"/>
              <w:bottom w:val="single" w:color="auto" w:sz="4" w:space="0"/>
              <w:right w:val="single" w:color="auto" w:sz="4" w:space="0"/>
            </w:tcBorders>
            <w:vAlign w:val="center"/>
          </w:tcPr>
          <w:p w14:paraId="39025781">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1727" w:type="dxa"/>
            <w:tcBorders>
              <w:top w:val="single" w:color="auto" w:sz="4" w:space="0"/>
              <w:left w:val="single" w:color="auto" w:sz="4" w:space="0"/>
              <w:bottom w:val="single" w:color="auto" w:sz="4" w:space="0"/>
              <w:right w:val="single" w:color="auto" w:sz="4" w:space="0"/>
            </w:tcBorders>
            <w:vAlign w:val="center"/>
          </w:tcPr>
          <w:p w14:paraId="1D04C571">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1F33A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474" w:type="dxa"/>
            <w:tcBorders>
              <w:top w:val="single" w:color="auto" w:sz="4" w:space="0"/>
              <w:left w:val="single" w:color="auto" w:sz="4" w:space="0"/>
              <w:bottom w:val="single" w:color="auto" w:sz="4" w:space="0"/>
              <w:right w:val="single" w:color="auto" w:sz="4" w:space="0"/>
            </w:tcBorders>
            <w:vAlign w:val="center"/>
          </w:tcPr>
          <w:p w14:paraId="7B42E92B">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（一）采用非常规起重设备、方法，且单件起吊重量在100kN及以上的起重吊装工程。</w:t>
            </w:r>
          </w:p>
        </w:tc>
        <w:tc>
          <w:tcPr>
            <w:tcW w:w="1377" w:type="dxa"/>
            <w:tcBorders>
              <w:top w:val="single" w:color="auto" w:sz="4" w:space="0"/>
              <w:left w:val="single" w:color="auto" w:sz="4" w:space="0"/>
              <w:bottom w:val="single" w:color="auto" w:sz="4" w:space="0"/>
              <w:right w:val="single" w:color="auto" w:sz="4" w:space="0"/>
            </w:tcBorders>
            <w:vAlign w:val="center"/>
          </w:tcPr>
          <w:p w14:paraId="4E6D221F">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1081" w:type="dxa"/>
            <w:tcBorders>
              <w:top w:val="single" w:color="auto" w:sz="4" w:space="0"/>
              <w:left w:val="single" w:color="auto" w:sz="4" w:space="0"/>
              <w:bottom w:val="single" w:color="auto" w:sz="4" w:space="0"/>
              <w:right w:val="single" w:color="auto" w:sz="4" w:space="0"/>
            </w:tcBorders>
            <w:vAlign w:val="center"/>
          </w:tcPr>
          <w:p w14:paraId="2988B1A0">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918" w:type="dxa"/>
            <w:tcBorders>
              <w:top w:val="single" w:color="auto" w:sz="4" w:space="0"/>
              <w:left w:val="single" w:color="auto" w:sz="4" w:space="0"/>
              <w:bottom w:val="single" w:color="auto" w:sz="4" w:space="0"/>
              <w:right w:val="single" w:color="auto" w:sz="4" w:space="0"/>
            </w:tcBorders>
            <w:vAlign w:val="center"/>
          </w:tcPr>
          <w:p w14:paraId="31D24EFF">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1727" w:type="dxa"/>
            <w:tcBorders>
              <w:top w:val="single" w:color="auto" w:sz="4" w:space="0"/>
              <w:left w:val="single" w:color="auto" w:sz="4" w:space="0"/>
              <w:bottom w:val="single" w:color="auto" w:sz="4" w:space="0"/>
              <w:right w:val="single" w:color="auto" w:sz="4" w:space="0"/>
            </w:tcBorders>
            <w:vAlign w:val="center"/>
          </w:tcPr>
          <w:p w14:paraId="46DAD2AD">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6D29A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4474" w:type="dxa"/>
            <w:tcBorders>
              <w:top w:val="single" w:color="auto" w:sz="4" w:space="0"/>
              <w:left w:val="single" w:color="auto" w:sz="4" w:space="0"/>
              <w:bottom w:val="single" w:color="auto" w:sz="4" w:space="0"/>
              <w:right w:val="single" w:color="auto" w:sz="4" w:space="0"/>
            </w:tcBorders>
            <w:vAlign w:val="center"/>
          </w:tcPr>
          <w:p w14:paraId="0E958B30">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（二）起重量300kN及以上，或搭设总高度200m及以上，或搭设基础标高在200m及以上的起重机械安装和拆卸工程。</w:t>
            </w:r>
          </w:p>
        </w:tc>
        <w:tc>
          <w:tcPr>
            <w:tcW w:w="1377" w:type="dxa"/>
            <w:tcBorders>
              <w:top w:val="single" w:color="auto" w:sz="4" w:space="0"/>
              <w:left w:val="single" w:color="auto" w:sz="4" w:space="0"/>
              <w:bottom w:val="single" w:color="auto" w:sz="4" w:space="0"/>
              <w:right w:val="single" w:color="auto" w:sz="4" w:space="0"/>
            </w:tcBorders>
            <w:vAlign w:val="center"/>
          </w:tcPr>
          <w:p w14:paraId="448E71FD">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1081" w:type="dxa"/>
            <w:tcBorders>
              <w:top w:val="single" w:color="auto" w:sz="4" w:space="0"/>
              <w:left w:val="single" w:color="auto" w:sz="4" w:space="0"/>
              <w:bottom w:val="single" w:color="auto" w:sz="4" w:space="0"/>
              <w:right w:val="single" w:color="auto" w:sz="4" w:space="0"/>
            </w:tcBorders>
            <w:vAlign w:val="center"/>
          </w:tcPr>
          <w:p w14:paraId="394EB991">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918" w:type="dxa"/>
            <w:tcBorders>
              <w:top w:val="single" w:color="auto" w:sz="4" w:space="0"/>
              <w:left w:val="single" w:color="auto" w:sz="4" w:space="0"/>
              <w:bottom w:val="single" w:color="auto" w:sz="4" w:space="0"/>
              <w:right w:val="single" w:color="auto" w:sz="4" w:space="0"/>
            </w:tcBorders>
            <w:vAlign w:val="center"/>
          </w:tcPr>
          <w:p w14:paraId="1339C79A">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1727" w:type="dxa"/>
            <w:tcBorders>
              <w:top w:val="single" w:color="auto" w:sz="4" w:space="0"/>
              <w:left w:val="single" w:color="auto" w:sz="4" w:space="0"/>
              <w:bottom w:val="single" w:color="auto" w:sz="4" w:space="0"/>
              <w:right w:val="single" w:color="auto" w:sz="4" w:space="0"/>
            </w:tcBorders>
            <w:vAlign w:val="center"/>
          </w:tcPr>
          <w:p w14:paraId="343A2F99">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0135D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tcBorders>
              <w:top w:val="single" w:color="auto" w:sz="4" w:space="0"/>
              <w:left w:val="single" w:color="auto" w:sz="4" w:space="0"/>
              <w:bottom w:val="single" w:color="auto" w:sz="4" w:space="0"/>
              <w:right w:val="single" w:color="auto" w:sz="4" w:space="0"/>
            </w:tcBorders>
            <w:vAlign w:val="center"/>
          </w:tcPr>
          <w:p w14:paraId="67660440">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四、脚手架工程</w:t>
            </w:r>
          </w:p>
        </w:tc>
        <w:tc>
          <w:tcPr>
            <w:tcW w:w="1377" w:type="dxa"/>
            <w:tcBorders>
              <w:top w:val="single" w:color="auto" w:sz="4" w:space="0"/>
              <w:left w:val="single" w:color="auto" w:sz="4" w:space="0"/>
              <w:bottom w:val="single" w:color="auto" w:sz="4" w:space="0"/>
              <w:right w:val="single" w:color="auto" w:sz="4" w:space="0"/>
            </w:tcBorders>
            <w:vAlign w:val="center"/>
          </w:tcPr>
          <w:p w14:paraId="0D610AD5">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1081" w:type="dxa"/>
            <w:tcBorders>
              <w:top w:val="single" w:color="auto" w:sz="4" w:space="0"/>
              <w:left w:val="single" w:color="auto" w:sz="4" w:space="0"/>
              <w:bottom w:val="single" w:color="auto" w:sz="4" w:space="0"/>
              <w:right w:val="single" w:color="auto" w:sz="4" w:space="0"/>
            </w:tcBorders>
            <w:vAlign w:val="center"/>
          </w:tcPr>
          <w:p w14:paraId="22A4D887">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918" w:type="dxa"/>
            <w:tcBorders>
              <w:top w:val="single" w:color="auto" w:sz="4" w:space="0"/>
              <w:left w:val="single" w:color="auto" w:sz="4" w:space="0"/>
              <w:bottom w:val="single" w:color="auto" w:sz="4" w:space="0"/>
              <w:right w:val="single" w:color="auto" w:sz="4" w:space="0"/>
            </w:tcBorders>
            <w:vAlign w:val="center"/>
          </w:tcPr>
          <w:p w14:paraId="736FDB9F">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1727" w:type="dxa"/>
            <w:tcBorders>
              <w:top w:val="single" w:color="auto" w:sz="4" w:space="0"/>
              <w:left w:val="single" w:color="auto" w:sz="4" w:space="0"/>
              <w:bottom w:val="single" w:color="auto" w:sz="4" w:space="0"/>
              <w:right w:val="single" w:color="auto" w:sz="4" w:space="0"/>
            </w:tcBorders>
            <w:vAlign w:val="center"/>
          </w:tcPr>
          <w:p w14:paraId="5F70F371">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0C570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474" w:type="dxa"/>
            <w:tcBorders>
              <w:top w:val="single" w:color="auto" w:sz="4" w:space="0"/>
              <w:left w:val="single" w:color="auto" w:sz="4" w:space="0"/>
              <w:bottom w:val="single" w:color="auto" w:sz="4" w:space="0"/>
              <w:right w:val="single" w:color="auto" w:sz="4" w:space="0"/>
            </w:tcBorders>
            <w:vAlign w:val="center"/>
          </w:tcPr>
          <w:p w14:paraId="082D6A51">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（一）搭设高度50m及以上的落地式钢管脚手架工程。</w:t>
            </w:r>
          </w:p>
        </w:tc>
        <w:tc>
          <w:tcPr>
            <w:tcW w:w="1377" w:type="dxa"/>
            <w:tcBorders>
              <w:top w:val="single" w:color="auto" w:sz="4" w:space="0"/>
              <w:left w:val="single" w:color="auto" w:sz="4" w:space="0"/>
              <w:bottom w:val="single" w:color="auto" w:sz="4" w:space="0"/>
              <w:right w:val="single" w:color="auto" w:sz="4" w:space="0"/>
            </w:tcBorders>
            <w:vAlign w:val="center"/>
          </w:tcPr>
          <w:p w14:paraId="16F2D23B">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auto"/>
                <w:szCs w:val="21"/>
                <w:highlight w:val="none"/>
                <w:u w:val="single"/>
              </w:rPr>
              <w:t>)</w:t>
            </w:r>
          </w:p>
        </w:tc>
        <w:tc>
          <w:tcPr>
            <w:tcW w:w="1081" w:type="dxa"/>
            <w:tcBorders>
              <w:top w:val="single" w:color="auto" w:sz="4" w:space="0"/>
              <w:left w:val="single" w:color="auto" w:sz="4" w:space="0"/>
              <w:bottom w:val="single" w:color="auto" w:sz="4" w:space="0"/>
              <w:right w:val="single" w:color="auto" w:sz="4" w:space="0"/>
            </w:tcBorders>
            <w:vAlign w:val="center"/>
          </w:tcPr>
          <w:p w14:paraId="64F6DA1E">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918" w:type="dxa"/>
            <w:tcBorders>
              <w:top w:val="single" w:color="auto" w:sz="4" w:space="0"/>
              <w:left w:val="single" w:color="auto" w:sz="4" w:space="0"/>
              <w:bottom w:val="single" w:color="auto" w:sz="4" w:space="0"/>
              <w:right w:val="single" w:color="auto" w:sz="4" w:space="0"/>
            </w:tcBorders>
            <w:vAlign w:val="center"/>
          </w:tcPr>
          <w:p w14:paraId="5E680C6B">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1727" w:type="dxa"/>
            <w:tcBorders>
              <w:top w:val="single" w:color="auto" w:sz="4" w:space="0"/>
              <w:left w:val="single" w:color="auto" w:sz="4" w:space="0"/>
              <w:bottom w:val="single" w:color="auto" w:sz="4" w:space="0"/>
              <w:right w:val="single" w:color="auto" w:sz="4" w:space="0"/>
            </w:tcBorders>
            <w:vAlign w:val="center"/>
          </w:tcPr>
          <w:p w14:paraId="0E20F5F3">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63E2F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474" w:type="dxa"/>
            <w:tcBorders>
              <w:top w:val="single" w:color="auto" w:sz="4" w:space="0"/>
              <w:left w:val="single" w:color="auto" w:sz="4" w:space="0"/>
              <w:bottom w:val="single" w:color="auto" w:sz="4" w:space="0"/>
              <w:right w:val="single" w:color="auto" w:sz="4" w:space="0"/>
            </w:tcBorders>
            <w:vAlign w:val="center"/>
          </w:tcPr>
          <w:p w14:paraId="28C19B43">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（二）提升高度在150m及以上的附着式升降脚手架工程或附着式升降操作平台工程。</w:t>
            </w:r>
          </w:p>
        </w:tc>
        <w:tc>
          <w:tcPr>
            <w:tcW w:w="1377" w:type="dxa"/>
            <w:tcBorders>
              <w:top w:val="single" w:color="auto" w:sz="4" w:space="0"/>
              <w:left w:val="single" w:color="auto" w:sz="4" w:space="0"/>
              <w:bottom w:val="single" w:color="auto" w:sz="4" w:space="0"/>
              <w:right w:val="single" w:color="auto" w:sz="4" w:space="0"/>
            </w:tcBorders>
            <w:vAlign w:val="center"/>
          </w:tcPr>
          <w:p w14:paraId="6C285DF7">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1081" w:type="dxa"/>
            <w:tcBorders>
              <w:top w:val="single" w:color="auto" w:sz="4" w:space="0"/>
              <w:left w:val="single" w:color="auto" w:sz="4" w:space="0"/>
              <w:bottom w:val="single" w:color="auto" w:sz="4" w:space="0"/>
              <w:right w:val="single" w:color="auto" w:sz="4" w:space="0"/>
            </w:tcBorders>
            <w:vAlign w:val="center"/>
          </w:tcPr>
          <w:p w14:paraId="12B8DDED">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918" w:type="dxa"/>
            <w:tcBorders>
              <w:top w:val="single" w:color="auto" w:sz="4" w:space="0"/>
              <w:left w:val="single" w:color="auto" w:sz="4" w:space="0"/>
              <w:bottom w:val="single" w:color="auto" w:sz="4" w:space="0"/>
              <w:right w:val="single" w:color="auto" w:sz="4" w:space="0"/>
            </w:tcBorders>
            <w:vAlign w:val="center"/>
          </w:tcPr>
          <w:p w14:paraId="48AD6806">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1727" w:type="dxa"/>
            <w:tcBorders>
              <w:top w:val="single" w:color="auto" w:sz="4" w:space="0"/>
              <w:left w:val="single" w:color="auto" w:sz="4" w:space="0"/>
              <w:bottom w:val="single" w:color="auto" w:sz="4" w:space="0"/>
              <w:right w:val="single" w:color="auto" w:sz="4" w:space="0"/>
            </w:tcBorders>
            <w:vAlign w:val="center"/>
          </w:tcPr>
          <w:p w14:paraId="1E966BAC">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1074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474" w:type="dxa"/>
            <w:tcBorders>
              <w:top w:val="single" w:color="auto" w:sz="4" w:space="0"/>
              <w:left w:val="single" w:color="auto" w:sz="4" w:space="0"/>
              <w:bottom w:val="single" w:color="auto" w:sz="4" w:space="0"/>
              <w:right w:val="single" w:color="auto" w:sz="4" w:space="0"/>
            </w:tcBorders>
            <w:vAlign w:val="center"/>
          </w:tcPr>
          <w:p w14:paraId="1A7B840C">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（三）分段架体搭设高度20m及以上的悬挑式脚手架工程。</w:t>
            </w:r>
          </w:p>
        </w:tc>
        <w:tc>
          <w:tcPr>
            <w:tcW w:w="1377" w:type="dxa"/>
            <w:tcBorders>
              <w:top w:val="single" w:color="auto" w:sz="4" w:space="0"/>
              <w:left w:val="single" w:color="auto" w:sz="4" w:space="0"/>
              <w:bottom w:val="single" w:color="auto" w:sz="4" w:space="0"/>
              <w:right w:val="single" w:color="auto" w:sz="4" w:space="0"/>
            </w:tcBorders>
            <w:vAlign w:val="center"/>
          </w:tcPr>
          <w:p w14:paraId="56AB3BB9">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1081" w:type="dxa"/>
            <w:tcBorders>
              <w:top w:val="single" w:color="auto" w:sz="4" w:space="0"/>
              <w:left w:val="single" w:color="auto" w:sz="4" w:space="0"/>
              <w:bottom w:val="single" w:color="auto" w:sz="4" w:space="0"/>
              <w:right w:val="single" w:color="auto" w:sz="4" w:space="0"/>
            </w:tcBorders>
            <w:vAlign w:val="center"/>
          </w:tcPr>
          <w:p w14:paraId="6CD7ECC3">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918" w:type="dxa"/>
            <w:tcBorders>
              <w:top w:val="single" w:color="auto" w:sz="4" w:space="0"/>
              <w:left w:val="single" w:color="auto" w:sz="4" w:space="0"/>
              <w:bottom w:val="single" w:color="auto" w:sz="4" w:space="0"/>
              <w:right w:val="single" w:color="auto" w:sz="4" w:space="0"/>
            </w:tcBorders>
            <w:vAlign w:val="center"/>
          </w:tcPr>
          <w:p w14:paraId="5E0B73AE">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1727" w:type="dxa"/>
            <w:tcBorders>
              <w:top w:val="single" w:color="auto" w:sz="4" w:space="0"/>
              <w:left w:val="single" w:color="auto" w:sz="4" w:space="0"/>
              <w:bottom w:val="single" w:color="auto" w:sz="4" w:space="0"/>
              <w:right w:val="single" w:color="auto" w:sz="4" w:space="0"/>
            </w:tcBorders>
            <w:vAlign w:val="center"/>
          </w:tcPr>
          <w:p w14:paraId="0B79DA9B">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15E22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tcBorders>
              <w:top w:val="single" w:color="auto" w:sz="4" w:space="0"/>
              <w:left w:val="single" w:color="auto" w:sz="4" w:space="0"/>
              <w:bottom w:val="single" w:color="auto" w:sz="4" w:space="0"/>
              <w:right w:val="single" w:color="auto" w:sz="4" w:space="0"/>
            </w:tcBorders>
            <w:vAlign w:val="center"/>
          </w:tcPr>
          <w:p w14:paraId="5AA20616">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五、拆除工程</w:t>
            </w:r>
          </w:p>
        </w:tc>
        <w:tc>
          <w:tcPr>
            <w:tcW w:w="1377" w:type="dxa"/>
            <w:tcBorders>
              <w:top w:val="single" w:color="auto" w:sz="4" w:space="0"/>
              <w:left w:val="single" w:color="auto" w:sz="4" w:space="0"/>
              <w:bottom w:val="single" w:color="auto" w:sz="4" w:space="0"/>
              <w:right w:val="single" w:color="auto" w:sz="4" w:space="0"/>
            </w:tcBorders>
            <w:vAlign w:val="center"/>
          </w:tcPr>
          <w:p w14:paraId="4FE4BA35">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1081" w:type="dxa"/>
            <w:tcBorders>
              <w:top w:val="single" w:color="auto" w:sz="4" w:space="0"/>
              <w:left w:val="single" w:color="auto" w:sz="4" w:space="0"/>
              <w:bottom w:val="single" w:color="auto" w:sz="4" w:space="0"/>
              <w:right w:val="single" w:color="auto" w:sz="4" w:space="0"/>
            </w:tcBorders>
            <w:vAlign w:val="center"/>
          </w:tcPr>
          <w:p w14:paraId="50656A06">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918" w:type="dxa"/>
            <w:tcBorders>
              <w:top w:val="single" w:color="auto" w:sz="4" w:space="0"/>
              <w:left w:val="single" w:color="auto" w:sz="4" w:space="0"/>
              <w:bottom w:val="single" w:color="auto" w:sz="4" w:space="0"/>
              <w:right w:val="single" w:color="auto" w:sz="4" w:space="0"/>
            </w:tcBorders>
            <w:vAlign w:val="center"/>
          </w:tcPr>
          <w:p w14:paraId="7C5E3603">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1727" w:type="dxa"/>
            <w:tcBorders>
              <w:top w:val="single" w:color="auto" w:sz="4" w:space="0"/>
              <w:left w:val="single" w:color="auto" w:sz="4" w:space="0"/>
              <w:bottom w:val="single" w:color="auto" w:sz="4" w:space="0"/>
              <w:right w:val="single" w:color="auto" w:sz="4" w:space="0"/>
            </w:tcBorders>
            <w:vAlign w:val="center"/>
          </w:tcPr>
          <w:p w14:paraId="554A788F">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18293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4474" w:type="dxa"/>
            <w:tcBorders>
              <w:top w:val="single" w:color="auto" w:sz="4" w:space="0"/>
              <w:left w:val="single" w:color="auto" w:sz="4" w:space="0"/>
              <w:bottom w:val="single" w:color="auto" w:sz="4" w:space="0"/>
              <w:right w:val="single" w:color="auto" w:sz="4" w:space="0"/>
            </w:tcBorders>
            <w:vAlign w:val="center"/>
          </w:tcPr>
          <w:p w14:paraId="74A77A8B">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（一）码头、桥梁、高架、烟囱、水塔或拆除中容易引起有毒有害气（液）体或粉尘扩散、易燃易爆事故发生的特殊建、构筑物的拆除工程。</w:t>
            </w:r>
          </w:p>
        </w:tc>
        <w:tc>
          <w:tcPr>
            <w:tcW w:w="1377" w:type="dxa"/>
            <w:tcBorders>
              <w:top w:val="single" w:color="auto" w:sz="4" w:space="0"/>
              <w:left w:val="single" w:color="auto" w:sz="4" w:space="0"/>
              <w:bottom w:val="single" w:color="auto" w:sz="4" w:space="0"/>
              <w:right w:val="single" w:color="auto" w:sz="4" w:space="0"/>
            </w:tcBorders>
            <w:vAlign w:val="center"/>
          </w:tcPr>
          <w:p w14:paraId="35F9EC0B">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1081" w:type="dxa"/>
            <w:tcBorders>
              <w:top w:val="single" w:color="auto" w:sz="4" w:space="0"/>
              <w:left w:val="single" w:color="auto" w:sz="4" w:space="0"/>
              <w:bottom w:val="single" w:color="auto" w:sz="4" w:space="0"/>
              <w:right w:val="single" w:color="auto" w:sz="4" w:space="0"/>
            </w:tcBorders>
            <w:vAlign w:val="center"/>
          </w:tcPr>
          <w:p w14:paraId="41145187">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918" w:type="dxa"/>
            <w:tcBorders>
              <w:top w:val="single" w:color="auto" w:sz="4" w:space="0"/>
              <w:left w:val="single" w:color="auto" w:sz="4" w:space="0"/>
              <w:bottom w:val="single" w:color="auto" w:sz="4" w:space="0"/>
              <w:right w:val="single" w:color="auto" w:sz="4" w:space="0"/>
            </w:tcBorders>
            <w:vAlign w:val="center"/>
          </w:tcPr>
          <w:p w14:paraId="10080148">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1727" w:type="dxa"/>
            <w:tcBorders>
              <w:top w:val="single" w:color="auto" w:sz="4" w:space="0"/>
              <w:left w:val="single" w:color="auto" w:sz="4" w:space="0"/>
              <w:bottom w:val="single" w:color="auto" w:sz="4" w:space="0"/>
              <w:right w:val="single" w:color="auto" w:sz="4" w:space="0"/>
            </w:tcBorders>
            <w:vAlign w:val="center"/>
          </w:tcPr>
          <w:p w14:paraId="639B9582">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230BA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474" w:type="dxa"/>
            <w:tcBorders>
              <w:top w:val="single" w:color="auto" w:sz="4" w:space="0"/>
              <w:left w:val="single" w:color="auto" w:sz="4" w:space="0"/>
              <w:bottom w:val="single" w:color="auto" w:sz="4" w:space="0"/>
              <w:right w:val="single" w:color="auto" w:sz="4" w:space="0"/>
            </w:tcBorders>
            <w:vAlign w:val="center"/>
          </w:tcPr>
          <w:p w14:paraId="7BDCFE0B">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（二）文物保护建筑、优秀历史建筑或历史文化风貌区影响范围内的拆除工程。</w:t>
            </w:r>
          </w:p>
        </w:tc>
        <w:tc>
          <w:tcPr>
            <w:tcW w:w="1377" w:type="dxa"/>
            <w:tcBorders>
              <w:top w:val="single" w:color="auto" w:sz="4" w:space="0"/>
              <w:left w:val="single" w:color="auto" w:sz="4" w:space="0"/>
              <w:bottom w:val="single" w:color="auto" w:sz="4" w:space="0"/>
              <w:right w:val="single" w:color="auto" w:sz="4" w:space="0"/>
            </w:tcBorders>
            <w:vAlign w:val="center"/>
          </w:tcPr>
          <w:p w14:paraId="6C3B21DA">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1081" w:type="dxa"/>
            <w:tcBorders>
              <w:top w:val="single" w:color="auto" w:sz="4" w:space="0"/>
              <w:left w:val="single" w:color="auto" w:sz="4" w:space="0"/>
              <w:bottom w:val="single" w:color="auto" w:sz="4" w:space="0"/>
              <w:right w:val="single" w:color="auto" w:sz="4" w:space="0"/>
            </w:tcBorders>
            <w:vAlign w:val="center"/>
          </w:tcPr>
          <w:p w14:paraId="040975FE">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918" w:type="dxa"/>
            <w:tcBorders>
              <w:top w:val="single" w:color="auto" w:sz="4" w:space="0"/>
              <w:left w:val="single" w:color="auto" w:sz="4" w:space="0"/>
              <w:bottom w:val="single" w:color="auto" w:sz="4" w:space="0"/>
              <w:right w:val="single" w:color="auto" w:sz="4" w:space="0"/>
            </w:tcBorders>
            <w:vAlign w:val="center"/>
          </w:tcPr>
          <w:p w14:paraId="21625FA0">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1727" w:type="dxa"/>
            <w:tcBorders>
              <w:top w:val="single" w:color="auto" w:sz="4" w:space="0"/>
              <w:left w:val="single" w:color="auto" w:sz="4" w:space="0"/>
              <w:bottom w:val="single" w:color="auto" w:sz="4" w:space="0"/>
              <w:right w:val="single" w:color="auto" w:sz="4" w:space="0"/>
            </w:tcBorders>
            <w:vAlign w:val="center"/>
          </w:tcPr>
          <w:p w14:paraId="212DE80D">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2C0E0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tcBorders>
              <w:top w:val="single" w:color="auto" w:sz="4" w:space="0"/>
              <w:left w:val="single" w:color="auto" w:sz="4" w:space="0"/>
              <w:bottom w:val="single" w:color="auto" w:sz="4" w:space="0"/>
              <w:right w:val="single" w:color="auto" w:sz="4" w:space="0"/>
            </w:tcBorders>
            <w:vAlign w:val="center"/>
          </w:tcPr>
          <w:p w14:paraId="7F1EBBD0">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六、暗挖工程</w:t>
            </w:r>
          </w:p>
        </w:tc>
        <w:tc>
          <w:tcPr>
            <w:tcW w:w="1377" w:type="dxa"/>
            <w:tcBorders>
              <w:top w:val="single" w:color="auto" w:sz="4" w:space="0"/>
              <w:left w:val="single" w:color="auto" w:sz="4" w:space="0"/>
              <w:bottom w:val="single" w:color="auto" w:sz="4" w:space="0"/>
              <w:right w:val="single" w:color="auto" w:sz="4" w:space="0"/>
            </w:tcBorders>
            <w:vAlign w:val="center"/>
          </w:tcPr>
          <w:p w14:paraId="4E6AA399">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1081" w:type="dxa"/>
            <w:tcBorders>
              <w:top w:val="single" w:color="auto" w:sz="4" w:space="0"/>
              <w:left w:val="single" w:color="auto" w:sz="4" w:space="0"/>
              <w:bottom w:val="single" w:color="auto" w:sz="4" w:space="0"/>
              <w:right w:val="single" w:color="auto" w:sz="4" w:space="0"/>
            </w:tcBorders>
            <w:vAlign w:val="center"/>
          </w:tcPr>
          <w:p w14:paraId="1B0F8C25">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918" w:type="dxa"/>
            <w:tcBorders>
              <w:top w:val="single" w:color="auto" w:sz="4" w:space="0"/>
              <w:left w:val="single" w:color="auto" w:sz="4" w:space="0"/>
              <w:bottom w:val="single" w:color="auto" w:sz="4" w:space="0"/>
              <w:right w:val="single" w:color="auto" w:sz="4" w:space="0"/>
            </w:tcBorders>
            <w:vAlign w:val="center"/>
          </w:tcPr>
          <w:p w14:paraId="2EE562A7">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1727" w:type="dxa"/>
            <w:tcBorders>
              <w:top w:val="single" w:color="auto" w:sz="4" w:space="0"/>
              <w:left w:val="single" w:color="auto" w:sz="4" w:space="0"/>
              <w:bottom w:val="single" w:color="auto" w:sz="4" w:space="0"/>
              <w:right w:val="single" w:color="auto" w:sz="4" w:space="0"/>
            </w:tcBorders>
            <w:vAlign w:val="center"/>
          </w:tcPr>
          <w:p w14:paraId="7E4DAAEC">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39FD5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474" w:type="dxa"/>
            <w:tcBorders>
              <w:top w:val="single" w:color="auto" w:sz="4" w:space="0"/>
              <w:left w:val="single" w:color="auto" w:sz="4" w:space="0"/>
              <w:bottom w:val="single" w:color="auto" w:sz="4" w:space="0"/>
              <w:right w:val="single" w:color="auto" w:sz="4" w:space="0"/>
            </w:tcBorders>
            <w:vAlign w:val="center"/>
          </w:tcPr>
          <w:p w14:paraId="1235C60A">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采用矿山法、盾构法、顶管法施工的隧道、洞室工程。</w:t>
            </w:r>
          </w:p>
        </w:tc>
        <w:tc>
          <w:tcPr>
            <w:tcW w:w="1377" w:type="dxa"/>
            <w:tcBorders>
              <w:top w:val="single" w:color="auto" w:sz="4" w:space="0"/>
              <w:left w:val="single" w:color="auto" w:sz="4" w:space="0"/>
              <w:bottom w:val="single" w:color="auto" w:sz="4" w:space="0"/>
              <w:right w:val="single" w:color="auto" w:sz="4" w:space="0"/>
            </w:tcBorders>
            <w:vAlign w:val="center"/>
          </w:tcPr>
          <w:p w14:paraId="494449DD">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1081" w:type="dxa"/>
            <w:tcBorders>
              <w:top w:val="single" w:color="auto" w:sz="4" w:space="0"/>
              <w:left w:val="single" w:color="auto" w:sz="4" w:space="0"/>
              <w:bottom w:val="single" w:color="auto" w:sz="4" w:space="0"/>
              <w:right w:val="single" w:color="auto" w:sz="4" w:space="0"/>
            </w:tcBorders>
            <w:vAlign w:val="center"/>
          </w:tcPr>
          <w:p w14:paraId="6B80E639">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918" w:type="dxa"/>
            <w:tcBorders>
              <w:top w:val="single" w:color="auto" w:sz="4" w:space="0"/>
              <w:left w:val="single" w:color="auto" w:sz="4" w:space="0"/>
              <w:bottom w:val="single" w:color="auto" w:sz="4" w:space="0"/>
              <w:right w:val="single" w:color="auto" w:sz="4" w:space="0"/>
            </w:tcBorders>
            <w:vAlign w:val="center"/>
          </w:tcPr>
          <w:p w14:paraId="2138FB0D">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1727" w:type="dxa"/>
            <w:tcBorders>
              <w:top w:val="single" w:color="auto" w:sz="4" w:space="0"/>
              <w:left w:val="single" w:color="auto" w:sz="4" w:space="0"/>
              <w:bottom w:val="single" w:color="auto" w:sz="4" w:space="0"/>
              <w:right w:val="single" w:color="auto" w:sz="4" w:space="0"/>
            </w:tcBorders>
            <w:vAlign w:val="center"/>
          </w:tcPr>
          <w:p w14:paraId="73AF94E8">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4A19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tcBorders>
              <w:top w:val="single" w:color="auto" w:sz="4" w:space="0"/>
              <w:left w:val="single" w:color="auto" w:sz="4" w:space="0"/>
              <w:bottom w:val="single" w:color="auto" w:sz="4" w:space="0"/>
              <w:right w:val="single" w:color="auto" w:sz="4" w:space="0"/>
            </w:tcBorders>
            <w:vAlign w:val="center"/>
          </w:tcPr>
          <w:p w14:paraId="0C338411">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七、其它</w:t>
            </w:r>
          </w:p>
        </w:tc>
        <w:tc>
          <w:tcPr>
            <w:tcW w:w="1377" w:type="dxa"/>
            <w:tcBorders>
              <w:top w:val="single" w:color="auto" w:sz="4" w:space="0"/>
              <w:left w:val="single" w:color="auto" w:sz="4" w:space="0"/>
              <w:bottom w:val="single" w:color="auto" w:sz="4" w:space="0"/>
              <w:right w:val="single" w:color="auto" w:sz="4" w:space="0"/>
            </w:tcBorders>
            <w:vAlign w:val="center"/>
          </w:tcPr>
          <w:p w14:paraId="245B9DEF">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1081" w:type="dxa"/>
            <w:tcBorders>
              <w:top w:val="single" w:color="auto" w:sz="4" w:space="0"/>
              <w:left w:val="single" w:color="auto" w:sz="4" w:space="0"/>
              <w:bottom w:val="single" w:color="auto" w:sz="4" w:space="0"/>
              <w:right w:val="single" w:color="auto" w:sz="4" w:space="0"/>
            </w:tcBorders>
            <w:vAlign w:val="center"/>
          </w:tcPr>
          <w:p w14:paraId="41A3190F">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918" w:type="dxa"/>
            <w:tcBorders>
              <w:top w:val="single" w:color="auto" w:sz="4" w:space="0"/>
              <w:left w:val="single" w:color="auto" w:sz="4" w:space="0"/>
              <w:bottom w:val="single" w:color="auto" w:sz="4" w:space="0"/>
              <w:right w:val="single" w:color="auto" w:sz="4" w:space="0"/>
            </w:tcBorders>
            <w:vAlign w:val="center"/>
          </w:tcPr>
          <w:p w14:paraId="09FF836A">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1727" w:type="dxa"/>
            <w:tcBorders>
              <w:top w:val="single" w:color="auto" w:sz="4" w:space="0"/>
              <w:left w:val="single" w:color="auto" w:sz="4" w:space="0"/>
              <w:bottom w:val="single" w:color="auto" w:sz="4" w:space="0"/>
              <w:right w:val="single" w:color="auto" w:sz="4" w:space="0"/>
            </w:tcBorders>
            <w:vAlign w:val="center"/>
          </w:tcPr>
          <w:p w14:paraId="2FEBD13B">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79815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474" w:type="dxa"/>
            <w:tcBorders>
              <w:top w:val="single" w:color="auto" w:sz="4" w:space="0"/>
              <w:left w:val="single" w:color="auto" w:sz="4" w:space="0"/>
              <w:bottom w:val="single" w:color="auto" w:sz="4" w:space="0"/>
              <w:right w:val="single" w:color="auto" w:sz="4" w:space="0"/>
            </w:tcBorders>
            <w:vAlign w:val="center"/>
          </w:tcPr>
          <w:p w14:paraId="59EAF26A">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（一）施工高度50m及以上的建筑幕墙安装工程。</w:t>
            </w:r>
          </w:p>
        </w:tc>
        <w:tc>
          <w:tcPr>
            <w:tcW w:w="1377" w:type="dxa"/>
            <w:tcBorders>
              <w:top w:val="single" w:color="auto" w:sz="4" w:space="0"/>
              <w:left w:val="single" w:color="auto" w:sz="4" w:space="0"/>
              <w:bottom w:val="single" w:color="auto" w:sz="4" w:space="0"/>
              <w:right w:val="single" w:color="auto" w:sz="4" w:space="0"/>
            </w:tcBorders>
            <w:vAlign w:val="center"/>
          </w:tcPr>
          <w:p w14:paraId="56C7B2E6">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auto"/>
                <w:szCs w:val="21"/>
                <w:highlight w:val="none"/>
                <w:u w:val="single"/>
              </w:rPr>
              <w:t xml:space="preserve"> )</w:t>
            </w:r>
          </w:p>
        </w:tc>
        <w:tc>
          <w:tcPr>
            <w:tcW w:w="1081" w:type="dxa"/>
            <w:tcBorders>
              <w:top w:val="single" w:color="auto" w:sz="4" w:space="0"/>
              <w:left w:val="single" w:color="auto" w:sz="4" w:space="0"/>
              <w:bottom w:val="single" w:color="auto" w:sz="4" w:space="0"/>
              <w:right w:val="single" w:color="auto" w:sz="4" w:space="0"/>
            </w:tcBorders>
            <w:vAlign w:val="center"/>
          </w:tcPr>
          <w:p w14:paraId="4B331511">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918" w:type="dxa"/>
            <w:tcBorders>
              <w:top w:val="single" w:color="auto" w:sz="4" w:space="0"/>
              <w:left w:val="single" w:color="auto" w:sz="4" w:space="0"/>
              <w:bottom w:val="single" w:color="auto" w:sz="4" w:space="0"/>
              <w:right w:val="single" w:color="auto" w:sz="4" w:space="0"/>
            </w:tcBorders>
            <w:vAlign w:val="center"/>
          </w:tcPr>
          <w:p w14:paraId="158B826B">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1727" w:type="dxa"/>
            <w:tcBorders>
              <w:top w:val="single" w:color="auto" w:sz="4" w:space="0"/>
              <w:left w:val="single" w:color="auto" w:sz="4" w:space="0"/>
              <w:bottom w:val="single" w:color="auto" w:sz="4" w:space="0"/>
              <w:right w:val="single" w:color="auto" w:sz="4" w:space="0"/>
            </w:tcBorders>
            <w:vAlign w:val="center"/>
          </w:tcPr>
          <w:p w14:paraId="563F338C">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64400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474" w:type="dxa"/>
            <w:tcBorders>
              <w:top w:val="single" w:color="auto" w:sz="4" w:space="0"/>
              <w:left w:val="single" w:color="auto" w:sz="4" w:space="0"/>
              <w:bottom w:val="single" w:color="auto" w:sz="4" w:space="0"/>
              <w:right w:val="single" w:color="auto" w:sz="4" w:space="0"/>
            </w:tcBorders>
            <w:vAlign w:val="center"/>
          </w:tcPr>
          <w:p w14:paraId="208CEA6F">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（二）跨度36m及以上的钢结构安装工程，或跨度60m及以上的网架和索膜结构安装工程。</w:t>
            </w:r>
          </w:p>
        </w:tc>
        <w:tc>
          <w:tcPr>
            <w:tcW w:w="1377" w:type="dxa"/>
            <w:tcBorders>
              <w:top w:val="single" w:color="auto" w:sz="4" w:space="0"/>
              <w:left w:val="single" w:color="auto" w:sz="4" w:space="0"/>
              <w:bottom w:val="single" w:color="auto" w:sz="4" w:space="0"/>
              <w:right w:val="single" w:color="auto" w:sz="4" w:space="0"/>
            </w:tcBorders>
            <w:vAlign w:val="center"/>
          </w:tcPr>
          <w:p w14:paraId="377C7159">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1081" w:type="dxa"/>
            <w:tcBorders>
              <w:top w:val="single" w:color="auto" w:sz="4" w:space="0"/>
              <w:left w:val="single" w:color="auto" w:sz="4" w:space="0"/>
              <w:bottom w:val="single" w:color="auto" w:sz="4" w:space="0"/>
              <w:right w:val="single" w:color="auto" w:sz="4" w:space="0"/>
            </w:tcBorders>
            <w:vAlign w:val="center"/>
          </w:tcPr>
          <w:p w14:paraId="67473241">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918" w:type="dxa"/>
            <w:tcBorders>
              <w:top w:val="single" w:color="auto" w:sz="4" w:space="0"/>
              <w:left w:val="single" w:color="auto" w:sz="4" w:space="0"/>
              <w:bottom w:val="single" w:color="auto" w:sz="4" w:space="0"/>
              <w:right w:val="single" w:color="auto" w:sz="4" w:space="0"/>
            </w:tcBorders>
            <w:vAlign w:val="center"/>
          </w:tcPr>
          <w:p w14:paraId="216554B6">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1727" w:type="dxa"/>
            <w:tcBorders>
              <w:top w:val="single" w:color="auto" w:sz="4" w:space="0"/>
              <w:left w:val="single" w:color="auto" w:sz="4" w:space="0"/>
              <w:bottom w:val="single" w:color="auto" w:sz="4" w:space="0"/>
              <w:right w:val="single" w:color="auto" w:sz="4" w:space="0"/>
            </w:tcBorders>
            <w:vAlign w:val="center"/>
          </w:tcPr>
          <w:p w14:paraId="1B193E11">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15789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474" w:type="dxa"/>
            <w:tcBorders>
              <w:top w:val="single" w:color="auto" w:sz="4" w:space="0"/>
              <w:left w:val="single" w:color="auto" w:sz="4" w:space="0"/>
              <w:bottom w:val="single" w:color="auto" w:sz="4" w:space="0"/>
              <w:right w:val="single" w:color="auto" w:sz="4" w:space="0"/>
            </w:tcBorders>
            <w:vAlign w:val="center"/>
          </w:tcPr>
          <w:p w14:paraId="4493807D">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（三）开挖深度16m及以上的人工挖孔桩工程。</w:t>
            </w:r>
          </w:p>
        </w:tc>
        <w:tc>
          <w:tcPr>
            <w:tcW w:w="1377" w:type="dxa"/>
            <w:tcBorders>
              <w:top w:val="single" w:color="auto" w:sz="4" w:space="0"/>
              <w:left w:val="single" w:color="auto" w:sz="4" w:space="0"/>
              <w:bottom w:val="single" w:color="auto" w:sz="4" w:space="0"/>
              <w:right w:val="single" w:color="auto" w:sz="4" w:space="0"/>
            </w:tcBorders>
            <w:vAlign w:val="center"/>
          </w:tcPr>
          <w:p w14:paraId="6561D042">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1081" w:type="dxa"/>
            <w:tcBorders>
              <w:top w:val="single" w:color="auto" w:sz="4" w:space="0"/>
              <w:left w:val="single" w:color="auto" w:sz="4" w:space="0"/>
              <w:bottom w:val="single" w:color="auto" w:sz="4" w:space="0"/>
              <w:right w:val="single" w:color="auto" w:sz="4" w:space="0"/>
            </w:tcBorders>
            <w:vAlign w:val="center"/>
          </w:tcPr>
          <w:p w14:paraId="2F9206E8">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918" w:type="dxa"/>
            <w:tcBorders>
              <w:top w:val="single" w:color="auto" w:sz="4" w:space="0"/>
              <w:left w:val="single" w:color="auto" w:sz="4" w:space="0"/>
              <w:bottom w:val="single" w:color="auto" w:sz="4" w:space="0"/>
              <w:right w:val="single" w:color="auto" w:sz="4" w:space="0"/>
            </w:tcBorders>
            <w:vAlign w:val="center"/>
          </w:tcPr>
          <w:p w14:paraId="56D711DF">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1727" w:type="dxa"/>
            <w:tcBorders>
              <w:top w:val="single" w:color="auto" w:sz="4" w:space="0"/>
              <w:left w:val="single" w:color="auto" w:sz="4" w:space="0"/>
              <w:bottom w:val="single" w:color="auto" w:sz="4" w:space="0"/>
              <w:right w:val="single" w:color="auto" w:sz="4" w:space="0"/>
            </w:tcBorders>
            <w:vAlign w:val="center"/>
          </w:tcPr>
          <w:p w14:paraId="34DD68CC">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53488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tcBorders>
              <w:top w:val="single" w:color="auto" w:sz="4" w:space="0"/>
              <w:left w:val="single" w:color="auto" w:sz="4" w:space="0"/>
              <w:bottom w:val="single" w:color="auto" w:sz="4" w:space="0"/>
              <w:right w:val="single" w:color="auto" w:sz="4" w:space="0"/>
            </w:tcBorders>
            <w:vAlign w:val="center"/>
          </w:tcPr>
          <w:p w14:paraId="7BB70CBC">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（四）水下作业工程。</w:t>
            </w:r>
          </w:p>
        </w:tc>
        <w:tc>
          <w:tcPr>
            <w:tcW w:w="1377" w:type="dxa"/>
            <w:tcBorders>
              <w:top w:val="single" w:color="auto" w:sz="4" w:space="0"/>
              <w:left w:val="single" w:color="auto" w:sz="4" w:space="0"/>
              <w:bottom w:val="single" w:color="auto" w:sz="4" w:space="0"/>
              <w:right w:val="single" w:color="auto" w:sz="4" w:space="0"/>
            </w:tcBorders>
            <w:vAlign w:val="center"/>
          </w:tcPr>
          <w:p w14:paraId="1826CEEB">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1081" w:type="dxa"/>
            <w:tcBorders>
              <w:top w:val="single" w:color="auto" w:sz="4" w:space="0"/>
              <w:left w:val="single" w:color="auto" w:sz="4" w:space="0"/>
              <w:bottom w:val="single" w:color="auto" w:sz="4" w:space="0"/>
              <w:right w:val="single" w:color="auto" w:sz="4" w:space="0"/>
            </w:tcBorders>
            <w:vAlign w:val="center"/>
          </w:tcPr>
          <w:p w14:paraId="70DC3589">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918" w:type="dxa"/>
            <w:tcBorders>
              <w:top w:val="single" w:color="auto" w:sz="4" w:space="0"/>
              <w:left w:val="single" w:color="auto" w:sz="4" w:space="0"/>
              <w:bottom w:val="single" w:color="auto" w:sz="4" w:space="0"/>
              <w:right w:val="single" w:color="auto" w:sz="4" w:space="0"/>
            </w:tcBorders>
            <w:vAlign w:val="center"/>
          </w:tcPr>
          <w:p w14:paraId="4ED01499">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1727" w:type="dxa"/>
            <w:tcBorders>
              <w:top w:val="single" w:color="auto" w:sz="4" w:space="0"/>
              <w:left w:val="single" w:color="auto" w:sz="4" w:space="0"/>
              <w:bottom w:val="single" w:color="auto" w:sz="4" w:space="0"/>
              <w:right w:val="single" w:color="auto" w:sz="4" w:space="0"/>
            </w:tcBorders>
            <w:vAlign w:val="center"/>
          </w:tcPr>
          <w:p w14:paraId="3D1D8977">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69E0F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474" w:type="dxa"/>
            <w:tcBorders>
              <w:top w:val="single" w:color="auto" w:sz="4" w:space="0"/>
              <w:left w:val="single" w:color="auto" w:sz="4" w:space="0"/>
              <w:bottom w:val="single" w:color="auto" w:sz="4" w:space="0"/>
              <w:right w:val="single" w:color="auto" w:sz="4" w:space="0"/>
            </w:tcBorders>
            <w:vAlign w:val="center"/>
          </w:tcPr>
          <w:p w14:paraId="6F7E6871">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（五）重量1000kN及以上的大型结构整体顶升、平移、转体等施工工艺。</w:t>
            </w:r>
          </w:p>
        </w:tc>
        <w:tc>
          <w:tcPr>
            <w:tcW w:w="1377" w:type="dxa"/>
            <w:tcBorders>
              <w:top w:val="single" w:color="auto" w:sz="4" w:space="0"/>
              <w:left w:val="single" w:color="auto" w:sz="4" w:space="0"/>
              <w:bottom w:val="single" w:color="auto" w:sz="4" w:space="0"/>
              <w:right w:val="single" w:color="auto" w:sz="4" w:space="0"/>
            </w:tcBorders>
            <w:vAlign w:val="center"/>
          </w:tcPr>
          <w:p w14:paraId="55559E52">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1081" w:type="dxa"/>
            <w:tcBorders>
              <w:top w:val="single" w:color="auto" w:sz="4" w:space="0"/>
              <w:left w:val="single" w:color="auto" w:sz="4" w:space="0"/>
              <w:bottom w:val="single" w:color="auto" w:sz="4" w:space="0"/>
              <w:right w:val="single" w:color="auto" w:sz="4" w:space="0"/>
            </w:tcBorders>
            <w:vAlign w:val="center"/>
          </w:tcPr>
          <w:p w14:paraId="53EEBF44">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918" w:type="dxa"/>
            <w:tcBorders>
              <w:top w:val="single" w:color="auto" w:sz="4" w:space="0"/>
              <w:left w:val="single" w:color="auto" w:sz="4" w:space="0"/>
              <w:bottom w:val="single" w:color="auto" w:sz="4" w:space="0"/>
              <w:right w:val="single" w:color="auto" w:sz="4" w:space="0"/>
            </w:tcBorders>
            <w:vAlign w:val="center"/>
          </w:tcPr>
          <w:p w14:paraId="61921577">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1727" w:type="dxa"/>
            <w:tcBorders>
              <w:top w:val="single" w:color="auto" w:sz="4" w:space="0"/>
              <w:left w:val="single" w:color="auto" w:sz="4" w:space="0"/>
              <w:bottom w:val="single" w:color="auto" w:sz="4" w:space="0"/>
              <w:right w:val="single" w:color="auto" w:sz="4" w:space="0"/>
            </w:tcBorders>
            <w:vAlign w:val="center"/>
          </w:tcPr>
          <w:p w14:paraId="277A5AAA">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3C1CE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474" w:type="dxa"/>
            <w:tcBorders>
              <w:top w:val="single" w:color="auto" w:sz="4" w:space="0"/>
              <w:left w:val="single" w:color="auto" w:sz="4" w:space="0"/>
              <w:bottom w:val="single" w:color="auto" w:sz="4" w:space="0"/>
              <w:right w:val="single" w:color="auto" w:sz="4" w:space="0"/>
            </w:tcBorders>
            <w:vAlign w:val="center"/>
          </w:tcPr>
          <w:p w14:paraId="014EBAFA">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（六）采用新技术、新工艺、新材料、新设备可能影响工程施工安全，尚无国家、行业及地方技术标准的分部分项工程。</w:t>
            </w:r>
          </w:p>
        </w:tc>
        <w:tc>
          <w:tcPr>
            <w:tcW w:w="1377" w:type="dxa"/>
            <w:tcBorders>
              <w:top w:val="single" w:color="auto" w:sz="4" w:space="0"/>
              <w:left w:val="single" w:color="auto" w:sz="4" w:space="0"/>
              <w:bottom w:val="single" w:color="auto" w:sz="4" w:space="0"/>
              <w:right w:val="single" w:color="auto" w:sz="4" w:space="0"/>
            </w:tcBorders>
            <w:vAlign w:val="center"/>
          </w:tcPr>
          <w:p w14:paraId="72FA2556">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1081" w:type="dxa"/>
            <w:tcBorders>
              <w:top w:val="single" w:color="auto" w:sz="4" w:space="0"/>
              <w:left w:val="single" w:color="auto" w:sz="4" w:space="0"/>
              <w:bottom w:val="single" w:color="auto" w:sz="4" w:space="0"/>
              <w:right w:val="single" w:color="auto" w:sz="4" w:space="0"/>
            </w:tcBorders>
            <w:vAlign w:val="center"/>
          </w:tcPr>
          <w:p w14:paraId="3C07C7BF">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918" w:type="dxa"/>
            <w:tcBorders>
              <w:top w:val="single" w:color="auto" w:sz="4" w:space="0"/>
              <w:left w:val="single" w:color="auto" w:sz="4" w:space="0"/>
              <w:bottom w:val="single" w:color="auto" w:sz="4" w:space="0"/>
              <w:right w:val="single" w:color="auto" w:sz="4" w:space="0"/>
            </w:tcBorders>
            <w:vAlign w:val="center"/>
          </w:tcPr>
          <w:p w14:paraId="6F38145B">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1727" w:type="dxa"/>
            <w:tcBorders>
              <w:top w:val="single" w:color="auto" w:sz="4" w:space="0"/>
              <w:left w:val="single" w:color="auto" w:sz="4" w:space="0"/>
              <w:bottom w:val="single" w:color="auto" w:sz="4" w:space="0"/>
              <w:right w:val="single" w:color="auto" w:sz="4" w:space="0"/>
            </w:tcBorders>
            <w:vAlign w:val="center"/>
          </w:tcPr>
          <w:p w14:paraId="3DE46E7A">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bl>
    <w:p w14:paraId="33E3DAC1">
      <w:pPr>
        <w:spacing w:line="440" w:lineRule="exact"/>
        <w:ind w:firstLine="5903" w:firstLineChars="28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lang w:val="en-US" w:eastAsia="zh-CN"/>
        </w:rPr>
        <w:t>投</w:t>
      </w:r>
      <w:r>
        <w:rPr>
          <w:rFonts w:hint="eastAsia" w:ascii="宋体" w:hAnsi="宋体" w:cs="宋体"/>
          <w:b/>
          <w:bCs/>
          <w:color w:val="auto"/>
          <w:szCs w:val="21"/>
          <w:highlight w:val="none"/>
          <w:u w:val="single"/>
        </w:rPr>
        <w:t>标人名称：</w:t>
      </w:r>
    </w:p>
    <w:p w14:paraId="1A9D25D3">
      <w:pPr>
        <w:spacing w:line="440" w:lineRule="exact"/>
        <w:ind w:firstLine="5903" w:firstLineChars="28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日  期：   年  月  日</w:t>
      </w:r>
    </w:p>
    <w:p w14:paraId="7FBFCEB7">
      <w:pPr>
        <w:rPr>
          <w:rFonts w:hint="eastAsia"/>
        </w:rPr>
      </w:pPr>
    </w:p>
    <w:p w14:paraId="5A051ED8">
      <w:pPr>
        <w:tabs>
          <w:tab w:val="center" w:pos="4832"/>
          <w:tab w:val="left" w:pos="8161"/>
        </w:tabs>
        <w:autoSpaceDE w:val="0"/>
        <w:autoSpaceDN w:val="0"/>
        <w:adjustRightInd w:val="0"/>
        <w:spacing w:line="360" w:lineRule="auto"/>
        <w:jc w:val="left"/>
        <w:rPr>
          <w:rFonts w:hint="eastAsia" w:ascii="宋体" w:hAnsi="宋体" w:cs="宋体"/>
          <w:b/>
          <w:bCs/>
          <w:sz w:val="36"/>
          <w:szCs w:val="36"/>
        </w:rPr>
      </w:pPr>
    </w:p>
    <w:p w14:paraId="5ADEAC96">
      <w:pPr>
        <w:tabs>
          <w:tab w:val="center" w:pos="4832"/>
          <w:tab w:val="left" w:pos="8161"/>
        </w:tabs>
        <w:autoSpaceDE w:val="0"/>
        <w:autoSpaceDN w:val="0"/>
        <w:adjustRightInd w:val="0"/>
        <w:spacing w:line="360" w:lineRule="auto"/>
        <w:jc w:val="left"/>
        <w:rPr>
          <w:rFonts w:hint="eastAsia" w:ascii="宋体" w:hAnsi="宋体" w:cs="宋体"/>
          <w:b/>
          <w:bCs/>
          <w:sz w:val="36"/>
          <w:szCs w:val="36"/>
        </w:rPr>
      </w:pPr>
    </w:p>
    <w:p w14:paraId="551C10C0">
      <w:pPr>
        <w:tabs>
          <w:tab w:val="center" w:pos="4832"/>
          <w:tab w:val="left" w:pos="8161"/>
        </w:tabs>
        <w:autoSpaceDE w:val="0"/>
        <w:autoSpaceDN w:val="0"/>
        <w:adjustRightInd w:val="0"/>
        <w:spacing w:line="360" w:lineRule="auto"/>
        <w:jc w:val="left"/>
        <w:rPr>
          <w:rFonts w:hint="eastAsia" w:ascii="宋体" w:hAnsi="宋体" w:cs="宋体"/>
          <w:b/>
          <w:bCs/>
          <w:sz w:val="36"/>
          <w:szCs w:val="36"/>
        </w:rPr>
      </w:pPr>
    </w:p>
    <w:p w14:paraId="286317DE">
      <w:pPr>
        <w:tabs>
          <w:tab w:val="center" w:pos="4832"/>
          <w:tab w:val="left" w:pos="8161"/>
        </w:tabs>
        <w:autoSpaceDE w:val="0"/>
        <w:autoSpaceDN w:val="0"/>
        <w:adjustRightInd w:val="0"/>
        <w:spacing w:line="360" w:lineRule="auto"/>
        <w:jc w:val="left"/>
        <w:rPr>
          <w:rFonts w:hint="eastAsia" w:ascii="宋体" w:hAnsi="宋体" w:cs="宋体"/>
          <w:b/>
          <w:bCs/>
          <w:sz w:val="36"/>
          <w:szCs w:val="36"/>
        </w:rPr>
      </w:pPr>
      <w:bookmarkStart w:id="599" w:name="_GoBack"/>
      <w:bookmarkEnd w:id="599"/>
    </w:p>
    <w:p w14:paraId="587E1899">
      <w:pPr>
        <w:tabs>
          <w:tab w:val="center" w:pos="4832"/>
          <w:tab w:val="left" w:pos="8161"/>
        </w:tabs>
        <w:autoSpaceDE w:val="0"/>
        <w:autoSpaceDN w:val="0"/>
        <w:adjustRightInd w:val="0"/>
        <w:spacing w:line="360" w:lineRule="auto"/>
        <w:jc w:val="left"/>
        <w:rPr>
          <w:rFonts w:hint="eastAsia" w:ascii="宋体" w:hAnsi="宋体" w:cs="宋体"/>
          <w:b/>
          <w:bCs/>
          <w:sz w:val="36"/>
          <w:szCs w:val="36"/>
        </w:rPr>
      </w:pPr>
    </w:p>
    <w:p w14:paraId="0095544B">
      <w:pPr>
        <w:tabs>
          <w:tab w:val="center" w:pos="4832"/>
          <w:tab w:val="left" w:pos="8161"/>
        </w:tabs>
        <w:autoSpaceDE w:val="0"/>
        <w:autoSpaceDN w:val="0"/>
        <w:adjustRightInd w:val="0"/>
        <w:spacing w:line="360" w:lineRule="auto"/>
        <w:jc w:val="left"/>
        <w:rPr>
          <w:rFonts w:hint="eastAsia" w:ascii="宋体" w:hAnsi="宋体" w:cs="宋体"/>
          <w:b/>
          <w:bCs/>
          <w:sz w:val="36"/>
          <w:szCs w:val="36"/>
        </w:rPr>
      </w:pPr>
    </w:p>
    <w:p w14:paraId="5207AB73">
      <w:pPr>
        <w:tabs>
          <w:tab w:val="center" w:pos="4832"/>
          <w:tab w:val="left" w:pos="8161"/>
        </w:tabs>
        <w:autoSpaceDE w:val="0"/>
        <w:autoSpaceDN w:val="0"/>
        <w:adjustRightInd w:val="0"/>
        <w:spacing w:line="360" w:lineRule="auto"/>
        <w:jc w:val="left"/>
        <w:rPr>
          <w:rFonts w:hint="eastAsia" w:ascii="宋体" w:hAnsi="宋体" w:cs="宋体"/>
          <w:b/>
          <w:bCs/>
          <w:sz w:val="36"/>
          <w:szCs w:val="36"/>
        </w:rPr>
      </w:pPr>
    </w:p>
    <w:p w14:paraId="1A603FC1"/>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TimesNewRomanPSMT">
    <w:altName w:val="Times New Roman"/>
    <w:panose1 w:val="00000000000000000000"/>
    <w:charset w:val="00"/>
    <w:family w:val="roman"/>
    <w:pitch w:val="default"/>
    <w:sig w:usb0="00000000" w:usb1="00000000" w:usb2="00000000" w:usb3="00000000" w:csb0="0000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1EE86">
    <w:pPr>
      <w:ind w:firstLine="0"/>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43D6A32">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69GPs5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69GPs5AgAAcQQAAA4AAAAAAAAAAQAgAAAAHwEAAGRycy9lMm9Eb2Mu&#10;eG1sUEsFBgAAAAAGAAYAWQEAAMoFAAAAAA==&#10;">
              <v:fill on="f" focussize="0,0"/>
              <v:stroke on="f" weight="0.5pt"/>
              <v:imagedata o:title=""/>
              <o:lock v:ext="edit" aspectratio="f"/>
              <v:textbox inset="0mm,0mm,0mm,0mm" style="mso-fit-shape-to-text:t;">
                <w:txbxContent>
                  <w:p w14:paraId="643D6A32">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70EDF">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D7EA5">
    <w:pPr>
      <w:pStyle w:val="1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68BDA4B">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1rxzQ4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0NG6+lB1&#10;DzCHloWdfrA8polSebs+BkibFI8CdaqgU/GASUw967cmjvqf5xT1+E+x+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3WvHNDgCAABxBAAADgAAAAAAAAABACAAAAAfAQAAZHJzL2Uyb0RvYy54&#10;bWxQSwUGAAAAAAYABgBZAQAAyQUAAAAA&#10;">
              <v:fill on="f" focussize="0,0"/>
              <v:stroke on="f" weight="0.5pt"/>
              <v:imagedata o:title=""/>
              <o:lock v:ext="edit" aspectratio="f"/>
              <v:textbox inset="0mm,0mm,0mm,0mm" style="mso-fit-shape-to-text:t;">
                <w:txbxContent>
                  <w:p w14:paraId="568BDA4B">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DB757">
    <w:pPr>
      <w:pStyle w:val="14"/>
      <w:tabs>
        <w:tab w:val="clear" w:pos="4153"/>
        <w:tab w:val="clear" w:pos="8306"/>
      </w:tabs>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a:effectLst/>
                    </wps:spPr>
                    <wps:txbx>
                      <w:txbxContent>
                        <w:p w14:paraId="66E8FFE0">
                          <w:pPr>
                            <w:pStyle w:val="1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1">
                      <a:spAutoFit/>
                    </wps:bodyPr>
                  </wps:wsp>
                </a:graphicData>
              </a:graphic>
            </wp:anchor>
          </w:drawing>
        </mc:Choice>
        <mc:Fallback>
          <w:pict>
            <v:shape id="文本框 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4vdRNAAAAAC&#10;AQAADwAAAAAAAAABACAAAAAiAAAAZHJzL2Rvd25yZXYueG1sUEsBAhQAFAAAAAgAh07iQCJq/gLr&#10;AQAAzAMAAA4AAAAAAAAAAQAgAAAAHwEAAGRycy9lMm9Eb2MueG1sUEsFBgAAAAAGAAYAWQEAAHwF&#10;AAAAAA==&#10;">
              <v:fill on="f" focussize="0,0"/>
              <v:stroke on="f"/>
              <v:imagedata o:title=""/>
              <o:lock v:ext="edit" aspectratio="f"/>
              <v:textbox inset="0mm,0mm,0mm,0mm" style="mso-fit-shape-to-text:t;">
                <w:txbxContent>
                  <w:p w14:paraId="66E8FFE0">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A8FA9">
    <w:pPr>
      <w:tabs>
        <w:tab w:val="center" w:pos="4153"/>
        <w:tab w:val="right" w:pos="8306"/>
      </w:tabs>
      <w:snapToGrid w:val="0"/>
      <w:rPr>
        <w:rFonts w:hint="eastAsia" w:ascii="Times New Roman" w:hAnsi="Times New Roman"/>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4FB697"/>
    <w:multiLevelType w:val="singleLevel"/>
    <w:tmpl w:val="904FB697"/>
    <w:lvl w:ilvl="0" w:tentative="0">
      <w:start w:val="6"/>
      <w:numFmt w:val="chineseCounting"/>
      <w:suff w:val="space"/>
      <w:lvlText w:val="第%1章"/>
      <w:lvlJc w:val="left"/>
      <w:rPr>
        <w:rFonts w:hint="eastAsia"/>
      </w:rPr>
    </w:lvl>
  </w:abstractNum>
  <w:abstractNum w:abstractNumId="1">
    <w:nsid w:val="0F050B8A"/>
    <w:multiLevelType w:val="singleLevel"/>
    <w:tmpl w:val="0F050B8A"/>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971B35"/>
    <w:rsid w:val="2C387DF2"/>
    <w:rsid w:val="35335357"/>
    <w:rsid w:val="3A1C6C50"/>
    <w:rsid w:val="43F1196C"/>
    <w:rsid w:val="4DD75F70"/>
    <w:rsid w:val="4EBC0DCE"/>
    <w:rsid w:val="554B1D45"/>
    <w:rsid w:val="616B37CD"/>
    <w:rsid w:val="6C7D21D6"/>
    <w:rsid w:val="78D86C13"/>
    <w:rsid w:val="7C647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b/>
      <w:bCs/>
      <w:kern w:val="44"/>
      <w:sz w:val="44"/>
      <w:szCs w:val="44"/>
    </w:rPr>
  </w:style>
  <w:style w:type="paragraph" w:styleId="2">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5" w:lineRule="auto"/>
      <w:ind w:firstLine="137" w:firstLineChars="49"/>
      <w:outlineLvl w:val="2"/>
    </w:pPr>
    <w:rPr>
      <w:rFonts w:ascii="黑体" w:hAnsi="宋体" w:eastAsia="黑体"/>
      <w:bCs/>
      <w:sz w:val="28"/>
      <w:szCs w:val="28"/>
    </w:rPr>
  </w:style>
  <w:style w:type="paragraph" w:styleId="5">
    <w:name w:val="heading 4"/>
    <w:basedOn w:val="1"/>
    <w:next w:val="1"/>
    <w:qFormat/>
    <w:uiPriority w:val="0"/>
    <w:pPr>
      <w:keepNext/>
      <w:keepLines/>
      <w:spacing w:before="280" w:after="290" w:line="374" w:lineRule="auto"/>
      <w:outlineLvl w:val="3"/>
    </w:pPr>
    <w:rPr>
      <w:rFonts w:ascii="Arial" w:hAnsi="Arial" w:eastAsia="黑体"/>
      <w:b/>
      <w:bCs/>
      <w:sz w:val="28"/>
      <w:szCs w:val="28"/>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ind w:firstLine="420" w:firstLineChars="200"/>
    </w:pPr>
  </w:style>
  <w:style w:type="paragraph" w:styleId="7">
    <w:name w:val="annotation text"/>
    <w:basedOn w:val="1"/>
    <w:qFormat/>
    <w:uiPriority w:val="0"/>
    <w:pPr>
      <w:jc w:val="left"/>
    </w:pPr>
  </w:style>
  <w:style w:type="paragraph" w:styleId="8">
    <w:name w:val="Body Text 3"/>
    <w:basedOn w:val="1"/>
    <w:qFormat/>
    <w:uiPriority w:val="0"/>
    <w:rPr>
      <w:rFonts w:ascii="宋体"/>
      <w:sz w:val="24"/>
      <w:szCs w:val="20"/>
    </w:rPr>
  </w:style>
  <w:style w:type="paragraph" w:styleId="9">
    <w:name w:val="Body Text"/>
    <w:basedOn w:val="1"/>
    <w:next w:val="1"/>
    <w:qFormat/>
    <w:uiPriority w:val="0"/>
    <w:pPr>
      <w:spacing w:after="120"/>
    </w:pPr>
  </w:style>
  <w:style w:type="paragraph" w:styleId="10">
    <w:name w:val="Body Text Indent"/>
    <w:basedOn w:val="1"/>
    <w:next w:val="11"/>
    <w:qFormat/>
    <w:uiPriority w:val="0"/>
    <w:pPr>
      <w:spacing w:after="120"/>
      <w:ind w:left="420" w:leftChars="200"/>
    </w:pPr>
  </w:style>
  <w:style w:type="paragraph" w:styleId="11">
    <w:name w:val="envelope return"/>
    <w:basedOn w:val="1"/>
    <w:qFormat/>
    <w:uiPriority w:val="0"/>
    <w:pPr>
      <w:snapToGrid w:val="0"/>
    </w:pPr>
    <w:rPr>
      <w:rFonts w:ascii="Arial" w:hAnsi="Arial"/>
      <w:szCs w:val="24"/>
    </w:rPr>
  </w:style>
  <w:style w:type="paragraph" w:styleId="12">
    <w:name w:val="toc 3"/>
    <w:basedOn w:val="1"/>
    <w:next w:val="1"/>
    <w:qFormat/>
    <w:uiPriority w:val="0"/>
    <w:pPr>
      <w:ind w:left="420"/>
      <w:jc w:val="left"/>
    </w:pPr>
    <w:rPr>
      <w:iCs/>
      <w:sz w:val="20"/>
      <w:szCs w:val="20"/>
    </w:rPr>
  </w:style>
  <w:style w:type="paragraph" w:styleId="13">
    <w:name w:val="Plain Text"/>
    <w:basedOn w:val="1"/>
    <w:next w:val="5"/>
    <w:qFormat/>
    <w:uiPriority w:val="0"/>
    <w:rPr>
      <w:rFonts w:ascii="等线" w:hAnsi="Courier New" w:eastAsia="等线"/>
      <w:szCs w:val="22"/>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pPr>
      <w:spacing w:before="120" w:after="120"/>
      <w:jc w:val="left"/>
    </w:pPr>
    <w:rPr>
      <w:b/>
      <w:bCs/>
      <w:caps/>
      <w:sz w:val="20"/>
      <w:szCs w:val="20"/>
    </w:rPr>
  </w:style>
  <w:style w:type="paragraph" w:styleId="17">
    <w:name w:val="toc 2"/>
    <w:basedOn w:val="1"/>
    <w:next w:val="1"/>
    <w:qFormat/>
    <w:uiPriority w:val="0"/>
    <w:pPr>
      <w:ind w:left="210"/>
      <w:jc w:val="left"/>
    </w:pPr>
    <w:rPr>
      <w:smallCaps/>
      <w:sz w:val="20"/>
      <w:szCs w:val="20"/>
    </w:rPr>
  </w:style>
  <w:style w:type="paragraph" w:styleId="18">
    <w:name w:val="Normal (Web)"/>
    <w:basedOn w:val="1"/>
    <w:qFormat/>
    <w:uiPriority w:val="0"/>
    <w:pPr>
      <w:widowControl/>
      <w:spacing w:before="100" w:beforeAutospacing="1" w:after="100" w:afterAutospacing="1"/>
      <w:jc w:val="left"/>
    </w:pPr>
    <w:rPr>
      <w:rFonts w:ascii="宋体" w:hAnsi="宋体" w:eastAsia="楷体_GB2312" w:cs="宋体"/>
      <w:kern w:val="0"/>
      <w:sz w:val="24"/>
    </w:rPr>
  </w:style>
  <w:style w:type="paragraph" w:styleId="19">
    <w:name w:val="Body Text First Indent"/>
    <w:basedOn w:val="9"/>
    <w:next w:val="20"/>
    <w:qFormat/>
    <w:uiPriority w:val="0"/>
    <w:pPr>
      <w:spacing w:line="312" w:lineRule="auto"/>
      <w:ind w:firstLine="420"/>
    </w:pPr>
    <w:rPr>
      <w:kern w:val="0"/>
      <w:sz w:val="20"/>
      <w:szCs w:val="20"/>
    </w:rPr>
  </w:style>
  <w:style w:type="paragraph" w:styleId="20">
    <w:name w:val="Body Text First Indent 2"/>
    <w:basedOn w:val="10"/>
    <w:unhideWhenUsed/>
    <w:qFormat/>
    <w:uiPriority w:val="0"/>
    <w:pPr>
      <w:ind w:firstLine="200" w:firstLineChars="200"/>
    </w:pPr>
  </w:style>
  <w:style w:type="character" w:styleId="23">
    <w:name w:val="Hyperlink"/>
    <w:basedOn w:val="22"/>
    <w:unhideWhenUsed/>
    <w:qFormat/>
    <w:uiPriority w:val="0"/>
    <w:rPr>
      <w:color w:val="0000FF"/>
      <w:u w:val="single"/>
    </w:rPr>
  </w:style>
  <w:style w:type="character" w:styleId="24">
    <w:name w:val="annotation reference"/>
    <w:qFormat/>
    <w:uiPriority w:val="99"/>
    <w:rPr>
      <w:sz w:val="21"/>
      <w:szCs w:val="21"/>
    </w:rPr>
  </w:style>
  <w:style w:type="paragraph" w:customStyle="1" w:styleId="25">
    <w:name w:val="样式 正文首行缩进 2 + 首行缩进:  2 字符"/>
    <w:basedOn w:val="1"/>
    <w:next w:val="1"/>
    <w:qFormat/>
    <w:uiPriority w:val="0"/>
    <w:pPr>
      <w:ind w:firstLine="420"/>
    </w:pPr>
    <w:rPr>
      <w:rFonts w:cs="宋体"/>
      <w:szCs w:val="20"/>
    </w:rPr>
  </w:style>
  <w:style w:type="paragraph" w:customStyle="1" w:styleId="2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7">
    <w:name w:val="正文 New"/>
    <w:qFormat/>
    <w:uiPriority w:val="0"/>
    <w:pPr>
      <w:widowControl w:val="0"/>
      <w:jc w:val="both"/>
    </w:pPr>
    <w:rPr>
      <w:rFonts w:ascii="宋体" w:hAnsi="宋体" w:eastAsia="宋体" w:cs="宋体"/>
      <w:kern w:val="2"/>
      <w:sz w:val="21"/>
      <w:szCs w:val="24"/>
      <w:lang w:val="en-US" w:eastAsia="zh-CN" w:bidi="ar-SA"/>
    </w:rPr>
  </w:style>
  <w:style w:type="paragraph" w:styleId="28">
    <w:name w:val="List Paragraph"/>
    <w:basedOn w:val="1"/>
    <w:qFormat/>
    <w:uiPriority w:val="34"/>
    <w:pPr>
      <w:ind w:firstLine="42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20077</Words>
  <Characters>21175</Characters>
  <Lines>0</Lines>
  <Paragraphs>0</Paragraphs>
  <TotalTime>2</TotalTime>
  <ScaleCrop>false</ScaleCrop>
  <LinksUpToDate>false</LinksUpToDate>
  <CharactersWithSpaces>21766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2025-09-25T07:24:00Z</dcterms:created>
  <dc:creator>Administrator</dc:creator>
  <cp:lastModifiedBy>12</cp:lastModifiedBy>
  <dcterms:modified xsi:type="dcterms:W3CDTF">2025-10-09T10:39:12Z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eyJoZGlkIjoiZDNiODA4MzU0N2FiNmIxYzM0NTZjNTljNmU1NTIzM2YiLCJ1c2VySWQiOiIzNjkzNjA5MDAifQ==</vt:lpwstr>
  </property>
  <property fmtid="{D5CDD505-2E9C-101B-9397-08002B2CF9AE}" pid="4" name="ICV">
    <vt:lpwstr>A8787FE4EC8540E7A3D977CC262E0B8F_13</vt:lpwstr>
  </property>
</Properties>
</file>