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D9C4D">
      <w:pPr>
        <w:pStyle w:val="3"/>
      </w:pPr>
      <w:r>
        <w:rPr>
          <w:rFonts w:hint="eastAsia"/>
        </w:rPr>
        <w:t>招标公告</w:t>
      </w:r>
    </w:p>
    <w:p w14:paraId="56D33994">
      <w:pPr>
        <w:pStyle w:val="2"/>
      </w:pPr>
      <w:bookmarkStart w:id="0" w:name="_Toc134304512"/>
      <w:bookmarkStart w:id="1" w:name="_Toc22280873"/>
      <w:r>
        <w:rPr>
          <w:rFonts w:hint="eastAsia"/>
        </w:rPr>
        <w:t>1. 招标条件</w:t>
      </w:r>
      <w:bookmarkEnd w:id="0"/>
      <w:bookmarkEnd w:id="1"/>
    </w:p>
    <w:p w14:paraId="5AD36B80">
      <w:pPr>
        <w:spacing w:line="400" w:lineRule="exact"/>
        <w:ind w:firstLine="420" w:firstLineChars="200"/>
        <w:rPr>
          <w:rFonts w:hint="eastAsia" w:ascii="宋体" w:hAnsi="宋体"/>
          <w:szCs w:val="21"/>
        </w:rPr>
      </w:pPr>
      <w:r>
        <w:rPr>
          <w:rFonts w:hint="eastAsia" w:ascii="宋体" w:hAnsi="宋体"/>
          <w:szCs w:val="21"/>
        </w:rPr>
        <w:t>本招标项目</w:t>
      </w:r>
      <w:r>
        <w:rPr>
          <w:rFonts w:hint="eastAsia" w:ascii="宋体" w:hAnsi="宋体"/>
          <w:szCs w:val="21"/>
          <w:lang w:eastAsia="zh-CN"/>
        </w:rPr>
        <w:t>中山大学中山眼科中心区庄院区综合能力提升项目设计施工总承包</w:t>
      </w:r>
      <w:r>
        <w:rPr>
          <w:rFonts w:hint="eastAsia" w:ascii="宋体" w:hAnsi="宋体"/>
          <w:szCs w:val="21"/>
        </w:rPr>
        <w:t>已由</w:t>
      </w:r>
      <w:r>
        <w:rPr>
          <w:rFonts w:hint="eastAsia" w:ascii="宋体" w:hAnsi="宋体"/>
          <w:szCs w:val="21"/>
          <w:u w:val="single"/>
        </w:rPr>
        <w:t xml:space="preserve"> 中山大学中山眼科中心 </w:t>
      </w:r>
      <w:r>
        <w:rPr>
          <w:rFonts w:hint="eastAsia" w:ascii="宋体" w:hAnsi="宋体"/>
          <w:szCs w:val="21"/>
        </w:rPr>
        <w:t>以</w:t>
      </w:r>
      <w:r>
        <w:rPr>
          <w:rFonts w:hint="eastAsia" w:ascii="宋体" w:hAnsi="宋体"/>
          <w:szCs w:val="21"/>
          <w:u w:val="single"/>
        </w:rPr>
        <w:t>眼科党办通〔2025〕106号</w:t>
      </w:r>
      <w:r>
        <w:rPr>
          <w:rFonts w:hint="eastAsia" w:ascii="宋体" w:hAnsi="宋体"/>
          <w:szCs w:val="21"/>
        </w:rPr>
        <w:t>批准建设。项目业主为</w:t>
      </w:r>
      <w:r>
        <w:rPr>
          <w:rFonts w:hint="eastAsia" w:ascii="宋体" w:hAnsi="宋体"/>
          <w:szCs w:val="21"/>
          <w:u w:val="single"/>
        </w:rPr>
        <w:t xml:space="preserve"> 中山大学中山眼科中心</w:t>
      </w:r>
      <w:r>
        <w:rPr>
          <w:rFonts w:hint="eastAsia" w:ascii="宋体" w:hAnsi="宋体"/>
          <w:szCs w:val="21"/>
        </w:rPr>
        <w:t>，建设资金来自</w:t>
      </w:r>
      <w:r>
        <w:rPr>
          <w:rFonts w:hint="eastAsia" w:ascii="宋体" w:hAnsi="宋体"/>
          <w:szCs w:val="21"/>
          <w:u w:val="single"/>
        </w:rPr>
        <w:t xml:space="preserve">医院自筹资金 </w:t>
      </w:r>
      <w:r>
        <w:rPr>
          <w:rFonts w:hint="eastAsia" w:ascii="宋体" w:hAnsi="宋体"/>
          <w:szCs w:val="21"/>
        </w:rPr>
        <w:t>，项目出资比例为</w:t>
      </w:r>
      <w:r>
        <w:rPr>
          <w:rFonts w:hint="eastAsia" w:ascii="宋体" w:hAnsi="宋体"/>
          <w:szCs w:val="21"/>
          <w:u w:val="single"/>
        </w:rPr>
        <w:t xml:space="preserve"> 100% </w:t>
      </w:r>
      <w:r>
        <w:rPr>
          <w:rFonts w:hint="eastAsia" w:ascii="宋体" w:hAnsi="宋体"/>
          <w:szCs w:val="21"/>
        </w:rPr>
        <w:t>，招标人为</w:t>
      </w:r>
      <w:r>
        <w:rPr>
          <w:rFonts w:hint="eastAsia" w:ascii="宋体" w:hAnsi="宋体"/>
          <w:szCs w:val="21"/>
          <w:u w:val="single"/>
        </w:rPr>
        <w:t xml:space="preserve"> 中山大学中山眼科中心</w:t>
      </w:r>
      <w:r>
        <w:rPr>
          <w:rFonts w:hint="eastAsia" w:ascii="宋体" w:hAnsi="宋体"/>
          <w:szCs w:val="21"/>
        </w:rPr>
        <w:t>。项目已具备招标条件，现对该项目的勘察设计施工总承包进行公开招标。</w:t>
      </w:r>
    </w:p>
    <w:p w14:paraId="28AA8B56">
      <w:pPr>
        <w:pStyle w:val="2"/>
        <w:rPr>
          <w:rFonts w:hint="eastAsia" w:ascii="宋体" w:hAnsi="宋体" w:eastAsia="宋体"/>
        </w:rPr>
      </w:pPr>
      <w:bookmarkStart w:id="2" w:name="_Toc134304513"/>
      <w:bookmarkStart w:id="3" w:name="_Toc22280874"/>
      <w:r>
        <w:rPr>
          <w:rFonts w:hint="eastAsia" w:ascii="宋体" w:hAnsi="宋体" w:eastAsia="宋体"/>
        </w:rPr>
        <w:t>2. 项目概况与招标范围</w:t>
      </w:r>
      <w:bookmarkEnd w:id="2"/>
      <w:bookmarkEnd w:id="3"/>
    </w:p>
    <w:p w14:paraId="0EBFBFF1">
      <w:pPr>
        <w:spacing w:line="400" w:lineRule="exact"/>
        <w:ind w:firstLine="413" w:firstLineChars="196"/>
        <w:rPr>
          <w:rFonts w:hint="eastAsia" w:ascii="宋体" w:hAnsi="宋体"/>
          <w:b/>
          <w:szCs w:val="21"/>
          <w:u w:val="single"/>
        </w:rPr>
      </w:pPr>
      <w:r>
        <w:rPr>
          <w:rFonts w:hint="eastAsia" w:ascii="宋体" w:hAnsi="宋体"/>
          <w:b/>
          <w:szCs w:val="21"/>
        </w:rPr>
        <w:t>2.1 建设地点：</w:t>
      </w:r>
      <w:r>
        <w:rPr>
          <w:rFonts w:hint="eastAsia" w:ascii="宋体" w:hAnsi="宋体"/>
          <w:bCs/>
          <w:szCs w:val="21"/>
        </w:rPr>
        <w:t>广州市越秀区先烈南路54号。</w:t>
      </w:r>
    </w:p>
    <w:p w14:paraId="746AF31E">
      <w:pPr>
        <w:spacing w:line="400" w:lineRule="exact"/>
        <w:ind w:firstLine="422" w:firstLineChars="200"/>
        <w:rPr>
          <w:rFonts w:hint="default" w:ascii="宋体" w:hAnsi="宋体"/>
          <w:szCs w:val="21"/>
          <w:lang w:val="en-US" w:eastAsia="zh-CN"/>
        </w:rPr>
      </w:pPr>
      <w:r>
        <w:rPr>
          <w:rFonts w:hint="eastAsia" w:ascii="宋体" w:hAnsi="宋体"/>
          <w:b/>
          <w:szCs w:val="21"/>
        </w:rPr>
        <w:t>2.2 建设规模</w:t>
      </w:r>
      <w:r>
        <w:rPr>
          <w:rFonts w:hint="eastAsia" w:ascii="宋体" w:hAnsi="宋体"/>
          <w:szCs w:val="21"/>
        </w:rPr>
        <w:t>：</w:t>
      </w:r>
      <w:r>
        <w:rPr>
          <w:rFonts w:hint="eastAsia" w:ascii="宋体" w:hAnsi="宋体" w:eastAsia="宋体" w:cs="宋体"/>
          <w:sz w:val="21"/>
          <w:szCs w:val="21"/>
          <w:highlight w:val="none"/>
          <w:shd w:val="clear" w:fill="FFFFFF"/>
          <w:vertAlign w:val="baseline"/>
        </w:rPr>
        <w:t>为提高区庄院区的综合服务能力，提升医疗服务质量和患者、员工满意度，中山眼科中心拟对区庄院区已获得批复病房改造项目范围以外3号楼（建筑高度62.25米</w:t>
      </w:r>
      <w:r>
        <w:rPr>
          <w:rFonts w:hint="eastAsia" w:ascii="宋体" w:hAnsi="宋体" w:eastAsia="宋体" w:cs="宋体"/>
          <w:sz w:val="21"/>
          <w:szCs w:val="21"/>
          <w:highlight w:val="none"/>
          <w:shd w:val="clear" w:fill="FFFFFF"/>
          <w:vertAlign w:val="baseline"/>
          <w:lang w:eastAsia="zh-CN"/>
        </w:rPr>
        <w:t>；</w:t>
      </w:r>
      <w:r>
        <w:rPr>
          <w:rFonts w:hint="eastAsia" w:ascii="宋体" w:hAnsi="宋体" w:eastAsia="宋体" w:cs="宋体"/>
          <w:b/>
          <w:bCs/>
          <w:sz w:val="21"/>
          <w:szCs w:val="21"/>
          <w:highlight w:val="none"/>
          <w:u w:val="single"/>
          <w:shd w:val="clear" w:fill="FFFFFF"/>
          <w:vertAlign w:val="baseline"/>
          <w:lang w:val="en-US" w:eastAsia="zh-CN"/>
        </w:rPr>
        <w:t>建筑跨度为12米</w:t>
      </w:r>
      <w:r>
        <w:rPr>
          <w:rFonts w:hint="eastAsia" w:ascii="宋体" w:hAnsi="宋体" w:eastAsia="宋体" w:cs="宋体"/>
          <w:sz w:val="21"/>
          <w:szCs w:val="21"/>
          <w:highlight w:val="none"/>
          <w:shd w:val="clear" w:fill="FFFFFF"/>
          <w:vertAlign w:val="baseline"/>
          <w:lang w:val="en-US" w:eastAsia="zh-CN"/>
        </w:rPr>
        <w:t>。</w:t>
      </w:r>
      <w:r>
        <w:rPr>
          <w:rFonts w:hint="eastAsia" w:ascii="宋体" w:hAnsi="宋体" w:eastAsia="宋体" w:cs="宋体"/>
          <w:sz w:val="21"/>
          <w:szCs w:val="21"/>
          <w:highlight w:val="none"/>
          <w:shd w:val="clear" w:fill="FFFFFF"/>
          <w:vertAlign w:val="baseline"/>
        </w:rPr>
        <w:t>）区域进行升级改造。具体包括3号楼负一层至14层（含天面空调主机、机房及各专业负1层至17层的专业管井及管井内的主干线路等内容。面积约11984平方米）装修改造；3号楼外立面整体装饰工程（面积约7504平方米）；电气、给排水、空调、消防、智能化等工程改造；以及整栋楼加固工程</w:t>
      </w:r>
      <w:r>
        <w:rPr>
          <w:rFonts w:hint="eastAsia" w:ascii="宋体" w:hAnsi="宋体" w:eastAsia="宋体" w:cs="宋体"/>
          <w:sz w:val="21"/>
          <w:szCs w:val="21"/>
          <w:highlight w:val="none"/>
          <w:shd w:val="clear" w:fill="FFFFFF"/>
          <w:vertAlign w:val="baseline"/>
          <w:lang w:eastAsia="zh-CN"/>
        </w:rPr>
        <w:t>（</w:t>
      </w:r>
      <w:r>
        <w:rPr>
          <w:rFonts w:hint="eastAsia" w:ascii="宋体" w:hAnsi="宋体" w:eastAsia="宋体" w:cs="宋体"/>
          <w:b/>
          <w:bCs/>
          <w:sz w:val="21"/>
          <w:szCs w:val="21"/>
          <w:highlight w:val="none"/>
          <w:u w:val="single"/>
          <w:shd w:val="clear" w:fill="FFFFFF"/>
          <w:vertAlign w:val="baseline"/>
          <w:lang w:val="en-US" w:eastAsia="zh-CN"/>
        </w:rPr>
        <w:t>加固工程从</w:t>
      </w:r>
      <w:r>
        <w:rPr>
          <w:rFonts w:hint="eastAsia" w:ascii="宋体" w:hAnsi="宋体" w:eastAsia="宋体" w:cs="宋体"/>
          <w:b/>
          <w:bCs/>
          <w:sz w:val="21"/>
          <w:szCs w:val="21"/>
          <w:highlight w:val="none"/>
          <w:u w:val="single"/>
          <w:shd w:val="clear" w:fill="FFFFFF"/>
          <w:vertAlign w:val="baseline"/>
        </w:rPr>
        <w:t>负1层至17层</w:t>
      </w:r>
      <w:r>
        <w:rPr>
          <w:rFonts w:hint="eastAsia" w:ascii="宋体" w:hAnsi="宋体" w:eastAsia="宋体" w:cs="宋体"/>
          <w:sz w:val="21"/>
          <w:szCs w:val="21"/>
          <w:highlight w:val="none"/>
          <w:shd w:val="clear" w:fill="FFFFFF"/>
          <w:vertAlign w:val="baseline"/>
          <w:lang w:eastAsia="zh-CN"/>
        </w:rPr>
        <w:t>）</w:t>
      </w:r>
      <w:r>
        <w:rPr>
          <w:rFonts w:hint="eastAsia" w:ascii="宋体" w:hAnsi="宋体" w:eastAsia="宋体" w:cs="宋体"/>
          <w:sz w:val="21"/>
          <w:szCs w:val="21"/>
          <w:highlight w:val="none"/>
          <w:shd w:val="clear" w:fill="FFFFFF"/>
          <w:vertAlign w:val="baseline"/>
        </w:rPr>
        <w:t>、加装电梯（高度超过50米）等内容。</w:t>
      </w:r>
    </w:p>
    <w:p w14:paraId="28CE990A">
      <w:pPr>
        <w:spacing w:line="400" w:lineRule="exact"/>
        <w:ind w:firstLine="422" w:firstLineChars="200"/>
        <w:rPr>
          <w:rFonts w:hint="eastAsia" w:ascii="宋体" w:hAnsi="宋体"/>
          <w:b/>
          <w:szCs w:val="21"/>
        </w:rPr>
      </w:pPr>
      <w:r>
        <w:rPr>
          <w:rFonts w:hint="eastAsia" w:ascii="宋体" w:hAnsi="宋体"/>
          <w:b/>
          <w:szCs w:val="21"/>
        </w:rPr>
        <w:t>2.3 工期</w:t>
      </w:r>
    </w:p>
    <w:p w14:paraId="44EF31D1">
      <w:pPr>
        <w:bidi w:val="0"/>
        <w:spacing w:line="400" w:lineRule="exact"/>
        <w:ind w:firstLine="420" w:firstLineChars="200"/>
        <w:rPr>
          <w:rFonts w:hint="eastAsia" w:ascii="宋体" w:hAnsi="宋体"/>
          <w:szCs w:val="21"/>
          <w:lang w:val="zh-CN"/>
        </w:rPr>
      </w:pPr>
      <w:r>
        <w:rPr>
          <w:rFonts w:hint="eastAsia" w:ascii="宋体" w:hAnsi="宋体"/>
          <w:szCs w:val="21"/>
          <w:lang w:val="zh-CN"/>
        </w:rPr>
        <w:t>计划工期：</w:t>
      </w:r>
      <w:r>
        <w:rPr>
          <w:rFonts w:hint="eastAsia" w:ascii="宋体" w:hAnsi="宋体"/>
          <w:szCs w:val="21"/>
          <w:lang w:val="zh-CN" w:eastAsia="zh-CN"/>
        </w:rPr>
        <w:t>16个月。</w:t>
      </w:r>
      <w:r>
        <w:rPr>
          <w:rFonts w:hint="eastAsia" w:ascii="宋体" w:hAnsi="宋体"/>
          <w:szCs w:val="21"/>
          <w:lang w:val="zh-CN"/>
        </w:rPr>
        <w:t>（具体开工日期以取得施工许可证或招标人发出的进场通知书之日起计算为准）</w:t>
      </w:r>
    </w:p>
    <w:p w14:paraId="25838B75">
      <w:pPr>
        <w:spacing w:line="400" w:lineRule="exact"/>
        <w:ind w:firstLine="420" w:firstLineChars="200"/>
        <w:rPr>
          <w:rFonts w:hint="eastAsia" w:ascii="宋体" w:hAnsi="宋体"/>
          <w:szCs w:val="21"/>
        </w:rPr>
      </w:pPr>
      <w:r>
        <w:rPr>
          <w:rFonts w:hint="eastAsia" w:ascii="宋体" w:hAnsi="宋体"/>
          <w:color w:val="auto"/>
          <w:szCs w:val="21"/>
          <w:highlight w:val="none"/>
          <w:shd w:val="clear" w:color="auto" w:fill="auto"/>
          <w:lang w:val="zh-CN" w:eastAsia="zh-CN"/>
        </w:rPr>
        <w:t>因涉及医疗腾挪需要，总工期分为两期进行。第一期工程：负一层至14层</w:t>
      </w:r>
      <w:r>
        <w:rPr>
          <w:rFonts w:hint="eastAsia" w:ascii="宋体" w:hAnsi="宋体"/>
          <w:szCs w:val="21"/>
          <w:shd w:val="clear"/>
          <w:lang w:val="en-US" w:eastAsia="zh-CN"/>
        </w:rPr>
        <w:t>含</w:t>
      </w:r>
      <w:r>
        <w:rPr>
          <w:rFonts w:hint="eastAsia" w:ascii="宋体" w:hAnsi="宋体"/>
          <w:szCs w:val="21"/>
          <w:lang w:val="zh-CN" w:eastAsia="zh-CN"/>
        </w:rPr>
        <w:t>天面</w:t>
      </w:r>
      <w:r>
        <w:rPr>
          <w:rFonts w:hint="eastAsia" w:ascii="宋体" w:hAnsi="宋体"/>
          <w:szCs w:val="21"/>
          <w:lang w:val="en-US" w:eastAsia="zh-CN"/>
        </w:rPr>
        <w:t>空调主机、机房</w:t>
      </w:r>
      <w:r>
        <w:rPr>
          <w:rFonts w:hint="eastAsia" w:ascii="宋体" w:hAnsi="宋体"/>
          <w:szCs w:val="21"/>
          <w:lang w:val="zh-CN" w:eastAsia="zh-CN"/>
        </w:rPr>
        <w:t>及</w:t>
      </w:r>
      <w:r>
        <w:rPr>
          <w:rFonts w:hint="eastAsia" w:ascii="宋体" w:hAnsi="宋体" w:eastAsia="宋体" w:cs="Times New Roman"/>
          <w:i w:val="0"/>
          <w:iCs w:val="0"/>
          <w:sz w:val="21"/>
          <w:szCs w:val="21"/>
          <w:u w:val="none"/>
          <w:lang w:val="zh-CN" w:eastAsia="zh-CN"/>
        </w:rPr>
        <w:t>各专业</w:t>
      </w:r>
      <w:r>
        <w:rPr>
          <w:rFonts w:hint="eastAsia" w:ascii="宋体" w:hAnsi="宋体" w:eastAsia="宋体" w:cs="Times New Roman"/>
          <w:i w:val="0"/>
          <w:iCs w:val="0"/>
          <w:sz w:val="21"/>
          <w:szCs w:val="21"/>
          <w:u w:val="none"/>
          <w:lang w:val="zh-CN"/>
        </w:rPr>
        <w:t>负1层至17层</w:t>
      </w:r>
      <w:r>
        <w:rPr>
          <w:rFonts w:hint="eastAsia" w:ascii="宋体" w:hAnsi="宋体" w:eastAsia="宋体" w:cs="Times New Roman"/>
          <w:i w:val="0"/>
          <w:iCs w:val="0"/>
          <w:sz w:val="21"/>
          <w:szCs w:val="21"/>
          <w:u w:val="none"/>
          <w:lang w:val="zh-CN" w:eastAsia="zh-CN"/>
        </w:rPr>
        <w:t>的专业管井及管井内的主干线路等内容</w:t>
      </w:r>
      <w:r>
        <w:rPr>
          <w:rFonts w:hint="eastAsia" w:ascii="宋体" w:hAnsi="宋体"/>
          <w:color w:val="auto"/>
          <w:szCs w:val="21"/>
          <w:highlight w:val="none"/>
          <w:shd w:val="clear" w:color="auto" w:fill="auto"/>
          <w:lang w:val="zh-CN" w:eastAsia="zh-CN"/>
        </w:rPr>
        <w:t>（其中8至11层、14层装修</w:t>
      </w:r>
      <w:r>
        <w:rPr>
          <w:rFonts w:hint="eastAsia" w:ascii="宋体" w:hAnsi="宋体"/>
          <w:color w:val="auto"/>
          <w:szCs w:val="21"/>
          <w:highlight w:val="none"/>
          <w:lang w:val="zh-CN" w:eastAsia="zh-CN"/>
        </w:rPr>
        <w:t>作为病房改造国债项目腾挪用房</w:t>
      </w:r>
      <w:r>
        <w:rPr>
          <w:rFonts w:hint="eastAsia" w:ascii="宋体" w:hAnsi="宋体"/>
          <w:szCs w:val="21"/>
          <w:lang w:val="en-US" w:eastAsia="zh-CN"/>
        </w:rPr>
        <w:t>性质</w:t>
      </w:r>
      <w:r>
        <w:rPr>
          <w:rFonts w:hint="eastAsia" w:ascii="宋体" w:hAnsi="宋体"/>
          <w:color w:val="auto"/>
          <w:szCs w:val="21"/>
          <w:highlight w:val="none"/>
          <w:lang w:val="zh-CN" w:eastAsia="zh-CN"/>
        </w:rPr>
        <w:t>进行装修</w:t>
      </w:r>
      <w:r>
        <w:rPr>
          <w:rFonts w:hint="eastAsia" w:ascii="宋体" w:hAnsi="宋体"/>
          <w:color w:val="auto"/>
          <w:szCs w:val="21"/>
          <w:highlight w:val="none"/>
          <w:shd w:val="clear" w:color="auto" w:fill="auto"/>
          <w:lang w:val="zh-CN" w:eastAsia="zh-CN"/>
        </w:rPr>
        <w:t>）</w:t>
      </w:r>
      <w:r>
        <w:rPr>
          <w:rFonts w:hint="eastAsia" w:ascii="宋体" w:hAnsi="宋体"/>
          <w:szCs w:val="21"/>
          <w:shd w:val="clear"/>
          <w:lang w:val="en-US" w:eastAsia="zh-CN"/>
        </w:rPr>
        <w:t>工期</w:t>
      </w:r>
      <w:r>
        <w:rPr>
          <w:rFonts w:hint="eastAsia" w:ascii="宋体" w:hAnsi="宋体"/>
          <w:color w:val="auto"/>
          <w:szCs w:val="21"/>
          <w:highlight w:val="none"/>
          <w:shd w:val="clear" w:color="auto" w:fill="auto"/>
          <w:lang w:val="zh-CN" w:eastAsia="zh-CN"/>
        </w:rPr>
        <w:t>约12</w:t>
      </w:r>
      <w:r>
        <w:rPr>
          <w:rFonts w:hint="eastAsia" w:ascii="宋体" w:hAnsi="宋体"/>
          <w:color w:val="auto"/>
          <w:szCs w:val="21"/>
          <w:highlight w:val="none"/>
          <w:shd w:val="clear" w:color="auto" w:fill="auto"/>
          <w:lang w:val="zh-CN"/>
        </w:rPr>
        <w:t>个</w:t>
      </w:r>
      <w:r>
        <w:rPr>
          <w:rFonts w:hint="eastAsia" w:ascii="宋体" w:hAnsi="宋体"/>
          <w:color w:val="auto"/>
          <w:szCs w:val="21"/>
          <w:highlight w:val="none"/>
          <w:shd w:val="clear" w:color="auto" w:fill="auto"/>
          <w:lang w:val="zh-CN" w:eastAsia="zh-CN"/>
        </w:rPr>
        <w:t>月</w:t>
      </w:r>
      <w:r>
        <w:rPr>
          <w:rFonts w:hint="eastAsia" w:ascii="宋体" w:hAnsi="宋体"/>
          <w:color w:val="auto"/>
          <w:szCs w:val="21"/>
          <w:highlight w:val="none"/>
          <w:shd w:val="clear" w:color="auto" w:fill="auto"/>
          <w:lang w:val="zh-CN"/>
        </w:rPr>
        <w:t>，暂定</w:t>
      </w:r>
      <w:r>
        <w:rPr>
          <w:rFonts w:hint="eastAsia" w:ascii="宋体" w:hAnsi="宋体"/>
          <w:color w:val="auto"/>
          <w:szCs w:val="21"/>
          <w:highlight w:val="none"/>
          <w:shd w:val="clear" w:color="auto" w:fill="auto"/>
          <w:lang w:val="zh-CN" w:eastAsia="zh-CN"/>
        </w:rPr>
        <w:t>2025</w:t>
      </w:r>
      <w:r>
        <w:rPr>
          <w:rFonts w:hint="eastAsia" w:ascii="宋体" w:hAnsi="宋体"/>
          <w:color w:val="auto"/>
          <w:szCs w:val="21"/>
          <w:highlight w:val="none"/>
          <w:shd w:val="clear" w:color="auto" w:fill="auto"/>
          <w:lang w:val="zh-CN"/>
        </w:rPr>
        <w:t>年开工。</w:t>
      </w:r>
      <w:r>
        <w:rPr>
          <w:rFonts w:hint="eastAsia" w:ascii="宋体" w:hAnsi="宋体"/>
          <w:color w:val="auto"/>
          <w:szCs w:val="21"/>
          <w:highlight w:val="none"/>
          <w:shd w:val="clear" w:color="auto" w:fill="auto"/>
          <w:lang w:val="zh-CN" w:eastAsia="zh-CN"/>
        </w:rPr>
        <w:t>第二期工程</w:t>
      </w:r>
      <w:r>
        <w:rPr>
          <w:rFonts w:hint="eastAsia" w:ascii="宋体" w:hAnsi="宋体"/>
          <w:szCs w:val="21"/>
          <w:shd w:val="clear"/>
          <w:lang w:val="zh-CN" w:eastAsia="zh-CN"/>
        </w:rPr>
        <w:t>：</w:t>
      </w:r>
      <w:r>
        <w:rPr>
          <w:rFonts w:hint="eastAsia" w:ascii="宋体" w:hAnsi="宋体"/>
          <w:szCs w:val="21"/>
          <w:shd w:val="clear"/>
          <w:lang w:val="en-US" w:eastAsia="zh-CN"/>
        </w:rPr>
        <w:t>待病房改造国债项目</w:t>
      </w:r>
      <w:r>
        <w:rPr>
          <w:rFonts w:hint="eastAsia" w:ascii="宋体" w:hAnsi="宋体"/>
          <w:color w:val="auto"/>
          <w:szCs w:val="21"/>
          <w:highlight w:val="none"/>
          <w:shd w:val="clear" w:color="auto" w:fill="auto"/>
          <w:lang w:val="zh-CN" w:eastAsia="zh-CN"/>
        </w:rPr>
        <w:t>1号楼新建完成并正式投入使用后，</w:t>
      </w:r>
      <w:r>
        <w:rPr>
          <w:rFonts w:hint="eastAsia" w:ascii="宋体" w:hAnsi="宋体"/>
          <w:szCs w:val="21"/>
          <w:shd w:val="clear"/>
          <w:lang w:val="en-US" w:eastAsia="zh-CN"/>
        </w:rPr>
        <w:t>按照实际功能需求</w:t>
      </w:r>
      <w:r>
        <w:rPr>
          <w:rFonts w:hint="eastAsia" w:ascii="宋体" w:hAnsi="宋体"/>
          <w:color w:val="auto"/>
          <w:szCs w:val="21"/>
          <w:highlight w:val="none"/>
          <w:shd w:val="clear" w:color="auto" w:fill="auto"/>
          <w:lang w:val="zh-CN" w:eastAsia="zh-CN"/>
        </w:rPr>
        <w:t>再启动3号楼的8至11层、14层</w:t>
      </w:r>
      <w:r>
        <w:rPr>
          <w:rFonts w:hint="eastAsia" w:ascii="宋体" w:hAnsi="宋体"/>
          <w:szCs w:val="21"/>
          <w:shd w:val="clear"/>
          <w:lang w:val="en-US" w:eastAsia="zh-CN"/>
        </w:rPr>
        <w:t>的最终装修改造</w:t>
      </w:r>
      <w:r>
        <w:rPr>
          <w:rFonts w:hint="eastAsia" w:ascii="宋体" w:hAnsi="宋体"/>
          <w:color w:val="auto"/>
          <w:szCs w:val="21"/>
          <w:highlight w:val="none"/>
          <w:shd w:val="clear" w:color="auto" w:fill="auto"/>
          <w:lang w:val="zh-CN" w:eastAsia="zh-CN"/>
        </w:rPr>
        <w:t>，工期约4个月，</w:t>
      </w:r>
      <w:r>
        <w:rPr>
          <w:rFonts w:hint="eastAsia" w:ascii="宋体" w:hAnsi="宋体"/>
          <w:szCs w:val="21"/>
          <w:shd w:val="clear"/>
          <w:lang w:val="en-US" w:eastAsia="zh-CN"/>
        </w:rPr>
        <w:t>二期工程</w:t>
      </w:r>
      <w:r>
        <w:rPr>
          <w:rFonts w:hint="eastAsia" w:ascii="宋体" w:hAnsi="宋体"/>
          <w:color w:val="auto"/>
          <w:szCs w:val="21"/>
          <w:highlight w:val="none"/>
          <w:shd w:val="clear" w:color="auto" w:fill="auto"/>
          <w:lang w:val="zh-CN" w:eastAsia="zh-CN"/>
        </w:rPr>
        <w:t>开工时间以甲方开工令为准。最后根据实际验收材料</w:t>
      </w:r>
      <w:r>
        <w:rPr>
          <w:rFonts w:hint="eastAsia" w:ascii="宋体" w:hAnsi="宋体"/>
          <w:color w:val="auto"/>
          <w:szCs w:val="21"/>
          <w:highlight w:val="none"/>
          <w:shd w:val="clear" w:color="auto" w:fill="auto"/>
          <w:lang w:val="zh-CN"/>
        </w:rPr>
        <w:t>完成竣工验收及备案</w:t>
      </w:r>
      <w:r>
        <w:rPr>
          <w:rFonts w:hint="eastAsia" w:ascii="宋体" w:hAnsi="宋体"/>
          <w:color w:val="auto"/>
          <w:szCs w:val="21"/>
          <w:highlight w:val="none"/>
          <w:shd w:val="clear" w:color="auto" w:fill="auto"/>
          <w:lang w:val="zh-CN" w:eastAsia="zh-CN"/>
        </w:rPr>
        <w:t>。</w:t>
      </w:r>
    </w:p>
    <w:p w14:paraId="1A6DBE1B">
      <w:pPr>
        <w:spacing w:line="400" w:lineRule="exact"/>
        <w:ind w:firstLine="413" w:firstLineChars="196"/>
        <w:rPr>
          <w:rFonts w:hint="eastAsia" w:ascii="宋体" w:hAnsi="宋体"/>
          <w:b/>
          <w:bCs/>
          <w:szCs w:val="21"/>
          <w:u w:val="single"/>
        </w:rPr>
      </w:pPr>
      <w:r>
        <w:rPr>
          <w:rFonts w:hint="eastAsia" w:ascii="宋体" w:hAnsi="宋体"/>
          <w:b/>
          <w:szCs w:val="21"/>
        </w:rPr>
        <w:t>2.4 标段划分：</w:t>
      </w:r>
      <w:r>
        <w:rPr>
          <w:rFonts w:hint="eastAsia" w:ascii="宋体" w:hAnsi="宋体"/>
          <w:szCs w:val="21"/>
        </w:rPr>
        <w:t>本工程划分为</w:t>
      </w:r>
      <w:r>
        <w:rPr>
          <w:rFonts w:hint="eastAsia" w:ascii="宋体" w:hAnsi="宋体"/>
          <w:szCs w:val="21"/>
          <w:u w:val="single"/>
        </w:rPr>
        <w:t xml:space="preserve">  1  </w:t>
      </w:r>
      <w:r>
        <w:rPr>
          <w:rFonts w:hint="eastAsia" w:ascii="宋体" w:hAnsi="宋体"/>
          <w:szCs w:val="21"/>
        </w:rPr>
        <w:t>个标段</w:t>
      </w:r>
    </w:p>
    <w:p w14:paraId="04383BDC">
      <w:pPr>
        <w:spacing w:line="400" w:lineRule="exact"/>
        <w:ind w:firstLine="413" w:firstLineChars="196"/>
        <w:rPr>
          <w:rFonts w:hint="eastAsia" w:ascii="宋体" w:hAnsi="宋体"/>
          <w:b/>
          <w:szCs w:val="21"/>
        </w:rPr>
      </w:pPr>
      <w:r>
        <w:rPr>
          <w:rFonts w:hint="eastAsia" w:ascii="宋体" w:hAnsi="宋体"/>
          <w:b/>
          <w:szCs w:val="21"/>
        </w:rPr>
        <w:t>2.5 招标内容：</w:t>
      </w:r>
    </w:p>
    <w:p w14:paraId="7AE91F80">
      <w:pPr>
        <w:spacing w:line="400" w:lineRule="exact"/>
        <w:ind w:firstLine="420" w:firstLineChars="200"/>
        <w:rPr>
          <w:rFonts w:hint="eastAsia" w:ascii="宋体" w:hAnsi="宋体"/>
          <w:szCs w:val="21"/>
          <w:u w:val="single"/>
        </w:rPr>
      </w:pPr>
      <w:r>
        <w:rPr>
          <w:rFonts w:hint="eastAsia" w:ascii="宋体" w:hAnsi="宋体"/>
          <w:szCs w:val="21"/>
          <w:u w:val="single"/>
        </w:rPr>
        <w:t>主要内容为</w:t>
      </w:r>
      <w:r>
        <w:rPr>
          <w:rFonts w:hint="eastAsia" w:ascii="宋体" w:hAnsi="宋体"/>
          <w:szCs w:val="21"/>
          <w:lang w:eastAsia="zh-CN"/>
        </w:rPr>
        <w:t>中山大学中山眼科中心区庄院区综合能力提升项目设计施工总承包</w:t>
      </w:r>
      <w:r>
        <w:rPr>
          <w:rFonts w:hint="eastAsia" w:ascii="宋体" w:hAnsi="宋体"/>
          <w:szCs w:val="21"/>
        </w:rPr>
        <w:t>，</w:t>
      </w:r>
      <w:r>
        <w:rPr>
          <w:rFonts w:hint="eastAsia" w:ascii="宋体" w:hAnsi="宋体"/>
          <w:szCs w:val="21"/>
          <w:u w:val="single"/>
        </w:rPr>
        <w:t>包括但不限于以下内容：</w:t>
      </w:r>
    </w:p>
    <w:p w14:paraId="369A8A78">
      <w:pPr>
        <w:spacing w:line="400" w:lineRule="exact"/>
        <w:ind w:firstLine="420" w:firstLineChars="200"/>
        <w:rPr>
          <w:rFonts w:hint="eastAsia" w:ascii="宋体" w:hAnsi="宋体"/>
          <w:szCs w:val="21"/>
          <w:u w:val="single"/>
        </w:rPr>
      </w:pPr>
      <w:r>
        <w:rPr>
          <w:rFonts w:hint="eastAsia" w:ascii="宋体" w:hAnsi="宋体"/>
          <w:szCs w:val="21"/>
          <w:u w:val="single"/>
        </w:rPr>
        <w:t>（1）设计部分：包括但不限于</w:t>
      </w:r>
      <w:r>
        <w:rPr>
          <w:rFonts w:hint="eastAsia" w:ascii="宋体" w:hAnsi="宋体"/>
          <w:szCs w:val="21"/>
          <w:u w:val="single"/>
          <w:lang w:val="en-US" w:eastAsia="zh-CN"/>
        </w:rPr>
        <w:t>方案设计、</w:t>
      </w:r>
      <w:r>
        <w:rPr>
          <w:rFonts w:hint="eastAsia" w:ascii="宋体" w:hAnsi="宋体"/>
          <w:szCs w:val="21"/>
          <w:u w:val="single"/>
        </w:rPr>
        <w:t>初步设计、项目概算、初步设计审查；施工图设计、配合施工图审查及备案（如有）；竣工图编制；协助</w:t>
      </w:r>
      <w:r>
        <w:rPr>
          <w:rFonts w:hint="eastAsia" w:ascii="宋体" w:hAnsi="宋体"/>
          <w:szCs w:val="21"/>
          <w:u w:val="single"/>
          <w:lang w:eastAsia="zh-CN"/>
        </w:rPr>
        <w:t>发包人</w:t>
      </w:r>
      <w:r>
        <w:rPr>
          <w:rFonts w:hint="eastAsia" w:ascii="宋体" w:hAnsi="宋体"/>
          <w:szCs w:val="21"/>
          <w:u w:val="single"/>
        </w:rPr>
        <w:t>办理规划报建等报批报建工作、施工配合服务、配合完成验收工作及后续服务工作等。主要工作内容详见设计</w:t>
      </w:r>
      <w:r>
        <w:rPr>
          <w:rFonts w:hint="eastAsia" w:ascii="宋体" w:hAnsi="宋体"/>
          <w:szCs w:val="21"/>
          <w:u w:val="single"/>
          <w:lang w:val="en-US" w:eastAsia="zh-CN"/>
        </w:rPr>
        <w:t>施工总承包</w:t>
      </w:r>
      <w:r>
        <w:rPr>
          <w:rFonts w:hint="eastAsia" w:ascii="宋体" w:hAnsi="宋体"/>
          <w:szCs w:val="21"/>
          <w:u w:val="single"/>
        </w:rPr>
        <w:t>任务书。</w:t>
      </w:r>
    </w:p>
    <w:p w14:paraId="354F9C4A">
      <w:pPr>
        <w:spacing w:line="400" w:lineRule="exact"/>
        <w:ind w:firstLine="420" w:firstLineChars="200"/>
        <w:rPr>
          <w:rFonts w:hint="eastAsia" w:ascii="宋体" w:hAnsi="宋体"/>
          <w:szCs w:val="21"/>
          <w:u w:val="single"/>
        </w:rPr>
      </w:pPr>
      <w:r>
        <w:rPr>
          <w:rFonts w:hint="eastAsia" w:ascii="宋体" w:hAnsi="宋体"/>
          <w:szCs w:val="21"/>
          <w:u w:val="single"/>
        </w:rPr>
        <w:t>（2）施工部分：包括但不限于完成本项目所需的所有的施工工作（含配合竣工图编制）、配合相关部门结（决）算审核、工程保修等工作，组织本项目的验收备案和工程资料汇总及整理归档工作、负责办理工程开工及验收所需的各项手续并承担办理上述手续施工方的费用、完成施工其它相关工作、负责协调施工过程周边居民、施工期交通疏解等。主要工作内容详见设计</w:t>
      </w:r>
      <w:r>
        <w:rPr>
          <w:rFonts w:hint="eastAsia" w:ascii="宋体" w:hAnsi="宋体"/>
          <w:szCs w:val="21"/>
          <w:u w:val="single"/>
          <w:lang w:val="en-US" w:eastAsia="zh-CN"/>
        </w:rPr>
        <w:t>施工总承包</w:t>
      </w:r>
      <w:r>
        <w:rPr>
          <w:rFonts w:hint="eastAsia" w:ascii="宋体" w:hAnsi="宋体"/>
          <w:szCs w:val="21"/>
          <w:u w:val="single"/>
        </w:rPr>
        <w:t>任务书。</w:t>
      </w:r>
    </w:p>
    <w:p w14:paraId="74EBAD99">
      <w:pPr>
        <w:spacing w:line="400" w:lineRule="exact"/>
        <w:ind w:firstLine="420" w:firstLineChars="200"/>
        <w:rPr>
          <w:rFonts w:hint="eastAsia" w:ascii="宋体" w:hAnsi="宋体"/>
          <w:szCs w:val="21"/>
          <w:u w:val="single"/>
        </w:rPr>
      </w:pPr>
      <w:r>
        <w:rPr>
          <w:rFonts w:hint="eastAsia" w:ascii="宋体" w:hAnsi="宋体"/>
          <w:szCs w:val="21"/>
          <w:u w:val="single"/>
        </w:rPr>
        <w:t>（3）根据招标人要求进行全过程限额设计及施工。</w:t>
      </w:r>
    </w:p>
    <w:p w14:paraId="1CCDD173">
      <w:pPr>
        <w:spacing w:line="400" w:lineRule="exact"/>
        <w:ind w:firstLine="420" w:firstLineChars="200"/>
        <w:rPr>
          <w:rFonts w:hint="eastAsia" w:ascii="宋体" w:hAnsi="宋体"/>
          <w:szCs w:val="21"/>
          <w:u w:val="single"/>
        </w:rPr>
      </w:pPr>
      <w:r>
        <w:rPr>
          <w:rFonts w:hint="eastAsia" w:ascii="宋体" w:hAnsi="宋体"/>
          <w:szCs w:val="21"/>
          <w:u w:val="single"/>
        </w:rPr>
        <w:t>（4）招标人有权根据工程实际情况，对承包范围及内容进行适当调整，如实际工程量相对施工图纸及施工合同工程量发生变化，承包人不得有任何异议，且承包人不得以任何理由要求发包人补偿任何费用（承包人要充分考虑最不利因素影响）。并按合同约定处理，承包人必须无条件服从。</w:t>
      </w:r>
    </w:p>
    <w:p w14:paraId="7D8423D3">
      <w:pPr>
        <w:spacing w:line="400" w:lineRule="exact"/>
        <w:ind w:firstLine="422" w:firstLineChars="200"/>
        <w:rPr>
          <w:rFonts w:hint="eastAsia" w:ascii="宋体" w:hAnsi="宋体"/>
          <w:b/>
          <w:szCs w:val="21"/>
        </w:rPr>
      </w:pPr>
      <w:r>
        <w:rPr>
          <w:rFonts w:hint="eastAsia" w:ascii="宋体" w:hAnsi="宋体"/>
          <w:b/>
          <w:szCs w:val="21"/>
        </w:rPr>
        <w:t>2.6 前期服务机构：</w:t>
      </w:r>
      <w:r>
        <w:rPr>
          <w:rFonts w:hint="eastAsia" w:ascii="宋体" w:hAnsi="宋体"/>
          <w:u w:val="single"/>
        </w:rPr>
        <w:t>广东省国际工程咨询有限公司</w:t>
      </w:r>
    </w:p>
    <w:p w14:paraId="5A1CCA32">
      <w:pPr>
        <w:spacing w:line="400" w:lineRule="exact"/>
        <w:ind w:firstLine="413" w:firstLineChars="196"/>
        <w:rPr>
          <w:rFonts w:hint="eastAsia" w:ascii="宋体" w:hAnsi="宋体"/>
          <w:b/>
          <w:szCs w:val="21"/>
        </w:rPr>
      </w:pPr>
      <w:r>
        <w:rPr>
          <w:rFonts w:hint="eastAsia" w:ascii="宋体" w:hAnsi="宋体"/>
          <w:b/>
          <w:szCs w:val="21"/>
        </w:rPr>
        <w:t>注：如果前期服务机构参加本次投标，招标人应将本公告发布前最终完成的工作成果（含电子文件）在发放招标文件的同时提供给所有投标人参考，否则前期参与的服务机构中标无效。</w:t>
      </w:r>
    </w:p>
    <w:p w14:paraId="18A5D1C5">
      <w:pPr>
        <w:ind w:firstLine="422" w:firstLineChars="200"/>
        <w:rPr>
          <w:rFonts w:hint="eastAsia" w:ascii="宋体" w:hAnsi="宋体" w:cs="宋体"/>
          <w:bCs/>
          <w:color w:val="000000"/>
          <w:szCs w:val="21"/>
          <w:u w:val="single"/>
        </w:rPr>
      </w:pPr>
      <w:r>
        <w:rPr>
          <w:rFonts w:hint="eastAsia" w:ascii="宋体" w:hAnsi="宋体"/>
          <w:b/>
          <w:color w:val="000000"/>
          <w:szCs w:val="21"/>
        </w:rPr>
        <w:t>2.7 最高投标限</w:t>
      </w:r>
      <w:r>
        <w:rPr>
          <w:rFonts w:hint="eastAsia" w:ascii="宋体" w:hAnsi="宋体"/>
          <w:b/>
          <w:color w:val="auto"/>
          <w:szCs w:val="21"/>
        </w:rPr>
        <w:t>价：</w:t>
      </w:r>
      <w:r>
        <w:rPr>
          <w:rFonts w:hint="eastAsia" w:ascii="宋体" w:hAnsi="宋体"/>
          <w:bCs/>
          <w:color w:val="auto"/>
          <w:szCs w:val="21"/>
          <w:u w:val="single"/>
        </w:rPr>
        <w:t>人民币4742.24万元。（建设费用4371.75万元；设计费用：144.67万元；预备费225.82万元；其中装修部分占比约64.46%，金额约3057.08万元）</w:t>
      </w:r>
    </w:p>
    <w:p w14:paraId="3B260AFF">
      <w:pPr>
        <w:spacing w:line="400" w:lineRule="exact"/>
        <w:ind w:firstLine="422" w:firstLineChars="200"/>
        <w:rPr>
          <w:rFonts w:hint="eastAsia" w:ascii="宋体" w:hAnsi="宋体"/>
          <w:b/>
          <w:bCs w:val="0"/>
          <w:color w:val="000000"/>
          <w:szCs w:val="21"/>
          <w:u w:val="single"/>
        </w:rPr>
      </w:pPr>
      <w:r>
        <w:rPr>
          <w:rFonts w:hint="eastAsia" w:ascii="宋体" w:hAnsi="宋体"/>
          <w:b/>
          <w:bCs w:val="0"/>
          <w:color w:val="000000"/>
          <w:szCs w:val="21"/>
          <w:u w:val="single"/>
        </w:rPr>
        <w:t>投标人的投标总价或设计费或建设费超过上述最高投标限价的为无效标。预备费用不作竞争。评标委员会应当否决投标报价超过上述任一对应的最高投标限价的投标文件。</w:t>
      </w:r>
    </w:p>
    <w:p w14:paraId="244B70FD">
      <w:pPr>
        <w:spacing w:line="400" w:lineRule="exact"/>
        <w:ind w:firstLine="422" w:firstLineChars="200"/>
        <w:rPr>
          <w:rFonts w:hint="eastAsia" w:ascii="宋体" w:hAnsi="宋体"/>
        </w:rPr>
      </w:pPr>
      <w:r>
        <w:rPr>
          <w:rFonts w:hint="eastAsia" w:ascii="宋体" w:hAnsi="宋体"/>
          <w:b/>
          <w:bCs/>
          <w:szCs w:val="21"/>
        </w:rPr>
        <w:t>2.8 投标经济补偿</w:t>
      </w:r>
      <w:r>
        <w:rPr>
          <w:rFonts w:hint="eastAsia" w:ascii="宋体" w:hAnsi="宋体"/>
          <w:bCs/>
          <w:szCs w:val="21"/>
        </w:rPr>
        <w:t>：</w:t>
      </w:r>
      <w:r>
        <w:rPr>
          <w:rFonts w:ascii="宋体" w:hAnsi="宋体"/>
          <w:bCs/>
          <w:szCs w:val="21"/>
          <w:u w:val="single"/>
        </w:rPr>
        <w:t>本项目不设置投标补偿，投标费用自理。</w:t>
      </w:r>
    </w:p>
    <w:p w14:paraId="20FEB5DB">
      <w:pPr>
        <w:pStyle w:val="2"/>
      </w:pPr>
      <w:bookmarkStart w:id="4" w:name="_Toc22280875"/>
      <w:bookmarkStart w:id="5" w:name="_Toc134304514"/>
      <w:r>
        <w:rPr>
          <w:rFonts w:hint="eastAsia"/>
        </w:rPr>
        <w:t>3. 投标人资格要求</w:t>
      </w:r>
      <w:bookmarkEnd w:id="4"/>
      <w:bookmarkEnd w:id="5"/>
    </w:p>
    <w:p w14:paraId="3EFA21A3">
      <w:pPr>
        <w:spacing w:line="400" w:lineRule="exact"/>
        <w:ind w:firstLine="420" w:firstLineChars="200"/>
        <w:rPr>
          <w:rFonts w:hint="eastAsia" w:ascii="宋体" w:hAnsi="宋体" w:cs="宋体"/>
          <w:szCs w:val="21"/>
        </w:rPr>
      </w:pPr>
      <w:r>
        <w:rPr>
          <w:rFonts w:hint="eastAsia" w:ascii="宋体" w:hAnsi="宋体" w:cs="宋体"/>
          <w:szCs w:val="21"/>
        </w:rPr>
        <w:t>3.1 本次招标要求投标人须具备承接本项目所需的建设行政主管部门颁发的以下资质：</w:t>
      </w:r>
    </w:p>
    <w:p w14:paraId="355C3FD2">
      <w:pPr>
        <w:spacing w:line="400" w:lineRule="exact"/>
        <w:ind w:firstLine="420" w:firstLineChars="200"/>
        <w:rPr>
          <w:rFonts w:hint="eastAsia" w:ascii="宋体" w:hAnsi="宋体" w:cs="宋体"/>
          <w:szCs w:val="21"/>
        </w:rPr>
      </w:pPr>
      <w:r>
        <w:rPr>
          <w:rFonts w:hint="eastAsia" w:ascii="宋体" w:hAnsi="宋体" w:cs="宋体"/>
          <w:szCs w:val="21"/>
        </w:rPr>
        <w:t>3.1.1</w:t>
      </w:r>
      <w:r>
        <w:rPr>
          <w:rFonts w:hint="eastAsia" w:ascii="宋体" w:hAnsi="宋体" w:cs="宋体"/>
          <w:b/>
          <w:szCs w:val="21"/>
        </w:rPr>
        <w:t>工程设计资质</w:t>
      </w:r>
      <w:r>
        <w:rPr>
          <w:rFonts w:hint="eastAsia" w:ascii="宋体" w:hAnsi="宋体" w:cs="宋体"/>
          <w:szCs w:val="21"/>
        </w:rPr>
        <w:t>：（若为联合体投标，由承担设计任务方提供）：须具备有效期内的</w:t>
      </w:r>
      <w:r>
        <w:rPr>
          <w:rFonts w:hint="eastAsia" w:ascii="宋体" w:hAnsi="宋体" w:cs="宋体"/>
          <w:szCs w:val="21"/>
          <w:u w:val="single"/>
        </w:rPr>
        <w:t>工程设计综合甲级资质，或建筑行业设计</w:t>
      </w:r>
      <w:r>
        <w:rPr>
          <w:rFonts w:hint="eastAsia" w:ascii="宋体" w:hAnsi="宋体" w:cs="宋体"/>
          <w:b/>
          <w:bCs/>
          <w:szCs w:val="21"/>
          <w:u w:val="single"/>
        </w:rPr>
        <w:t>甲级</w:t>
      </w:r>
      <w:r>
        <w:rPr>
          <w:rFonts w:hint="eastAsia" w:ascii="宋体" w:hAnsi="宋体" w:cs="宋体"/>
          <w:szCs w:val="21"/>
          <w:u w:val="single"/>
        </w:rPr>
        <w:t>资质，或建筑行业（建筑工程）专业设计</w:t>
      </w:r>
      <w:r>
        <w:rPr>
          <w:rFonts w:hint="eastAsia" w:ascii="宋体" w:hAnsi="宋体" w:cs="宋体"/>
          <w:b/>
          <w:bCs/>
          <w:szCs w:val="21"/>
          <w:u w:val="single"/>
        </w:rPr>
        <w:t>甲级</w:t>
      </w:r>
      <w:r>
        <w:rPr>
          <w:rFonts w:hint="eastAsia" w:ascii="宋体" w:hAnsi="宋体" w:cs="宋体"/>
          <w:szCs w:val="21"/>
          <w:u w:val="single"/>
        </w:rPr>
        <w:t>资质，或建筑设计事务所资质，或已备案的香港企业</w:t>
      </w:r>
      <w:r>
        <w:rPr>
          <w:rFonts w:hint="eastAsia" w:ascii="宋体" w:hAnsi="宋体" w:cs="宋体"/>
          <w:szCs w:val="21"/>
        </w:rPr>
        <w:t>。</w:t>
      </w:r>
    </w:p>
    <w:p w14:paraId="03E40479">
      <w:pPr>
        <w:spacing w:line="400" w:lineRule="exact"/>
        <w:ind w:firstLine="420" w:firstLineChars="200"/>
        <w:rPr>
          <w:rFonts w:hint="eastAsia" w:ascii="宋体" w:hAnsi="宋体" w:cs="宋体"/>
          <w:szCs w:val="21"/>
          <w:u w:val="single"/>
        </w:rPr>
      </w:pPr>
      <w:r>
        <w:rPr>
          <w:rFonts w:hint="eastAsia" w:ascii="宋体" w:hAnsi="宋体" w:cs="宋体"/>
          <w:szCs w:val="21"/>
          <w:u w:val="single"/>
        </w:rPr>
        <w:t>香港企业独立参加投标的，须在广东省住房和城乡建设主管部门备案且备案的业务范围满足本项目设计资质要求。</w:t>
      </w:r>
    </w:p>
    <w:p w14:paraId="74FE87B7">
      <w:pPr>
        <w:spacing w:line="400" w:lineRule="exact"/>
        <w:ind w:firstLine="420" w:firstLineChars="200"/>
        <w:rPr>
          <w:rFonts w:hint="eastAsia" w:ascii="宋体" w:hAnsi="宋体" w:cs="宋体"/>
          <w:szCs w:val="21"/>
          <w:u w:val="single"/>
        </w:rPr>
      </w:pPr>
      <w:r>
        <w:rPr>
          <w:rFonts w:hint="eastAsia" w:ascii="宋体" w:hAnsi="宋体" w:cs="宋体"/>
          <w:szCs w:val="21"/>
          <w:u w:val="single"/>
        </w:rPr>
        <w:t>注：①、国内申请人具体资质要求按照《建设工程勘察设计资质管理规定》（建设部令第160号）、《建设工程勘察设计资质管理规定实施意见》（建市[2007]202号）、《工程设计资质标准》（建市〔2007〕86号）、《住房城乡建设部关于促进建筑工程设计事务所发展有关事项的通知》（建市（2016）261号）、《住房和城乡建设部办公厅关于建设工程企业资质统一延续有关事项的通知》（建办市函〔2021〕510号）填写。</w:t>
      </w:r>
    </w:p>
    <w:p w14:paraId="022FDF30">
      <w:pPr>
        <w:spacing w:line="400" w:lineRule="exact"/>
        <w:ind w:firstLine="420" w:firstLineChars="200"/>
        <w:rPr>
          <w:rFonts w:hint="eastAsia" w:ascii="宋体" w:hAnsi="宋体" w:cs="宋体"/>
          <w:szCs w:val="21"/>
          <w:u w:val="single"/>
        </w:rPr>
      </w:pPr>
      <w:r>
        <w:rPr>
          <w:rFonts w:hint="eastAsia" w:ascii="宋体" w:hAnsi="宋体" w:cs="宋体"/>
          <w:szCs w:val="21"/>
          <w:u w:val="single"/>
        </w:rPr>
        <w:t>②、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72412621">
      <w:pPr>
        <w:spacing w:line="400" w:lineRule="exact"/>
        <w:ind w:firstLine="420" w:firstLineChars="200"/>
        <w:rPr>
          <w:rFonts w:hint="eastAsia" w:ascii="宋体" w:hAnsi="宋体" w:cs="宋体"/>
          <w:szCs w:val="21"/>
        </w:rPr>
      </w:pPr>
      <w:r>
        <w:rPr>
          <w:rFonts w:hint="eastAsia" w:ascii="宋体" w:hAnsi="宋体" w:cs="宋体"/>
          <w:szCs w:val="21"/>
        </w:rPr>
        <w:t xml:space="preserve">3.1.2 </w:t>
      </w:r>
      <w:r>
        <w:rPr>
          <w:rFonts w:hint="eastAsia" w:ascii="宋体" w:hAnsi="宋体" w:cs="宋体"/>
          <w:b/>
          <w:szCs w:val="21"/>
        </w:rPr>
        <w:t>施工资质</w:t>
      </w:r>
      <w:r>
        <w:rPr>
          <w:rFonts w:hint="eastAsia" w:ascii="宋体" w:hAnsi="宋体" w:cs="宋体"/>
          <w:szCs w:val="21"/>
        </w:rPr>
        <w:t>：（若为联合体投标，由承担施工任务方提供）须具备有效期内的</w:t>
      </w:r>
      <w:r>
        <w:rPr>
          <w:rFonts w:hint="eastAsia" w:ascii="宋体" w:hAnsi="宋体" w:cs="宋体"/>
          <w:szCs w:val="21"/>
          <w:u w:val="single"/>
        </w:rPr>
        <w:t>建筑工程施工总承包</w:t>
      </w:r>
      <w:r>
        <w:rPr>
          <w:rFonts w:hint="eastAsia" w:ascii="宋体" w:hAnsi="宋体" w:cs="宋体"/>
          <w:szCs w:val="21"/>
          <w:u w:val="single"/>
          <w:lang w:val="en-US" w:eastAsia="zh-CN"/>
        </w:rPr>
        <w:t>二</w:t>
      </w:r>
      <w:r>
        <w:rPr>
          <w:rFonts w:hint="eastAsia" w:ascii="宋体" w:hAnsi="宋体" w:cs="宋体"/>
          <w:szCs w:val="21"/>
          <w:u w:val="single"/>
        </w:rPr>
        <w:t>级(或以上)资质</w:t>
      </w:r>
      <w:r>
        <w:rPr>
          <w:rFonts w:hint="eastAsia" w:ascii="宋体" w:hAnsi="宋体" w:cs="宋体"/>
          <w:szCs w:val="21"/>
        </w:rPr>
        <w:t>。</w:t>
      </w:r>
    </w:p>
    <w:p w14:paraId="754667D9">
      <w:pPr>
        <w:spacing w:line="400" w:lineRule="exact"/>
        <w:ind w:firstLine="420" w:firstLineChars="200"/>
        <w:jc w:val="left"/>
        <w:rPr>
          <w:rFonts w:hint="eastAsia" w:ascii="宋体" w:hAnsi="宋体" w:cs="宋体"/>
          <w:szCs w:val="21"/>
        </w:rPr>
      </w:pPr>
      <w:r>
        <w:rPr>
          <w:rFonts w:hint="eastAsia" w:ascii="宋体" w:hAnsi="宋体" w:cs="宋体"/>
          <w:szCs w:val="21"/>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4E60CD42">
      <w:pPr>
        <w:spacing w:line="400" w:lineRule="exact"/>
        <w:ind w:firstLine="420" w:firstLineChars="200"/>
        <w:jc w:val="left"/>
        <w:rPr>
          <w:rFonts w:hint="eastAsia" w:ascii="宋体" w:hAnsi="宋体" w:cs="宋体"/>
          <w:szCs w:val="21"/>
        </w:rPr>
      </w:pPr>
      <w:r>
        <w:rPr>
          <w:rFonts w:hint="eastAsia" w:ascii="宋体" w:hAnsi="宋体" w:cs="宋体"/>
          <w:szCs w:val="21"/>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0793B1B2">
      <w:pPr>
        <w:spacing w:line="400" w:lineRule="exact"/>
        <w:ind w:firstLine="420" w:firstLineChars="200"/>
        <w:rPr>
          <w:rFonts w:hint="eastAsia" w:ascii="宋体" w:hAnsi="宋体" w:cs="宋体"/>
          <w:szCs w:val="21"/>
        </w:rPr>
      </w:pPr>
      <w:r>
        <w:rPr>
          <w:rFonts w:hint="eastAsia" w:ascii="宋体" w:hAnsi="宋体" w:cs="宋体"/>
          <w:szCs w:val="21"/>
        </w:rPr>
        <w:t>3.2 本次招标接受联合体投标。联合体投标的，应满足下列要求：</w:t>
      </w:r>
    </w:p>
    <w:p w14:paraId="1586B845">
      <w:pPr>
        <w:spacing w:line="400" w:lineRule="exact"/>
        <w:ind w:firstLine="420" w:firstLineChars="200"/>
        <w:rPr>
          <w:rFonts w:hint="eastAsia" w:ascii="宋体" w:hAnsi="宋体" w:cs="宋体"/>
          <w:szCs w:val="21"/>
          <w:u w:val="single"/>
        </w:rPr>
      </w:pPr>
      <w:r>
        <w:rPr>
          <w:rFonts w:hint="eastAsia" w:ascii="宋体" w:hAnsi="宋体" w:cs="宋体"/>
          <w:szCs w:val="21"/>
          <w:u w:val="single"/>
        </w:rPr>
        <w:t>3.2.1联合体投标的，应满足下列要求：只接受最多由2家单位（</w:t>
      </w:r>
      <w:r>
        <w:rPr>
          <w:rFonts w:hint="eastAsia"/>
          <w:sz w:val="21"/>
          <w:szCs w:val="21"/>
          <w:highlight w:val="none"/>
          <w:u w:val="single"/>
        </w:rPr>
        <w:t>1家</w:t>
      </w:r>
      <w:r>
        <w:rPr>
          <w:rFonts w:hint="eastAsia"/>
          <w:b/>
          <w:bCs/>
          <w:sz w:val="21"/>
          <w:szCs w:val="21"/>
          <w:highlight w:val="none"/>
          <w:u w:val="single"/>
          <w:lang w:val="en-US" w:eastAsia="zh-CN"/>
        </w:rPr>
        <w:t>承接项目所有设计工作的</w:t>
      </w:r>
      <w:r>
        <w:rPr>
          <w:rFonts w:hint="eastAsia"/>
          <w:b/>
          <w:bCs/>
          <w:sz w:val="21"/>
          <w:szCs w:val="21"/>
          <w:highlight w:val="none"/>
          <w:u w:val="single"/>
        </w:rPr>
        <w:t>设计单位</w:t>
      </w:r>
      <w:r>
        <w:rPr>
          <w:rFonts w:hint="eastAsia"/>
          <w:sz w:val="21"/>
          <w:szCs w:val="21"/>
          <w:highlight w:val="none"/>
          <w:u w:val="single"/>
        </w:rPr>
        <w:t>、1家</w:t>
      </w:r>
      <w:r>
        <w:rPr>
          <w:rFonts w:hint="eastAsia"/>
          <w:b/>
          <w:bCs/>
          <w:sz w:val="21"/>
          <w:szCs w:val="21"/>
          <w:highlight w:val="none"/>
          <w:u w:val="single"/>
          <w:lang w:val="en-US" w:eastAsia="zh-CN"/>
        </w:rPr>
        <w:t>承接项目所有施工工作的</w:t>
      </w:r>
      <w:r>
        <w:rPr>
          <w:rFonts w:hint="eastAsia"/>
          <w:sz w:val="21"/>
          <w:szCs w:val="21"/>
          <w:highlight w:val="none"/>
          <w:u w:val="single"/>
        </w:rPr>
        <w:t>施工单位</w:t>
      </w:r>
      <w:r>
        <w:rPr>
          <w:rFonts w:hint="eastAsia" w:ascii="宋体" w:hAnsi="宋体" w:cs="宋体"/>
          <w:szCs w:val="21"/>
          <w:u w:val="single"/>
        </w:rPr>
        <w:t>）组成的联合体,应以承接（施工）任务的单位为</w:t>
      </w:r>
      <w:r>
        <w:rPr>
          <w:rFonts w:hint="eastAsia" w:ascii="宋体" w:hAnsi="宋体" w:cs="宋体"/>
          <w:bCs/>
          <w:szCs w:val="21"/>
          <w:u w:val="single"/>
        </w:rPr>
        <w:t>主办方</w:t>
      </w:r>
      <w:r>
        <w:rPr>
          <w:rFonts w:hint="eastAsia" w:ascii="宋体" w:hAnsi="宋体" w:cs="宋体"/>
          <w:szCs w:val="21"/>
          <w:u w:val="single"/>
        </w:rPr>
        <w:t>，并签定联合体工作协议（格式参考附件三），联合体工作协议应明确确定联合体</w:t>
      </w:r>
      <w:r>
        <w:rPr>
          <w:rFonts w:hint="eastAsia" w:ascii="宋体" w:hAnsi="宋体" w:cs="宋体"/>
          <w:bCs/>
          <w:szCs w:val="21"/>
          <w:u w:val="single"/>
        </w:rPr>
        <w:t>主办方</w:t>
      </w:r>
      <w:r>
        <w:rPr>
          <w:rFonts w:hint="eastAsia" w:ascii="宋体" w:hAnsi="宋体" w:cs="宋体"/>
          <w:szCs w:val="21"/>
          <w:u w:val="single"/>
        </w:rPr>
        <w:t>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14:paraId="54BA4629">
      <w:pPr>
        <w:spacing w:line="400" w:lineRule="exact"/>
        <w:ind w:firstLine="420" w:firstLineChars="200"/>
        <w:rPr>
          <w:rFonts w:hint="eastAsia" w:ascii="宋体" w:hAnsi="宋体" w:cs="宋体"/>
          <w:szCs w:val="21"/>
          <w:u w:val="single"/>
        </w:rPr>
      </w:pPr>
      <w:r>
        <w:rPr>
          <w:rFonts w:hint="eastAsia" w:ascii="宋体" w:hAnsi="宋体" w:cs="宋体"/>
          <w:szCs w:val="21"/>
          <w:u w:val="single"/>
        </w:rPr>
        <w:t>3.2.2投标人拟任本工程项目负责人、设计负责人必须是联合体中对应分工成员的正式员工；以上2项人员不得重复兼任。</w:t>
      </w:r>
    </w:p>
    <w:p w14:paraId="01110196">
      <w:pPr>
        <w:spacing w:line="400" w:lineRule="exact"/>
        <w:ind w:firstLine="420" w:firstLineChars="200"/>
        <w:rPr>
          <w:rFonts w:hint="eastAsia" w:ascii="宋体" w:hAnsi="宋体" w:cs="宋体"/>
          <w:szCs w:val="21"/>
          <w:u w:val="single"/>
        </w:rPr>
      </w:pPr>
      <w:r>
        <w:rPr>
          <w:rFonts w:hint="eastAsia" w:ascii="宋体" w:hAnsi="宋体" w:cs="宋体"/>
          <w:szCs w:val="21"/>
          <w:u w:val="single"/>
        </w:rPr>
        <w:t>3.2.3联合体的资格条件按联合体任务分工进行评审，其中：施工资质、安全生产许可证、项目负责人、技术负责人、专职安全员以联合体的主办方为准；工程设计资质、设计负责人以承接设计任务的成员单位为准。</w:t>
      </w:r>
    </w:p>
    <w:p w14:paraId="56EFEBA9">
      <w:pPr>
        <w:spacing w:line="400" w:lineRule="exact"/>
        <w:ind w:firstLine="420" w:firstLineChars="200"/>
        <w:rPr>
          <w:rFonts w:hint="eastAsia" w:ascii="宋体" w:hAnsi="宋体" w:cs="宋体"/>
          <w:szCs w:val="21"/>
          <w:u w:val="single"/>
        </w:rPr>
      </w:pPr>
      <w:r>
        <w:rPr>
          <w:rFonts w:hint="eastAsia" w:ascii="宋体" w:hAnsi="宋体" w:cs="宋体"/>
          <w:szCs w:val="21"/>
          <w:u w:val="single"/>
        </w:rPr>
        <w:t>3.2.4联合体各方不得再以自己名义单独或加入其他联合体参加本项目的投标，组成联合体投标各方在投标登记后，不得再变更其组织形式及成员构成。出现上述情况者，其投标申请和与此有关的联合体的投标将被拒绝。联合体投标人，其投标文件以及中标时签订的合同，对联合体各方都产生约束力。</w:t>
      </w:r>
    </w:p>
    <w:p w14:paraId="04EF6D59">
      <w:pPr>
        <w:spacing w:line="400" w:lineRule="exact"/>
        <w:ind w:firstLine="420" w:firstLineChars="200"/>
        <w:rPr>
          <w:rFonts w:hint="eastAsia" w:ascii="宋体" w:hAnsi="宋体" w:cs="宋体"/>
          <w:szCs w:val="21"/>
          <w:u w:val="single"/>
        </w:rPr>
      </w:pPr>
      <w:r>
        <w:rPr>
          <w:rFonts w:hint="eastAsia" w:ascii="宋体" w:hAnsi="宋体" w:cs="宋体"/>
          <w:szCs w:val="21"/>
          <w:u w:val="single"/>
        </w:rPr>
        <w:t>3.3 主要负责人资格要求：</w:t>
      </w:r>
    </w:p>
    <w:p w14:paraId="73D220DD">
      <w:pPr>
        <w:spacing w:line="400" w:lineRule="exact"/>
        <w:ind w:firstLine="420" w:firstLineChars="200"/>
        <w:rPr>
          <w:rFonts w:hint="eastAsia" w:ascii="宋体" w:hAnsi="宋体" w:cs="宋体"/>
          <w:szCs w:val="21"/>
          <w:u w:val="single"/>
        </w:rPr>
      </w:pPr>
      <w:r>
        <w:rPr>
          <w:rFonts w:hint="eastAsia" w:ascii="宋体" w:hAnsi="宋体" w:cs="宋体"/>
          <w:szCs w:val="21"/>
          <w:u w:val="single"/>
        </w:rPr>
        <w:t>3.3.1拟派项目负责人（兼施工负责人，下同）要求：须具备建筑工程专业</w:t>
      </w:r>
      <w:r>
        <w:rPr>
          <w:rFonts w:hint="eastAsia" w:ascii="宋体" w:hAnsi="宋体" w:cs="宋体"/>
          <w:szCs w:val="21"/>
          <w:u w:val="single"/>
          <w:lang w:val="en-US" w:eastAsia="zh-CN"/>
        </w:rPr>
        <w:t>一</w:t>
      </w:r>
      <w:r>
        <w:rPr>
          <w:rFonts w:hint="eastAsia" w:ascii="宋体" w:hAnsi="宋体" w:cs="宋体"/>
          <w:szCs w:val="21"/>
          <w:u w:val="single"/>
        </w:rPr>
        <w:t>级注册建造师资格，并持有在有效期内的安全生产考核合格证（B类）或建筑施工企业项目负责人安全生产考核合格证书；</w:t>
      </w:r>
    </w:p>
    <w:p w14:paraId="5856705F">
      <w:pPr>
        <w:spacing w:line="400" w:lineRule="exact"/>
        <w:ind w:firstLine="420" w:firstLineChars="200"/>
        <w:rPr>
          <w:rFonts w:hint="eastAsia" w:ascii="宋体" w:hAnsi="宋体" w:cs="宋体"/>
          <w:szCs w:val="21"/>
          <w:u w:val="single"/>
        </w:rPr>
      </w:pPr>
      <w:r>
        <w:rPr>
          <w:rFonts w:hint="eastAsia" w:ascii="宋体" w:hAnsi="宋体" w:cs="宋体"/>
          <w:szCs w:val="21"/>
          <w:u w:val="single"/>
        </w:rPr>
        <w:t>3.3.2设计负责人（若为联合体，指联合体承担设计任务的一方）要求：须具备</w:t>
      </w:r>
      <w:r>
        <w:rPr>
          <w:rFonts w:hint="eastAsia" w:ascii="宋体" w:hAnsi="宋体" w:cs="宋体"/>
          <w:szCs w:val="21"/>
          <w:u w:val="single"/>
          <w:lang w:val="en-US" w:eastAsia="zh-CN"/>
        </w:rPr>
        <w:t>一</w:t>
      </w:r>
      <w:r>
        <w:rPr>
          <w:rFonts w:hint="eastAsia" w:ascii="宋体" w:hAnsi="宋体" w:cs="宋体"/>
          <w:szCs w:val="21"/>
          <w:u w:val="single"/>
        </w:rPr>
        <w:t>级注册建筑师资格，或在广东省住房和城乡建设主管部门备案且备案的业务范围符合本招标项目对设计负责人要求的香港专业人士。</w:t>
      </w:r>
    </w:p>
    <w:p w14:paraId="61726041">
      <w:pPr>
        <w:spacing w:line="400" w:lineRule="exact"/>
        <w:ind w:firstLine="420" w:firstLineChars="200"/>
        <w:jc w:val="left"/>
        <w:rPr>
          <w:rFonts w:hint="eastAsia" w:ascii="宋体" w:hAnsi="宋体" w:cs="宋体"/>
          <w:szCs w:val="21"/>
        </w:rPr>
      </w:pPr>
      <w:r>
        <w:rPr>
          <w:rFonts w:hint="eastAsia" w:ascii="宋体" w:hAnsi="宋体" w:cs="宋体"/>
          <w:szCs w:val="21"/>
        </w:rPr>
        <w:t>注：①香港专业人士的备案业务范围依据《广东省住房和城乡建设厅关于印发香港工程建设咨询企业和专业人士在粤港澳大湾区内地城市开业执业试点管理暂行办法的通知》（粤建规范〔2020〕1号）确定。</w:t>
      </w:r>
    </w:p>
    <w:p w14:paraId="454B9AB6">
      <w:pPr>
        <w:spacing w:line="400" w:lineRule="exact"/>
        <w:ind w:firstLine="420" w:firstLineChars="200"/>
        <w:jc w:val="left"/>
        <w:rPr>
          <w:rFonts w:hint="eastAsia" w:ascii="宋体" w:hAnsi="宋体" w:cs="宋体"/>
          <w:szCs w:val="21"/>
        </w:rPr>
      </w:pPr>
      <w:r>
        <w:rPr>
          <w:rFonts w:hint="eastAsia" w:ascii="宋体" w:hAnsi="宋体" w:cs="宋体"/>
          <w:szCs w:val="21"/>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78D303A6">
      <w:pPr>
        <w:spacing w:line="400" w:lineRule="exact"/>
        <w:ind w:firstLine="420" w:firstLineChars="200"/>
        <w:jc w:val="left"/>
        <w:rPr>
          <w:rFonts w:hint="eastAsia" w:ascii="宋体" w:hAnsi="宋体" w:cs="宋体"/>
          <w:szCs w:val="21"/>
        </w:rPr>
      </w:pPr>
      <w:r>
        <w:rPr>
          <w:rFonts w:hint="eastAsia" w:ascii="宋体" w:hAnsi="宋体" w:cs="宋体"/>
          <w:szCs w:val="21"/>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①香港专业人士的备案业务范围依据《广东省住房和城乡建设厅关于印发香港工程建设咨询企业和专业人士在粤港澳大湾区内地城市开业执业试点管理暂行办法的通知》（粤建规范〔2020〕1号）确定。</w:t>
      </w:r>
    </w:p>
    <w:p w14:paraId="569A963C">
      <w:pPr>
        <w:spacing w:line="400" w:lineRule="exact"/>
        <w:ind w:firstLine="420" w:firstLineChars="200"/>
        <w:jc w:val="left"/>
        <w:rPr>
          <w:rFonts w:hint="eastAsia" w:ascii="宋体" w:hAnsi="宋体" w:cs="宋体"/>
          <w:szCs w:val="21"/>
        </w:rPr>
      </w:pPr>
      <w:r>
        <w:rPr>
          <w:rFonts w:hint="eastAsia" w:ascii="宋体" w:hAnsi="宋体" w:cs="宋体"/>
          <w:szCs w:val="21"/>
        </w:rPr>
        <w:t>③根据广东省住建厅《关于明确二级建造师注册执业有关问题的通知》（粤建市函〔2023〕469号），二级建造师应在考试取得执业资格的省、自治区、直辖市申请注册，二级注册建造师可随注册企业在全国范围内执业。</w:t>
      </w:r>
    </w:p>
    <w:p w14:paraId="701A8CC1">
      <w:pPr>
        <w:spacing w:line="400" w:lineRule="exact"/>
        <w:ind w:firstLine="420" w:firstLineChars="200"/>
        <w:jc w:val="left"/>
        <w:rPr>
          <w:rFonts w:hint="eastAsia" w:ascii="宋体" w:hAnsi="宋体" w:cs="宋体"/>
          <w:szCs w:val="21"/>
        </w:rPr>
      </w:pPr>
      <w:r>
        <w:rPr>
          <w:rFonts w:hint="eastAsia" w:ascii="宋体" w:hAnsi="宋体" w:cs="宋体"/>
          <w:szCs w:val="21"/>
        </w:rPr>
        <w:t>④项目负责人在任职期间不得担任专职安全员，项目专职安全员在任职期间也不得担任项目负责人，项目负责人、技术负责人和专职安全员不为同一人。</w:t>
      </w:r>
    </w:p>
    <w:p w14:paraId="71143A0C">
      <w:pPr>
        <w:spacing w:line="400" w:lineRule="exact"/>
        <w:ind w:firstLine="420" w:firstLineChars="200"/>
        <w:jc w:val="left"/>
        <w:rPr>
          <w:rFonts w:hint="eastAsia" w:ascii="宋体" w:hAnsi="宋体" w:cs="宋体"/>
          <w:szCs w:val="21"/>
        </w:rPr>
      </w:pPr>
      <w:r>
        <w:rPr>
          <w:rFonts w:hint="eastAsia" w:ascii="宋体" w:hAnsi="宋体" w:cs="宋体"/>
          <w:szCs w:val="21"/>
        </w:rPr>
        <w:t>3.3.3投标人（若为联合体投标，指联合体主办方）拟担任本工程的技术负责人须具备</w:t>
      </w:r>
      <w:r>
        <w:rPr>
          <w:rFonts w:hint="eastAsia" w:ascii="宋体" w:hAnsi="宋体"/>
          <w:color w:val="auto"/>
        </w:rPr>
        <w:t>建筑装饰施工类专业高级工程师</w:t>
      </w:r>
      <w:r>
        <w:rPr>
          <w:rFonts w:hint="eastAsia" w:ascii="宋体" w:hAnsi="宋体" w:cs="宋体"/>
          <w:szCs w:val="21"/>
        </w:rPr>
        <w:t>（或以上）职称。</w:t>
      </w:r>
    </w:p>
    <w:p w14:paraId="1FE288A9">
      <w:pPr>
        <w:spacing w:line="400" w:lineRule="exact"/>
        <w:ind w:firstLine="420" w:firstLineChars="200"/>
        <w:jc w:val="left"/>
        <w:rPr>
          <w:rFonts w:hint="eastAsia" w:ascii="宋体" w:hAnsi="宋体" w:cs="宋体"/>
          <w:szCs w:val="21"/>
        </w:rPr>
      </w:pPr>
      <w:r>
        <w:rPr>
          <w:rFonts w:hint="eastAsia" w:ascii="宋体" w:hAnsi="宋体" w:cs="宋体"/>
          <w:szCs w:val="21"/>
        </w:rPr>
        <w:t>3.3.4投标人（若为联合体投标，指联合体主办方）拟担任本工程的专职安全员须具有在有效期内的安全生产考核合格证（C类）或建筑施工企业专职安全生产管理人员安全生产考核合格证书（C3类）。</w:t>
      </w:r>
    </w:p>
    <w:p w14:paraId="11DD896B">
      <w:pPr>
        <w:spacing w:line="400" w:lineRule="exact"/>
        <w:ind w:firstLine="420" w:firstLineChars="200"/>
        <w:jc w:val="left"/>
        <w:rPr>
          <w:rFonts w:hint="eastAsia" w:ascii="宋体" w:hAnsi="宋体" w:cs="宋体"/>
          <w:szCs w:val="21"/>
        </w:rPr>
      </w:pPr>
      <w:r>
        <w:rPr>
          <w:rFonts w:hint="eastAsia" w:ascii="宋体" w:hAnsi="宋体" w:cs="宋体"/>
          <w:szCs w:val="21"/>
        </w:rPr>
        <w:t>注：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p w14:paraId="2B06C152">
      <w:pPr>
        <w:spacing w:line="400" w:lineRule="exact"/>
        <w:ind w:firstLine="420" w:firstLineChars="200"/>
        <w:rPr>
          <w:rFonts w:hint="eastAsia" w:ascii="宋体" w:hAnsi="宋体" w:cs="宋体"/>
          <w:szCs w:val="21"/>
          <w:u w:val="none"/>
        </w:rPr>
      </w:pPr>
      <w:r>
        <w:rPr>
          <w:rFonts w:hint="eastAsia" w:ascii="宋体" w:hAnsi="宋体" w:cs="宋体"/>
          <w:szCs w:val="21"/>
          <w:u w:val="none"/>
        </w:rPr>
        <w:t>3.4 其他要求：</w:t>
      </w:r>
    </w:p>
    <w:p w14:paraId="22B51419">
      <w:pPr>
        <w:spacing w:line="400" w:lineRule="exact"/>
        <w:ind w:firstLine="420" w:firstLineChars="200"/>
        <w:rPr>
          <w:rFonts w:hint="eastAsia" w:ascii="宋体" w:hAnsi="宋体" w:cs="宋体"/>
          <w:szCs w:val="21"/>
          <w:u w:val="none"/>
        </w:rPr>
      </w:pPr>
      <w:r>
        <w:rPr>
          <w:rFonts w:hint="eastAsia" w:ascii="宋体" w:hAnsi="宋体" w:cs="宋体"/>
          <w:szCs w:val="21"/>
          <w:u w:val="none"/>
        </w:rPr>
        <w:t>3.4.1投标人参加投标的意思表达清楚，投标人代表被授权有效。</w:t>
      </w:r>
    </w:p>
    <w:p w14:paraId="1C253FDC">
      <w:pPr>
        <w:spacing w:line="400" w:lineRule="exact"/>
        <w:ind w:firstLine="420" w:firstLineChars="200"/>
        <w:rPr>
          <w:rFonts w:hint="eastAsia" w:ascii="宋体" w:hAnsi="宋体" w:cs="宋体"/>
          <w:szCs w:val="21"/>
          <w:u w:val="none"/>
        </w:rPr>
      </w:pPr>
      <w:r>
        <w:rPr>
          <w:rFonts w:hint="eastAsia" w:ascii="宋体" w:hAnsi="宋体" w:cs="宋体"/>
          <w:szCs w:val="21"/>
          <w:u w:val="none"/>
        </w:rPr>
        <w:t>3.4.2投标人（含联合体成员）具有独立法人资格，持有工商行政管理部门</w:t>
      </w:r>
      <w:r>
        <w:rPr>
          <w:rFonts w:hint="eastAsia" w:ascii="宋体" w:hAnsi="宋体" w:cs="宋体"/>
          <w:szCs w:val="21"/>
        </w:rPr>
        <w:t>（或市场监督管理部门）</w:t>
      </w:r>
      <w:r>
        <w:rPr>
          <w:rFonts w:hint="eastAsia" w:ascii="宋体" w:hAnsi="宋体" w:cs="宋体"/>
          <w:szCs w:val="21"/>
          <w:u w:val="none"/>
        </w:rPr>
        <w:t>核发的法人营业执照，按国家法律经营。</w:t>
      </w:r>
    </w:p>
    <w:p w14:paraId="03F89ADC">
      <w:pPr>
        <w:spacing w:line="400" w:lineRule="exact"/>
        <w:ind w:firstLine="420" w:firstLineChars="200"/>
        <w:rPr>
          <w:rFonts w:hint="eastAsia" w:ascii="宋体" w:hAnsi="宋体" w:cs="宋体"/>
          <w:szCs w:val="21"/>
          <w:u w:val="none"/>
        </w:rPr>
      </w:pPr>
      <w:r>
        <w:rPr>
          <w:rFonts w:hint="eastAsia" w:ascii="宋体" w:hAnsi="宋体" w:cs="宋体"/>
          <w:szCs w:val="21"/>
          <w:u w:val="none"/>
        </w:rPr>
        <w:t>3.4.3投标人（若为联合体投标，指联合体承接施工任务</w:t>
      </w:r>
      <w:r>
        <w:rPr>
          <w:rFonts w:hint="eastAsia" w:ascii="宋体" w:hAnsi="宋体" w:cs="宋体"/>
          <w:bCs/>
          <w:szCs w:val="21"/>
          <w:u w:val="none"/>
        </w:rPr>
        <w:t>方</w:t>
      </w:r>
      <w:r>
        <w:rPr>
          <w:rFonts w:hint="eastAsia" w:ascii="宋体" w:hAnsi="宋体" w:cs="宋体"/>
          <w:szCs w:val="21"/>
          <w:u w:val="none"/>
        </w:rPr>
        <w:t>）持有建设行政主管部门颁发的安全生产许可证。</w:t>
      </w:r>
    </w:p>
    <w:p w14:paraId="1BDE13D3">
      <w:pPr>
        <w:spacing w:line="400" w:lineRule="exact"/>
        <w:ind w:firstLine="420" w:firstLineChars="200"/>
        <w:rPr>
          <w:rFonts w:hint="eastAsia" w:ascii="宋体" w:hAnsi="宋体" w:cs="宋体"/>
          <w:szCs w:val="21"/>
          <w:u w:val="none"/>
        </w:rPr>
      </w:pPr>
      <w:r>
        <w:rPr>
          <w:rFonts w:hint="eastAsia" w:ascii="宋体" w:hAnsi="宋体" w:cs="宋体"/>
          <w:szCs w:val="21"/>
          <w:u w:val="none"/>
        </w:rPr>
        <w:t>3.4.4投标人已按照招标公告附件一的内容签署盖章的《投标人声明》。</w:t>
      </w:r>
    </w:p>
    <w:p w14:paraId="491D0BCC">
      <w:pPr>
        <w:spacing w:line="400" w:lineRule="exact"/>
        <w:ind w:firstLine="420" w:firstLineChars="200"/>
        <w:rPr>
          <w:rFonts w:hint="eastAsia" w:ascii="宋体" w:hAnsi="宋体" w:cs="宋体"/>
          <w:szCs w:val="21"/>
          <w:u w:val="none"/>
        </w:rPr>
      </w:pPr>
      <w:r>
        <w:rPr>
          <w:rFonts w:hint="eastAsia" w:ascii="宋体" w:hAnsi="宋体" w:cs="宋体"/>
          <w:szCs w:val="21"/>
          <w:u w:val="none"/>
        </w:rPr>
        <w:t>3.4.5资格审查前，投标人（含联合体成员）须在广州市住建行业信用管理平台建立企业信用档案及拟担任本工程项目负责人、设计负责人、技术负责人、专职安全员须是本企业信用档案中的在册人员。企业信用档案取自递交投标文件截止时间投标人在信用平台内的信息，投标人无需提交相关资料，若招标人延长递交投标文件截止时间，信用档案信息的评审时点也相应延长（信用档案办理详见《广州市住建行业信用管理平台施工企业信息录入指引》http://zfcj.gz.gov.cn/zwgk/zsdwxxgkzl/gzsjzyglfwzx/bszy/content/post_8484886.html）、《广州市住建行业信用管理平台设计企业信息录入指引》http://zfcj.gz.gov.cn/zwgk/zsdwxxgkzl/gzsjzyglfwzx/bszy/content/post_9116013.html）。联合体投标的，信用档案和人员在册情况为联合体协议分工对应广州市住建行业信用管理平台内信用档案）。</w:t>
      </w:r>
    </w:p>
    <w:p w14:paraId="387E3BAD">
      <w:pPr>
        <w:spacing w:line="400" w:lineRule="exact"/>
        <w:ind w:firstLine="420" w:firstLineChars="200"/>
        <w:rPr>
          <w:rFonts w:hint="eastAsia" w:ascii="宋体" w:hAnsi="宋体" w:cs="宋体"/>
          <w:szCs w:val="21"/>
          <w:u w:val="none"/>
        </w:rPr>
      </w:pPr>
      <w:r>
        <w:rPr>
          <w:rFonts w:hint="eastAsia" w:ascii="宋体" w:hAnsi="宋体" w:cs="宋体"/>
          <w:szCs w:val="21"/>
          <w:u w:val="none"/>
        </w:rPr>
        <w:t>3.4.6投标人（含联合体成员）未出现以下情形：与其它投标人（含联合体成员）的单位负责人为同一人或者存在控股、管理关系的（按投标人提供的《投标人声明》第八条内容进行评审）。</w:t>
      </w:r>
    </w:p>
    <w:p w14:paraId="1B8BF410">
      <w:pPr>
        <w:spacing w:line="400" w:lineRule="exact"/>
        <w:ind w:firstLine="420" w:firstLineChars="200"/>
        <w:rPr>
          <w:rFonts w:hint="eastAsia" w:ascii="宋体" w:hAnsi="宋体" w:cs="宋体"/>
          <w:szCs w:val="21"/>
          <w:u w:val="none"/>
        </w:rPr>
      </w:pPr>
      <w:r>
        <w:rPr>
          <w:rFonts w:hint="eastAsia" w:ascii="宋体" w:hAnsi="宋体" w:cs="宋体"/>
          <w:szCs w:val="21"/>
          <w:u w:val="none"/>
        </w:rPr>
        <w:t>3.4.7投标人（含联合体成员）未被列入拖欠农民工工资失信联合惩戒对象名单。</w:t>
      </w:r>
    </w:p>
    <w:p w14:paraId="038BA5C9">
      <w:pPr>
        <w:pStyle w:val="2"/>
        <w:ind w:firstLine="422" w:firstLineChars="200"/>
        <w:rPr>
          <w:rFonts w:hint="eastAsia" w:ascii="宋体" w:hAnsi="宋体" w:eastAsia="宋体" w:cs="宋体"/>
          <w:sz w:val="21"/>
          <w:szCs w:val="21"/>
          <w:u w:val="single"/>
        </w:rPr>
      </w:pPr>
      <w:r>
        <w:rPr>
          <w:rFonts w:hint="eastAsia" w:ascii="宋体" w:hAnsi="宋体" w:eastAsia="宋体" w:cs="宋体"/>
          <w:sz w:val="21"/>
          <w:szCs w:val="21"/>
          <w:u w:val="single"/>
        </w:rPr>
        <w:t>注：未在招标公告第3条单列的资审合格条件，不作为资审不合格的依据。</w:t>
      </w:r>
      <w:bookmarkStart w:id="6" w:name="_Toc22280876"/>
      <w:bookmarkStart w:id="7" w:name="_Toc134304515"/>
    </w:p>
    <w:p w14:paraId="06676152">
      <w:pPr>
        <w:pStyle w:val="2"/>
      </w:pPr>
      <w:r>
        <w:rPr>
          <w:rFonts w:hint="eastAsia"/>
        </w:rPr>
        <w:t>4. 招标文件的获取</w:t>
      </w:r>
      <w:bookmarkEnd w:id="6"/>
      <w:bookmarkEnd w:id="7"/>
    </w:p>
    <w:p w14:paraId="6E3F09BE">
      <w:pPr>
        <w:spacing w:line="400" w:lineRule="exact"/>
        <w:ind w:firstLine="420" w:firstLineChars="200"/>
        <w:rPr>
          <w:rFonts w:hint="eastAsia" w:ascii="宋体" w:hAnsi="宋体"/>
          <w:szCs w:val="21"/>
        </w:rPr>
      </w:pPr>
      <w:r>
        <w:rPr>
          <w:rFonts w:hint="eastAsia" w:ascii="宋体" w:hAnsi="宋体"/>
          <w:szCs w:val="21"/>
        </w:rPr>
        <w:t>4.1 凡有意参加投标者，请于</w:t>
      </w:r>
      <w:r>
        <w:rPr>
          <w:rFonts w:hint="eastAsia" w:ascii="宋体" w:hAnsi="宋体"/>
          <w:szCs w:val="21"/>
          <w:u w:val="single"/>
        </w:rPr>
        <w:t>2025</w:t>
      </w:r>
      <w:r>
        <w:rPr>
          <w:rFonts w:hint="eastAsia" w:ascii="宋体" w:hAnsi="宋体"/>
          <w:szCs w:val="21"/>
        </w:rPr>
        <w:t>年  月 日时分至</w:t>
      </w:r>
      <w:r>
        <w:rPr>
          <w:rFonts w:hint="eastAsia" w:ascii="宋体" w:hAnsi="宋体"/>
          <w:szCs w:val="21"/>
          <w:u w:val="single"/>
        </w:rPr>
        <w:t>2025</w:t>
      </w:r>
      <w:r>
        <w:rPr>
          <w:rFonts w:hint="eastAsia" w:ascii="宋体" w:hAnsi="宋体"/>
          <w:szCs w:val="21"/>
        </w:rPr>
        <w:t>年 月 日时分（北京时间，下同），登录</w:t>
      </w:r>
      <w:r>
        <w:rPr>
          <w:rFonts w:hint="eastAsia" w:ascii="宋体" w:hAnsi="宋体"/>
          <w:szCs w:val="21"/>
          <w:u w:val="single"/>
        </w:rPr>
        <w:t>广州交易集团有限公司（广州公共资源交易中心）（http://www.gzggzy.cn）</w:t>
      </w:r>
      <w:r>
        <w:rPr>
          <w:rFonts w:hint="eastAsia" w:ascii="宋体" w:hAnsi="宋体"/>
          <w:szCs w:val="21"/>
        </w:rPr>
        <w:t>下载电子招标文件。</w:t>
      </w:r>
    </w:p>
    <w:p w14:paraId="148E4153">
      <w:pPr>
        <w:spacing w:line="400" w:lineRule="exact"/>
        <w:ind w:firstLine="420" w:firstLineChars="200"/>
        <w:rPr>
          <w:rFonts w:hint="eastAsia" w:ascii="宋体" w:hAnsi="宋体"/>
          <w:szCs w:val="21"/>
          <w:u w:val="single"/>
        </w:rPr>
      </w:pPr>
      <w:r>
        <w:rPr>
          <w:rFonts w:hint="eastAsia" w:ascii="宋体" w:hAnsi="宋体"/>
          <w:szCs w:val="21"/>
        </w:rPr>
        <w:t>4.2 本项目采用</w:t>
      </w:r>
      <w:r>
        <w:rPr>
          <w:rFonts w:hint="eastAsia" w:ascii="宋体" w:hAnsi="宋体"/>
          <w:szCs w:val="21"/>
          <w:u w:val="single"/>
        </w:rPr>
        <w:t>资格后审方式。</w:t>
      </w:r>
    </w:p>
    <w:p w14:paraId="6FECE86B">
      <w:pPr>
        <w:spacing w:line="400" w:lineRule="exact"/>
        <w:ind w:firstLine="420" w:firstLineChars="200"/>
        <w:rPr>
          <w:rFonts w:hint="eastAsia" w:ascii="宋体" w:hAnsi="宋体"/>
          <w:szCs w:val="21"/>
        </w:rPr>
      </w:pPr>
      <w:r>
        <w:rPr>
          <w:rFonts w:hint="eastAsia" w:ascii="宋体" w:hAnsi="宋体"/>
          <w:szCs w:val="21"/>
        </w:rPr>
        <w:t>注：（1）电子招投标操作流程详见广州交易集团有限公司（广州公共资源交易中心）网站发布的最新版操作指引。</w:t>
      </w:r>
    </w:p>
    <w:p w14:paraId="3E64BE6C">
      <w:pPr>
        <w:numPr>
          <w:ilvl w:val="0"/>
          <w:numId w:val="1"/>
        </w:numPr>
        <w:spacing w:line="400" w:lineRule="exact"/>
        <w:ind w:firstLine="420" w:firstLineChars="200"/>
        <w:rPr>
          <w:rFonts w:hint="eastAsia" w:ascii="宋体" w:hAnsi="宋体"/>
          <w:szCs w:val="21"/>
        </w:rPr>
      </w:pPr>
      <w:r>
        <w:rPr>
          <w:rFonts w:hint="eastAsia" w:ascii="宋体" w:hAnsi="宋体"/>
          <w:szCs w:val="21"/>
        </w:rPr>
        <w:t>本项目招标文件随招标公告一并在广州交易集团有限公司（广州公共资源交易中心）网站发布。招标文件随招标公告一并在电子招标投标交易平台网站发布。招标文件一经在电子招标投标交易平台发布，视为送达给所有投标人。</w:t>
      </w:r>
    </w:p>
    <w:p w14:paraId="0A2FB42A">
      <w:pPr>
        <w:pStyle w:val="2"/>
      </w:pPr>
      <w:bookmarkStart w:id="8" w:name="_Toc134304516"/>
      <w:r>
        <w:rPr>
          <w:rFonts w:hint="eastAsia"/>
        </w:rPr>
        <w:t>5. 发布招标公告、投标文件递交、开标时间</w:t>
      </w:r>
      <w:bookmarkEnd w:id="8"/>
    </w:p>
    <w:p w14:paraId="5714E5ED">
      <w:pPr>
        <w:spacing w:line="400" w:lineRule="exact"/>
        <w:ind w:firstLine="420" w:firstLineChars="200"/>
        <w:rPr>
          <w:rFonts w:hint="eastAsia" w:ascii="宋体" w:hAnsi="宋体"/>
          <w:szCs w:val="21"/>
        </w:rPr>
      </w:pPr>
      <w:r>
        <w:rPr>
          <w:rFonts w:hint="eastAsia" w:ascii="宋体" w:hAnsi="宋体"/>
          <w:szCs w:val="21"/>
        </w:rPr>
        <w:t>5.1 招标公告发布日期（含本日）：</w:t>
      </w:r>
      <w:r>
        <w:rPr>
          <w:rFonts w:hint="eastAsia" w:ascii="宋体" w:hAnsi="宋体"/>
          <w:szCs w:val="21"/>
          <w:u w:val="single"/>
        </w:rPr>
        <w:t>2025</w:t>
      </w:r>
      <w:r>
        <w:rPr>
          <w:rFonts w:hint="eastAsia" w:ascii="宋体" w:hAnsi="宋体"/>
          <w:szCs w:val="21"/>
        </w:rPr>
        <w:t>年 月 日时分至</w:t>
      </w:r>
      <w:r>
        <w:rPr>
          <w:rFonts w:hint="eastAsia" w:ascii="宋体" w:hAnsi="宋体"/>
          <w:szCs w:val="21"/>
          <w:u w:val="single"/>
        </w:rPr>
        <w:t>2025</w:t>
      </w:r>
      <w:r>
        <w:rPr>
          <w:rFonts w:hint="eastAsia" w:ascii="宋体" w:hAnsi="宋体"/>
          <w:szCs w:val="21"/>
        </w:rPr>
        <w:t>年 月 日时</w:t>
      </w:r>
      <w:r>
        <w:rPr>
          <w:szCs w:val="21"/>
        </w:rPr>
        <w:t>___</w:t>
      </w:r>
      <w:r>
        <w:rPr>
          <w:rFonts w:hint="eastAsia" w:ascii="宋体" w:hAnsi="宋体"/>
          <w:szCs w:val="21"/>
        </w:rPr>
        <w:t>分（北京时间，下同）。</w:t>
      </w:r>
    </w:p>
    <w:p w14:paraId="1FDCA065">
      <w:pPr>
        <w:spacing w:line="400" w:lineRule="exact"/>
        <w:ind w:firstLine="420" w:firstLineChars="200"/>
        <w:rPr>
          <w:rFonts w:hint="eastAsia" w:ascii="宋体" w:hAnsi="宋体"/>
          <w:szCs w:val="21"/>
        </w:rPr>
      </w:pPr>
      <w:r>
        <w:rPr>
          <w:rFonts w:hint="eastAsia" w:ascii="宋体" w:hAnsi="宋体"/>
          <w:szCs w:val="21"/>
        </w:rPr>
        <w:t>注：发布招标公告的时间为招标公告发出之日起至递交投标文件截止时间止。</w:t>
      </w:r>
    </w:p>
    <w:p w14:paraId="51DC8C33">
      <w:pPr>
        <w:spacing w:line="400" w:lineRule="exact"/>
        <w:ind w:firstLine="420" w:firstLineChars="200"/>
        <w:rPr>
          <w:rFonts w:hint="eastAsia" w:ascii="宋体" w:hAnsi="宋体"/>
          <w:szCs w:val="21"/>
        </w:rPr>
      </w:pPr>
      <w:r>
        <w:rPr>
          <w:rFonts w:hint="eastAsia" w:ascii="宋体" w:hAnsi="宋体"/>
          <w:szCs w:val="21"/>
        </w:rPr>
        <w:t>5.2 投标文件递交的截止时间为</w:t>
      </w:r>
      <w:r>
        <w:rPr>
          <w:rFonts w:hint="eastAsia" w:ascii="宋体" w:hAnsi="宋体"/>
          <w:szCs w:val="21"/>
          <w:u w:val="single"/>
        </w:rPr>
        <w:t>2025</w:t>
      </w:r>
      <w:r>
        <w:rPr>
          <w:rFonts w:hint="eastAsia" w:ascii="宋体" w:hAnsi="宋体"/>
          <w:szCs w:val="21"/>
        </w:rPr>
        <w:t>年 月 日 时 分，投标人应在截止时间前通过广州交易集团有限公司（广州公共资源交易中心）交易平台网站递交电子投标文件。递交文件前，应按照广州交易集团有限公司（广州公共资源交易中心）交易平台关于全流程电子化项目的相关指南选择参与投标的项目（即投标登记）。投标人完成电子投标文件上传后，交易平台即时向投标人发出递交回执通知。递交时间以递交回执通知载明的传输时间为准。</w:t>
      </w:r>
    </w:p>
    <w:p w14:paraId="596DF81A">
      <w:pPr>
        <w:spacing w:line="400" w:lineRule="exact"/>
        <w:ind w:firstLine="420" w:firstLineChars="200"/>
        <w:rPr>
          <w:rFonts w:hint="eastAsia" w:ascii="宋体" w:hAnsi="宋体"/>
          <w:szCs w:val="21"/>
        </w:rPr>
      </w:pPr>
      <w:r>
        <w:rPr>
          <w:rFonts w:hint="eastAsia" w:ascii="宋体" w:hAnsi="宋体"/>
          <w:szCs w:val="21"/>
        </w:rPr>
        <w:t>5.3 递交电子投标文件备用光盘（或U盘）时间：</w:t>
      </w:r>
      <w:r>
        <w:rPr>
          <w:rFonts w:hint="eastAsia" w:ascii="宋体" w:hAnsi="宋体"/>
          <w:szCs w:val="21"/>
          <w:u w:val="single"/>
        </w:rPr>
        <w:t>2025</w:t>
      </w:r>
      <w:r>
        <w:rPr>
          <w:rFonts w:hint="eastAsia" w:ascii="宋体" w:hAnsi="宋体"/>
          <w:szCs w:val="21"/>
        </w:rPr>
        <w:t>年 月 日 时 分至</w:t>
      </w:r>
      <w:r>
        <w:rPr>
          <w:rFonts w:hint="eastAsia" w:ascii="宋体" w:hAnsi="宋体"/>
          <w:szCs w:val="21"/>
          <w:u w:val="single"/>
        </w:rPr>
        <w:t>2025</w:t>
      </w:r>
      <w:r>
        <w:rPr>
          <w:rFonts w:hint="eastAsia" w:ascii="宋体" w:hAnsi="宋体"/>
          <w:szCs w:val="21"/>
        </w:rPr>
        <w:t>年月</w:t>
      </w:r>
      <w:r>
        <w:rPr>
          <w:szCs w:val="21"/>
        </w:rPr>
        <w:t>___</w:t>
      </w:r>
      <w:r>
        <w:rPr>
          <w:rFonts w:hint="eastAsia" w:ascii="宋体" w:hAnsi="宋体"/>
          <w:szCs w:val="21"/>
        </w:rPr>
        <w:t>日时分，递交地点：广州交易集团有限公司（广州公共资源交易中心）第  开标室。电子光盘（或U盘）需按规定封装。投标人在将数据刻录到光盘之后，投标前自行检查文件是否可以读取。</w:t>
      </w:r>
    </w:p>
    <w:p w14:paraId="09EBB195">
      <w:pPr>
        <w:spacing w:line="400" w:lineRule="exact"/>
        <w:ind w:firstLine="420" w:firstLineChars="200"/>
        <w:rPr>
          <w:rFonts w:hint="eastAsia" w:ascii="宋体" w:hAnsi="宋体"/>
          <w:szCs w:val="21"/>
        </w:rPr>
      </w:pPr>
      <w:r>
        <w:rPr>
          <w:rFonts w:hint="eastAsia" w:ascii="宋体" w:hAnsi="宋体"/>
          <w:szCs w:val="21"/>
        </w:rPr>
        <w:t>5.4 开标时间：</w:t>
      </w:r>
      <w:r>
        <w:rPr>
          <w:rFonts w:hint="eastAsia" w:ascii="宋体" w:hAnsi="宋体"/>
          <w:szCs w:val="21"/>
          <w:u w:val="single"/>
        </w:rPr>
        <w:t>2025</w:t>
      </w:r>
      <w:r>
        <w:rPr>
          <w:rFonts w:hint="eastAsia" w:ascii="宋体" w:hAnsi="宋体"/>
          <w:szCs w:val="21"/>
        </w:rPr>
        <w:t>年 月 日 时 分。</w:t>
      </w:r>
    </w:p>
    <w:p w14:paraId="2E079C3D">
      <w:pPr>
        <w:spacing w:line="400" w:lineRule="exact"/>
        <w:ind w:firstLine="420" w:firstLineChars="200"/>
        <w:rPr>
          <w:rFonts w:hint="eastAsia" w:ascii="宋体" w:hAnsi="宋体"/>
          <w:szCs w:val="21"/>
        </w:rPr>
      </w:pPr>
      <w:r>
        <w:rPr>
          <w:rFonts w:hint="eastAsia" w:ascii="宋体" w:hAnsi="宋体"/>
          <w:szCs w:val="21"/>
        </w:rPr>
        <w:t>5.5 递交投标文件截止时间及开标时间是否有变化，请密切留意广州交易集团有限公司（广州公共资源交易中心）网站的相关信息。</w:t>
      </w:r>
    </w:p>
    <w:p w14:paraId="41EB8AA7">
      <w:pPr>
        <w:spacing w:line="400" w:lineRule="exact"/>
        <w:ind w:firstLine="420" w:firstLineChars="200"/>
        <w:rPr>
          <w:rFonts w:hint="eastAsia" w:ascii="宋体" w:hAnsi="宋体"/>
          <w:szCs w:val="21"/>
        </w:rPr>
      </w:pPr>
      <w:r>
        <w:rPr>
          <w:rFonts w:hint="eastAsia" w:ascii="宋体" w:hAnsi="宋体"/>
          <w:szCs w:val="21"/>
        </w:rPr>
        <w:t>5.6 逾期送达的投标文件，交易平台将予以拒收。</w:t>
      </w:r>
    </w:p>
    <w:p w14:paraId="79577CA5">
      <w:pPr>
        <w:spacing w:line="400" w:lineRule="exact"/>
        <w:ind w:firstLine="420" w:firstLineChars="200"/>
        <w:rPr>
          <w:rFonts w:hint="eastAsia" w:ascii="宋体" w:hAnsi="宋体"/>
          <w:szCs w:val="21"/>
        </w:rPr>
      </w:pPr>
      <w:r>
        <w:rPr>
          <w:rFonts w:hint="eastAsia" w:ascii="宋体" w:hAnsi="宋体"/>
          <w:szCs w:val="21"/>
        </w:rPr>
        <w:t>5.7 在投标登记时，投标人应按要求在交易系统中填写《项目管理团队人员信息表》（详见招标公告附件二），表中的项目管理团队人员信息作为投标文件的一部分，将由交易系统提取后供各相关单位在中标人履约时进行比对、查核。</w:t>
      </w:r>
    </w:p>
    <w:p w14:paraId="5C6C9473">
      <w:pPr>
        <w:pStyle w:val="2"/>
      </w:pPr>
      <w:bookmarkStart w:id="9" w:name="_Toc22280878"/>
      <w:bookmarkStart w:id="10" w:name="_Toc134304517"/>
      <w:r>
        <w:rPr>
          <w:rFonts w:hint="eastAsia"/>
        </w:rPr>
        <w:t>6. 发布公告的媒介</w:t>
      </w:r>
      <w:bookmarkEnd w:id="9"/>
      <w:bookmarkEnd w:id="10"/>
    </w:p>
    <w:p w14:paraId="67946F1D">
      <w:pPr>
        <w:spacing w:line="400" w:lineRule="exact"/>
        <w:ind w:firstLine="420" w:firstLineChars="200"/>
        <w:rPr>
          <w:rFonts w:hint="eastAsia" w:ascii="宋体" w:hAnsi="宋体"/>
          <w:szCs w:val="21"/>
        </w:rPr>
      </w:pPr>
      <w:r>
        <w:rPr>
          <w:rFonts w:hint="eastAsia" w:ascii="宋体" w:hAnsi="宋体"/>
          <w:szCs w:val="21"/>
        </w:rPr>
        <w:t>本次招标公告同时在</w:t>
      </w:r>
      <w:r>
        <w:rPr>
          <w:rFonts w:hint="eastAsia" w:ascii="宋体" w:hAnsi="宋体"/>
          <w:szCs w:val="21"/>
          <w:u w:val="single"/>
        </w:rPr>
        <w:t>广州交易集团有限公司（广州公共资源交易中心）网站（网址：http://www.gzggzy.cn）、广东省招标投标监管网（网址：http://www.gdzbtb.gov.cn/）、中国招标投标公共服务平台（网址：http://www.cebpubservice.com/）</w:t>
      </w:r>
      <w:r>
        <w:rPr>
          <w:rFonts w:hint="eastAsia" w:ascii="宋体" w:hAnsi="宋体"/>
          <w:szCs w:val="21"/>
        </w:rPr>
        <w:t>等法定媒体发布，本公告的修改、补充，在广州公共资源交易中心网站发布。本公告在各平台发布的文本如有不同之处，以在</w:t>
      </w:r>
      <w:r>
        <w:rPr>
          <w:rStyle w:val="7"/>
          <w:rFonts w:hint="eastAsia" w:ascii="宋体" w:hAnsi="宋体" w:cs="宋体"/>
          <w:color w:val="auto"/>
          <w:szCs w:val="21"/>
        </w:rPr>
        <w:t>广州交易集团有限公司（广州公共资源交易中心）</w:t>
      </w:r>
      <w:r>
        <w:rPr>
          <w:rFonts w:hint="eastAsia" w:ascii="宋体" w:hAnsi="宋体"/>
          <w:szCs w:val="21"/>
        </w:rPr>
        <w:t>网发布的文本为准。本项目相关附件具体详见广州交易集团有限公司（广州公共资源交易中心）网站。</w:t>
      </w:r>
    </w:p>
    <w:p w14:paraId="3B8C9F6E">
      <w:pPr>
        <w:pStyle w:val="2"/>
      </w:pPr>
      <w:bookmarkStart w:id="11" w:name="_Toc22280879"/>
      <w:bookmarkStart w:id="12" w:name="_Toc134304518"/>
      <w:r>
        <w:rPr>
          <w:rFonts w:hint="eastAsia"/>
        </w:rPr>
        <w:t>7. 联系方式</w:t>
      </w:r>
      <w:bookmarkEnd w:id="11"/>
      <w:bookmarkEnd w:id="12"/>
    </w:p>
    <w:tbl>
      <w:tblPr>
        <w:tblStyle w:val="5"/>
        <w:tblW w:w="9314" w:type="dxa"/>
        <w:tblInd w:w="0" w:type="dxa"/>
        <w:tblLayout w:type="fixed"/>
        <w:tblCellMar>
          <w:top w:w="0" w:type="dxa"/>
          <w:left w:w="108" w:type="dxa"/>
          <w:bottom w:w="0" w:type="dxa"/>
          <w:right w:w="108" w:type="dxa"/>
        </w:tblCellMar>
      </w:tblPr>
      <w:tblGrid>
        <w:gridCol w:w="4786"/>
        <w:gridCol w:w="4528"/>
      </w:tblGrid>
      <w:tr w14:paraId="35F6298E">
        <w:tblPrEx>
          <w:tblCellMar>
            <w:top w:w="0" w:type="dxa"/>
            <w:left w:w="108" w:type="dxa"/>
            <w:bottom w:w="0" w:type="dxa"/>
            <w:right w:w="108" w:type="dxa"/>
          </w:tblCellMar>
        </w:tblPrEx>
        <w:tc>
          <w:tcPr>
            <w:tcW w:w="4786" w:type="dxa"/>
            <w:noWrap w:val="0"/>
            <w:vAlign w:val="top"/>
          </w:tcPr>
          <w:p w14:paraId="48A04034">
            <w:pPr>
              <w:spacing w:line="360" w:lineRule="auto"/>
              <w:ind w:left="1050" w:hanging="1050" w:hangingChars="500"/>
              <w:rPr>
                <w:rFonts w:hint="eastAsia" w:ascii="宋体" w:hAnsi="宋体" w:cs="宋体"/>
                <w:szCs w:val="21"/>
              </w:rPr>
            </w:pPr>
            <w:r>
              <w:rPr>
                <w:rFonts w:hint="eastAsia" w:ascii="宋体" w:hAnsi="宋体" w:cs="宋体"/>
                <w:szCs w:val="21"/>
              </w:rPr>
              <w:t>招 标 人：中山大学中山眼科中心</w:t>
            </w:r>
          </w:p>
        </w:tc>
        <w:tc>
          <w:tcPr>
            <w:tcW w:w="4528" w:type="dxa"/>
            <w:noWrap w:val="0"/>
            <w:vAlign w:val="top"/>
          </w:tcPr>
          <w:p w14:paraId="6E5EDD0E">
            <w:pPr>
              <w:spacing w:line="360" w:lineRule="auto"/>
              <w:ind w:left="1478" w:hanging="1478" w:hangingChars="704"/>
              <w:rPr>
                <w:rFonts w:hint="eastAsia" w:ascii="宋体" w:hAnsi="宋体" w:cs="宋体"/>
                <w:szCs w:val="21"/>
              </w:rPr>
            </w:pPr>
            <w:r>
              <w:rPr>
                <w:rFonts w:hint="eastAsia" w:ascii="宋体" w:hAnsi="宋体" w:cs="宋体"/>
                <w:szCs w:val="21"/>
              </w:rPr>
              <w:t>招标代理机构：广州中经招标有限公司</w:t>
            </w:r>
          </w:p>
        </w:tc>
      </w:tr>
      <w:tr w14:paraId="6AB234A4">
        <w:tblPrEx>
          <w:tblCellMar>
            <w:top w:w="0" w:type="dxa"/>
            <w:left w:w="108" w:type="dxa"/>
            <w:bottom w:w="0" w:type="dxa"/>
            <w:right w:w="108" w:type="dxa"/>
          </w:tblCellMar>
        </w:tblPrEx>
        <w:tc>
          <w:tcPr>
            <w:tcW w:w="4786" w:type="dxa"/>
            <w:noWrap w:val="0"/>
            <w:vAlign w:val="top"/>
          </w:tcPr>
          <w:p w14:paraId="31706B6F">
            <w:pPr>
              <w:spacing w:line="360" w:lineRule="auto"/>
              <w:ind w:left="1050" w:hanging="1050" w:hangingChars="500"/>
              <w:rPr>
                <w:rFonts w:hint="eastAsia" w:ascii="宋体" w:hAnsi="宋体" w:cs="宋体"/>
                <w:szCs w:val="21"/>
              </w:rPr>
            </w:pPr>
            <w:r>
              <w:rPr>
                <w:rFonts w:hint="eastAsia" w:ascii="宋体" w:hAnsi="宋体" w:cs="宋体"/>
                <w:szCs w:val="21"/>
              </w:rPr>
              <w:t>地    址：广州市天河区金穗路7号</w:t>
            </w:r>
          </w:p>
        </w:tc>
        <w:tc>
          <w:tcPr>
            <w:tcW w:w="4528" w:type="dxa"/>
            <w:noWrap w:val="0"/>
            <w:vAlign w:val="top"/>
          </w:tcPr>
          <w:p w14:paraId="3DD72F76">
            <w:pPr>
              <w:spacing w:line="360" w:lineRule="auto"/>
              <w:ind w:left="1050" w:hanging="1050" w:hangingChars="500"/>
              <w:rPr>
                <w:rFonts w:hint="eastAsia" w:ascii="宋体" w:hAnsi="宋体" w:cs="宋体"/>
                <w:szCs w:val="21"/>
                <w:u w:val="single"/>
              </w:rPr>
            </w:pPr>
            <w:r>
              <w:rPr>
                <w:rFonts w:hint="eastAsia" w:ascii="宋体" w:hAnsi="宋体" w:cs="宋体"/>
                <w:szCs w:val="21"/>
              </w:rPr>
              <w:t>地    址：广州市越秀区寺右一马路18号泰恒大厦14楼1409室</w:t>
            </w:r>
          </w:p>
        </w:tc>
      </w:tr>
      <w:tr w14:paraId="5228E4C9">
        <w:tblPrEx>
          <w:tblCellMar>
            <w:top w:w="0" w:type="dxa"/>
            <w:left w:w="108" w:type="dxa"/>
            <w:bottom w:w="0" w:type="dxa"/>
            <w:right w:w="108" w:type="dxa"/>
          </w:tblCellMar>
        </w:tblPrEx>
        <w:tc>
          <w:tcPr>
            <w:tcW w:w="4786" w:type="dxa"/>
            <w:noWrap w:val="0"/>
            <w:vAlign w:val="top"/>
          </w:tcPr>
          <w:p w14:paraId="71A22F90">
            <w:pPr>
              <w:spacing w:line="360" w:lineRule="auto"/>
              <w:ind w:left="1050" w:hanging="1050" w:hangingChars="500"/>
              <w:rPr>
                <w:rFonts w:hint="eastAsia" w:ascii="宋体" w:hAnsi="宋体" w:cs="宋体"/>
                <w:szCs w:val="21"/>
              </w:rPr>
            </w:pPr>
            <w:r>
              <w:rPr>
                <w:rFonts w:hint="eastAsia" w:ascii="宋体" w:hAnsi="宋体" w:cs="宋体"/>
                <w:szCs w:val="21"/>
              </w:rPr>
              <w:t>邮    编：</w:t>
            </w:r>
            <w:r>
              <w:fldChar w:fldCharType="begin"/>
            </w:r>
            <w:r>
              <w:instrText xml:space="preserve"> HYPERLINK "https://www.youbianku.com/%E5%A6%82%E4%BD%95%E5%BF%AB%E9%80%9F%E6%9F%A5%E8%AF%A2%E6%9F%90%E4%B8%AA%E5%9C%B0%E5%9D%80%E6%89%80%E5%B1%9E%E8%A1%97%E9%81%93%E5%8A%9E%E4%BA%8B%E5%A4%84%EF%BC%9F" </w:instrText>
            </w:r>
            <w:r>
              <w:fldChar w:fldCharType="separate"/>
            </w:r>
            <w:r>
              <w:fldChar w:fldCharType="begin"/>
            </w:r>
            <w:r>
              <w:instrText xml:space="preserve"> HYPERLINK "https://www.youbianku.com/510000" </w:instrText>
            </w:r>
            <w:r>
              <w:fldChar w:fldCharType="separate"/>
            </w:r>
            <w:r>
              <w:rPr>
                <w:rFonts w:hint="eastAsia" w:ascii="宋体" w:hAnsi="宋体" w:cs="宋体"/>
                <w:szCs w:val="21"/>
              </w:rPr>
              <w:t>510000</w:t>
            </w:r>
            <w:r>
              <w:rPr>
                <w:rFonts w:hint="eastAsia" w:ascii="宋体" w:hAnsi="宋体" w:cs="宋体"/>
                <w:szCs w:val="21"/>
              </w:rPr>
              <w:fldChar w:fldCharType="end"/>
            </w:r>
            <w:r>
              <w:fldChar w:fldCharType="end"/>
            </w:r>
          </w:p>
        </w:tc>
        <w:tc>
          <w:tcPr>
            <w:tcW w:w="4528" w:type="dxa"/>
            <w:noWrap w:val="0"/>
            <w:vAlign w:val="top"/>
          </w:tcPr>
          <w:p w14:paraId="724CA033">
            <w:pPr>
              <w:spacing w:line="360" w:lineRule="auto"/>
              <w:ind w:left="1050" w:hanging="1050" w:hangingChars="500"/>
              <w:rPr>
                <w:rFonts w:hint="eastAsia" w:ascii="宋体" w:hAnsi="宋体" w:cs="宋体"/>
                <w:szCs w:val="21"/>
              </w:rPr>
            </w:pPr>
            <w:r>
              <w:rPr>
                <w:rFonts w:hint="eastAsia" w:ascii="宋体" w:hAnsi="宋体" w:cs="宋体"/>
                <w:szCs w:val="21"/>
              </w:rPr>
              <w:t>邮    编：510600</w:t>
            </w:r>
          </w:p>
        </w:tc>
      </w:tr>
      <w:tr w14:paraId="293D612A">
        <w:tblPrEx>
          <w:tblCellMar>
            <w:top w:w="0" w:type="dxa"/>
            <w:left w:w="108" w:type="dxa"/>
            <w:bottom w:w="0" w:type="dxa"/>
            <w:right w:w="108" w:type="dxa"/>
          </w:tblCellMar>
        </w:tblPrEx>
        <w:tc>
          <w:tcPr>
            <w:tcW w:w="4786" w:type="dxa"/>
            <w:noWrap w:val="0"/>
            <w:vAlign w:val="top"/>
          </w:tcPr>
          <w:p w14:paraId="1F43A976">
            <w:pPr>
              <w:spacing w:line="360" w:lineRule="auto"/>
              <w:ind w:left="1050" w:hanging="1050" w:hangingChars="500"/>
              <w:rPr>
                <w:rFonts w:hint="eastAsia" w:ascii="宋体" w:hAnsi="宋体" w:cs="宋体"/>
                <w:szCs w:val="21"/>
              </w:rPr>
            </w:pPr>
            <w:r>
              <w:rPr>
                <w:rFonts w:hint="eastAsia" w:ascii="宋体" w:hAnsi="宋体" w:cs="宋体"/>
                <w:szCs w:val="21"/>
              </w:rPr>
              <w:t>联 系 人：甄老师</w:t>
            </w:r>
          </w:p>
        </w:tc>
        <w:tc>
          <w:tcPr>
            <w:tcW w:w="4528" w:type="dxa"/>
            <w:noWrap w:val="0"/>
            <w:vAlign w:val="top"/>
          </w:tcPr>
          <w:p w14:paraId="18E52A0D">
            <w:pPr>
              <w:spacing w:line="360" w:lineRule="auto"/>
              <w:ind w:left="1050" w:hanging="1050" w:hangingChars="500"/>
              <w:rPr>
                <w:rFonts w:hint="eastAsia" w:ascii="宋体" w:hAnsi="宋体" w:cs="宋体"/>
                <w:szCs w:val="21"/>
              </w:rPr>
            </w:pPr>
            <w:r>
              <w:rPr>
                <w:rFonts w:hint="eastAsia" w:ascii="宋体" w:hAnsi="宋体" w:cs="宋体"/>
                <w:szCs w:val="21"/>
              </w:rPr>
              <w:t>联 系 人：何工</w:t>
            </w:r>
          </w:p>
        </w:tc>
      </w:tr>
      <w:tr w14:paraId="4055DCA1">
        <w:tblPrEx>
          <w:tblCellMar>
            <w:top w:w="0" w:type="dxa"/>
            <w:left w:w="108" w:type="dxa"/>
            <w:bottom w:w="0" w:type="dxa"/>
            <w:right w:w="108" w:type="dxa"/>
          </w:tblCellMar>
        </w:tblPrEx>
        <w:tc>
          <w:tcPr>
            <w:tcW w:w="4786" w:type="dxa"/>
            <w:noWrap w:val="0"/>
            <w:vAlign w:val="top"/>
          </w:tcPr>
          <w:p w14:paraId="09663BED">
            <w:pPr>
              <w:spacing w:line="360" w:lineRule="auto"/>
              <w:ind w:left="1050" w:hanging="1050" w:hangingChars="500"/>
              <w:rPr>
                <w:rFonts w:hint="eastAsia" w:ascii="宋体" w:hAnsi="宋体" w:cs="宋体"/>
                <w:szCs w:val="21"/>
              </w:rPr>
            </w:pPr>
            <w:r>
              <w:rPr>
                <w:rFonts w:hint="eastAsia" w:ascii="宋体" w:hAnsi="宋体" w:cs="宋体"/>
                <w:szCs w:val="21"/>
              </w:rPr>
              <w:t>电    话：</w:t>
            </w:r>
            <w:r>
              <w:rPr>
                <w:rFonts w:ascii="宋体" w:hAnsi="宋体" w:cs="宋体"/>
                <w:szCs w:val="21"/>
              </w:rPr>
              <w:t>020-</w:t>
            </w:r>
            <w:r>
              <w:rPr>
                <w:rFonts w:hint="eastAsia" w:ascii="宋体" w:hAnsi="宋体" w:cs="宋体"/>
                <w:szCs w:val="21"/>
              </w:rPr>
              <w:t>66648765</w:t>
            </w:r>
          </w:p>
        </w:tc>
        <w:tc>
          <w:tcPr>
            <w:tcW w:w="4528" w:type="dxa"/>
            <w:noWrap w:val="0"/>
            <w:vAlign w:val="top"/>
          </w:tcPr>
          <w:p w14:paraId="395C4F00">
            <w:pPr>
              <w:spacing w:line="360" w:lineRule="auto"/>
              <w:ind w:left="1050" w:hanging="1050" w:hangingChars="500"/>
              <w:rPr>
                <w:rFonts w:hint="eastAsia" w:ascii="宋体" w:hAnsi="宋体" w:cs="宋体"/>
                <w:szCs w:val="21"/>
              </w:rPr>
            </w:pPr>
            <w:r>
              <w:rPr>
                <w:rFonts w:hint="eastAsia" w:ascii="宋体" w:hAnsi="宋体" w:cs="宋体"/>
                <w:szCs w:val="21"/>
              </w:rPr>
              <w:t>电    话：020-87385151</w:t>
            </w:r>
          </w:p>
        </w:tc>
      </w:tr>
    </w:tbl>
    <w:p w14:paraId="7A02CEE6">
      <w:pPr>
        <w:spacing w:line="400" w:lineRule="exact"/>
        <w:ind w:firstLine="420"/>
        <w:rPr>
          <w:rFonts w:hint="eastAsia" w:ascii="宋体" w:hAnsi="宋体"/>
          <w:szCs w:val="21"/>
        </w:rPr>
      </w:pPr>
    </w:p>
    <w:p w14:paraId="0419DA97">
      <w:pPr>
        <w:spacing w:line="400" w:lineRule="exact"/>
        <w:ind w:firstLine="420"/>
        <w:rPr>
          <w:rFonts w:hint="eastAsia" w:ascii="宋体" w:hAnsi="宋体" w:cs="宋体"/>
          <w:szCs w:val="21"/>
        </w:rPr>
      </w:pPr>
      <w:r>
        <w:rPr>
          <w:rFonts w:hint="eastAsia" w:ascii="宋体" w:hAnsi="宋体" w:cs="宋体"/>
          <w:szCs w:val="21"/>
        </w:rPr>
        <w:t>潜在投标人或利害关系人对本招标公告及招标文件有异议的，向招标人书面提出。</w:t>
      </w:r>
    </w:p>
    <w:p w14:paraId="3EC177E9">
      <w:pPr>
        <w:spacing w:line="400" w:lineRule="exact"/>
        <w:ind w:firstLine="420"/>
        <w:rPr>
          <w:rFonts w:hint="eastAsia" w:ascii="宋体" w:hAnsi="宋体" w:cs="宋体"/>
          <w:kern w:val="0"/>
          <w:szCs w:val="21"/>
          <w:shd w:val="clear" w:color="auto" w:fill="FFFFFF"/>
        </w:rPr>
      </w:pPr>
      <w:r>
        <w:rPr>
          <w:rFonts w:hint="eastAsia" w:ascii="宋体" w:hAnsi="宋体" w:cs="宋体"/>
          <w:kern w:val="0"/>
          <w:szCs w:val="21"/>
          <w:shd w:val="clear" w:color="auto" w:fill="FFFFFF"/>
        </w:rPr>
        <w:t>异议受理部门：</w:t>
      </w:r>
      <w:r>
        <w:rPr>
          <w:rFonts w:hint="eastAsia" w:ascii="宋体" w:hAnsi="宋体" w:cs="宋体"/>
          <w:szCs w:val="21"/>
          <w:u w:val="single"/>
        </w:rPr>
        <w:t>中山大学中山眼科中心纪检监察室</w:t>
      </w:r>
    </w:p>
    <w:p w14:paraId="15608258">
      <w:pPr>
        <w:spacing w:line="400" w:lineRule="exact"/>
        <w:ind w:firstLine="420"/>
        <w:rPr>
          <w:rFonts w:hint="eastAsia" w:ascii="宋体" w:hAnsi="宋体" w:cs="宋体"/>
          <w:kern w:val="0"/>
          <w:szCs w:val="21"/>
          <w:shd w:val="clear" w:color="auto" w:fill="FFFFFF"/>
        </w:rPr>
      </w:pPr>
      <w:r>
        <w:rPr>
          <w:rFonts w:hint="eastAsia" w:ascii="宋体" w:hAnsi="宋体" w:cs="宋体"/>
          <w:kern w:val="0"/>
          <w:szCs w:val="21"/>
          <w:shd w:val="clear" w:color="auto" w:fill="FFFFFF"/>
        </w:rPr>
        <w:t>异议受理电话：</w:t>
      </w:r>
      <w:r>
        <w:rPr>
          <w:rFonts w:hint="eastAsia" w:ascii="宋体" w:hAnsi="宋体" w:cs="宋体"/>
          <w:szCs w:val="21"/>
          <w:u w:val="single"/>
        </w:rPr>
        <w:t xml:space="preserve">020-66648765 </w:t>
      </w:r>
    </w:p>
    <w:p w14:paraId="18EC3E42">
      <w:pPr>
        <w:spacing w:line="400" w:lineRule="exact"/>
        <w:ind w:firstLine="420"/>
        <w:rPr>
          <w:rFonts w:hint="eastAsia" w:ascii="宋体" w:hAnsi="宋体"/>
          <w:bCs/>
          <w:szCs w:val="21"/>
          <w:u w:val="single"/>
        </w:rPr>
      </w:pPr>
      <w:r>
        <w:rPr>
          <w:rFonts w:hint="eastAsia" w:ascii="宋体" w:hAnsi="宋体" w:cs="宋体"/>
          <w:kern w:val="0"/>
          <w:szCs w:val="21"/>
          <w:shd w:val="clear" w:color="auto" w:fill="FFFFFF"/>
        </w:rPr>
        <w:t>地        址：</w:t>
      </w:r>
      <w:r>
        <w:rPr>
          <w:rFonts w:hint="eastAsia" w:ascii="宋体" w:hAnsi="宋体" w:cs="宋体"/>
          <w:szCs w:val="21"/>
          <w:u w:val="single"/>
        </w:rPr>
        <w:t>广州市天河区金穗路7号</w:t>
      </w:r>
    </w:p>
    <w:p w14:paraId="6E8CE8DE">
      <w:pPr>
        <w:spacing w:line="400" w:lineRule="exact"/>
        <w:ind w:firstLine="420"/>
        <w:rPr>
          <w:rFonts w:hint="eastAsia" w:ascii="宋体" w:hAnsi="宋体" w:cs="宋体"/>
          <w:szCs w:val="21"/>
        </w:rPr>
      </w:pPr>
      <w:r>
        <w:rPr>
          <w:rFonts w:hint="eastAsia" w:ascii="宋体" w:hAnsi="宋体" w:cs="宋体"/>
          <w:szCs w:val="21"/>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3DE02C82">
      <w:pPr>
        <w:spacing w:line="400" w:lineRule="exact"/>
        <w:ind w:firstLine="420"/>
        <w:rPr>
          <w:rFonts w:hint="eastAsia" w:ascii="宋体" w:hAnsi="宋体" w:cs="宋体"/>
          <w:szCs w:val="21"/>
        </w:rPr>
      </w:pPr>
      <w:bookmarkStart w:id="13" w:name="_Toc5593"/>
      <w:r>
        <w:rPr>
          <w:rFonts w:hint="eastAsia" w:ascii="宋体" w:hAnsi="宋体" w:cs="宋体"/>
          <w:szCs w:val="21"/>
        </w:rPr>
        <w:t>招标监管机构：</w:t>
      </w:r>
      <w:r>
        <w:rPr>
          <w:rFonts w:hint="eastAsia" w:ascii="宋体" w:hAnsi="宋体" w:cs="宋体"/>
          <w:szCs w:val="21"/>
          <w:u w:val="single"/>
        </w:rPr>
        <w:t>广州市建设工程招标管理办公室</w:t>
      </w:r>
    </w:p>
    <w:p w14:paraId="4AFECFD4">
      <w:pPr>
        <w:spacing w:line="400" w:lineRule="exact"/>
        <w:ind w:firstLine="420"/>
        <w:rPr>
          <w:rFonts w:hint="eastAsia" w:ascii="宋体" w:hAnsi="宋体"/>
          <w:szCs w:val="21"/>
        </w:rPr>
      </w:pPr>
      <w:r>
        <w:rPr>
          <w:rFonts w:hint="eastAsia" w:ascii="宋体" w:hAnsi="宋体" w:cs="宋体"/>
          <w:szCs w:val="21"/>
        </w:rPr>
        <w:t>监督电话：</w:t>
      </w:r>
      <w:r>
        <w:rPr>
          <w:rFonts w:hint="eastAsia" w:ascii="宋体" w:hAnsi="宋体" w:cs="宋体"/>
          <w:szCs w:val="21"/>
          <w:u w:val="single"/>
        </w:rPr>
        <w:t>020-28866214</w:t>
      </w:r>
    </w:p>
    <w:p w14:paraId="533FBB2B">
      <w:pPr>
        <w:spacing w:line="400" w:lineRule="exact"/>
        <w:ind w:firstLine="420"/>
        <w:rPr>
          <w:rFonts w:hint="eastAsia" w:ascii="宋体" w:hAnsi="宋体" w:cs="宋体"/>
          <w:kern w:val="0"/>
          <w:szCs w:val="21"/>
          <w:shd w:val="clear" w:color="auto" w:fill="FFFFFF"/>
        </w:rPr>
      </w:pPr>
      <w:r>
        <w:rPr>
          <w:rFonts w:hint="eastAsia" w:ascii="宋体" w:hAnsi="宋体" w:cs="宋体"/>
          <w:kern w:val="0"/>
          <w:szCs w:val="21"/>
          <w:shd w:val="clear" w:color="auto" w:fill="FFFFFF"/>
        </w:rPr>
        <w:t>地    址：</w:t>
      </w:r>
      <w:r>
        <w:rPr>
          <w:rFonts w:hint="eastAsia" w:ascii="宋体" w:hAnsi="宋体"/>
          <w:bCs/>
          <w:szCs w:val="21"/>
          <w:u w:val="single"/>
        </w:rPr>
        <w:t>广州市天河区天润路333号3楼</w:t>
      </w:r>
    </w:p>
    <w:p w14:paraId="0569AECB">
      <w:pPr>
        <w:pStyle w:val="2"/>
      </w:pPr>
      <w:bookmarkStart w:id="14" w:name="_Toc134304519"/>
      <w:r>
        <w:rPr>
          <w:rFonts w:hint="eastAsia"/>
        </w:rPr>
        <w:t>8. 特别提示</w:t>
      </w:r>
      <w:bookmarkEnd w:id="13"/>
      <w:bookmarkEnd w:id="14"/>
    </w:p>
    <w:p w14:paraId="26ED0A72">
      <w:pPr>
        <w:spacing w:line="400" w:lineRule="exact"/>
        <w:ind w:firstLine="420" w:firstLineChars="200"/>
        <w:rPr>
          <w:rFonts w:hint="eastAsia" w:ascii="宋体" w:hAnsi="宋体"/>
          <w:szCs w:val="21"/>
        </w:rPr>
      </w:pPr>
      <w:r>
        <w:rPr>
          <w:rFonts w:hint="eastAsia" w:ascii="宋体" w:hAnsi="宋体"/>
          <w:szCs w:val="21"/>
        </w:rPr>
        <w:t>（1）满足资格审查合格条件的投标人不足 3 名或通过响应性审查的投标人不足3名时为招标失败。招标人在分析招标失败的原因并采取相应措施后，应当依法重新招标。</w:t>
      </w:r>
    </w:p>
    <w:p w14:paraId="0C00E2A1">
      <w:pPr>
        <w:spacing w:line="400" w:lineRule="exact"/>
        <w:ind w:firstLine="420" w:firstLineChars="200"/>
        <w:rPr>
          <w:rFonts w:hint="eastAsia" w:ascii="宋体" w:hAnsi="宋体"/>
          <w:szCs w:val="21"/>
        </w:rPr>
      </w:pPr>
      <w:r>
        <w:rPr>
          <w:rFonts w:hint="eastAsia" w:ascii="宋体" w:hAnsi="宋体"/>
          <w:szCs w:val="21"/>
        </w:rPr>
        <w:t>（2）《投诉处理决定书》和《行政处理决定书》在广州市住房和城乡建设局网站上公布的，视为送达其他与决定书有关的当事人。</w:t>
      </w:r>
    </w:p>
    <w:p w14:paraId="5E2BD25C">
      <w:pPr>
        <w:spacing w:line="400" w:lineRule="exact"/>
        <w:ind w:firstLine="420" w:firstLineChars="200"/>
        <w:rPr>
          <w:rFonts w:hint="eastAsia" w:ascii="宋体" w:hAnsi="宋体"/>
          <w:szCs w:val="21"/>
        </w:rPr>
      </w:pPr>
      <w:r>
        <w:rPr>
          <w:rFonts w:hint="eastAsia" w:ascii="宋体" w:hAnsi="宋体"/>
          <w:szCs w:val="21"/>
        </w:rPr>
        <w:t>（3）投标人须保证其提供的投标资料的真实性，招标人有权在招标的任何阶段进行调查和核实，一旦发现虚假，将上报建设管理部门及相关部门严肃查处。</w:t>
      </w:r>
    </w:p>
    <w:p w14:paraId="4E8A7EB7">
      <w:pPr>
        <w:spacing w:line="400" w:lineRule="exact"/>
        <w:ind w:firstLine="420" w:firstLineChars="200"/>
        <w:rPr>
          <w:rFonts w:hint="eastAsia" w:ascii="宋体" w:hAnsi="宋体"/>
          <w:szCs w:val="21"/>
        </w:rPr>
      </w:pPr>
      <w:r>
        <w:rPr>
          <w:rFonts w:hint="eastAsia" w:ascii="宋体" w:hAnsi="宋体"/>
          <w:szCs w:val="21"/>
        </w:rPr>
        <w:t>（4）本项目禁止转包或违法分包，否则，招标人有权取消其中标资格或单方面解除合同。上述要求，投标人须在《投标人声明》中予以承诺。</w:t>
      </w:r>
    </w:p>
    <w:p w14:paraId="628F8AD0">
      <w:pPr>
        <w:spacing w:line="400" w:lineRule="exact"/>
        <w:ind w:firstLine="420" w:firstLineChars="200"/>
        <w:rPr>
          <w:rFonts w:hint="eastAsia" w:ascii="宋体" w:hAnsi="宋体"/>
          <w:szCs w:val="21"/>
        </w:rPr>
      </w:pPr>
      <w:r>
        <w:rPr>
          <w:rFonts w:hint="eastAsia" w:ascii="宋体" w:hAnsi="宋体"/>
          <w:szCs w:val="21"/>
        </w:rPr>
        <w:t>（5）投标时是否需要提交设计模型：否。</w:t>
      </w:r>
    </w:p>
    <w:p w14:paraId="78490634">
      <w:pPr>
        <w:spacing w:line="400" w:lineRule="exact"/>
        <w:ind w:firstLine="420" w:firstLineChars="200"/>
        <w:rPr>
          <w:rFonts w:hint="eastAsia" w:ascii="宋体" w:hAnsi="宋体"/>
          <w:szCs w:val="21"/>
        </w:rPr>
      </w:pPr>
      <w:r>
        <w:rPr>
          <w:rFonts w:hint="eastAsia" w:ascii="宋体" w:hAnsi="宋体"/>
          <w:szCs w:val="21"/>
        </w:rPr>
        <w:t>（6）参加投标之前，投标人应查询企业信用档案、拟报项目负责人、设计负责人、专职安全员的使用状态，以免出现企业信用档案、拟报项目负责人、设计负责人、技术负责人、专职安全员不能被使用的问题。上述情况有可能导致投标信息无法录入广州交易集团有限公司（广州公共资源交易中心）交易服务系统。如出现上述情况，投标人有可能失去投标机会，因其可能所引起的一切后果由投标人自行承担。</w:t>
      </w:r>
    </w:p>
    <w:p w14:paraId="741C2980">
      <w:pPr>
        <w:spacing w:line="400" w:lineRule="exact"/>
        <w:ind w:firstLine="420" w:firstLineChars="200"/>
        <w:rPr>
          <w:rFonts w:hint="eastAsia" w:ascii="宋体" w:hAnsi="宋体"/>
          <w:szCs w:val="21"/>
        </w:rPr>
      </w:pPr>
      <w:r>
        <w:rPr>
          <w:rFonts w:hint="eastAsia" w:ascii="宋体" w:hAnsi="宋体"/>
          <w:szCs w:val="21"/>
        </w:rPr>
        <w:t>（7）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8A7C11C">
      <w:pPr>
        <w:spacing w:line="400" w:lineRule="exact"/>
        <w:ind w:firstLine="420"/>
        <w:jc w:val="right"/>
        <w:rPr>
          <w:rFonts w:hint="eastAsia" w:ascii="宋体" w:hAnsi="宋体"/>
          <w:szCs w:val="21"/>
        </w:rPr>
      </w:pPr>
      <w:r>
        <w:rPr>
          <w:rFonts w:hint="eastAsia" w:ascii="宋体" w:hAnsi="宋体"/>
          <w:szCs w:val="21"/>
        </w:rPr>
        <w:t>中山大学中山眼科中心</w:t>
      </w:r>
    </w:p>
    <w:p w14:paraId="7DFFC16E">
      <w:pPr>
        <w:spacing w:line="400" w:lineRule="exact"/>
        <w:ind w:firstLine="420"/>
        <w:jc w:val="right"/>
        <w:rPr>
          <w:rFonts w:hint="eastAsia" w:ascii="宋体" w:hAnsi="宋体"/>
          <w:szCs w:val="21"/>
        </w:rPr>
      </w:pPr>
      <w:r>
        <w:rPr>
          <w:rFonts w:hint="eastAsia" w:ascii="宋体" w:hAnsi="宋体"/>
          <w:szCs w:val="21"/>
          <w:u w:val="single"/>
        </w:rPr>
        <w:t>2025</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  日</w:t>
      </w:r>
    </w:p>
    <w:p w14:paraId="407C76C2">
      <w:pPr>
        <w:widowControl/>
        <w:spacing w:line="360" w:lineRule="auto"/>
        <w:ind w:firstLine="420" w:firstLineChars="200"/>
        <w:jc w:val="left"/>
        <w:rPr>
          <w:rFonts w:hint="eastAsia" w:ascii="宋体" w:hAnsi="宋体" w:cs="宋体"/>
          <w:szCs w:val="21"/>
        </w:rPr>
      </w:pPr>
      <w:r>
        <w:br w:type="page"/>
      </w:r>
      <w:r>
        <w:rPr>
          <w:rFonts w:hint="eastAsia" w:ascii="宋体" w:hAnsi="宋体" w:cs="宋体"/>
          <w:szCs w:val="21"/>
        </w:rPr>
        <w:t xml:space="preserve">附件一：                   </w:t>
      </w:r>
    </w:p>
    <w:p w14:paraId="4B6EB318">
      <w:pPr>
        <w:pStyle w:val="8"/>
        <w:spacing w:line="440" w:lineRule="exact"/>
        <w:ind w:firstLine="0"/>
        <w:rPr>
          <w:rFonts w:hint="eastAsia" w:ascii="宋体" w:hAnsi="宋体" w:eastAsia="宋体"/>
          <w:color w:val="auto"/>
          <w:sz w:val="24"/>
          <w:szCs w:val="24"/>
          <w:u w:val="single"/>
          <w:shd w:val="clear" w:color="auto" w:fill="FFFFFF"/>
        </w:rPr>
      </w:pPr>
    </w:p>
    <w:p w14:paraId="1C0E8E3D">
      <w:pPr>
        <w:spacing w:after="156" w:afterLines="50" w:line="360" w:lineRule="auto"/>
        <w:jc w:val="center"/>
        <w:rPr>
          <w:b/>
          <w:sz w:val="32"/>
          <w:szCs w:val="32"/>
        </w:rPr>
      </w:pPr>
      <w:r>
        <w:rPr>
          <w:rFonts w:hint="eastAsia"/>
          <w:b/>
          <w:kern w:val="0"/>
          <w:sz w:val="32"/>
          <w:szCs w:val="32"/>
        </w:rPr>
        <w:t>投标人</w:t>
      </w:r>
      <w:r>
        <w:rPr>
          <w:rFonts w:hint="eastAsia"/>
          <w:b/>
          <w:sz w:val="32"/>
          <w:szCs w:val="32"/>
        </w:rPr>
        <w:t>声明</w:t>
      </w:r>
    </w:p>
    <w:p w14:paraId="100E6A82">
      <w:pPr>
        <w:pStyle w:val="8"/>
        <w:ind w:firstLine="0"/>
        <w:rPr>
          <w:rFonts w:hint="eastAsia" w:ascii="宋体" w:hAnsi="宋体" w:eastAsia="宋体"/>
          <w:color w:val="auto"/>
          <w:sz w:val="21"/>
          <w:szCs w:val="21"/>
        </w:rPr>
      </w:pPr>
      <w:r>
        <w:rPr>
          <w:rFonts w:hint="eastAsia" w:ascii="宋体" w:hAnsi="宋体" w:eastAsia="宋体"/>
          <w:color w:val="auto"/>
          <w:sz w:val="21"/>
          <w:szCs w:val="21"/>
        </w:rPr>
        <w:t>广州市住房和城乡建设局、本招标项目招标人及招标监管机构：</w:t>
      </w:r>
    </w:p>
    <w:p w14:paraId="22059860">
      <w:pPr>
        <w:pStyle w:val="8"/>
        <w:ind w:firstLine="420" w:firstLineChars="200"/>
        <w:rPr>
          <w:rFonts w:hint="eastAsia" w:ascii="宋体" w:hAnsi="宋体" w:eastAsia="宋体"/>
          <w:color w:val="auto"/>
          <w:sz w:val="21"/>
          <w:szCs w:val="21"/>
        </w:rPr>
      </w:pPr>
      <w:r>
        <w:rPr>
          <w:rFonts w:hint="eastAsia" w:ascii="宋体" w:hAnsi="宋体" w:eastAsia="宋体"/>
          <w:color w:val="auto"/>
          <w:sz w:val="21"/>
          <w:szCs w:val="21"/>
        </w:rPr>
        <w:t>本公司就参加</w:t>
      </w:r>
      <w:r>
        <w:rPr>
          <w:rFonts w:ascii="宋体" w:hAnsi="宋体" w:eastAsia="宋体"/>
          <w:color w:val="auto"/>
          <w:sz w:val="21"/>
          <w:szCs w:val="21"/>
          <w:u w:val="single"/>
        </w:rPr>
        <w:t xml:space="preserve"> </w:t>
      </w:r>
      <w:r>
        <w:rPr>
          <w:rFonts w:hint="eastAsia" w:ascii="宋体" w:hAnsi="宋体" w:eastAsia="宋体"/>
          <w:color w:val="auto"/>
          <w:sz w:val="21"/>
          <w:szCs w:val="21"/>
          <w:u w:val="single"/>
        </w:rPr>
        <w:t xml:space="preserve">                 </w:t>
      </w:r>
      <w:r>
        <w:rPr>
          <w:rFonts w:ascii="宋体" w:hAnsi="宋体" w:eastAsia="宋体"/>
          <w:color w:val="auto"/>
          <w:sz w:val="21"/>
          <w:szCs w:val="21"/>
          <w:u w:val="single"/>
        </w:rPr>
        <w:t xml:space="preserve"> </w:t>
      </w:r>
      <w:r>
        <w:rPr>
          <w:rFonts w:hint="eastAsia" w:ascii="宋体" w:hAnsi="宋体" w:eastAsia="宋体"/>
          <w:color w:val="auto"/>
          <w:sz w:val="21"/>
          <w:szCs w:val="21"/>
        </w:rPr>
        <w:t>投标工作，作出郑重声明：</w:t>
      </w:r>
    </w:p>
    <w:p w14:paraId="67B85422">
      <w:pPr>
        <w:spacing w:line="400" w:lineRule="exact"/>
        <w:ind w:firstLine="629"/>
        <w:rPr>
          <w:rFonts w:hint="eastAsia" w:ascii="宋体" w:hAnsi="宋体" w:cs="宋体"/>
          <w:kern w:val="0"/>
          <w:szCs w:val="21"/>
        </w:rPr>
      </w:pPr>
      <w:r>
        <w:rPr>
          <w:rFonts w:hint="eastAsia" w:ascii="宋体" w:hAnsi="宋体" w:cs="宋体"/>
          <w:kern w:val="0"/>
          <w:szCs w:val="21"/>
        </w:rPr>
        <w:t>一、本公司保证投标文件及其后提供的一切材料都是真实的。如我司成为本项目中标候选人，我司同意并授权招标人将我司投标文件商务部分的人员、业绩、奖项等资料进行公开。</w:t>
      </w:r>
    </w:p>
    <w:p w14:paraId="34E4A1E2">
      <w:pPr>
        <w:spacing w:line="400" w:lineRule="exact"/>
        <w:ind w:firstLine="629"/>
        <w:rPr>
          <w:rFonts w:hint="eastAsia" w:ascii="宋体" w:hAnsi="宋体" w:cs="宋体"/>
          <w:kern w:val="0"/>
          <w:szCs w:val="21"/>
        </w:rPr>
      </w:pPr>
      <w:r>
        <w:rPr>
          <w:rFonts w:hint="eastAsia" w:ascii="宋体" w:hAnsi="宋体" w:cs="宋体"/>
          <w:kern w:val="0"/>
          <w:szCs w:val="21"/>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4DDBCB5B">
      <w:pPr>
        <w:spacing w:line="400" w:lineRule="exact"/>
        <w:ind w:firstLine="629"/>
        <w:rPr>
          <w:rFonts w:hint="eastAsia" w:ascii="宋体" w:hAnsi="宋体" w:cs="宋体"/>
          <w:kern w:val="0"/>
          <w:szCs w:val="21"/>
        </w:rPr>
      </w:pPr>
      <w:r>
        <w:rPr>
          <w:rFonts w:hint="eastAsia" w:ascii="宋体" w:hAnsi="宋体" w:cs="宋体"/>
          <w:kern w:val="0"/>
          <w:szCs w:val="21"/>
        </w:rPr>
        <w:t>三、本公司不存在下列情形之一：</w:t>
      </w:r>
    </w:p>
    <w:p w14:paraId="67BBB443">
      <w:pPr>
        <w:spacing w:line="400" w:lineRule="exact"/>
        <w:ind w:firstLine="629"/>
        <w:rPr>
          <w:rFonts w:hint="eastAsia" w:ascii="宋体" w:hAnsi="宋体" w:cs="宋体"/>
          <w:kern w:val="0"/>
          <w:szCs w:val="21"/>
        </w:rPr>
      </w:pPr>
      <w:r>
        <w:rPr>
          <w:rFonts w:hint="eastAsia" w:ascii="宋体" w:hAnsi="宋体" w:cs="宋体"/>
          <w:kern w:val="0"/>
          <w:szCs w:val="21"/>
        </w:rPr>
        <w:t>（一）为招标人不具有独立法人资格的附属机构（单位）；</w:t>
      </w:r>
    </w:p>
    <w:p w14:paraId="2766DEE4">
      <w:pPr>
        <w:spacing w:line="400" w:lineRule="exact"/>
        <w:ind w:firstLine="629"/>
        <w:rPr>
          <w:rFonts w:hint="eastAsia" w:ascii="宋体" w:hAnsi="宋体" w:cs="宋体"/>
          <w:kern w:val="0"/>
          <w:szCs w:val="21"/>
        </w:rPr>
      </w:pPr>
      <w:r>
        <w:rPr>
          <w:rFonts w:hint="eastAsia" w:ascii="宋体" w:hAnsi="宋体" w:cs="宋体"/>
          <w:kern w:val="0"/>
          <w:szCs w:val="21"/>
        </w:rPr>
        <w:t>（二）为本标段前期准备提供设计或咨询服务或者与本项目设计人或提供咨询服务的机构存在附属关系的；</w:t>
      </w:r>
    </w:p>
    <w:p w14:paraId="338E4E32">
      <w:pPr>
        <w:spacing w:line="400" w:lineRule="exact"/>
        <w:ind w:firstLine="629"/>
        <w:rPr>
          <w:rFonts w:hint="eastAsia" w:ascii="宋体" w:hAnsi="宋体" w:cs="宋体"/>
          <w:kern w:val="0"/>
          <w:szCs w:val="21"/>
        </w:rPr>
      </w:pPr>
      <w:r>
        <w:rPr>
          <w:rFonts w:hint="eastAsia" w:ascii="宋体" w:hAnsi="宋体" w:cs="宋体"/>
          <w:kern w:val="0"/>
          <w:szCs w:val="21"/>
        </w:rPr>
        <w:t>（三）为本标段监理人或者与本标段监理人存在隶属关系或者其他利害关系；</w:t>
      </w:r>
    </w:p>
    <w:p w14:paraId="5757AD69">
      <w:pPr>
        <w:spacing w:line="400" w:lineRule="exact"/>
        <w:ind w:firstLine="629"/>
        <w:rPr>
          <w:rFonts w:hint="eastAsia" w:ascii="宋体" w:hAnsi="宋体" w:cs="宋体"/>
          <w:kern w:val="0"/>
          <w:szCs w:val="21"/>
        </w:rPr>
      </w:pPr>
      <w:r>
        <w:rPr>
          <w:rFonts w:hint="eastAsia" w:ascii="宋体" w:hAnsi="宋体" w:cs="宋体"/>
          <w:kern w:val="0"/>
          <w:szCs w:val="21"/>
        </w:rPr>
        <w:t>（四）为本标段的代建人；</w:t>
      </w:r>
    </w:p>
    <w:p w14:paraId="56272FCD">
      <w:pPr>
        <w:spacing w:line="400" w:lineRule="exact"/>
        <w:ind w:firstLine="629"/>
        <w:rPr>
          <w:rFonts w:hint="eastAsia" w:ascii="宋体" w:hAnsi="宋体" w:cs="宋体"/>
          <w:kern w:val="0"/>
          <w:szCs w:val="21"/>
        </w:rPr>
      </w:pPr>
      <w:r>
        <w:rPr>
          <w:rFonts w:hint="eastAsia" w:ascii="宋体" w:hAnsi="宋体" w:cs="宋体"/>
          <w:kern w:val="0"/>
          <w:szCs w:val="21"/>
        </w:rPr>
        <w:t>（五）为本标段提供招标代理服务的；</w:t>
      </w:r>
    </w:p>
    <w:p w14:paraId="6C1F142C">
      <w:pPr>
        <w:spacing w:line="400" w:lineRule="exact"/>
        <w:ind w:firstLine="629"/>
        <w:rPr>
          <w:rFonts w:hint="eastAsia" w:ascii="宋体" w:hAnsi="宋体" w:cs="宋体"/>
          <w:kern w:val="0"/>
          <w:szCs w:val="21"/>
        </w:rPr>
      </w:pPr>
      <w:r>
        <w:rPr>
          <w:rFonts w:hint="eastAsia" w:ascii="宋体" w:hAnsi="宋体" w:cs="宋体"/>
          <w:kern w:val="0"/>
          <w:szCs w:val="21"/>
        </w:rPr>
        <w:t>（六）与本标段的监理人或代建人或招标代理机构同为一个法定代表人的；</w:t>
      </w:r>
    </w:p>
    <w:p w14:paraId="5EBFBC79">
      <w:pPr>
        <w:spacing w:line="400" w:lineRule="exact"/>
        <w:ind w:firstLine="629"/>
        <w:rPr>
          <w:rFonts w:hint="eastAsia" w:ascii="宋体" w:hAnsi="宋体" w:cs="宋体"/>
          <w:kern w:val="0"/>
          <w:szCs w:val="21"/>
        </w:rPr>
      </w:pPr>
      <w:r>
        <w:rPr>
          <w:rFonts w:hint="eastAsia" w:ascii="宋体" w:hAnsi="宋体" w:cs="宋体"/>
          <w:kern w:val="0"/>
          <w:szCs w:val="21"/>
        </w:rPr>
        <w:t>（七）与本标段的监理人或代建人或招标代理机构互相控股或参股的；</w:t>
      </w:r>
    </w:p>
    <w:p w14:paraId="0D7FFA6E">
      <w:pPr>
        <w:spacing w:line="400" w:lineRule="exact"/>
        <w:ind w:firstLine="629"/>
        <w:rPr>
          <w:rFonts w:hint="eastAsia" w:ascii="宋体" w:hAnsi="宋体" w:cs="宋体"/>
          <w:kern w:val="0"/>
          <w:szCs w:val="21"/>
        </w:rPr>
      </w:pPr>
      <w:r>
        <w:rPr>
          <w:rFonts w:hint="eastAsia" w:ascii="宋体" w:hAnsi="宋体" w:cs="宋体"/>
          <w:kern w:val="0"/>
          <w:szCs w:val="21"/>
        </w:rPr>
        <w:t>（八）与本标段的监理人或代建人或招标代理机构相互任职或工作的；</w:t>
      </w:r>
    </w:p>
    <w:p w14:paraId="5EF1E796">
      <w:pPr>
        <w:spacing w:line="400" w:lineRule="exact"/>
        <w:ind w:firstLine="629"/>
        <w:rPr>
          <w:rFonts w:hint="eastAsia" w:ascii="宋体" w:hAnsi="宋体" w:cs="宋体"/>
          <w:kern w:val="0"/>
          <w:szCs w:val="21"/>
        </w:rPr>
      </w:pPr>
      <w:r>
        <w:rPr>
          <w:rFonts w:hint="eastAsia" w:ascii="宋体" w:hAnsi="宋体" w:cs="宋体"/>
          <w:kern w:val="0"/>
          <w:szCs w:val="21"/>
        </w:rPr>
        <w:t>（九）与本标段的检测机构有隶属关系或者其他利害关系；</w:t>
      </w:r>
    </w:p>
    <w:p w14:paraId="71A42B10">
      <w:pPr>
        <w:spacing w:line="400" w:lineRule="exact"/>
        <w:ind w:firstLine="629"/>
        <w:rPr>
          <w:rFonts w:hint="eastAsia" w:ascii="宋体" w:hAnsi="宋体" w:cs="宋体"/>
          <w:kern w:val="0"/>
          <w:szCs w:val="21"/>
        </w:rPr>
      </w:pPr>
      <w:r>
        <w:rPr>
          <w:rFonts w:hint="eastAsia" w:ascii="宋体" w:hAnsi="宋体" w:cs="宋体"/>
          <w:kern w:val="0"/>
          <w:szCs w:val="21"/>
        </w:rPr>
        <w:t xml:space="preserve">（十）与招标人存在利害关系且可能影响招标公正性； </w:t>
      </w:r>
    </w:p>
    <w:p w14:paraId="426BA64F">
      <w:pPr>
        <w:spacing w:line="400" w:lineRule="exact"/>
        <w:ind w:firstLine="629"/>
        <w:rPr>
          <w:rFonts w:hint="eastAsia" w:ascii="宋体" w:hAnsi="宋体" w:cs="宋体"/>
          <w:kern w:val="0"/>
          <w:szCs w:val="21"/>
        </w:rPr>
      </w:pPr>
      <w:r>
        <w:rPr>
          <w:rFonts w:hint="eastAsia" w:ascii="宋体" w:hAnsi="宋体" w:cs="宋体"/>
          <w:kern w:val="0"/>
          <w:szCs w:val="21"/>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0F5A1FC5">
      <w:pPr>
        <w:spacing w:line="400" w:lineRule="exact"/>
        <w:ind w:firstLine="629"/>
        <w:rPr>
          <w:rFonts w:hint="eastAsia" w:ascii="宋体" w:hAnsi="宋体" w:cs="宋体"/>
          <w:kern w:val="0"/>
          <w:szCs w:val="21"/>
        </w:rPr>
      </w:pPr>
      <w:r>
        <w:rPr>
          <w:rFonts w:hint="eastAsia" w:ascii="宋体" w:hAnsi="宋体" w:cs="宋体"/>
          <w:kern w:val="0"/>
          <w:szCs w:val="21"/>
        </w:rPr>
        <w:t>（十二）被责令停产停业、暂扣或者吊销许可证、暂扣或者吊销执照的（本项事实应当以根据《中华人民共和国行政处罚法》依法作出并已经生效的行政处罚决定为认定依据。）；</w:t>
      </w:r>
    </w:p>
    <w:p w14:paraId="4129BF82">
      <w:pPr>
        <w:spacing w:line="400" w:lineRule="exact"/>
        <w:ind w:firstLine="629"/>
        <w:rPr>
          <w:rFonts w:hint="eastAsia" w:ascii="宋体" w:hAnsi="宋体" w:cs="宋体"/>
          <w:kern w:val="0"/>
          <w:szCs w:val="21"/>
        </w:rPr>
      </w:pPr>
      <w:r>
        <w:rPr>
          <w:rFonts w:hint="eastAsia" w:ascii="宋体" w:hAnsi="宋体" w:cs="宋体"/>
          <w:kern w:val="0"/>
          <w:szCs w:val="21"/>
        </w:rPr>
        <w:t>（十三）进入清算程序，或被宣布破产，或其他丧失履约能力的情形；</w:t>
      </w:r>
    </w:p>
    <w:p w14:paraId="68F4F7A7">
      <w:pPr>
        <w:spacing w:line="400" w:lineRule="exact"/>
        <w:ind w:firstLine="629"/>
        <w:rPr>
          <w:rFonts w:hint="eastAsia" w:ascii="宋体" w:hAnsi="宋体" w:cs="宋体"/>
          <w:kern w:val="0"/>
          <w:szCs w:val="21"/>
        </w:rPr>
      </w:pPr>
      <w:r>
        <w:rPr>
          <w:rFonts w:hint="eastAsia" w:ascii="宋体" w:hAnsi="宋体" w:cs="宋体"/>
          <w:kern w:val="0"/>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5F9FFEA0">
      <w:pPr>
        <w:spacing w:line="400" w:lineRule="exact"/>
        <w:ind w:firstLine="629"/>
        <w:rPr>
          <w:rFonts w:hint="eastAsia" w:ascii="宋体" w:hAnsi="宋体" w:cs="宋体"/>
          <w:kern w:val="0"/>
          <w:szCs w:val="21"/>
        </w:rPr>
      </w:pPr>
      <w:r>
        <w:rPr>
          <w:rFonts w:hint="eastAsia" w:ascii="宋体" w:hAnsi="宋体" w:cs="宋体"/>
          <w:kern w:val="0"/>
          <w:szCs w:val="21"/>
        </w:rPr>
        <w:t>（十五）法律法规规定的其他情形。</w:t>
      </w:r>
    </w:p>
    <w:p w14:paraId="228A3A89">
      <w:pPr>
        <w:spacing w:line="400" w:lineRule="exact"/>
        <w:ind w:firstLine="629"/>
        <w:rPr>
          <w:rFonts w:hint="eastAsia" w:ascii="宋体" w:hAnsi="宋体" w:cs="宋体"/>
          <w:b/>
          <w:bCs/>
          <w:kern w:val="0"/>
          <w:szCs w:val="21"/>
          <w:highlight w:val="none"/>
        </w:rPr>
      </w:pPr>
      <w:r>
        <w:rPr>
          <w:rFonts w:hint="eastAsia" w:ascii="宋体" w:hAnsi="宋体" w:cs="宋体"/>
          <w:kern w:val="0"/>
          <w:szCs w:val="21"/>
        </w:rPr>
        <w:t>四、</w:t>
      </w:r>
      <w:r>
        <w:rPr>
          <w:rFonts w:hint="eastAsia" w:ascii="宋体" w:hAnsi="宋体" w:cs="宋体"/>
          <w:b/>
          <w:bCs/>
          <w:kern w:val="0"/>
          <w:szCs w:val="21"/>
          <w:highlight w:val="none"/>
          <w:u w:val="single"/>
        </w:rPr>
        <w:t>本项目拟派的（兼施工负责人</w:t>
      </w:r>
      <w:r>
        <w:rPr>
          <w:rFonts w:hint="eastAsia" w:ascii="宋体" w:hAnsi="宋体" w:cs="宋体"/>
          <w:b/>
          <w:bCs/>
          <w:kern w:val="0"/>
          <w:szCs w:val="21"/>
          <w:highlight w:val="none"/>
          <w:u w:val="single"/>
          <w:lang w:eastAsia="zh-CN"/>
        </w:rPr>
        <w:t>）</w:t>
      </w:r>
      <w:r>
        <w:rPr>
          <w:rFonts w:hint="eastAsia" w:ascii="宋体" w:hAnsi="宋体" w:cs="宋体"/>
          <w:b/>
          <w:bCs/>
          <w:kern w:val="0"/>
          <w:szCs w:val="21"/>
          <w:highlight w:val="none"/>
          <w:u w:val="single"/>
        </w:rPr>
        <w:t>在提交资格预审申请文件截止时没有在其他在建项目中任施工单位项目负责人。</w:t>
      </w:r>
    </w:p>
    <w:p w14:paraId="47E1D664">
      <w:pPr>
        <w:spacing w:line="400" w:lineRule="exact"/>
        <w:ind w:firstLine="629"/>
        <w:rPr>
          <w:rFonts w:hint="eastAsia" w:ascii="宋体" w:hAnsi="宋体" w:cs="宋体"/>
          <w:b/>
          <w:bCs/>
          <w:kern w:val="0"/>
          <w:szCs w:val="21"/>
          <w:highlight w:val="none"/>
        </w:rPr>
      </w:pPr>
      <w:r>
        <w:rPr>
          <w:rFonts w:hint="eastAsia" w:ascii="宋体" w:hAnsi="宋体" w:cs="宋体"/>
          <w:b w:val="0"/>
          <w:bCs w:val="0"/>
          <w:kern w:val="0"/>
          <w:szCs w:val="21"/>
          <w:highlight w:val="none"/>
        </w:rPr>
        <w:t>五、</w:t>
      </w:r>
      <w:r>
        <w:rPr>
          <w:rFonts w:hint="eastAsia" w:ascii="宋体" w:hAnsi="宋体" w:cs="宋体"/>
          <w:b/>
          <w:bCs/>
          <w:kern w:val="0"/>
          <w:szCs w:val="21"/>
          <w:highlight w:val="none"/>
          <w:u w:val="single"/>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29A75D3B">
      <w:pPr>
        <w:spacing w:line="400" w:lineRule="exact"/>
        <w:ind w:firstLine="629"/>
        <w:rPr>
          <w:rFonts w:hint="eastAsia" w:ascii="宋体" w:hAnsi="宋体" w:cs="宋体"/>
          <w:kern w:val="0"/>
          <w:szCs w:val="21"/>
        </w:rPr>
      </w:pPr>
      <w:r>
        <w:rPr>
          <w:rFonts w:hint="eastAsia" w:ascii="宋体" w:hAnsi="宋体" w:cs="宋体"/>
          <w:kern w:val="0"/>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2273419">
      <w:pPr>
        <w:spacing w:line="400" w:lineRule="exact"/>
        <w:ind w:firstLine="629"/>
        <w:rPr>
          <w:rFonts w:hint="eastAsia" w:ascii="宋体" w:hAnsi="宋体" w:cs="宋体"/>
          <w:kern w:val="0"/>
          <w:szCs w:val="21"/>
        </w:rPr>
      </w:pPr>
      <w:r>
        <w:rPr>
          <w:rFonts w:hint="eastAsia" w:ascii="宋体" w:hAnsi="宋体" w:cs="宋体"/>
          <w:kern w:val="0"/>
          <w:szCs w:val="21"/>
        </w:rPr>
        <w:t>七、本公司承诺，切实落实《住房城乡建设部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6A04CCB9">
      <w:pPr>
        <w:spacing w:line="400" w:lineRule="exact"/>
        <w:ind w:firstLine="629"/>
        <w:rPr>
          <w:rFonts w:hint="eastAsia" w:ascii="宋体" w:hAnsi="宋体" w:cs="宋体"/>
          <w:kern w:val="0"/>
          <w:szCs w:val="21"/>
        </w:rPr>
      </w:pPr>
      <w:r>
        <w:rPr>
          <w:rFonts w:hint="eastAsia" w:ascii="宋体" w:hAnsi="宋体" w:cs="宋体"/>
          <w:kern w:val="0"/>
          <w:szCs w:val="21"/>
        </w:rPr>
        <w:t>八、与本公司单位负责人为同一人或者与本公司存在控股、管理关系的其他单位包括：         。（注：本条由投标人如实填写，如有，应列出全部满足招标公告资质要求的相关单位的名称；如无，则填写“无”。）</w:t>
      </w:r>
    </w:p>
    <w:p w14:paraId="1F4B8FCB">
      <w:pPr>
        <w:spacing w:line="400" w:lineRule="exact"/>
        <w:ind w:firstLine="629"/>
        <w:rPr>
          <w:rFonts w:hint="eastAsia" w:ascii="宋体" w:hAnsi="宋体" w:cs="宋体"/>
          <w:kern w:val="0"/>
          <w:szCs w:val="21"/>
        </w:rPr>
      </w:pPr>
      <w:r>
        <w:rPr>
          <w:rFonts w:hint="eastAsia" w:ascii="宋体" w:hAnsi="宋体" w:cs="宋体"/>
          <w:kern w:val="0"/>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14:paraId="04F422A1">
      <w:pPr>
        <w:spacing w:line="400" w:lineRule="exact"/>
        <w:ind w:firstLine="629"/>
        <w:rPr>
          <w:rFonts w:hint="eastAsia" w:ascii="宋体" w:hAnsi="宋体" w:cs="宋体"/>
          <w:kern w:val="0"/>
          <w:szCs w:val="21"/>
        </w:rPr>
      </w:pPr>
      <w:r>
        <w:rPr>
          <w:rFonts w:hint="eastAsia" w:ascii="宋体" w:hAnsi="宋体" w:cs="宋体"/>
          <w:kern w:val="0"/>
          <w:szCs w:val="21"/>
        </w:rPr>
        <w:t>十、本公司承诺，中标后将按招标人要求，积极响应广州市关于投身“百千万工程”的号召，主动参与建筑业结对帮扶。</w:t>
      </w:r>
    </w:p>
    <w:p w14:paraId="45311141">
      <w:pPr>
        <w:spacing w:line="400" w:lineRule="exact"/>
        <w:ind w:firstLine="629"/>
        <w:rPr>
          <w:rFonts w:hint="eastAsia" w:ascii="宋体" w:hAnsi="宋体" w:cs="宋体"/>
          <w:kern w:val="0"/>
          <w:szCs w:val="21"/>
        </w:rPr>
      </w:pPr>
      <w:r>
        <w:rPr>
          <w:rFonts w:hint="eastAsia" w:ascii="宋体" w:hAnsi="宋体" w:cs="宋体"/>
          <w:kern w:val="0"/>
          <w:szCs w:val="21"/>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D8BFA1F">
      <w:pPr>
        <w:spacing w:line="400" w:lineRule="exact"/>
        <w:ind w:firstLine="629"/>
        <w:rPr>
          <w:rFonts w:hint="eastAsia" w:ascii="宋体" w:hAnsi="宋体" w:cs="宋体"/>
          <w:kern w:val="0"/>
          <w:szCs w:val="21"/>
        </w:rPr>
      </w:pPr>
      <w:r>
        <w:rPr>
          <w:rFonts w:hint="eastAsia" w:ascii="宋体" w:hAnsi="宋体" w:cs="宋体"/>
          <w:kern w:val="0"/>
          <w:szCs w:val="21"/>
        </w:rPr>
        <w:t>十二、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0AEC584F">
      <w:pPr>
        <w:spacing w:line="400" w:lineRule="exact"/>
        <w:ind w:firstLine="629"/>
        <w:rPr>
          <w:rFonts w:hint="eastAsia" w:ascii="宋体" w:hAnsi="宋体" w:cs="宋体"/>
          <w:kern w:val="0"/>
          <w:szCs w:val="21"/>
        </w:rPr>
      </w:pPr>
    </w:p>
    <w:p w14:paraId="14DF11F1">
      <w:pPr>
        <w:spacing w:line="400" w:lineRule="exact"/>
        <w:ind w:right="1050"/>
        <w:jc w:val="center"/>
        <w:rPr>
          <w:rFonts w:hint="eastAsia" w:ascii="宋体" w:hAnsi="宋体" w:cs="宋体"/>
          <w:kern w:val="0"/>
          <w:szCs w:val="21"/>
        </w:rPr>
      </w:pPr>
      <w:r>
        <w:rPr>
          <w:rFonts w:hint="eastAsia" w:ascii="宋体" w:hAnsi="宋体" w:cs="宋体"/>
          <w:kern w:val="0"/>
          <w:szCs w:val="21"/>
        </w:rPr>
        <w:t xml:space="preserve">                                        声明企业：         </w:t>
      </w:r>
    </w:p>
    <w:p w14:paraId="6D9CD2A2">
      <w:pPr>
        <w:spacing w:line="400" w:lineRule="exact"/>
        <w:ind w:left="5250" w:right="1179" w:hanging="5250" w:hangingChars="2500"/>
        <w:jc w:val="center"/>
        <w:rPr>
          <w:rFonts w:hint="eastAsia" w:ascii="宋体" w:hAnsi="宋体" w:cs="宋体"/>
          <w:kern w:val="0"/>
          <w:szCs w:val="21"/>
          <w:u w:val="single"/>
        </w:rPr>
      </w:pPr>
      <w:r>
        <w:rPr>
          <w:rFonts w:hint="eastAsia" w:ascii="宋体" w:hAnsi="宋体" w:cs="宋体"/>
          <w:kern w:val="0"/>
          <w:szCs w:val="21"/>
        </w:rPr>
        <w:t xml:space="preserve">                   项目负责人（兼施工负责人）签字：</w:t>
      </w:r>
    </w:p>
    <w:p w14:paraId="1AD1E774">
      <w:pPr>
        <w:spacing w:line="400" w:lineRule="exact"/>
        <w:ind w:right="1179"/>
        <w:jc w:val="center"/>
        <w:rPr>
          <w:rFonts w:hint="eastAsia" w:ascii="宋体" w:hAnsi="宋体" w:cs="宋体"/>
          <w:kern w:val="0"/>
          <w:szCs w:val="21"/>
          <w:u w:val="single"/>
        </w:rPr>
      </w:pPr>
      <w:r>
        <w:rPr>
          <w:rFonts w:hint="eastAsia" w:ascii="宋体" w:hAnsi="宋体" w:cs="宋体"/>
          <w:kern w:val="0"/>
          <w:szCs w:val="21"/>
        </w:rPr>
        <w:t xml:space="preserve">                                   技术负责人签字：</w:t>
      </w:r>
    </w:p>
    <w:p w14:paraId="506C4A03">
      <w:pPr>
        <w:spacing w:line="400" w:lineRule="exact"/>
        <w:ind w:right="879" w:firstLine="420" w:firstLineChars="200"/>
        <w:jc w:val="right"/>
        <w:rPr>
          <w:rFonts w:hint="eastAsia" w:ascii="宋体" w:hAnsi="宋体" w:cs="宋体"/>
          <w:kern w:val="0"/>
          <w:szCs w:val="21"/>
        </w:rPr>
      </w:pPr>
      <w:r>
        <w:rPr>
          <w:rFonts w:hint="eastAsia" w:ascii="宋体" w:hAnsi="宋体" w:cs="宋体"/>
          <w:kern w:val="0"/>
          <w:szCs w:val="21"/>
        </w:rPr>
        <w:t xml:space="preserve">  年   月   日</w:t>
      </w:r>
    </w:p>
    <w:p w14:paraId="57532CAE">
      <w:pPr>
        <w:spacing w:line="360" w:lineRule="auto"/>
        <w:rPr>
          <w:b/>
          <w:sz w:val="44"/>
        </w:rPr>
      </w:pPr>
      <w:r>
        <w:rPr>
          <w:rFonts w:hint="eastAsia" w:ascii="宋体" w:hAnsi="宋体" w:cs="宋体"/>
          <w:b/>
          <w:bCs/>
          <w:sz w:val="20"/>
          <w:szCs w:val="21"/>
        </w:rPr>
        <w:t>注：投标人（若为联合体投标，施工方）的项目负责人、技术负责人需签字。</w:t>
      </w:r>
      <w:r>
        <w:rPr>
          <w:rFonts w:ascii="宋体" w:hAnsi="宋体"/>
          <w:szCs w:val="21"/>
        </w:rPr>
        <w:br w:type="page"/>
      </w:r>
      <w:r>
        <w:rPr>
          <w:rFonts w:hint="eastAsia" w:ascii="宋体" w:hAnsi="宋体"/>
          <w:sz w:val="24"/>
        </w:rPr>
        <w:t>附件二：</w:t>
      </w:r>
    </w:p>
    <w:p w14:paraId="4575345C">
      <w:pPr>
        <w:widowControl/>
        <w:snapToGrid w:val="0"/>
        <w:spacing w:line="360" w:lineRule="auto"/>
        <w:ind w:right="102"/>
        <w:jc w:val="left"/>
        <w:rPr>
          <w:rFonts w:hint="eastAsia" w:ascii="宋体" w:hAnsi="宋体"/>
          <w:sz w:val="24"/>
        </w:rPr>
      </w:pPr>
      <w:bookmarkStart w:id="15" w:name="_GoBack"/>
      <w:bookmarkEnd w:id="15"/>
    </w:p>
    <w:p w14:paraId="4B9D8D5D">
      <w:pPr>
        <w:pStyle w:val="8"/>
        <w:snapToGrid w:val="0"/>
        <w:spacing w:after="78" w:afterLines="25" w:line="480" w:lineRule="auto"/>
        <w:ind w:firstLine="0"/>
        <w:jc w:val="center"/>
        <w:rPr>
          <w:rFonts w:hint="eastAsia" w:ascii="宋体" w:hAnsi="宋体" w:eastAsia="宋体"/>
          <w:b/>
          <w:color w:val="auto"/>
          <w:sz w:val="36"/>
          <w:szCs w:val="36"/>
        </w:rPr>
      </w:pPr>
      <w:r>
        <w:rPr>
          <w:rFonts w:hint="eastAsia" w:ascii="宋体" w:hAnsi="宋体" w:eastAsia="宋体"/>
          <w:b/>
          <w:color w:val="auto"/>
          <w:sz w:val="36"/>
          <w:szCs w:val="36"/>
        </w:rPr>
        <w:t>施工项目管理团队人员信息表</w:t>
      </w:r>
    </w:p>
    <w:tbl>
      <w:tblPr>
        <w:tblStyle w:val="5"/>
        <w:tblW w:w="0" w:type="auto"/>
        <w:jc w:val="center"/>
        <w:tblLayout w:type="fixed"/>
        <w:tblCellMar>
          <w:top w:w="0" w:type="dxa"/>
          <w:left w:w="108" w:type="dxa"/>
          <w:bottom w:w="0" w:type="dxa"/>
          <w:right w:w="108" w:type="dxa"/>
        </w:tblCellMar>
      </w:tblPr>
      <w:tblGrid>
        <w:gridCol w:w="674"/>
        <w:gridCol w:w="1161"/>
        <w:gridCol w:w="1946"/>
        <w:gridCol w:w="1173"/>
        <w:gridCol w:w="4330"/>
      </w:tblGrid>
      <w:tr w14:paraId="612068FF">
        <w:tblPrEx>
          <w:tblCellMar>
            <w:top w:w="0" w:type="dxa"/>
            <w:left w:w="108" w:type="dxa"/>
            <w:bottom w:w="0" w:type="dxa"/>
            <w:right w:w="108" w:type="dxa"/>
          </w:tblCellMar>
        </w:tblPrEx>
        <w:trPr>
          <w:trHeight w:val="960"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7383629A">
            <w:pPr>
              <w:pStyle w:val="8"/>
              <w:snapToGrid w:val="0"/>
              <w:spacing w:line="240" w:lineRule="auto"/>
              <w:ind w:left="-53" w:leftChars="-25" w:right="-53" w:rightChars="-25" w:firstLine="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序号</w:t>
            </w:r>
          </w:p>
        </w:tc>
        <w:tc>
          <w:tcPr>
            <w:tcW w:w="1161" w:type="dxa"/>
            <w:tcBorders>
              <w:top w:val="single" w:color="auto" w:sz="4" w:space="0"/>
              <w:left w:val="nil"/>
              <w:bottom w:val="single" w:color="auto" w:sz="4" w:space="0"/>
              <w:right w:val="single" w:color="auto" w:sz="4" w:space="0"/>
            </w:tcBorders>
            <w:noWrap w:val="0"/>
            <w:vAlign w:val="center"/>
          </w:tcPr>
          <w:p w14:paraId="578145F9">
            <w:pPr>
              <w:pStyle w:val="8"/>
              <w:snapToGrid w:val="0"/>
              <w:spacing w:line="240" w:lineRule="auto"/>
              <w:ind w:left="-53" w:leftChars="-25" w:right="-53" w:rightChars="-25" w:firstLine="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姓名</w:t>
            </w:r>
          </w:p>
        </w:tc>
        <w:tc>
          <w:tcPr>
            <w:tcW w:w="1946" w:type="dxa"/>
            <w:tcBorders>
              <w:top w:val="single" w:color="auto" w:sz="4" w:space="0"/>
              <w:left w:val="nil"/>
              <w:bottom w:val="single" w:color="auto" w:sz="4" w:space="0"/>
              <w:right w:val="single" w:color="auto" w:sz="4" w:space="0"/>
            </w:tcBorders>
            <w:noWrap w:val="0"/>
            <w:vAlign w:val="center"/>
          </w:tcPr>
          <w:p w14:paraId="321392B2">
            <w:pPr>
              <w:pStyle w:val="8"/>
              <w:snapToGrid w:val="0"/>
              <w:spacing w:line="240" w:lineRule="auto"/>
              <w:ind w:left="-53" w:leftChars="-25" w:right="-53" w:rightChars="-25" w:firstLine="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岗位</w:t>
            </w:r>
          </w:p>
        </w:tc>
        <w:tc>
          <w:tcPr>
            <w:tcW w:w="1173" w:type="dxa"/>
            <w:tcBorders>
              <w:top w:val="single" w:color="auto" w:sz="4" w:space="0"/>
              <w:left w:val="nil"/>
              <w:bottom w:val="single" w:color="auto" w:sz="4" w:space="0"/>
              <w:right w:val="single" w:color="auto" w:sz="4" w:space="0"/>
            </w:tcBorders>
            <w:noWrap w:val="0"/>
            <w:vAlign w:val="center"/>
          </w:tcPr>
          <w:p w14:paraId="73D52C11">
            <w:pPr>
              <w:pStyle w:val="8"/>
              <w:snapToGrid w:val="0"/>
              <w:spacing w:line="240" w:lineRule="auto"/>
              <w:ind w:left="-53" w:leftChars="-25" w:right="-53" w:rightChars="-25" w:firstLine="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职称</w:t>
            </w:r>
          </w:p>
        </w:tc>
        <w:tc>
          <w:tcPr>
            <w:tcW w:w="4330" w:type="dxa"/>
            <w:tcBorders>
              <w:top w:val="single" w:color="auto" w:sz="4" w:space="0"/>
              <w:left w:val="nil"/>
              <w:bottom w:val="single" w:color="auto" w:sz="4" w:space="0"/>
              <w:right w:val="single" w:color="auto" w:sz="4" w:space="0"/>
            </w:tcBorders>
            <w:noWrap w:val="0"/>
            <w:vAlign w:val="center"/>
          </w:tcPr>
          <w:p w14:paraId="16BFEC8A">
            <w:pPr>
              <w:pStyle w:val="8"/>
              <w:snapToGrid w:val="0"/>
              <w:spacing w:line="240" w:lineRule="auto"/>
              <w:ind w:left="-53" w:leftChars="-25" w:right="-53" w:rightChars="-25" w:firstLine="0"/>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职称证书或资格证书编号</w:t>
            </w:r>
          </w:p>
        </w:tc>
      </w:tr>
      <w:tr w14:paraId="0A3924A6">
        <w:tblPrEx>
          <w:tblCellMar>
            <w:top w:w="0" w:type="dxa"/>
            <w:left w:w="108" w:type="dxa"/>
            <w:bottom w:w="0" w:type="dxa"/>
            <w:right w:w="108" w:type="dxa"/>
          </w:tblCellMar>
        </w:tblPrEx>
        <w:trPr>
          <w:trHeight w:val="960" w:hRule="atLeast"/>
          <w:jc w:val="center"/>
        </w:trPr>
        <w:tc>
          <w:tcPr>
            <w:tcW w:w="674" w:type="dxa"/>
            <w:tcBorders>
              <w:top w:val="single" w:color="auto" w:sz="4" w:space="0"/>
              <w:left w:val="single" w:color="auto" w:sz="4" w:space="0"/>
              <w:bottom w:val="single" w:color="auto" w:sz="4" w:space="0"/>
              <w:right w:val="single" w:color="auto" w:sz="4" w:space="0"/>
            </w:tcBorders>
            <w:noWrap/>
            <w:vAlign w:val="center"/>
          </w:tcPr>
          <w:p w14:paraId="190E2798">
            <w:pPr>
              <w:pStyle w:val="8"/>
              <w:snapToGrid w:val="0"/>
              <w:spacing w:line="240" w:lineRule="auto"/>
              <w:ind w:left="-53" w:leftChars="-25" w:right="-53" w:rightChars="-25" w:firstLine="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1</w:t>
            </w:r>
          </w:p>
        </w:tc>
        <w:tc>
          <w:tcPr>
            <w:tcW w:w="1161" w:type="dxa"/>
            <w:tcBorders>
              <w:top w:val="single" w:color="auto" w:sz="4" w:space="0"/>
              <w:left w:val="nil"/>
              <w:bottom w:val="single" w:color="auto" w:sz="4" w:space="0"/>
              <w:right w:val="single" w:color="auto" w:sz="4" w:space="0"/>
            </w:tcBorders>
            <w:noWrap/>
            <w:vAlign w:val="center"/>
          </w:tcPr>
          <w:p w14:paraId="7DE074C2">
            <w:pPr>
              <w:pStyle w:val="8"/>
              <w:snapToGrid w:val="0"/>
              <w:spacing w:line="240" w:lineRule="auto"/>
              <w:ind w:left="-53" w:leftChars="-25" w:right="-53" w:rightChars="-25" w:firstLine="0"/>
              <w:jc w:val="center"/>
              <w:rPr>
                <w:rFonts w:hint="eastAsia" w:ascii="宋体" w:hAnsi="宋体" w:eastAsia="宋体" w:cs="宋体"/>
                <w:bCs/>
                <w:color w:val="auto"/>
                <w:kern w:val="2"/>
                <w:sz w:val="21"/>
                <w:szCs w:val="21"/>
              </w:rPr>
            </w:pPr>
          </w:p>
        </w:tc>
        <w:tc>
          <w:tcPr>
            <w:tcW w:w="1946" w:type="dxa"/>
            <w:tcBorders>
              <w:top w:val="single" w:color="auto" w:sz="4" w:space="0"/>
              <w:left w:val="nil"/>
              <w:bottom w:val="single" w:color="auto" w:sz="4" w:space="0"/>
              <w:right w:val="single" w:color="auto" w:sz="4" w:space="0"/>
            </w:tcBorders>
            <w:noWrap/>
            <w:vAlign w:val="center"/>
          </w:tcPr>
          <w:p w14:paraId="32F93D26">
            <w:pPr>
              <w:widowControl/>
              <w:snapToGrid w:val="0"/>
              <w:ind w:left="-53" w:leftChars="-25" w:right="-53" w:rightChars="-25"/>
              <w:jc w:val="center"/>
              <w:rPr>
                <w:rFonts w:hint="eastAsia" w:ascii="宋体" w:hAnsi="宋体" w:cs="宋体"/>
                <w:bCs/>
                <w:szCs w:val="21"/>
              </w:rPr>
            </w:pPr>
            <w:r>
              <w:rPr>
                <w:rFonts w:hint="eastAsia" w:ascii="宋体" w:hAnsi="宋体"/>
                <w:szCs w:val="21"/>
              </w:rPr>
              <w:t>技术负责人</w:t>
            </w:r>
          </w:p>
        </w:tc>
        <w:tc>
          <w:tcPr>
            <w:tcW w:w="1173" w:type="dxa"/>
            <w:tcBorders>
              <w:top w:val="single" w:color="auto" w:sz="4" w:space="0"/>
              <w:left w:val="nil"/>
              <w:bottom w:val="single" w:color="auto" w:sz="4" w:space="0"/>
              <w:right w:val="single" w:color="auto" w:sz="4" w:space="0"/>
            </w:tcBorders>
            <w:noWrap/>
            <w:vAlign w:val="center"/>
          </w:tcPr>
          <w:p w14:paraId="0C1E6949">
            <w:pPr>
              <w:pStyle w:val="8"/>
              <w:snapToGrid w:val="0"/>
              <w:spacing w:line="240" w:lineRule="auto"/>
              <w:ind w:left="-53" w:leftChars="-25" w:right="-53" w:rightChars="-25" w:firstLine="0"/>
              <w:jc w:val="center"/>
              <w:rPr>
                <w:rFonts w:hint="eastAsia" w:ascii="宋体" w:hAnsi="宋体" w:eastAsia="宋体" w:cs="宋体"/>
                <w:bCs/>
                <w:color w:val="auto"/>
                <w:kern w:val="2"/>
                <w:sz w:val="21"/>
                <w:szCs w:val="21"/>
              </w:rPr>
            </w:pPr>
          </w:p>
        </w:tc>
        <w:tc>
          <w:tcPr>
            <w:tcW w:w="4330" w:type="dxa"/>
            <w:tcBorders>
              <w:top w:val="single" w:color="auto" w:sz="4" w:space="0"/>
              <w:left w:val="nil"/>
              <w:bottom w:val="single" w:color="auto" w:sz="4" w:space="0"/>
              <w:right w:val="single" w:color="auto" w:sz="4" w:space="0"/>
            </w:tcBorders>
            <w:noWrap/>
            <w:vAlign w:val="center"/>
          </w:tcPr>
          <w:p w14:paraId="2313ECE1">
            <w:pPr>
              <w:pStyle w:val="8"/>
              <w:snapToGrid w:val="0"/>
              <w:spacing w:line="240" w:lineRule="auto"/>
              <w:ind w:left="-53" w:leftChars="-25" w:right="-53" w:rightChars="-25" w:firstLine="0"/>
              <w:rPr>
                <w:rFonts w:hint="eastAsia" w:ascii="宋体" w:hAnsi="宋体" w:eastAsia="宋体" w:cs="宋体"/>
                <w:bCs/>
                <w:color w:val="auto"/>
                <w:kern w:val="2"/>
                <w:sz w:val="21"/>
                <w:szCs w:val="21"/>
              </w:rPr>
            </w:pPr>
          </w:p>
        </w:tc>
      </w:tr>
      <w:tr w14:paraId="7A467F0C">
        <w:tblPrEx>
          <w:tblCellMar>
            <w:top w:w="0" w:type="dxa"/>
            <w:left w:w="108" w:type="dxa"/>
            <w:bottom w:w="0" w:type="dxa"/>
            <w:right w:w="108" w:type="dxa"/>
          </w:tblCellMar>
        </w:tblPrEx>
        <w:trPr>
          <w:trHeight w:val="960" w:hRule="atLeast"/>
          <w:jc w:val="center"/>
        </w:trPr>
        <w:tc>
          <w:tcPr>
            <w:tcW w:w="674" w:type="dxa"/>
            <w:tcBorders>
              <w:top w:val="single" w:color="auto" w:sz="4" w:space="0"/>
              <w:left w:val="single" w:color="auto" w:sz="4" w:space="0"/>
              <w:bottom w:val="single" w:color="auto" w:sz="4" w:space="0"/>
              <w:right w:val="single" w:color="auto" w:sz="4" w:space="0"/>
            </w:tcBorders>
            <w:noWrap/>
            <w:vAlign w:val="center"/>
          </w:tcPr>
          <w:p w14:paraId="0FAF979B">
            <w:pPr>
              <w:pStyle w:val="8"/>
              <w:snapToGrid w:val="0"/>
              <w:spacing w:line="240" w:lineRule="auto"/>
              <w:ind w:left="-53" w:leftChars="-25" w:right="-53" w:rightChars="-25" w:firstLine="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2</w:t>
            </w:r>
          </w:p>
        </w:tc>
        <w:tc>
          <w:tcPr>
            <w:tcW w:w="1161" w:type="dxa"/>
            <w:tcBorders>
              <w:top w:val="single" w:color="auto" w:sz="4" w:space="0"/>
              <w:left w:val="nil"/>
              <w:bottom w:val="single" w:color="auto" w:sz="4" w:space="0"/>
              <w:right w:val="single" w:color="auto" w:sz="4" w:space="0"/>
            </w:tcBorders>
            <w:noWrap/>
            <w:vAlign w:val="center"/>
          </w:tcPr>
          <w:p w14:paraId="0501CB42">
            <w:pPr>
              <w:pStyle w:val="8"/>
              <w:snapToGrid w:val="0"/>
              <w:spacing w:line="240" w:lineRule="auto"/>
              <w:ind w:left="-53" w:leftChars="-25" w:right="-53" w:rightChars="-25" w:firstLine="0"/>
              <w:jc w:val="center"/>
              <w:rPr>
                <w:rFonts w:hint="eastAsia" w:ascii="宋体" w:hAnsi="宋体" w:eastAsia="宋体" w:cs="宋体"/>
                <w:bCs/>
                <w:color w:val="auto"/>
                <w:kern w:val="2"/>
                <w:sz w:val="21"/>
                <w:szCs w:val="21"/>
              </w:rPr>
            </w:pPr>
          </w:p>
        </w:tc>
        <w:tc>
          <w:tcPr>
            <w:tcW w:w="1946" w:type="dxa"/>
            <w:tcBorders>
              <w:top w:val="single" w:color="auto" w:sz="4" w:space="0"/>
              <w:left w:val="nil"/>
              <w:bottom w:val="single" w:color="auto" w:sz="4" w:space="0"/>
              <w:right w:val="single" w:color="auto" w:sz="4" w:space="0"/>
            </w:tcBorders>
            <w:noWrap/>
            <w:vAlign w:val="center"/>
          </w:tcPr>
          <w:p w14:paraId="04950875">
            <w:pPr>
              <w:widowControl/>
              <w:snapToGrid w:val="0"/>
              <w:ind w:left="-53" w:leftChars="-25" w:right="-53" w:rightChars="-25"/>
              <w:jc w:val="center"/>
              <w:rPr>
                <w:rFonts w:hint="eastAsia" w:ascii="宋体" w:hAnsi="宋体" w:cs="宋体"/>
                <w:bCs/>
                <w:szCs w:val="21"/>
              </w:rPr>
            </w:pPr>
            <w:r>
              <w:rPr>
                <w:rFonts w:hint="eastAsia" w:ascii="宋体" w:hAnsi="宋体"/>
                <w:szCs w:val="21"/>
              </w:rPr>
              <w:t>质量负责人</w:t>
            </w:r>
          </w:p>
        </w:tc>
        <w:tc>
          <w:tcPr>
            <w:tcW w:w="1173" w:type="dxa"/>
            <w:tcBorders>
              <w:top w:val="single" w:color="auto" w:sz="4" w:space="0"/>
              <w:left w:val="nil"/>
              <w:bottom w:val="single" w:color="auto" w:sz="4" w:space="0"/>
              <w:right w:val="single" w:color="auto" w:sz="4" w:space="0"/>
            </w:tcBorders>
            <w:noWrap/>
            <w:vAlign w:val="center"/>
          </w:tcPr>
          <w:p w14:paraId="40B0C6DF">
            <w:pPr>
              <w:pStyle w:val="8"/>
              <w:snapToGrid w:val="0"/>
              <w:spacing w:line="240" w:lineRule="auto"/>
              <w:ind w:left="-53" w:leftChars="-25" w:right="-53" w:rightChars="-25" w:firstLine="0"/>
              <w:jc w:val="center"/>
              <w:rPr>
                <w:rFonts w:hint="eastAsia" w:ascii="宋体" w:hAnsi="宋体" w:eastAsia="宋体" w:cs="宋体"/>
                <w:bCs/>
                <w:color w:val="auto"/>
                <w:kern w:val="2"/>
                <w:sz w:val="21"/>
                <w:szCs w:val="21"/>
              </w:rPr>
            </w:pPr>
          </w:p>
        </w:tc>
        <w:tc>
          <w:tcPr>
            <w:tcW w:w="4330" w:type="dxa"/>
            <w:tcBorders>
              <w:top w:val="single" w:color="auto" w:sz="4" w:space="0"/>
              <w:left w:val="nil"/>
              <w:bottom w:val="single" w:color="auto" w:sz="4" w:space="0"/>
              <w:right w:val="single" w:color="auto" w:sz="4" w:space="0"/>
            </w:tcBorders>
            <w:noWrap/>
            <w:vAlign w:val="center"/>
          </w:tcPr>
          <w:p w14:paraId="1E1EC304">
            <w:pPr>
              <w:pStyle w:val="8"/>
              <w:snapToGrid w:val="0"/>
              <w:spacing w:line="240" w:lineRule="auto"/>
              <w:ind w:left="-53" w:leftChars="-25" w:right="-53" w:rightChars="-25" w:firstLine="0"/>
              <w:rPr>
                <w:rFonts w:hint="eastAsia" w:ascii="宋体" w:hAnsi="宋体" w:eastAsia="宋体" w:cs="宋体"/>
                <w:bCs/>
                <w:color w:val="auto"/>
                <w:kern w:val="2"/>
                <w:sz w:val="21"/>
                <w:szCs w:val="21"/>
              </w:rPr>
            </w:pPr>
          </w:p>
        </w:tc>
      </w:tr>
      <w:tr w14:paraId="1B8F6733">
        <w:tblPrEx>
          <w:tblCellMar>
            <w:top w:w="0" w:type="dxa"/>
            <w:left w:w="108" w:type="dxa"/>
            <w:bottom w:w="0" w:type="dxa"/>
            <w:right w:w="108" w:type="dxa"/>
          </w:tblCellMar>
        </w:tblPrEx>
        <w:trPr>
          <w:trHeight w:val="960" w:hRule="atLeast"/>
          <w:jc w:val="center"/>
        </w:trPr>
        <w:tc>
          <w:tcPr>
            <w:tcW w:w="674" w:type="dxa"/>
            <w:tcBorders>
              <w:top w:val="single" w:color="auto" w:sz="4" w:space="0"/>
              <w:left w:val="single" w:color="auto" w:sz="4" w:space="0"/>
              <w:bottom w:val="single" w:color="auto" w:sz="4" w:space="0"/>
              <w:right w:val="single" w:color="auto" w:sz="4" w:space="0"/>
            </w:tcBorders>
            <w:noWrap/>
            <w:vAlign w:val="center"/>
          </w:tcPr>
          <w:p w14:paraId="70292A9B">
            <w:pPr>
              <w:pStyle w:val="8"/>
              <w:snapToGrid w:val="0"/>
              <w:spacing w:line="240" w:lineRule="auto"/>
              <w:ind w:left="-53" w:leftChars="-25" w:right="-53" w:rightChars="-25" w:firstLine="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3</w:t>
            </w:r>
          </w:p>
        </w:tc>
        <w:tc>
          <w:tcPr>
            <w:tcW w:w="1161" w:type="dxa"/>
            <w:tcBorders>
              <w:top w:val="single" w:color="auto" w:sz="4" w:space="0"/>
              <w:left w:val="nil"/>
              <w:bottom w:val="single" w:color="auto" w:sz="4" w:space="0"/>
              <w:right w:val="single" w:color="auto" w:sz="4" w:space="0"/>
            </w:tcBorders>
            <w:noWrap/>
            <w:vAlign w:val="center"/>
          </w:tcPr>
          <w:p w14:paraId="0EE5AB96">
            <w:pPr>
              <w:pStyle w:val="8"/>
              <w:snapToGrid w:val="0"/>
              <w:spacing w:line="240" w:lineRule="auto"/>
              <w:ind w:left="-53" w:leftChars="-25" w:right="-53" w:rightChars="-25" w:firstLine="0"/>
              <w:jc w:val="center"/>
              <w:rPr>
                <w:rFonts w:hint="eastAsia" w:ascii="宋体" w:hAnsi="宋体" w:eastAsia="宋体" w:cs="宋体"/>
                <w:bCs/>
                <w:color w:val="auto"/>
                <w:kern w:val="2"/>
                <w:sz w:val="21"/>
                <w:szCs w:val="21"/>
              </w:rPr>
            </w:pPr>
          </w:p>
        </w:tc>
        <w:tc>
          <w:tcPr>
            <w:tcW w:w="1946" w:type="dxa"/>
            <w:tcBorders>
              <w:top w:val="single" w:color="auto" w:sz="4" w:space="0"/>
              <w:left w:val="nil"/>
              <w:bottom w:val="single" w:color="auto" w:sz="4" w:space="0"/>
              <w:right w:val="single" w:color="auto" w:sz="4" w:space="0"/>
            </w:tcBorders>
            <w:noWrap/>
            <w:vAlign w:val="center"/>
          </w:tcPr>
          <w:p w14:paraId="65E7363A">
            <w:pPr>
              <w:widowControl/>
              <w:snapToGrid w:val="0"/>
              <w:ind w:left="-53" w:leftChars="-25" w:right="-53" w:rightChars="-25"/>
              <w:jc w:val="center"/>
              <w:rPr>
                <w:rFonts w:hint="eastAsia" w:ascii="宋体" w:hAnsi="宋体" w:cs="宋体"/>
                <w:bCs/>
                <w:szCs w:val="21"/>
              </w:rPr>
            </w:pPr>
            <w:r>
              <w:rPr>
                <w:rFonts w:hint="eastAsia" w:ascii="宋体" w:hAnsi="宋体"/>
                <w:szCs w:val="21"/>
              </w:rPr>
              <w:t>安全负责人</w:t>
            </w:r>
          </w:p>
        </w:tc>
        <w:tc>
          <w:tcPr>
            <w:tcW w:w="1173" w:type="dxa"/>
            <w:tcBorders>
              <w:top w:val="single" w:color="auto" w:sz="4" w:space="0"/>
              <w:left w:val="nil"/>
              <w:bottom w:val="single" w:color="auto" w:sz="4" w:space="0"/>
              <w:right w:val="single" w:color="auto" w:sz="4" w:space="0"/>
            </w:tcBorders>
            <w:noWrap/>
            <w:vAlign w:val="center"/>
          </w:tcPr>
          <w:p w14:paraId="582C7D6D">
            <w:pPr>
              <w:pStyle w:val="8"/>
              <w:snapToGrid w:val="0"/>
              <w:spacing w:line="240" w:lineRule="auto"/>
              <w:ind w:left="-53" w:leftChars="-25" w:right="-53" w:rightChars="-25" w:firstLine="0"/>
              <w:jc w:val="center"/>
              <w:rPr>
                <w:rFonts w:hint="eastAsia" w:ascii="宋体" w:hAnsi="宋体" w:eastAsia="宋体" w:cs="宋体"/>
                <w:bCs/>
                <w:color w:val="auto"/>
                <w:kern w:val="2"/>
                <w:sz w:val="21"/>
                <w:szCs w:val="21"/>
              </w:rPr>
            </w:pPr>
          </w:p>
        </w:tc>
        <w:tc>
          <w:tcPr>
            <w:tcW w:w="4330" w:type="dxa"/>
            <w:tcBorders>
              <w:top w:val="single" w:color="auto" w:sz="4" w:space="0"/>
              <w:left w:val="nil"/>
              <w:bottom w:val="single" w:color="auto" w:sz="4" w:space="0"/>
              <w:right w:val="single" w:color="auto" w:sz="4" w:space="0"/>
            </w:tcBorders>
            <w:noWrap/>
            <w:vAlign w:val="center"/>
          </w:tcPr>
          <w:p w14:paraId="4449DD0D">
            <w:pPr>
              <w:pStyle w:val="8"/>
              <w:snapToGrid w:val="0"/>
              <w:spacing w:line="240" w:lineRule="auto"/>
              <w:ind w:left="-53" w:leftChars="-25" w:right="-53" w:rightChars="-25" w:firstLine="0"/>
              <w:rPr>
                <w:rFonts w:hint="eastAsia" w:ascii="宋体" w:hAnsi="宋体" w:eastAsia="宋体" w:cs="宋体"/>
                <w:bCs/>
                <w:color w:val="auto"/>
                <w:kern w:val="2"/>
                <w:sz w:val="21"/>
                <w:szCs w:val="21"/>
              </w:rPr>
            </w:pPr>
          </w:p>
        </w:tc>
      </w:tr>
      <w:tr w14:paraId="28CABA2E">
        <w:tblPrEx>
          <w:tblCellMar>
            <w:top w:w="0" w:type="dxa"/>
            <w:left w:w="108" w:type="dxa"/>
            <w:bottom w:w="0" w:type="dxa"/>
            <w:right w:w="108" w:type="dxa"/>
          </w:tblCellMar>
        </w:tblPrEx>
        <w:trPr>
          <w:trHeight w:val="960" w:hRule="atLeast"/>
          <w:jc w:val="center"/>
        </w:trPr>
        <w:tc>
          <w:tcPr>
            <w:tcW w:w="674" w:type="dxa"/>
            <w:tcBorders>
              <w:top w:val="single" w:color="auto" w:sz="4" w:space="0"/>
              <w:left w:val="single" w:color="auto" w:sz="4" w:space="0"/>
              <w:bottom w:val="single" w:color="auto" w:sz="4" w:space="0"/>
              <w:right w:val="single" w:color="auto" w:sz="4" w:space="0"/>
            </w:tcBorders>
            <w:noWrap/>
            <w:vAlign w:val="center"/>
          </w:tcPr>
          <w:p w14:paraId="577EE2B9">
            <w:pPr>
              <w:pStyle w:val="8"/>
              <w:snapToGrid w:val="0"/>
              <w:spacing w:line="240" w:lineRule="auto"/>
              <w:ind w:left="-53" w:leftChars="-25" w:right="-53" w:rightChars="-25" w:firstLine="0"/>
              <w:jc w:val="center"/>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4</w:t>
            </w:r>
          </w:p>
        </w:tc>
        <w:tc>
          <w:tcPr>
            <w:tcW w:w="1161" w:type="dxa"/>
            <w:tcBorders>
              <w:top w:val="single" w:color="auto" w:sz="4" w:space="0"/>
              <w:left w:val="nil"/>
              <w:bottom w:val="single" w:color="auto" w:sz="4" w:space="0"/>
              <w:right w:val="single" w:color="auto" w:sz="4" w:space="0"/>
            </w:tcBorders>
            <w:noWrap/>
            <w:vAlign w:val="center"/>
          </w:tcPr>
          <w:p w14:paraId="083B4B8E">
            <w:pPr>
              <w:pStyle w:val="8"/>
              <w:snapToGrid w:val="0"/>
              <w:spacing w:line="240" w:lineRule="auto"/>
              <w:ind w:left="-53" w:leftChars="-25" w:right="-53" w:rightChars="-25" w:firstLine="0"/>
              <w:jc w:val="center"/>
              <w:rPr>
                <w:rFonts w:hint="eastAsia" w:ascii="宋体" w:hAnsi="宋体" w:eastAsia="宋体" w:cs="宋体"/>
                <w:bCs/>
                <w:color w:val="auto"/>
                <w:kern w:val="2"/>
                <w:sz w:val="21"/>
                <w:szCs w:val="21"/>
              </w:rPr>
            </w:pPr>
          </w:p>
        </w:tc>
        <w:tc>
          <w:tcPr>
            <w:tcW w:w="1946" w:type="dxa"/>
            <w:tcBorders>
              <w:top w:val="single" w:color="auto" w:sz="4" w:space="0"/>
              <w:left w:val="nil"/>
              <w:bottom w:val="single" w:color="auto" w:sz="4" w:space="0"/>
              <w:right w:val="single" w:color="auto" w:sz="4" w:space="0"/>
            </w:tcBorders>
            <w:noWrap/>
            <w:vAlign w:val="center"/>
          </w:tcPr>
          <w:p w14:paraId="0D1B7C6F">
            <w:pPr>
              <w:widowControl/>
              <w:snapToGrid w:val="0"/>
              <w:ind w:left="-53" w:leftChars="-25" w:right="-53" w:rightChars="-25"/>
              <w:jc w:val="center"/>
              <w:rPr>
                <w:rFonts w:hint="eastAsia" w:ascii="宋体" w:hAnsi="宋体" w:cs="宋体"/>
                <w:bCs/>
                <w:szCs w:val="21"/>
              </w:rPr>
            </w:pPr>
            <w:r>
              <w:rPr>
                <w:rFonts w:hint="eastAsia" w:ascii="宋体" w:hAnsi="宋体"/>
                <w:szCs w:val="21"/>
              </w:rPr>
              <w:t>造价负责人</w:t>
            </w:r>
          </w:p>
        </w:tc>
        <w:tc>
          <w:tcPr>
            <w:tcW w:w="1173" w:type="dxa"/>
            <w:tcBorders>
              <w:top w:val="single" w:color="auto" w:sz="4" w:space="0"/>
              <w:left w:val="nil"/>
              <w:bottom w:val="single" w:color="auto" w:sz="4" w:space="0"/>
              <w:right w:val="single" w:color="auto" w:sz="4" w:space="0"/>
            </w:tcBorders>
            <w:noWrap/>
            <w:vAlign w:val="center"/>
          </w:tcPr>
          <w:p w14:paraId="2E3A59BF">
            <w:pPr>
              <w:pStyle w:val="8"/>
              <w:snapToGrid w:val="0"/>
              <w:spacing w:line="240" w:lineRule="auto"/>
              <w:ind w:left="-53" w:leftChars="-25" w:right="-53" w:rightChars="-25" w:firstLine="0"/>
              <w:jc w:val="center"/>
              <w:rPr>
                <w:rFonts w:hint="eastAsia" w:ascii="宋体" w:hAnsi="宋体" w:eastAsia="宋体" w:cs="宋体"/>
                <w:bCs/>
                <w:color w:val="auto"/>
                <w:kern w:val="2"/>
                <w:sz w:val="21"/>
                <w:szCs w:val="21"/>
              </w:rPr>
            </w:pPr>
          </w:p>
        </w:tc>
        <w:tc>
          <w:tcPr>
            <w:tcW w:w="4330" w:type="dxa"/>
            <w:tcBorders>
              <w:top w:val="single" w:color="auto" w:sz="4" w:space="0"/>
              <w:left w:val="nil"/>
              <w:bottom w:val="single" w:color="auto" w:sz="4" w:space="0"/>
              <w:right w:val="single" w:color="auto" w:sz="4" w:space="0"/>
            </w:tcBorders>
            <w:noWrap/>
            <w:vAlign w:val="center"/>
          </w:tcPr>
          <w:p w14:paraId="63A16F21">
            <w:pPr>
              <w:pStyle w:val="8"/>
              <w:snapToGrid w:val="0"/>
              <w:spacing w:line="240" w:lineRule="auto"/>
              <w:ind w:left="-53" w:leftChars="-25" w:right="-53" w:rightChars="-25" w:firstLine="0"/>
              <w:rPr>
                <w:rFonts w:hint="eastAsia" w:ascii="宋体" w:hAnsi="宋体" w:eastAsia="宋体" w:cs="宋体"/>
                <w:bCs/>
                <w:color w:val="auto"/>
                <w:kern w:val="2"/>
                <w:sz w:val="21"/>
                <w:szCs w:val="21"/>
              </w:rPr>
            </w:pPr>
          </w:p>
        </w:tc>
      </w:tr>
      <w:tr w14:paraId="23B9B22E">
        <w:tblPrEx>
          <w:tblCellMar>
            <w:top w:w="0" w:type="dxa"/>
            <w:left w:w="108" w:type="dxa"/>
            <w:bottom w:w="0" w:type="dxa"/>
            <w:right w:w="108" w:type="dxa"/>
          </w:tblCellMar>
        </w:tblPrEx>
        <w:trPr>
          <w:trHeight w:val="960" w:hRule="atLeast"/>
          <w:jc w:val="center"/>
        </w:trPr>
        <w:tc>
          <w:tcPr>
            <w:tcW w:w="674" w:type="dxa"/>
            <w:tcBorders>
              <w:top w:val="single" w:color="auto" w:sz="4" w:space="0"/>
              <w:left w:val="single" w:color="auto" w:sz="4" w:space="0"/>
              <w:bottom w:val="single" w:color="auto" w:sz="4" w:space="0"/>
              <w:right w:val="single" w:color="auto" w:sz="4" w:space="0"/>
            </w:tcBorders>
            <w:noWrap/>
            <w:vAlign w:val="center"/>
          </w:tcPr>
          <w:p w14:paraId="43E3FF70">
            <w:pPr>
              <w:pStyle w:val="8"/>
              <w:snapToGrid w:val="0"/>
              <w:spacing w:line="240" w:lineRule="auto"/>
              <w:ind w:left="-53" w:leftChars="-25" w:right="-53" w:rightChars="-25" w:firstLine="0"/>
              <w:jc w:val="center"/>
              <w:rPr>
                <w:rFonts w:hint="eastAsia" w:ascii="宋体" w:hAnsi="宋体" w:eastAsia="宋体" w:cs="宋体"/>
                <w:bCs/>
                <w:color w:val="auto"/>
                <w:kern w:val="2"/>
                <w:sz w:val="21"/>
                <w:szCs w:val="21"/>
              </w:rPr>
            </w:pPr>
          </w:p>
        </w:tc>
        <w:tc>
          <w:tcPr>
            <w:tcW w:w="1161" w:type="dxa"/>
            <w:tcBorders>
              <w:top w:val="single" w:color="auto" w:sz="4" w:space="0"/>
              <w:left w:val="nil"/>
              <w:bottom w:val="single" w:color="auto" w:sz="4" w:space="0"/>
              <w:right w:val="single" w:color="auto" w:sz="4" w:space="0"/>
            </w:tcBorders>
            <w:noWrap/>
            <w:vAlign w:val="center"/>
          </w:tcPr>
          <w:p w14:paraId="2FE78616">
            <w:pPr>
              <w:pStyle w:val="8"/>
              <w:snapToGrid w:val="0"/>
              <w:spacing w:line="240" w:lineRule="auto"/>
              <w:ind w:left="-53" w:leftChars="-25" w:right="-53" w:rightChars="-25" w:firstLine="0"/>
              <w:jc w:val="center"/>
              <w:rPr>
                <w:rFonts w:hint="eastAsia" w:ascii="宋体" w:hAnsi="宋体" w:eastAsia="宋体" w:cs="宋体"/>
                <w:bCs/>
                <w:color w:val="auto"/>
                <w:kern w:val="2"/>
                <w:sz w:val="21"/>
                <w:szCs w:val="21"/>
              </w:rPr>
            </w:pPr>
          </w:p>
        </w:tc>
        <w:tc>
          <w:tcPr>
            <w:tcW w:w="1946" w:type="dxa"/>
            <w:tcBorders>
              <w:top w:val="single" w:color="auto" w:sz="4" w:space="0"/>
              <w:left w:val="nil"/>
              <w:bottom w:val="single" w:color="auto" w:sz="4" w:space="0"/>
              <w:right w:val="single" w:color="auto" w:sz="4" w:space="0"/>
            </w:tcBorders>
            <w:noWrap/>
            <w:vAlign w:val="center"/>
          </w:tcPr>
          <w:p w14:paraId="021451F0">
            <w:pPr>
              <w:widowControl/>
              <w:snapToGrid w:val="0"/>
              <w:ind w:left="-53" w:leftChars="-25" w:right="-53" w:rightChars="-25"/>
              <w:jc w:val="center"/>
              <w:rPr>
                <w:rFonts w:hint="eastAsia" w:ascii="宋体" w:hAnsi="宋体"/>
                <w:szCs w:val="21"/>
              </w:rPr>
            </w:pPr>
            <w:r>
              <w:rPr>
                <w:rFonts w:hint="eastAsia" w:ascii="宋体" w:hAnsi="宋体"/>
                <w:szCs w:val="21"/>
              </w:rPr>
              <w:t>.........</w:t>
            </w:r>
          </w:p>
        </w:tc>
        <w:tc>
          <w:tcPr>
            <w:tcW w:w="1173" w:type="dxa"/>
            <w:tcBorders>
              <w:top w:val="single" w:color="auto" w:sz="4" w:space="0"/>
              <w:left w:val="nil"/>
              <w:bottom w:val="single" w:color="auto" w:sz="4" w:space="0"/>
              <w:right w:val="single" w:color="auto" w:sz="4" w:space="0"/>
            </w:tcBorders>
            <w:noWrap/>
            <w:vAlign w:val="center"/>
          </w:tcPr>
          <w:p w14:paraId="3C3A5C73">
            <w:pPr>
              <w:pStyle w:val="8"/>
              <w:snapToGrid w:val="0"/>
              <w:spacing w:line="240" w:lineRule="auto"/>
              <w:ind w:left="-53" w:leftChars="-25" w:right="-53" w:rightChars="-25" w:firstLine="0"/>
              <w:jc w:val="center"/>
              <w:rPr>
                <w:rFonts w:hint="eastAsia" w:ascii="宋体" w:hAnsi="宋体" w:eastAsia="宋体" w:cs="宋体"/>
                <w:bCs/>
                <w:color w:val="auto"/>
                <w:kern w:val="2"/>
                <w:sz w:val="21"/>
                <w:szCs w:val="21"/>
              </w:rPr>
            </w:pPr>
          </w:p>
        </w:tc>
        <w:tc>
          <w:tcPr>
            <w:tcW w:w="4330" w:type="dxa"/>
            <w:tcBorders>
              <w:top w:val="single" w:color="auto" w:sz="4" w:space="0"/>
              <w:left w:val="nil"/>
              <w:bottom w:val="single" w:color="auto" w:sz="4" w:space="0"/>
              <w:right w:val="single" w:color="auto" w:sz="4" w:space="0"/>
            </w:tcBorders>
            <w:noWrap/>
            <w:vAlign w:val="center"/>
          </w:tcPr>
          <w:p w14:paraId="06DA2961">
            <w:pPr>
              <w:pStyle w:val="8"/>
              <w:snapToGrid w:val="0"/>
              <w:spacing w:line="240" w:lineRule="auto"/>
              <w:ind w:left="-53" w:leftChars="-25" w:right="-53" w:rightChars="-25" w:firstLine="0"/>
              <w:rPr>
                <w:rFonts w:hint="eastAsia" w:ascii="宋体" w:hAnsi="宋体" w:eastAsia="宋体" w:cs="宋体"/>
                <w:bCs/>
                <w:color w:val="auto"/>
                <w:kern w:val="2"/>
                <w:sz w:val="21"/>
                <w:szCs w:val="21"/>
              </w:rPr>
            </w:pPr>
          </w:p>
        </w:tc>
      </w:tr>
      <w:tr w14:paraId="2737B231">
        <w:tblPrEx>
          <w:tblCellMar>
            <w:top w:w="0" w:type="dxa"/>
            <w:left w:w="108" w:type="dxa"/>
            <w:bottom w:w="0" w:type="dxa"/>
            <w:right w:w="108" w:type="dxa"/>
          </w:tblCellMar>
        </w:tblPrEx>
        <w:trPr>
          <w:trHeight w:val="3988" w:hRule="atLeast"/>
          <w:jc w:val="center"/>
        </w:trPr>
        <w:tc>
          <w:tcPr>
            <w:tcW w:w="9284" w:type="dxa"/>
            <w:gridSpan w:val="5"/>
            <w:tcBorders>
              <w:top w:val="single" w:color="auto" w:sz="4" w:space="0"/>
              <w:left w:val="single" w:color="auto" w:sz="4" w:space="0"/>
              <w:bottom w:val="single" w:color="auto" w:sz="4" w:space="0"/>
              <w:right w:val="single" w:color="auto" w:sz="4" w:space="0"/>
            </w:tcBorders>
            <w:noWrap w:val="0"/>
            <w:vAlign w:val="center"/>
          </w:tcPr>
          <w:p w14:paraId="0124DEC5">
            <w:pPr>
              <w:pStyle w:val="8"/>
              <w:snapToGrid w:val="0"/>
              <w:spacing w:line="240" w:lineRule="auto"/>
              <w:ind w:firstLine="0"/>
              <w:rPr>
                <w:rFonts w:hint="eastAsia" w:ascii="宋体" w:hAnsi="宋体" w:eastAsia="宋体"/>
                <w:color w:val="auto"/>
                <w:sz w:val="21"/>
                <w:szCs w:val="21"/>
              </w:rPr>
            </w:pPr>
            <w:r>
              <w:rPr>
                <w:rFonts w:hint="eastAsia" w:ascii="宋体" w:hAnsi="宋体" w:eastAsia="宋体"/>
                <w:color w:val="auto"/>
                <w:sz w:val="21"/>
                <w:szCs w:val="21"/>
              </w:rPr>
              <w:t>备注：</w:t>
            </w:r>
          </w:p>
          <w:p w14:paraId="5C8FC6BF">
            <w:pPr>
              <w:pStyle w:val="8"/>
              <w:snapToGrid w:val="0"/>
              <w:spacing w:before="78" w:beforeLines="25" w:line="240" w:lineRule="auto"/>
              <w:ind w:firstLine="420" w:firstLineChars="200"/>
              <w:rPr>
                <w:rFonts w:hint="eastAsia" w:ascii="宋体" w:hAnsi="宋体" w:eastAsia="宋体"/>
                <w:color w:val="auto"/>
                <w:sz w:val="21"/>
                <w:szCs w:val="21"/>
              </w:rPr>
            </w:pPr>
            <w:r>
              <w:rPr>
                <w:rFonts w:hint="eastAsia" w:ascii="宋体" w:hAnsi="宋体" w:eastAsia="宋体"/>
                <w:color w:val="auto"/>
                <w:sz w:val="21"/>
                <w:szCs w:val="21"/>
              </w:rPr>
              <w:t>1、</w:t>
            </w:r>
            <w:r>
              <w:rPr>
                <w:rFonts w:hint="eastAsia" w:ascii="宋体" w:hAnsi="宋体" w:eastAsia="宋体"/>
                <w:color w:val="auto"/>
                <w:sz w:val="21"/>
                <w:szCs w:val="21"/>
                <w:u w:val="single"/>
              </w:rPr>
              <w:t>“岗位”要求（除项目负责人、设计负责人和专职安全员外）：拟派驻施工现场的技术负责人、质量负责人、安全负责人、造价负责人</w:t>
            </w:r>
            <w:r>
              <w:rPr>
                <w:rFonts w:hint="eastAsia" w:ascii="宋体" w:hAnsi="宋体" w:eastAsia="宋体"/>
                <w:color w:val="auto"/>
                <w:sz w:val="21"/>
                <w:szCs w:val="21"/>
              </w:rPr>
              <w:t>。以上项目管理团队人员信息将由交易系统提取后供各相关单位在履约时比对、查核。</w:t>
            </w:r>
          </w:p>
          <w:p w14:paraId="09692884">
            <w:pPr>
              <w:pStyle w:val="8"/>
              <w:snapToGrid w:val="0"/>
              <w:spacing w:before="78" w:beforeLines="25" w:line="240" w:lineRule="auto"/>
              <w:ind w:firstLine="420" w:firstLineChars="200"/>
              <w:rPr>
                <w:rFonts w:hint="eastAsia" w:ascii="宋体" w:hAnsi="宋体" w:eastAsia="宋体"/>
                <w:color w:val="auto"/>
                <w:sz w:val="21"/>
                <w:szCs w:val="21"/>
              </w:rPr>
            </w:pPr>
            <w:r>
              <w:rPr>
                <w:rFonts w:hint="eastAsia" w:ascii="宋体" w:hAnsi="宋体" w:eastAsia="宋体"/>
                <w:color w:val="auto"/>
                <w:sz w:val="21"/>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589BC308">
            <w:pPr>
              <w:pStyle w:val="8"/>
              <w:snapToGrid w:val="0"/>
              <w:spacing w:before="78" w:beforeLines="25" w:line="240" w:lineRule="auto"/>
              <w:ind w:firstLine="420" w:firstLineChars="200"/>
              <w:rPr>
                <w:rFonts w:hint="eastAsia" w:ascii="宋体" w:hAnsi="宋体" w:eastAsia="宋体"/>
                <w:color w:val="auto"/>
                <w:sz w:val="21"/>
                <w:szCs w:val="21"/>
              </w:rPr>
            </w:pPr>
            <w:r>
              <w:rPr>
                <w:rFonts w:hint="eastAsia" w:ascii="宋体" w:hAnsi="宋体" w:eastAsia="宋体"/>
                <w:color w:val="auto"/>
                <w:sz w:val="21"/>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3ECD53E7">
      <w:pPr>
        <w:rPr>
          <w:rFonts w:hint="eastAsia" w:ascii="宋体" w:hAnsi="宋体"/>
          <w:sz w:val="24"/>
          <w:u w:val="single"/>
        </w:rPr>
      </w:pPr>
    </w:p>
    <w:p w14:paraId="73310D4B">
      <w:pPr>
        <w:pStyle w:val="4"/>
        <w:spacing w:line="360" w:lineRule="auto"/>
        <w:ind w:firstLine="480"/>
        <w:rPr>
          <w:sz w:val="24"/>
        </w:rPr>
      </w:pPr>
      <w:r>
        <w:rPr>
          <w:rFonts w:ascii="宋体" w:hAnsi="宋体"/>
          <w:sz w:val="24"/>
          <w:u w:val="single"/>
        </w:rPr>
        <w:br w:type="page"/>
      </w:r>
      <w:r>
        <w:rPr>
          <w:rFonts w:hint="eastAsia" w:ascii="宋体" w:hAnsi="宋体"/>
        </w:rPr>
        <w:t>附件三：</w:t>
      </w:r>
    </w:p>
    <w:p w14:paraId="27D99580">
      <w:pPr>
        <w:pStyle w:val="4"/>
        <w:spacing w:line="360" w:lineRule="auto"/>
        <w:ind w:firstLine="0" w:firstLineChars="0"/>
        <w:rPr>
          <w:szCs w:val="21"/>
        </w:rPr>
      </w:pPr>
      <w:r>
        <w:rPr>
          <w:rFonts w:hint="eastAsia"/>
          <w:szCs w:val="21"/>
        </w:rPr>
        <w:t>（参考格式）</w:t>
      </w:r>
    </w:p>
    <w:p w14:paraId="72D672FE">
      <w:pPr>
        <w:spacing w:line="360" w:lineRule="auto"/>
        <w:ind w:right="-46"/>
        <w:jc w:val="center"/>
        <w:rPr>
          <w:b/>
          <w:bCs/>
          <w:sz w:val="32"/>
          <w:szCs w:val="32"/>
        </w:rPr>
      </w:pPr>
      <w:r>
        <w:rPr>
          <w:rFonts w:hint="eastAsia"/>
          <w:b/>
          <w:bCs/>
          <w:sz w:val="32"/>
          <w:szCs w:val="32"/>
        </w:rPr>
        <w:t>联合体协议书</w:t>
      </w:r>
    </w:p>
    <w:p w14:paraId="64DC0380">
      <w:pPr>
        <w:topLinePunct/>
        <w:spacing w:line="440" w:lineRule="exact"/>
        <w:ind w:firstLine="480" w:firstLineChars="200"/>
        <w:rPr>
          <w:szCs w:val="21"/>
        </w:rPr>
      </w:pPr>
      <w:r>
        <w:rPr>
          <w:rFonts w:hint="eastAsia"/>
          <w:sz w:val="24"/>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rPr>
        <w:t>（施工方单位名称、设计方单位名称）自愿组成联合体，共同参加</w:t>
      </w:r>
      <w:r>
        <w:rPr>
          <w:szCs w:val="21"/>
          <w:u w:val="single"/>
        </w:rPr>
        <w:t xml:space="preserve"> </w:t>
      </w:r>
      <w:r>
        <w:rPr>
          <w:rFonts w:hint="eastAsia"/>
          <w:szCs w:val="21"/>
          <w:u w:val="single"/>
        </w:rPr>
        <w:t xml:space="preserve">     </w:t>
      </w:r>
      <w:r>
        <w:rPr>
          <w:szCs w:val="21"/>
          <w:u w:val="single"/>
        </w:rPr>
        <w:t xml:space="preserve"> </w:t>
      </w:r>
      <w:r>
        <w:rPr>
          <w:rFonts w:hint="eastAsia"/>
          <w:szCs w:val="21"/>
        </w:rPr>
        <w:t>（项目名称）工程总承包投标。我方授权委托本协议牵头人代表联合体各成员参加投标、签署投标资料、提交投标文件，负责整个合同实施阶段的协调工作。若中标，联合体各成员向招标人承担连带责任。现就联合体投标事宜订立如下协议。</w:t>
      </w:r>
    </w:p>
    <w:p w14:paraId="0838B2D3">
      <w:pPr>
        <w:topLinePunct/>
        <w:spacing w:line="440" w:lineRule="exact"/>
        <w:ind w:firstLine="420" w:firstLineChars="200"/>
        <w:rPr>
          <w:szCs w:val="21"/>
        </w:rPr>
      </w:pPr>
      <w:r>
        <w:rPr>
          <w:szCs w:val="21"/>
        </w:rPr>
        <w:t>1</w:t>
      </w:r>
      <w:r>
        <w:rPr>
          <w:rFonts w:hint="eastAsia"/>
          <w:szCs w:val="21"/>
        </w:rPr>
        <w:t>、</w:t>
      </w:r>
      <w:r>
        <w:rPr>
          <w:szCs w:val="21"/>
          <w:u w:val="single"/>
        </w:rPr>
        <w:t xml:space="preserve">       </w:t>
      </w:r>
      <w:r>
        <w:rPr>
          <w:rFonts w:hint="eastAsia"/>
          <w:szCs w:val="21"/>
        </w:rPr>
        <w:t>（主办方单位名称）为联合体主办方。</w:t>
      </w:r>
    </w:p>
    <w:p w14:paraId="0A5101E7">
      <w:pPr>
        <w:topLinePunct/>
        <w:spacing w:line="440" w:lineRule="exact"/>
        <w:ind w:firstLine="420" w:firstLineChars="200"/>
        <w:rPr>
          <w:szCs w:val="21"/>
        </w:rPr>
      </w:pPr>
      <w:r>
        <w:rPr>
          <w:szCs w:val="21"/>
        </w:rPr>
        <w:t>2</w:t>
      </w:r>
      <w:r>
        <w:rPr>
          <w:rFonts w:hint="eastAsia"/>
          <w:szCs w:val="21"/>
        </w:rPr>
        <w:t>、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7B7236CE">
      <w:pPr>
        <w:topLinePunct/>
        <w:spacing w:line="440" w:lineRule="exact"/>
        <w:ind w:firstLine="420" w:firstLineChars="200"/>
        <w:rPr>
          <w:szCs w:val="21"/>
        </w:rPr>
      </w:pPr>
      <w:r>
        <w:rPr>
          <w:szCs w:val="21"/>
        </w:rPr>
        <w:t>3</w:t>
      </w:r>
      <w:r>
        <w:rPr>
          <w:rFonts w:hint="eastAsia"/>
          <w:szCs w:val="21"/>
        </w:rPr>
        <w:t>、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29AD27B2">
      <w:pPr>
        <w:topLinePunct/>
        <w:spacing w:line="440" w:lineRule="exact"/>
        <w:ind w:firstLine="420" w:firstLineChars="200"/>
        <w:rPr>
          <w:rFonts w:hint="eastAsia" w:ascii="宋体" w:hAnsi="宋体" w:cs="宋体"/>
          <w:sz w:val="18"/>
          <w:szCs w:val="18"/>
        </w:rPr>
      </w:pPr>
      <w:r>
        <w:rPr>
          <w:szCs w:val="21"/>
        </w:rPr>
        <w:t>4</w:t>
      </w:r>
      <w:r>
        <w:rPr>
          <w:rFonts w:hint="eastAsia"/>
          <w:szCs w:val="21"/>
        </w:rPr>
        <w:t>、联合体各成员单位内部的职责分工如下：</w:t>
      </w:r>
    </w:p>
    <w:p w14:paraId="2F221A9C">
      <w:pPr>
        <w:topLinePunct/>
        <w:spacing w:line="440" w:lineRule="exact"/>
        <w:ind w:firstLine="360" w:firstLineChars="200"/>
        <w:rPr>
          <w:szCs w:val="21"/>
        </w:rPr>
      </w:pPr>
      <w:r>
        <w:rPr>
          <w:rFonts w:hint="eastAsia" w:ascii="宋体" w:hAnsi="宋体" w:cs="宋体"/>
          <w:sz w:val="18"/>
          <w:szCs w:val="18"/>
        </w:rPr>
        <w:t>①</w:t>
      </w:r>
      <w:r>
        <w:rPr>
          <w:rFonts w:ascii="宋体" w:hAnsi="宋体" w:cs="宋体"/>
          <w:sz w:val="18"/>
          <w:szCs w:val="18"/>
          <w:u w:val="single"/>
        </w:rPr>
        <w:t xml:space="preserve">             </w:t>
      </w:r>
      <w:r>
        <w:rPr>
          <w:rFonts w:hint="eastAsia" w:ascii="宋体" w:hAnsi="宋体" w:cs="宋体"/>
          <w:sz w:val="18"/>
          <w:szCs w:val="18"/>
        </w:rPr>
        <w:t>（</w:t>
      </w:r>
      <w:r>
        <w:rPr>
          <w:rFonts w:hint="eastAsia"/>
          <w:szCs w:val="21"/>
        </w:rPr>
        <w:t>施工方单位名称）：作为联合体的主办方除负责本工程的施工外，还应负责设计施工总承包管理的职责。联合体其他相关方违约时，主办方应承担连带责任，具体按合同要求。</w:t>
      </w:r>
    </w:p>
    <w:p w14:paraId="402F17D1">
      <w:pPr>
        <w:topLinePunct/>
        <w:spacing w:line="440" w:lineRule="exact"/>
        <w:ind w:firstLine="360" w:firstLineChars="200"/>
        <w:rPr>
          <w:szCs w:val="21"/>
        </w:rPr>
      </w:pPr>
      <w:r>
        <w:rPr>
          <w:rFonts w:hint="eastAsia" w:ascii="宋体" w:hAnsi="宋体" w:cs="宋体"/>
          <w:sz w:val="18"/>
          <w:szCs w:val="18"/>
        </w:rPr>
        <w:t>②</w:t>
      </w:r>
      <w:r>
        <w:rPr>
          <w:rFonts w:ascii="宋体" w:hAnsi="宋体" w:cs="宋体"/>
          <w:sz w:val="18"/>
          <w:szCs w:val="18"/>
          <w:u w:val="single"/>
        </w:rPr>
        <w:t xml:space="preserve">             </w:t>
      </w:r>
      <w:r>
        <w:rPr>
          <w:rFonts w:hint="eastAsia" w:ascii="宋体" w:hAnsi="宋体" w:cs="宋体"/>
          <w:sz w:val="18"/>
          <w:szCs w:val="18"/>
        </w:rPr>
        <w:t>（</w:t>
      </w:r>
      <w:r>
        <w:rPr>
          <w:rFonts w:hint="eastAsia"/>
          <w:szCs w:val="21"/>
        </w:rPr>
        <w:t>设计方单位名称）：主要负责本工程的设计、设计优化等工作，具体按合同要求。</w:t>
      </w:r>
    </w:p>
    <w:p w14:paraId="08A4804E">
      <w:pPr>
        <w:topLinePunct/>
        <w:spacing w:line="440" w:lineRule="exact"/>
        <w:ind w:firstLine="420" w:firstLineChars="200"/>
        <w:rPr>
          <w:szCs w:val="21"/>
        </w:rPr>
      </w:pPr>
      <w:r>
        <w:rPr>
          <w:szCs w:val="21"/>
        </w:rPr>
        <w:t>……</w:t>
      </w:r>
    </w:p>
    <w:p w14:paraId="67CF208C">
      <w:pPr>
        <w:topLinePunct/>
        <w:spacing w:line="440" w:lineRule="exact"/>
        <w:ind w:firstLine="420" w:firstLineChars="200"/>
        <w:rPr>
          <w:rFonts w:hint="eastAsia" w:ascii="宋体" w:hAnsi="宋体"/>
          <w:szCs w:val="21"/>
        </w:rPr>
      </w:pPr>
      <w:r>
        <w:rPr>
          <w:szCs w:val="21"/>
        </w:rPr>
        <w:t>5</w:t>
      </w:r>
      <w:r>
        <w:rPr>
          <w:rFonts w:hint="eastAsia"/>
          <w:szCs w:val="21"/>
        </w:rPr>
        <w:t>、本协议书自签署之日起生效，合同履行完毕后自动失效。</w:t>
      </w:r>
      <w:r>
        <w:rPr>
          <w:szCs w:val="21"/>
        </w:rPr>
        <w:t xml:space="preserve"> </w:t>
      </w:r>
    </w:p>
    <w:p w14:paraId="1129B81F">
      <w:pPr>
        <w:topLinePunct/>
        <w:spacing w:line="432" w:lineRule="auto"/>
        <w:ind w:firstLine="718" w:firstLineChars="342"/>
        <w:rPr>
          <w:rFonts w:hint="eastAsia" w:ascii="宋体" w:hAnsi="宋体"/>
          <w:szCs w:val="21"/>
        </w:rPr>
      </w:pPr>
    </w:p>
    <w:p w14:paraId="70163BAA">
      <w:pPr>
        <w:topLinePunct/>
        <w:ind w:firstLine="718" w:firstLineChars="342"/>
        <w:rPr>
          <w:rFonts w:hint="eastAsia" w:ascii="宋体" w:hAnsi="宋体"/>
          <w:szCs w:val="21"/>
        </w:rPr>
      </w:pPr>
      <w:r>
        <w:rPr>
          <w:rFonts w:hint="eastAsia" w:ascii="宋体" w:hAnsi="宋体"/>
          <w:szCs w:val="21"/>
        </w:rPr>
        <w:t>主办方名称：</w:t>
      </w:r>
      <w:r>
        <w:rPr>
          <w:rFonts w:ascii="宋体" w:hAnsi="宋体"/>
          <w:szCs w:val="21"/>
          <w:u w:val="single"/>
        </w:rPr>
        <w:t xml:space="preserve">                                 </w:t>
      </w:r>
      <w:r>
        <w:rPr>
          <w:rFonts w:hint="eastAsia" w:ascii="宋体" w:hAnsi="宋体"/>
          <w:szCs w:val="21"/>
        </w:rPr>
        <w:t>（盖单位章）</w:t>
      </w:r>
    </w:p>
    <w:p w14:paraId="4A3057B5">
      <w:pPr>
        <w:topLinePunct/>
        <w:ind w:firstLine="718" w:firstLineChars="342"/>
        <w:rPr>
          <w:rFonts w:hint="eastAsia" w:ascii="宋体" w:hAnsi="宋体"/>
          <w:szCs w:val="21"/>
        </w:rPr>
      </w:pPr>
      <w:r>
        <w:rPr>
          <w:rFonts w:hint="eastAsia" w:ascii="宋体" w:hAnsi="宋体"/>
          <w:szCs w:val="21"/>
        </w:rPr>
        <w:t>法定代表人或其委托代理人：</w:t>
      </w:r>
      <w:r>
        <w:rPr>
          <w:rFonts w:ascii="宋体" w:hAnsi="宋体"/>
          <w:szCs w:val="21"/>
          <w:u w:val="single"/>
        </w:rPr>
        <w:t xml:space="preserve">                       </w:t>
      </w:r>
      <w:r>
        <w:rPr>
          <w:rFonts w:hint="eastAsia" w:ascii="宋体" w:hAnsi="宋体"/>
          <w:szCs w:val="21"/>
        </w:rPr>
        <w:t>（</w:t>
      </w:r>
      <w:r>
        <w:rPr>
          <w:rFonts w:hint="eastAsia" w:ascii="宋体" w:hAnsi="宋体"/>
        </w:rPr>
        <w:t>签字或盖章</w:t>
      </w:r>
      <w:r>
        <w:rPr>
          <w:rFonts w:hint="eastAsia" w:ascii="宋体" w:hAnsi="宋体"/>
          <w:szCs w:val="21"/>
        </w:rPr>
        <w:t>）</w:t>
      </w:r>
    </w:p>
    <w:p w14:paraId="0046CA9B">
      <w:pPr>
        <w:topLinePunct/>
        <w:ind w:firstLine="718" w:firstLineChars="342"/>
        <w:rPr>
          <w:rFonts w:hint="eastAsia" w:ascii="宋体" w:hAnsi="宋体"/>
          <w:szCs w:val="21"/>
        </w:rPr>
      </w:pPr>
      <w:r>
        <w:rPr>
          <w:rFonts w:hint="eastAsia" w:ascii="宋体" w:hAnsi="宋体"/>
          <w:szCs w:val="21"/>
        </w:rPr>
        <w:t>成员一名称：</w:t>
      </w:r>
      <w:r>
        <w:rPr>
          <w:rFonts w:ascii="宋体" w:hAnsi="宋体"/>
          <w:szCs w:val="21"/>
          <w:u w:val="single"/>
        </w:rPr>
        <w:t xml:space="preserve">                                 </w:t>
      </w:r>
      <w:r>
        <w:rPr>
          <w:rFonts w:hint="eastAsia" w:ascii="宋体" w:hAnsi="宋体"/>
          <w:szCs w:val="21"/>
        </w:rPr>
        <w:t>（盖单位章）</w:t>
      </w:r>
    </w:p>
    <w:p w14:paraId="0CD669CC">
      <w:pPr>
        <w:topLinePunct/>
        <w:ind w:firstLine="718" w:firstLineChars="342"/>
        <w:rPr>
          <w:rFonts w:hint="eastAsia" w:ascii="宋体" w:hAnsi="宋体"/>
          <w:szCs w:val="21"/>
        </w:rPr>
      </w:pPr>
      <w:r>
        <w:rPr>
          <w:rFonts w:hint="eastAsia" w:ascii="宋体" w:hAnsi="宋体"/>
          <w:szCs w:val="21"/>
        </w:rPr>
        <w:t>法定代表人或其委托代理人：</w:t>
      </w:r>
      <w:r>
        <w:rPr>
          <w:rFonts w:ascii="宋体" w:hAnsi="宋体"/>
          <w:szCs w:val="21"/>
          <w:u w:val="single"/>
        </w:rPr>
        <w:t xml:space="preserve">                       </w:t>
      </w:r>
      <w:r>
        <w:rPr>
          <w:rFonts w:hint="eastAsia" w:ascii="宋体" w:hAnsi="宋体"/>
          <w:szCs w:val="21"/>
        </w:rPr>
        <w:t>（</w:t>
      </w:r>
      <w:r>
        <w:rPr>
          <w:rFonts w:hint="eastAsia" w:ascii="宋体" w:hAnsi="宋体"/>
        </w:rPr>
        <w:t>签字或盖章</w:t>
      </w:r>
      <w:r>
        <w:rPr>
          <w:rFonts w:hint="eastAsia" w:ascii="宋体" w:hAnsi="宋体"/>
          <w:szCs w:val="21"/>
        </w:rPr>
        <w:t>）</w:t>
      </w:r>
    </w:p>
    <w:p w14:paraId="40405348">
      <w:pPr>
        <w:spacing w:line="360" w:lineRule="auto"/>
        <w:ind w:right="480"/>
      </w:pPr>
    </w:p>
    <w:p w14:paraId="6392B06F">
      <w:pPr>
        <w:spacing w:line="360" w:lineRule="auto"/>
        <w:rPr>
          <w:sz w:val="24"/>
        </w:rPr>
      </w:pPr>
      <w:r>
        <w:t>注：</w:t>
      </w:r>
      <w:r>
        <w:rPr>
          <w:rFonts w:hint="eastAsia"/>
        </w:rPr>
        <w:t>单独投标的，无需提交本协议书。</w:t>
      </w:r>
    </w:p>
    <w:p w14:paraId="7B6488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A9E74D"/>
    <w:multiLevelType w:val="singleLevel"/>
    <w:tmpl w:val="3AA9E74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962ADF"/>
    <w:rsid w:val="7DDB0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character" w:styleId="7">
    <w:name w:val="Hyperlink"/>
    <w:basedOn w:val="6"/>
    <w:unhideWhenUsed/>
    <w:qFormat/>
    <w:uiPriority w:val="0"/>
    <w:rPr>
      <w:color w:val="0000FF"/>
      <w:u w:val="single"/>
    </w:rPr>
  </w:style>
  <w:style w:type="paragraph" w:customStyle="1" w:styleId="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10287</Words>
  <Characters>11017</Characters>
  <Lines>0</Lines>
  <Paragraphs>0</Paragraphs>
  <TotalTime>0</TotalTime>
  <ScaleCrop>false</ScaleCrop>
  <LinksUpToDate>false</LinksUpToDate>
  <CharactersWithSpaces>11450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2025-10-09T10:10:00Z</dcterms:created>
  <dc:creator>Administrator</dc:creator>
  <cp:lastModifiedBy>12</cp:lastModifiedBy>
  <dcterms:modified xsi:type="dcterms:W3CDTF">2025-10-09T10:18:33Z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eyJoZGlkIjoiZDNiODA4MzU0N2FiNmIxYzM0NTZjNTljNmU1NTIzM2YiLCJ1c2VySWQiOiIzNjkzNjA5MDAifQ==</vt:lpwstr>
  </property>
  <property fmtid="{D5CDD505-2E9C-101B-9397-08002B2CF9AE}" pid="4" name="ICV">
    <vt:lpwstr>91A9DF2C42154EBE8E26247B736BCF4A_12</vt:lpwstr>
  </property>
</Properties>
</file>