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rPr>
          <w:rFonts w:hint="eastAsia" w:ascii="宋体" w:hAnsi="宋体"/>
          <w:b/>
          <w:bCs/>
          <w:color w:val="000000"/>
          <w:sz w:val="28"/>
          <w:szCs w:val="28"/>
          <w:highlight w:val="none"/>
        </w:rPr>
      </w:pPr>
      <w:r>
        <w:rPr>
          <w:rFonts w:hint="eastAsia" w:ascii="宋体" w:hAnsi="宋体"/>
          <w:b/>
          <w:bCs/>
          <w:color w:val="000000"/>
          <w:sz w:val="28"/>
          <w:szCs w:val="28"/>
          <w:highlight w:val="none"/>
          <w:lang w:val="en-US" w:eastAsia="zh-CN"/>
        </w:rPr>
        <w:t>附件：</w:t>
      </w:r>
      <w:r>
        <w:rPr>
          <w:rFonts w:hint="eastAsia" w:ascii="宋体" w:hAnsi="宋体"/>
          <w:b/>
          <w:bCs/>
          <w:color w:val="000000"/>
          <w:sz w:val="28"/>
          <w:szCs w:val="28"/>
          <w:highlight w:val="none"/>
        </w:rPr>
        <w:t>项目概况</w:t>
      </w:r>
    </w:p>
    <w:p>
      <w:pPr>
        <w:spacing w:line="400" w:lineRule="exact"/>
        <w:ind w:firstLine="420" w:firstLineChars="200"/>
        <w:rPr>
          <w:rFonts w:hint="default" w:ascii="宋体" w:hAnsi="宋体"/>
          <w:color w:val="000000"/>
          <w:szCs w:val="21"/>
          <w:highlight w:val="none"/>
          <w:lang w:val="en-US" w:eastAsia="zh-CN"/>
        </w:rPr>
      </w:pPr>
      <w:bookmarkStart w:id="0" w:name="OLE_LINK2"/>
      <w:r>
        <w:rPr>
          <w:rFonts w:hint="eastAsia" w:ascii="宋体" w:hAnsi="宋体"/>
          <w:color w:val="000000"/>
          <w:szCs w:val="21"/>
          <w:highlight w:val="none"/>
          <w:lang w:val="en-US" w:eastAsia="zh-CN"/>
        </w:rPr>
        <w:t>1、</w:t>
      </w:r>
      <w:r>
        <w:rPr>
          <w:rFonts w:hint="eastAsia" w:ascii="宋体" w:hAnsi="宋体"/>
          <w:color w:val="000000"/>
          <w:szCs w:val="21"/>
          <w:highlight w:val="none"/>
          <w:lang w:eastAsia="zh-CN"/>
        </w:rPr>
        <w:t>项目概况</w:t>
      </w:r>
      <w:r>
        <w:rPr>
          <w:rFonts w:hint="eastAsia" w:ascii="宋体" w:hAnsi="宋体"/>
          <w:color w:val="000000"/>
          <w:szCs w:val="21"/>
          <w:highlight w:val="none"/>
          <w:lang w:val="en-US" w:eastAsia="zh-CN"/>
        </w:rPr>
        <w:t>及招标范围</w:t>
      </w:r>
    </w:p>
    <w:p>
      <w:pPr>
        <w:spacing w:line="400" w:lineRule="exact"/>
        <w:ind w:firstLine="420" w:firstLineChars="200"/>
        <w:rPr>
          <w:rFonts w:hint="eastAsia" w:ascii="宋体" w:hAnsi="宋体"/>
          <w:b w:val="0"/>
          <w:bCs w:val="0"/>
          <w:color w:val="auto"/>
          <w:szCs w:val="21"/>
          <w:highlight w:val="none"/>
          <w:lang w:val="en-US" w:eastAsia="zh-CN"/>
        </w:rPr>
      </w:pPr>
      <w:r>
        <w:rPr>
          <w:rFonts w:hint="eastAsia" w:ascii="宋体" w:hAnsi="宋体"/>
          <w:color w:val="000000"/>
          <w:szCs w:val="21"/>
          <w:highlight w:val="none"/>
          <w:lang w:eastAsia="zh-CN"/>
        </w:rPr>
        <w:t>招标范围主要为</w:t>
      </w:r>
      <w:r>
        <w:rPr>
          <w:rFonts w:hint="eastAsia" w:ascii="宋体" w:hAnsi="宋体"/>
          <w:color w:val="000000"/>
          <w:szCs w:val="21"/>
          <w:highlight w:val="none"/>
          <w:lang w:val="en-US" w:eastAsia="zh-CN"/>
        </w:rPr>
        <w:t>广深</w:t>
      </w:r>
      <w:r>
        <w:rPr>
          <w:rFonts w:hint="eastAsia" w:ascii="宋体" w:hAnsi="宋体"/>
          <w:color w:val="000000"/>
          <w:szCs w:val="21"/>
          <w:highlight w:val="none"/>
          <w:lang w:eastAsia="zh-CN"/>
        </w:rPr>
        <w:t>高速公路</w:t>
      </w:r>
      <w:r>
        <w:rPr>
          <w:rFonts w:hint="eastAsia" w:ascii="宋体" w:hAnsi="宋体"/>
          <w:color w:val="000000"/>
          <w:szCs w:val="21"/>
          <w:highlight w:val="none"/>
          <w:lang w:val="en-US" w:eastAsia="zh-CN"/>
        </w:rPr>
        <w:t>2025年度</w:t>
      </w:r>
      <w:r>
        <w:rPr>
          <w:rFonts w:hint="eastAsia" w:ascii="宋体" w:hAnsi="宋体"/>
          <w:color w:val="000000"/>
          <w:szCs w:val="21"/>
          <w:highlight w:val="none"/>
          <w:lang w:eastAsia="zh-CN"/>
        </w:rPr>
        <w:t>机电养护大中修专项工程，本次招标涉及</w:t>
      </w:r>
      <w:r>
        <w:rPr>
          <w:rFonts w:hint="eastAsia" w:ascii="宋体" w:hAnsi="宋体"/>
          <w:color w:val="000000"/>
          <w:szCs w:val="21"/>
          <w:highlight w:val="none"/>
          <w:lang w:val="en-US" w:eastAsia="zh-CN"/>
        </w:rPr>
        <w:t>广深高速公路</w:t>
      </w:r>
      <w:r>
        <w:rPr>
          <w:rFonts w:hint="eastAsia" w:ascii="宋体" w:hAnsi="宋体"/>
          <w:color w:val="000000"/>
          <w:szCs w:val="21"/>
          <w:highlight w:val="none"/>
          <w:lang w:eastAsia="zh-CN"/>
        </w:rPr>
        <w:t>的</w:t>
      </w:r>
      <w:r>
        <w:rPr>
          <w:rFonts w:hint="eastAsia" w:ascii="宋体" w:hAnsi="宋体"/>
          <w:color w:val="000000"/>
          <w:szCs w:val="21"/>
          <w:highlight w:val="none"/>
          <w:lang w:val="en-US" w:eastAsia="zh-CN"/>
        </w:rPr>
        <w:t>收费系统、</w:t>
      </w:r>
      <w:r>
        <w:rPr>
          <w:rFonts w:hint="eastAsia" w:ascii="宋体" w:hAnsi="宋体"/>
          <w:color w:val="000000"/>
          <w:szCs w:val="21"/>
          <w:highlight w:val="none"/>
          <w:lang w:eastAsia="zh-CN"/>
        </w:rPr>
        <w:t>监控系统、通信系统进行升级和改造等的建设。</w:t>
      </w:r>
    </w:p>
    <w:p>
      <w:pPr>
        <w:spacing w:line="400" w:lineRule="exact"/>
        <w:ind w:firstLine="420" w:firstLineChars="200"/>
        <w:rPr>
          <w:rFonts w:hint="eastAsia" w:ascii="宋体" w:hAnsi="宋体"/>
          <w:color w:val="000000"/>
          <w:szCs w:val="21"/>
          <w:highlight w:val="none"/>
          <w:u w:val="none"/>
          <w:lang w:val="en-US" w:eastAsia="zh-CN"/>
        </w:rPr>
      </w:pPr>
      <w:r>
        <w:rPr>
          <w:rFonts w:hint="eastAsia" w:ascii="宋体" w:hAnsi="宋体"/>
          <w:color w:val="000000"/>
          <w:szCs w:val="21"/>
          <w:highlight w:val="none"/>
          <w:u w:val="none"/>
          <w:lang w:val="en-US" w:eastAsia="zh-CN"/>
        </w:rPr>
        <w:t>2、工作内容</w:t>
      </w:r>
    </w:p>
    <w:p>
      <w:pPr>
        <w:spacing w:line="400" w:lineRule="exact"/>
        <w:ind w:firstLine="420" w:firstLineChars="200"/>
        <w:rPr>
          <w:rFonts w:hint="eastAsia" w:ascii="宋体" w:hAnsi="宋体"/>
          <w:color w:val="000000"/>
          <w:szCs w:val="21"/>
          <w:highlight w:val="none"/>
          <w:lang w:val="en-US" w:eastAsia="zh-CN"/>
        </w:rPr>
      </w:pPr>
      <w:r>
        <w:rPr>
          <w:rFonts w:hint="eastAsia" w:ascii="宋体" w:hAnsi="宋体"/>
          <w:color w:val="000000"/>
          <w:szCs w:val="21"/>
          <w:highlight w:val="none"/>
          <w:u w:val="none"/>
          <w:lang w:val="en-US" w:eastAsia="zh-CN"/>
        </w:rPr>
        <w:t>本项目设置1个标段，共计3个合同段，</w:t>
      </w:r>
      <w:r>
        <w:rPr>
          <w:rFonts w:hint="eastAsia" w:ascii="宋体" w:hAnsi="宋体"/>
          <w:color w:val="000000"/>
          <w:szCs w:val="21"/>
          <w:highlight w:val="none"/>
          <w:lang w:val="en-US" w:eastAsia="zh-CN"/>
        </w:rPr>
        <w:t>具体规划如下：</w:t>
      </w:r>
    </w:p>
    <w:tbl>
      <w:tblPr>
        <w:tblStyle w:val="7"/>
        <w:tblW w:w="8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8"/>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168"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序号</w:t>
            </w:r>
          </w:p>
        </w:tc>
        <w:tc>
          <w:tcPr>
            <w:tcW w:w="5872"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lang w:val="en-US" w:eastAsia="zh-CN"/>
              </w:rPr>
            </w:pPr>
            <w:r>
              <w:rPr>
                <w:rFonts w:hint="eastAsia" w:ascii="宋体" w:hAnsi="宋体" w:eastAsia="宋体" w:cs="宋体"/>
                <w:b/>
                <w:bCs/>
                <w:i w:val="0"/>
                <w:color w:val="auto"/>
                <w:sz w:val="21"/>
                <w:szCs w:val="21"/>
                <w:highlight w:val="none"/>
                <w:u w:val="none"/>
                <w:lang w:val="en-US" w:eastAsia="zh-CN"/>
              </w:rPr>
              <w:t>合同段名称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168"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b/>
                <w:bCs/>
                <w:kern w:val="0"/>
                <w:szCs w:val="21"/>
                <w:highlight w:val="none"/>
                <w:lang w:val="en-US" w:eastAsia="zh-CN"/>
              </w:rPr>
            </w:pPr>
            <w:r>
              <w:rPr>
                <w:rFonts w:hint="eastAsia" w:ascii="宋体" w:hAnsi="宋体" w:eastAsia="宋体" w:cs="宋体"/>
                <w:b w:val="0"/>
                <w:bCs w:val="0"/>
                <w:i w:val="0"/>
                <w:color w:val="auto"/>
                <w:kern w:val="0"/>
                <w:sz w:val="21"/>
                <w:szCs w:val="21"/>
                <w:highlight w:val="none"/>
                <w:u w:val="none"/>
                <w:lang w:val="en-US" w:eastAsia="zh-CN" w:bidi="ar"/>
              </w:rPr>
              <w:t>1</w:t>
            </w:r>
          </w:p>
        </w:tc>
        <w:tc>
          <w:tcPr>
            <w:tcW w:w="5872"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入口计重设备更新项目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168"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w:t>
            </w:r>
          </w:p>
        </w:tc>
        <w:tc>
          <w:tcPr>
            <w:tcW w:w="5872"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lang w:val="en-US" w:eastAsia="zh-CN"/>
              </w:rPr>
            </w:pPr>
            <w:r>
              <w:rPr>
                <w:rFonts w:hint="eastAsia" w:ascii="宋体" w:hAnsi="宋体" w:eastAsia="宋体" w:cs="宋体"/>
                <w:b w:val="0"/>
                <w:bCs w:val="0"/>
                <w:i w:val="0"/>
                <w:color w:val="auto"/>
                <w:sz w:val="21"/>
                <w:szCs w:val="21"/>
                <w:highlight w:val="none"/>
                <w:u w:val="none"/>
                <w:lang w:val="en-US" w:eastAsia="zh-CN"/>
              </w:rPr>
              <w:t>入口双天线改造项目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168"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w:t>
            </w:r>
          </w:p>
        </w:tc>
        <w:tc>
          <w:tcPr>
            <w:tcW w:w="5872"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auto"/>
                <w:sz w:val="21"/>
                <w:szCs w:val="21"/>
                <w:highlight w:val="none"/>
                <w:u w:val="none"/>
                <w:lang w:val="en-US" w:eastAsia="zh-CN"/>
              </w:rPr>
            </w:pPr>
            <w:r>
              <w:rPr>
                <w:rFonts w:hint="eastAsia" w:ascii="宋体" w:hAnsi="宋体" w:eastAsia="宋体" w:cs="宋体"/>
                <w:b w:val="0"/>
                <w:bCs w:val="0"/>
                <w:i w:val="0"/>
                <w:color w:val="auto"/>
                <w:sz w:val="21"/>
                <w:szCs w:val="21"/>
                <w:highlight w:val="none"/>
                <w:u w:val="none"/>
                <w:lang w:val="en-US" w:eastAsia="zh-CN"/>
              </w:rPr>
              <w:t>新增自助发卡机项目</w:t>
            </w:r>
          </w:p>
        </w:tc>
      </w:tr>
      <w:bookmarkEnd w:id="0"/>
    </w:tbl>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b/>
          <w:bCs/>
          <w:color w:val="000000"/>
          <w:sz w:val="28"/>
          <w:szCs w:val="28"/>
          <w:highlight w:val="none"/>
        </w:rPr>
      </w:pPr>
    </w:p>
    <w:p>
      <w:pPr>
        <w:adjustRightInd w:val="0"/>
        <w:snapToGrid w:val="0"/>
        <w:spacing w:line="240" w:lineRule="auto"/>
        <w:rPr>
          <w:rFonts w:hint="eastAsia" w:ascii="宋体" w:hAnsi="宋体" w:eastAsia="宋体"/>
          <w:b/>
          <w:bCs/>
          <w:color w:val="000000"/>
          <w:sz w:val="28"/>
          <w:szCs w:val="28"/>
          <w:highlight w:val="none"/>
          <w:lang w:eastAsia="zh-CN"/>
        </w:rPr>
      </w:pPr>
      <w:r>
        <w:rPr>
          <w:rFonts w:hint="eastAsia" w:ascii="宋体" w:hAnsi="宋体"/>
          <w:b/>
          <w:bCs/>
          <w:color w:val="000000"/>
          <w:sz w:val="28"/>
          <w:szCs w:val="28"/>
          <w:highlight w:val="none"/>
        </w:rPr>
        <w:t>附件：资格审查条件</w:t>
      </w:r>
    </w:p>
    <w:p>
      <w:pPr>
        <w:adjustRightInd w:val="0"/>
        <w:snapToGrid w:val="0"/>
        <w:spacing w:line="300" w:lineRule="exact"/>
        <w:jc w:val="center"/>
        <w:rPr>
          <w:rFonts w:hint="eastAsia" w:ascii="宋体" w:hAnsi="宋体"/>
          <w:color w:val="000000"/>
          <w:sz w:val="24"/>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附录1  资格审查条件(资质最低条件)</w:t>
      </w:r>
    </w:p>
    <w:tbl>
      <w:tblPr>
        <w:tblStyle w:val="7"/>
        <w:tblW w:w="89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8977" w:type="dxa"/>
            <w:vAlign w:val="center"/>
          </w:tcPr>
          <w:p>
            <w:pPr>
              <w:adjustRightInd w:val="0"/>
              <w:snapToGrid w:val="0"/>
              <w:spacing w:line="400" w:lineRule="atLeast"/>
              <w:jc w:val="center"/>
              <w:rPr>
                <w:rFonts w:ascii="宋体" w:hAnsi="宋体"/>
                <w:color w:val="000000"/>
                <w:sz w:val="21"/>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2" w:hRule="atLeast"/>
          <w:jc w:val="center"/>
        </w:trPr>
        <w:tc>
          <w:tcPr>
            <w:tcW w:w="8977" w:type="dxa"/>
            <w:vAlign w:val="center"/>
          </w:tcPr>
          <w:p>
            <w:pPr>
              <w:adjustRightInd w:val="0"/>
              <w:snapToGrid w:val="0"/>
              <w:spacing w:line="400" w:lineRule="atLeast"/>
              <w:ind w:firstLine="315" w:firstLineChars="15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1、本次招标要求投标人须具备独立的中华人民共和国境内注册的企业法人资格；</w:t>
            </w:r>
          </w:p>
          <w:p>
            <w:pPr>
              <w:adjustRightInd w:val="0"/>
              <w:snapToGrid w:val="0"/>
              <w:spacing w:line="400" w:lineRule="atLeast"/>
              <w:ind w:firstLine="315" w:firstLineChars="15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2、具备国家住房和城乡建设部核发的公路交通工程（公路机电工程）专业承包壹级资质（有效期内）； </w:t>
            </w:r>
          </w:p>
          <w:p>
            <w:pPr>
              <w:adjustRightInd w:val="0"/>
              <w:snapToGrid w:val="0"/>
              <w:spacing w:line="400" w:lineRule="atLeast"/>
              <w:ind w:firstLine="315" w:firstLineChars="150"/>
              <w:rPr>
                <w:rFonts w:hint="eastAsia" w:ascii="宋体" w:hAnsi="宋体"/>
                <w:color w:val="000000"/>
                <w:sz w:val="24"/>
                <w:szCs w:val="24"/>
                <w:highlight w:val="none"/>
                <w:lang w:val="en-US" w:eastAsia="zh-CN"/>
              </w:rPr>
            </w:pPr>
            <w:r>
              <w:rPr>
                <w:rFonts w:hint="eastAsia" w:ascii="Times New Roman" w:hAnsi="Times New Roman" w:eastAsia="宋体" w:cs="Times New Roman"/>
                <w:highlight w:val="none"/>
                <w:lang w:val="en-US" w:eastAsia="zh-CN"/>
              </w:rPr>
              <w:t>3、具有有效的营业执照、有效的安全生产许可证。</w:t>
            </w:r>
          </w:p>
        </w:tc>
      </w:tr>
    </w:tbl>
    <w:p>
      <w:pPr>
        <w:adjustRightInd w:val="0"/>
        <w:snapToGrid w:val="0"/>
        <w:spacing w:line="300" w:lineRule="exact"/>
        <w:jc w:val="center"/>
        <w:rPr>
          <w:rFonts w:hint="eastAsia" w:ascii="宋体" w:hAnsi="宋体"/>
          <w:color w:val="000000"/>
          <w:sz w:val="24"/>
          <w:highlight w:val="none"/>
        </w:rPr>
      </w:pPr>
    </w:p>
    <w:p>
      <w:pPr>
        <w:pStyle w:val="2"/>
        <w:ind w:left="0" w:leftChars="0"/>
        <w:rPr>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 xml:space="preserve">附录2  资格审查条件(财务最低要求) </w:t>
      </w:r>
    </w:p>
    <w:tbl>
      <w:tblPr>
        <w:tblStyle w:val="7"/>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8877" w:type="dxa"/>
            <w:vAlign w:val="center"/>
          </w:tcPr>
          <w:p>
            <w:pPr>
              <w:adjustRightInd w:val="0"/>
              <w:snapToGrid w:val="0"/>
              <w:spacing w:line="400" w:lineRule="atLeast"/>
              <w:jc w:val="center"/>
              <w:rPr>
                <w:rFonts w:ascii="宋体" w:hAnsi="宋体"/>
                <w:color w:val="000000"/>
                <w:sz w:val="24"/>
                <w:szCs w:val="24"/>
                <w:highlight w:val="none"/>
              </w:rPr>
            </w:pPr>
            <w:r>
              <w:rPr>
                <w:rFonts w:ascii="宋体" w:hAnsi="宋体"/>
                <w:color w:val="000000"/>
                <w:sz w:val="24"/>
                <w:szCs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0" w:hRule="atLeast"/>
          <w:jc w:val="center"/>
        </w:trPr>
        <w:tc>
          <w:tcPr>
            <w:tcW w:w="8877" w:type="dxa"/>
            <w:vAlign w:val="center"/>
          </w:tcPr>
          <w:p>
            <w:pPr>
              <w:adjustRightInd w:val="0"/>
              <w:snapToGrid w:val="0"/>
              <w:spacing w:line="400" w:lineRule="atLeast"/>
              <w:ind w:firstLine="315" w:firstLineChars="150"/>
              <w:rPr>
                <w:rFonts w:hint="eastAsia"/>
                <w:highlight w:val="none"/>
              </w:rPr>
            </w:pPr>
            <w:r>
              <w:rPr>
                <w:rFonts w:hint="eastAsia"/>
                <w:highlight w:val="none"/>
              </w:rPr>
              <w:t>投标人须</w:t>
            </w:r>
            <w:r>
              <w:rPr>
                <w:rFonts w:hint="eastAsia"/>
                <w:highlight w:val="none"/>
                <w:lang w:val="en-US" w:eastAsia="zh-CN"/>
              </w:rPr>
              <w:t>同时满足</w:t>
            </w:r>
            <w:r>
              <w:rPr>
                <w:rFonts w:hint="eastAsia"/>
                <w:highlight w:val="none"/>
              </w:rPr>
              <w:t>以下</w:t>
            </w:r>
            <w:r>
              <w:rPr>
                <w:rFonts w:hint="eastAsia"/>
                <w:highlight w:val="none"/>
                <w:lang w:val="en-US" w:eastAsia="zh-CN"/>
              </w:rPr>
              <w:t>财务要求</w:t>
            </w:r>
            <w:r>
              <w:rPr>
                <w:rFonts w:hint="eastAsia"/>
                <w:highlight w:val="none"/>
              </w:rPr>
              <w:t>：</w:t>
            </w:r>
          </w:p>
          <w:p>
            <w:pPr>
              <w:adjustRightInd w:val="0"/>
              <w:snapToGrid w:val="0"/>
              <w:spacing w:line="400" w:lineRule="atLeast"/>
              <w:ind w:firstLine="315" w:firstLineChars="150"/>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企业净资产(总资产-总负债)不少于3000万元人民币(含3000万元);</w:t>
            </w:r>
          </w:p>
          <w:p>
            <w:pPr>
              <w:adjustRightInd w:val="0"/>
              <w:snapToGrid w:val="0"/>
              <w:spacing w:line="400" w:lineRule="atLeast"/>
              <w:ind w:firstLine="315" w:firstLineChars="150"/>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营运资本(流动资产一流动负债)不少于2500万元人民币(含2500万元);</w:t>
            </w:r>
          </w:p>
          <w:p>
            <w:pPr>
              <w:adjustRightInd w:val="0"/>
              <w:snapToGrid w:val="0"/>
              <w:spacing w:line="400" w:lineRule="atLeast"/>
              <w:ind w:firstLine="315" w:firstLineChars="150"/>
              <w:rPr>
                <w:rFonts w:hint="eastAsia" w:ascii="Times New Roman" w:hAnsi="Times New Roman" w:eastAsia="宋体" w:cs="Times New Roman"/>
                <w:highlight w:val="none"/>
              </w:rPr>
            </w:pPr>
            <w:r>
              <w:rPr>
                <w:rFonts w:hint="eastAsia" w:ascii="Times New Roman" w:hAnsi="Times New Roman" w:eastAsia="宋体" w:cs="Times New Roman"/>
                <w:highlight w:val="none"/>
              </w:rPr>
              <w:t>3</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最近三年度的平均营业总收入不少于6000万元人民币(含6000万元)；</w:t>
            </w:r>
          </w:p>
          <w:p>
            <w:pPr>
              <w:adjustRightInd w:val="0"/>
              <w:snapToGrid w:val="0"/>
              <w:spacing w:line="400" w:lineRule="atLeast"/>
              <w:ind w:firstLine="315" w:firstLineChars="150"/>
              <w:rPr>
                <w:rFonts w:hint="eastAsia" w:ascii="Times New Roman" w:hAnsi="Times New Roman" w:eastAsia="宋体" w:cs="Times New Roman"/>
                <w:highlight w:val="none"/>
              </w:rPr>
            </w:pPr>
            <w:r>
              <w:rPr>
                <w:rFonts w:hint="eastAsia" w:ascii="Times New Roman" w:hAnsi="Times New Roman" w:eastAsia="宋体" w:cs="Times New Roman"/>
                <w:highlight w:val="none"/>
              </w:rPr>
              <w:t>4、最近三年度至少有两年盈利。</w:t>
            </w:r>
          </w:p>
          <w:p>
            <w:pPr>
              <w:pStyle w:val="2"/>
              <w:rPr>
                <w:rFonts w:hint="eastAsia"/>
                <w:highlight w:val="none"/>
              </w:rPr>
            </w:pPr>
          </w:p>
          <w:p>
            <w:pPr>
              <w:adjustRightInd w:val="0"/>
              <w:snapToGrid w:val="0"/>
              <w:spacing w:line="400" w:lineRule="atLeast"/>
              <w:ind w:firstLine="270" w:firstLineChars="150"/>
              <w:rPr>
                <w:rFonts w:hint="eastAsia" w:ascii="宋体" w:hAnsi="宋体" w:eastAsia="宋体" w:cs="宋体"/>
                <w:sz w:val="18"/>
                <w:szCs w:val="18"/>
                <w:highlight w:val="none"/>
              </w:rPr>
            </w:pPr>
            <w:r>
              <w:rPr>
                <w:rFonts w:hint="eastAsia" w:ascii="宋体" w:hAnsi="宋体" w:eastAsia="宋体" w:cs="宋体"/>
                <w:sz w:val="18"/>
                <w:szCs w:val="18"/>
                <w:highlight w:val="none"/>
              </w:rPr>
              <w:t>注：</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、投标人的相关财务状况应能明确表述本项目资格审查所需内容：</w:t>
            </w:r>
          </w:p>
          <w:p>
            <w:pPr>
              <w:adjustRightInd w:val="0"/>
              <w:snapToGrid w:val="0"/>
              <w:spacing w:line="400" w:lineRule="atLeast"/>
              <w:ind w:firstLine="630" w:firstLineChars="35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企业净资产</w:t>
            </w:r>
            <w:r>
              <w:rPr>
                <w:rFonts w:hint="eastAsia" w:ascii="宋体" w:hAnsi="宋体" w:eastAsia="宋体" w:cs="宋体"/>
                <w:sz w:val="18"/>
                <w:szCs w:val="18"/>
                <w:highlight w:val="none"/>
                <w:lang w:eastAsia="zh-CN"/>
              </w:rPr>
              <w:t>、营运资本</w:t>
            </w:r>
            <w:r>
              <w:rPr>
                <w:rFonts w:hint="eastAsia" w:ascii="宋体" w:hAnsi="宋体" w:eastAsia="宋体" w:cs="宋体"/>
                <w:sz w:val="18"/>
                <w:szCs w:val="18"/>
                <w:highlight w:val="none"/>
                <w:lang w:val="en-US" w:eastAsia="zh-CN"/>
              </w:rPr>
              <w:t>以2024年度财务数据为准。</w:t>
            </w:r>
          </w:p>
          <w:p>
            <w:pPr>
              <w:numPr>
                <w:ilvl w:val="0"/>
                <w:numId w:val="0"/>
              </w:numPr>
              <w:adjustRightInd w:val="0"/>
              <w:snapToGrid w:val="0"/>
              <w:spacing w:line="400" w:lineRule="atLeast"/>
              <w:ind w:firstLine="630" w:firstLineChars="350"/>
              <w:rPr>
                <w:rFonts w:hint="eastAsia" w:ascii="宋体" w:hAnsi="宋体" w:eastAsia="宋体" w:cs="宋体"/>
                <w:sz w:val="18"/>
                <w:szCs w:val="18"/>
                <w:highlight w:val="none"/>
              </w:rPr>
            </w:pPr>
            <w:r>
              <w:rPr>
                <w:rFonts w:hint="eastAsia" w:ascii="宋体" w:hAnsi="宋体" w:eastAsia="宋体" w:cs="宋体"/>
                <w:kern w:val="2"/>
                <w:sz w:val="18"/>
                <w:szCs w:val="18"/>
                <w:highlight w:val="none"/>
                <w:lang w:val="en-US" w:eastAsia="zh-CN" w:bidi="ar-SA"/>
              </w:rPr>
              <w:t>(2)</w:t>
            </w:r>
            <w:r>
              <w:rPr>
                <w:rFonts w:hint="eastAsia" w:ascii="宋体" w:hAnsi="宋体" w:eastAsia="宋体" w:cs="宋体"/>
                <w:sz w:val="18"/>
                <w:szCs w:val="18"/>
                <w:highlight w:val="none"/>
              </w:rPr>
              <w:t>近三年（</w:t>
            </w:r>
            <w:r>
              <w:rPr>
                <w:rFonts w:hint="eastAsia" w:ascii="宋体" w:hAnsi="宋体" w:eastAsia="宋体" w:cs="宋体"/>
                <w:sz w:val="18"/>
                <w:szCs w:val="18"/>
                <w:highlight w:val="none"/>
                <w:lang w:val="en-US" w:eastAsia="zh-CN"/>
              </w:rPr>
              <w:t>2022、2023、2024</w:t>
            </w:r>
            <w:r>
              <w:rPr>
                <w:rFonts w:hint="eastAsia" w:ascii="宋体" w:hAnsi="宋体" w:eastAsia="宋体" w:cs="宋体"/>
                <w:sz w:val="18"/>
                <w:szCs w:val="18"/>
                <w:highlight w:val="none"/>
              </w:rPr>
              <w:t>年）财务信息以投标人提供的“全国公路建设市场信用信息管理系统”</w:t>
            </w:r>
            <w:r>
              <w:rPr>
                <w:rFonts w:hint="eastAsia" w:ascii="宋体" w:hAnsi="宋体" w:eastAsia="宋体" w:cs="宋体"/>
                <w:sz w:val="18"/>
                <w:szCs w:val="18"/>
                <w:highlight w:val="none"/>
                <w:lang w:eastAsia="zh-CN"/>
              </w:rPr>
              <w:t>（(网址:http://glxy.mot.gov.cn/BM/，下同)）</w:t>
            </w:r>
            <w:r>
              <w:rPr>
                <w:rFonts w:hint="eastAsia" w:ascii="宋体" w:hAnsi="宋体" w:eastAsia="宋体" w:cs="宋体"/>
                <w:sz w:val="18"/>
                <w:szCs w:val="18"/>
                <w:highlight w:val="none"/>
              </w:rPr>
              <w:t>企业所填的信息截图为准</w:t>
            </w:r>
            <w:r>
              <w:rPr>
                <w:rFonts w:hint="eastAsia" w:ascii="宋体" w:hAnsi="宋体" w:eastAsia="宋体" w:cs="宋体"/>
                <w:sz w:val="18"/>
                <w:szCs w:val="18"/>
                <w:highlight w:val="none"/>
                <w:lang w:eastAsia="zh-CN"/>
              </w:rPr>
              <w:t>。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w:t>
            </w:r>
            <w:r>
              <w:rPr>
                <w:rFonts w:hint="eastAsia" w:ascii="宋体" w:hAnsi="宋体" w:eastAsia="宋体" w:cs="宋体"/>
                <w:sz w:val="18"/>
                <w:szCs w:val="18"/>
                <w:highlight w:val="none"/>
              </w:rPr>
              <w:t>投标人的相关财务状况应已录入交通运输部“全国公路建设市场信用信息管理系统”，并提供系统网页打印资料作为证明材料。上述证明材料应能明确表述本项目资格审查所需内容（如 20</w:t>
            </w:r>
            <w:r>
              <w:rPr>
                <w:rFonts w:hint="eastAsia" w:ascii="宋体" w:hAnsi="宋体" w:eastAsia="宋体" w:cs="宋体"/>
                <w:sz w:val="18"/>
                <w:szCs w:val="18"/>
                <w:highlight w:val="none"/>
                <w:lang w:val="en-US" w:eastAsia="zh-CN"/>
              </w:rPr>
              <w:t>24</w:t>
            </w:r>
            <w:r>
              <w:rPr>
                <w:rFonts w:hint="eastAsia" w:ascii="宋体" w:hAnsi="宋体" w:eastAsia="宋体" w:cs="宋体"/>
                <w:sz w:val="18"/>
                <w:szCs w:val="18"/>
                <w:highlight w:val="none"/>
              </w:rPr>
              <w:t xml:space="preserve"> 年度企业净资产和营运资本、近三年（</w:t>
            </w:r>
            <w:r>
              <w:rPr>
                <w:rFonts w:hint="eastAsia" w:ascii="宋体" w:hAnsi="宋体" w:eastAsia="宋体" w:cs="宋体"/>
                <w:sz w:val="18"/>
                <w:szCs w:val="18"/>
                <w:highlight w:val="none"/>
                <w:lang w:val="en-US" w:eastAsia="zh-CN"/>
              </w:rPr>
              <w:t>2022、2023、2024</w:t>
            </w:r>
            <w:r>
              <w:rPr>
                <w:rFonts w:hint="eastAsia" w:ascii="宋体" w:hAnsi="宋体" w:eastAsia="宋体" w:cs="宋体"/>
                <w:sz w:val="18"/>
                <w:szCs w:val="18"/>
                <w:highlight w:val="none"/>
              </w:rPr>
              <w:t>年）的营业额及盈亏情况等），如无上述关键信息的，审查时将不予认定，投标人应高度重视资料的申报工作，在递交投标文件前完善网上信息。</w:t>
            </w:r>
          </w:p>
          <w:p>
            <w:pPr>
              <w:adjustRightInd w:val="0"/>
              <w:snapToGrid w:val="0"/>
              <w:spacing w:line="400" w:lineRule="atLeast"/>
              <w:ind w:firstLine="720" w:firstLineChars="40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、上述复印件必须清晰可辨，不允许超过</w:t>
            </w:r>
            <w:r>
              <w:rPr>
                <w:rFonts w:hint="eastAsia" w:ascii="宋体" w:hAnsi="宋体" w:eastAsia="宋体" w:cs="宋体"/>
                <w:sz w:val="18"/>
                <w:szCs w:val="18"/>
                <w:highlight w:val="none"/>
                <w:lang w:val="en-US" w:eastAsia="zh-CN"/>
              </w:rPr>
              <w:t>两</w:t>
            </w:r>
            <w:r>
              <w:rPr>
                <w:rFonts w:hint="eastAsia" w:ascii="宋体" w:hAnsi="宋体" w:eastAsia="宋体" w:cs="宋体"/>
                <w:sz w:val="18"/>
                <w:szCs w:val="18"/>
                <w:highlight w:val="none"/>
              </w:rPr>
              <w:t>页或以上拼接复印。</w:t>
            </w:r>
          </w:p>
          <w:p>
            <w:pPr>
              <w:adjustRightInd w:val="0"/>
              <w:snapToGrid w:val="0"/>
              <w:spacing w:line="400" w:lineRule="atLeast"/>
              <w:ind w:firstLine="420" w:firstLineChars="200"/>
              <w:jc w:val="both"/>
              <w:rPr>
                <w:rFonts w:ascii="宋体" w:hAnsi="宋体"/>
                <w:color w:val="000000"/>
                <w:sz w:val="21"/>
                <w:szCs w:val="21"/>
                <w:highlight w:val="none"/>
              </w:rPr>
            </w:pPr>
          </w:p>
        </w:tc>
      </w:tr>
    </w:tbl>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r>
        <w:rPr>
          <w:rFonts w:ascii="宋体" w:hAnsi="宋体"/>
          <w:b/>
          <w:bCs/>
          <w:color w:val="000000"/>
          <w:sz w:val="28"/>
          <w:szCs w:val="28"/>
          <w:highlight w:val="none"/>
        </w:rPr>
        <w:t xml:space="preserve">附录3 资格审查条件(业绩最低要求) </w:t>
      </w:r>
    </w:p>
    <w:tbl>
      <w:tblPr>
        <w:tblStyle w:val="7"/>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0" w:hRule="atLeast"/>
          <w:jc w:val="center"/>
        </w:trPr>
        <w:tc>
          <w:tcPr>
            <w:tcW w:w="9280" w:type="dxa"/>
            <w:vAlign w:val="top"/>
          </w:tcPr>
          <w:p>
            <w:pPr>
              <w:adjustRightInd w:val="0"/>
              <w:snapToGrid w:val="0"/>
              <w:spacing w:line="400" w:lineRule="atLeast"/>
              <w:jc w:val="center"/>
              <w:rPr>
                <w:rFonts w:hint="eastAsia" w:ascii="宋体" w:hAnsi="宋体"/>
                <w:color w:val="auto"/>
                <w:szCs w:val="21"/>
                <w:highlight w:val="none"/>
              </w:rPr>
            </w:pPr>
            <w:r>
              <w:rPr>
                <w:rFonts w:ascii="宋体" w:hAnsi="宋体"/>
                <w:color w:val="auto"/>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018" w:hRule="atLeast"/>
          <w:jc w:val="center"/>
        </w:trPr>
        <w:tc>
          <w:tcPr>
            <w:tcW w:w="9280" w:type="dxa"/>
            <w:vAlign w:val="center"/>
          </w:tcPr>
          <w:p>
            <w:pPr>
              <w:numPr>
                <w:ilvl w:val="0"/>
                <w:numId w:val="0"/>
              </w:numPr>
              <w:spacing w:line="360" w:lineRule="auto"/>
              <w:ind w:firstLine="422" w:firstLineChars="200"/>
              <w:rPr>
                <w:rFonts w:hint="eastAsia" w:ascii="宋体" w:hAnsi="宋体"/>
                <w:b/>
                <w:bCs/>
                <w:color w:val="auto"/>
                <w:szCs w:val="21"/>
                <w:highlight w:val="none"/>
              </w:rPr>
            </w:pPr>
            <w:bookmarkStart w:id="1" w:name="OLE_LINK5"/>
          </w:p>
          <w:p>
            <w:pPr>
              <w:numPr>
                <w:ilvl w:val="0"/>
                <w:numId w:val="0"/>
              </w:num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投标人须同时具有以下工程业绩</w:t>
            </w:r>
            <w:r>
              <w:rPr>
                <w:rFonts w:hint="eastAsia" w:ascii="宋体" w:hAnsi="宋体"/>
                <w:color w:val="auto"/>
                <w:szCs w:val="21"/>
                <w:highlight w:val="none"/>
              </w:rPr>
              <w:t>:</w:t>
            </w:r>
          </w:p>
          <w:p>
            <w:pPr>
              <w:numPr>
                <w:ilvl w:val="0"/>
                <w:numId w:val="0"/>
              </w:num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w:t>
            </w:r>
            <w:r>
              <w:rPr>
                <w:rFonts w:hint="eastAsia"/>
                <w:b/>
                <w:bCs/>
              </w:rPr>
              <w:t>近三年内，完成过国内高速公路机电</w:t>
            </w:r>
            <w:r>
              <w:rPr>
                <w:rFonts w:hint="eastAsia"/>
                <w:b/>
                <w:bCs/>
                <w:lang w:val="en-US" w:eastAsia="zh-CN"/>
              </w:rPr>
              <w:t>大中修专项</w:t>
            </w:r>
            <w:r>
              <w:rPr>
                <w:rFonts w:hint="eastAsia"/>
                <w:b/>
                <w:bCs/>
              </w:rPr>
              <w:t>工程施工项目合同累计总金额不少于 5000万元以上(含 5000 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近三年内，累计</w:t>
            </w:r>
            <w:r>
              <w:rPr>
                <w:b/>
                <w:bCs/>
                <w:highlight w:val="none"/>
              </w:rPr>
              <w:t>完成国内高速公路机电</w:t>
            </w:r>
            <w:r>
              <w:rPr>
                <w:rFonts w:hint="eastAsia"/>
                <w:b/>
                <w:bCs/>
                <w:highlight w:val="none"/>
                <w:lang w:val="en-US" w:eastAsia="zh-CN"/>
              </w:rPr>
              <w:t>系统</w:t>
            </w:r>
            <w:r>
              <w:rPr>
                <w:b/>
                <w:bCs/>
                <w:highlight w:val="none"/>
              </w:rPr>
              <w:t>（同</w:t>
            </w:r>
            <w:r>
              <w:rPr>
                <w:b/>
                <w:bCs/>
                <w:spacing w:val="-1"/>
                <w:highlight w:val="none"/>
              </w:rPr>
              <w:t>时含监控、收费、通信系统）日常</w:t>
            </w:r>
            <w:r>
              <w:rPr>
                <w:b/>
                <w:bCs/>
                <w:spacing w:val="-3"/>
                <w:highlight w:val="none"/>
              </w:rPr>
              <w:t>养护服务合同累计总额不低于</w:t>
            </w:r>
            <w:r>
              <w:rPr>
                <w:rFonts w:hint="eastAsia"/>
                <w:b/>
                <w:bCs/>
                <w:spacing w:val="-3"/>
                <w:highlight w:val="none"/>
                <w:lang w:val="en-US" w:eastAsia="zh-CN"/>
              </w:rPr>
              <w:t>50</w:t>
            </w:r>
            <w:r>
              <w:rPr>
                <w:b/>
                <w:bCs/>
                <w:spacing w:val="-3"/>
                <w:highlight w:val="none"/>
              </w:rPr>
              <w:t>00万元</w:t>
            </w:r>
            <w:r>
              <w:rPr>
                <w:rFonts w:hint="eastAsia"/>
                <w:b/>
                <w:bCs/>
                <w:spacing w:val="-3"/>
                <w:highlight w:val="none"/>
                <w:lang w:eastAsia="zh-CN"/>
              </w:rPr>
              <w:t>（</w:t>
            </w:r>
            <w:r>
              <w:rPr>
                <w:rFonts w:hint="eastAsia"/>
                <w:b/>
                <w:bCs/>
                <w:spacing w:val="-3"/>
                <w:highlight w:val="none"/>
                <w:lang w:val="en-US" w:eastAsia="zh-CN"/>
              </w:rPr>
              <w:t>含5000万元）</w:t>
            </w:r>
            <w:r>
              <w:rPr>
                <w:rFonts w:hint="eastAsia" w:ascii="宋体" w:hAnsi="宋体"/>
                <w:b/>
                <w:bCs/>
                <w:color w:val="auto"/>
                <w:szCs w:val="21"/>
                <w:highlight w:val="none"/>
              </w:rPr>
              <w:t>。</w:t>
            </w:r>
            <w:bookmarkEnd w:id="1"/>
          </w:p>
          <w:p>
            <w:pPr>
              <w:numPr>
                <w:ilvl w:val="0"/>
                <w:numId w:val="0"/>
              </w:num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注:1、近</w:t>
            </w:r>
            <w:r>
              <w:rPr>
                <w:rFonts w:hint="eastAsia" w:ascii="宋体" w:hAnsi="宋体"/>
                <w:color w:val="auto"/>
                <w:szCs w:val="21"/>
                <w:highlight w:val="none"/>
                <w:lang w:val="en-US" w:eastAsia="zh-CN"/>
              </w:rPr>
              <w:t>三</w:t>
            </w:r>
            <w:r>
              <w:rPr>
                <w:rFonts w:hint="eastAsia" w:ascii="宋体" w:hAnsi="宋体"/>
                <w:color w:val="auto"/>
                <w:szCs w:val="21"/>
                <w:highlight w:val="none"/>
              </w:rPr>
              <w:t>年定义为20</w:t>
            </w:r>
            <w:r>
              <w:rPr>
                <w:rFonts w:hint="eastAsia" w:ascii="宋体" w:hAnsi="宋体"/>
                <w:color w:val="auto"/>
                <w:szCs w:val="21"/>
                <w:highlight w:val="none"/>
                <w:lang w:val="en-US" w:eastAsia="zh-CN"/>
              </w:rPr>
              <w:t>22</w:t>
            </w:r>
            <w:r>
              <w:rPr>
                <w:rFonts w:hint="eastAsia" w:ascii="宋体" w:hAnsi="宋体"/>
                <w:color w:val="auto"/>
                <w:szCs w:val="21"/>
                <w:highlight w:val="none"/>
              </w:rPr>
              <w:t>年1月1日至投标文件截止日止。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pacing w:val="-7"/>
                <w:sz w:val="21"/>
                <w:szCs w:val="21"/>
                <w:highlight w:val="none"/>
                <w:lang w:eastAsia="zh-CN"/>
              </w:rPr>
            </w:pPr>
            <w:r>
              <w:rPr>
                <w:rFonts w:hint="eastAsia" w:ascii="宋体" w:hAnsi="宋体" w:eastAsia="宋体" w:cs="宋体"/>
                <w:color w:val="auto"/>
                <w:sz w:val="21"/>
                <w:szCs w:val="21"/>
                <w:highlight w:val="none"/>
              </w:rPr>
              <w:t>2、</w:t>
            </w:r>
            <w:r>
              <w:rPr>
                <w:rFonts w:hint="eastAsia"/>
                <w:b w:val="0"/>
                <w:bCs w:val="0"/>
              </w:rPr>
              <w:t>国内高速公路机电</w:t>
            </w:r>
            <w:r>
              <w:rPr>
                <w:rFonts w:hint="eastAsia"/>
                <w:b w:val="0"/>
                <w:bCs w:val="0"/>
                <w:lang w:val="en-US" w:eastAsia="zh-CN"/>
              </w:rPr>
              <w:t>大中修专项</w:t>
            </w:r>
            <w:r>
              <w:rPr>
                <w:rFonts w:hint="eastAsia"/>
                <w:b w:val="0"/>
                <w:bCs w:val="0"/>
              </w:rPr>
              <w:t>工程施工项目</w:t>
            </w:r>
            <w:r>
              <w:rPr>
                <w:rFonts w:hint="eastAsia"/>
              </w:rPr>
              <w:t>的业绩</w:t>
            </w:r>
            <w:r>
              <w:rPr>
                <w:rFonts w:hint="eastAsia" w:ascii="宋体" w:hAnsi="宋体" w:eastAsia="宋体" w:cs="宋体"/>
                <w:spacing w:val="-2"/>
                <w:sz w:val="21"/>
                <w:szCs w:val="21"/>
                <w:highlight w:val="none"/>
              </w:rPr>
              <w:t>应</w:t>
            </w:r>
            <w:r>
              <w:rPr>
                <w:rFonts w:hint="eastAsia" w:ascii="宋体" w:hAnsi="宋体" w:eastAsia="宋体" w:cs="宋体"/>
                <w:spacing w:val="-2"/>
                <w:sz w:val="21"/>
                <w:szCs w:val="21"/>
                <w:highlight w:val="none"/>
                <w:lang w:val="en-US" w:eastAsia="zh-CN"/>
              </w:rPr>
              <w:t>提供</w:t>
            </w:r>
            <w:r>
              <w:rPr>
                <w:rFonts w:hint="eastAsia" w:ascii="宋体" w:hAnsi="宋体" w:eastAsia="宋体" w:cs="宋体"/>
                <w:spacing w:val="-2"/>
                <w:sz w:val="21"/>
                <w:szCs w:val="21"/>
                <w:highlight w:val="none"/>
              </w:rPr>
              <w:t>以</w:t>
            </w:r>
            <w:r>
              <w:rPr>
                <w:rFonts w:hint="eastAsia" w:ascii="宋体" w:hAnsi="宋体" w:eastAsia="宋体" w:cs="宋体"/>
                <w:sz w:val="21"/>
                <w:szCs w:val="21"/>
                <w:highlight w:val="none"/>
              </w:rPr>
              <w:t>下</w:t>
            </w:r>
            <w:r>
              <w:rPr>
                <w:rFonts w:hint="eastAsia" w:ascii="宋体" w:hAnsi="宋体" w:eastAsia="宋体" w:cs="宋体"/>
                <w:sz w:val="21"/>
                <w:szCs w:val="21"/>
                <w:highlight w:val="none"/>
                <w:lang w:val="en-US" w:eastAsia="zh-CN"/>
              </w:rPr>
              <w:t>证明材料</w:t>
            </w:r>
            <w:r>
              <w:rPr>
                <w:rFonts w:hint="eastAsia" w:ascii="宋体" w:hAnsi="宋体" w:eastAsia="宋体" w:cs="宋体"/>
                <w:sz w:val="21"/>
                <w:szCs w:val="21"/>
                <w:highlight w:val="none"/>
              </w:rPr>
              <w:t>：</w:t>
            </w:r>
            <w:r>
              <w:rPr>
                <w:rFonts w:hint="eastAsia" w:ascii="微软雅黑" w:hAnsi="微软雅黑" w:eastAsia="微软雅黑" w:cs="微软雅黑"/>
                <w:sz w:val="21"/>
                <w:szCs w:val="21"/>
                <w:highlight w:val="none"/>
              </w:rPr>
              <w:t>①</w:t>
            </w:r>
            <w:r>
              <w:rPr>
                <w:rFonts w:hint="eastAsia" w:ascii="宋体" w:hAnsi="宋体" w:eastAsia="宋体" w:cs="宋体"/>
                <w:sz w:val="21"/>
                <w:szCs w:val="21"/>
                <w:highlight w:val="none"/>
              </w:rPr>
              <w:t>中标通知书（如有）、</w:t>
            </w:r>
            <w:r>
              <w:rPr>
                <w:rFonts w:hint="eastAsia" w:ascii="微软雅黑" w:hAnsi="微软雅黑" w:eastAsia="微软雅黑" w:cs="微软雅黑"/>
                <w:sz w:val="21"/>
                <w:szCs w:val="21"/>
                <w:highlight w:val="none"/>
              </w:rPr>
              <w:t>②</w:t>
            </w:r>
            <w:r>
              <w:rPr>
                <w:rFonts w:hint="eastAsia" w:ascii="宋体" w:hAnsi="宋体" w:eastAsia="宋体" w:cs="宋体"/>
                <w:sz w:val="21"/>
                <w:szCs w:val="21"/>
                <w:highlight w:val="none"/>
              </w:rPr>
              <w:t>合同协</w:t>
            </w:r>
            <w:r>
              <w:rPr>
                <w:rFonts w:hint="eastAsia" w:ascii="宋体" w:hAnsi="宋体" w:eastAsia="宋体" w:cs="宋体"/>
                <w:spacing w:val="-1"/>
                <w:sz w:val="21"/>
                <w:szCs w:val="21"/>
                <w:highlight w:val="none"/>
              </w:rPr>
              <w:t>议书、</w:t>
            </w:r>
            <w:r>
              <w:rPr>
                <w:rFonts w:hint="eastAsia" w:ascii="微软雅黑" w:hAnsi="微软雅黑" w:eastAsia="微软雅黑" w:cs="微软雅黑"/>
                <w:spacing w:val="-1"/>
                <w:sz w:val="21"/>
                <w:szCs w:val="21"/>
                <w:highlight w:val="none"/>
              </w:rPr>
              <w:t>③</w:t>
            </w:r>
            <w:r>
              <w:rPr>
                <w:rFonts w:hint="eastAsia"/>
                <w:b w:val="0"/>
                <w:bCs w:val="0"/>
                <w:lang w:val="en-US" w:eastAsia="zh-CN"/>
              </w:rPr>
              <w:t>专项</w:t>
            </w:r>
            <w:r>
              <w:rPr>
                <w:rFonts w:hint="eastAsia"/>
                <w:b w:val="0"/>
                <w:bCs w:val="0"/>
              </w:rPr>
              <w:t>工程</w:t>
            </w:r>
            <w:r>
              <w:rPr>
                <w:rFonts w:hint="eastAsia" w:ascii="宋体" w:hAnsi="宋体" w:eastAsia="宋体" w:cs="宋体"/>
                <w:spacing w:val="-1"/>
                <w:sz w:val="21"/>
                <w:szCs w:val="21"/>
                <w:highlight w:val="none"/>
              </w:rPr>
              <w:t>结算协议</w:t>
            </w:r>
            <w:r>
              <w:rPr>
                <w:rFonts w:hint="eastAsia" w:ascii="宋体" w:hAnsi="宋体" w:eastAsia="宋体" w:cs="宋体"/>
                <w:sz w:val="21"/>
                <w:szCs w:val="21"/>
                <w:highlight w:val="none"/>
              </w:rPr>
              <w:t>或交（完）工验收证书复印件（</w:t>
            </w:r>
            <w:r>
              <w:rPr>
                <w:rFonts w:hint="eastAsia" w:ascii="宋体" w:hAnsi="宋体" w:eastAsia="宋体" w:cs="宋体"/>
                <w:spacing w:val="2"/>
                <w:sz w:val="21"/>
                <w:szCs w:val="21"/>
                <w:highlight w:val="none"/>
              </w:rPr>
              <w:t>业绩计算时间以</w:t>
            </w:r>
            <w:r>
              <w:rPr>
                <w:rFonts w:hint="eastAsia"/>
                <w:b w:val="0"/>
                <w:bCs w:val="0"/>
                <w:lang w:val="en-US" w:eastAsia="zh-CN"/>
              </w:rPr>
              <w:t>专项</w:t>
            </w:r>
            <w:r>
              <w:rPr>
                <w:rFonts w:hint="eastAsia"/>
                <w:b w:val="0"/>
                <w:bCs w:val="0"/>
              </w:rPr>
              <w:t>工程</w:t>
            </w:r>
            <w:r>
              <w:rPr>
                <w:rFonts w:hint="eastAsia" w:ascii="宋体" w:hAnsi="宋体" w:eastAsia="宋体" w:cs="宋体"/>
                <w:spacing w:val="2"/>
                <w:sz w:val="21"/>
                <w:szCs w:val="21"/>
                <w:highlight w:val="none"/>
              </w:rPr>
              <w:t>结算协议时间或</w:t>
            </w:r>
            <w:r>
              <w:rPr>
                <w:rFonts w:hint="eastAsia" w:ascii="宋体" w:hAnsi="宋体" w:eastAsia="宋体" w:cs="宋体"/>
                <w:sz w:val="21"/>
                <w:szCs w:val="21"/>
                <w:highlight w:val="none"/>
              </w:rPr>
              <w:t>交（完）工验收证书</w:t>
            </w:r>
            <w:r>
              <w:rPr>
                <w:rFonts w:hint="eastAsia" w:ascii="宋体" w:hAnsi="宋体" w:eastAsia="宋体" w:cs="宋体"/>
                <w:sz w:val="21"/>
                <w:szCs w:val="21"/>
                <w:highlight w:val="none"/>
                <w:lang w:val="en-US" w:eastAsia="zh-CN"/>
              </w:rPr>
              <w:t>时间</w:t>
            </w:r>
            <w:r>
              <w:rPr>
                <w:rFonts w:hint="eastAsia" w:ascii="宋体" w:hAnsi="宋体" w:eastAsia="宋体" w:cs="宋体"/>
                <w:spacing w:val="2"/>
                <w:sz w:val="21"/>
                <w:szCs w:val="21"/>
                <w:highlight w:val="none"/>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92" w:firstLineChars="200"/>
              <w:textAlignment w:val="auto"/>
              <w:rPr>
                <w:rFonts w:hint="eastAsia" w:ascii="宋体" w:hAnsi="宋体" w:eastAsia="宋体" w:cs="宋体"/>
                <w:spacing w:val="-1"/>
                <w:sz w:val="21"/>
                <w:szCs w:val="21"/>
                <w:highlight w:val="none"/>
              </w:rPr>
            </w:pPr>
            <w:r>
              <w:rPr>
                <w:rFonts w:hint="eastAsia" w:ascii="宋体" w:hAnsi="宋体" w:eastAsia="宋体" w:cs="宋体"/>
                <w:spacing w:val="-7"/>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b w:val="0"/>
                <w:bCs w:val="0"/>
                <w:highlight w:val="none"/>
              </w:rPr>
              <w:t>国内高速公路机电</w:t>
            </w:r>
            <w:r>
              <w:rPr>
                <w:rFonts w:hint="eastAsia"/>
                <w:b w:val="0"/>
                <w:bCs w:val="0"/>
                <w:highlight w:val="none"/>
                <w:lang w:val="en-US" w:eastAsia="zh-CN"/>
              </w:rPr>
              <w:t>系统</w:t>
            </w:r>
            <w:r>
              <w:rPr>
                <w:b w:val="0"/>
                <w:bCs w:val="0"/>
                <w:highlight w:val="none"/>
              </w:rPr>
              <w:t>（同</w:t>
            </w:r>
            <w:r>
              <w:rPr>
                <w:b w:val="0"/>
                <w:bCs w:val="0"/>
                <w:spacing w:val="-1"/>
                <w:highlight w:val="none"/>
              </w:rPr>
              <w:t>时含监控、收费、通信系统）日常</w:t>
            </w:r>
            <w:r>
              <w:rPr>
                <w:b w:val="0"/>
                <w:bCs w:val="0"/>
                <w:spacing w:val="-3"/>
                <w:highlight w:val="none"/>
              </w:rPr>
              <w:t>养护服务</w:t>
            </w:r>
            <w:r>
              <w:rPr>
                <w:rFonts w:hint="eastAsia" w:ascii="宋体" w:hAnsi="宋体" w:eastAsia="宋体" w:cs="宋体"/>
                <w:spacing w:val="-1"/>
                <w:sz w:val="21"/>
                <w:szCs w:val="21"/>
                <w:highlight w:val="none"/>
              </w:rPr>
              <w:t>业绩</w:t>
            </w:r>
            <w:r>
              <w:rPr>
                <w:rFonts w:hint="eastAsia" w:ascii="宋体" w:hAnsi="宋体" w:eastAsia="宋体" w:cs="宋体"/>
                <w:spacing w:val="-2"/>
                <w:sz w:val="21"/>
                <w:szCs w:val="21"/>
                <w:highlight w:val="none"/>
              </w:rPr>
              <w:t>应</w:t>
            </w:r>
            <w:r>
              <w:rPr>
                <w:rFonts w:hint="eastAsia" w:ascii="宋体" w:hAnsi="宋体" w:eastAsia="宋体" w:cs="宋体"/>
                <w:spacing w:val="-2"/>
                <w:sz w:val="21"/>
                <w:szCs w:val="21"/>
                <w:highlight w:val="none"/>
                <w:lang w:val="en-US" w:eastAsia="zh-CN"/>
              </w:rPr>
              <w:t>提供</w:t>
            </w:r>
            <w:r>
              <w:rPr>
                <w:rFonts w:hint="eastAsia" w:ascii="宋体" w:hAnsi="宋体" w:eastAsia="宋体" w:cs="宋体"/>
                <w:spacing w:val="-2"/>
                <w:sz w:val="21"/>
                <w:szCs w:val="21"/>
                <w:highlight w:val="none"/>
              </w:rPr>
              <w:t>以</w:t>
            </w:r>
            <w:r>
              <w:rPr>
                <w:rFonts w:hint="eastAsia" w:ascii="宋体" w:hAnsi="宋体" w:eastAsia="宋体" w:cs="宋体"/>
                <w:sz w:val="21"/>
                <w:szCs w:val="21"/>
                <w:highlight w:val="none"/>
              </w:rPr>
              <w:t>下</w:t>
            </w:r>
            <w:r>
              <w:rPr>
                <w:rFonts w:hint="eastAsia" w:ascii="宋体" w:hAnsi="宋体" w:eastAsia="宋体" w:cs="宋体"/>
                <w:sz w:val="21"/>
                <w:szCs w:val="21"/>
                <w:highlight w:val="none"/>
                <w:lang w:val="en-US" w:eastAsia="zh-CN"/>
              </w:rPr>
              <w:t>证明材料</w:t>
            </w:r>
            <w:r>
              <w:rPr>
                <w:rFonts w:hint="eastAsia" w:ascii="宋体" w:hAnsi="宋体" w:eastAsia="宋体" w:cs="宋体"/>
                <w:sz w:val="21"/>
                <w:szCs w:val="21"/>
                <w:highlight w:val="none"/>
              </w:rPr>
              <w:t>：</w:t>
            </w:r>
            <w:r>
              <w:rPr>
                <w:rFonts w:hint="eastAsia" w:ascii="微软雅黑" w:hAnsi="微软雅黑" w:eastAsia="微软雅黑" w:cs="微软雅黑"/>
                <w:sz w:val="21"/>
                <w:szCs w:val="21"/>
                <w:highlight w:val="none"/>
              </w:rPr>
              <w:t>①</w:t>
            </w:r>
            <w:r>
              <w:rPr>
                <w:rFonts w:hint="eastAsia" w:ascii="宋体" w:hAnsi="宋体" w:eastAsia="宋体" w:cs="宋体"/>
                <w:sz w:val="21"/>
                <w:szCs w:val="21"/>
                <w:highlight w:val="none"/>
              </w:rPr>
              <w:t>中标通知书（如有）、</w:t>
            </w:r>
            <w:r>
              <w:rPr>
                <w:rFonts w:hint="eastAsia" w:ascii="微软雅黑" w:hAnsi="微软雅黑" w:eastAsia="微软雅黑" w:cs="微软雅黑"/>
                <w:sz w:val="21"/>
                <w:szCs w:val="21"/>
                <w:highlight w:val="none"/>
              </w:rPr>
              <w:t>②</w:t>
            </w:r>
            <w:r>
              <w:rPr>
                <w:rFonts w:hint="eastAsia" w:ascii="宋体" w:hAnsi="宋体" w:eastAsia="宋体" w:cs="宋体"/>
                <w:sz w:val="21"/>
                <w:szCs w:val="21"/>
                <w:highlight w:val="none"/>
              </w:rPr>
              <w:t>合同协</w:t>
            </w:r>
            <w:r>
              <w:rPr>
                <w:rFonts w:hint="eastAsia" w:ascii="宋体" w:hAnsi="宋体" w:eastAsia="宋体" w:cs="宋体"/>
                <w:spacing w:val="-1"/>
                <w:sz w:val="21"/>
                <w:szCs w:val="21"/>
                <w:highlight w:val="none"/>
              </w:rPr>
              <w:t>议书、③年度结算协议或交（完）工验收证书或业主证明材料（业绩计算时间以年度结算协议时间或交（完）工验收证书时间或业主证明中记载的完工时间为准。若提供的是业主证明材料，须清晰体现合同名称、工程内容、合同金额及累计完成金额、开工及完工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若投标人提供的业绩证明为联合体业绩的，则按交通运输部“全国公路建设市场监督管理系统”业绩信息的网页截图体现其完成的相关专项工程施工的工作量认定，无法界定其完成的相关专项工程施工工作量的，此业绩不予认定。</w:t>
            </w:r>
          </w:p>
          <w:p>
            <w:pPr>
              <w:numPr>
                <w:ilvl w:val="0"/>
                <w:numId w:val="0"/>
              </w:num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、如近年来，投标人法人机构发生合法变更或重组或法人名称变更时，应提供相关部门的合法批件或其他相关证明材料来证明其所附业绩的继承性。</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c>
      </w:tr>
    </w:tbl>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pStyle w:val="2"/>
        <w:rPr>
          <w:rFonts w:ascii="宋体" w:hAnsi="宋体"/>
          <w:b/>
          <w:bCs/>
          <w:color w:val="000000"/>
          <w:sz w:val="28"/>
          <w:szCs w:val="28"/>
          <w:highlight w:val="none"/>
        </w:rPr>
      </w:pPr>
    </w:p>
    <w:p>
      <w:pPr>
        <w:pStyle w:val="2"/>
        <w:rPr>
          <w:rFonts w:ascii="宋体" w:hAnsi="宋体"/>
          <w:b/>
          <w:bCs/>
          <w:color w:val="000000"/>
          <w:sz w:val="28"/>
          <w:szCs w:val="28"/>
          <w:highlight w:val="none"/>
        </w:rPr>
      </w:pPr>
    </w:p>
    <w:p>
      <w:pPr>
        <w:pStyle w:val="2"/>
        <w:rPr>
          <w:rFonts w:ascii="宋体" w:hAnsi="宋体"/>
          <w:b/>
          <w:bCs/>
          <w:color w:val="000000"/>
          <w:sz w:val="28"/>
          <w:szCs w:val="28"/>
          <w:highlight w:val="none"/>
        </w:rPr>
      </w:pPr>
    </w:p>
    <w:p>
      <w:pPr>
        <w:adjustRightInd w:val="0"/>
        <w:snapToGrid w:val="0"/>
        <w:spacing w:line="360" w:lineRule="auto"/>
        <w:jc w:val="center"/>
        <w:rPr>
          <w:rFonts w:hint="eastAsia"/>
          <w:highlight w:val="none"/>
        </w:rPr>
      </w:pPr>
      <w:r>
        <w:rPr>
          <w:rFonts w:ascii="宋体" w:hAnsi="宋体"/>
          <w:b/>
          <w:bCs/>
          <w:color w:val="000000"/>
          <w:sz w:val="28"/>
          <w:szCs w:val="28"/>
          <w:highlight w:val="none"/>
        </w:rPr>
        <w:t>附录4  资格审查条件(信誉最低要求)</w:t>
      </w:r>
    </w:p>
    <w:tbl>
      <w:tblPr>
        <w:tblStyle w:val="7"/>
        <w:tblW w:w="89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atLeast"/>
          <w:jc w:val="center"/>
        </w:trPr>
        <w:tc>
          <w:tcPr>
            <w:tcW w:w="8945" w:type="dxa"/>
            <w:vAlign w:val="center"/>
          </w:tcPr>
          <w:p>
            <w:pPr>
              <w:adjustRightInd w:val="0"/>
              <w:snapToGrid w:val="0"/>
              <w:spacing w:line="240" w:lineRule="auto"/>
              <w:jc w:val="center"/>
              <w:rPr>
                <w:rFonts w:ascii="宋体" w:hAnsi="宋体"/>
                <w:color w:val="000000"/>
                <w:sz w:val="24"/>
                <w:szCs w:val="24"/>
                <w:highlight w:val="none"/>
              </w:rPr>
            </w:pPr>
            <w:r>
              <w:rPr>
                <w:rFonts w:ascii="宋体" w:hAnsi="宋体"/>
                <w:color w:val="000000"/>
                <w:sz w:val="24"/>
                <w:szCs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95" w:hRule="atLeast"/>
          <w:jc w:val="center"/>
        </w:trPr>
        <w:tc>
          <w:tcPr>
            <w:tcW w:w="8945" w:type="dxa"/>
            <w:vAlign w:val="center"/>
          </w:tcPr>
          <w:p>
            <w:pPr>
              <w:adjustRightInd w:val="0"/>
              <w:snapToGrid w:val="0"/>
              <w:spacing w:line="400" w:lineRule="atLeast"/>
              <w:ind w:firstLine="315" w:firstLineChars="150"/>
              <w:rPr>
                <w:rFonts w:hint="eastAsia"/>
                <w:highlight w:val="none"/>
              </w:rPr>
            </w:pPr>
          </w:p>
          <w:p>
            <w:pPr>
              <w:adjustRightInd w:val="0"/>
              <w:snapToGrid w:val="0"/>
              <w:spacing w:line="360" w:lineRule="auto"/>
              <w:ind w:firstLine="420" w:firstLineChars="200"/>
              <w:rPr>
                <w:rFonts w:hint="eastAsia"/>
                <w:highlight w:val="none"/>
              </w:rPr>
            </w:pPr>
            <w:r>
              <w:rPr>
                <w:rFonts w:hint="eastAsia"/>
                <w:highlight w:val="none"/>
              </w:rPr>
              <w:t>除了“投标人须知”第1.4.4项规定的内容外，投标人还需满足以下信誉要求：</w:t>
            </w:r>
          </w:p>
          <w:p>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1、没有处于被责令停业，财务处于被接管、冻结、破产状态；</w:t>
            </w:r>
          </w:p>
          <w:p>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2、没有被国家住建部、交通运输部、广东省交通运输厅通报且取消相应投标资格（处于有效期内）；</w:t>
            </w:r>
          </w:p>
          <w:p>
            <w:pPr>
              <w:adjustRightInd w:val="0"/>
              <w:snapToGrid w:val="0"/>
              <w:spacing w:line="360" w:lineRule="auto"/>
              <w:ind w:firstLine="420" w:firstLineChars="200"/>
              <w:rPr>
                <w:rFonts w:hint="eastAsia"/>
                <w:highlight w:val="none"/>
                <w:lang w:eastAsia="zh-CN"/>
              </w:rPr>
            </w:pPr>
            <w:r>
              <w:rPr>
                <w:rFonts w:hint="eastAsia"/>
                <w:highlight w:val="none"/>
                <w:lang w:val="en-US" w:eastAsia="zh-CN"/>
              </w:rPr>
              <w:t>3、</w:t>
            </w:r>
            <w:r>
              <w:rPr>
                <w:rFonts w:hint="eastAsia"/>
                <w:highlight w:val="none"/>
              </w:rPr>
              <w:t>投标人没有涉及正在诉讼的案件，或虽涉及正在诉讼的案件但经评审委员会认定不会对承担本项目造成重大影响</w:t>
            </w:r>
            <w:r>
              <w:rPr>
                <w:rFonts w:hint="eastAsia"/>
                <w:highlight w:val="none"/>
                <w:lang w:eastAsia="zh-CN"/>
              </w:rPr>
              <w:t>；</w:t>
            </w:r>
          </w:p>
          <w:p>
            <w:pPr>
              <w:adjustRightInd w:val="0"/>
              <w:snapToGrid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4、 最新一年度在广东省公路水运工程施工企业信用评价中（如无广东省最新一年度信用等级而上一年度有广东省信用等级的，则其原信用等级可延续一年），信用等级未被评为 D 级；无广东省最新一年度信用评价等级的，在最新一年度的全国综合评价结果未被评为 D 级。</w:t>
            </w:r>
          </w:p>
          <w:p>
            <w:pPr>
              <w:pStyle w:val="2"/>
              <w:rPr>
                <w:rFonts w:hint="eastAsia"/>
                <w:color w:val="auto"/>
                <w:highlight w:val="none"/>
                <w:lang w:val="en-US" w:eastAsia="zh-CN"/>
              </w:rPr>
            </w:pPr>
          </w:p>
          <w:p>
            <w:pPr>
              <w:pStyle w:val="2"/>
              <w:ind w:left="0" w:leftChars="0" w:firstLine="360" w:firstLineChars="200"/>
              <w:rPr>
                <w:rFonts w:hint="eastAsia"/>
                <w:sz w:val="24"/>
                <w:szCs w:val="24"/>
                <w:highlight w:val="none"/>
                <w:lang w:val="en-US" w:eastAsia="zh-CN"/>
              </w:rPr>
            </w:pPr>
            <w:r>
              <w:rPr>
                <w:rFonts w:hint="eastAsia" w:ascii="宋体" w:hAnsi="宋体" w:eastAsia="宋体" w:cs="宋体"/>
                <w:kern w:val="2"/>
                <w:sz w:val="18"/>
                <w:szCs w:val="18"/>
                <w:highlight w:val="none"/>
                <w:lang w:val="en-US" w:eastAsia="zh-CN" w:bidi="ar-SA"/>
              </w:rPr>
              <w:t>注：信用等级指的是项目所在地最新一年度（2024年）省交通运输主管部门的信用评价。初次进入且无广东省最新一年度（2024 年）信用评价等级，以及在全国综合评价结果未被评为 C、D 级的企业，按 B 级对待；如在全国综合评价结果被评为 C、D 级的企业，按全国综合评价结果对待。</w:t>
            </w:r>
          </w:p>
        </w:tc>
      </w:tr>
    </w:tbl>
    <w:p>
      <w:pPr>
        <w:adjustRightInd w:val="0"/>
        <w:snapToGrid w:val="0"/>
        <w:spacing w:line="300" w:lineRule="auto"/>
        <w:jc w:val="center"/>
        <w:rPr>
          <w:rFonts w:hint="eastAsia" w:ascii="宋体" w:hAnsi="宋体"/>
          <w:color w:val="000000"/>
          <w:szCs w:val="21"/>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pStyle w:val="2"/>
        <w:rPr>
          <w:rFonts w:ascii="宋体" w:hAnsi="宋体"/>
          <w:b/>
          <w:bCs/>
          <w:color w:val="000000"/>
          <w:sz w:val="28"/>
          <w:szCs w:val="28"/>
          <w:highlight w:val="none"/>
        </w:rPr>
      </w:pPr>
    </w:p>
    <w:p>
      <w:pPr>
        <w:pStyle w:val="2"/>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p>
    <w:p>
      <w:pPr>
        <w:adjustRightInd w:val="0"/>
        <w:snapToGrid w:val="0"/>
        <w:spacing w:line="360" w:lineRule="auto"/>
        <w:jc w:val="both"/>
        <w:rPr>
          <w:rFonts w:ascii="宋体" w:hAnsi="宋体"/>
          <w:b/>
          <w:bCs/>
          <w:color w:val="000000"/>
          <w:sz w:val="28"/>
          <w:szCs w:val="28"/>
          <w:highlight w:val="none"/>
        </w:rPr>
      </w:pPr>
    </w:p>
    <w:p>
      <w:pPr>
        <w:adjustRightInd w:val="0"/>
        <w:snapToGrid w:val="0"/>
        <w:spacing w:line="360" w:lineRule="auto"/>
        <w:jc w:val="center"/>
        <w:rPr>
          <w:rFonts w:hint="default" w:ascii="宋体" w:hAnsi="宋体"/>
          <w:b/>
          <w:bCs/>
          <w:color w:val="000000"/>
          <w:sz w:val="28"/>
          <w:szCs w:val="28"/>
          <w:highlight w:val="none"/>
        </w:rPr>
      </w:pPr>
      <w:r>
        <w:rPr>
          <w:rFonts w:ascii="宋体" w:hAnsi="宋体"/>
          <w:b/>
          <w:bCs/>
          <w:color w:val="000000"/>
          <w:sz w:val="28"/>
          <w:szCs w:val="28"/>
          <w:highlight w:val="none"/>
        </w:rPr>
        <w:t>附录5  资格审查条件(</w:t>
      </w:r>
      <w:r>
        <w:rPr>
          <w:rFonts w:hint="default" w:ascii="宋体" w:hAnsi="宋体"/>
          <w:b/>
          <w:bCs/>
          <w:color w:val="000000"/>
          <w:sz w:val="28"/>
          <w:szCs w:val="28"/>
          <w:highlight w:val="none"/>
        </w:rPr>
        <w:t>项目经理和</w:t>
      </w:r>
      <w:r>
        <w:rPr>
          <w:rFonts w:hint="eastAsia" w:ascii="宋体" w:hAnsi="宋体"/>
          <w:b/>
          <w:bCs/>
          <w:color w:val="000000"/>
          <w:sz w:val="28"/>
          <w:szCs w:val="28"/>
          <w:highlight w:val="none"/>
          <w:lang w:val="en-US" w:eastAsia="zh-CN"/>
        </w:rPr>
        <w:t>项目总工程师</w:t>
      </w:r>
      <w:r>
        <w:rPr>
          <w:rFonts w:ascii="宋体" w:hAnsi="宋体"/>
          <w:b/>
          <w:bCs/>
          <w:color w:val="000000"/>
          <w:sz w:val="28"/>
          <w:szCs w:val="28"/>
          <w:highlight w:val="none"/>
        </w:rPr>
        <w:t>最低要求)</w:t>
      </w:r>
      <w:r>
        <w:rPr>
          <w:rFonts w:hint="default" w:ascii="宋体" w:hAnsi="宋体"/>
          <w:b/>
          <w:bCs/>
          <w:color w:val="000000"/>
          <w:sz w:val="28"/>
          <w:szCs w:val="28"/>
          <w:highlight w:val="none"/>
        </w:rPr>
        <w:t xml:space="preserve"> </w:t>
      </w:r>
    </w:p>
    <w:tbl>
      <w:tblPr>
        <w:tblStyle w:val="7"/>
        <w:tblW w:w="931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5"/>
        <w:gridCol w:w="1271"/>
        <w:gridCol w:w="5159"/>
        <w:gridCol w:w="17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91" w:hRule="atLeast"/>
          <w:jc w:val="center"/>
        </w:trPr>
        <w:tc>
          <w:tcPr>
            <w:tcW w:w="1105"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人员</w:t>
            </w:r>
          </w:p>
        </w:tc>
        <w:tc>
          <w:tcPr>
            <w:tcW w:w="1271"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数量（人）</w:t>
            </w:r>
          </w:p>
        </w:tc>
        <w:tc>
          <w:tcPr>
            <w:tcW w:w="5159"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资质要求</w:t>
            </w:r>
          </w:p>
        </w:tc>
        <w:tc>
          <w:tcPr>
            <w:tcW w:w="1783" w:type="dxa"/>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525" w:hRule="atLeast"/>
          <w:jc w:val="center"/>
        </w:trPr>
        <w:tc>
          <w:tcPr>
            <w:tcW w:w="1105"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项目经理</w:t>
            </w:r>
          </w:p>
        </w:tc>
        <w:tc>
          <w:tcPr>
            <w:tcW w:w="1271"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1</w:t>
            </w:r>
          </w:p>
        </w:tc>
        <w:tc>
          <w:tcPr>
            <w:tcW w:w="5159" w:type="dxa"/>
            <w:vAlign w:val="center"/>
          </w:tcPr>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机电工程师以上职称；</w:t>
            </w:r>
          </w:p>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至少担任过两项高速公路机电工程施工项目的项目经理（单项合同金额为100万及以上）；</w:t>
            </w:r>
          </w:p>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持有住房和城乡建设部颁发的公路工程或机电工程专业壹级建造师注册证书（不含临时资格证书）；</w:t>
            </w:r>
          </w:p>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有交通运输主管部门颁发的安全生产“三类人员”B类证书；</w:t>
            </w:r>
          </w:p>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年龄不超过55岁。</w:t>
            </w:r>
          </w:p>
        </w:tc>
        <w:tc>
          <w:tcPr>
            <w:tcW w:w="1783" w:type="dxa"/>
            <w:vMerge w:val="restart"/>
            <w:vAlign w:val="center"/>
          </w:tcPr>
          <w:p>
            <w:pPr>
              <w:adjustRightInd w:val="0"/>
              <w:snapToGrid w:val="0"/>
              <w:spacing w:line="240" w:lineRule="auto"/>
              <w:rPr>
                <w:rFonts w:hint="eastAsia" w:ascii="宋体" w:hAnsi="宋体"/>
                <w:color w:val="000000"/>
                <w:szCs w:val="21"/>
                <w:highlight w:val="none"/>
              </w:rPr>
            </w:pPr>
            <w:r>
              <w:rPr>
                <w:rFonts w:hint="eastAsia" w:ascii="宋体" w:hAnsi="宋体"/>
                <w:color w:val="000000"/>
                <w:szCs w:val="21"/>
                <w:highlight w:val="none"/>
              </w:rPr>
              <w:t>无在岗项目（指目前未在其他项目上任职，或虽在其他项目上任职但本项目中标后能够从该项目撤离）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839" w:hRule="atLeast"/>
          <w:jc w:val="center"/>
        </w:trPr>
        <w:tc>
          <w:tcPr>
            <w:tcW w:w="1105" w:type="dxa"/>
            <w:vAlign w:val="center"/>
          </w:tcPr>
          <w:p>
            <w:pPr>
              <w:spacing w:line="240" w:lineRule="auto"/>
              <w:jc w:val="center"/>
              <w:rPr>
                <w:rFonts w:hint="eastAsia" w:ascii="宋体" w:hAnsi="宋体"/>
                <w:color w:val="000000"/>
                <w:szCs w:val="21"/>
                <w:highlight w:val="none"/>
              </w:rPr>
            </w:pPr>
            <w:r>
              <w:rPr>
                <w:rFonts w:hint="eastAsia" w:ascii="宋体" w:hAnsi="宋体" w:cs="宋体"/>
                <w:szCs w:val="21"/>
                <w:highlight w:val="none"/>
              </w:rPr>
              <w:t>项目总工程师</w:t>
            </w:r>
          </w:p>
        </w:tc>
        <w:tc>
          <w:tcPr>
            <w:tcW w:w="1271" w:type="dxa"/>
            <w:vAlign w:val="center"/>
          </w:tcPr>
          <w:p>
            <w:pPr>
              <w:spacing w:line="240" w:lineRule="auto"/>
              <w:jc w:val="center"/>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w:t>
            </w:r>
          </w:p>
        </w:tc>
        <w:tc>
          <w:tcPr>
            <w:tcW w:w="5159" w:type="dxa"/>
            <w:vAlign w:val="center"/>
          </w:tcPr>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机电高级工程师；</w:t>
            </w:r>
          </w:p>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至少担任过两项高速公路机电工程施工项目的总工程师；</w:t>
            </w:r>
          </w:p>
          <w:p>
            <w:pPr>
              <w:spacing w:line="24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年龄不超过55岁。</w:t>
            </w:r>
          </w:p>
        </w:tc>
        <w:tc>
          <w:tcPr>
            <w:tcW w:w="1783" w:type="dxa"/>
            <w:vMerge w:val="continue"/>
            <w:vAlign w:val="center"/>
          </w:tcPr>
          <w:p>
            <w:pPr>
              <w:adjustRightInd w:val="0"/>
              <w:snapToGrid w:val="0"/>
              <w:spacing w:line="240" w:lineRule="auto"/>
              <w:rPr>
                <w:rFonts w:hint="eastAsia" w:ascii="宋体" w:hAnsi="宋体"/>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85" w:hRule="atLeast"/>
          <w:jc w:val="center"/>
        </w:trPr>
        <w:tc>
          <w:tcPr>
            <w:tcW w:w="9318" w:type="dxa"/>
            <w:gridSpan w:val="4"/>
            <w:vAlign w:val="center"/>
          </w:tcPr>
          <w:p>
            <w:pPr>
              <w:numPr>
                <w:ilvl w:val="0"/>
                <w:numId w:val="0"/>
              </w:numPr>
              <w:spacing w:line="360" w:lineRule="auto"/>
              <w:ind w:firstLine="360" w:firstLineChars="200"/>
              <w:rPr>
                <w:rFonts w:hint="eastAsia" w:ascii="宋体" w:hAnsi="宋体" w:eastAsia="宋体" w:cs="Times New Roman"/>
                <w:color w:val="000000"/>
                <w:sz w:val="18"/>
                <w:szCs w:val="18"/>
                <w:highlight w:val="none"/>
                <w:lang w:val="en-US" w:eastAsia="zh-CN"/>
              </w:rPr>
            </w:pPr>
          </w:p>
          <w:p>
            <w:pPr>
              <w:numPr>
                <w:ilvl w:val="0"/>
                <w:numId w:val="0"/>
              </w:numPr>
              <w:spacing w:line="360" w:lineRule="auto"/>
              <w:ind w:firstLine="360" w:firstLineChars="200"/>
              <w:rPr>
                <w:rFonts w:hint="eastAsia" w:ascii="宋体" w:hAnsi="宋体" w:eastAsia="宋体" w:cs="Times New Roman"/>
                <w:color w:val="000000"/>
                <w:sz w:val="18"/>
                <w:szCs w:val="18"/>
                <w:highlight w:val="none"/>
                <w:lang w:val="en-US" w:eastAsia="zh-CN"/>
              </w:rPr>
            </w:pPr>
            <w:r>
              <w:rPr>
                <w:rFonts w:hint="eastAsia" w:ascii="宋体" w:hAnsi="宋体" w:eastAsia="宋体" w:cs="Times New Roman"/>
                <w:color w:val="000000"/>
                <w:sz w:val="18"/>
                <w:szCs w:val="18"/>
                <w:highlight w:val="none"/>
                <w:lang w:val="en-US" w:eastAsia="zh-CN"/>
              </w:rPr>
              <w:t>注：1、“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社保证明应含（社保时段为投标文件递交截止日前半年时间内连续不少于三个月）时间的社保，且应清晰反映参保时间。</w:t>
            </w:r>
          </w:p>
          <w:p>
            <w:pPr>
              <w:numPr>
                <w:ilvl w:val="0"/>
                <w:numId w:val="0"/>
              </w:numPr>
              <w:spacing w:line="360" w:lineRule="auto"/>
              <w:ind w:firstLine="360" w:firstLineChars="200"/>
              <w:rPr>
                <w:rFonts w:hint="eastAsia" w:ascii="宋体" w:hAnsi="宋体" w:eastAsia="宋体" w:cs="Times New Roman"/>
                <w:color w:val="000000"/>
                <w:sz w:val="18"/>
                <w:szCs w:val="18"/>
                <w:highlight w:val="none"/>
                <w:lang w:val="en-US" w:eastAsia="zh-CN"/>
              </w:rPr>
            </w:pPr>
            <w:r>
              <w:rPr>
                <w:rFonts w:hint="eastAsia" w:ascii="宋体" w:hAnsi="宋体" w:eastAsia="宋体" w:cs="Times New Roman"/>
                <w:color w:val="000000"/>
                <w:sz w:val="18"/>
                <w:szCs w:val="18"/>
                <w:highlight w:val="none"/>
                <w:lang w:val="en-US" w:eastAsia="zh-CN"/>
              </w:rPr>
              <w:t>“拟委任的项目经理和项目总工资历表”还应附交通运输部“全国公路建设市场信用信息管理系统”中载明的、能够证明项目经理和项目总工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中的信息无法证实投标人满足招标文件规定的资格审查条件（项目经理和项目总工最低要求），则该业绩不予认定。</w:t>
            </w:r>
          </w:p>
          <w:p>
            <w:pPr>
              <w:numPr>
                <w:ilvl w:val="0"/>
                <w:numId w:val="0"/>
              </w:numPr>
              <w:spacing w:line="360" w:lineRule="auto"/>
              <w:ind w:firstLine="360" w:firstLineChars="200"/>
              <w:rPr>
                <w:rFonts w:hint="default" w:ascii="宋体" w:hAnsi="宋体" w:eastAsia="宋体" w:cs="Times New Roman"/>
                <w:color w:val="000000"/>
                <w:sz w:val="18"/>
                <w:szCs w:val="18"/>
                <w:highlight w:val="none"/>
                <w:lang w:val="en-US" w:eastAsia="zh-CN"/>
              </w:rPr>
            </w:pPr>
            <w:r>
              <w:rPr>
                <w:rFonts w:hint="default" w:ascii="宋体" w:hAnsi="宋体" w:eastAsia="宋体" w:cs="Times New Roman"/>
                <w:color w:val="000000"/>
                <w:sz w:val="18"/>
                <w:szCs w:val="18"/>
                <w:highlight w:val="none"/>
                <w:lang w:val="en-US" w:eastAsia="zh-CN"/>
              </w:rPr>
              <w:t>如项目经理或项目总工目前仍在其他项目上任职，则投标人应提供由该项目发包人出具的、承诺上述人员能够从该项目撤离的书面证明材料原件。</w:t>
            </w:r>
          </w:p>
          <w:p>
            <w:pPr>
              <w:numPr>
                <w:ilvl w:val="0"/>
                <w:numId w:val="0"/>
              </w:numPr>
              <w:spacing w:line="360" w:lineRule="auto"/>
              <w:ind w:firstLine="360" w:firstLineChars="200"/>
              <w:rPr>
                <w:rFonts w:hint="default" w:ascii="宋体" w:hAnsi="宋体" w:eastAsia="宋体" w:cs="Times New Roman"/>
                <w:color w:val="000000"/>
                <w:sz w:val="18"/>
                <w:szCs w:val="18"/>
                <w:highlight w:val="none"/>
                <w:lang w:val="en-US" w:eastAsia="zh-CN"/>
              </w:rPr>
            </w:pPr>
            <w:r>
              <w:rPr>
                <w:rFonts w:hint="eastAsia" w:ascii="宋体" w:hAnsi="宋体" w:eastAsia="宋体" w:cs="Times New Roman"/>
                <w:color w:val="000000"/>
                <w:sz w:val="18"/>
                <w:szCs w:val="18"/>
                <w:highlight w:val="none"/>
                <w:lang w:val="en-US" w:eastAsia="zh-CN"/>
              </w:rPr>
              <w:t>2、上述安全生产“三类人员”B 类证书应在交通运输部相关网站注册，且应注册在投标人所在单位，否则视为无效。投标人应附相应注册网页屏幕打印资料。</w:t>
            </w:r>
          </w:p>
          <w:p>
            <w:pPr>
              <w:numPr>
                <w:ilvl w:val="0"/>
                <w:numId w:val="0"/>
              </w:numPr>
              <w:spacing w:line="360" w:lineRule="auto"/>
              <w:ind w:firstLine="360" w:firstLineChars="200"/>
              <w:rPr>
                <w:rFonts w:hint="default" w:ascii="宋体" w:hAnsi="宋体" w:eastAsia="宋体" w:cs="Times New Roman"/>
                <w:color w:val="000000"/>
                <w:sz w:val="18"/>
                <w:szCs w:val="18"/>
                <w:highlight w:val="none"/>
                <w:lang w:val="en-US" w:eastAsia="zh-CN"/>
              </w:rPr>
            </w:pPr>
            <w:r>
              <w:rPr>
                <w:rFonts w:hint="eastAsia" w:ascii="宋体" w:hAnsi="宋体" w:eastAsia="宋体" w:cs="Times New Roman"/>
                <w:color w:val="000000"/>
                <w:sz w:val="18"/>
                <w:szCs w:val="18"/>
                <w:highlight w:val="none"/>
                <w:lang w:val="en-US" w:eastAsia="zh-CN"/>
              </w:rPr>
              <w:t>3、</w:t>
            </w:r>
            <w:r>
              <w:rPr>
                <w:rFonts w:hint="eastAsia" w:ascii="宋体" w:hAnsi="宋体"/>
                <w:b/>
                <w:bCs/>
                <w:color w:val="000000"/>
                <w:szCs w:val="21"/>
                <w:highlight w:val="none"/>
              </w:rPr>
              <w:t>拟委任项目经理和项目总工程师须在第</w:t>
            </w:r>
            <w:r>
              <w:rPr>
                <w:rFonts w:hint="eastAsia" w:ascii="宋体" w:hAnsi="宋体"/>
                <w:b/>
                <w:bCs/>
                <w:color w:val="000000"/>
                <w:szCs w:val="21"/>
                <w:highlight w:val="none"/>
                <w:lang w:val="en-US" w:eastAsia="zh-CN"/>
              </w:rPr>
              <w:t>八</w:t>
            </w:r>
            <w:r>
              <w:rPr>
                <w:rFonts w:hint="eastAsia" w:ascii="宋体" w:hAnsi="宋体"/>
                <w:b/>
                <w:bCs/>
                <w:color w:val="000000"/>
                <w:szCs w:val="21"/>
                <w:highlight w:val="none"/>
              </w:rPr>
              <w:t>章投标文件格式“（六）拟委任的项目经理和项目总工程师资历表”上签字确认。</w:t>
            </w:r>
          </w:p>
          <w:p>
            <w:pPr>
              <w:numPr>
                <w:ilvl w:val="0"/>
                <w:numId w:val="0"/>
              </w:numPr>
              <w:spacing w:line="360" w:lineRule="auto"/>
              <w:ind w:firstLine="420" w:firstLineChars="200"/>
              <w:rPr>
                <w:rFonts w:hint="eastAsia" w:ascii="宋体" w:hAnsi="宋体"/>
                <w:color w:val="000000"/>
                <w:szCs w:val="21"/>
                <w:highlight w:val="none"/>
              </w:rPr>
            </w:pPr>
          </w:p>
        </w:tc>
      </w:tr>
    </w:tbl>
    <w:p>
      <w:pPr>
        <w:adjustRightInd w:val="0"/>
        <w:snapToGrid w:val="0"/>
        <w:spacing w:line="360" w:lineRule="auto"/>
        <w:jc w:val="center"/>
        <w:rPr>
          <w:rFonts w:hint="eastAsia" w:ascii="宋体" w:hAnsi="宋体"/>
          <w:b/>
          <w:bCs/>
          <w:color w:val="000000"/>
          <w:sz w:val="28"/>
          <w:szCs w:val="28"/>
          <w:highlight w:val="none"/>
        </w:rPr>
      </w:pPr>
      <w:bookmarkStart w:id="2" w:name="_Toc467743962"/>
      <w:bookmarkStart w:id="3" w:name="_Toc346891122"/>
      <w:bookmarkStart w:id="4" w:name="_Toc467744166"/>
      <w:bookmarkStart w:id="5" w:name="_Toc465783934"/>
      <w:bookmarkStart w:id="6" w:name="_Toc343507780"/>
      <w:bookmarkStart w:id="7" w:name="_Toc467702454"/>
      <w:bookmarkStart w:id="8" w:name="_Toc467701909"/>
    </w:p>
    <w:p>
      <w:pPr>
        <w:pStyle w:val="2"/>
        <w:rPr>
          <w:rFonts w:hint="eastAsia" w:ascii="宋体" w:hAnsi="宋体"/>
          <w:b/>
          <w:bCs/>
          <w:color w:val="000000"/>
          <w:sz w:val="28"/>
          <w:szCs w:val="28"/>
          <w:highlight w:val="none"/>
        </w:rPr>
      </w:pPr>
    </w:p>
    <w:p>
      <w:pPr>
        <w:pStyle w:val="2"/>
        <w:rPr>
          <w:rFonts w:hint="eastAsia" w:ascii="宋体" w:hAnsi="宋体"/>
          <w:b/>
          <w:bCs/>
          <w:color w:val="000000"/>
          <w:sz w:val="28"/>
          <w:szCs w:val="28"/>
          <w:highlight w:val="none"/>
        </w:rPr>
      </w:pPr>
    </w:p>
    <w:p>
      <w:pPr>
        <w:pStyle w:val="2"/>
        <w:rPr>
          <w:rFonts w:hint="eastAsia" w:ascii="宋体" w:hAnsi="宋体"/>
          <w:b/>
          <w:bCs/>
          <w:color w:val="000000"/>
          <w:sz w:val="28"/>
          <w:szCs w:val="28"/>
          <w:highlight w:val="none"/>
        </w:rPr>
      </w:pPr>
    </w:p>
    <w:p>
      <w:pPr>
        <w:pStyle w:val="2"/>
        <w:rPr>
          <w:rFonts w:hint="eastAsia" w:ascii="宋体" w:hAnsi="宋体"/>
          <w:b/>
          <w:bCs/>
          <w:color w:val="000000"/>
          <w:sz w:val="28"/>
          <w:szCs w:val="28"/>
          <w:highlight w:val="none"/>
        </w:rPr>
      </w:pPr>
    </w:p>
    <w:p>
      <w:pPr>
        <w:pStyle w:val="2"/>
        <w:rPr>
          <w:rFonts w:hint="eastAsia" w:ascii="宋体" w:hAnsi="宋体"/>
          <w:b/>
          <w:bCs/>
          <w:color w:val="000000"/>
          <w:sz w:val="28"/>
          <w:szCs w:val="28"/>
          <w:highlight w:val="none"/>
        </w:rPr>
      </w:pPr>
    </w:p>
    <w:p>
      <w:pPr>
        <w:pStyle w:val="2"/>
        <w:rPr>
          <w:rFonts w:hint="eastAsia" w:ascii="宋体" w:hAnsi="宋体"/>
          <w:b/>
          <w:bCs/>
          <w:color w:val="000000"/>
          <w:sz w:val="28"/>
          <w:szCs w:val="28"/>
          <w:highlight w:val="none"/>
        </w:rPr>
      </w:pPr>
    </w:p>
    <w:p>
      <w:pPr>
        <w:adjustRightInd w:val="0"/>
        <w:snapToGrid w:val="0"/>
        <w:spacing w:line="360" w:lineRule="auto"/>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附录6  资格审查条件(其他主要管理人员和技术人员最低要求)</w:t>
      </w:r>
      <w:bookmarkEnd w:id="2"/>
      <w:bookmarkEnd w:id="3"/>
      <w:bookmarkEnd w:id="4"/>
      <w:bookmarkEnd w:id="5"/>
      <w:bookmarkEnd w:id="6"/>
      <w:bookmarkEnd w:id="7"/>
      <w:bookmarkEnd w:id="8"/>
      <w:r>
        <w:rPr>
          <w:rFonts w:hint="eastAsia" w:ascii="宋体" w:hAnsi="宋体"/>
          <w:b/>
          <w:bCs/>
          <w:color w:val="000000"/>
          <w:sz w:val="28"/>
          <w:szCs w:val="28"/>
          <w:highlight w:val="none"/>
        </w:rPr>
        <w:t xml:space="preserve"> </w:t>
      </w:r>
    </w:p>
    <w:tbl>
      <w:tblPr>
        <w:tblStyle w:val="7"/>
        <w:tblW w:w="926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4"/>
        <w:gridCol w:w="1460"/>
        <w:gridCol w:w="4620"/>
        <w:gridCol w:w="18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70" w:hRule="atLeast"/>
          <w:jc w:val="center"/>
        </w:trPr>
        <w:tc>
          <w:tcPr>
            <w:tcW w:w="1304" w:type="dxa"/>
            <w:vAlign w:val="center"/>
          </w:tcPr>
          <w:p>
            <w:pPr>
              <w:adjustRightInd w:val="0"/>
              <w:snapToGrid w:val="0"/>
              <w:spacing w:line="360" w:lineRule="exact"/>
              <w:jc w:val="center"/>
              <w:rPr>
                <w:rFonts w:ascii="宋体" w:hAnsi="宋体"/>
                <w:color w:val="000000"/>
                <w:sz w:val="21"/>
                <w:szCs w:val="21"/>
                <w:highlight w:val="none"/>
              </w:rPr>
            </w:pPr>
            <w:r>
              <w:rPr>
                <w:rFonts w:hint="eastAsia" w:ascii="宋体" w:hAnsi="宋体"/>
                <w:color w:val="000000"/>
                <w:sz w:val="21"/>
                <w:szCs w:val="21"/>
                <w:highlight w:val="none"/>
              </w:rPr>
              <w:t>人员</w:t>
            </w:r>
          </w:p>
        </w:tc>
        <w:tc>
          <w:tcPr>
            <w:tcW w:w="1460" w:type="dxa"/>
            <w:vAlign w:val="center"/>
          </w:tcPr>
          <w:p>
            <w:pPr>
              <w:adjustRightInd w:val="0"/>
              <w:snapToGrid w:val="0"/>
              <w:spacing w:line="360" w:lineRule="exact"/>
              <w:jc w:val="center"/>
              <w:rPr>
                <w:rFonts w:ascii="宋体" w:hAnsi="宋体"/>
                <w:color w:val="000000"/>
                <w:sz w:val="21"/>
                <w:szCs w:val="21"/>
                <w:highlight w:val="none"/>
              </w:rPr>
            </w:pPr>
            <w:r>
              <w:rPr>
                <w:rFonts w:hint="eastAsia" w:ascii="宋体" w:hAnsi="宋体"/>
                <w:color w:val="000000"/>
                <w:sz w:val="21"/>
                <w:szCs w:val="21"/>
                <w:highlight w:val="none"/>
              </w:rPr>
              <w:t>数量（人）</w:t>
            </w:r>
          </w:p>
        </w:tc>
        <w:tc>
          <w:tcPr>
            <w:tcW w:w="4620" w:type="dxa"/>
            <w:vAlign w:val="center"/>
          </w:tcPr>
          <w:p>
            <w:pPr>
              <w:adjustRightInd w:val="0"/>
              <w:snapToGrid w:val="0"/>
              <w:spacing w:line="360" w:lineRule="exact"/>
              <w:jc w:val="center"/>
              <w:rPr>
                <w:rFonts w:ascii="宋体" w:hAnsi="宋体"/>
                <w:color w:val="000000"/>
                <w:sz w:val="21"/>
                <w:szCs w:val="21"/>
                <w:highlight w:val="none"/>
              </w:rPr>
            </w:pPr>
            <w:r>
              <w:rPr>
                <w:rFonts w:hint="eastAsia" w:ascii="宋体" w:hAnsi="宋体"/>
                <w:color w:val="000000"/>
                <w:sz w:val="21"/>
                <w:szCs w:val="21"/>
                <w:highlight w:val="none"/>
              </w:rPr>
              <w:t>资质要求</w:t>
            </w:r>
          </w:p>
        </w:tc>
        <w:tc>
          <w:tcPr>
            <w:tcW w:w="1876" w:type="dxa"/>
            <w:vAlign w:val="center"/>
          </w:tcPr>
          <w:p>
            <w:pPr>
              <w:adjustRightInd w:val="0"/>
              <w:snapToGrid w:val="0"/>
              <w:spacing w:line="360" w:lineRule="exact"/>
              <w:jc w:val="center"/>
              <w:rPr>
                <w:rFonts w:hint="eastAsia" w:ascii="宋体" w:hAnsi="宋体"/>
                <w:color w:val="000000"/>
                <w:sz w:val="21"/>
                <w:szCs w:val="21"/>
                <w:highlight w:val="none"/>
              </w:rPr>
            </w:pPr>
            <w:r>
              <w:rPr>
                <w:rFonts w:hint="eastAsia" w:ascii="宋体" w:hAnsi="宋体"/>
                <w:color w:val="000000"/>
                <w:sz w:val="21"/>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0" w:hRule="atLeast"/>
          <w:jc w:val="center"/>
        </w:trPr>
        <w:tc>
          <w:tcPr>
            <w:tcW w:w="1304" w:type="dxa"/>
            <w:vAlign w:val="center"/>
          </w:tcPr>
          <w:p>
            <w:pPr>
              <w:spacing w:line="300" w:lineRule="auto"/>
              <w:jc w:val="center"/>
              <w:rPr>
                <w:rFonts w:ascii="宋体" w:hAnsi="宋体"/>
                <w:color w:val="000000"/>
                <w:sz w:val="21"/>
                <w:szCs w:val="21"/>
                <w:highlight w:val="none"/>
              </w:rPr>
            </w:pPr>
            <w:r>
              <w:rPr>
                <w:rFonts w:hint="eastAsia" w:ascii="宋体" w:hAnsi="宋体" w:cs="宋体"/>
                <w:sz w:val="21"/>
                <w:szCs w:val="21"/>
                <w:highlight w:val="none"/>
              </w:rPr>
              <w:t>技术主管</w:t>
            </w:r>
          </w:p>
        </w:tc>
        <w:tc>
          <w:tcPr>
            <w:tcW w:w="1460" w:type="dxa"/>
            <w:vAlign w:val="center"/>
          </w:tcPr>
          <w:p>
            <w:pPr>
              <w:adjustRightInd w:val="0"/>
              <w:snapToGrid w:val="0"/>
              <w:spacing w:line="300" w:lineRule="auto"/>
              <w:jc w:val="center"/>
              <w:rPr>
                <w:rFonts w:ascii="宋体" w:hAnsi="宋体"/>
                <w:color w:val="000000"/>
                <w:sz w:val="21"/>
                <w:szCs w:val="21"/>
                <w:highlight w:val="none"/>
              </w:rPr>
            </w:pPr>
            <w:r>
              <w:rPr>
                <w:rFonts w:hint="eastAsia" w:ascii="宋体" w:hAnsi="宋体" w:cs="宋体"/>
                <w:sz w:val="21"/>
                <w:szCs w:val="21"/>
                <w:highlight w:val="none"/>
                <w:lang w:val="en-US" w:eastAsia="zh-CN"/>
              </w:rPr>
              <w:t>2</w:t>
            </w:r>
          </w:p>
        </w:tc>
        <w:tc>
          <w:tcPr>
            <w:tcW w:w="4620" w:type="dxa"/>
            <w:vAlign w:val="center"/>
          </w:tcPr>
          <w:p>
            <w:pPr>
              <w:spacing w:line="360" w:lineRule="exact"/>
              <w:rPr>
                <w:rFonts w:ascii="宋体" w:hAnsi="宋体"/>
                <w:color w:val="000000"/>
                <w:sz w:val="21"/>
                <w:szCs w:val="21"/>
                <w:highlight w:val="none"/>
              </w:rPr>
            </w:pPr>
            <w:r>
              <w:rPr>
                <w:rFonts w:hint="eastAsia" w:ascii="宋体" w:hAnsi="宋体" w:cs="宋体"/>
                <w:sz w:val="21"/>
                <w:szCs w:val="21"/>
                <w:highlight w:val="none"/>
              </w:rPr>
              <w:t>助理工程师</w:t>
            </w:r>
            <w:r>
              <w:rPr>
                <w:rFonts w:hint="eastAsia" w:ascii="宋体" w:hAnsi="宋体" w:cs="宋体"/>
                <w:sz w:val="21"/>
                <w:szCs w:val="21"/>
                <w:highlight w:val="none"/>
                <w:lang w:val="en-US" w:eastAsia="zh-CN"/>
              </w:rPr>
              <w:t>或以上职称</w:t>
            </w:r>
            <w:r>
              <w:rPr>
                <w:rFonts w:hint="eastAsia" w:ascii="宋体" w:hAnsi="宋体" w:cs="宋体"/>
                <w:sz w:val="21"/>
                <w:szCs w:val="21"/>
                <w:highlight w:val="none"/>
              </w:rPr>
              <w:t>，从事类似工程2年以上。</w:t>
            </w:r>
          </w:p>
        </w:tc>
        <w:tc>
          <w:tcPr>
            <w:tcW w:w="1876" w:type="dxa"/>
            <w:vMerge w:val="restart"/>
            <w:vAlign w:val="center"/>
          </w:tcPr>
          <w:p>
            <w:pPr>
              <w:adjustRightInd w:val="0"/>
              <w:snapToGrid w:val="0"/>
              <w:spacing w:line="360" w:lineRule="exact"/>
              <w:rPr>
                <w:rFonts w:hint="eastAsia" w:ascii="宋体" w:hAnsi="宋体"/>
                <w:color w:val="000000"/>
                <w:sz w:val="21"/>
                <w:szCs w:val="21"/>
                <w:highlight w:val="none"/>
              </w:rPr>
            </w:pPr>
            <w:r>
              <w:rPr>
                <w:rFonts w:hint="eastAsia" w:ascii="宋体" w:hAnsi="宋体"/>
                <w:color w:val="000000"/>
                <w:sz w:val="21"/>
                <w:szCs w:val="21"/>
                <w:highlight w:val="none"/>
              </w:rPr>
              <w:t>无在岗项目（指目前未在其他项目上任职，或虽在其他项目上任职但本项目中标后能够从该项目撤离）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5" w:hRule="atLeast"/>
          <w:jc w:val="center"/>
        </w:trPr>
        <w:tc>
          <w:tcPr>
            <w:tcW w:w="1304" w:type="dxa"/>
            <w:vAlign w:val="center"/>
          </w:tcPr>
          <w:p>
            <w:pPr>
              <w:spacing w:line="300" w:lineRule="auto"/>
              <w:jc w:val="center"/>
              <w:rPr>
                <w:rFonts w:hint="eastAsia" w:ascii="宋体" w:hAnsi="宋体"/>
                <w:color w:val="000000"/>
                <w:sz w:val="21"/>
                <w:szCs w:val="21"/>
                <w:highlight w:val="none"/>
              </w:rPr>
            </w:pPr>
            <w:r>
              <w:rPr>
                <w:rFonts w:hint="eastAsia" w:ascii="宋体" w:hAnsi="宋体" w:cs="宋体"/>
                <w:sz w:val="21"/>
                <w:szCs w:val="21"/>
                <w:highlight w:val="none"/>
              </w:rPr>
              <w:t>专职安全员</w:t>
            </w:r>
          </w:p>
        </w:tc>
        <w:tc>
          <w:tcPr>
            <w:tcW w:w="1460" w:type="dxa"/>
            <w:vAlign w:val="center"/>
          </w:tcPr>
          <w:p>
            <w:pPr>
              <w:adjustRightInd w:val="0"/>
              <w:snapToGrid w:val="0"/>
              <w:spacing w:line="300" w:lineRule="auto"/>
              <w:jc w:val="center"/>
              <w:rPr>
                <w:rFonts w:hint="eastAsia" w:ascii="宋体" w:hAnsi="宋体"/>
                <w:color w:val="000000"/>
                <w:sz w:val="21"/>
                <w:szCs w:val="21"/>
                <w:highlight w:val="none"/>
              </w:rPr>
            </w:pPr>
            <w:r>
              <w:rPr>
                <w:rFonts w:hint="eastAsia" w:ascii="宋体" w:hAnsi="宋体" w:cs="宋体"/>
                <w:sz w:val="21"/>
                <w:szCs w:val="21"/>
                <w:highlight w:val="none"/>
              </w:rPr>
              <w:t>1</w:t>
            </w:r>
          </w:p>
        </w:tc>
        <w:tc>
          <w:tcPr>
            <w:tcW w:w="4620" w:type="dxa"/>
            <w:vAlign w:val="center"/>
          </w:tcPr>
          <w:p>
            <w:pPr>
              <w:rPr>
                <w:rFonts w:hint="eastAsia" w:ascii="宋体" w:hAnsi="宋体"/>
                <w:color w:val="000000"/>
                <w:sz w:val="21"/>
                <w:szCs w:val="21"/>
                <w:highlight w:val="none"/>
              </w:rPr>
            </w:pPr>
            <w:r>
              <w:rPr>
                <w:rFonts w:hint="eastAsia" w:ascii="宋体" w:hAnsi="宋体" w:cs="宋体"/>
                <w:sz w:val="21"/>
                <w:szCs w:val="21"/>
                <w:highlight w:val="none"/>
              </w:rPr>
              <w:t>具有国家或广东省相关部门颁发的安全生产“三类人员”C 类证书，具有3年类似工程工作经验。</w:t>
            </w:r>
          </w:p>
        </w:tc>
        <w:tc>
          <w:tcPr>
            <w:tcW w:w="1876" w:type="dxa"/>
            <w:vMerge w:val="continue"/>
            <w:vAlign w:val="center"/>
          </w:tcPr>
          <w:p>
            <w:pPr>
              <w:adjustRightInd w:val="0"/>
              <w:snapToGrid w:val="0"/>
              <w:spacing w:line="360" w:lineRule="exact"/>
              <w:rPr>
                <w:rFonts w:hint="eastAsia" w:ascii="宋体" w:hAnsi="宋体"/>
                <w:color w:val="000000"/>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5" w:hRule="atLeast"/>
          <w:jc w:val="center"/>
        </w:trPr>
        <w:tc>
          <w:tcPr>
            <w:tcW w:w="926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360" w:firstLineChars="200"/>
              <w:jc w:val="both"/>
              <w:textAlignment w:val="auto"/>
              <w:outlineLvl w:val="9"/>
              <w:rPr>
                <w:rFonts w:hint="eastAsia" w:ascii="宋体" w:hAnsi="宋体" w:cs="宋体"/>
                <w:color w:val="000000"/>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360" w:firstLineChars="200"/>
              <w:jc w:val="both"/>
              <w:textAlignment w:val="auto"/>
              <w:outlineLvl w:val="9"/>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注：1、该表要求的人员按要求附</w:t>
            </w:r>
            <w:r>
              <w:rPr>
                <w:rFonts w:hint="eastAsia" w:ascii="宋体" w:hAnsi="宋体" w:cs="宋体"/>
                <w:b/>
                <w:bCs/>
                <w:color w:val="000000"/>
                <w:sz w:val="18"/>
                <w:szCs w:val="18"/>
                <w:highlight w:val="none"/>
                <w:lang w:val="en-US" w:eastAsia="zh-CN"/>
              </w:rPr>
              <w:t>“拟投入本标段的人员及设备投入承诺函”承诺</w:t>
            </w:r>
            <w:r>
              <w:rPr>
                <w:rFonts w:hint="eastAsia" w:ascii="宋体" w:hAnsi="宋体" w:cs="宋体"/>
                <w:color w:val="000000"/>
                <w:sz w:val="18"/>
                <w:szCs w:val="18"/>
                <w:highlight w:val="none"/>
                <w:lang w:val="en-US" w:eastAsia="zh-CN"/>
              </w:rPr>
              <w:t>即可，中标人在进场前向招标人提交实际投入的人员名单。</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outlineLvl w:val="9"/>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2、申请人中标后专职安全生产管理人员的配备应按照交通部《公路水运工程安全生产监督管理办法(交通运输部令 2017 年第 25 号)的要求执行。招标人可根据项目的工期和进度，按规定设置最低的专职安全生产管理人员数量要求。</w:t>
            </w:r>
          </w:p>
          <w:p>
            <w:pPr>
              <w:keepNext w:val="0"/>
              <w:keepLines w:val="0"/>
              <w:pageBreakBefore w:val="0"/>
              <w:widowControl w:val="0"/>
              <w:kinsoku/>
              <w:wordWrap/>
              <w:overflowPunct/>
              <w:topLinePunct w:val="0"/>
              <w:autoSpaceDE/>
              <w:autoSpaceDN/>
              <w:bidi w:val="0"/>
              <w:adjustRightInd/>
              <w:snapToGrid/>
              <w:spacing w:line="360" w:lineRule="auto"/>
              <w:ind w:left="0" w:firstLine="360" w:firstLineChars="200"/>
              <w:jc w:val="both"/>
              <w:textAlignment w:val="auto"/>
              <w:outlineLvl w:val="9"/>
              <w:rPr>
                <w:rFonts w:hint="eastAsia" w:ascii="宋体" w:hAnsi="宋体"/>
                <w:color w:val="000000"/>
                <w:sz w:val="21"/>
                <w:szCs w:val="21"/>
                <w:highlight w:val="none"/>
              </w:rPr>
            </w:pPr>
            <w:r>
              <w:rPr>
                <w:rFonts w:hint="eastAsia" w:ascii="宋体" w:hAnsi="宋体" w:cs="宋体"/>
                <w:color w:val="000000"/>
                <w:sz w:val="18"/>
                <w:szCs w:val="18"/>
                <w:highlight w:val="none"/>
                <w:lang w:val="en-US" w:eastAsia="zh-CN"/>
              </w:rPr>
              <w:t>3、工程实施过程中，招标人根据实际需要，要求投标人增加主要管理人员和技术人员，合同费用不另外增加。</w:t>
            </w:r>
          </w:p>
        </w:tc>
      </w:tr>
    </w:tbl>
    <w:p>
      <w:pPr>
        <w:spacing w:line="360" w:lineRule="auto"/>
        <w:rPr>
          <w:rFonts w:hint="eastAsia" w:ascii="仿宋" w:hAnsi="仿宋" w:eastAsia="仿宋" w:cs="仿宋"/>
          <w:color w:val="000000"/>
          <w:sz w:val="18"/>
          <w:szCs w:val="1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outlineLvl w:val="9"/>
        <w:rPr>
          <w:rFonts w:hint="eastAsia" w:ascii="宋体" w:hAnsi="宋体" w:cs="宋体"/>
          <w:color w:val="000000"/>
          <w:szCs w:val="21"/>
          <w:highlight w:val="none"/>
          <w:lang w:val="en-US" w:eastAsia="zh-CN"/>
        </w:rPr>
      </w:pPr>
    </w:p>
    <w:p>
      <w:pPr>
        <w:adjustRightInd w:val="0"/>
        <w:snapToGrid w:val="0"/>
        <w:spacing w:line="360" w:lineRule="auto"/>
        <w:jc w:val="center"/>
        <w:rPr>
          <w:rFonts w:hint="eastAsia" w:ascii="宋体" w:hAnsi="宋体"/>
          <w:b/>
          <w:bCs/>
          <w:color w:val="000000"/>
          <w:sz w:val="28"/>
          <w:szCs w:val="28"/>
          <w:highlight w:val="none"/>
        </w:rPr>
      </w:pPr>
    </w:p>
    <w:p>
      <w:pPr>
        <w:adjustRightInd w:val="0"/>
        <w:snapToGrid w:val="0"/>
        <w:spacing w:line="300" w:lineRule="auto"/>
        <w:jc w:val="both"/>
        <w:rPr>
          <w:rFonts w:hint="eastAsia" w:ascii="宋体" w:hAnsi="宋体"/>
          <w:color w:val="000000"/>
          <w:sz w:val="24"/>
          <w:highlight w:val="none"/>
        </w:rPr>
      </w:pPr>
    </w:p>
    <w:p>
      <w:pPr>
        <w:pStyle w:val="3"/>
        <w:spacing w:before="240" w:beforeLines="100" w:after="240" w:afterLines="100"/>
        <w:jc w:val="center"/>
        <w:rPr>
          <w:rFonts w:hint="eastAsia" w:ascii="黑体" w:hAnsi="黑体" w:eastAsia="黑体"/>
          <w:b/>
          <w:color w:val="000000"/>
          <w:sz w:val="28"/>
          <w:szCs w:val="28"/>
          <w:highlight w:val="none"/>
        </w:rPr>
      </w:pPr>
    </w:p>
    <w:p>
      <w:pPr>
        <w:pStyle w:val="3"/>
        <w:spacing w:before="240" w:beforeLines="100" w:after="240" w:afterLines="100"/>
        <w:jc w:val="center"/>
        <w:rPr>
          <w:rFonts w:hint="eastAsia" w:ascii="黑体" w:hAnsi="黑体" w:eastAsia="黑体"/>
          <w:b/>
          <w:color w:val="000000"/>
          <w:sz w:val="28"/>
          <w:szCs w:val="28"/>
          <w:highlight w:val="none"/>
        </w:rPr>
      </w:pPr>
    </w:p>
    <w:p>
      <w:pPr>
        <w:pStyle w:val="3"/>
        <w:spacing w:before="240" w:beforeLines="100" w:after="240" w:afterLines="100"/>
        <w:jc w:val="center"/>
        <w:rPr>
          <w:rFonts w:hint="eastAsia" w:ascii="黑体" w:hAnsi="黑体" w:eastAsia="黑体"/>
          <w:b/>
          <w:color w:val="000000"/>
          <w:sz w:val="28"/>
          <w:szCs w:val="28"/>
          <w:highlight w:val="none"/>
        </w:rPr>
      </w:pPr>
    </w:p>
    <w:p>
      <w:pPr>
        <w:pStyle w:val="3"/>
        <w:spacing w:before="240" w:beforeLines="100" w:after="240" w:afterLines="100"/>
        <w:jc w:val="center"/>
        <w:rPr>
          <w:rFonts w:hint="eastAsia" w:ascii="黑体" w:hAnsi="黑体" w:eastAsia="黑体"/>
          <w:b/>
          <w:color w:val="000000"/>
          <w:sz w:val="28"/>
          <w:szCs w:val="28"/>
          <w:highlight w:val="none"/>
        </w:rPr>
      </w:pPr>
    </w:p>
    <w:p>
      <w:pPr>
        <w:pStyle w:val="3"/>
        <w:spacing w:before="240" w:beforeLines="100" w:after="240" w:afterLines="100"/>
        <w:jc w:val="center"/>
        <w:rPr>
          <w:rFonts w:hint="eastAsia" w:ascii="黑体" w:hAnsi="黑体" w:eastAsia="黑体"/>
          <w:b/>
          <w:color w:val="000000"/>
          <w:sz w:val="28"/>
          <w:szCs w:val="28"/>
          <w:highlight w:val="none"/>
        </w:rPr>
      </w:pPr>
    </w:p>
    <w:p>
      <w:pPr>
        <w:pStyle w:val="3"/>
        <w:spacing w:before="240" w:beforeLines="100" w:after="240" w:afterLines="100"/>
        <w:jc w:val="center"/>
        <w:rPr>
          <w:rFonts w:hint="eastAsia" w:ascii="黑体" w:hAnsi="黑体" w:eastAsia="黑体"/>
          <w:b/>
          <w:color w:val="000000"/>
          <w:sz w:val="28"/>
          <w:szCs w:val="28"/>
          <w:highlight w:val="none"/>
        </w:rPr>
      </w:pPr>
    </w:p>
    <w:p>
      <w:pPr>
        <w:pStyle w:val="2"/>
        <w:ind w:left="0" w:leftChars="0" w:firstLine="0" w:firstLineChars="0"/>
      </w:pPr>
    </w:p>
    <w:p>
      <w:pPr>
        <w:pStyle w:val="2"/>
        <w:ind w:left="0" w:leftChars="0" w:firstLine="0" w:firstLineChars="0"/>
      </w:pPr>
      <w:bookmarkStart w:id="12" w:name="_GoBack"/>
      <w:bookmarkEnd w:id="12"/>
    </w:p>
    <w:p>
      <w:pPr>
        <w:spacing w:line="440" w:lineRule="exact"/>
        <w:jc w:val="center"/>
        <w:rPr>
          <w:rFonts w:hint="eastAsia" w:eastAsia="黑体"/>
          <w:color w:val="000000"/>
          <w:sz w:val="30"/>
          <w:szCs w:val="30"/>
          <w:highlight w:val="none"/>
        </w:rPr>
      </w:pPr>
      <w:r>
        <w:rPr>
          <w:rFonts w:hint="eastAsia" w:eastAsia="黑体"/>
          <w:color w:val="000000"/>
          <w:sz w:val="30"/>
          <w:szCs w:val="30"/>
          <w:highlight w:val="none"/>
          <w:lang w:val="en-US" w:eastAsia="zh-CN"/>
        </w:rPr>
        <w:t>附件：</w:t>
      </w:r>
      <w:r>
        <w:rPr>
          <w:rFonts w:eastAsia="黑体"/>
          <w:color w:val="000000"/>
          <w:sz w:val="30"/>
          <w:szCs w:val="30"/>
          <w:highlight w:val="none"/>
        </w:rPr>
        <w:t>评标办法(</w:t>
      </w:r>
      <w:r>
        <w:rPr>
          <w:rFonts w:hint="eastAsia" w:eastAsia="黑体"/>
          <w:color w:val="000000"/>
          <w:sz w:val="30"/>
          <w:szCs w:val="30"/>
          <w:highlight w:val="none"/>
        </w:rPr>
        <w:t>双信封的</w:t>
      </w:r>
      <w:r>
        <w:rPr>
          <w:rFonts w:hint="eastAsia" w:eastAsia="黑体"/>
          <w:color w:val="000000"/>
          <w:sz w:val="30"/>
          <w:szCs w:val="30"/>
          <w:highlight w:val="none"/>
          <w:lang w:val="en-US" w:eastAsia="zh-CN"/>
        </w:rPr>
        <w:t>合理低价</w:t>
      </w:r>
      <w:r>
        <w:rPr>
          <w:rFonts w:hint="eastAsia" w:eastAsia="黑体"/>
          <w:color w:val="000000"/>
          <w:sz w:val="30"/>
          <w:szCs w:val="30"/>
          <w:highlight w:val="none"/>
        </w:rPr>
        <w:t>法</w:t>
      </w:r>
      <w:r>
        <w:rPr>
          <w:rFonts w:eastAsia="黑体"/>
          <w:color w:val="000000"/>
          <w:sz w:val="30"/>
          <w:szCs w:val="30"/>
          <w:highlight w:val="none"/>
        </w:rPr>
        <w:t>)</w:t>
      </w:r>
    </w:p>
    <w:p>
      <w:pPr>
        <w:spacing w:line="440" w:lineRule="exact"/>
        <w:jc w:val="center"/>
        <w:rPr>
          <w:rFonts w:eastAsia="黑体"/>
          <w:color w:val="000000"/>
          <w:sz w:val="32"/>
          <w:szCs w:val="32"/>
          <w:highlight w:val="none"/>
        </w:rPr>
      </w:pPr>
      <w:r>
        <w:rPr>
          <w:rFonts w:eastAsia="黑体"/>
          <w:color w:val="000000"/>
          <w:sz w:val="32"/>
          <w:szCs w:val="32"/>
          <w:highlight w:val="none"/>
        </w:rPr>
        <w:t>评标办法前附表</w:t>
      </w:r>
    </w:p>
    <w:p>
      <w:pPr>
        <w:spacing w:line="440" w:lineRule="exact"/>
        <w:jc w:val="center"/>
        <w:rPr>
          <w:rFonts w:hint="eastAsia" w:eastAsia="黑体"/>
          <w:color w:val="000000"/>
          <w:sz w:val="32"/>
          <w:szCs w:val="32"/>
          <w:highlight w:val="none"/>
        </w:rPr>
      </w:pPr>
    </w:p>
    <w:tbl>
      <w:tblPr>
        <w:tblStyle w:val="7"/>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891"/>
        <w:gridCol w:w="7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blHeader/>
          <w:jc w:val="center"/>
        </w:trPr>
        <w:tc>
          <w:tcPr>
            <w:tcW w:w="1632"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条款号</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评标办法</w:t>
            </w:r>
          </w:p>
        </w:tc>
        <w:tc>
          <w:tcPr>
            <w:tcW w:w="7829" w:type="dxa"/>
            <w:tcBorders>
              <w:top w:val="single" w:color="auto" w:sz="4" w:space="0"/>
              <w:left w:val="single" w:color="auto" w:sz="4" w:space="0"/>
              <w:right w:val="single" w:color="auto" w:sz="4" w:space="0"/>
            </w:tcBorders>
            <w:vAlign w:val="center"/>
          </w:tcPr>
          <w:p>
            <w:pPr>
              <w:pStyle w:val="3"/>
              <w:adjustRightInd w:val="0"/>
              <w:snapToGrid w:val="0"/>
              <w:spacing w:line="360" w:lineRule="exact"/>
              <w:rPr>
                <w:rFonts w:hint="eastAsia" w:hAnsi="宋体"/>
                <w:color w:val="000000"/>
                <w:szCs w:val="21"/>
                <w:highlight w:val="none"/>
              </w:rPr>
            </w:pPr>
            <w:r>
              <w:rPr>
                <w:rFonts w:hint="eastAsia" w:hAnsi="宋体"/>
                <w:color w:val="000000"/>
                <w:szCs w:val="21"/>
                <w:highlight w:val="none"/>
              </w:rPr>
              <w:t>综合评分相等时，评标委员会依次按照以下优先顺序推荐中标候选人：</w:t>
            </w:r>
          </w:p>
          <w:p>
            <w:pPr>
              <w:pStyle w:val="3"/>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（1）评标价低的优先；</w:t>
            </w:r>
          </w:p>
          <w:p>
            <w:pPr>
              <w:pStyle w:val="3"/>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2）按招标文件规定被认定为最新年度广东省公路工程从业单位信用评价等级较高的投标人优先；【采用如下的优先顺序：承诺使用的AA级投标人、不承诺使用的AA级投标人、承诺使用的A级投标人、不承诺使用的A级投标人、B级投标人、未参评且被确定为B级投标人】 ；</w:t>
            </w:r>
          </w:p>
          <w:p>
            <w:pPr>
              <w:pStyle w:val="3"/>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（3）以投标人企业最新年度</w:t>
            </w:r>
            <w:r>
              <w:rPr>
                <w:rFonts w:hint="eastAsia" w:hAnsi="宋体"/>
                <w:b/>
                <w:bCs/>
                <w:color w:val="000000"/>
                <w:szCs w:val="21"/>
                <w:highlight w:val="none"/>
                <w:lang w:eastAsia="zh-CN"/>
              </w:rPr>
              <w:t>（</w:t>
            </w:r>
            <w:r>
              <w:rPr>
                <w:rFonts w:hint="eastAsia" w:hAnsi="宋体"/>
                <w:b/>
                <w:bCs/>
                <w:color w:val="000000"/>
                <w:szCs w:val="21"/>
                <w:highlight w:val="none"/>
                <w:lang w:val="en-US" w:eastAsia="zh-CN"/>
              </w:rPr>
              <w:t>2024年财务数据为准</w:t>
            </w:r>
            <w:r>
              <w:rPr>
                <w:rFonts w:hint="eastAsia" w:hAnsi="宋体"/>
                <w:b/>
                <w:bCs/>
                <w:color w:val="000000"/>
                <w:szCs w:val="21"/>
                <w:highlight w:val="none"/>
                <w:lang w:eastAsia="zh-CN"/>
              </w:rPr>
              <w:t>）</w:t>
            </w:r>
            <w:r>
              <w:rPr>
                <w:rFonts w:hint="eastAsia" w:hAnsi="宋体"/>
                <w:color w:val="000000"/>
                <w:szCs w:val="21"/>
                <w:highlight w:val="none"/>
              </w:rPr>
              <w:t>净资产较高的优先；</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（4）由评标委员会视投标人情况综合比较，投票确定其名次。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45"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第一个信封（商务及技术文件）评审标准</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(1)投标文件按照招标文件规定的格式、内容填写，字迹清晰可辨：</w:t>
            </w:r>
          </w:p>
          <w:p>
            <w:pPr>
              <w:spacing w:line="360" w:lineRule="exact"/>
              <w:ind w:firstLine="390"/>
              <w:rPr>
                <w:rFonts w:ascii="宋体" w:hAnsi="宋体"/>
                <w:color w:val="000000"/>
                <w:szCs w:val="21"/>
                <w:highlight w:val="none"/>
              </w:rPr>
            </w:pPr>
            <w:r>
              <w:rPr>
                <w:rFonts w:ascii="宋体" w:hAnsi="宋体"/>
                <w:color w:val="000000"/>
                <w:szCs w:val="21"/>
                <w:highlight w:val="none"/>
              </w:rPr>
              <w:t>a.投标函按招标文件规定填报了</w:t>
            </w:r>
            <w:r>
              <w:rPr>
                <w:rFonts w:hint="eastAsia" w:ascii="宋体" w:hAnsi="宋体"/>
                <w:color w:val="000000"/>
                <w:szCs w:val="21"/>
                <w:highlight w:val="none"/>
              </w:rPr>
              <w:t>项目名称、标段号、补遗书编号（如有）、</w:t>
            </w:r>
            <w:r>
              <w:rPr>
                <w:rFonts w:ascii="宋体" w:hAnsi="宋体"/>
                <w:color w:val="000000"/>
                <w:szCs w:val="21"/>
                <w:highlight w:val="none"/>
              </w:rPr>
              <w:t>工期</w:t>
            </w:r>
            <w:r>
              <w:rPr>
                <w:rFonts w:hint="eastAsia" w:ascii="宋体" w:hAnsi="宋体"/>
                <w:color w:val="000000"/>
                <w:szCs w:val="21"/>
                <w:highlight w:val="none"/>
              </w:rPr>
              <w:t>、</w:t>
            </w:r>
            <w:r>
              <w:rPr>
                <w:rFonts w:ascii="宋体" w:hAnsi="宋体"/>
                <w:color w:val="000000"/>
                <w:szCs w:val="21"/>
                <w:highlight w:val="none"/>
              </w:rPr>
              <w:t>工程质量</w:t>
            </w:r>
            <w:r>
              <w:rPr>
                <w:rFonts w:hint="eastAsia" w:ascii="宋体" w:hAnsi="宋体"/>
                <w:color w:val="000000"/>
                <w:szCs w:val="21"/>
                <w:highlight w:val="none"/>
              </w:rPr>
              <w:t>要求及安全目标</w:t>
            </w:r>
            <w:r>
              <w:rPr>
                <w:rFonts w:ascii="宋体" w:hAnsi="宋体"/>
                <w:color w:val="000000"/>
                <w:szCs w:val="21"/>
                <w:highlight w:val="none"/>
              </w:rPr>
              <w:t>；</w:t>
            </w:r>
          </w:p>
          <w:p>
            <w:pPr>
              <w:spacing w:line="360" w:lineRule="exact"/>
              <w:ind w:firstLine="390"/>
              <w:rPr>
                <w:rFonts w:ascii="宋体" w:hAnsi="宋体"/>
                <w:color w:val="000000"/>
                <w:szCs w:val="21"/>
                <w:highlight w:val="none"/>
              </w:rPr>
            </w:pPr>
            <w:r>
              <w:rPr>
                <w:rFonts w:ascii="宋体" w:hAnsi="宋体"/>
                <w:color w:val="000000"/>
                <w:szCs w:val="21"/>
                <w:highlight w:val="none"/>
              </w:rPr>
              <w:t>b.投标函附录的所有数据均符合招标文件规定；</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c</w:t>
            </w:r>
            <w:r>
              <w:rPr>
                <w:rFonts w:ascii="宋体" w:hAnsi="宋体"/>
                <w:color w:val="000000"/>
                <w:szCs w:val="21"/>
                <w:highlight w:val="none"/>
              </w:rPr>
              <w:t>.</w:t>
            </w:r>
            <w:r>
              <w:rPr>
                <w:rFonts w:hint="eastAsia" w:ascii="宋体" w:hAnsi="宋体"/>
                <w:color w:val="000000"/>
                <w:szCs w:val="21"/>
                <w:highlight w:val="none"/>
              </w:rPr>
              <w:t>投标文件（第一个信封）组成齐全完整，</w:t>
            </w:r>
            <w:r>
              <w:rPr>
                <w:rFonts w:hint="eastAsia" w:ascii="宋体" w:hAnsi="宋体"/>
                <w:color w:val="000000"/>
                <w:szCs w:val="21"/>
                <w:highlight w:val="none"/>
                <w:lang w:val="en-US" w:eastAsia="zh-CN"/>
              </w:rPr>
              <w:t>正、副本</w:t>
            </w:r>
            <w:r>
              <w:rPr>
                <w:rFonts w:hint="eastAsia" w:ascii="宋体" w:hAnsi="宋体"/>
                <w:color w:val="000000"/>
                <w:szCs w:val="21"/>
                <w:highlight w:val="none"/>
              </w:rPr>
              <w:t>份数符合规定，内容均按规定填写。</w:t>
            </w:r>
          </w:p>
          <w:p>
            <w:pPr>
              <w:spacing w:line="360" w:lineRule="exact"/>
              <w:ind w:left="-2" w:leftChars="-1" w:firstLine="420" w:firstLineChars="200"/>
              <w:rPr>
                <w:rFonts w:hint="eastAsia" w:ascii="宋体" w:hAnsi="宋体"/>
                <w:color w:val="000000"/>
                <w:szCs w:val="21"/>
                <w:highlight w:val="none"/>
              </w:rPr>
            </w:pPr>
            <w:r>
              <w:rPr>
                <w:rFonts w:ascii="宋体" w:hAnsi="宋体"/>
                <w:color w:val="000000"/>
                <w:szCs w:val="21"/>
                <w:highlight w:val="none"/>
              </w:rPr>
              <w:t>(2) 投标文件上法定代表人或其授权代理人的签字、投标人的单位章盖章齐全，符合招标文件</w:t>
            </w:r>
            <w:r>
              <w:rPr>
                <w:rFonts w:hint="eastAsia" w:ascii="宋体" w:hAnsi="宋体"/>
                <w:color w:val="000000"/>
                <w:szCs w:val="21"/>
                <w:highlight w:val="none"/>
              </w:rPr>
              <w:t>的</w:t>
            </w:r>
            <w:r>
              <w:rPr>
                <w:rFonts w:ascii="宋体" w:hAnsi="宋体"/>
                <w:color w:val="000000"/>
                <w:szCs w:val="21"/>
                <w:highlight w:val="none"/>
              </w:rPr>
              <w:t>规定。</w:t>
            </w:r>
          </w:p>
          <w:p>
            <w:pPr>
              <w:spacing w:line="360" w:lineRule="exact"/>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w:t>
            </w:r>
            <w:r>
              <w:rPr>
                <w:rFonts w:hint="eastAsia" w:ascii="宋体" w:hAnsi="宋体"/>
                <w:color w:val="000000"/>
                <w:szCs w:val="21"/>
                <w:highlight w:val="none"/>
                <w:lang w:val="en-US" w:eastAsia="zh-CN"/>
              </w:rPr>
              <w:t>3</w:t>
            </w:r>
            <w:r>
              <w:rPr>
                <w:rFonts w:ascii="宋体" w:hAnsi="宋体"/>
                <w:color w:val="000000"/>
                <w:szCs w:val="21"/>
                <w:highlight w:val="none"/>
              </w:rPr>
              <w:t>)投标人按照招标文件的规定提供了投标担保：</w:t>
            </w:r>
          </w:p>
          <w:p>
            <w:pPr>
              <w:spacing w:line="360" w:lineRule="exact"/>
              <w:ind w:firstLine="445" w:firstLineChars="212"/>
              <w:rPr>
                <w:rFonts w:ascii="宋体" w:hAnsi="宋体"/>
                <w:color w:val="000000"/>
                <w:szCs w:val="21"/>
                <w:highlight w:val="none"/>
              </w:rPr>
            </w:pPr>
            <w:r>
              <w:rPr>
                <w:rFonts w:ascii="宋体" w:hAnsi="宋体"/>
                <w:color w:val="000000"/>
                <w:szCs w:val="21"/>
                <w:highlight w:val="none"/>
              </w:rPr>
              <w:t>a.投标担保金额符合招标文件规定的金额</w:t>
            </w:r>
            <w:r>
              <w:rPr>
                <w:rFonts w:hint="eastAsia" w:ascii="宋体" w:hAnsi="宋体"/>
                <w:color w:val="000000"/>
                <w:szCs w:val="21"/>
                <w:highlight w:val="none"/>
              </w:rPr>
              <w:t>,且投标保证金有效期不少于投标有效期</w:t>
            </w:r>
            <w:r>
              <w:rPr>
                <w:rFonts w:ascii="宋体" w:hAnsi="宋体"/>
                <w:color w:val="000000"/>
                <w:szCs w:val="21"/>
                <w:highlight w:val="none"/>
              </w:rPr>
              <w:t>；</w:t>
            </w:r>
          </w:p>
          <w:p>
            <w:pPr>
              <w:spacing w:line="360" w:lineRule="exact"/>
              <w:ind w:firstLine="445" w:firstLineChars="212"/>
              <w:rPr>
                <w:rFonts w:hint="eastAsia" w:ascii="宋体" w:hAnsi="宋体"/>
                <w:color w:val="000000"/>
                <w:szCs w:val="21"/>
                <w:highlight w:val="none"/>
              </w:rPr>
            </w:pPr>
            <w:r>
              <w:rPr>
                <w:rFonts w:ascii="宋体" w:hAnsi="宋体"/>
                <w:color w:val="000000"/>
                <w:szCs w:val="21"/>
                <w:highlight w:val="none"/>
              </w:rPr>
              <w:t>b.</w:t>
            </w:r>
            <w:r>
              <w:rPr>
                <w:rFonts w:hint="eastAsia" w:ascii="宋体" w:hAnsi="宋体" w:cs="宋体"/>
                <w:color w:val="000000"/>
                <w:kern w:val="0"/>
                <w:szCs w:val="21"/>
                <w:highlight w:val="none"/>
              </w:rPr>
              <w:t xml:space="preserve"> </w:t>
            </w:r>
            <w:r>
              <w:rPr>
                <w:rFonts w:hint="eastAsia" w:ascii="宋体" w:hAnsi="宋体"/>
                <w:color w:val="000000"/>
                <w:szCs w:val="21"/>
                <w:highlight w:val="none"/>
              </w:rPr>
              <w:t>若</w:t>
            </w:r>
            <w:r>
              <w:rPr>
                <w:rFonts w:ascii="宋体" w:hAnsi="宋体"/>
                <w:color w:val="000000"/>
                <w:szCs w:val="21"/>
                <w:highlight w:val="none"/>
              </w:rPr>
              <w:t>投标担保金</w:t>
            </w:r>
            <w:r>
              <w:rPr>
                <w:rFonts w:hint="eastAsia" w:ascii="宋体" w:hAnsi="宋体"/>
                <w:color w:val="000000"/>
                <w:szCs w:val="21"/>
                <w:highlight w:val="none"/>
              </w:rPr>
              <w:t>采用现金或支票形式提交，投标人应在投标人须知3.4.1款规定的时间，将投标保证金由投标人的基本账户一次性汇入（或开给）招标人指定账户；</w:t>
            </w:r>
          </w:p>
          <w:p>
            <w:pPr>
              <w:spacing w:line="360" w:lineRule="exact"/>
              <w:ind w:firstLine="445" w:firstLineChars="212"/>
              <w:rPr>
                <w:rFonts w:ascii="宋体" w:hAnsi="宋体"/>
                <w:b/>
                <w:color w:val="000000"/>
                <w:szCs w:val="21"/>
                <w:highlight w:val="none"/>
              </w:rPr>
            </w:pPr>
            <w:r>
              <w:rPr>
                <w:rFonts w:ascii="宋体" w:hAnsi="宋体"/>
                <w:color w:val="000000"/>
                <w:szCs w:val="21"/>
                <w:highlight w:val="none"/>
              </w:rPr>
              <w:t>c.若投标担保金采用银行保函</w:t>
            </w:r>
            <w:r>
              <w:rPr>
                <w:rFonts w:hint="eastAsia" w:ascii="宋体" w:hAnsi="宋体"/>
                <w:color w:val="000000"/>
                <w:szCs w:val="21"/>
                <w:highlight w:val="none"/>
              </w:rPr>
              <w:t>形式提交</w:t>
            </w:r>
            <w:r>
              <w:rPr>
                <w:rFonts w:ascii="宋体" w:hAnsi="宋体"/>
                <w:color w:val="000000"/>
                <w:szCs w:val="21"/>
                <w:highlight w:val="none"/>
              </w:rPr>
              <w:t>，银行保函的格式、开具保函的银行均满足招标文件要求，</w:t>
            </w:r>
            <w:r>
              <w:rPr>
                <w:rFonts w:ascii="宋体" w:hAnsi="宋体"/>
                <w:b/>
                <w:color w:val="000000"/>
                <w:szCs w:val="21"/>
                <w:highlight w:val="none"/>
              </w:rPr>
              <w:t>且银行保函原件在</w:t>
            </w:r>
            <w:r>
              <w:rPr>
                <w:rFonts w:hint="eastAsia" w:ascii="宋体" w:hAnsi="宋体"/>
                <w:b/>
                <w:color w:val="000000"/>
                <w:szCs w:val="21"/>
                <w:highlight w:val="none"/>
              </w:rPr>
              <w:t>递交</w:t>
            </w:r>
            <w:r>
              <w:rPr>
                <w:rFonts w:ascii="宋体" w:hAnsi="宋体"/>
                <w:b/>
                <w:color w:val="000000"/>
                <w:szCs w:val="21"/>
                <w:highlight w:val="none"/>
              </w:rPr>
              <w:t>投标文件</w:t>
            </w:r>
            <w:r>
              <w:rPr>
                <w:rFonts w:hint="eastAsia" w:ascii="宋体" w:hAnsi="宋体"/>
                <w:b/>
                <w:color w:val="000000"/>
                <w:szCs w:val="21"/>
                <w:highlight w:val="none"/>
              </w:rPr>
              <w:t>时单独密封递交，其复印件装订在投标文件中</w:t>
            </w:r>
            <w:r>
              <w:rPr>
                <w:rFonts w:ascii="宋体" w:hAnsi="宋体"/>
                <w:b/>
                <w:color w:val="000000"/>
                <w:szCs w:val="21"/>
                <w:highlight w:val="none"/>
              </w:rPr>
              <w:t>。</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)投标人法定代表人授权委托代理人签署投标文件的，须提交授权委托书，且授权人和被授权人均在授权委托书上签名，未使用印章、签名章或其他电子制版签名。</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)投标人法定代表人若亲自签署投标文件的，提供了法定代表人身份证明，且法定代表人在法定代表人身份证明上签名，未使用印章、签名章或其他电子制版签名。</w:t>
            </w:r>
          </w:p>
          <w:p>
            <w:pPr>
              <w:spacing w:line="360" w:lineRule="exact"/>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6</w:t>
            </w:r>
            <w:r>
              <w:rPr>
                <w:rFonts w:hint="eastAsia" w:ascii="宋体" w:hAnsi="宋体"/>
                <w:color w:val="000000"/>
                <w:szCs w:val="21"/>
                <w:highlight w:val="none"/>
                <w:lang w:eastAsia="zh-CN"/>
              </w:rPr>
              <w:t>）</w:t>
            </w:r>
            <w:r>
              <w:rPr>
                <w:rFonts w:hint="eastAsia" w:ascii="宋体" w:hAnsi="宋体"/>
                <w:color w:val="000000"/>
                <w:szCs w:val="21"/>
                <w:highlight w:val="none"/>
              </w:rPr>
              <w:t>投标人未以联合体形式投标</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)本项目不允许分包。</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8</w:t>
            </w:r>
            <w:r>
              <w:rPr>
                <w:rFonts w:ascii="宋体" w:hAnsi="宋体"/>
                <w:color w:val="000000"/>
                <w:szCs w:val="21"/>
                <w:highlight w:val="none"/>
              </w:rPr>
              <w:t>)</w:t>
            </w:r>
            <w:r>
              <w:rPr>
                <w:rFonts w:hint="eastAsia" w:ascii="宋体" w:hAnsi="宋体"/>
                <w:color w:val="000000"/>
                <w:szCs w:val="21"/>
                <w:highlight w:val="none"/>
              </w:rPr>
              <w:t>同一标段的同一投标人没有提交两个以上不同的投标文件，但招标文件要求提交备选投标的除外。</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9</w:t>
            </w:r>
            <w:r>
              <w:rPr>
                <w:rFonts w:hint="eastAsia" w:ascii="宋体" w:hAnsi="宋体"/>
                <w:color w:val="000000"/>
                <w:szCs w:val="21"/>
                <w:highlight w:val="none"/>
              </w:rPr>
              <w:t>）投标文件第一个信封（商务及技术文件）不得出现有关投标报价的内容。</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10</w:t>
            </w:r>
            <w:r>
              <w:rPr>
                <w:rFonts w:ascii="宋体" w:hAnsi="宋体"/>
                <w:color w:val="000000"/>
                <w:szCs w:val="21"/>
                <w:highlight w:val="none"/>
              </w:rPr>
              <w:t>)投标文件载明的招标项目完成期限未超过招标文件规定的时限</w:t>
            </w:r>
            <w:r>
              <w:rPr>
                <w:rFonts w:hint="eastAsia" w:ascii="宋体" w:hAnsi="宋体"/>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11</w:t>
            </w:r>
            <w:r>
              <w:rPr>
                <w:rFonts w:ascii="宋体" w:hAnsi="宋体"/>
                <w:color w:val="000000"/>
                <w:szCs w:val="21"/>
                <w:highlight w:val="none"/>
              </w:rPr>
              <w:t>)</w:t>
            </w:r>
            <w:r>
              <w:rPr>
                <w:rFonts w:hint="eastAsia" w:ascii="宋体" w:hAnsi="宋体"/>
                <w:color w:val="000000"/>
                <w:szCs w:val="21"/>
                <w:highlight w:val="none"/>
              </w:rPr>
              <w:t>投标文件对招标文件的实质性要求和条件作出响应。</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12</w:t>
            </w:r>
            <w:r>
              <w:rPr>
                <w:rFonts w:ascii="宋体" w:hAnsi="宋体"/>
                <w:color w:val="000000"/>
                <w:szCs w:val="21"/>
                <w:highlight w:val="none"/>
              </w:rPr>
              <w:t>)权利义务符合招标文件规定：</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a.投标人应接受招标文件规定的风险划分原则，未提出新的风险划分办法；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b.投标人未增加发包人的责任范围，或减少投标人义务；</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c.投标人未提出不同的工程验收、计量、支付办法；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d.投标人对合同纠纷、事故处理办法未提出异议；</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e.投标人在投标活动中无欺诈行为；</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f.投标人未对合同条款有重要保留。</w:t>
            </w:r>
          </w:p>
          <w:p>
            <w:pPr>
              <w:spacing w:line="360" w:lineRule="exact"/>
              <w:ind w:firstLine="420" w:firstLineChars="200"/>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13</w:t>
            </w:r>
            <w:r>
              <w:rPr>
                <w:rFonts w:hint="eastAsia" w:ascii="宋体" w:hAnsi="宋体"/>
                <w:color w:val="000000"/>
                <w:highlight w:val="none"/>
                <w:lang w:eastAsia="zh-CN"/>
              </w:rPr>
              <w:t>）</w:t>
            </w:r>
            <w:r>
              <w:rPr>
                <w:rFonts w:hint="eastAsia" w:ascii="宋体" w:hAnsi="宋体"/>
                <w:color w:val="000000"/>
                <w:highlight w:val="none"/>
              </w:rPr>
              <w:t>投标文件正、副本份数符合招标文件第二章“投标人须知 第 3.7.4项规定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highlight w:val="none"/>
              </w:rPr>
              <w:t>（</w:t>
            </w:r>
            <w:r>
              <w:rPr>
                <w:rFonts w:hint="eastAsia" w:ascii="宋体" w:hAnsi="宋体"/>
                <w:color w:val="000000"/>
                <w:highlight w:val="none"/>
                <w:lang w:val="en-US" w:eastAsia="zh-CN"/>
              </w:rPr>
              <w:t>14</w:t>
            </w:r>
            <w:r>
              <w:rPr>
                <w:rFonts w:hint="eastAsia" w:ascii="宋体" w:hAnsi="宋体"/>
                <w:color w:val="000000"/>
                <w:highlight w:val="none"/>
              </w:rPr>
              <w:t>）</w:t>
            </w:r>
            <w:r>
              <w:rPr>
                <w:rFonts w:hint="eastAsia" w:ascii="宋体" w:hAnsi="宋体"/>
                <w:color w:val="000000"/>
                <w:szCs w:val="21"/>
                <w:highlight w:val="none"/>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14"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vAlign w:val="center"/>
          </w:tcPr>
          <w:p>
            <w:pPr>
              <w:spacing w:line="360" w:lineRule="exact"/>
              <w:ind w:firstLine="390"/>
              <w:jc w:val="left"/>
              <w:rPr>
                <w:rFonts w:hint="eastAsia"/>
                <w:highlight w:val="none"/>
              </w:rPr>
            </w:pPr>
            <w:r>
              <w:rPr>
                <w:rFonts w:hint="eastAsia"/>
                <w:highlight w:val="none"/>
              </w:rPr>
              <w:t>第二</w:t>
            </w:r>
            <w:r>
              <w:rPr>
                <w:rFonts w:hint="eastAsia"/>
                <w:highlight w:val="none"/>
                <w:lang w:val="en-US" w:eastAsia="zh-CN"/>
              </w:rPr>
              <w:t>个</w:t>
            </w:r>
            <w:r>
              <w:rPr>
                <w:rFonts w:hint="eastAsia"/>
                <w:highlight w:val="none"/>
              </w:rPr>
              <w:t>信封（报价文件）评审标准：</w:t>
            </w:r>
          </w:p>
          <w:p>
            <w:pPr>
              <w:spacing w:line="360" w:lineRule="exact"/>
              <w:ind w:firstLine="390"/>
              <w:rPr>
                <w:rFonts w:hint="eastAsia"/>
                <w:highlight w:val="none"/>
              </w:rPr>
            </w:pPr>
            <w:r>
              <w:rPr>
                <w:rFonts w:hint="eastAsia"/>
                <w:highlight w:val="none"/>
              </w:rPr>
              <w:t>（1）</w:t>
            </w:r>
            <w:r>
              <w:rPr>
                <w:highlight w:val="none"/>
              </w:rPr>
              <w:t>投标文件按照招标文件规定的格式、内容填写，字迹清晰可辨：</w:t>
            </w:r>
          </w:p>
          <w:p>
            <w:pPr>
              <w:spacing w:line="360" w:lineRule="exact"/>
              <w:ind w:firstLine="390"/>
              <w:rPr>
                <w:highlight w:val="none"/>
              </w:rPr>
            </w:pPr>
            <w:r>
              <w:rPr>
                <w:highlight w:val="none"/>
              </w:rPr>
              <w:t>a.投标函按招标文件规定填报了</w:t>
            </w:r>
            <w:r>
              <w:rPr>
                <w:rFonts w:hint="eastAsia"/>
                <w:highlight w:val="none"/>
              </w:rPr>
              <w:t>项目名称、标段号、补遗书编号（如有）、</w:t>
            </w:r>
            <w:r>
              <w:rPr>
                <w:rFonts w:hint="eastAsia" w:ascii="宋体" w:hAnsi="宋体"/>
                <w:color w:val="000000"/>
                <w:szCs w:val="21"/>
                <w:highlight w:val="none"/>
              </w:rPr>
              <w:t>投标价（包括大写金额和小写金额）</w:t>
            </w:r>
            <w:r>
              <w:rPr>
                <w:highlight w:val="none"/>
              </w:rPr>
              <w:t>；</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lang w:val="en-US" w:eastAsia="zh-CN"/>
              </w:rPr>
              <w:t>b</w:t>
            </w:r>
            <w:r>
              <w:rPr>
                <w:highlight w:val="none"/>
              </w:rPr>
              <w:t>.</w:t>
            </w:r>
            <w:r>
              <w:rPr>
                <w:rFonts w:ascii="宋体" w:hAnsi="宋体"/>
                <w:color w:val="000000"/>
                <w:szCs w:val="21"/>
                <w:highlight w:val="none"/>
              </w:rPr>
              <w:t>已标价工程量清单</w:t>
            </w:r>
            <w:r>
              <w:rPr>
                <w:rFonts w:hint="eastAsia" w:ascii="宋体" w:hAnsi="宋体"/>
                <w:color w:val="000000"/>
                <w:szCs w:val="21"/>
                <w:highlight w:val="none"/>
              </w:rPr>
              <w:t>及清单</w:t>
            </w:r>
            <w:r>
              <w:rPr>
                <w:rFonts w:ascii="宋体" w:hAnsi="宋体"/>
                <w:color w:val="000000"/>
                <w:szCs w:val="21"/>
                <w:highlight w:val="none"/>
              </w:rPr>
              <w:t>说明文字与招标文件规定一致，</w:t>
            </w:r>
            <w:r>
              <w:rPr>
                <w:rFonts w:hint="eastAsia" w:ascii="宋体" w:hAnsi="宋体"/>
                <w:color w:val="000000"/>
                <w:szCs w:val="21"/>
                <w:highlight w:val="none"/>
              </w:rPr>
              <w:t>未</w:t>
            </w:r>
            <w:r>
              <w:rPr>
                <w:rFonts w:ascii="宋体" w:hAnsi="宋体"/>
                <w:color w:val="000000"/>
                <w:szCs w:val="21"/>
                <w:highlight w:val="none"/>
              </w:rPr>
              <w:t>进行修改和删减；</w:t>
            </w:r>
          </w:p>
          <w:p>
            <w:pPr>
              <w:spacing w:line="360" w:lineRule="exact"/>
              <w:ind w:firstLine="390"/>
              <w:rPr>
                <w:rFonts w:hint="eastAsia"/>
                <w:highlight w:val="none"/>
              </w:rPr>
            </w:pPr>
            <w:r>
              <w:rPr>
                <w:rFonts w:hint="eastAsia"/>
                <w:highlight w:val="none"/>
                <w:lang w:val="en-US" w:eastAsia="zh-CN"/>
              </w:rPr>
              <w:t>c</w:t>
            </w:r>
            <w:r>
              <w:rPr>
                <w:highlight w:val="none"/>
              </w:rPr>
              <w:t>.</w:t>
            </w:r>
            <w:r>
              <w:rPr>
                <w:rFonts w:hint="eastAsia"/>
                <w:highlight w:val="none"/>
              </w:rPr>
              <w:t>投标文件（第</w:t>
            </w:r>
            <w:r>
              <w:rPr>
                <w:rFonts w:hint="eastAsia"/>
                <w:highlight w:val="none"/>
                <w:lang w:val="en-US" w:eastAsia="zh-CN"/>
              </w:rPr>
              <w:t>二</w:t>
            </w:r>
            <w:r>
              <w:rPr>
                <w:rFonts w:hint="eastAsia"/>
                <w:highlight w:val="none"/>
              </w:rPr>
              <w:t>个信封）组成齐全完整，</w:t>
            </w:r>
            <w:r>
              <w:rPr>
                <w:rFonts w:hint="default" w:ascii="Times New Roman" w:hAnsi="Times New Roman"/>
                <w:szCs w:val="24"/>
                <w:highlight w:val="none"/>
                <w:lang w:val="en-US" w:eastAsia="zh-CN"/>
              </w:rPr>
              <w:t>正、副本</w:t>
            </w:r>
            <w:r>
              <w:rPr>
                <w:rFonts w:hint="eastAsia"/>
                <w:highlight w:val="none"/>
              </w:rPr>
              <w:t>份数符合规定，内容均按规定填写。</w:t>
            </w:r>
          </w:p>
          <w:p>
            <w:pPr>
              <w:spacing w:line="360" w:lineRule="exact"/>
              <w:ind w:firstLine="390"/>
              <w:rPr>
                <w:rFonts w:hint="eastAsia"/>
                <w:highlight w:val="none"/>
              </w:rPr>
            </w:pPr>
            <w:r>
              <w:rPr>
                <w:rFonts w:hint="eastAsia"/>
                <w:highlight w:val="none"/>
              </w:rPr>
              <w:t>（2）</w:t>
            </w:r>
            <w:r>
              <w:rPr>
                <w:highlight w:val="none"/>
              </w:rPr>
              <w:t>投标文件上法定代表人或其授权代理人的签字、投标人的单位章盖章齐全，符合招标文件</w:t>
            </w:r>
            <w:r>
              <w:rPr>
                <w:rFonts w:hint="eastAsia"/>
                <w:highlight w:val="none"/>
              </w:rPr>
              <w:t>的</w:t>
            </w:r>
            <w:r>
              <w:rPr>
                <w:highlight w:val="none"/>
              </w:rPr>
              <w:t>规定</w:t>
            </w:r>
            <w:r>
              <w:rPr>
                <w:rFonts w:hint="eastAsia"/>
                <w:highlight w:val="none"/>
              </w:rPr>
              <w:t>；</w:t>
            </w:r>
          </w:p>
          <w:p>
            <w:pPr>
              <w:spacing w:line="360" w:lineRule="exact"/>
              <w:ind w:firstLine="390"/>
              <w:rPr>
                <w:rFonts w:hint="eastAsia"/>
                <w:highlight w:val="none"/>
              </w:rPr>
            </w:pPr>
            <w:r>
              <w:rPr>
                <w:rFonts w:hint="eastAsia"/>
                <w:highlight w:val="none"/>
              </w:rPr>
              <w:t>（3）</w:t>
            </w:r>
            <w:r>
              <w:rPr>
                <w:rFonts w:hint="default" w:ascii="Times New Roman" w:hAnsi="Times New Roman"/>
                <w:color w:val="000000"/>
                <w:szCs w:val="24"/>
                <w:highlight w:val="none"/>
              </w:rPr>
              <w:t>投标报价中的报价未超过招标文件设定的</w:t>
            </w:r>
            <w:r>
              <w:rPr>
                <w:rFonts w:hint="default" w:ascii="Times New Roman" w:hAnsi="Times New Roman"/>
                <w:b w:val="0"/>
                <w:bCs w:val="0"/>
                <w:color w:val="000000"/>
                <w:szCs w:val="24"/>
                <w:highlight w:val="none"/>
              </w:rPr>
              <w:t>最</w:t>
            </w:r>
            <w:r>
              <w:rPr>
                <w:rFonts w:hint="default" w:ascii="Times New Roman" w:hAnsi="Times New Roman"/>
                <w:b w:val="0"/>
                <w:color w:val="000000"/>
                <w:szCs w:val="24"/>
                <w:highlight w:val="none"/>
              </w:rPr>
              <w:t>高投标限价</w:t>
            </w:r>
            <w:r>
              <w:rPr>
                <w:rFonts w:hint="eastAsia" w:ascii="Times New Roman" w:hAnsi="Times New Roman"/>
                <w:b w:val="0"/>
                <w:color w:val="000000"/>
                <w:szCs w:val="24"/>
                <w:highlight w:val="none"/>
                <w:lang w:val="en-US" w:eastAsia="zh-CN"/>
              </w:rPr>
              <w:t>及最高评标限价</w:t>
            </w:r>
            <w:r>
              <w:rPr>
                <w:rFonts w:hint="default" w:ascii="Times New Roman" w:hAnsi="Times New Roman"/>
                <w:color w:val="000000"/>
                <w:szCs w:val="24"/>
                <w:highlight w:val="none"/>
              </w:rPr>
              <w:t>。</w:t>
            </w:r>
          </w:p>
          <w:p>
            <w:pPr>
              <w:spacing w:line="360" w:lineRule="exact"/>
              <w:ind w:firstLine="390"/>
              <w:rPr>
                <w:rFonts w:hint="default" w:eastAsia="宋体"/>
                <w:highlight w:val="none"/>
                <w:lang w:eastAsia="zh-CN"/>
              </w:rPr>
            </w:pPr>
            <w:r>
              <w:rPr>
                <w:rFonts w:hint="default" w:eastAsia="宋体"/>
                <w:highlight w:val="none"/>
                <w:lang w:eastAsia="zh-CN"/>
              </w:rPr>
              <w:t>（4）投标报价中报价的大写金额能够确定具体数值。</w:t>
            </w:r>
          </w:p>
          <w:p>
            <w:pPr>
              <w:spacing w:line="360" w:lineRule="exact"/>
              <w:ind w:firstLine="390"/>
              <w:rPr>
                <w:rFonts w:hint="default" w:eastAsia="宋体"/>
                <w:highlight w:val="none"/>
                <w:lang w:eastAsia="zh-CN"/>
              </w:rPr>
            </w:pPr>
            <w:r>
              <w:rPr>
                <w:rFonts w:hint="default" w:eastAsia="宋体"/>
                <w:highlight w:val="none"/>
                <w:lang w:eastAsia="zh-CN"/>
              </w:rPr>
              <w:t>（5）投标人须对本项目提供独立的投标报价，同一标段的同一投标人仅可提交一个投标报价，但招标文件要求提交备选投标的除外。</w:t>
            </w:r>
          </w:p>
          <w:p>
            <w:pPr>
              <w:spacing w:line="360" w:lineRule="exact"/>
              <w:ind w:firstLine="390"/>
              <w:rPr>
                <w:rFonts w:hint="default" w:eastAsia="宋体"/>
                <w:highlight w:val="none"/>
                <w:lang w:eastAsia="zh-CN"/>
              </w:rPr>
            </w:pPr>
            <w:r>
              <w:rPr>
                <w:rFonts w:hint="default" w:eastAsia="宋体"/>
                <w:highlight w:val="none"/>
                <w:lang w:eastAsia="zh-CN"/>
              </w:rPr>
              <w:t>（6）投标人必须严格按照工程量固化清单填写，填写完毕的工程量固化清单未对工程量固化清单电子文件中的数据、格式和运算定义进行修改；工程量固化清单中的投标报价和投标函大写金额报价一致。</w:t>
            </w:r>
          </w:p>
          <w:p>
            <w:pPr>
              <w:spacing w:line="360" w:lineRule="exact"/>
              <w:ind w:firstLine="390"/>
              <w:rPr>
                <w:rFonts w:hint="default" w:eastAsia="宋体"/>
                <w:highlight w:val="none"/>
                <w:lang w:eastAsia="zh-CN"/>
              </w:rPr>
            </w:pPr>
            <w:r>
              <w:rPr>
                <w:rFonts w:hint="default" w:eastAsia="宋体"/>
                <w:highlight w:val="none"/>
                <w:lang w:eastAsia="zh-CN"/>
              </w:rPr>
              <w:t xml:space="preserve">（7）投标人必须按招标人提供的具有防伪水印的固化工程量清单打印并装订在投标文件中。 </w:t>
            </w:r>
          </w:p>
          <w:p>
            <w:pPr>
              <w:spacing w:line="360" w:lineRule="exact"/>
              <w:ind w:firstLine="390"/>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8</w:t>
            </w:r>
            <w:r>
              <w:rPr>
                <w:rFonts w:hint="eastAsia" w:eastAsia="宋体"/>
                <w:highlight w:val="none"/>
                <w:lang w:eastAsia="zh-CN"/>
              </w:rPr>
              <w:t>）投标文件正、副本份数符合招标文件第二章“投标人须知”第 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30"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2.1.2</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资格评审标准</w:t>
            </w:r>
          </w:p>
        </w:tc>
        <w:tc>
          <w:tcPr>
            <w:tcW w:w="7829" w:type="dxa"/>
            <w:tcBorders>
              <w:top w:val="single" w:color="auto" w:sz="4" w:space="0"/>
              <w:left w:val="single" w:color="auto" w:sz="4" w:space="0"/>
              <w:right w:val="single" w:color="auto" w:sz="4" w:space="0"/>
            </w:tcBorders>
            <w:vAlign w:val="center"/>
          </w:tcPr>
          <w:p>
            <w:pPr>
              <w:spacing w:line="360" w:lineRule="exact"/>
              <w:ind w:firstLine="390"/>
              <w:rPr>
                <w:rFonts w:ascii="宋体" w:hAnsi="宋体"/>
                <w:color w:val="000000"/>
                <w:szCs w:val="21"/>
                <w:highlight w:val="none"/>
              </w:rPr>
            </w:pPr>
            <w:r>
              <w:rPr>
                <w:rFonts w:hint="eastAsia" w:ascii="宋体" w:hAnsi="宋体"/>
                <w:color w:val="000000"/>
                <w:szCs w:val="21"/>
                <w:highlight w:val="none"/>
              </w:rPr>
              <w:t>（1）</w:t>
            </w:r>
            <w:r>
              <w:rPr>
                <w:rFonts w:hint="default" w:ascii="宋体" w:hAnsi="宋体"/>
                <w:color w:val="000000"/>
                <w:szCs w:val="21"/>
                <w:highlight w:val="none"/>
              </w:rPr>
              <w:t>投标人具备有效的</w:t>
            </w:r>
            <w:r>
              <w:rPr>
                <w:rFonts w:ascii="宋体" w:hAnsi="宋体"/>
                <w:color w:val="000000"/>
                <w:szCs w:val="21"/>
                <w:highlight w:val="none"/>
              </w:rPr>
              <w:t>营业执照</w:t>
            </w:r>
            <w:r>
              <w:rPr>
                <w:rFonts w:hint="eastAsia" w:ascii="宋体" w:hAnsi="宋体"/>
                <w:color w:val="000000"/>
                <w:highlight w:val="none"/>
              </w:rPr>
              <w:t>、</w:t>
            </w:r>
            <w:r>
              <w:rPr>
                <w:rFonts w:ascii="宋体" w:hAnsi="宋体"/>
                <w:color w:val="000000"/>
                <w:szCs w:val="21"/>
                <w:highlight w:val="none"/>
              </w:rPr>
              <w:t>资质证书</w:t>
            </w:r>
            <w:r>
              <w:rPr>
                <w:rFonts w:hint="default" w:ascii="宋体" w:hAnsi="宋体"/>
                <w:color w:val="000000"/>
                <w:szCs w:val="21"/>
                <w:highlight w:val="none"/>
              </w:rPr>
              <w:t>、安全生产许可证和</w:t>
            </w:r>
            <w:r>
              <w:rPr>
                <w:rFonts w:ascii="宋体" w:hAnsi="宋体"/>
                <w:color w:val="000000"/>
                <w:szCs w:val="21"/>
                <w:highlight w:val="none"/>
                <w:lang w:val="en-US"/>
              </w:rPr>
              <w:t>基本账户开户许可证</w:t>
            </w:r>
            <w:r>
              <w:rPr>
                <w:rFonts w:hint="eastAsia" w:ascii="宋体" w:hAnsi="宋体"/>
                <w:color w:val="000000"/>
                <w:szCs w:val="21"/>
                <w:highlight w:val="none"/>
                <w:lang w:val="en-US"/>
              </w:rPr>
              <w:t>（如企业所在地已取消企业银行账户许可而无法提供开户许可证的，则需附上开户银行出具的“基本存款账户信息”或“人民银行账户管理系统查询的基本账户信息截图”）</w:t>
            </w:r>
            <w:r>
              <w:rPr>
                <w:rFonts w:hint="eastAsia" w:ascii="宋体" w:hAnsi="宋体"/>
                <w:color w:val="000000"/>
                <w:szCs w:val="21"/>
                <w:highlight w:val="none"/>
                <w:lang w:val="en-US" w:eastAsia="zh-CN"/>
              </w:rPr>
              <w:t>；</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投标人的资质等级符合招标文件规定；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投标人的财务状况符合招标文件规定；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投标人的类似项目业绩符合招标文件规定；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投标人的信誉符合招标文件规定；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（6）</w:t>
            </w:r>
            <w:r>
              <w:rPr>
                <w:rFonts w:ascii="宋体" w:hAnsi="宋体"/>
                <w:color w:val="000000"/>
                <w:szCs w:val="21"/>
                <w:highlight w:val="none"/>
              </w:rPr>
              <w:t>投标人的项目经理和项目总工资格</w:t>
            </w:r>
            <w:r>
              <w:rPr>
                <w:rFonts w:hint="eastAsia" w:ascii="宋体" w:hAnsi="宋体"/>
                <w:color w:val="000000"/>
                <w:szCs w:val="21"/>
                <w:highlight w:val="none"/>
              </w:rPr>
              <w:t>、在岗情况</w:t>
            </w:r>
            <w:r>
              <w:rPr>
                <w:rFonts w:ascii="宋体" w:hAnsi="宋体"/>
                <w:color w:val="000000"/>
                <w:szCs w:val="21"/>
                <w:highlight w:val="none"/>
              </w:rPr>
              <w:t>符合招标文件规定</w:t>
            </w:r>
            <w:r>
              <w:rPr>
                <w:rFonts w:hint="eastAsia" w:ascii="宋体" w:hAnsi="宋体"/>
                <w:color w:val="000000"/>
                <w:szCs w:val="21"/>
                <w:highlight w:val="none"/>
              </w:rPr>
              <w:t>，且按规定在投标文件中进行签字确认</w:t>
            </w:r>
            <w:r>
              <w:rPr>
                <w:rFonts w:ascii="宋体" w:hAnsi="宋体"/>
                <w:color w:val="000000"/>
                <w:szCs w:val="21"/>
                <w:highlight w:val="none"/>
              </w:rPr>
              <w:t>；</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（8）</w:t>
            </w:r>
            <w:r>
              <w:rPr>
                <w:rFonts w:ascii="宋体" w:hAnsi="宋体"/>
                <w:color w:val="000000"/>
                <w:szCs w:val="21"/>
                <w:highlight w:val="none"/>
              </w:rPr>
              <w:t>不存在第二章“投标人须知”第1.4.3项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r>
              <w:rPr>
                <w:rFonts w:ascii="宋体" w:hAnsi="宋体"/>
                <w:color w:val="000000"/>
                <w:szCs w:val="21"/>
                <w:highlight w:val="none"/>
              </w:rPr>
              <w:t xml:space="preserve"> </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（9）投标人符合第二章</w:t>
            </w:r>
            <w:r>
              <w:rPr>
                <w:rFonts w:ascii="宋体" w:hAnsi="宋体"/>
                <w:color w:val="000000"/>
                <w:szCs w:val="21"/>
                <w:highlight w:val="none"/>
              </w:rPr>
              <w:t>“投标人须知”第1.4.</w:t>
            </w:r>
            <w:r>
              <w:rPr>
                <w:rFonts w:hint="eastAsia" w:ascii="宋体" w:hAnsi="宋体"/>
                <w:color w:val="000000"/>
                <w:szCs w:val="21"/>
                <w:highlight w:val="none"/>
              </w:rPr>
              <w:t>5</w:t>
            </w:r>
            <w:r>
              <w:rPr>
                <w:rFonts w:ascii="宋体" w:hAnsi="宋体"/>
                <w:color w:val="000000"/>
                <w:szCs w:val="21"/>
                <w:highlight w:val="none"/>
              </w:rPr>
              <w:t>项规定</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4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2.2.1</w:t>
            </w:r>
          </w:p>
        </w:tc>
        <w:tc>
          <w:tcPr>
            <w:tcW w:w="89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分值构成(总分100分)</w:t>
            </w:r>
          </w:p>
        </w:tc>
        <w:tc>
          <w:tcPr>
            <w:tcW w:w="7829"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leftChars="0"/>
              <w:jc w:val="left"/>
              <w:rPr>
                <w:rFonts w:hint="eastAsia" w:ascii="宋体" w:hAnsi="宋体"/>
                <w:color w:val="000000"/>
                <w:szCs w:val="21"/>
                <w:highlight w:val="none"/>
              </w:rPr>
            </w:pPr>
            <w:r>
              <w:rPr>
                <w:rFonts w:hint="eastAsia" w:ascii="宋体" w:hAnsi="宋体"/>
                <w:color w:val="000000"/>
                <w:szCs w:val="21"/>
                <w:highlight w:val="none"/>
              </w:rPr>
              <w:t>其它因素：</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10 </w:t>
            </w:r>
            <w:r>
              <w:rPr>
                <w:rFonts w:hint="eastAsia" w:ascii="宋体" w:hAnsi="宋体"/>
                <w:color w:val="000000"/>
                <w:szCs w:val="21"/>
                <w:highlight w:val="none"/>
                <w:u w:val="single"/>
              </w:rPr>
              <w:t xml:space="preserve"> </w:t>
            </w:r>
            <w:r>
              <w:rPr>
                <w:rFonts w:hint="eastAsia" w:ascii="宋体" w:hAnsi="宋体"/>
                <w:color w:val="000000"/>
                <w:szCs w:val="21"/>
                <w:highlight w:val="none"/>
              </w:rPr>
              <w:t>分</w:t>
            </w:r>
          </w:p>
          <w:p>
            <w:pPr>
              <w:pStyle w:val="2"/>
              <w:spacing w:line="360" w:lineRule="exact"/>
              <w:ind w:left="0" w:leftChars="0"/>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评标价</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90</w:t>
            </w:r>
            <w:r>
              <w:rPr>
                <w:rFonts w:hint="eastAsia" w:ascii="宋体" w:hAnsi="宋体"/>
                <w:color w:val="000000"/>
                <w:szCs w:val="21"/>
                <w:highlight w:val="none"/>
                <w:u w:val="single"/>
              </w:rPr>
              <w:t xml:space="preserve"> </w:t>
            </w:r>
            <w:r>
              <w:rPr>
                <w:rFonts w:hint="eastAsia" w:ascii="宋体" w:hAnsi="宋体"/>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jc w:val="center"/>
        </w:trPr>
        <w:tc>
          <w:tcPr>
            <w:tcW w:w="74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2.2.2</w:t>
            </w:r>
          </w:p>
        </w:tc>
        <w:tc>
          <w:tcPr>
            <w:tcW w:w="89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评标基准价计算方法</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评标基准价的计算：</w:t>
            </w: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在开标现场，招标人将当场计算并宣布评标基准价。</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 评标价的确定：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投标人评标价＝报价函文字报价</w:t>
            </w:r>
          </w:p>
          <w:p>
            <w:pPr>
              <w:spacing w:line="360" w:lineRule="exact"/>
              <w:rPr>
                <w:rFonts w:hint="eastAsia" w:ascii="宋体" w:hAnsi="宋体"/>
                <w:b/>
                <w:color w:val="000000"/>
                <w:kern w:val="0"/>
                <w:szCs w:val="21"/>
                <w:highlight w:val="none"/>
              </w:rPr>
            </w:pPr>
            <w:r>
              <w:rPr>
                <w:rFonts w:hint="eastAsia" w:ascii="宋体" w:hAnsi="宋体"/>
                <w:b/>
                <w:color w:val="000000"/>
                <w:kern w:val="0"/>
                <w:szCs w:val="21"/>
                <w:highlight w:val="none"/>
              </w:rPr>
              <w:t>(2) 最高评标限价的确定</w:t>
            </w:r>
          </w:p>
          <w:p>
            <w:pPr>
              <w:spacing w:line="360" w:lineRule="exact"/>
              <w:ind w:firstLine="430" w:firstLineChars="205"/>
              <w:rPr>
                <w:rFonts w:hint="eastAsia" w:ascii="宋体" w:hAnsi="宋体"/>
                <w:color w:val="000000"/>
                <w:kern w:val="0"/>
                <w:szCs w:val="21"/>
                <w:highlight w:val="none"/>
              </w:rPr>
            </w:pPr>
            <w:r>
              <w:rPr>
                <w:rFonts w:hint="eastAsia" w:ascii="宋体" w:hAnsi="宋体"/>
                <w:color w:val="000000"/>
                <w:kern w:val="0"/>
                <w:szCs w:val="21"/>
                <w:highlight w:val="none"/>
              </w:rPr>
              <w:t>招标人在施工图设计文件的基础上，根据本招标文件规定的条件和标准，自行编制或委托有相应资质单位编制预算价，经主管部门审核后确定的预算价为最高投标限价。</w:t>
            </w:r>
          </w:p>
          <w:tbl>
            <w:tblPr>
              <w:tblStyle w:val="7"/>
              <w:tblW w:w="7100" w:type="dxa"/>
              <w:jc w:val="center"/>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1358"/>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2612" w:type="dxa"/>
                  <w:vAlign w:val="center"/>
                </w:tcPr>
                <w:p>
                  <w:pPr>
                    <w:widowControl/>
                    <w:spacing w:line="360" w:lineRule="exact"/>
                    <w:jc w:val="center"/>
                    <w:textAlignment w:val="center"/>
                    <w:rPr>
                      <w:rFonts w:hint="eastAsia" w:ascii="宋体" w:hAnsi="宋体" w:eastAsia="宋体" w:cs="宋体"/>
                      <w:b/>
                      <w:bCs/>
                      <w:color w:val="auto"/>
                      <w:kern w:val="2"/>
                      <w:szCs w:val="21"/>
                      <w:highlight w:val="none"/>
                      <w:lang w:val="en-US" w:eastAsia="zh-CN"/>
                    </w:rPr>
                  </w:pPr>
                  <w:r>
                    <w:rPr>
                      <w:rFonts w:hint="eastAsia" w:ascii="宋体" w:hAnsi="宋体" w:eastAsia="宋体" w:cs="宋体"/>
                      <w:b/>
                      <w:bCs/>
                      <w:i w:val="0"/>
                      <w:color w:val="auto"/>
                      <w:sz w:val="21"/>
                      <w:szCs w:val="21"/>
                      <w:highlight w:val="none"/>
                      <w:u w:val="none"/>
                      <w:lang w:val="en-US" w:eastAsia="zh-CN"/>
                    </w:rPr>
                    <w:t>标段名称</w:t>
                  </w:r>
                </w:p>
              </w:tc>
              <w:tc>
                <w:tcPr>
                  <w:tcW w:w="4488" w:type="dxa"/>
                  <w:gridSpan w:val="2"/>
                  <w:vAlign w:val="center"/>
                </w:tcPr>
                <w:p>
                  <w:pPr>
                    <w:widowControl/>
                    <w:spacing w:line="360" w:lineRule="exact"/>
                    <w:jc w:val="center"/>
                    <w:textAlignment w:val="center"/>
                    <w:rPr>
                      <w:rFonts w:hint="eastAsia" w:ascii="宋体" w:hAnsi="宋体" w:eastAsia="宋体" w:cs="宋体"/>
                      <w:b/>
                      <w:bCs/>
                      <w:color w:val="auto"/>
                      <w:kern w:val="2"/>
                      <w:szCs w:val="21"/>
                      <w:highlight w:val="none"/>
                    </w:rPr>
                  </w:pPr>
                  <w:r>
                    <w:rPr>
                      <w:rFonts w:hint="eastAsia" w:ascii="宋体" w:hAnsi="宋体" w:eastAsia="宋体" w:cs="宋体"/>
                      <w:b/>
                      <w:bCs/>
                      <w:i w:val="0"/>
                      <w:color w:val="auto"/>
                      <w:sz w:val="21"/>
                      <w:szCs w:val="21"/>
                      <w:highlight w:val="none"/>
                      <w:u w:val="none"/>
                      <w:lang w:val="en-US" w:eastAsia="zh-CN"/>
                    </w:rPr>
                    <w:t>标段最高投标限价（元）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2612" w:type="dxa"/>
                  <w:vMerge w:val="restart"/>
                  <w:vAlign w:val="center"/>
                </w:tcPr>
                <w:p>
                  <w:pPr>
                    <w:spacing w:line="360" w:lineRule="exact"/>
                    <w:jc w:val="center"/>
                    <w:rPr>
                      <w:rFonts w:hint="default" w:ascii="宋体" w:hAnsi="宋体"/>
                      <w:kern w:val="0"/>
                      <w:szCs w:val="21"/>
                      <w:highlight w:val="none"/>
                      <w:lang w:val="en-US"/>
                    </w:rPr>
                  </w:pPr>
                  <w:r>
                    <w:rPr>
                      <w:rFonts w:hint="eastAsia" w:ascii="宋体" w:hAnsi="宋体"/>
                      <w:b/>
                      <w:bCs/>
                      <w:kern w:val="0"/>
                      <w:szCs w:val="21"/>
                      <w:highlight w:val="none"/>
                      <w:lang w:val="en-US" w:eastAsia="zh-CN"/>
                    </w:rPr>
                    <w:t>标段最高投标限价（元）</w:t>
                  </w: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大写</w:t>
                  </w:r>
                </w:p>
              </w:tc>
              <w:tc>
                <w:tcPr>
                  <w:tcW w:w="3130" w:type="dxa"/>
                  <w:vAlign w:val="center"/>
                </w:tcPr>
                <w:p>
                  <w:pPr>
                    <w:spacing w:line="360" w:lineRule="exact"/>
                    <w:jc w:val="center"/>
                    <w:rPr>
                      <w:rFonts w:hint="eastAsia" w:ascii="宋体" w:hAnsi="宋体"/>
                      <w:b/>
                      <w:bCs/>
                      <w:kern w:val="0"/>
                      <w:szCs w:val="21"/>
                      <w:highlight w:val="none"/>
                    </w:rPr>
                  </w:pPr>
                  <w:r>
                    <w:rPr>
                      <w:rFonts w:hint="eastAsia" w:ascii="宋体" w:hAnsi="宋体"/>
                      <w:b/>
                      <w:bCs/>
                      <w:kern w:val="0"/>
                      <w:szCs w:val="21"/>
                      <w:highlight w:val="none"/>
                    </w:rPr>
                    <w:fldChar w:fldCharType="begin"/>
                  </w:r>
                  <w:r>
                    <w:rPr>
                      <w:rFonts w:hint="eastAsia" w:ascii="宋体" w:hAnsi="宋体"/>
                      <w:b/>
                      <w:bCs/>
                      <w:kern w:val="0"/>
                      <w:szCs w:val="21"/>
                      <w:highlight w:val="none"/>
                    </w:rPr>
                    <w:instrText xml:space="preserve"> = 6348010 \* CHINESENUM2 \* MERGEFORMAT </w:instrText>
                  </w:r>
                  <w:r>
                    <w:rPr>
                      <w:rFonts w:hint="eastAsia" w:ascii="宋体" w:hAnsi="宋体"/>
                      <w:b/>
                      <w:bCs/>
                      <w:kern w:val="0"/>
                      <w:szCs w:val="21"/>
                      <w:highlight w:val="none"/>
                    </w:rPr>
                    <w:fldChar w:fldCharType="separate"/>
                  </w:r>
                  <w:r>
                    <w:rPr>
                      <w:b/>
                      <w:bCs/>
                    </w:rPr>
                    <w:t>陆佰叁拾肆万捌仟零壹拾</w:t>
                  </w:r>
                  <w:r>
                    <w:rPr>
                      <w:rFonts w:hint="eastAsia" w:ascii="宋体" w:hAnsi="宋体"/>
                      <w:b/>
                      <w:bCs/>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612" w:type="dxa"/>
                  <w:vMerge w:val="continue"/>
                  <w:vAlign w:val="center"/>
                </w:tcPr>
                <w:p>
                  <w:pPr>
                    <w:spacing w:line="360" w:lineRule="exact"/>
                    <w:jc w:val="center"/>
                    <w:rPr>
                      <w:rFonts w:hint="eastAsia" w:ascii="宋体" w:hAnsi="宋体"/>
                      <w:kern w:val="0"/>
                      <w:szCs w:val="21"/>
                      <w:highlight w:val="none"/>
                    </w:rPr>
                  </w:pP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小写</w:t>
                  </w:r>
                </w:p>
              </w:tc>
              <w:tc>
                <w:tcPr>
                  <w:tcW w:w="3130" w:type="dxa"/>
                  <w:vAlign w:val="center"/>
                </w:tcPr>
                <w:p>
                  <w:pPr>
                    <w:spacing w:line="360" w:lineRule="exact"/>
                    <w:jc w:val="center"/>
                    <w:rPr>
                      <w:rFonts w:hint="eastAsia" w:ascii="宋体" w:hAnsi="宋体" w:eastAsia="宋体"/>
                      <w:b/>
                      <w:bCs/>
                      <w:kern w:val="0"/>
                      <w:szCs w:val="21"/>
                      <w:highlight w:val="none"/>
                      <w:lang w:val="en-US" w:eastAsia="zh-CN"/>
                    </w:rPr>
                  </w:pPr>
                  <w:r>
                    <w:rPr>
                      <w:rFonts w:hint="eastAsia" w:ascii="宋体" w:hAnsi="宋体" w:eastAsia="宋体"/>
                      <w:b/>
                      <w:bCs/>
                      <w:kern w:val="0"/>
                      <w:szCs w:val="21"/>
                      <w:highlight w:val="none"/>
                      <w:lang w:val="en-US" w:eastAsia="zh-CN"/>
                    </w:rPr>
                    <w:t>6,348,010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r>
                    <w:rPr>
                      <w:rFonts w:hint="eastAsia" w:ascii="宋体" w:hAnsi="宋体" w:eastAsia="宋体" w:cs="宋体"/>
                      <w:b/>
                      <w:bCs/>
                      <w:i w:val="0"/>
                      <w:color w:val="auto"/>
                      <w:sz w:val="21"/>
                      <w:szCs w:val="21"/>
                      <w:highlight w:val="none"/>
                      <w:u w:val="none"/>
                      <w:lang w:val="en-US" w:eastAsia="zh-CN"/>
                    </w:rPr>
                    <w:t>合同段名称</w:t>
                  </w:r>
                </w:p>
              </w:tc>
              <w:tc>
                <w:tcPr>
                  <w:tcW w:w="4488" w:type="dxa"/>
                  <w:gridSpan w:val="2"/>
                  <w:vAlign w:val="center"/>
                </w:tcPr>
                <w:p>
                  <w:pPr>
                    <w:spacing w:line="360" w:lineRule="exact"/>
                    <w:jc w:val="center"/>
                    <w:rPr>
                      <w:rFonts w:hint="eastAsia" w:ascii="宋体" w:hAnsi="宋体"/>
                      <w:kern w:val="0"/>
                      <w:szCs w:val="21"/>
                      <w:highlight w:val="none"/>
                    </w:rPr>
                  </w:pPr>
                  <w:r>
                    <w:rPr>
                      <w:rFonts w:hint="eastAsia" w:ascii="宋体" w:hAnsi="宋体" w:eastAsia="宋体" w:cs="宋体"/>
                      <w:b/>
                      <w:bCs/>
                      <w:i w:val="0"/>
                      <w:color w:val="auto"/>
                      <w:sz w:val="21"/>
                      <w:szCs w:val="21"/>
                      <w:highlight w:val="none"/>
                      <w:u w:val="none"/>
                      <w:lang w:val="en-US" w:eastAsia="zh-CN"/>
                    </w:rPr>
                    <w:t>各合同段最高投标限价（元）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Merge w:val="restart"/>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r>
                    <w:rPr>
                      <w:rFonts w:hint="eastAsia" w:ascii="宋体" w:hAnsi="宋体" w:eastAsia="宋体" w:cs="宋体"/>
                      <w:b w:val="0"/>
                      <w:bCs w:val="0"/>
                      <w:i w:val="0"/>
                      <w:color w:val="auto"/>
                      <w:kern w:val="0"/>
                      <w:sz w:val="21"/>
                      <w:szCs w:val="21"/>
                      <w:highlight w:val="none"/>
                      <w:u w:val="none"/>
                      <w:lang w:val="en-US" w:eastAsia="zh-CN" w:bidi="ar"/>
                    </w:rPr>
                    <w:t>入口计重设备更新项目</w:t>
                  </w: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大写</w:t>
                  </w:r>
                </w:p>
              </w:tc>
              <w:tc>
                <w:tcPr>
                  <w:tcW w:w="3130"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fldChar w:fldCharType="begin"/>
                  </w:r>
                  <w:r>
                    <w:rPr>
                      <w:rFonts w:hint="eastAsia" w:ascii="宋体" w:hAnsi="宋体"/>
                      <w:kern w:val="0"/>
                      <w:szCs w:val="21"/>
                      <w:highlight w:val="none"/>
                    </w:rPr>
                    <w:instrText xml:space="preserve"> = 2487289 \* CHINESENUM2 \* MERGEFORMAT </w:instrText>
                  </w:r>
                  <w:r>
                    <w:rPr>
                      <w:rFonts w:hint="eastAsia" w:ascii="宋体" w:hAnsi="宋体"/>
                      <w:kern w:val="0"/>
                      <w:szCs w:val="21"/>
                      <w:highlight w:val="none"/>
                    </w:rPr>
                    <w:fldChar w:fldCharType="separate"/>
                  </w:r>
                  <w:r>
                    <w:t>贰佰肆拾捌万柒仟贰佰捌拾玖</w:t>
                  </w:r>
                  <w:r>
                    <w:rPr>
                      <w:rFonts w:hint="eastAsia" w:ascii="宋体" w:hAnsi="宋体"/>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Merge w:val="continue"/>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小写</w:t>
                  </w:r>
                </w:p>
              </w:tc>
              <w:tc>
                <w:tcPr>
                  <w:tcW w:w="3130"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2</w:t>
                  </w:r>
                  <w:r>
                    <w:rPr>
                      <w:rFonts w:hint="eastAsia" w:ascii="宋体" w:hAnsi="宋体"/>
                      <w:kern w:val="0"/>
                      <w:szCs w:val="21"/>
                      <w:highlight w:val="none"/>
                      <w:lang w:val="en-US" w:eastAsia="zh-CN"/>
                    </w:rPr>
                    <w:t>,</w:t>
                  </w:r>
                  <w:r>
                    <w:rPr>
                      <w:rFonts w:hint="eastAsia" w:ascii="宋体" w:hAnsi="宋体"/>
                      <w:kern w:val="0"/>
                      <w:szCs w:val="21"/>
                      <w:highlight w:val="none"/>
                    </w:rPr>
                    <w:t>487</w:t>
                  </w:r>
                  <w:r>
                    <w:rPr>
                      <w:rFonts w:hint="eastAsia" w:ascii="宋体" w:hAnsi="宋体"/>
                      <w:kern w:val="0"/>
                      <w:szCs w:val="21"/>
                      <w:highlight w:val="none"/>
                      <w:lang w:val="en-US" w:eastAsia="zh-CN"/>
                    </w:rPr>
                    <w:t>,</w:t>
                  </w:r>
                  <w:r>
                    <w:rPr>
                      <w:rFonts w:hint="eastAsia" w:ascii="宋体" w:hAnsi="宋体"/>
                      <w:kern w:val="0"/>
                      <w:szCs w:val="21"/>
                      <w:highlight w:val="none"/>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Merge w:val="restart"/>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r>
                    <w:rPr>
                      <w:rFonts w:hint="eastAsia" w:ascii="宋体" w:hAnsi="宋体" w:eastAsia="宋体" w:cs="宋体"/>
                      <w:b w:val="0"/>
                      <w:bCs w:val="0"/>
                      <w:i w:val="0"/>
                      <w:color w:val="auto"/>
                      <w:sz w:val="21"/>
                      <w:szCs w:val="21"/>
                      <w:highlight w:val="none"/>
                      <w:u w:val="none"/>
                      <w:lang w:val="en-US" w:eastAsia="zh-CN"/>
                    </w:rPr>
                    <w:t>入口双天线改造项目</w:t>
                  </w: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大写</w:t>
                  </w:r>
                </w:p>
              </w:tc>
              <w:tc>
                <w:tcPr>
                  <w:tcW w:w="3130"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fldChar w:fldCharType="begin"/>
                  </w:r>
                  <w:r>
                    <w:rPr>
                      <w:rFonts w:hint="eastAsia" w:ascii="宋体" w:hAnsi="宋体"/>
                      <w:kern w:val="0"/>
                      <w:szCs w:val="21"/>
                      <w:highlight w:val="none"/>
                    </w:rPr>
                    <w:instrText xml:space="preserve"> = 2699996 \* CHINESENUM2 \* MERGEFORMAT </w:instrText>
                  </w:r>
                  <w:r>
                    <w:rPr>
                      <w:rFonts w:hint="eastAsia" w:ascii="宋体" w:hAnsi="宋体"/>
                      <w:kern w:val="0"/>
                      <w:szCs w:val="21"/>
                      <w:highlight w:val="none"/>
                    </w:rPr>
                    <w:fldChar w:fldCharType="separate"/>
                  </w:r>
                  <w:r>
                    <w:t>贰佰陆拾玖万玖仟玖佰玖拾陆</w:t>
                  </w:r>
                  <w:r>
                    <w:rPr>
                      <w:rFonts w:hint="eastAsia" w:ascii="宋体" w:hAnsi="宋体"/>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Merge w:val="continue"/>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小写</w:t>
                  </w:r>
                </w:p>
              </w:tc>
              <w:tc>
                <w:tcPr>
                  <w:tcW w:w="3130"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2</w:t>
                  </w:r>
                  <w:r>
                    <w:rPr>
                      <w:rFonts w:hint="eastAsia" w:ascii="宋体" w:hAnsi="宋体"/>
                      <w:kern w:val="0"/>
                      <w:szCs w:val="21"/>
                      <w:highlight w:val="none"/>
                      <w:lang w:val="en-US" w:eastAsia="zh-CN"/>
                    </w:rPr>
                    <w:t>,</w:t>
                  </w:r>
                  <w:r>
                    <w:rPr>
                      <w:rFonts w:hint="eastAsia" w:ascii="宋体" w:hAnsi="宋体"/>
                      <w:kern w:val="0"/>
                      <w:szCs w:val="21"/>
                      <w:highlight w:val="none"/>
                    </w:rPr>
                    <w:t>699</w:t>
                  </w:r>
                  <w:r>
                    <w:rPr>
                      <w:rFonts w:hint="eastAsia" w:ascii="宋体" w:hAnsi="宋体"/>
                      <w:kern w:val="0"/>
                      <w:szCs w:val="21"/>
                      <w:highlight w:val="none"/>
                      <w:lang w:val="en-US" w:eastAsia="zh-CN"/>
                    </w:rPr>
                    <w:t>,</w:t>
                  </w:r>
                  <w:r>
                    <w:rPr>
                      <w:rFonts w:hint="eastAsia" w:ascii="宋体" w:hAnsi="宋体"/>
                      <w:kern w:val="0"/>
                      <w:szCs w:val="21"/>
                      <w:highlight w:val="none"/>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Merge w:val="restart"/>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r>
                    <w:rPr>
                      <w:rFonts w:hint="eastAsia" w:ascii="宋体" w:hAnsi="宋体" w:eastAsia="宋体" w:cs="宋体"/>
                      <w:b w:val="0"/>
                      <w:bCs w:val="0"/>
                      <w:i w:val="0"/>
                      <w:color w:val="auto"/>
                      <w:sz w:val="21"/>
                      <w:szCs w:val="21"/>
                      <w:highlight w:val="none"/>
                      <w:u w:val="none"/>
                      <w:lang w:val="en-US" w:eastAsia="zh-CN"/>
                    </w:rPr>
                    <w:t>新增自助发卡机项目</w:t>
                  </w: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大写</w:t>
                  </w:r>
                </w:p>
              </w:tc>
              <w:tc>
                <w:tcPr>
                  <w:tcW w:w="3130"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fldChar w:fldCharType="begin"/>
                  </w:r>
                  <w:r>
                    <w:rPr>
                      <w:rFonts w:hint="eastAsia" w:ascii="宋体" w:hAnsi="宋体"/>
                      <w:kern w:val="0"/>
                      <w:szCs w:val="21"/>
                      <w:highlight w:val="none"/>
                    </w:rPr>
                    <w:instrText xml:space="preserve"> = 1160725 \* CHINESENUM2 \* MERGEFORMAT </w:instrText>
                  </w:r>
                  <w:r>
                    <w:rPr>
                      <w:rFonts w:hint="eastAsia" w:ascii="宋体" w:hAnsi="宋体"/>
                      <w:kern w:val="0"/>
                      <w:szCs w:val="21"/>
                      <w:highlight w:val="none"/>
                    </w:rPr>
                    <w:fldChar w:fldCharType="separate"/>
                  </w:r>
                  <w:r>
                    <w:t>壹佰壹拾陆万零柒佰贰拾伍</w:t>
                  </w:r>
                  <w:r>
                    <w:rPr>
                      <w:rFonts w:hint="eastAsia" w:ascii="宋体" w:hAnsi="宋体"/>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612" w:type="dxa"/>
                  <w:vMerge w:val="continue"/>
                  <w:vAlign w:val="center"/>
                </w:tcPr>
                <w:p>
                  <w:pPr>
                    <w:keepNext w:val="0"/>
                    <w:keepLines w:val="0"/>
                    <w:widowControl/>
                    <w:suppressLineNumbers w:val="0"/>
                    <w:spacing w:line="360" w:lineRule="exact"/>
                    <w:jc w:val="center"/>
                    <w:textAlignment w:val="center"/>
                    <w:rPr>
                      <w:rFonts w:hint="eastAsia" w:ascii="宋体" w:hAnsi="宋体"/>
                      <w:kern w:val="0"/>
                      <w:szCs w:val="21"/>
                      <w:highlight w:val="none"/>
                    </w:rPr>
                  </w:pPr>
                </w:p>
              </w:tc>
              <w:tc>
                <w:tcPr>
                  <w:tcW w:w="1358"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小写</w:t>
                  </w:r>
                </w:p>
              </w:tc>
              <w:tc>
                <w:tcPr>
                  <w:tcW w:w="3130" w:type="dxa"/>
                  <w:vAlign w:val="center"/>
                </w:tcPr>
                <w:p>
                  <w:pPr>
                    <w:spacing w:line="360" w:lineRule="exact"/>
                    <w:jc w:val="center"/>
                    <w:rPr>
                      <w:rFonts w:hint="eastAsia" w:ascii="宋体" w:hAnsi="宋体"/>
                      <w:kern w:val="0"/>
                      <w:szCs w:val="21"/>
                      <w:highlight w:val="none"/>
                    </w:rPr>
                  </w:pPr>
                  <w:r>
                    <w:rPr>
                      <w:rFonts w:hint="eastAsia" w:ascii="宋体" w:hAnsi="宋体"/>
                      <w:kern w:val="0"/>
                      <w:szCs w:val="21"/>
                      <w:highlight w:val="none"/>
                    </w:rPr>
                    <w:t>1</w:t>
                  </w:r>
                  <w:r>
                    <w:rPr>
                      <w:rFonts w:hint="eastAsia" w:ascii="宋体" w:hAnsi="宋体"/>
                      <w:kern w:val="0"/>
                      <w:szCs w:val="21"/>
                      <w:highlight w:val="none"/>
                      <w:lang w:val="en-US" w:eastAsia="zh-CN"/>
                    </w:rPr>
                    <w:t>,</w:t>
                  </w:r>
                  <w:r>
                    <w:rPr>
                      <w:rFonts w:hint="eastAsia" w:ascii="宋体" w:hAnsi="宋体"/>
                      <w:kern w:val="0"/>
                      <w:szCs w:val="21"/>
                      <w:highlight w:val="none"/>
                    </w:rPr>
                    <w:t>160</w:t>
                  </w:r>
                  <w:r>
                    <w:rPr>
                      <w:rFonts w:hint="eastAsia" w:ascii="宋体" w:hAnsi="宋体"/>
                      <w:kern w:val="0"/>
                      <w:szCs w:val="21"/>
                      <w:highlight w:val="none"/>
                      <w:lang w:val="en-US" w:eastAsia="zh-CN"/>
                    </w:rPr>
                    <w:t>,</w:t>
                  </w:r>
                  <w:r>
                    <w:rPr>
                      <w:rFonts w:hint="eastAsia" w:ascii="宋体" w:hAnsi="宋体"/>
                      <w:kern w:val="0"/>
                      <w:szCs w:val="21"/>
                      <w:highlight w:val="none"/>
                    </w:rPr>
                    <w:t>725</w:t>
                  </w:r>
                </w:p>
              </w:tc>
            </w:tr>
          </w:tbl>
          <w:p>
            <w:pPr>
              <w:snapToGrid w:val="0"/>
              <w:spacing w:line="360" w:lineRule="exact"/>
              <w:ind w:firstLine="422" w:firstLineChars="200"/>
              <w:rPr>
                <w:rFonts w:hint="eastAsia" w:ascii="宋体" w:hAnsi="宋体"/>
                <w:b/>
                <w:snapToGrid w:val="0"/>
                <w:color w:val="000000"/>
                <w:szCs w:val="21"/>
                <w:highlight w:val="none"/>
              </w:rPr>
            </w:pPr>
          </w:p>
          <w:p>
            <w:pPr>
              <w:snapToGrid w:val="0"/>
              <w:spacing w:line="360" w:lineRule="exact"/>
              <w:ind w:firstLine="422" w:firstLineChars="200"/>
              <w:rPr>
                <w:rFonts w:hint="default" w:ascii="宋体" w:hAnsi="宋体" w:eastAsia="宋体"/>
                <w:b/>
                <w:snapToGrid w:val="0"/>
                <w:color w:val="000000"/>
                <w:szCs w:val="21"/>
                <w:highlight w:val="none"/>
                <w:lang w:val="en-US" w:eastAsia="zh-CN"/>
              </w:rPr>
            </w:pPr>
            <w:r>
              <w:rPr>
                <w:rFonts w:hint="eastAsia" w:ascii="宋体" w:hAnsi="宋体"/>
                <w:b/>
                <w:snapToGrid w:val="0"/>
                <w:color w:val="000000"/>
                <w:szCs w:val="21"/>
                <w:highlight w:val="none"/>
              </w:rPr>
              <w:t>投标人报价</w:t>
            </w:r>
            <w:r>
              <w:rPr>
                <w:rFonts w:hint="eastAsia" w:ascii="宋体" w:hAnsi="宋体"/>
                <w:b/>
                <w:snapToGrid w:val="0"/>
                <w:color w:val="000000"/>
                <w:szCs w:val="21"/>
                <w:highlight w:val="none"/>
                <w:lang w:val="en-US" w:eastAsia="zh-CN"/>
              </w:rPr>
              <w:t>既</w:t>
            </w:r>
            <w:r>
              <w:rPr>
                <w:rFonts w:hint="eastAsia" w:ascii="宋体" w:hAnsi="宋体"/>
                <w:b/>
                <w:snapToGrid w:val="0"/>
                <w:color w:val="000000"/>
                <w:szCs w:val="21"/>
                <w:highlight w:val="none"/>
              </w:rPr>
              <w:t>不能超过</w:t>
            </w:r>
            <w:r>
              <w:rPr>
                <w:rFonts w:hint="eastAsia" w:ascii="宋体" w:hAnsi="宋体"/>
                <w:b/>
                <w:snapToGrid w:val="0"/>
                <w:color w:val="000000"/>
                <w:szCs w:val="21"/>
                <w:highlight w:val="none"/>
                <w:lang w:val="en-US" w:eastAsia="zh-CN"/>
              </w:rPr>
              <w:t>标段</w:t>
            </w:r>
            <w:r>
              <w:rPr>
                <w:rFonts w:hint="eastAsia" w:ascii="宋体" w:hAnsi="宋体"/>
                <w:b/>
                <w:color w:val="000000"/>
                <w:kern w:val="0"/>
                <w:szCs w:val="21"/>
                <w:highlight w:val="none"/>
              </w:rPr>
              <w:t>最高投标限价，</w:t>
            </w:r>
            <w:r>
              <w:rPr>
                <w:rFonts w:hint="eastAsia" w:ascii="宋体" w:hAnsi="宋体"/>
                <w:b/>
                <w:color w:val="000000"/>
                <w:kern w:val="0"/>
                <w:szCs w:val="21"/>
                <w:highlight w:val="none"/>
                <w:lang w:val="en-US" w:eastAsia="zh-CN"/>
              </w:rPr>
              <w:t>又不能超过各合同段最高投标限价，</w:t>
            </w:r>
            <w:r>
              <w:rPr>
                <w:rFonts w:hint="eastAsia" w:ascii="宋体" w:hAnsi="宋体"/>
                <w:b/>
                <w:snapToGrid w:val="0"/>
                <w:color w:val="000000"/>
                <w:szCs w:val="21"/>
                <w:highlight w:val="none"/>
              </w:rPr>
              <w:t>否则按否决其投标处理。</w:t>
            </w:r>
          </w:p>
          <w:p>
            <w:pPr>
              <w:spacing w:line="360" w:lineRule="exact"/>
              <w:ind w:firstLine="411" w:firstLineChars="196"/>
              <w:rPr>
                <w:rFonts w:hint="eastAsia" w:ascii="宋体" w:hAnsi="宋体"/>
                <w:color w:val="000000"/>
                <w:kern w:val="0"/>
                <w:szCs w:val="21"/>
                <w:highlight w:val="none"/>
              </w:rPr>
            </w:pPr>
          </w:p>
          <w:p>
            <w:pPr>
              <w:spacing w:line="360" w:lineRule="exact"/>
              <w:ind w:firstLine="411" w:firstLineChars="196"/>
              <w:rPr>
                <w:rFonts w:hint="eastAsia" w:ascii="宋体" w:hAnsi="宋体"/>
                <w:color w:val="000000"/>
                <w:kern w:val="0"/>
                <w:szCs w:val="21"/>
                <w:highlight w:val="none"/>
              </w:rPr>
            </w:pPr>
            <w:r>
              <w:rPr>
                <w:rFonts w:hint="eastAsia" w:ascii="宋体" w:hAnsi="宋体"/>
                <w:color w:val="000000"/>
                <w:kern w:val="0"/>
                <w:szCs w:val="21"/>
                <w:highlight w:val="none"/>
              </w:rPr>
              <w:t>最高投标限价下浮率在开标前在开标现场采取摇珠方式确定。</w:t>
            </w:r>
          </w:p>
          <w:p>
            <w:pPr>
              <w:spacing w:line="360" w:lineRule="exact"/>
              <w:ind w:firstLine="411" w:firstLineChars="196"/>
              <w:rPr>
                <w:rFonts w:hint="eastAsia" w:ascii="宋体" w:hAnsi="宋体"/>
                <w:snapToGrid w:val="0"/>
                <w:color w:val="000000"/>
                <w:szCs w:val="21"/>
                <w:highlight w:val="none"/>
              </w:rPr>
            </w:pPr>
            <w:r>
              <w:rPr>
                <w:rFonts w:hint="eastAsia" w:ascii="宋体" w:hAnsi="宋体"/>
                <w:snapToGrid w:val="0"/>
                <w:color w:val="000000"/>
                <w:szCs w:val="21"/>
                <w:highlight w:val="none"/>
              </w:rPr>
              <w:t>摇珠操作办法如下：在下浮率</w:t>
            </w:r>
            <w:r>
              <w:rPr>
                <w:rFonts w:hint="eastAsia" w:ascii="宋体" w:hAnsi="宋体"/>
                <w:snapToGrid w:val="0"/>
                <w:color w:val="000000"/>
                <w:szCs w:val="21"/>
                <w:highlight w:val="none"/>
                <w:lang w:val="en-US" w:eastAsia="zh-CN"/>
              </w:rPr>
              <w:t>摇珠</w:t>
            </w:r>
            <w:r>
              <w:rPr>
                <w:rFonts w:hint="eastAsia" w:ascii="宋体" w:hAnsi="宋体"/>
                <w:snapToGrid w:val="0"/>
                <w:color w:val="000000"/>
                <w:szCs w:val="21"/>
                <w:highlight w:val="none"/>
              </w:rPr>
              <w:t>范围内，以0.1%为一档次增序确定摇珠号码，一共31个球</w:t>
            </w:r>
            <w:r>
              <w:rPr>
                <w:rFonts w:hint="eastAsia" w:ascii="宋体" w:hAnsi="宋体"/>
                <w:b/>
                <w:bCs/>
                <w:snapToGrid w:val="0"/>
                <w:color w:val="000000"/>
                <w:szCs w:val="21"/>
                <w:highlight w:val="none"/>
              </w:rPr>
              <w:t>，</w:t>
            </w:r>
            <w:r>
              <w:rPr>
                <w:rFonts w:hint="eastAsia" w:ascii="宋体" w:hAnsi="宋体"/>
                <w:snapToGrid w:val="0"/>
                <w:color w:val="000000"/>
                <w:szCs w:val="21"/>
                <w:highlight w:val="none"/>
              </w:rPr>
              <w:t>连续依次摇取三个球</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摇出的球不放回</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，摇出号码对应的下浮率平均值即为本</w:t>
            </w:r>
            <w:r>
              <w:rPr>
                <w:rFonts w:hint="eastAsia" w:ascii="宋体" w:hAnsi="宋体"/>
                <w:snapToGrid w:val="0"/>
                <w:color w:val="000000"/>
                <w:szCs w:val="21"/>
                <w:highlight w:val="none"/>
                <w:lang w:val="en-US" w:eastAsia="zh-CN"/>
              </w:rPr>
              <w:t>标段</w:t>
            </w:r>
            <w:r>
              <w:rPr>
                <w:rFonts w:hint="eastAsia" w:ascii="宋体" w:hAnsi="宋体"/>
                <w:snapToGrid w:val="0"/>
                <w:color w:val="000000"/>
                <w:szCs w:val="21"/>
                <w:highlight w:val="none"/>
              </w:rPr>
              <w:t>的下浮率。</w:t>
            </w:r>
          </w:p>
          <w:p>
            <w:pPr>
              <w:snapToGrid w:val="0"/>
              <w:spacing w:line="360" w:lineRule="exact"/>
              <w:ind w:firstLine="422" w:firstLineChars="200"/>
              <w:rPr>
                <w:rFonts w:hint="eastAsia" w:ascii="宋体" w:hAnsi="宋体"/>
                <w:snapToGrid w:val="0"/>
                <w:color w:val="000000"/>
                <w:szCs w:val="21"/>
                <w:highlight w:val="none"/>
              </w:rPr>
            </w:pPr>
            <w:r>
              <w:rPr>
                <w:rFonts w:hint="eastAsia" w:ascii="宋体" w:hAnsi="宋体"/>
                <w:b/>
                <w:snapToGrid w:val="0"/>
                <w:color w:val="000000"/>
                <w:szCs w:val="21"/>
                <w:highlight w:val="none"/>
              </w:rPr>
              <w:t>（注：下浮率范围控制在</w:t>
            </w:r>
            <w:r>
              <w:rPr>
                <w:rFonts w:hint="eastAsia" w:ascii="宋体" w:hAnsi="宋体"/>
                <w:b/>
                <w:snapToGrid w:val="0"/>
                <w:color w:val="000000"/>
                <w:szCs w:val="21"/>
                <w:highlight w:val="none"/>
                <w:u w:val="single"/>
              </w:rPr>
              <w:t xml:space="preserve"> 3 %～ 6 %</w:t>
            </w:r>
            <w:r>
              <w:rPr>
                <w:rFonts w:hint="eastAsia" w:ascii="宋体" w:hAnsi="宋体"/>
                <w:b/>
                <w:snapToGrid w:val="0"/>
                <w:color w:val="000000"/>
                <w:szCs w:val="21"/>
                <w:highlight w:val="none"/>
              </w:rPr>
              <w:t>浮动区间，摇出三个下浮率的平均值四舍五入精确到</w:t>
            </w:r>
            <w:r>
              <w:rPr>
                <w:rFonts w:ascii="宋体" w:hAnsi="宋体"/>
                <w:b/>
                <w:snapToGrid w:val="0"/>
                <w:color w:val="000000"/>
                <w:szCs w:val="21"/>
                <w:highlight w:val="none"/>
              </w:rPr>
              <w:t>0.001</w:t>
            </w:r>
            <w:r>
              <w:rPr>
                <w:rFonts w:hint="eastAsia" w:ascii="宋体" w:hAnsi="宋体"/>
                <w:b/>
                <w:snapToGrid w:val="0"/>
                <w:color w:val="000000"/>
                <w:szCs w:val="21"/>
                <w:highlight w:val="none"/>
              </w:rPr>
              <w:t>％）</w:t>
            </w:r>
          </w:p>
          <w:p>
            <w:pPr>
              <w:snapToGrid w:val="0"/>
              <w:spacing w:line="360" w:lineRule="exact"/>
              <w:ind w:firstLine="422" w:firstLineChars="200"/>
              <w:rPr>
                <w:rFonts w:hint="eastAsia" w:ascii="宋体" w:hAnsi="宋体"/>
                <w:b/>
                <w:color w:val="000000"/>
                <w:kern w:val="0"/>
                <w:szCs w:val="21"/>
                <w:highlight w:val="none"/>
              </w:rPr>
            </w:pPr>
            <w:r>
              <w:rPr>
                <w:rFonts w:hint="eastAsia" w:ascii="宋体" w:hAnsi="宋体"/>
                <w:b/>
                <w:color w:val="000000"/>
                <w:kern w:val="0"/>
                <w:szCs w:val="21"/>
                <w:highlight w:val="none"/>
              </w:rPr>
              <w:t>最高评标限价＝最高投标限价×（1-下浮率）</w:t>
            </w:r>
          </w:p>
          <w:p>
            <w:pPr>
              <w:snapToGrid w:val="0"/>
              <w:spacing w:line="360" w:lineRule="exact"/>
              <w:rPr>
                <w:rFonts w:hint="eastAsia" w:ascii="宋体" w:hAnsi="宋体"/>
                <w:b/>
                <w:snapToGrid w:val="0"/>
                <w:color w:val="000000"/>
                <w:szCs w:val="21"/>
                <w:highlight w:val="none"/>
              </w:rPr>
            </w:pPr>
            <w:r>
              <w:rPr>
                <w:rFonts w:hint="eastAsia" w:ascii="宋体" w:hAnsi="宋体"/>
                <w:b/>
                <w:snapToGrid w:val="0"/>
                <w:color w:val="000000"/>
                <w:szCs w:val="21"/>
                <w:highlight w:val="none"/>
              </w:rPr>
              <w:t>（3）有效评标价的范围：</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有效评标价的范围：不大于最高评标限价的评标价为有效评标价。</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若大于最高评标限价的评标价，将否决其投标。</w:t>
            </w:r>
          </w:p>
          <w:p>
            <w:pPr>
              <w:snapToGrid w:val="0"/>
              <w:spacing w:line="360" w:lineRule="exact"/>
              <w:rPr>
                <w:rFonts w:hint="eastAsia" w:ascii="宋体" w:hAnsi="宋体"/>
                <w:b/>
                <w:snapToGrid w:val="0"/>
                <w:color w:val="000000"/>
                <w:szCs w:val="21"/>
                <w:highlight w:val="none"/>
              </w:rPr>
            </w:pPr>
            <w:r>
              <w:rPr>
                <w:rFonts w:hint="eastAsia" w:ascii="宋体" w:hAnsi="宋体"/>
                <w:b/>
                <w:snapToGrid w:val="0"/>
                <w:color w:val="000000"/>
                <w:szCs w:val="21"/>
                <w:highlight w:val="none"/>
              </w:rPr>
              <w:t>（4）</w:t>
            </w:r>
            <w:r>
              <w:rPr>
                <w:rFonts w:ascii="宋体" w:hAnsi="宋体"/>
                <w:b/>
                <w:snapToGrid w:val="0"/>
                <w:color w:val="000000"/>
                <w:szCs w:val="21"/>
                <w:highlight w:val="none"/>
              </w:rPr>
              <w:t>评标基准价的确定</w:t>
            </w:r>
            <w:r>
              <w:rPr>
                <w:rFonts w:hint="eastAsia" w:ascii="宋体" w:hAnsi="宋体"/>
                <w:b/>
                <w:snapToGrid w:val="0"/>
                <w:color w:val="000000"/>
                <w:szCs w:val="21"/>
                <w:highlight w:val="none"/>
              </w:rPr>
              <w:t>：</w:t>
            </w:r>
          </w:p>
          <w:p>
            <w:pPr>
              <w:snapToGrid w:val="0"/>
              <w:spacing w:line="360" w:lineRule="exact"/>
              <w:ind w:firstLine="422" w:firstLineChars="200"/>
              <w:rPr>
                <w:rFonts w:hint="eastAsia" w:ascii="宋体" w:hAnsi="宋体"/>
                <w:b/>
                <w:snapToGrid w:val="0"/>
                <w:color w:val="000000"/>
                <w:szCs w:val="21"/>
                <w:highlight w:val="none"/>
              </w:rPr>
            </w:pPr>
            <w:r>
              <w:rPr>
                <w:rFonts w:hint="eastAsia" w:ascii="宋体" w:hAnsi="宋体"/>
                <w:b/>
                <w:snapToGrid w:val="0"/>
                <w:color w:val="000000"/>
                <w:szCs w:val="21"/>
                <w:highlight w:val="none"/>
              </w:rPr>
              <w:t>评标基准价=</w:t>
            </w:r>
            <w:r>
              <w:rPr>
                <w:rFonts w:hint="eastAsia" w:ascii="宋体" w:hAnsi="宋体"/>
                <w:b/>
                <w:color w:val="000000"/>
                <w:kern w:val="0"/>
                <w:szCs w:val="21"/>
                <w:highlight w:val="none"/>
              </w:rPr>
              <w:t>最高评标限价</w:t>
            </w:r>
            <w:r>
              <w:rPr>
                <w:rFonts w:hint="eastAsia" w:ascii="宋体" w:hAnsi="宋体"/>
                <w:b/>
                <w:snapToGrid w:val="0"/>
                <w:color w:val="000000"/>
                <w:szCs w:val="21"/>
                <w:highlight w:val="none"/>
              </w:rPr>
              <w:t>×0.98。</w:t>
            </w:r>
          </w:p>
          <w:p>
            <w:pPr>
              <w:spacing w:line="360" w:lineRule="exact"/>
              <w:ind w:firstLine="420" w:firstLineChars="200"/>
              <w:rPr>
                <w:rFonts w:hint="eastAsia" w:ascii="宋体" w:hAnsi="宋体"/>
                <w:color w:val="000000"/>
                <w:szCs w:val="21"/>
                <w:highlight w:val="none"/>
              </w:rPr>
            </w:pPr>
            <w:r>
              <w:rPr>
                <w:rFonts w:hint="eastAsia" w:ascii="宋体" w:hAnsi="宋体"/>
                <w:snapToGrid w:val="0"/>
                <w:color w:val="000000"/>
                <w:szCs w:val="21"/>
                <w:highlight w:val="none"/>
              </w:rPr>
              <w:t>备注：</w:t>
            </w:r>
            <w:r>
              <w:rPr>
                <w:rFonts w:hint="eastAsia" w:ascii="宋体" w:hAnsi="宋体"/>
                <w:color w:val="000000"/>
                <w:kern w:val="0"/>
                <w:szCs w:val="21"/>
                <w:highlight w:val="none"/>
              </w:rPr>
              <w:t>最高评标限价</w:t>
            </w:r>
            <w:r>
              <w:rPr>
                <w:rFonts w:hint="eastAsia" w:ascii="宋体" w:hAnsi="宋体"/>
                <w:color w:val="000000"/>
                <w:szCs w:val="21"/>
                <w:highlight w:val="none"/>
              </w:rPr>
              <w:t>、评标基准价D四舍五入精确至个位整数元。</w:t>
            </w:r>
          </w:p>
          <w:p>
            <w:pPr>
              <w:spacing w:line="360" w:lineRule="exact"/>
              <w:ind w:firstLine="413" w:firstLineChars="196"/>
              <w:rPr>
                <w:rFonts w:hint="eastAsia" w:ascii="宋体" w:hAnsi="宋体"/>
                <w:b/>
                <w:color w:val="000000"/>
                <w:szCs w:val="21"/>
                <w:highlight w:val="none"/>
              </w:rPr>
            </w:pPr>
          </w:p>
          <w:p>
            <w:pPr>
              <w:spacing w:line="360" w:lineRule="exact"/>
              <w:ind w:firstLine="413" w:firstLineChars="196"/>
              <w:rPr>
                <w:rFonts w:hint="eastAsia"/>
                <w:b/>
                <w:bCs/>
                <w:i w:val="0"/>
                <w:iCs w:val="0"/>
                <w:sz w:val="28"/>
                <w:szCs w:val="28"/>
                <w:highlight w:val="none"/>
                <w:lang w:val="en-US" w:eastAsia="zh-CN"/>
              </w:rPr>
            </w:pPr>
            <w:r>
              <w:rPr>
                <w:rFonts w:hint="eastAsia" w:ascii="宋体" w:hAnsi="宋体"/>
                <w:b/>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2"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2.2.3</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highlight w:val="none"/>
              </w:rPr>
              <w:t>偏差率计算公式</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b/>
                <w:szCs w:val="21"/>
                <w:highlight w:val="none"/>
              </w:rPr>
            </w:pPr>
            <w:r>
              <w:rPr>
                <w:rFonts w:ascii="宋体" w:hAnsi="宋体"/>
                <w:color w:val="000000"/>
                <w:szCs w:val="21"/>
                <w:highlight w:val="none"/>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hint="eastAsia" w:ascii="宋体" w:hAnsi="宋体"/>
                <w:b/>
                <w:bCs/>
                <w:color w:val="000000"/>
                <w:szCs w:val="21"/>
                <w:highlight w:val="none"/>
              </w:rPr>
              <w:t>评标价</w:t>
            </w:r>
          </w:p>
        </w:tc>
        <w:tc>
          <w:tcPr>
            <w:tcW w:w="7829"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leftChars="0"/>
              <w:rPr>
                <w:rFonts w:hint="eastAsia" w:ascii="宋体" w:hAnsi="宋体"/>
                <w:b/>
                <w:color w:val="000000"/>
                <w:highlight w:val="none"/>
                <w:lang w:val="en-US" w:eastAsia="zh-CN"/>
              </w:rPr>
            </w:pPr>
            <w:r>
              <w:rPr>
                <w:rFonts w:hint="eastAsia" w:ascii="宋体" w:hAnsi="宋体"/>
                <w:b/>
                <w:color w:val="000000"/>
                <w:highlight w:val="none"/>
                <w:lang w:val="en-US" w:eastAsia="zh-CN"/>
              </w:rPr>
              <w:t>满分：90分；</w:t>
            </w:r>
          </w:p>
          <w:p>
            <w:pPr>
              <w:pStyle w:val="2"/>
              <w:spacing w:line="360" w:lineRule="exact"/>
              <w:rPr>
                <w:rFonts w:hint="eastAsia" w:ascii="宋体" w:hAnsi="宋体"/>
                <w:b/>
                <w:color w:val="000000"/>
                <w:highlight w:val="none"/>
              </w:rPr>
            </w:pPr>
            <w:r>
              <w:rPr>
                <w:rFonts w:hint="eastAsia" w:ascii="宋体" w:hAnsi="宋体"/>
                <w:b/>
                <w:color w:val="000000"/>
                <w:highlight w:val="none"/>
              </w:rPr>
              <w:t>评标价得分计算公式示例：</w:t>
            </w:r>
          </w:p>
          <w:p>
            <w:pPr>
              <w:pStyle w:val="2"/>
              <w:spacing w:line="360" w:lineRule="exact"/>
              <w:ind w:left="0"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当报价人的</w:t>
            </w:r>
            <w:r>
              <w:rPr>
                <w:rFonts w:hint="eastAsia" w:ascii="宋体" w:hAnsi="宋体"/>
                <w:b/>
                <w:bCs/>
                <w:sz w:val="21"/>
                <w:szCs w:val="21"/>
                <w:highlight w:val="none"/>
                <w:lang w:val="en-US" w:eastAsia="zh-CN"/>
              </w:rPr>
              <w:t>评标价</w:t>
            </w:r>
            <w:r>
              <w:rPr>
                <w:rFonts w:hint="eastAsia" w:ascii="宋体" w:hAnsi="宋体"/>
                <w:sz w:val="21"/>
                <w:szCs w:val="21"/>
                <w:highlight w:val="none"/>
                <w:lang w:val="en-US" w:eastAsia="zh-CN"/>
              </w:rPr>
              <w:t>等于D时得满分，每高于D一个百分点扣1.5分，每低于D一个百分点扣0.5分，中间值按比例内插。用公式表示如下：</w:t>
            </w:r>
          </w:p>
          <w:p>
            <w:pPr>
              <w:pStyle w:val="2"/>
              <w:spacing w:line="360" w:lineRule="auto"/>
              <w:rPr>
                <w:rFonts w:hint="eastAsia" w:ascii="宋体" w:hAnsi="宋体" w:eastAsia="宋体" w:cs="宋体"/>
                <w:szCs w:val="21"/>
                <w:highlight w:val="none"/>
              </w:rPr>
            </w:pPr>
            <w:r>
              <w:rPr>
                <w:rFonts w:hint="eastAsia" w:ascii="宋体" w:hAnsi="宋体" w:eastAsia="宋体" w:cs="宋体"/>
                <w:position w:val="-24"/>
                <w:szCs w:val="21"/>
                <w:highlight w:val="none"/>
              </w:rPr>
              <w:object>
                <v:shape id="_x0000_i1025" o:spt="75" type="#_x0000_t75" style="height:38.9pt;width:156.55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式中：</w:t>
            </w:r>
            <w:r>
              <w:rPr>
                <w:rFonts w:hint="eastAsia" w:ascii="宋体" w:hAnsi="宋体" w:eastAsia="宋体" w:cs="宋体"/>
                <w:sz w:val="21"/>
                <w:szCs w:val="21"/>
                <w:highlight w:val="none"/>
              </w:rPr>
              <w:object>
                <v:shape id="_x0000_i1026" o:spt="75" type="#_x0000_t75" style="height:18pt;width:13pt;" o:ole="t" filled="f" o:preferrelative="t" stroked="f" coordsize="21600,21600">
                  <v:path/>
                  <v:fill on="f" alignshape="1"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的评标价</w:t>
            </w:r>
            <w:r>
              <w:rPr>
                <w:rFonts w:hint="eastAsia" w:ascii="宋体" w:hAnsi="宋体" w:eastAsia="宋体" w:cs="宋体"/>
                <w:sz w:val="21"/>
                <w:szCs w:val="21"/>
                <w:highlight w:val="none"/>
              </w:rPr>
              <w:t>得分（精确到小数点后</w:t>
            </w:r>
            <w:r>
              <w:rPr>
                <w:rFonts w:hint="eastAsia" w:ascii="宋体" w:hAnsi="宋体" w:eastAsia="宋体" w:cs="宋体"/>
                <w:sz w:val="21"/>
                <w:szCs w:val="21"/>
                <w:highlight w:val="none"/>
                <w:lang w:val="en-US" w:eastAsia="zh-CN"/>
              </w:rPr>
              <w:t>两</w:t>
            </w:r>
            <w:r>
              <w:rPr>
                <w:rFonts w:hint="eastAsia" w:ascii="宋体" w:hAnsi="宋体" w:eastAsia="宋体" w:cs="宋体"/>
                <w:sz w:val="21"/>
                <w:szCs w:val="21"/>
                <w:highlight w:val="none"/>
              </w:rPr>
              <w:t>位）；</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7" o:spt="75" type="#_x0000_t75" style="height:13pt;width:13pt;" o:ole="t" filled="f" stroked="f" coordsize="21600,21600">
                  <v:path/>
                  <v:fill on="f" alignshape="1"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所占的百分比权重分值，F=</w:t>
            </w:r>
            <w:r>
              <w:rPr>
                <w:rFonts w:hint="eastAsia" w:ascii="宋体" w:hAnsi="宋体" w:eastAsia="宋体" w:cs="宋体"/>
                <w:sz w:val="21"/>
                <w:szCs w:val="21"/>
                <w:highlight w:val="none"/>
                <w:lang w:val="en-US" w:eastAsia="zh-CN"/>
              </w:rPr>
              <w:t>90</w:t>
            </w:r>
            <w:r>
              <w:rPr>
                <w:rFonts w:hint="eastAsia" w:ascii="宋体" w:hAnsi="宋体" w:eastAsia="宋体" w:cs="宋体"/>
                <w:sz w:val="21"/>
                <w:szCs w:val="21"/>
                <w:highlight w:val="none"/>
              </w:rPr>
              <w:t>；</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8"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报价人</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评标价</w:t>
            </w:r>
            <w:r>
              <w:rPr>
                <w:rFonts w:hint="eastAsia" w:ascii="宋体" w:hAnsi="宋体" w:eastAsia="宋体" w:cs="宋体"/>
                <w:sz w:val="21"/>
                <w:szCs w:val="21"/>
                <w:highlight w:val="none"/>
              </w:rPr>
              <w:t>；</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position w:val="-4"/>
                <w:sz w:val="21"/>
                <w:szCs w:val="21"/>
                <w:highlight w:val="none"/>
              </w:rPr>
              <w:object>
                <v:shape id="_x0000_i1029"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评标基准价</w:t>
            </w:r>
            <w:r>
              <w:rPr>
                <w:rFonts w:hint="eastAsia" w:ascii="宋体" w:hAnsi="宋体" w:eastAsia="宋体" w:cs="宋体"/>
                <w:sz w:val="21"/>
                <w:szCs w:val="21"/>
                <w:highlight w:val="none"/>
              </w:rPr>
              <w:t>。</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0"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30" DrawAspect="Content" ObjectID="_1468075730" r:id="rId16">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1"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31" DrawAspect="Content" ObjectID="_1468075731" r:id="rId17">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2" o:spt="75" type="#_x0000_t75" style="height:13pt;width:12pt;" o:ole="t" filled="f" stroked="f" coordsize="21600,21600">
                  <v:path/>
                  <v:fill on="f" alignshape="1" focussize="0,0"/>
                  <v:stroke on="f"/>
                  <v:imagedata r:id="rId19" o:title=""/>
                  <o:lock v:ext="edit" aspectratio="t"/>
                  <w10:wrap type="none"/>
                  <w10:anchorlock/>
                </v:shape>
                <o:OLEObject Type="Embed" ProgID="Equation.3" ShapeID="_x0000_i1032" DrawAspect="Content" ObjectID="_1468075732" r:id="rId18">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3" o:spt="75" type="#_x0000_t75" style="height:18pt;width:15pt;" o:ole="t" filled="f" o:preferrelative="t" stroked="f" coordsize="21600,21600">
                  <v:path/>
                  <v:fill on="f" alignshape="1" focussize="0,0"/>
                  <v:stroke on="f"/>
                  <v:imagedata r:id="rId13" o:title=""/>
                  <o:lock v:ext="edit" aspectratio="t"/>
                  <w10:wrap type="none"/>
                  <w10:anchorlock/>
                </v:shape>
                <o:OLEObject Type="Embed" ProgID="Equation.3" ShapeID="_x0000_i1033" DrawAspect="Content" ObjectID="_1468075733" r:id="rId20">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4" o:spt="75" type="#_x0000_t75" style="height:13pt;width:13pt;" o:ole="t" filled="f" o:preferrelative="t" stroked="f" coordsize="21600,21600">
                  <v:path/>
                  <v:fill on="f" focussize="0,0"/>
                  <v:stroke on="f"/>
                  <v:imagedata r:id="rId15" o:title=""/>
                  <o:lock v:ext="edit" aspectratio="t"/>
                  <w10:wrap type="none"/>
                  <w10:anchorlock/>
                </v:shape>
                <o:OLEObject Type="Embed" ProgID="Equation.KSEE3" ShapeID="_x0000_i1034" DrawAspect="Content" ObjectID="_1468075734" r:id="rId21">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5" o:spt="75" type="#_x0000_t75" style="height:13pt;width:12pt;" o:ole="t" filled="f" stroked="f" coordsize="21600,21600">
                  <v:path/>
                  <v:fill on="f" alignshape="1" focussize="0,0"/>
                  <v:stroke on="f"/>
                  <v:imagedata r:id="rId19" o:title=""/>
                  <o:lock v:ext="edit" aspectratio="t"/>
                  <w10:wrap type="none"/>
                  <w10:anchorlock/>
                </v:shape>
                <o:OLEObject Type="Embed" ProgID="Equation.3" ShapeID="_x0000_i1035" DrawAspect="Content" ObjectID="_1468075735" r:id="rId22">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w:t>
            </w:r>
          </w:p>
          <w:p>
            <w:pPr>
              <w:pStyle w:val="2"/>
              <w:spacing w:line="360" w:lineRule="exact"/>
              <w:rPr>
                <w:rFonts w:hint="eastAsia"/>
                <w:b/>
                <w:bCs/>
                <w:sz w:val="28"/>
                <w:szCs w:val="28"/>
                <w:highlight w:val="none"/>
                <w:lang w:val="en-US" w:eastAsia="zh-CN"/>
              </w:rPr>
            </w:pPr>
            <w:r>
              <w:rPr>
                <w:rFonts w:hint="eastAsia" w:ascii="宋体" w:hAnsi="宋体"/>
                <w:b/>
                <w:color w:val="000000"/>
                <w:highlight w:val="none"/>
              </w:rPr>
              <w:t>注：评标价得分分值计算保留小数点后两位，小数点后第三位“四舍五入”。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0"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2</w:t>
            </w:r>
            <w:r>
              <w:rPr>
                <w:rFonts w:hint="eastAsia" w:ascii="宋体" w:hAnsi="宋体"/>
                <w:b/>
                <w:bCs/>
                <w:color w:val="000000"/>
                <w:szCs w:val="21"/>
                <w:highlight w:val="none"/>
              </w:rPr>
              <w:t>）</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lang w:val="en-US" w:eastAsia="zh-CN"/>
              </w:rPr>
            </w:pPr>
            <w:r>
              <w:rPr>
                <w:rFonts w:hint="eastAsia" w:ascii="宋体" w:hAnsi="宋体"/>
                <w:b/>
                <w:bCs/>
                <w:color w:val="000000"/>
                <w:szCs w:val="21"/>
                <w:highlight w:val="none"/>
                <w:lang w:val="en-US" w:eastAsia="zh-CN"/>
              </w:rPr>
              <w:t>其他因素：</w:t>
            </w:r>
          </w:p>
          <w:p>
            <w:pPr>
              <w:spacing w:line="360" w:lineRule="exact"/>
              <w:jc w:val="center"/>
              <w:rPr>
                <w:rFonts w:ascii="宋体" w:hAnsi="宋体"/>
                <w:color w:val="000000"/>
                <w:szCs w:val="21"/>
                <w:highlight w:val="none"/>
              </w:rPr>
            </w:pPr>
            <w:r>
              <w:rPr>
                <w:rFonts w:hint="eastAsia" w:ascii="宋体" w:hAnsi="宋体"/>
                <w:b/>
                <w:bCs/>
                <w:color w:val="000000"/>
                <w:highlight w:val="none"/>
                <w:lang w:val="en-US" w:eastAsia="zh-CN"/>
              </w:rPr>
              <w:t>履约信誉情况</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b/>
                <w:color w:val="000000"/>
                <w:highlight w:val="none"/>
                <w:lang w:val="en-US" w:eastAsia="zh-CN"/>
              </w:rPr>
            </w:pPr>
            <w:r>
              <w:rPr>
                <w:rFonts w:hint="eastAsia" w:ascii="宋体" w:hAnsi="宋体"/>
                <w:b/>
                <w:color w:val="000000"/>
                <w:highlight w:val="none"/>
                <w:lang w:val="en-US" w:eastAsia="zh-CN"/>
              </w:rPr>
              <w:t>满分：10分</w:t>
            </w:r>
          </w:p>
          <w:p>
            <w:pPr>
              <w:spacing w:line="360" w:lineRule="exact"/>
              <w:ind w:firstLine="422" w:firstLineChars="200"/>
              <w:rPr>
                <w:b/>
                <w:bCs/>
                <w:highlight w:val="none"/>
              </w:rPr>
            </w:pPr>
            <w:r>
              <w:rPr>
                <w:b/>
                <w:bCs/>
                <w:highlight w:val="none"/>
              </w:rPr>
              <w:t>1</w:t>
            </w:r>
            <w:r>
              <w:rPr>
                <w:rFonts w:hint="eastAsia"/>
                <w:b/>
                <w:bCs/>
                <w:highlight w:val="none"/>
              </w:rPr>
              <w:t>、信用等级：</w:t>
            </w:r>
            <w:r>
              <w:rPr>
                <w:rFonts w:hint="eastAsia"/>
                <w:b/>
                <w:bCs/>
                <w:highlight w:val="none"/>
                <w:lang w:val="en-US" w:eastAsia="zh-CN"/>
              </w:rPr>
              <w:t>5</w:t>
            </w:r>
            <w:r>
              <w:rPr>
                <w:b/>
                <w:bCs/>
                <w:highlight w:val="none"/>
              </w:rPr>
              <w:t xml:space="preserve"> </w:t>
            </w:r>
            <w:r>
              <w:rPr>
                <w:rFonts w:hint="eastAsia"/>
                <w:b/>
                <w:bCs/>
                <w:highlight w:val="none"/>
              </w:rPr>
              <w:t>分</w:t>
            </w:r>
          </w:p>
          <w:p>
            <w:pPr>
              <w:spacing w:line="360" w:lineRule="exact"/>
              <w:ind w:left="-63" w:leftChars="-30" w:firstLine="420" w:firstLineChars="200"/>
              <w:rPr>
                <w:rFonts w:hint="eastAsia"/>
                <w:highlight w:val="none"/>
              </w:rPr>
            </w:pPr>
            <w:r>
              <w:rPr>
                <w:highlight w:val="none"/>
              </w:rPr>
              <w:t xml:space="preserve">AA </w:t>
            </w:r>
            <w:r>
              <w:rPr>
                <w:rFonts w:hint="eastAsia"/>
                <w:highlight w:val="none"/>
              </w:rPr>
              <w:t>级得</w:t>
            </w:r>
            <w:r>
              <w:rPr>
                <w:rFonts w:hint="eastAsia"/>
                <w:highlight w:val="none"/>
                <w:lang w:val="en-US" w:eastAsia="zh-CN"/>
              </w:rPr>
              <w:t>5</w:t>
            </w:r>
            <w:r>
              <w:rPr>
                <w:rFonts w:hint="eastAsia"/>
                <w:highlight w:val="none"/>
              </w:rPr>
              <w:t>分，</w:t>
            </w:r>
            <w:r>
              <w:rPr>
                <w:highlight w:val="none"/>
              </w:rPr>
              <w:t xml:space="preserve">A </w:t>
            </w:r>
            <w:r>
              <w:rPr>
                <w:rFonts w:hint="eastAsia"/>
                <w:highlight w:val="none"/>
              </w:rPr>
              <w:t>级得</w:t>
            </w:r>
            <w:r>
              <w:rPr>
                <w:rFonts w:hint="eastAsia"/>
                <w:highlight w:val="none"/>
                <w:lang w:val="en-US" w:eastAsia="zh-CN"/>
              </w:rPr>
              <w:t>4.75</w:t>
            </w:r>
            <w:r>
              <w:rPr>
                <w:rFonts w:hint="eastAsia"/>
                <w:highlight w:val="none"/>
              </w:rPr>
              <w:t>分，</w:t>
            </w:r>
            <w:r>
              <w:rPr>
                <w:highlight w:val="none"/>
              </w:rPr>
              <w:t xml:space="preserve">B </w:t>
            </w:r>
            <w:r>
              <w:rPr>
                <w:rFonts w:hint="eastAsia"/>
                <w:highlight w:val="none"/>
              </w:rPr>
              <w:t>级得</w:t>
            </w:r>
            <w:r>
              <w:rPr>
                <w:rFonts w:hint="eastAsia"/>
                <w:highlight w:val="none"/>
                <w:lang w:val="en-US" w:eastAsia="zh-CN"/>
              </w:rPr>
              <w:t xml:space="preserve">4.45 </w:t>
            </w:r>
            <w:r>
              <w:rPr>
                <w:rFonts w:hint="eastAsia"/>
                <w:highlight w:val="none"/>
              </w:rPr>
              <w:t>分，</w:t>
            </w:r>
            <w:r>
              <w:rPr>
                <w:highlight w:val="none"/>
              </w:rPr>
              <w:t>C</w:t>
            </w:r>
            <w:r>
              <w:rPr>
                <w:rFonts w:hint="eastAsia"/>
                <w:highlight w:val="none"/>
              </w:rPr>
              <w:t>级得</w:t>
            </w:r>
            <w:r>
              <w:rPr>
                <w:rFonts w:hint="eastAsia"/>
                <w:highlight w:val="none"/>
                <w:lang w:val="en-US" w:eastAsia="zh-CN"/>
              </w:rPr>
              <w:t>3.65</w:t>
            </w:r>
            <w:r>
              <w:rPr>
                <w:highlight w:val="none"/>
              </w:rPr>
              <w:t xml:space="preserve"> </w:t>
            </w:r>
            <w:r>
              <w:rPr>
                <w:rFonts w:hint="eastAsia"/>
                <w:highlight w:val="none"/>
              </w:rPr>
              <w:t>分。</w:t>
            </w:r>
          </w:p>
          <w:p>
            <w:pPr>
              <w:spacing w:line="360" w:lineRule="exact"/>
              <w:ind w:left="-63" w:leftChars="-30" w:firstLine="420" w:firstLineChars="200"/>
              <w:rPr>
                <w:rFonts w:hint="eastAsia"/>
                <w:highlight w:val="none"/>
              </w:rPr>
            </w:pPr>
            <w:r>
              <w:rPr>
                <w:rFonts w:hint="eastAsia"/>
                <w:highlight w:val="none"/>
              </w:rPr>
              <w:t>注：信用等级的确定原则遵循投标人须知前附表10.2款的规定。</w:t>
            </w:r>
          </w:p>
          <w:p>
            <w:pPr>
              <w:spacing w:line="360" w:lineRule="exact"/>
              <w:ind w:left="-63" w:leftChars="-30" w:firstLine="422" w:firstLineChars="200"/>
              <w:rPr>
                <w:rFonts w:hint="eastAsia"/>
                <w:b/>
                <w:bCs/>
                <w:highlight w:val="none"/>
              </w:rPr>
            </w:pPr>
            <w:r>
              <w:rPr>
                <w:b/>
                <w:bCs/>
                <w:highlight w:val="none"/>
              </w:rPr>
              <w:t>2</w:t>
            </w:r>
            <w:r>
              <w:rPr>
                <w:rFonts w:hint="eastAsia"/>
                <w:b/>
                <w:bCs/>
                <w:highlight w:val="none"/>
              </w:rPr>
              <w:t>、履约信誉：</w:t>
            </w:r>
            <w:r>
              <w:rPr>
                <w:rFonts w:hint="eastAsia"/>
                <w:b/>
                <w:bCs/>
                <w:highlight w:val="none"/>
                <w:lang w:val="en-US" w:eastAsia="zh-CN"/>
              </w:rPr>
              <w:t>5</w:t>
            </w:r>
            <w:r>
              <w:rPr>
                <w:rFonts w:hint="eastAsia"/>
                <w:b/>
                <w:bCs/>
                <w:highlight w:val="none"/>
              </w:rPr>
              <w:t>分</w:t>
            </w:r>
          </w:p>
          <w:p>
            <w:pPr>
              <w:spacing w:line="360" w:lineRule="exact"/>
              <w:ind w:left="-63" w:leftChars="-30" w:firstLine="420" w:firstLineChars="200"/>
              <w:rPr>
                <w:highlight w:val="none"/>
              </w:rPr>
            </w:pPr>
            <w:r>
              <w:rPr>
                <w:rFonts w:hint="eastAsia"/>
                <w:highlight w:val="none"/>
              </w:rPr>
              <w:t>若没出现下述情形得满分</w:t>
            </w:r>
            <w:r>
              <w:rPr>
                <w:rFonts w:hint="eastAsia"/>
                <w:highlight w:val="none"/>
                <w:lang w:val="en-US" w:eastAsia="zh-CN"/>
              </w:rPr>
              <w:t>5</w:t>
            </w:r>
            <w:r>
              <w:rPr>
                <w:rFonts w:hint="eastAsia"/>
                <w:highlight w:val="none"/>
              </w:rPr>
              <w:t>分。</w:t>
            </w:r>
          </w:p>
          <w:p>
            <w:pPr>
              <w:spacing w:line="360" w:lineRule="exact"/>
              <w:ind w:left="-63" w:leftChars="-30" w:firstLine="420" w:firstLineChars="200"/>
              <w:rPr>
                <w:highlight w:val="none"/>
              </w:rPr>
            </w:pPr>
            <w:r>
              <w:rPr>
                <w:rFonts w:hint="eastAsia"/>
                <w:highlight w:val="none"/>
                <w:lang w:val="en-US" w:eastAsia="zh-CN"/>
              </w:rPr>
              <w:t>投标文件递交截止日前1年内</w:t>
            </w:r>
            <w:r>
              <w:rPr>
                <w:rFonts w:hint="eastAsia"/>
                <w:highlight w:val="none"/>
              </w:rPr>
              <w:t>，</w:t>
            </w:r>
            <w:r>
              <w:rPr>
                <w:rFonts w:hint="eastAsia"/>
                <w:highlight w:val="none"/>
                <w:lang w:val="en-US" w:eastAsia="zh-CN"/>
              </w:rPr>
              <w:t>投标人</w:t>
            </w:r>
            <w:r>
              <w:rPr>
                <w:rFonts w:hint="eastAsia"/>
                <w:highlight w:val="none"/>
              </w:rPr>
              <w:t>因公路工程（含附属设施）质量、安全、履约或招标投标问题等原因被：</w:t>
            </w:r>
          </w:p>
          <w:p>
            <w:pPr>
              <w:spacing w:line="360" w:lineRule="exact"/>
              <w:ind w:left="-63" w:leftChars="-30" w:firstLine="315" w:firstLineChars="150"/>
              <w:rPr>
                <w:rFonts w:hint="eastAsia" w:ascii="Times New Roman" w:hAnsi="Times New Roman" w:eastAsia="宋体" w:cs="Times New Roman"/>
                <w:highlight w:val="none"/>
                <w:lang w:val="en-US" w:eastAsia="zh-CN"/>
              </w:rPr>
            </w:pPr>
            <w:r>
              <w:rPr>
                <w:rFonts w:hint="eastAsia"/>
                <w:highlight w:val="none"/>
              </w:rPr>
              <w:t>（</w:t>
            </w:r>
            <w:r>
              <w:rPr>
                <w:highlight w:val="none"/>
              </w:rPr>
              <w:t>1</w:t>
            </w:r>
            <w:r>
              <w:rPr>
                <w:rFonts w:hint="eastAsia"/>
                <w:highlight w:val="none"/>
              </w:rPr>
              <w:t>）交</w:t>
            </w:r>
            <w:r>
              <w:rPr>
                <w:rFonts w:hint="eastAsia" w:ascii="Times New Roman" w:hAnsi="Times New Roman" w:eastAsia="宋体" w:cs="Times New Roman"/>
                <w:highlight w:val="none"/>
                <w:lang w:val="en-US" w:eastAsia="zh-CN"/>
              </w:rPr>
              <w:t>通运输部行政处罚的，扣5分/次；</w:t>
            </w:r>
          </w:p>
          <w:p>
            <w:pPr>
              <w:spacing w:line="360" w:lineRule="exact"/>
              <w:ind w:left="-63" w:leftChars="-30" w:firstLine="315" w:firstLineChars="150"/>
              <w:rPr>
                <w:rFonts w:hint="eastAsia"/>
                <w:highlight w:val="none"/>
              </w:rPr>
            </w:pPr>
            <w:r>
              <w:rPr>
                <w:rFonts w:hint="eastAsia"/>
                <w:highlight w:val="none"/>
              </w:rPr>
              <w:t>（</w:t>
            </w:r>
            <w:r>
              <w:rPr>
                <w:highlight w:val="none"/>
              </w:rPr>
              <w:t>2</w:t>
            </w:r>
            <w:r>
              <w:rPr>
                <w:rFonts w:hint="eastAsia"/>
                <w:highlight w:val="none"/>
              </w:rPr>
              <w:t>）广东省交通运输厅</w:t>
            </w:r>
            <w:r>
              <w:rPr>
                <w:rFonts w:hint="eastAsia"/>
                <w:highlight w:val="none"/>
                <w:lang w:val="en-US" w:eastAsia="zh-CN"/>
              </w:rPr>
              <w:t>行政处罚</w:t>
            </w:r>
            <w:r>
              <w:rPr>
                <w:rFonts w:hint="eastAsia"/>
                <w:highlight w:val="none"/>
              </w:rPr>
              <w:t>的，扣</w:t>
            </w:r>
            <w:r>
              <w:rPr>
                <w:rFonts w:hint="eastAsia"/>
                <w:highlight w:val="none"/>
                <w:lang w:val="en-US" w:eastAsia="zh-CN"/>
              </w:rPr>
              <w:t>3</w:t>
            </w:r>
            <w:r>
              <w:rPr>
                <w:rFonts w:hint="eastAsia"/>
                <w:highlight w:val="none"/>
              </w:rPr>
              <w:t>分/次；</w:t>
            </w:r>
          </w:p>
          <w:p>
            <w:pPr>
              <w:spacing w:line="360" w:lineRule="exact"/>
              <w:ind w:left="-63" w:leftChars="-30" w:firstLine="315" w:firstLineChars="150"/>
              <w:rPr>
                <w:rFonts w:hint="eastAsia"/>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t>项目所在地地级以上市交通运输局行政处罚的，扣1.5分/次。</w:t>
            </w:r>
          </w:p>
          <w:p>
            <w:pPr>
              <w:spacing w:line="360" w:lineRule="exact"/>
              <w:ind w:left="-63" w:leftChars="-30" w:firstLine="315" w:firstLineChars="150"/>
              <w:rPr>
                <w:rFonts w:hint="default"/>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广东省交通运输厅正式约谈的，扣0.1分/次。</w:t>
            </w:r>
          </w:p>
          <w:p>
            <w:pPr>
              <w:spacing w:line="360" w:lineRule="exact"/>
              <w:ind w:left="-63" w:leftChars="-30" w:firstLine="315" w:firstLineChars="150"/>
              <w:rPr>
                <w:rFonts w:hint="eastAsia"/>
                <w:highlight w:val="none"/>
                <w:lang w:val="en-US" w:eastAsia="zh-CN"/>
              </w:rPr>
            </w:pPr>
            <w:r>
              <w:rPr>
                <w:rFonts w:hint="eastAsia"/>
                <w:highlight w:val="none"/>
              </w:rPr>
              <w:t>同一事项同时被多个部门通报批评或处罚只按最高的扣分计算</w:t>
            </w:r>
            <w:r>
              <w:rPr>
                <w:highlight w:val="none"/>
              </w:rPr>
              <w:t xml:space="preserve">1 </w:t>
            </w:r>
            <w:r>
              <w:rPr>
                <w:rFonts w:hint="eastAsia"/>
                <w:highlight w:val="none"/>
              </w:rPr>
              <w:t>次。如果扣完本项分值，可以从总分中扣除。</w:t>
            </w:r>
          </w:p>
        </w:tc>
      </w:tr>
    </w:tbl>
    <w:p>
      <w:pPr>
        <w:jc w:val="right"/>
        <w:rPr>
          <w:rFonts w:hint="eastAsia" w:ascii="宋体" w:hAnsi="宋体"/>
          <w:color w:val="000000"/>
          <w:szCs w:val="21"/>
          <w:highlight w:val="none"/>
        </w:rPr>
      </w:pPr>
    </w:p>
    <w:p>
      <w:pPr>
        <w:jc w:val="right"/>
        <w:rPr>
          <w:rFonts w:hint="eastAsia" w:ascii="宋体" w:hAnsi="宋体"/>
          <w:szCs w:val="21"/>
          <w:highlight w:val="none"/>
        </w:rPr>
        <w:sectPr>
          <w:headerReference r:id="rId3" w:type="default"/>
          <w:footerReference r:id="rId4" w:type="default"/>
          <w:footnotePr>
            <w:numFmt w:val="decimalEnclosedCircleChinese"/>
            <w:numRestart w:val="eachPage"/>
          </w:footnotePr>
          <w:pgSz w:w="11906" w:h="16838"/>
          <w:pgMar w:top="1134" w:right="1457" w:bottom="1440" w:left="1457" w:header="851" w:footer="851" w:gutter="0"/>
          <w:pgNumType w:fmt="numberInDash" w:start="1"/>
          <w:cols w:space="720" w:num="1"/>
          <w:docGrid w:linePitch="312" w:charSpace="0"/>
        </w:sectPr>
      </w:pPr>
    </w:p>
    <w:p>
      <w:pPr>
        <w:jc w:val="right"/>
        <w:rPr>
          <w:rFonts w:hint="eastAsia" w:ascii="宋体" w:hAnsi="宋体"/>
          <w:color w:val="000000"/>
          <w:szCs w:val="21"/>
          <w:highlight w:val="none"/>
        </w:rPr>
      </w:pPr>
      <w:r>
        <w:rPr>
          <w:rFonts w:hint="eastAsia" w:ascii="宋体" w:hAnsi="宋体"/>
          <w:color w:val="000000"/>
          <w:szCs w:val="21"/>
          <w:highlight w:val="none"/>
        </w:rPr>
        <w:t>续上表</w:t>
      </w:r>
    </w:p>
    <w:tbl>
      <w:tblPr>
        <w:tblStyle w:val="7"/>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427" w:type="dxa"/>
            <w:gridSpan w:val="2"/>
            <w:vAlign w:val="center"/>
          </w:tcPr>
          <w:p>
            <w:pPr>
              <w:spacing w:line="360" w:lineRule="exact"/>
              <w:jc w:val="center"/>
              <w:rPr>
                <w:rFonts w:hint="eastAsia" w:ascii="宋体" w:hAnsi="宋体"/>
                <w:b/>
                <w:color w:val="000000"/>
                <w:sz w:val="32"/>
                <w:szCs w:val="32"/>
                <w:highlight w:val="none"/>
              </w:rPr>
            </w:pPr>
            <w:r>
              <w:rPr>
                <w:rFonts w:ascii="宋体" w:hAnsi="宋体"/>
                <w:b/>
                <w:color w:val="000000"/>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条款号</w:t>
            </w:r>
          </w:p>
        </w:tc>
        <w:tc>
          <w:tcPr>
            <w:tcW w:w="8398"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1</w:t>
            </w:r>
          </w:p>
        </w:tc>
        <w:tc>
          <w:tcPr>
            <w:tcW w:w="8398" w:type="dxa"/>
            <w:vAlign w:val="center"/>
          </w:tcPr>
          <w:p>
            <w:pPr>
              <w:spacing w:line="3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将评标办法范本原文第1条“评标方法”改为“评标方法</w:t>
            </w:r>
            <w:r>
              <w:rPr>
                <w:rFonts w:hint="eastAsia" w:ascii="宋体" w:hAnsi="宋体"/>
                <w:b/>
                <w:color w:val="000000"/>
                <w:szCs w:val="21"/>
                <w:highlight w:val="none"/>
                <w:lang w:eastAsia="zh-CN"/>
              </w:rPr>
              <w:t>、</w:t>
            </w:r>
            <w:r>
              <w:rPr>
                <w:rFonts w:hint="eastAsia" w:ascii="宋体" w:hAnsi="宋体"/>
                <w:b/>
                <w:color w:val="000000"/>
                <w:szCs w:val="21"/>
                <w:highlight w:val="none"/>
              </w:rPr>
              <w:t>组织</w:t>
            </w:r>
            <w:r>
              <w:rPr>
                <w:rFonts w:hint="eastAsia" w:ascii="宋体" w:hAnsi="宋体"/>
                <w:b/>
                <w:color w:val="000000"/>
                <w:szCs w:val="21"/>
                <w:highlight w:val="none"/>
                <w:lang w:val="en-US" w:eastAsia="zh-CN"/>
              </w:rPr>
              <w:t>及工作程序</w:t>
            </w:r>
            <w:r>
              <w:rPr>
                <w:rFonts w:hint="eastAsia" w:ascii="宋体" w:hAnsi="宋体"/>
                <w:b/>
                <w:color w:val="000000"/>
                <w:szCs w:val="21"/>
                <w:highlight w:val="none"/>
              </w:rPr>
              <w:t>”，并且原文内容修改如下：</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1.评标方法、组织及工作程序</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1.1评标方法</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次评标采用双信封合理低价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1.2评标组织</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1.2.1协助工作组</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招标人可以协助评标委员会开展下列工作并提供相关信息：</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）根据招标文件，编制评标使用的相应表格；</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）对投标报价进行算术性校核（如采用固化工程量清单，本步骤省略）；</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）以评标标准和方法为依据，列出投标文件相对于招标文件的所有偏差，并进行归类汇总；</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）查询公路建设市场信用信息管理系统，对投标人的资质、业绩、主要人员资历和目前在岗情况、信用等级进行核实。</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招标人不得对投标文件作出任何评价，不得故意遗漏或者片面摘录，不得在评标委员会对所有偏差定性之前透露存有偏差的投标人名称。</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1.2.2评标委员会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评标委员会由招标人按国家、省等的有关规定依法组建，由招标人的代表和技术、经济专家组成。评标委员人数</w:t>
            </w:r>
            <w:r>
              <w:rPr>
                <w:rFonts w:ascii="宋体" w:hAnsi="宋体"/>
                <w:color w:val="000000"/>
                <w:szCs w:val="21"/>
                <w:highlight w:val="none"/>
              </w:rPr>
              <w:t>按投标人须知第6.1.1项执行</w:t>
            </w:r>
            <w:r>
              <w:rPr>
                <w:rFonts w:hint="eastAsia" w:ascii="宋体" w:hAnsi="宋体"/>
                <w:color w:val="000000"/>
                <w:szCs w:val="21"/>
                <w:highlight w:val="none"/>
              </w:rPr>
              <w:t>，评标委员会的主要工作内容包括：</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（1）评标委员会开始评标工作之前，首先听取招标人、协助工作组关于工程情况和辅助工作的说明，并认真研读招标文件，获取评标所需的重要信息和数据；</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（2）对协助工作组提供的评标工作用表和评标内容进行认真核查；</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（3）按照以下</w:t>
            </w:r>
            <w:r>
              <w:rPr>
                <w:rFonts w:ascii="宋体" w:hAnsi="宋体"/>
                <w:color w:val="000000"/>
                <w:szCs w:val="21"/>
                <w:highlight w:val="none"/>
              </w:rPr>
              <w:t xml:space="preserve">1.3 </w:t>
            </w:r>
            <w:r>
              <w:rPr>
                <w:rFonts w:hint="eastAsia" w:ascii="宋体" w:hAnsi="宋体"/>
                <w:color w:val="000000"/>
                <w:szCs w:val="21"/>
                <w:highlight w:val="none"/>
              </w:rPr>
              <w:t>款程序进行各项评审工作。</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1.3评审工作程序</w:t>
            </w:r>
          </w:p>
          <w:p>
            <w:pPr>
              <w:spacing w:line="360" w:lineRule="exact"/>
              <w:rPr>
                <w:rFonts w:hint="eastAsia" w:ascii="宋体" w:hAnsi="宋体"/>
                <w:color w:val="000000"/>
                <w:szCs w:val="21"/>
                <w:highlight w:val="none"/>
              </w:rPr>
            </w:pPr>
            <w:r>
              <w:rPr>
                <w:rFonts w:hint="eastAsia" w:ascii="宋体" w:hAnsi="宋体"/>
                <w:color w:val="000000"/>
                <w:szCs w:val="21"/>
                <w:highlight w:val="none"/>
              </w:rPr>
              <w:t>（一）第一信封（商务文件和技术文件）：</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（1）初步评审，包括形式评审与响应性评审、资格评审（适用于资格后审）；</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（2）详细评审（评审打分）：评标委员会首先对通过初步评审的投标文件第一个信封（商务及技术文件）进行详细评审，</w:t>
            </w:r>
            <w:r>
              <w:rPr>
                <w:rFonts w:hint="eastAsia" w:ascii="宋体" w:cs="宋体"/>
                <w:kern w:val="0"/>
                <w:sz w:val="22"/>
                <w:szCs w:val="22"/>
                <w:highlight w:val="none"/>
              </w:rPr>
              <w:t>对投标人的其他因素（信用等级、履约情况）得分评审与确认</w:t>
            </w:r>
            <w:r>
              <w:rPr>
                <w:rFonts w:hint="eastAsia" w:ascii="宋体" w:hAnsi="宋体"/>
                <w:color w:val="000000"/>
                <w:szCs w:val="21"/>
                <w:highlight w:val="none"/>
              </w:rPr>
              <w:t>。</w:t>
            </w:r>
          </w:p>
          <w:p>
            <w:pPr>
              <w:spacing w:line="360" w:lineRule="exact"/>
              <w:rPr>
                <w:rFonts w:hint="eastAsia" w:ascii="宋体" w:hAnsi="宋体"/>
                <w:color w:val="000000"/>
                <w:szCs w:val="21"/>
                <w:highlight w:val="none"/>
              </w:rPr>
            </w:pPr>
            <w:r>
              <w:rPr>
                <w:rFonts w:hint="eastAsia" w:ascii="宋体" w:hAnsi="宋体"/>
                <w:color w:val="000000"/>
                <w:szCs w:val="21"/>
                <w:highlight w:val="none"/>
              </w:rPr>
              <w:t>（二）第二信封（报价文件）：</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1、初步评审：</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（1）只有投标文件第一个信封通过详细评审的投标人才能继续参加第二信封报价文件的形式评审与响应性评审。</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（2）报价算术性修正（如采用固化工程量清单，本步骤省略）；</w:t>
            </w:r>
          </w:p>
          <w:p>
            <w:pPr>
              <w:spacing w:line="400" w:lineRule="exact"/>
              <w:ind w:firstLine="210" w:firstLineChars="100"/>
              <w:rPr>
                <w:rFonts w:hint="eastAsia" w:ascii="宋体" w:hAnsi="宋体"/>
                <w:color w:val="000000"/>
                <w:szCs w:val="21"/>
                <w:highlight w:val="none"/>
              </w:rPr>
            </w:pPr>
            <w:r>
              <w:rPr>
                <w:rFonts w:hint="eastAsia" w:ascii="宋体" w:hAnsi="宋体"/>
                <w:color w:val="000000"/>
                <w:szCs w:val="21"/>
                <w:highlight w:val="none"/>
              </w:rPr>
              <w:t>2、详细评审：计算评标基准价、评标价得分及综合得分；</w:t>
            </w:r>
          </w:p>
          <w:p>
            <w:pPr>
              <w:spacing w:line="360" w:lineRule="exact"/>
              <w:rPr>
                <w:rFonts w:ascii="宋体" w:hAnsi="宋体"/>
                <w:color w:val="000000"/>
                <w:szCs w:val="21"/>
                <w:highlight w:val="none"/>
              </w:rPr>
            </w:pPr>
            <w:r>
              <w:rPr>
                <w:rFonts w:hint="eastAsia" w:ascii="宋体" w:hAnsi="宋体"/>
                <w:color w:val="000000"/>
                <w:szCs w:val="21"/>
                <w:highlight w:val="none"/>
              </w:rPr>
              <w:t>（三）投标文件相关信息的核查。</w:t>
            </w:r>
          </w:p>
          <w:p>
            <w:pPr>
              <w:spacing w:line="360" w:lineRule="exact"/>
              <w:rPr>
                <w:rFonts w:ascii="宋体" w:hAnsi="宋体"/>
                <w:color w:val="000000"/>
                <w:szCs w:val="21"/>
                <w:highlight w:val="none"/>
              </w:rPr>
            </w:pPr>
            <w:r>
              <w:rPr>
                <w:rFonts w:hint="eastAsia" w:ascii="宋体" w:hAnsi="宋体"/>
                <w:color w:val="000000"/>
                <w:szCs w:val="21"/>
                <w:highlight w:val="none"/>
              </w:rPr>
              <w:t>（四）投标文件的澄清和说明</w:t>
            </w:r>
            <w:r>
              <w:rPr>
                <w:rFonts w:ascii="宋体" w:hAnsi="宋体"/>
                <w:color w:val="000000"/>
                <w:szCs w:val="21"/>
                <w:highlight w:val="none"/>
              </w:rPr>
              <w:t>(</w:t>
            </w:r>
            <w:r>
              <w:rPr>
                <w:rFonts w:hint="eastAsia" w:ascii="宋体" w:hAnsi="宋体"/>
                <w:color w:val="000000"/>
                <w:szCs w:val="21"/>
                <w:highlight w:val="none"/>
              </w:rPr>
              <w:t>如有</w:t>
            </w:r>
            <w:r>
              <w:rPr>
                <w:rFonts w:ascii="宋体" w:hAnsi="宋体"/>
                <w:color w:val="000000"/>
                <w:szCs w:val="21"/>
                <w:highlight w:val="none"/>
              </w:rPr>
              <w:t>)</w:t>
            </w:r>
          </w:p>
          <w:p>
            <w:pPr>
              <w:spacing w:line="360" w:lineRule="exact"/>
              <w:rPr>
                <w:rFonts w:hint="eastAsia" w:ascii="宋体" w:hAnsi="宋体"/>
                <w:b/>
                <w:color w:val="000000"/>
                <w:szCs w:val="21"/>
                <w:highlight w:val="none"/>
              </w:rPr>
            </w:pPr>
            <w:r>
              <w:rPr>
                <w:rFonts w:hint="eastAsia" w:ascii="宋体" w:hAnsi="宋体"/>
                <w:color w:val="000000"/>
                <w:szCs w:val="21"/>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2.2.1</w:t>
            </w:r>
          </w:p>
        </w:tc>
        <w:tc>
          <w:tcPr>
            <w:tcW w:w="8398" w:type="dxa"/>
            <w:vAlign w:val="top"/>
          </w:tcPr>
          <w:p>
            <w:pPr>
              <w:autoSpaceDE w:val="0"/>
              <w:autoSpaceDN w:val="0"/>
              <w:adjustRightInd w:val="0"/>
              <w:spacing w:line="360" w:lineRule="exact"/>
              <w:jc w:val="left"/>
              <w:rPr>
                <w:rFonts w:ascii="宋体" w:hAnsi="宋体"/>
                <w:b/>
                <w:color w:val="000000"/>
                <w:szCs w:val="21"/>
                <w:highlight w:val="none"/>
              </w:rPr>
            </w:pPr>
            <w:r>
              <w:rPr>
                <w:rFonts w:ascii="宋体" w:hAnsi="宋体"/>
                <w:b/>
                <w:color w:val="000000"/>
                <w:szCs w:val="21"/>
                <w:highlight w:val="none"/>
              </w:rPr>
              <w:t xml:space="preserve">2.2.1 </w:t>
            </w:r>
            <w:r>
              <w:rPr>
                <w:rFonts w:hint="eastAsia" w:ascii="宋体" w:hAnsi="宋体"/>
                <w:b/>
                <w:color w:val="000000"/>
                <w:szCs w:val="21"/>
                <w:highlight w:val="none"/>
              </w:rPr>
              <w:t>分值构成</w:t>
            </w:r>
          </w:p>
          <w:p>
            <w:pPr>
              <w:autoSpaceDE w:val="0"/>
              <w:autoSpaceDN w:val="0"/>
              <w:adjustRightInd w:val="0"/>
              <w:spacing w:line="360" w:lineRule="exact"/>
              <w:jc w:val="left"/>
              <w:rPr>
                <w:rFonts w:ascii="宋体" w:hAnsi="宋体"/>
                <w:color w:val="000000"/>
                <w:szCs w:val="21"/>
                <w:highlight w:val="none"/>
              </w:rPr>
            </w:pPr>
            <w:r>
              <w:rPr>
                <w:rFonts w:hint="eastAsia" w:ascii="宋体" w:hAnsi="宋体"/>
                <w:color w:val="000000"/>
                <w:szCs w:val="21"/>
                <w:highlight w:val="none"/>
              </w:rPr>
              <w:t>（1）</w:t>
            </w:r>
            <w:r>
              <w:rPr>
                <w:rFonts w:hint="eastAsia" w:ascii="宋体" w:hAnsi="宋体"/>
                <w:b/>
                <w:color w:val="000000"/>
                <w:highlight w:val="none"/>
              </w:rPr>
              <w:t>评标</w:t>
            </w:r>
            <w:r>
              <w:rPr>
                <w:rFonts w:hint="eastAsia" w:ascii="宋体" w:hAnsi="宋体"/>
                <w:b/>
                <w:color w:val="000000"/>
                <w:highlight w:val="none"/>
                <w:lang w:val="en-US" w:eastAsia="zh-CN"/>
              </w:rPr>
              <w:t>价</w:t>
            </w:r>
            <w:r>
              <w:rPr>
                <w:rFonts w:hint="eastAsia" w:ascii="宋体" w:hAnsi="宋体"/>
                <w:color w:val="000000"/>
                <w:szCs w:val="21"/>
                <w:highlight w:val="none"/>
              </w:rPr>
              <w:t>：见评标办法前附表。</w:t>
            </w:r>
          </w:p>
          <w:p>
            <w:pPr>
              <w:autoSpaceDE w:val="0"/>
              <w:autoSpaceDN w:val="0"/>
              <w:adjustRightInd w:val="0"/>
              <w:spacing w:line="360" w:lineRule="exact"/>
              <w:jc w:val="left"/>
              <w:rPr>
                <w:rFonts w:hint="eastAsia" w:ascii="宋体" w:hAnsi="宋体"/>
                <w:color w:val="000000"/>
                <w:szCs w:val="21"/>
                <w:highlight w:val="none"/>
              </w:rPr>
            </w:pPr>
            <w:r>
              <w:rPr>
                <w:rFonts w:hint="eastAsia" w:ascii="宋体" w:hAnsi="宋体"/>
                <w:color w:val="000000"/>
                <w:szCs w:val="21"/>
                <w:highlight w:val="none"/>
              </w:rPr>
              <w:t>（2）其他因素：见评标办法前附表。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2.2.4</w:t>
            </w:r>
          </w:p>
        </w:tc>
        <w:tc>
          <w:tcPr>
            <w:tcW w:w="8398" w:type="dxa"/>
            <w:vAlign w:val="top"/>
          </w:tcPr>
          <w:p>
            <w:pPr>
              <w:autoSpaceDE w:val="0"/>
              <w:autoSpaceDN w:val="0"/>
              <w:adjustRightInd w:val="0"/>
              <w:spacing w:line="360" w:lineRule="exact"/>
              <w:jc w:val="left"/>
              <w:rPr>
                <w:rFonts w:ascii="宋体" w:hAnsi="宋体"/>
                <w:b/>
                <w:color w:val="000000"/>
                <w:szCs w:val="21"/>
                <w:highlight w:val="none"/>
              </w:rPr>
            </w:pPr>
            <w:r>
              <w:rPr>
                <w:rFonts w:ascii="宋体" w:hAnsi="宋体"/>
                <w:b/>
                <w:color w:val="000000"/>
                <w:szCs w:val="21"/>
                <w:highlight w:val="none"/>
              </w:rPr>
              <w:t>2.2.</w:t>
            </w:r>
            <w:r>
              <w:rPr>
                <w:rFonts w:hint="eastAsia" w:ascii="宋体" w:hAnsi="宋体"/>
                <w:b/>
                <w:color w:val="000000"/>
                <w:szCs w:val="21"/>
                <w:highlight w:val="none"/>
              </w:rPr>
              <w:t>4</w:t>
            </w:r>
            <w:r>
              <w:rPr>
                <w:rFonts w:ascii="宋体" w:hAnsi="宋体"/>
                <w:b/>
                <w:color w:val="000000"/>
                <w:szCs w:val="21"/>
                <w:highlight w:val="none"/>
              </w:rPr>
              <w:t xml:space="preserve"> </w:t>
            </w:r>
            <w:r>
              <w:rPr>
                <w:rFonts w:hint="eastAsia" w:ascii="宋体" w:hAnsi="宋体"/>
                <w:b/>
                <w:color w:val="000000"/>
                <w:szCs w:val="21"/>
                <w:highlight w:val="none"/>
              </w:rPr>
              <w:t>分值构成</w:t>
            </w:r>
          </w:p>
          <w:p>
            <w:pPr>
              <w:autoSpaceDE w:val="0"/>
              <w:autoSpaceDN w:val="0"/>
              <w:adjustRightInd w:val="0"/>
              <w:spacing w:line="360" w:lineRule="exact"/>
              <w:jc w:val="left"/>
              <w:rPr>
                <w:rFonts w:ascii="宋体" w:hAnsi="宋体"/>
                <w:color w:val="000000"/>
                <w:szCs w:val="21"/>
                <w:highlight w:val="none"/>
              </w:rPr>
            </w:pPr>
            <w:r>
              <w:rPr>
                <w:rFonts w:hint="eastAsia" w:ascii="宋体" w:hAnsi="宋体"/>
                <w:color w:val="000000"/>
                <w:szCs w:val="21"/>
                <w:highlight w:val="none"/>
              </w:rPr>
              <w:t>（1）</w:t>
            </w:r>
            <w:r>
              <w:rPr>
                <w:rFonts w:hint="eastAsia" w:ascii="宋体" w:hAnsi="宋体"/>
                <w:b/>
                <w:color w:val="000000"/>
                <w:highlight w:val="none"/>
              </w:rPr>
              <w:t>评标</w:t>
            </w:r>
            <w:r>
              <w:rPr>
                <w:rFonts w:hint="eastAsia" w:ascii="宋体" w:hAnsi="宋体"/>
                <w:b/>
                <w:color w:val="000000"/>
                <w:highlight w:val="none"/>
                <w:lang w:val="en-US" w:eastAsia="zh-CN"/>
              </w:rPr>
              <w:t>价</w:t>
            </w:r>
            <w:r>
              <w:rPr>
                <w:rFonts w:hint="eastAsia" w:ascii="宋体" w:hAnsi="宋体"/>
                <w:color w:val="000000"/>
                <w:szCs w:val="21"/>
                <w:highlight w:val="none"/>
              </w:rPr>
              <w:t>评分标准：见评标办法前附表。</w:t>
            </w:r>
          </w:p>
          <w:p>
            <w:pPr>
              <w:autoSpaceDE w:val="0"/>
              <w:autoSpaceDN w:val="0"/>
              <w:adjustRightInd w:val="0"/>
              <w:spacing w:line="360" w:lineRule="exact"/>
              <w:jc w:val="left"/>
              <w:rPr>
                <w:rFonts w:hint="eastAsia" w:ascii="宋体" w:hAnsi="宋体"/>
                <w:color w:val="000000"/>
                <w:szCs w:val="21"/>
                <w:highlight w:val="none"/>
              </w:rPr>
            </w:pPr>
            <w:r>
              <w:rPr>
                <w:rFonts w:hint="eastAsia" w:ascii="宋体" w:hAnsi="宋体"/>
                <w:color w:val="000000"/>
                <w:szCs w:val="21"/>
                <w:highlight w:val="none"/>
              </w:rPr>
              <w:t>（2）其他因素评分标准：见评标办法前附表。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0" w:hRule="atLeast"/>
          <w:jc w:val="center"/>
        </w:trPr>
        <w:tc>
          <w:tcPr>
            <w:tcW w:w="1029" w:type="dxa"/>
            <w:vAlign w:val="center"/>
          </w:tcPr>
          <w:p>
            <w:pPr>
              <w:spacing w:line="360" w:lineRule="exact"/>
              <w:jc w:val="center"/>
              <w:rPr>
                <w:rFonts w:ascii="宋体" w:hAnsi="宋体"/>
                <w:b/>
                <w:color w:val="000000"/>
                <w:szCs w:val="21"/>
                <w:highlight w:val="none"/>
              </w:rPr>
            </w:pPr>
            <w:r>
              <w:rPr>
                <w:rFonts w:hint="eastAsia" w:ascii="宋体" w:hAnsi="宋体"/>
                <w:b/>
                <w:color w:val="000000"/>
                <w:szCs w:val="21"/>
                <w:highlight w:val="none"/>
              </w:rPr>
              <w:t>3.2</w:t>
            </w:r>
          </w:p>
        </w:tc>
        <w:tc>
          <w:tcPr>
            <w:tcW w:w="8398" w:type="dxa"/>
            <w:vAlign w:val="top"/>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将评标办法范本原文第3.2款修改为：</w:t>
            </w:r>
          </w:p>
          <w:p>
            <w:pPr>
              <w:overflowPunct w:val="0"/>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第一个信封（商务及技术文件）评审结束后，招标人将按照第二章“投标人须知”</w:t>
            </w:r>
            <w:r>
              <w:rPr>
                <w:rFonts w:ascii="宋体" w:hAnsi="宋体"/>
                <w:color w:val="000000"/>
                <w:szCs w:val="21"/>
                <w:highlight w:val="none"/>
              </w:rPr>
              <w:t xml:space="preserve"> </w:t>
            </w:r>
            <w:r>
              <w:rPr>
                <w:rFonts w:hint="eastAsia" w:ascii="宋体" w:hAnsi="宋体"/>
                <w:color w:val="000000"/>
                <w:szCs w:val="21"/>
                <w:highlight w:val="none"/>
              </w:rPr>
              <w:t>第</w:t>
            </w:r>
            <w:r>
              <w:rPr>
                <w:rFonts w:ascii="宋体" w:hAnsi="宋体"/>
                <w:color w:val="000000"/>
                <w:szCs w:val="21"/>
                <w:highlight w:val="none"/>
              </w:rPr>
              <w:t xml:space="preserve"> 5.1 </w:t>
            </w:r>
            <w:r>
              <w:rPr>
                <w:rFonts w:hint="eastAsia" w:ascii="宋体" w:hAnsi="宋体"/>
                <w:color w:val="000000"/>
                <w:szCs w:val="21"/>
                <w:highlight w:val="none"/>
              </w:rPr>
              <w:t>款规定的时间和地点对通过投标文件第一个信封（商务及技术文件）评审的投标文件第二个信封（报价文件）进行开标。</w:t>
            </w:r>
          </w:p>
          <w:p>
            <w:pPr>
              <w:snapToGrid w:val="0"/>
              <w:spacing w:line="360" w:lineRule="exact"/>
              <w:ind w:firstLine="420" w:firstLineChars="200"/>
              <w:rPr>
                <w:rFonts w:ascii="宋体" w:hAnsi="宋体"/>
                <w:b/>
                <w:color w:val="000000"/>
                <w:szCs w:val="21"/>
                <w:highlight w:val="none"/>
              </w:rPr>
            </w:pPr>
            <w:r>
              <w:rPr>
                <w:rFonts w:hint="eastAsia" w:ascii="宋体" w:hAnsi="宋体"/>
                <w:color w:val="000000"/>
                <w:szCs w:val="21"/>
                <w:highlight w:val="none"/>
              </w:rPr>
              <w:t xml:space="preserve">只有通过第一个信封（商务及技术文件）评审的投标人才能继续参加第二信封（报价文件）的评审。对不通过第一个信封（商务及技术文件）评审的投标人的第二信封直接退回，不再开启内层信封。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w:t>
            </w:r>
            <w:r>
              <w:rPr>
                <w:rFonts w:hint="eastAsia" w:ascii="宋体" w:hAnsi="宋体"/>
                <w:b/>
                <w:color w:val="000000"/>
                <w:szCs w:val="21"/>
                <w:highlight w:val="none"/>
                <w:lang w:val="en-US" w:eastAsia="zh-CN"/>
              </w:rPr>
              <w:t>3</w:t>
            </w:r>
          </w:p>
        </w:tc>
        <w:tc>
          <w:tcPr>
            <w:tcW w:w="8398" w:type="dxa"/>
            <w:vAlign w:val="top"/>
          </w:tcPr>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本项目招标采用第二章“投标人须知”第3.2.1项（1）目规定的投标人按照招标人提供的工程量固化清单电子文件填写工程量清单，无须按照本章第 3.3.2 项和第 3.3.3 项的规定对投标报价进行修正，第 3.3.2 项至第 3.3.5 项内容不适用。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1029" w:type="dxa"/>
            <w:vAlign w:val="center"/>
          </w:tcPr>
          <w:p>
            <w:pPr>
              <w:spacing w:line="360" w:lineRule="exact"/>
              <w:jc w:val="center"/>
              <w:rPr>
                <w:rFonts w:hint="default"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3.5.2</w:t>
            </w:r>
          </w:p>
        </w:tc>
        <w:tc>
          <w:tcPr>
            <w:tcW w:w="8398" w:type="dxa"/>
            <w:vAlign w:val="top"/>
          </w:tcPr>
          <w:p>
            <w:pPr>
              <w:spacing w:line="360" w:lineRule="exact"/>
              <w:ind w:firstLine="0" w:firstLineChars="0"/>
              <w:rPr>
                <w:rFonts w:hint="eastAsia" w:ascii="宋体" w:hAnsi="宋体"/>
                <w:b/>
                <w:bCs/>
                <w:color w:val="000000"/>
                <w:szCs w:val="21"/>
                <w:highlight w:val="none"/>
              </w:rPr>
            </w:pPr>
            <w:r>
              <w:rPr>
                <w:rFonts w:hint="eastAsia" w:ascii="宋体" w:hAnsi="宋体"/>
                <w:b/>
                <w:bCs/>
                <w:color w:val="000000"/>
                <w:szCs w:val="21"/>
                <w:highlight w:val="none"/>
              </w:rPr>
              <w:t>3.5.2 项（2）目末增加以下条款：</w:t>
            </w:r>
          </w:p>
          <w:p>
            <w:pPr>
              <w:spacing w:line="360" w:lineRule="exact"/>
              <w:ind w:firstLine="0" w:firstLineChars="0"/>
              <w:rPr>
                <w:rFonts w:hint="eastAsia" w:ascii="宋体" w:hAnsi="宋体"/>
                <w:color w:val="000000"/>
                <w:szCs w:val="21"/>
                <w:highlight w:val="none"/>
              </w:rPr>
            </w:pPr>
            <w:r>
              <w:rPr>
                <w:rFonts w:hint="eastAsia" w:ascii="宋体" w:hAnsi="宋体"/>
                <w:color w:val="000000"/>
                <w:szCs w:val="21"/>
                <w:highlight w:val="none"/>
              </w:rPr>
              <w:t>g.当一家以上投标人评标价相同时，若各投标人工程量清单细目单价也相同，视为串标（一个标段仅一工作细目报价的除外）。</w:t>
            </w:r>
          </w:p>
          <w:p>
            <w:pPr>
              <w:spacing w:line="360" w:lineRule="exact"/>
              <w:ind w:firstLine="0" w:firstLineChars="0"/>
              <w:rPr>
                <w:rFonts w:hint="eastAsia" w:ascii="宋体" w:hAnsi="宋体"/>
                <w:color w:val="000000"/>
                <w:szCs w:val="21"/>
                <w:highlight w:val="none"/>
              </w:rPr>
            </w:pPr>
            <w:r>
              <w:rPr>
                <w:rFonts w:hint="eastAsia" w:ascii="宋体" w:hAnsi="宋体"/>
                <w:color w:val="000000"/>
                <w:szCs w:val="21"/>
                <w:highlight w:val="none"/>
              </w:rPr>
              <w:t>h.广东省实施《中华人民共和国招标投标法》办法第十六条规定的情形。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3.5.3</w:t>
            </w:r>
          </w:p>
        </w:tc>
        <w:tc>
          <w:tcPr>
            <w:tcW w:w="8398" w:type="dxa"/>
            <w:vAlign w:val="top"/>
          </w:tcPr>
          <w:p>
            <w:pPr>
              <w:spacing w:line="360" w:lineRule="exact"/>
              <w:rPr>
                <w:rFonts w:ascii="宋体" w:hAnsi="宋体"/>
                <w:b/>
                <w:color w:val="000000"/>
                <w:szCs w:val="21"/>
                <w:highlight w:val="none"/>
              </w:rPr>
            </w:pPr>
            <w:r>
              <w:rPr>
                <w:rFonts w:hint="eastAsia" w:ascii="宋体" w:hAnsi="宋体"/>
                <w:b/>
                <w:color w:val="000000"/>
                <w:szCs w:val="21"/>
                <w:highlight w:val="none"/>
              </w:rPr>
              <w:t>增加</w:t>
            </w:r>
            <w:r>
              <w:rPr>
                <w:rFonts w:ascii="宋体" w:hAnsi="宋体"/>
                <w:b/>
                <w:color w:val="000000"/>
                <w:szCs w:val="21"/>
                <w:highlight w:val="none"/>
              </w:rPr>
              <w:t>3.</w:t>
            </w:r>
            <w:r>
              <w:rPr>
                <w:rFonts w:hint="eastAsia" w:ascii="宋体" w:hAnsi="宋体"/>
                <w:b/>
                <w:color w:val="000000"/>
                <w:szCs w:val="21"/>
                <w:highlight w:val="none"/>
              </w:rPr>
              <w:t>5</w:t>
            </w:r>
            <w:r>
              <w:rPr>
                <w:rFonts w:ascii="宋体" w:hAnsi="宋体"/>
                <w:b/>
                <w:color w:val="000000"/>
                <w:szCs w:val="21"/>
                <w:highlight w:val="none"/>
              </w:rPr>
              <w:t xml:space="preserve">.3 </w:t>
            </w:r>
            <w:r>
              <w:rPr>
                <w:rFonts w:hint="eastAsia" w:ascii="宋体" w:hAnsi="宋体"/>
                <w:b/>
                <w:color w:val="000000"/>
                <w:szCs w:val="21"/>
                <w:highlight w:val="none"/>
              </w:rPr>
              <w:t>款：</w:t>
            </w:r>
          </w:p>
          <w:p>
            <w:pPr>
              <w:spacing w:line="360" w:lineRule="exact"/>
              <w:ind w:firstLine="420" w:firstLineChars="200"/>
              <w:rPr>
                <w:rFonts w:hint="eastAsia" w:ascii="宋体" w:hAnsi="宋体"/>
                <w:b/>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5</w:t>
            </w:r>
            <w:r>
              <w:rPr>
                <w:rFonts w:ascii="宋体" w:hAnsi="宋体"/>
                <w:color w:val="000000"/>
                <w:szCs w:val="21"/>
                <w:highlight w:val="none"/>
              </w:rPr>
              <w:t xml:space="preserve">.3 </w:t>
            </w:r>
            <w:r>
              <w:rPr>
                <w:rFonts w:hint="eastAsia" w:ascii="宋体" w:hAnsi="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3.6.1</w:t>
            </w:r>
          </w:p>
        </w:tc>
        <w:tc>
          <w:tcPr>
            <w:tcW w:w="8398" w:type="dxa"/>
            <w:vAlign w:val="top"/>
          </w:tcPr>
          <w:p>
            <w:pPr>
              <w:spacing w:line="360" w:lineRule="exact"/>
              <w:rPr>
                <w:rFonts w:ascii="宋体" w:hAnsi="宋体"/>
                <w:b/>
                <w:color w:val="000000"/>
                <w:szCs w:val="21"/>
                <w:highlight w:val="none"/>
              </w:rPr>
            </w:pPr>
            <w:r>
              <w:rPr>
                <w:rFonts w:hint="eastAsia" w:ascii="宋体" w:hAnsi="宋体"/>
                <w:b/>
                <w:color w:val="000000"/>
                <w:szCs w:val="21"/>
                <w:highlight w:val="none"/>
              </w:rPr>
              <w:t>将评标办法范本原文第</w:t>
            </w:r>
            <w:r>
              <w:rPr>
                <w:rFonts w:ascii="宋体" w:hAnsi="宋体"/>
                <w:b/>
                <w:color w:val="000000"/>
                <w:szCs w:val="21"/>
                <w:highlight w:val="none"/>
              </w:rPr>
              <w:t>3.</w:t>
            </w:r>
            <w:r>
              <w:rPr>
                <w:rFonts w:hint="eastAsia" w:ascii="宋体" w:hAnsi="宋体"/>
                <w:b/>
                <w:color w:val="000000"/>
                <w:szCs w:val="21"/>
                <w:highlight w:val="none"/>
              </w:rPr>
              <w:t>6</w:t>
            </w:r>
            <w:r>
              <w:rPr>
                <w:rFonts w:ascii="宋体" w:hAnsi="宋体"/>
                <w:b/>
                <w:color w:val="000000"/>
                <w:szCs w:val="21"/>
                <w:highlight w:val="none"/>
              </w:rPr>
              <w:t xml:space="preserve">.1 </w:t>
            </w:r>
            <w:r>
              <w:rPr>
                <w:rFonts w:hint="eastAsia" w:ascii="宋体" w:hAnsi="宋体"/>
                <w:b/>
                <w:color w:val="000000"/>
                <w:szCs w:val="21"/>
                <w:highlight w:val="none"/>
              </w:rPr>
              <w:t>项修改为：</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6</w:t>
            </w:r>
            <w:r>
              <w:rPr>
                <w:rFonts w:ascii="宋体" w:hAnsi="宋体"/>
                <w:color w:val="000000"/>
                <w:szCs w:val="21"/>
                <w:highlight w:val="none"/>
              </w:rPr>
              <w:t xml:space="preserve">.1 </w:t>
            </w:r>
            <w:r>
              <w:rPr>
                <w:rFonts w:hint="eastAsia" w:ascii="宋体" w:hAnsi="宋体"/>
                <w:color w:val="000000"/>
                <w:szCs w:val="21"/>
                <w:highlight w:val="none"/>
              </w:rPr>
              <w:t>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 xml:space="preserve">(1) </w:t>
            </w:r>
            <w:r>
              <w:rPr>
                <w:rFonts w:hint="eastAsia" w:ascii="宋体" w:hAnsi="宋体"/>
                <w:color w:val="000000"/>
                <w:szCs w:val="21"/>
                <w:highlight w:val="none"/>
              </w:rPr>
              <w:t>投标文件中的下列计算错误为细微偏差（采用固化工程量清单，则</w:t>
            </w:r>
            <w:r>
              <w:rPr>
                <w:rFonts w:ascii="宋体" w:hAnsi="宋体"/>
                <w:color w:val="000000"/>
                <w:szCs w:val="21"/>
                <w:highlight w:val="none"/>
              </w:rPr>
              <w:t>a</w:t>
            </w:r>
            <w:r>
              <w:rPr>
                <w:rFonts w:hint="eastAsia" w:ascii="宋体" w:hAnsi="宋体"/>
                <w:color w:val="000000"/>
                <w:szCs w:val="21"/>
                <w:highlight w:val="none"/>
              </w:rPr>
              <w:t>－</w:t>
            </w:r>
            <w:r>
              <w:rPr>
                <w:rFonts w:ascii="宋体" w:hAnsi="宋体"/>
                <w:color w:val="000000"/>
                <w:szCs w:val="21"/>
                <w:highlight w:val="none"/>
              </w:rPr>
              <w:t xml:space="preserve">d </w:t>
            </w:r>
            <w:r>
              <w:rPr>
                <w:rFonts w:hint="eastAsia" w:ascii="宋体" w:hAnsi="宋体"/>
                <w:color w:val="000000"/>
                <w:szCs w:val="21"/>
                <w:highlight w:val="none"/>
              </w:rPr>
              <w:t>步骤省略）：</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a</w:t>
            </w:r>
            <w:r>
              <w:rPr>
                <w:rFonts w:hint="eastAsia" w:ascii="宋体" w:hAnsi="宋体"/>
                <w:color w:val="000000"/>
                <w:szCs w:val="21"/>
                <w:highlight w:val="none"/>
              </w:rPr>
              <w:t>、在算术性复核中发现的算术性差错：</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b</w:t>
            </w:r>
            <w:r>
              <w:rPr>
                <w:rFonts w:hint="eastAsia" w:ascii="宋体" w:hAnsi="宋体"/>
                <w:color w:val="000000"/>
                <w:szCs w:val="21"/>
                <w:highlight w:val="none"/>
              </w:rPr>
              <w:t>、在招标人给定的工程量清单中漏报了某个工程细目的单价和合价；</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c</w:t>
            </w:r>
            <w:r>
              <w:rPr>
                <w:rFonts w:hint="eastAsia" w:ascii="宋体" w:hAnsi="宋体"/>
                <w:color w:val="000000"/>
                <w:szCs w:val="21"/>
                <w:highlight w:val="none"/>
              </w:rPr>
              <w:t>、在招标人给定的工程量清单中多报了某个工程细目的单价和合价或所报单价增加或减少了报价范围；</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d</w:t>
            </w:r>
            <w:r>
              <w:rPr>
                <w:rFonts w:hint="eastAsia" w:ascii="宋体" w:hAnsi="宋体"/>
                <w:color w:val="000000"/>
                <w:szCs w:val="21"/>
                <w:highlight w:val="none"/>
              </w:rPr>
              <w:t>、在招标人给定的工程量清单中修改了某些支付号的工程数量。</w:t>
            </w:r>
          </w:p>
          <w:p>
            <w:pPr>
              <w:overflowPunct w:val="0"/>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）评标委员会对投标文件中的细微偏差按如下规定处理（采用固化工程量清单，则</w:t>
            </w:r>
            <w:r>
              <w:rPr>
                <w:rFonts w:ascii="宋体" w:hAnsi="宋体"/>
                <w:color w:val="000000"/>
                <w:szCs w:val="21"/>
                <w:highlight w:val="none"/>
              </w:rPr>
              <w:t>a</w:t>
            </w:r>
            <w:r>
              <w:rPr>
                <w:rFonts w:hint="eastAsia" w:ascii="宋体" w:hAnsi="宋体"/>
                <w:color w:val="000000"/>
                <w:szCs w:val="21"/>
                <w:highlight w:val="none"/>
              </w:rPr>
              <w:t>－</w:t>
            </w:r>
            <w:r>
              <w:rPr>
                <w:rFonts w:ascii="宋体" w:hAnsi="宋体"/>
                <w:color w:val="000000"/>
                <w:szCs w:val="21"/>
                <w:highlight w:val="none"/>
              </w:rPr>
              <w:t xml:space="preserve">d </w:t>
            </w:r>
            <w:r>
              <w:rPr>
                <w:rFonts w:hint="eastAsia" w:ascii="宋体" w:hAnsi="宋体"/>
                <w:color w:val="000000"/>
                <w:szCs w:val="21"/>
                <w:highlight w:val="none"/>
              </w:rPr>
              <w:t>步骤省略）：</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a</w:t>
            </w:r>
            <w:r>
              <w:rPr>
                <w:rFonts w:hint="eastAsia" w:ascii="宋体" w:hAnsi="宋体"/>
                <w:color w:val="000000"/>
                <w:szCs w:val="21"/>
                <w:highlight w:val="none"/>
              </w:rPr>
              <w:t>、按本评标办法的规定对算术性错误予以修正；</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b</w:t>
            </w:r>
            <w:r>
              <w:rPr>
                <w:rFonts w:hint="eastAsia" w:ascii="宋体" w:hAnsi="宋体"/>
                <w:color w:val="000000"/>
                <w:szCs w:val="21"/>
                <w:highlight w:val="none"/>
              </w:rPr>
              <w:t>、对于漏报的工程细目单价和合价或单价和合价减少的报价内容视为已含入其它工程细目的单价和合价之中；</w:t>
            </w:r>
          </w:p>
          <w:p>
            <w:pPr>
              <w:overflowPunct w:val="0"/>
              <w:spacing w:line="360" w:lineRule="exact"/>
              <w:ind w:firstLine="420" w:firstLineChars="200"/>
              <w:rPr>
                <w:rFonts w:ascii="宋体" w:hAnsi="宋体"/>
                <w:color w:val="000000"/>
                <w:szCs w:val="21"/>
                <w:highlight w:val="none"/>
              </w:rPr>
            </w:pPr>
            <w:r>
              <w:rPr>
                <w:rFonts w:ascii="宋体" w:hAnsi="宋体"/>
                <w:color w:val="000000"/>
                <w:szCs w:val="21"/>
                <w:highlight w:val="none"/>
              </w:rPr>
              <w:t>c</w:t>
            </w:r>
            <w:r>
              <w:rPr>
                <w:rFonts w:hint="eastAsia" w:ascii="宋体" w:hAnsi="宋体"/>
                <w:color w:val="000000"/>
                <w:szCs w:val="21"/>
                <w:highlight w:val="none"/>
              </w:rPr>
              <w:t>、在保证投标总价不变的前提下，对于多报的工程细目报价或工程细目报价中增加的部分报价从投标报价中予以扣除，并对其它细目作相应的平衡性调整；</w:t>
            </w:r>
          </w:p>
          <w:p>
            <w:pPr>
              <w:overflowPunct w:val="0"/>
              <w:spacing w:line="360" w:lineRule="exact"/>
              <w:ind w:firstLine="420" w:firstLineChars="200"/>
              <w:rPr>
                <w:rFonts w:hint="eastAsia" w:ascii="宋体" w:hAnsi="宋体"/>
                <w:b/>
                <w:color w:val="000000"/>
                <w:szCs w:val="21"/>
                <w:highlight w:val="none"/>
              </w:rPr>
            </w:pPr>
            <w:r>
              <w:rPr>
                <w:rFonts w:ascii="宋体" w:hAnsi="宋体"/>
                <w:color w:val="000000"/>
                <w:szCs w:val="21"/>
                <w:highlight w:val="none"/>
              </w:rPr>
              <w:t>d</w:t>
            </w:r>
            <w:r>
              <w:rPr>
                <w:rFonts w:hint="eastAsia" w:ascii="宋体" w:hAnsi="宋体"/>
                <w:color w:val="000000"/>
                <w:szCs w:val="21"/>
                <w:highlight w:val="none"/>
              </w:rPr>
              <w:t>、在保证投标总价不变的前提下，对与给定工程量清单数量不符的工程数量进行更正，并对其它细目作相应的平衡性调整；。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29" w:type="dxa"/>
            <w:vAlign w:val="center"/>
          </w:tcPr>
          <w:p>
            <w:pPr>
              <w:spacing w:line="360" w:lineRule="exact"/>
              <w:jc w:val="center"/>
              <w:rPr>
                <w:rFonts w:ascii="宋体" w:hAnsi="宋体"/>
                <w:b/>
                <w:color w:val="000000"/>
                <w:szCs w:val="21"/>
                <w:highlight w:val="none"/>
              </w:rPr>
            </w:pPr>
            <w:r>
              <w:rPr>
                <w:rFonts w:hint="eastAsia" w:ascii="宋体" w:hAnsi="宋体"/>
                <w:b/>
                <w:color w:val="000000"/>
                <w:szCs w:val="21"/>
                <w:highlight w:val="none"/>
              </w:rPr>
              <w:t>3.8</w:t>
            </w:r>
          </w:p>
        </w:tc>
        <w:tc>
          <w:tcPr>
            <w:tcW w:w="8398" w:type="dxa"/>
            <w:vAlign w:val="top"/>
          </w:tcPr>
          <w:p>
            <w:pPr>
              <w:pStyle w:val="3"/>
              <w:adjustRightInd w:val="0"/>
              <w:snapToGrid w:val="0"/>
              <w:spacing w:line="360" w:lineRule="exact"/>
              <w:ind w:left="44" w:leftChars="21" w:firstLine="432" w:firstLineChars="206"/>
              <w:rPr>
                <w:rFonts w:hint="eastAsia"/>
                <w:highlight w:val="none"/>
              </w:rPr>
            </w:pPr>
            <w:r>
              <w:rPr>
                <w:rFonts w:hint="eastAsia"/>
                <w:highlight w:val="none"/>
              </w:rPr>
              <w:t>增加</w:t>
            </w:r>
            <w:r>
              <w:rPr>
                <w:highlight w:val="none"/>
              </w:rPr>
              <w:t>3.</w:t>
            </w:r>
            <w:r>
              <w:rPr>
                <w:rFonts w:hint="eastAsia"/>
                <w:highlight w:val="none"/>
              </w:rPr>
              <w:t>8</w:t>
            </w:r>
            <w:r>
              <w:rPr>
                <w:highlight w:val="none"/>
              </w:rPr>
              <w:t xml:space="preserve">.3 </w:t>
            </w:r>
            <w:r>
              <w:rPr>
                <w:rFonts w:hint="eastAsia"/>
                <w:highlight w:val="none"/>
              </w:rPr>
              <w:t>-3.8.</w:t>
            </w:r>
            <w:r>
              <w:rPr>
                <w:rFonts w:hint="eastAsia"/>
                <w:highlight w:val="none"/>
                <w:lang w:val="en-US" w:eastAsia="zh-CN"/>
              </w:rPr>
              <w:t>8</w:t>
            </w:r>
            <w:r>
              <w:rPr>
                <w:rFonts w:hint="eastAsia"/>
                <w:highlight w:val="none"/>
              </w:rPr>
              <w:t>款：</w:t>
            </w:r>
          </w:p>
          <w:p>
            <w:pPr>
              <w:pStyle w:val="3"/>
              <w:adjustRightInd w:val="0"/>
              <w:snapToGrid w:val="0"/>
              <w:spacing w:line="360" w:lineRule="exact"/>
              <w:ind w:left="44" w:leftChars="21" w:firstLine="432" w:firstLineChars="206"/>
              <w:rPr>
                <w:rFonts w:hint="eastAsia"/>
                <w:highlight w:val="none"/>
              </w:rPr>
            </w:pPr>
            <w:r>
              <w:rPr>
                <w:rFonts w:hint="eastAsia"/>
                <w:highlight w:val="none"/>
              </w:rPr>
              <w:t>3.8.3  通过第一信封商务文件和技术文件评审的投标人少于</w:t>
            </w:r>
            <w:r>
              <w:rPr>
                <w:highlight w:val="none"/>
              </w:rPr>
              <w:t xml:space="preserve">3 </w:t>
            </w:r>
            <w:r>
              <w:rPr>
                <w:rFonts w:hint="eastAsia"/>
                <w:highlight w:val="none"/>
              </w:rPr>
              <w:t>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pStyle w:val="3"/>
              <w:snapToGrid w:val="0"/>
              <w:spacing w:line="360" w:lineRule="exact"/>
              <w:ind w:left="44" w:leftChars="21" w:firstLine="432" w:firstLineChars="206"/>
              <w:rPr>
                <w:rFonts w:hint="eastAsia"/>
                <w:highlight w:val="none"/>
              </w:rPr>
            </w:pPr>
            <w:r>
              <w:rPr>
                <w:rFonts w:hint="eastAsia"/>
                <w:highlight w:val="none"/>
              </w:rPr>
              <w:t>3.8.4 通过第一信封商务文件和技术文件评审的投标人在</w:t>
            </w:r>
            <w:r>
              <w:rPr>
                <w:highlight w:val="none"/>
              </w:rPr>
              <w:t xml:space="preserve">3 </w:t>
            </w:r>
            <w:r>
              <w:rPr>
                <w:rFonts w:hint="eastAsia"/>
                <w:highlight w:val="none"/>
              </w:rPr>
              <w:t>个及以上的，招标人应当按照招标文件规定的程序进行第二信封报价文件开标；在对报价文件进行评审后，有效投标不足</w:t>
            </w:r>
            <w:r>
              <w:rPr>
                <w:highlight w:val="none"/>
              </w:rPr>
              <w:t xml:space="preserve">3 </w:t>
            </w:r>
            <w:r>
              <w:rPr>
                <w:rFonts w:hint="eastAsia"/>
                <w:highlight w:val="none"/>
              </w:rPr>
              <w:t>个的，评标委员会可以否决全部投标。未否决全部投标的，评标委员会应当在评标报告中阐明理由并推荐中标候选人。</w:t>
            </w:r>
          </w:p>
          <w:p>
            <w:pPr>
              <w:pStyle w:val="3"/>
              <w:adjustRightInd w:val="0"/>
              <w:snapToGrid w:val="0"/>
              <w:spacing w:line="360" w:lineRule="exact"/>
              <w:ind w:left="44" w:leftChars="21" w:firstLine="432" w:firstLineChars="206"/>
              <w:rPr>
                <w:rFonts w:hint="eastAsia"/>
                <w:highlight w:val="none"/>
              </w:rPr>
            </w:pPr>
            <w:r>
              <w:rPr>
                <w:rFonts w:hint="eastAsia"/>
                <w:highlight w:val="none"/>
              </w:rPr>
              <w:t>3.8.5 如果发生无法确定推荐中标候选人的其它意外情况，由评标委员会研究处理，评标委员会有权决定本次招标无效，有权建议招标人重新招标。</w:t>
            </w:r>
          </w:p>
          <w:p>
            <w:pPr>
              <w:spacing w:line="360" w:lineRule="exact"/>
              <w:ind w:firstLine="420" w:firstLineChars="200"/>
              <w:rPr>
                <w:rFonts w:hint="eastAsia"/>
                <w:highlight w:val="none"/>
              </w:rPr>
            </w:pPr>
            <w:r>
              <w:rPr>
                <w:rFonts w:hint="eastAsia"/>
                <w:highlight w:val="none"/>
              </w:rPr>
              <w:t>3.8.6 如果推荐的中标候选人因公示被投诉并查证属实存在造假行为的，按否决其投标处理，且没收其投标保证金；</w:t>
            </w:r>
          </w:p>
          <w:p>
            <w:pPr>
              <w:spacing w:line="360" w:lineRule="exact"/>
              <w:ind w:firstLine="420" w:firstLineChars="200"/>
              <w:rPr>
                <w:rFonts w:hint="eastAsia"/>
                <w:highlight w:val="none"/>
              </w:rPr>
            </w:pPr>
            <w:r>
              <w:rPr>
                <w:rFonts w:hint="eastAsia"/>
                <w:highlight w:val="none"/>
              </w:rPr>
              <w:t>3.8.7 如果开标后至中标通知书发出前，中标候选人因违法、违规行为或重大质量、安全责任事故被国家住建部、交通运输部、广东省交通运输厅通报批评而取消投标资格或信用等级降低为D级等情况之一的，或有因行贿犯罪而被人民法院判决、裁定生效的行为，或投标人拟入本项目的项目经理有因行贿犯罪而被判刑的行为，则取消其中标资格，按否决其投标处理；</w:t>
            </w:r>
          </w:p>
          <w:p>
            <w:pPr>
              <w:spacing w:line="360" w:lineRule="exact"/>
              <w:ind w:firstLine="420" w:firstLineChars="200"/>
              <w:rPr>
                <w:rFonts w:hint="eastAsia"/>
                <w:highlight w:val="none"/>
              </w:rPr>
            </w:pPr>
            <w:r>
              <w:rPr>
                <w:rFonts w:hint="eastAsia"/>
                <w:highlight w:val="none"/>
              </w:rPr>
              <w:t>发生以上情况时，招标人按推荐中标候选人排名顺序依次确定中标人，或重新组织招标。</w:t>
            </w:r>
          </w:p>
          <w:p>
            <w:pPr>
              <w:spacing w:line="360" w:lineRule="exact"/>
              <w:ind w:firstLine="420" w:firstLineChars="200"/>
              <w:rPr>
                <w:rFonts w:hint="eastAsia"/>
                <w:highlight w:val="none"/>
                <w:lang w:val="en-US" w:eastAsia="zh-CN"/>
              </w:rPr>
            </w:pPr>
            <w:r>
              <w:rPr>
                <w:rFonts w:hint="eastAsia"/>
                <w:highlight w:val="none"/>
                <w:lang w:val="en-US" w:eastAsia="zh-CN"/>
              </w:rPr>
              <w:t>3.8.8 本招标文件规定的否决投标条款包含在以下条款：</w:t>
            </w:r>
          </w:p>
          <w:p>
            <w:pPr>
              <w:spacing w:line="360" w:lineRule="exact"/>
              <w:ind w:firstLine="420" w:firstLineChars="200"/>
              <w:rPr>
                <w:rFonts w:hint="eastAsia"/>
                <w:highlight w:val="none"/>
                <w:lang w:val="en-US" w:eastAsia="zh-CN"/>
              </w:rPr>
            </w:pPr>
            <w:r>
              <w:rPr>
                <w:rFonts w:hint="eastAsia"/>
                <w:highlight w:val="none"/>
                <w:lang w:val="en-US" w:eastAsia="zh-CN"/>
              </w:rPr>
              <w:t>（1）招标公告第3点 投标人资格要求；</w:t>
            </w:r>
          </w:p>
          <w:p>
            <w:pPr>
              <w:spacing w:line="360" w:lineRule="exact"/>
              <w:ind w:firstLine="420" w:firstLineChars="200"/>
              <w:rPr>
                <w:rFonts w:hint="eastAsia"/>
                <w:highlight w:val="none"/>
                <w:lang w:val="en-US" w:eastAsia="zh-CN"/>
              </w:rPr>
            </w:pPr>
            <w:r>
              <w:rPr>
                <w:rFonts w:hint="eastAsia"/>
                <w:highlight w:val="none"/>
                <w:lang w:val="en-US" w:eastAsia="zh-CN"/>
              </w:rPr>
              <w:t>（2）投标人须知1.4.3款、1.4.4款、1.4.5款、1.12款、3.2款、3.4款、3.5款、3.6款、10.4款、10.8款、10.9款；</w:t>
            </w:r>
          </w:p>
          <w:p>
            <w:pPr>
              <w:spacing w:line="360" w:lineRule="exact"/>
              <w:ind w:firstLine="420" w:firstLineChars="200"/>
              <w:rPr>
                <w:rFonts w:hint="eastAsia" w:ascii="宋体" w:hAnsi="宋体"/>
                <w:color w:val="000000"/>
                <w:szCs w:val="21"/>
                <w:highlight w:val="none"/>
              </w:rPr>
            </w:pPr>
            <w:r>
              <w:rPr>
                <w:rFonts w:hint="eastAsia"/>
                <w:highlight w:val="none"/>
                <w:lang w:val="en-US" w:eastAsia="zh-CN"/>
              </w:rPr>
              <w:t>（3）本评标办法否决条款。</w:t>
            </w:r>
          </w:p>
        </w:tc>
      </w:tr>
    </w:tbl>
    <w:p>
      <w:pPr>
        <w:spacing w:before="300" w:after="300" w:line="360" w:lineRule="exact"/>
        <w:outlineLvl w:val="0"/>
        <w:rPr>
          <w:rFonts w:hint="eastAsia" w:ascii="宋体" w:hAnsi="宋体"/>
          <w:b/>
          <w:kern w:val="44"/>
          <w:sz w:val="28"/>
          <w:szCs w:val="28"/>
          <w:highlight w:val="none"/>
        </w:rPr>
      </w:pPr>
      <w:r>
        <w:rPr>
          <w:rFonts w:hint="eastAsia" w:ascii="宋体" w:hAnsi="宋体"/>
          <w:b/>
          <w:kern w:val="44"/>
          <w:sz w:val="28"/>
          <w:szCs w:val="28"/>
          <w:highlight w:val="none"/>
        </w:rPr>
        <w:t>1. 评标方法</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本次评标采用合理低价法。评标委员会对满足招标文件实质性要求的投标文件，按照本章第</w:t>
      </w:r>
      <w:r>
        <w:rPr>
          <w:rFonts w:ascii="宋体" w:hAnsi="宋体"/>
          <w:szCs w:val="21"/>
          <w:highlight w:val="none"/>
        </w:rPr>
        <w:t xml:space="preserve"> 2.2 </w:t>
      </w:r>
      <w:r>
        <w:rPr>
          <w:rFonts w:hint="eastAsia" w:ascii="宋体" w:hAnsi="宋体"/>
          <w:szCs w:val="21"/>
          <w:highlight w:val="non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spacing w:before="300" w:after="300" w:line="360" w:lineRule="exact"/>
        <w:outlineLvl w:val="0"/>
        <w:rPr>
          <w:rFonts w:ascii="宋体" w:hAnsi="宋体"/>
          <w:b/>
          <w:kern w:val="44"/>
          <w:sz w:val="28"/>
          <w:szCs w:val="28"/>
          <w:highlight w:val="none"/>
        </w:rPr>
      </w:pPr>
      <w:r>
        <w:rPr>
          <w:rFonts w:ascii="宋体" w:hAnsi="宋体"/>
          <w:b/>
          <w:kern w:val="44"/>
          <w:sz w:val="28"/>
          <w:szCs w:val="28"/>
          <w:highlight w:val="none"/>
        </w:rPr>
        <w:t>2. 评审标准</w:t>
      </w:r>
    </w:p>
    <w:p>
      <w:pPr>
        <w:spacing w:before="300" w:after="300" w:line="360" w:lineRule="exact"/>
        <w:outlineLvl w:val="0"/>
        <w:rPr>
          <w:rFonts w:ascii="宋体" w:hAnsi="宋体"/>
          <w:b/>
          <w:kern w:val="44"/>
          <w:sz w:val="24"/>
          <w:highlight w:val="none"/>
        </w:rPr>
      </w:pPr>
      <w:r>
        <w:rPr>
          <w:rFonts w:ascii="宋体" w:hAnsi="宋体"/>
          <w:b/>
          <w:kern w:val="44"/>
          <w:sz w:val="24"/>
          <w:highlight w:val="none"/>
        </w:rPr>
        <w:t>2.1 初步评审标准</w:t>
      </w:r>
    </w:p>
    <w:p>
      <w:pPr>
        <w:overflowPunct w:val="0"/>
        <w:spacing w:line="360" w:lineRule="exact"/>
        <w:ind w:firstLine="420" w:firstLineChars="200"/>
        <w:rPr>
          <w:rFonts w:ascii="宋体" w:hAnsi="宋体"/>
          <w:szCs w:val="21"/>
          <w:highlight w:val="none"/>
        </w:rPr>
      </w:pPr>
      <w:r>
        <w:rPr>
          <w:rFonts w:ascii="宋体" w:hAnsi="宋体"/>
          <w:szCs w:val="21"/>
          <w:highlight w:val="none"/>
        </w:rPr>
        <w:t>2.1.1 形式评审标准：见评标办法前附表。</w:t>
      </w:r>
    </w:p>
    <w:p>
      <w:pPr>
        <w:overflowPunct w:val="0"/>
        <w:spacing w:line="360" w:lineRule="exact"/>
        <w:ind w:firstLine="420" w:firstLineChars="200"/>
        <w:rPr>
          <w:rFonts w:ascii="宋体" w:hAnsi="宋体"/>
          <w:szCs w:val="21"/>
          <w:highlight w:val="none"/>
        </w:rPr>
      </w:pPr>
      <w:r>
        <w:rPr>
          <w:rFonts w:ascii="宋体" w:hAnsi="宋体"/>
          <w:szCs w:val="21"/>
          <w:highlight w:val="none"/>
        </w:rPr>
        <w:t>2.1.2 资格评审标准：见评标办法前附表</w:t>
      </w:r>
      <w:r>
        <w:rPr>
          <w:rFonts w:hint="eastAsia" w:ascii="宋体" w:hAnsi="宋体"/>
          <w:szCs w:val="21"/>
          <w:highlight w:val="none"/>
        </w:rPr>
        <w:t>及</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投标人须知</w:t>
      </w:r>
      <w:r>
        <w:rPr>
          <w:rFonts w:ascii="宋体" w:hAnsi="宋体"/>
          <w:szCs w:val="21"/>
          <w:highlight w:val="none"/>
        </w:rPr>
        <w:t>”</w:t>
      </w:r>
      <w:r>
        <w:rPr>
          <w:rFonts w:hint="eastAsia" w:ascii="宋体" w:hAnsi="宋体"/>
          <w:szCs w:val="21"/>
          <w:highlight w:val="none"/>
        </w:rPr>
        <w:t>附录的资格</w:t>
      </w:r>
      <w:r>
        <w:rPr>
          <w:rFonts w:ascii="宋体" w:hAnsi="宋体"/>
          <w:szCs w:val="21"/>
          <w:highlight w:val="none"/>
        </w:rPr>
        <w:t>审查</w:t>
      </w:r>
      <w:r>
        <w:rPr>
          <w:rFonts w:hint="eastAsia" w:ascii="宋体" w:hAnsi="宋体"/>
          <w:szCs w:val="21"/>
          <w:highlight w:val="none"/>
        </w:rPr>
        <w:t>条件</w:t>
      </w:r>
      <w:r>
        <w:rPr>
          <w:rFonts w:ascii="宋体" w:hAnsi="宋体"/>
          <w:szCs w:val="21"/>
          <w:highlight w:val="none"/>
        </w:rPr>
        <w:t>标准。</w:t>
      </w:r>
    </w:p>
    <w:p>
      <w:pPr>
        <w:overflowPunct w:val="0"/>
        <w:spacing w:line="360" w:lineRule="exact"/>
        <w:ind w:firstLine="420" w:firstLineChars="200"/>
        <w:rPr>
          <w:rFonts w:ascii="宋体" w:hAnsi="宋体"/>
          <w:szCs w:val="21"/>
          <w:highlight w:val="none"/>
        </w:rPr>
      </w:pPr>
      <w:r>
        <w:rPr>
          <w:rFonts w:ascii="宋体" w:hAnsi="宋体"/>
          <w:szCs w:val="21"/>
          <w:highlight w:val="none"/>
        </w:rPr>
        <w:t>2.1.3 响应性评审标准：见评标办法前附表。</w:t>
      </w:r>
    </w:p>
    <w:p>
      <w:pPr>
        <w:spacing w:before="300" w:after="300" w:line="360" w:lineRule="exact"/>
        <w:outlineLvl w:val="0"/>
        <w:rPr>
          <w:rFonts w:ascii="宋体" w:hAnsi="宋体"/>
          <w:b/>
          <w:kern w:val="44"/>
          <w:sz w:val="24"/>
          <w:highlight w:val="none"/>
        </w:rPr>
      </w:pPr>
      <w:r>
        <w:rPr>
          <w:rFonts w:ascii="宋体" w:hAnsi="宋体"/>
          <w:b/>
          <w:kern w:val="44"/>
          <w:sz w:val="24"/>
          <w:highlight w:val="none"/>
        </w:rPr>
        <w:t>2.2 分值构成与评分标准</w:t>
      </w:r>
    </w:p>
    <w:p>
      <w:pPr>
        <w:overflowPunct w:val="0"/>
        <w:spacing w:line="360" w:lineRule="exact"/>
        <w:ind w:firstLine="422" w:firstLineChars="200"/>
        <w:rPr>
          <w:rFonts w:ascii="宋体" w:hAnsi="宋体"/>
          <w:b/>
          <w:szCs w:val="21"/>
          <w:highlight w:val="none"/>
        </w:rPr>
      </w:pPr>
      <w:r>
        <w:rPr>
          <w:rFonts w:ascii="宋体" w:hAnsi="宋体"/>
          <w:b/>
          <w:szCs w:val="21"/>
          <w:highlight w:val="none"/>
        </w:rPr>
        <w:t>2.2.1 分值构成</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评标价</w:t>
      </w:r>
      <w:r>
        <w:rPr>
          <w:rFonts w:ascii="宋体" w:hAnsi="宋体"/>
          <w:szCs w:val="21"/>
          <w:highlight w:val="none"/>
        </w:rPr>
        <w:t>：见评标办法前附表；</w:t>
      </w:r>
    </w:p>
    <w:p>
      <w:pPr>
        <w:overflowPunct w:val="0"/>
        <w:spacing w:line="360" w:lineRule="exact"/>
        <w:ind w:firstLine="422" w:firstLineChars="200"/>
        <w:rPr>
          <w:rFonts w:ascii="宋体" w:hAnsi="宋体"/>
          <w:b/>
          <w:szCs w:val="21"/>
          <w:highlight w:val="none"/>
        </w:rPr>
      </w:pPr>
      <w:r>
        <w:rPr>
          <w:rFonts w:ascii="宋体" w:hAnsi="宋体"/>
          <w:b/>
          <w:szCs w:val="21"/>
          <w:highlight w:val="none"/>
        </w:rPr>
        <w:t>2.2.2  评标基准价计算</w:t>
      </w:r>
    </w:p>
    <w:p>
      <w:pPr>
        <w:overflowPunct w:val="0"/>
        <w:spacing w:line="360" w:lineRule="exact"/>
        <w:ind w:firstLine="420" w:firstLineChars="200"/>
        <w:rPr>
          <w:rFonts w:ascii="宋体" w:hAnsi="宋体"/>
          <w:szCs w:val="21"/>
          <w:highlight w:val="none"/>
        </w:rPr>
      </w:pPr>
      <w:r>
        <w:rPr>
          <w:rFonts w:ascii="宋体" w:hAnsi="宋体"/>
          <w:szCs w:val="21"/>
          <w:highlight w:val="none"/>
        </w:rPr>
        <w:t>评标基准价计算方法：见评标办法前附表。</w:t>
      </w:r>
    </w:p>
    <w:p>
      <w:pPr>
        <w:overflowPunct w:val="0"/>
        <w:spacing w:line="360" w:lineRule="exact"/>
        <w:ind w:firstLine="422" w:firstLineChars="200"/>
        <w:rPr>
          <w:rFonts w:ascii="宋体" w:hAnsi="宋体"/>
          <w:b/>
          <w:szCs w:val="21"/>
          <w:highlight w:val="none"/>
        </w:rPr>
      </w:pPr>
      <w:r>
        <w:rPr>
          <w:rFonts w:ascii="宋体" w:hAnsi="宋体"/>
          <w:b/>
          <w:szCs w:val="21"/>
          <w:highlight w:val="none"/>
        </w:rPr>
        <w:t xml:space="preserve">2.2.3  </w:t>
      </w:r>
      <w:r>
        <w:rPr>
          <w:rFonts w:hint="eastAsia" w:ascii="宋体" w:hAnsi="宋体"/>
          <w:b/>
          <w:szCs w:val="21"/>
          <w:highlight w:val="none"/>
        </w:rPr>
        <w:t>评标价</w:t>
      </w:r>
      <w:r>
        <w:rPr>
          <w:rFonts w:ascii="宋体" w:hAnsi="宋体"/>
          <w:b/>
          <w:szCs w:val="21"/>
          <w:highlight w:val="none"/>
        </w:rPr>
        <w:t>的偏差率计算</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评标价</w:t>
      </w:r>
      <w:r>
        <w:rPr>
          <w:rFonts w:ascii="宋体" w:hAnsi="宋体"/>
          <w:szCs w:val="21"/>
          <w:highlight w:val="none"/>
        </w:rPr>
        <w:t>的偏差率计算公式：见评标办法前附表。</w:t>
      </w:r>
    </w:p>
    <w:p>
      <w:pPr>
        <w:overflowPunct w:val="0"/>
        <w:spacing w:line="360" w:lineRule="exact"/>
        <w:ind w:firstLine="422" w:firstLineChars="200"/>
        <w:rPr>
          <w:rFonts w:ascii="宋体" w:hAnsi="宋体"/>
          <w:b/>
          <w:szCs w:val="21"/>
          <w:highlight w:val="none"/>
        </w:rPr>
      </w:pPr>
      <w:r>
        <w:rPr>
          <w:rFonts w:ascii="宋体" w:hAnsi="宋体"/>
          <w:b/>
          <w:szCs w:val="21"/>
          <w:highlight w:val="none"/>
        </w:rPr>
        <w:t>2.2.4  评分标准</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评标价</w:t>
      </w:r>
      <w:r>
        <w:rPr>
          <w:rFonts w:ascii="宋体" w:hAnsi="宋体"/>
          <w:szCs w:val="21"/>
          <w:highlight w:val="none"/>
        </w:rPr>
        <w:t>评分标准：见评标办法前附表；</w:t>
      </w:r>
    </w:p>
    <w:p>
      <w:pPr>
        <w:spacing w:before="300" w:after="300" w:line="360" w:lineRule="exact"/>
        <w:outlineLvl w:val="0"/>
        <w:rPr>
          <w:rFonts w:ascii="宋体" w:hAnsi="宋体"/>
          <w:b/>
          <w:kern w:val="44"/>
          <w:sz w:val="28"/>
          <w:szCs w:val="28"/>
          <w:highlight w:val="none"/>
        </w:rPr>
      </w:pPr>
      <w:r>
        <w:rPr>
          <w:rFonts w:ascii="宋体" w:hAnsi="宋体"/>
          <w:b/>
          <w:kern w:val="44"/>
          <w:sz w:val="28"/>
          <w:szCs w:val="28"/>
          <w:highlight w:val="none"/>
        </w:rPr>
        <w:t>3. 评标程序</w:t>
      </w:r>
    </w:p>
    <w:p>
      <w:pPr>
        <w:spacing w:before="300" w:after="300" w:line="360" w:lineRule="exact"/>
        <w:outlineLvl w:val="0"/>
        <w:rPr>
          <w:rFonts w:ascii="宋体" w:hAnsi="宋体"/>
          <w:b/>
          <w:kern w:val="44"/>
          <w:sz w:val="24"/>
          <w:highlight w:val="none"/>
        </w:rPr>
      </w:pPr>
      <w:r>
        <w:rPr>
          <w:rFonts w:ascii="宋体" w:hAnsi="宋体"/>
          <w:b/>
          <w:kern w:val="44"/>
          <w:sz w:val="24"/>
          <w:highlight w:val="none"/>
        </w:rPr>
        <w:t xml:space="preserve">3.1 </w:t>
      </w:r>
      <w:r>
        <w:rPr>
          <w:rFonts w:hint="eastAsia" w:ascii="宋体" w:hAnsi="宋体"/>
          <w:b/>
          <w:kern w:val="44"/>
          <w:sz w:val="24"/>
          <w:highlight w:val="none"/>
        </w:rPr>
        <w:t>第一个信封</w:t>
      </w:r>
      <w:r>
        <w:rPr>
          <w:rFonts w:ascii="宋体" w:hAnsi="宋体"/>
          <w:b/>
          <w:kern w:val="44"/>
          <w:sz w:val="24"/>
          <w:highlight w:val="none"/>
        </w:rPr>
        <w:t>初步评审</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3.1.1 评标委员会可以要求投标人提交第二章“投标人须知”第</w:t>
      </w:r>
      <w:r>
        <w:rPr>
          <w:rFonts w:ascii="宋体" w:hAnsi="宋体"/>
          <w:szCs w:val="21"/>
          <w:highlight w:val="none"/>
        </w:rPr>
        <w:t xml:space="preserve"> 3.5.1 </w:t>
      </w:r>
      <w:r>
        <w:rPr>
          <w:rFonts w:hint="eastAsia" w:ascii="宋体" w:hAnsi="宋体"/>
          <w:szCs w:val="21"/>
          <w:highlight w:val="none"/>
        </w:rPr>
        <w:t>项至第</w:t>
      </w:r>
      <w:r>
        <w:rPr>
          <w:rFonts w:ascii="宋体" w:hAnsi="宋体"/>
          <w:szCs w:val="21"/>
          <w:highlight w:val="none"/>
        </w:rPr>
        <w:t xml:space="preserve"> 3.5.6 </w:t>
      </w:r>
      <w:r>
        <w:rPr>
          <w:rFonts w:hint="eastAsia" w:ascii="宋体" w:hAnsi="宋体"/>
          <w:szCs w:val="21"/>
          <w:highlight w:val="none"/>
        </w:rPr>
        <w:t>项规定的有关证明和证件的原件，以便核验。评标委员会依据本章第</w:t>
      </w:r>
      <w:r>
        <w:rPr>
          <w:rFonts w:ascii="宋体" w:hAnsi="宋体"/>
          <w:szCs w:val="21"/>
          <w:highlight w:val="none"/>
        </w:rPr>
        <w:t xml:space="preserve"> 2.1 </w:t>
      </w:r>
      <w:r>
        <w:rPr>
          <w:rFonts w:hint="eastAsia" w:ascii="宋体" w:hAnsi="宋体"/>
          <w:szCs w:val="21"/>
          <w:highlight w:val="none"/>
        </w:rPr>
        <w:t>款规定的标准对投标文件第一个信封（商务及技术文件）进行初步评审。有一项不符合评审标准的，评标委员会应否决其投标。（适用于未进行资格预审的）</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3.2 第二个信封开标</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第一个信封（商务及技术文件）评审结束后，招标人将按照第二章“投标人须知”</w:t>
      </w:r>
      <w:r>
        <w:rPr>
          <w:rFonts w:ascii="宋体" w:hAnsi="宋体"/>
          <w:szCs w:val="21"/>
          <w:highlight w:val="none"/>
        </w:rPr>
        <w:t xml:space="preserve"> </w:t>
      </w:r>
      <w:r>
        <w:rPr>
          <w:rFonts w:hint="eastAsia" w:ascii="宋体" w:hAnsi="宋体"/>
          <w:szCs w:val="21"/>
          <w:highlight w:val="none"/>
        </w:rPr>
        <w:t>第</w:t>
      </w:r>
      <w:r>
        <w:rPr>
          <w:rFonts w:ascii="宋体" w:hAnsi="宋体"/>
          <w:szCs w:val="21"/>
          <w:highlight w:val="none"/>
        </w:rPr>
        <w:t xml:space="preserve"> 5.1 </w:t>
      </w:r>
      <w:r>
        <w:rPr>
          <w:rFonts w:hint="eastAsia" w:ascii="宋体" w:hAnsi="宋体"/>
          <w:szCs w:val="21"/>
          <w:highlight w:val="none"/>
        </w:rPr>
        <w:t>款规定的时间和地点对通过投标文件第一个信封（商务及技术文件）评审的投标文件第二个信封（报价文件）进行开标。</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3.3第二个信封初步评审</w:t>
      </w:r>
    </w:p>
    <w:p>
      <w:pPr>
        <w:overflowPunct w:val="0"/>
        <w:spacing w:line="360" w:lineRule="exact"/>
        <w:ind w:firstLine="525" w:firstLineChars="250"/>
        <w:rPr>
          <w:rFonts w:hint="eastAsia" w:ascii="宋体" w:hAnsi="宋体"/>
          <w:szCs w:val="21"/>
          <w:highlight w:val="none"/>
        </w:rPr>
      </w:pPr>
      <w:r>
        <w:rPr>
          <w:rFonts w:hint="eastAsia" w:ascii="宋体" w:hAnsi="宋体"/>
          <w:szCs w:val="21"/>
          <w:highlight w:val="none"/>
        </w:rPr>
        <w:t>3.3.1 评标委员会依据本章第</w:t>
      </w:r>
      <w:r>
        <w:rPr>
          <w:rFonts w:ascii="宋体" w:hAnsi="宋体"/>
          <w:szCs w:val="21"/>
          <w:highlight w:val="none"/>
        </w:rPr>
        <w:t xml:space="preserve"> 2.1.1 </w:t>
      </w:r>
      <w:r>
        <w:rPr>
          <w:rFonts w:hint="eastAsia" w:ascii="宋体" w:hAnsi="宋体"/>
          <w:szCs w:val="21"/>
          <w:highlight w:val="none"/>
        </w:rPr>
        <w:t>项、第</w:t>
      </w:r>
      <w:r>
        <w:rPr>
          <w:rFonts w:ascii="宋体" w:hAnsi="宋体"/>
          <w:szCs w:val="21"/>
          <w:highlight w:val="none"/>
        </w:rPr>
        <w:t xml:space="preserve"> 2.1.3 </w:t>
      </w:r>
      <w:r>
        <w:rPr>
          <w:rFonts w:hint="eastAsia" w:ascii="宋体" w:hAnsi="宋体"/>
          <w:szCs w:val="21"/>
          <w:highlight w:val="none"/>
        </w:rPr>
        <w:t>项规定的评审标准对投标文件第二个信封（报价文件）进行初步评审。有一项不符合评审标准的，评标委员会应否决其投标。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3.3.2 投标报价有算术错误的，评标委员会按以下原则对投标报价进行修正，修正的价格经投标人书面确认后具有约束力。投标人不接受修正价格的，评标委员会应否决其投标。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）投标文件中的大写金额与小写金额不一致的，以大写金额为准；</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）总价金额与依据单价计算出的结果不一致的，以单价金额为准修正总价，但单价金额小数点有明显错误的除外；</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）当单价与数量相乘不等于合价时，以单价计算为准，如果单价有明显的小数点位置差错，应以标出的合价为准，同时对单价予以修正；</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）当各子目的合价累计不等于总价时，应以各子目合价累计数为准，修正总价。</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3.3.3 工程量清单中的投标报价有其他错误的，评标委员会按以下原则对投标报价进行修正，修正的价格经投标人书面确认后具有约束力。投标人不接受修正价格的，评标委员会应否决其投标。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）当单价与数量的乘积与合价（金额）虽然一致，但投标人修改了该子目的工程数量，则其合价按招标人给定的工程数量乘以投标人所报单价予以修正。</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3.3.4 修正后的最终投标报价若超过最高投标限价（如有），评标委员会应否决其投标。</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3.3.5 修正后的最终投标报价仅作为签订合同的一个依据，不参与评标价得分的计算。</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3.4 第二个信封详细评审</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3.4.1 评标委员会按本章第</w:t>
      </w:r>
      <w:r>
        <w:rPr>
          <w:rFonts w:ascii="宋体" w:hAnsi="宋体"/>
          <w:szCs w:val="21"/>
          <w:highlight w:val="none"/>
        </w:rPr>
        <w:t xml:space="preserve"> 2.2.</w:t>
      </w:r>
      <w:r>
        <w:rPr>
          <w:rFonts w:hint="eastAsia" w:ascii="宋体" w:hAnsi="宋体"/>
          <w:szCs w:val="21"/>
          <w:highlight w:val="none"/>
        </w:rPr>
        <w:t>款规定的量化因素和分值进行打分，并计算出综合评估得分（即评标价得分）。</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3.4.2投标人得分分值计算保留小数点后两位，小数点后第三位“四舍五入”。</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3.5投标文件相关信息的核查</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3.5.1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w:t>
      </w:r>
      <w:r>
        <w:rPr>
          <w:rFonts w:ascii="宋体" w:hAnsi="宋体"/>
          <w:szCs w:val="21"/>
          <w:highlight w:val="none"/>
        </w:rPr>
        <w:t xml:space="preserve"> </w:t>
      </w:r>
      <w:r>
        <w:rPr>
          <w:rFonts w:hint="eastAsia" w:ascii="宋体" w:hAnsi="宋体"/>
          <w:szCs w:val="21"/>
          <w:highlight w:val="none"/>
        </w:rPr>
        <w:t>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3.5.2评标委员会应对在评标过程中发现的投标人与投标人之间、投标人与招标人之间存在的串通投标的情形进行评审和认定。投标人存在串通投标、弄虚作假、行贿等违法行为的，评标委员会应否决其投标。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）有下列情形之一的，属于投标人相互串通投标：</w:t>
      </w:r>
    </w:p>
    <w:p>
      <w:pPr>
        <w:overflowPunct w:val="0"/>
        <w:spacing w:line="360" w:lineRule="exact"/>
        <w:ind w:firstLine="420" w:firstLineChars="200"/>
        <w:rPr>
          <w:rFonts w:ascii="宋体" w:hAnsi="宋体"/>
          <w:szCs w:val="21"/>
          <w:highlight w:val="none"/>
        </w:rPr>
      </w:pPr>
      <w:r>
        <w:rPr>
          <w:rFonts w:ascii="宋体" w:hAnsi="宋体"/>
          <w:szCs w:val="21"/>
          <w:highlight w:val="none"/>
        </w:rPr>
        <w:t>a.</w:t>
      </w:r>
      <w:r>
        <w:rPr>
          <w:rFonts w:hint="eastAsia" w:ascii="宋体" w:hAnsi="宋体"/>
          <w:szCs w:val="21"/>
          <w:highlight w:val="none"/>
        </w:rPr>
        <w:t>投标人之间协商投标报价等投标文件的实质性内容；</w:t>
      </w:r>
    </w:p>
    <w:p>
      <w:pPr>
        <w:overflowPunct w:val="0"/>
        <w:spacing w:line="360" w:lineRule="exact"/>
        <w:ind w:firstLine="420" w:firstLineChars="200"/>
        <w:rPr>
          <w:rFonts w:ascii="宋体" w:hAnsi="宋体"/>
          <w:szCs w:val="21"/>
          <w:highlight w:val="none"/>
        </w:rPr>
      </w:pPr>
      <w:r>
        <w:rPr>
          <w:rFonts w:ascii="宋体" w:hAnsi="宋体"/>
          <w:szCs w:val="21"/>
          <w:highlight w:val="none"/>
        </w:rPr>
        <w:t>b.</w:t>
      </w:r>
      <w:r>
        <w:rPr>
          <w:rFonts w:hint="eastAsia" w:ascii="宋体" w:hAnsi="宋体"/>
          <w:szCs w:val="21"/>
          <w:highlight w:val="none"/>
        </w:rPr>
        <w:t>投标人之间约定中标人；</w:t>
      </w:r>
    </w:p>
    <w:p>
      <w:pPr>
        <w:overflowPunct w:val="0"/>
        <w:spacing w:line="360" w:lineRule="exact"/>
        <w:ind w:firstLine="420" w:firstLineChars="200"/>
        <w:rPr>
          <w:rFonts w:ascii="宋体" w:hAnsi="宋体"/>
          <w:szCs w:val="21"/>
          <w:highlight w:val="none"/>
        </w:rPr>
      </w:pPr>
      <w:r>
        <w:rPr>
          <w:rFonts w:ascii="宋体" w:hAnsi="宋体"/>
          <w:szCs w:val="21"/>
          <w:highlight w:val="none"/>
        </w:rPr>
        <w:t>c.</w:t>
      </w:r>
      <w:r>
        <w:rPr>
          <w:rFonts w:hint="eastAsia" w:ascii="宋体" w:hAnsi="宋体"/>
          <w:szCs w:val="21"/>
          <w:highlight w:val="none"/>
        </w:rPr>
        <w:t>投标人之间约定部分投标人放弃投标或中标；</w:t>
      </w:r>
    </w:p>
    <w:p>
      <w:pPr>
        <w:overflowPunct w:val="0"/>
        <w:spacing w:line="360" w:lineRule="exact"/>
        <w:ind w:firstLine="420" w:firstLineChars="200"/>
        <w:rPr>
          <w:rFonts w:ascii="宋体" w:hAnsi="宋体"/>
          <w:szCs w:val="21"/>
          <w:highlight w:val="none"/>
        </w:rPr>
      </w:pPr>
      <w:r>
        <w:rPr>
          <w:rFonts w:ascii="宋体" w:hAnsi="宋体"/>
          <w:szCs w:val="21"/>
          <w:highlight w:val="none"/>
        </w:rPr>
        <w:t>d.</w:t>
      </w:r>
      <w:r>
        <w:rPr>
          <w:rFonts w:hint="eastAsia" w:ascii="宋体" w:hAnsi="宋体"/>
          <w:szCs w:val="21"/>
          <w:highlight w:val="none"/>
        </w:rPr>
        <w:t>属于同一集团、协会、商会等组织成员的投标人按照该组织要求协同投标；</w:t>
      </w:r>
    </w:p>
    <w:p>
      <w:pPr>
        <w:overflowPunct w:val="0"/>
        <w:spacing w:line="360" w:lineRule="exact"/>
        <w:ind w:firstLine="420" w:firstLineChars="200"/>
        <w:rPr>
          <w:rFonts w:ascii="宋体" w:hAnsi="宋体"/>
          <w:szCs w:val="21"/>
          <w:highlight w:val="none"/>
        </w:rPr>
      </w:pPr>
      <w:r>
        <w:rPr>
          <w:rFonts w:ascii="宋体" w:hAnsi="宋体"/>
          <w:szCs w:val="21"/>
          <w:highlight w:val="none"/>
        </w:rPr>
        <w:t>e.</w:t>
      </w:r>
      <w:r>
        <w:rPr>
          <w:rFonts w:hint="eastAsia" w:ascii="宋体" w:hAnsi="宋体"/>
          <w:szCs w:val="21"/>
          <w:highlight w:val="none"/>
        </w:rPr>
        <w:t>投标人之间为谋取中标或排斥特定投标人而采取的其他联合行动。</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）有下列情形之一的，视为投标人相互串通投标：</w:t>
      </w:r>
    </w:p>
    <w:p>
      <w:pPr>
        <w:overflowPunct w:val="0"/>
        <w:spacing w:line="360" w:lineRule="exact"/>
        <w:ind w:firstLine="420" w:firstLineChars="200"/>
        <w:rPr>
          <w:rFonts w:ascii="宋体" w:hAnsi="宋体"/>
          <w:szCs w:val="21"/>
          <w:highlight w:val="none"/>
        </w:rPr>
      </w:pPr>
      <w:r>
        <w:rPr>
          <w:rFonts w:ascii="宋体" w:hAnsi="宋体"/>
          <w:szCs w:val="21"/>
          <w:highlight w:val="none"/>
        </w:rPr>
        <w:t>a.</w:t>
      </w:r>
      <w:r>
        <w:rPr>
          <w:rFonts w:hint="eastAsia" w:ascii="宋体" w:hAnsi="宋体"/>
          <w:szCs w:val="21"/>
          <w:highlight w:val="none"/>
        </w:rPr>
        <w:t>不同投标人的投标文件由同一单位或个人编制；</w:t>
      </w:r>
    </w:p>
    <w:p>
      <w:pPr>
        <w:overflowPunct w:val="0"/>
        <w:spacing w:line="360" w:lineRule="exact"/>
        <w:ind w:firstLine="420" w:firstLineChars="200"/>
        <w:rPr>
          <w:rFonts w:ascii="宋体" w:hAnsi="宋体"/>
          <w:szCs w:val="21"/>
          <w:highlight w:val="none"/>
        </w:rPr>
      </w:pPr>
      <w:r>
        <w:rPr>
          <w:rFonts w:ascii="宋体" w:hAnsi="宋体"/>
          <w:szCs w:val="21"/>
          <w:highlight w:val="none"/>
        </w:rPr>
        <w:t>b.</w:t>
      </w:r>
      <w:r>
        <w:rPr>
          <w:rFonts w:hint="eastAsia" w:ascii="宋体" w:hAnsi="宋体"/>
          <w:szCs w:val="21"/>
          <w:highlight w:val="none"/>
        </w:rPr>
        <w:t>不同投标人委托同一单位或个人办理投标事宜；</w:t>
      </w:r>
    </w:p>
    <w:p>
      <w:pPr>
        <w:overflowPunct w:val="0"/>
        <w:spacing w:line="360" w:lineRule="exact"/>
        <w:ind w:firstLine="420" w:firstLineChars="200"/>
        <w:rPr>
          <w:rFonts w:ascii="宋体" w:hAnsi="宋体"/>
          <w:szCs w:val="21"/>
          <w:highlight w:val="none"/>
        </w:rPr>
      </w:pPr>
      <w:r>
        <w:rPr>
          <w:rFonts w:ascii="宋体" w:hAnsi="宋体"/>
          <w:szCs w:val="21"/>
          <w:highlight w:val="none"/>
        </w:rPr>
        <w:t>c.</w:t>
      </w:r>
      <w:r>
        <w:rPr>
          <w:rFonts w:hint="eastAsia" w:ascii="宋体" w:hAnsi="宋体"/>
          <w:szCs w:val="21"/>
          <w:highlight w:val="none"/>
        </w:rPr>
        <w:t>不同投标人的投标文件载明的项目管理成员为同一人；</w:t>
      </w:r>
    </w:p>
    <w:p>
      <w:pPr>
        <w:overflowPunct w:val="0"/>
        <w:spacing w:line="360" w:lineRule="exact"/>
        <w:ind w:firstLine="420" w:firstLineChars="200"/>
        <w:rPr>
          <w:rFonts w:ascii="宋体" w:hAnsi="宋体"/>
          <w:szCs w:val="21"/>
          <w:highlight w:val="none"/>
        </w:rPr>
      </w:pPr>
      <w:r>
        <w:rPr>
          <w:rFonts w:ascii="宋体" w:hAnsi="宋体"/>
          <w:szCs w:val="21"/>
          <w:highlight w:val="none"/>
        </w:rPr>
        <w:t>d.</w:t>
      </w:r>
      <w:r>
        <w:rPr>
          <w:rFonts w:hint="eastAsia" w:ascii="宋体" w:hAnsi="宋体"/>
          <w:szCs w:val="21"/>
          <w:highlight w:val="none"/>
        </w:rPr>
        <w:t>不同投标人的投标文件异常一致或投标报价呈规律性差异；</w:t>
      </w:r>
    </w:p>
    <w:p>
      <w:pPr>
        <w:overflowPunct w:val="0"/>
        <w:spacing w:line="360" w:lineRule="exact"/>
        <w:ind w:firstLine="420" w:firstLineChars="200"/>
        <w:rPr>
          <w:rFonts w:ascii="宋体" w:hAnsi="宋体"/>
          <w:szCs w:val="21"/>
          <w:highlight w:val="none"/>
        </w:rPr>
      </w:pPr>
      <w:r>
        <w:rPr>
          <w:rFonts w:ascii="宋体" w:hAnsi="宋体"/>
          <w:szCs w:val="21"/>
          <w:highlight w:val="none"/>
        </w:rPr>
        <w:t>e.</w:t>
      </w:r>
      <w:r>
        <w:rPr>
          <w:rFonts w:hint="eastAsia" w:ascii="宋体" w:hAnsi="宋体"/>
          <w:szCs w:val="21"/>
          <w:highlight w:val="none"/>
        </w:rPr>
        <w:t>不同投标人的投标文件相互混装；</w:t>
      </w:r>
    </w:p>
    <w:p>
      <w:pPr>
        <w:overflowPunct w:val="0"/>
        <w:spacing w:line="360" w:lineRule="exact"/>
        <w:ind w:firstLine="420" w:firstLineChars="200"/>
        <w:rPr>
          <w:rFonts w:ascii="宋体" w:hAnsi="宋体"/>
          <w:szCs w:val="21"/>
          <w:highlight w:val="none"/>
        </w:rPr>
      </w:pPr>
      <w:r>
        <w:rPr>
          <w:rFonts w:ascii="宋体" w:hAnsi="宋体"/>
          <w:szCs w:val="21"/>
          <w:highlight w:val="none"/>
        </w:rPr>
        <w:t>f.</w:t>
      </w:r>
      <w:r>
        <w:rPr>
          <w:rFonts w:hint="eastAsia" w:ascii="宋体" w:hAnsi="宋体"/>
          <w:szCs w:val="21"/>
          <w:highlight w:val="none"/>
        </w:rPr>
        <w:t>不同投标人的投标保证金从同一单位或个人的账户转出。</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）有下列情形之一的，属于招标人与投标人串通投标：</w:t>
      </w:r>
    </w:p>
    <w:p>
      <w:pPr>
        <w:overflowPunct w:val="0"/>
        <w:spacing w:line="360" w:lineRule="exact"/>
        <w:ind w:firstLine="420" w:firstLineChars="200"/>
        <w:rPr>
          <w:rFonts w:ascii="宋体" w:hAnsi="宋体"/>
          <w:szCs w:val="21"/>
          <w:highlight w:val="none"/>
        </w:rPr>
      </w:pPr>
      <w:r>
        <w:rPr>
          <w:rFonts w:ascii="宋体" w:hAnsi="宋体"/>
          <w:szCs w:val="21"/>
          <w:highlight w:val="none"/>
        </w:rPr>
        <w:t>a.</w:t>
      </w:r>
      <w:r>
        <w:rPr>
          <w:rFonts w:hint="eastAsia" w:ascii="宋体" w:hAnsi="宋体"/>
          <w:szCs w:val="21"/>
          <w:highlight w:val="none"/>
        </w:rPr>
        <w:t>招标人在开标前开启投标文件并将有关信息泄露给其他投标人</w:t>
      </w:r>
      <w:r>
        <w:rPr>
          <w:rFonts w:ascii="宋体" w:hAnsi="宋体"/>
          <w:szCs w:val="21"/>
          <w:highlight w:val="none"/>
        </w:rPr>
        <w:t>;</w:t>
      </w:r>
    </w:p>
    <w:p>
      <w:pPr>
        <w:overflowPunct w:val="0"/>
        <w:spacing w:line="360" w:lineRule="exact"/>
        <w:ind w:firstLine="420" w:firstLineChars="200"/>
        <w:rPr>
          <w:rFonts w:ascii="宋体" w:hAnsi="宋体"/>
          <w:szCs w:val="21"/>
          <w:highlight w:val="none"/>
        </w:rPr>
      </w:pPr>
      <w:r>
        <w:rPr>
          <w:rFonts w:ascii="宋体" w:hAnsi="宋体"/>
          <w:szCs w:val="21"/>
          <w:highlight w:val="none"/>
        </w:rPr>
        <w:t>b.</w:t>
      </w:r>
      <w:r>
        <w:rPr>
          <w:rFonts w:hint="eastAsia" w:ascii="宋体" w:hAnsi="宋体"/>
          <w:szCs w:val="21"/>
          <w:highlight w:val="none"/>
        </w:rPr>
        <w:t>招标人直接或间接向投标人泄露标底、评标委员会成员等信息；</w:t>
      </w:r>
    </w:p>
    <w:p>
      <w:pPr>
        <w:overflowPunct w:val="0"/>
        <w:spacing w:line="360" w:lineRule="exact"/>
        <w:ind w:firstLine="420" w:firstLineChars="200"/>
        <w:rPr>
          <w:rFonts w:ascii="宋体" w:hAnsi="宋体"/>
          <w:szCs w:val="21"/>
          <w:highlight w:val="none"/>
        </w:rPr>
      </w:pPr>
      <w:r>
        <w:rPr>
          <w:rFonts w:ascii="宋体" w:hAnsi="宋体"/>
          <w:szCs w:val="21"/>
          <w:highlight w:val="none"/>
        </w:rPr>
        <w:t>c.</w:t>
      </w:r>
      <w:r>
        <w:rPr>
          <w:rFonts w:hint="eastAsia" w:ascii="宋体" w:hAnsi="宋体"/>
          <w:szCs w:val="21"/>
          <w:highlight w:val="none"/>
        </w:rPr>
        <w:t>招标人明示或暗示投标人压低或抬高投标报价；</w:t>
      </w:r>
    </w:p>
    <w:p>
      <w:pPr>
        <w:overflowPunct w:val="0"/>
        <w:spacing w:line="360" w:lineRule="exact"/>
        <w:ind w:firstLine="420" w:firstLineChars="200"/>
        <w:rPr>
          <w:rFonts w:hint="eastAsia" w:ascii="宋体" w:hAnsi="宋体"/>
          <w:szCs w:val="21"/>
          <w:highlight w:val="none"/>
        </w:rPr>
      </w:pPr>
      <w:r>
        <w:rPr>
          <w:rFonts w:ascii="宋体" w:hAnsi="宋体"/>
          <w:szCs w:val="21"/>
          <w:highlight w:val="none"/>
        </w:rPr>
        <w:t>d.</w:t>
      </w:r>
      <w:r>
        <w:rPr>
          <w:rFonts w:hint="eastAsia" w:ascii="宋体" w:hAnsi="宋体"/>
          <w:szCs w:val="21"/>
          <w:highlight w:val="none"/>
        </w:rPr>
        <w:t>招标人授意投标人撤换、修改投标文件；</w:t>
      </w:r>
      <w:r>
        <w:rPr>
          <w:rFonts w:ascii="宋体" w:hAnsi="宋体"/>
          <w:szCs w:val="21"/>
          <w:highlight w:val="none"/>
        </w:rPr>
        <w:t xml:space="preserve"> </w:t>
      </w:r>
    </w:p>
    <w:p>
      <w:pPr>
        <w:overflowPunct w:val="0"/>
        <w:spacing w:line="360" w:lineRule="exact"/>
        <w:ind w:firstLine="420" w:firstLineChars="200"/>
        <w:rPr>
          <w:rFonts w:ascii="宋体" w:hAnsi="宋体"/>
          <w:szCs w:val="21"/>
          <w:highlight w:val="none"/>
        </w:rPr>
      </w:pPr>
      <w:r>
        <w:rPr>
          <w:rFonts w:ascii="宋体" w:hAnsi="宋体"/>
          <w:szCs w:val="21"/>
          <w:highlight w:val="none"/>
        </w:rPr>
        <w:t>e.</w:t>
      </w:r>
      <w:r>
        <w:rPr>
          <w:rFonts w:hint="eastAsia" w:ascii="宋体" w:hAnsi="宋体"/>
          <w:szCs w:val="21"/>
          <w:highlight w:val="none"/>
        </w:rPr>
        <w:t>招标人明示或暗示投标人为特定投标人中标提供方便；</w:t>
      </w:r>
    </w:p>
    <w:p>
      <w:pPr>
        <w:overflowPunct w:val="0"/>
        <w:spacing w:line="360" w:lineRule="exact"/>
        <w:ind w:firstLine="420" w:firstLineChars="200"/>
        <w:rPr>
          <w:rFonts w:ascii="宋体" w:hAnsi="宋体"/>
          <w:szCs w:val="21"/>
          <w:highlight w:val="none"/>
        </w:rPr>
      </w:pPr>
      <w:r>
        <w:rPr>
          <w:rFonts w:ascii="宋体" w:hAnsi="宋体"/>
          <w:szCs w:val="21"/>
          <w:highlight w:val="none"/>
        </w:rPr>
        <w:t>f.</w:t>
      </w:r>
      <w:r>
        <w:rPr>
          <w:rFonts w:hint="eastAsia" w:ascii="宋体" w:hAnsi="宋体"/>
          <w:szCs w:val="21"/>
          <w:highlight w:val="none"/>
        </w:rPr>
        <w:t>招标人与投标人为谋求特定投标人中标而采取的其他串通行为。</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）投标人有下列情形之一的，属于弄虚作假的行为：</w:t>
      </w:r>
    </w:p>
    <w:p>
      <w:pPr>
        <w:overflowPunct w:val="0"/>
        <w:spacing w:line="360" w:lineRule="exact"/>
        <w:ind w:firstLine="420" w:firstLineChars="200"/>
        <w:rPr>
          <w:rFonts w:ascii="宋体" w:hAnsi="宋体"/>
          <w:szCs w:val="21"/>
          <w:highlight w:val="none"/>
        </w:rPr>
      </w:pPr>
      <w:r>
        <w:rPr>
          <w:rFonts w:ascii="宋体" w:hAnsi="宋体"/>
          <w:szCs w:val="21"/>
          <w:highlight w:val="none"/>
        </w:rPr>
        <w:t>a.</w:t>
      </w:r>
      <w:r>
        <w:rPr>
          <w:rFonts w:hint="eastAsia" w:ascii="宋体" w:hAnsi="宋体"/>
          <w:szCs w:val="21"/>
          <w:highlight w:val="none"/>
        </w:rPr>
        <w:t>使用通过受让或租借等方式获取的资格、资质证书投标；</w:t>
      </w:r>
    </w:p>
    <w:p>
      <w:pPr>
        <w:overflowPunct w:val="0"/>
        <w:spacing w:line="360" w:lineRule="exact"/>
        <w:ind w:firstLine="420" w:firstLineChars="200"/>
        <w:rPr>
          <w:rFonts w:ascii="宋体" w:hAnsi="宋体"/>
          <w:szCs w:val="21"/>
          <w:highlight w:val="none"/>
        </w:rPr>
      </w:pPr>
      <w:r>
        <w:rPr>
          <w:rFonts w:ascii="宋体" w:hAnsi="宋体"/>
          <w:szCs w:val="21"/>
          <w:highlight w:val="none"/>
        </w:rPr>
        <w:t>b.</w:t>
      </w:r>
      <w:r>
        <w:rPr>
          <w:rFonts w:hint="eastAsia" w:ascii="宋体" w:hAnsi="宋体"/>
          <w:szCs w:val="21"/>
          <w:highlight w:val="none"/>
        </w:rPr>
        <w:t>使用伪造、变造的许可证件；</w:t>
      </w:r>
    </w:p>
    <w:p>
      <w:pPr>
        <w:overflowPunct w:val="0"/>
        <w:spacing w:line="360" w:lineRule="exact"/>
        <w:ind w:firstLine="420" w:firstLineChars="200"/>
        <w:rPr>
          <w:rFonts w:ascii="宋体" w:hAnsi="宋体"/>
          <w:szCs w:val="21"/>
          <w:highlight w:val="none"/>
        </w:rPr>
      </w:pPr>
      <w:r>
        <w:rPr>
          <w:rFonts w:ascii="宋体" w:hAnsi="宋体"/>
          <w:szCs w:val="21"/>
          <w:highlight w:val="none"/>
        </w:rPr>
        <w:t>c.</w:t>
      </w:r>
      <w:r>
        <w:rPr>
          <w:rFonts w:hint="eastAsia" w:ascii="宋体" w:hAnsi="宋体"/>
          <w:szCs w:val="21"/>
          <w:highlight w:val="none"/>
        </w:rPr>
        <w:t>提供虚假的财务状况或业绩；</w:t>
      </w:r>
    </w:p>
    <w:p>
      <w:pPr>
        <w:overflowPunct w:val="0"/>
        <w:spacing w:line="360" w:lineRule="exact"/>
        <w:ind w:firstLine="420" w:firstLineChars="200"/>
        <w:rPr>
          <w:rFonts w:ascii="宋体" w:hAnsi="宋体"/>
          <w:szCs w:val="21"/>
          <w:highlight w:val="none"/>
        </w:rPr>
      </w:pPr>
      <w:r>
        <w:rPr>
          <w:rFonts w:ascii="宋体" w:hAnsi="宋体"/>
          <w:szCs w:val="21"/>
          <w:highlight w:val="none"/>
        </w:rPr>
        <w:t>d.</w:t>
      </w:r>
      <w:r>
        <w:rPr>
          <w:rFonts w:hint="eastAsia" w:ascii="宋体" w:hAnsi="宋体"/>
          <w:szCs w:val="21"/>
          <w:highlight w:val="none"/>
        </w:rPr>
        <w:t>提供虚假的项目负责人或主要技术人员简历、劳动关系证明；</w:t>
      </w:r>
    </w:p>
    <w:p>
      <w:pPr>
        <w:overflowPunct w:val="0"/>
        <w:spacing w:line="360" w:lineRule="exact"/>
        <w:ind w:firstLine="420" w:firstLineChars="200"/>
        <w:rPr>
          <w:rFonts w:ascii="宋体" w:hAnsi="宋体"/>
          <w:szCs w:val="21"/>
          <w:highlight w:val="none"/>
        </w:rPr>
      </w:pPr>
      <w:r>
        <w:rPr>
          <w:rFonts w:ascii="宋体" w:hAnsi="宋体"/>
          <w:szCs w:val="21"/>
          <w:highlight w:val="none"/>
        </w:rPr>
        <w:t>e.</w:t>
      </w:r>
      <w:r>
        <w:rPr>
          <w:rFonts w:hint="eastAsia" w:ascii="宋体" w:hAnsi="宋体"/>
          <w:szCs w:val="21"/>
          <w:highlight w:val="none"/>
        </w:rPr>
        <w:t>提供虚假的信用状况；</w:t>
      </w:r>
    </w:p>
    <w:p>
      <w:pPr>
        <w:overflowPunct w:val="0"/>
        <w:spacing w:line="360" w:lineRule="exact"/>
        <w:ind w:firstLine="420" w:firstLineChars="200"/>
        <w:rPr>
          <w:rFonts w:ascii="宋体" w:hAnsi="宋体"/>
          <w:szCs w:val="21"/>
          <w:highlight w:val="none"/>
        </w:rPr>
      </w:pPr>
      <w:r>
        <w:rPr>
          <w:rFonts w:ascii="宋体" w:hAnsi="宋体"/>
          <w:szCs w:val="21"/>
          <w:highlight w:val="none"/>
        </w:rPr>
        <w:t>f.</w:t>
      </w:r>
      <w:r>
        <w:rPr>
          <w:rFonts w:hint="eastAsia" w:ascii="宋体" w:hAnsi="宋体"/>
          <w:szCs w:val="21"/>
          <w:highlight w:val="none"/>
        </w:rPr>
        <w:t>其他弄虚作假的行为。</w:t>
      </w:r>
    </w:p>
    <w:p>
      <w:pPr>
        <w:spacing w:before="300" w:after="300" w:line="360" w:lineRule="exact"/>
        <w:outlineLvl w:val="0"/>
        <w:rPr>
          <w:rFonts w:ascii="宋体" w:hAnsi="宋体"/>
          <w:b/>
          <w:kern w:val="44"/>
          <w:sz w:val="24"/>
          <w:highlight w:val="none"/>
        </w:rPr>
      </w:pPr>
      <w:bookmarkStart w:id="9" w:name="_bookmark105"/>
      <w:bookmarkEnd w:id="9"/>
      <w:r>
        <w:rPr>
          <w:rFonts w:hint="eastAsia" w:ascii="宋体" w:hAnsi="宋体"/>
          <w:b/>
          <w:kern w:val="44"/>
          <w:sz w:val="24"/>
          <w:highlight w:val="none"/>
        </w:rPr>
        <w:t>3.6 投标文件的澄清和说明</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3.6.1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3.6.2澄清和说明不得超出投标文件的范围或改变投标文件的实质性内容（算术性错误的修正除外）。投标人的书面澄清、说明属于投标文件的组成部分。</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3.6.3评标委员会不得暗示或诱导投标人作出澄清、说明，对投标人提交的澄清、说明有疑问的，可以要求投标人进一步澄清或说明，直至满足评标委员会的要求。</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3.6.4凡超出招标文件规定的或给发包人带来未曾要求的利益的变化、偏差或其他因素在评标时不予考虑。</w:t>
      </w:r>
    </w:p>
    <w:p>
      <w:pPr>
        <w:spacing w:before="300" w:after="300" w:line="360" w:lineRule="exact"/>
        <w:outlineLvl w:val="0"/>
        <w:rPr>
          <w:rFonts w:ascii="宋体" w:hAnsi="宋体"/>
          <w:b/>
          <w:kern w:val="44"/>
          <w:sz w:val="24"/>
          <w:highlight w:val="none"/>
        </w:rPr>
      </w:pPr>
      <w:bookmarkStart w:id="10" w:name="_bookmark106"/>
      <w:bookmarkEnd w:id="10"/>
      <w:r>
        <w:rPr>
          <w:rFonts w:hint="eastAsia" w:ascii="宋体" w:hAnsi="宋体"/>
          <w:b/>
          <w:kern w:val="44"/>
          <w:sz w:val="24"/>
          <w:highlight w:val="none"/>
        </w:rPr>
        <w:t>3.7 不得否决投标的情形</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投标文件存在第二章“投标人须知”第</w:t>
      </w:r>
      <w:r>
        <w:rPr>
          <w:rFonts w:ascii="宋体" w:hAnsi="宋体"/>
          <w:szCs w:val="21"/>
          <w:highlight w:val="none"/>
        </w:rPr>
        <w:t xml:space="preserve"> 1.12.3 </w:t>
      </w:r>
      <w:r>
        <w:rPr>
          <w:rFonts w:hint="eastAsia" w:ascii="宋体" w:hAnsi="宋体"/>
          <w:szCs w:val="21"/>
          <w:highlight w:val="none"/>
        </w:rPr>
        <w:t>项所列情形的，均视为细微偏差，评标委员会不得否决投标人的投标，应按照第二章“投标人须知”第</w:t>
      </w:r>
      <w:r>
        <w:rPr>
          <w:rFonts w:ascii="宋体" w:hAnsi="宋体"/>
          <w:szCs w:val="21"/>
          <w:highlight w:val="none"/>
        </w:rPr>
        <w:t xml:space="preserve"> 1.12.4  </w:t>
      </w:r>
      <w:r>
        <w:rPr>
          <w:rFonts w:hint="eastAsia" w:ascii="宋体" w:hAnsi="宋体"/>
          <w:szCs w:val="21"/>
          <w:highlight w:val="none"/>
        </w:rPr>
        <w:t>项规定的原则处理。</w:t>
      </w:r>
    </w:p>
    <w:p>
      <w:pPr>
        <w:spacing w:before="300" w:after="300" w:line="360" w:lineRule="exact"/>
        <w:outlineLvl w:val="0"/>
        <w:rPr>
          <w:rFonts w:ascii="宋体" w:hAnsi="宋体"/>
          <w:b/>
          <w:kern w:val="44"/>
          <w:sz w:val="24"/>
          <w:highlight w:val="none"/>
        </w:rPr>
      </w:pPr>
      <w:bookmarkStart w:id="11" w:name="_bookmark107"/>
      <w:bookmarkEnd w:id="11"/>
      <w:r>
        <w:rPr>
          <w:rFonts w:hint="eastAsia" w:ascii="宋体" w:hAnsi="宋体"/>
          <w:b/>
          <w:kern w:val="44"/>
          <w:sz w:val="24"/>
          <w:highlight w:val="none"/>
        </w:rPr>
        <w:t>3.8 评标结果</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3.8.1除第二章“投标人须知”前附表授权直接确定中标人外，评标委员会按照得分由高到低的顺序推荐中标候选人，并标明排序。</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3.8.2评标委员会完成评标后，应向招标人提交书面评标报告。</w:t>
      </w:r>
    </w:p>
    <w:p>
      <w:pPr>
        <w:spacing w:line="440" w:lineRule="exact"/>
        <w:ind w:firstLine="390"/>
        <w:jc w:val="center"/>
        <w:rPr>
          <w:rFonts w:hint="eastAsia" w:ascii="宋体" w:hAnsi="宋体"/>
          <w:color w:val="000000"/>
          <w:szCs w:val="21"/>
          <w:highlight w:val="none"/>
        </w:rPr>
      </w:pPr>
    </w:p>
    <w:p>
      <w:pPr>
        <w:spacing w:line="440" w:lineRule="exact"/>
        <w:ind w:firstLine="390"/>
        <w:jc w:val="center"/>
        <w:rPr>
          <w:rFonts w:hint="eastAsia" w:ascii="宋体" w:hAnsi="宋体"/>
          <w:color w:val="000000"/>
          <w:szCs w:val="21"/>
          <w:highlight w:val="none"/>
        </w:rPr>
      </w:pPr>
    </w:p>
    <w:p>
      <w:pPr>
        <w:spacing w:line="440" w:lineRule="exact"/>
        <w:ind w:firstLine="390"/>
        <w:jc w:val="center"/>
        <w:rPr>
          <w:rFonts w:hint="eastAsia" w:ascii="宋体" w:hAnsi="宋体"/>
          <w:color w:val="000000"/>
          <w:szCs w:val="21"/>
          <w:highlight w:val="none"/>
        </w:rPr>
      </w:pPr>
    </w:p>
    <w:p>
      <w:pPr>
        <w:spacing w:line="440" w:lineRule="exact"/>
        <w:ind w:firstLine="390"/>
        <w:jc w:val="center"/>
        <w:rPr>
          <w:rFonts w:hint="eastAsia" w:ascii="宋体" w:hAnsi="宋体"/>
          <w:color w:val="000000"/>
          <w:szCs w:val="21"/>
          <w:highlight w:val="none"/>
        </w:rPr>
      </w:pPr>
    </w:p>
    <w:p>
      <w:pPr>
        <w:spacing w:line="440" w:lineRule="exact"/>
        <w:ind w:firstLine="390"/>
        <w:jc w:val="center"/>
        <w:rPr>
          <w:rFonts w:hint="eastAsia" w:ascii="宋体" w:hAnsi="宋体"/>
          <w:color w:val="000000"/>
          <w:szCs w:val="21"/>
          <w:highlight w:val="none"/>
        </w:rPr>
      </w:pPr>
    </w:p>
    <w:p>
      <w:pPr>
        <w:spacing w:line="440" w:lineRule="exact"/>
        <w:ind w:firstLine="390"/>
        <w:jc w:val="center"/>
        <w:rPr>
          <w:rFonts w:hint="eastAsia" w:ascii="宋体" w:hAnsi="宋体"/>
          <w:color w:val="000000"/>
          <w:szCs w:val="21"/>
          <w:highlight w:val="none"/>
        </w:rPr>
      </w:pPr>
    </w:p>
    <w:p>
      <w:pPr>
        <w:spacing w:line="440" w:lineRule="exact"/>
        <w:jc w:val="center"/>
        <w:rPr>
          <w:rFonts w:hint="eastAsia" w:ascii="宋体" w:hAnsi="宋体"/>
          <w:color w:val="000000"/>
          <w:szCs w:val="21"/>
          <w:highlight w:val="none"/>
        </w:rPr>
      </w:pPr>
    </w:p>
    <w:p>
      <w:pPr>
        <w:pStyle w:val="8"/>
        <w:rPr>
          <w:rFonts w:hint="eastAsia" w:ascii="宋体" w:hAnsi="宋体"/>
          <w:color w:val="000000"/>
          <w:szCs w:val="21"/>
          <w:highlight w:val="none"/>
        </w:rPr>
      </w:pPr>
    </w:p>
    <w:p>
      <w:pPr>
        <w:pStyle w:val="8"/>
        <w:rPr>
          <w:rFonts w:hint="eastAsia" w:ascii="宋体" w:hAnsi="宋体"/>
          <w:color w:val="000000"/>
          <w:szCs w:val="21"/>
          <w:highlight w:val="none"/>
        </w:rPr>
      </w:pPr>
    </w:p>
    <w:p>
      <w:pPr>
        <w:pStyle w:val="8"/>
        <w:rPr>
          <w:rFonts w:hint="eastAsia" w:ascii="宋体" w:hAnsi="宋体"/>
          <w:color w:val="000000"/>
          <w:szCs w:val="21"/>
          <w:highlight w:val="none"/>
        </w:rPr>
      </w:pPr>
    </w:p>
    <w:p>
      <w:pPr>
        <w:pStyle w:val="8"/>
        <w:rPr>
          <w:rFonts w:hint="eastAsia" w:ascii="宋体" w:hAnsi="宋体"/>
          <w:color w:val="000000"/>
          <w:szCs w:val="21"/>
          <w:highlight w:val="none"/>
        </w:rPr>
      </w:pPr>
    </w:p>
    <w:p>
      <w:pPr>
        <w:pStyle w:val="8"/>
        <w:rPr>
          <w:rFonts w:hint="eastAsia" w:ascii="宋体" w:hAnsi="宋体"/>
          <w:color w:val="000000"/>
          <w:szCs w:val="21"/>
          <w:highlight w:val="none"/>
        </w:rPr>
      </w:pPr>
    </w:p>
    <w:p>
      <w:pPr>
        <w:pStyle w:val="2"/>
      </w:pPr>
    </w:p>
    <w:sectPr>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创艺简老宋">
    <w:altName w:val="宋体"/>
    <w:panose1 w:val="00000000000000000000"/>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Noto Sans Mono CJK JP Regular">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roma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Noto Sans CJK JP Regular">
    <w:altName w:val="Arial"/>
    <w:panose1 w:val="00000000000000000000"/>
    <w:charset w:val="00"/>
    <w:family w:val="swiss"/>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font-weight : 700">
    <w:altName w:val="Times New Roman"/>
    <w:panose1 w:val="00000000000000000000"/>
    <w:charset w:val="00"/>
    <w:family w:val="auto"/>
    <w:pitch w:val="default"/>
    <w:sig w:usb0="00000000" w:usb1="00000000" w:usb2="00000000" w:usb3="00000000" w:csb0="00040001" w:csb1="00000000"/>
  </w:font>
  <w:font w:name="font-weight : 400">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SimSun-Identity-H">
    <w:altName w:val="MS Gothic"/>
    <w:panose1 w:val="00000000000000000000"/>
    <w:charset w:val="80"/>
    <w:family w:val="auto"/>
    <w:pitch w:val="default"/>
    <w:sig w:usb0="00000000" w:usb1="00000000" w:usb2="00000010" w:usb3="00000000" w:csb0="00020000" w:csb1="00000000"/>
  </w:font>
  <w:font w:name="Calibri-Identity-H">
    <w:altName w:val="宋体"/>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73AD3"/>
    <w:rsid w:val="13A43F74"/>
    <w:rsid w:val="22397827"/>
    <w:rsid w:val="36A4559C"/>
    <w:rsid w:val="3E3C405D"/>
    <w:rsid w:val="429558E7"/>
    <w:rsid w:val="4B7F0E24"/>
    <w:rsid w:val="50600701"/>
    <w:rsid w:val="523B441E"/>
    <w:rsid w:val="5A7350DB"/>
    <w:rsid w:val="63FA4A6C"/>
    <w:rsid w:val="71FC7857"/>
    <w:rsid w:val="775813E3"/>
    <w:rsid w:val="78265CF1"/>
    <w:rsid w:val="7E2D2F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Plain Text"/>
    <w:basedOn w:val="1"/>
    <w:uiPriority w:val="0"/>
    <w:rPr>
      <w:rFonts w:ascii="宋体" w:hAnsi="Courier New"/>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paragraph" w:customStyle="1" w:styleId="8">
    <w:name w:val="Body Text Indent1"/>
    <w:basedOn w:val="1"/>
    <w:qFormat/>
    <w:uiPriority w:val="0"/>
    <w:pPr>
      <w:spacing w:after="120" w:afterLines="0"/>
      <w:ind w:left="420" w:leftChars="200"/>
    </w:pPr>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胡笛</cp:lastModifiedBy>
  <dcterms:modified xsi:type="dcterms:W3CDTF">2025-10-09T06:48:05Z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