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A087E64">
      <w:pPr>
        <w:keepNext/>
        <w:keepLines/>
        <w:spacing w:before="163" w:beforeLines="50" w:after="163" w:afterLines="50" w:line="360" w:lineRule="auto"/>
        <w:jc w:val="left"/>
        <w:outlineLvl w:val="0"/>
        <w:rPr>
          <w:rFonts w:ascii="黑体" w:hAnsi="黑体" w:eastAsia="黑体" w:cs="Times New Roman"/>
          <w:b/>
          <w:kern w:val="44"/>
          <w:sz w:val="52"/>
          <w:szCs w:val="52"/>
          <w:lang w:val="zh-CN" w:eastAsia="zh-CN"/>
        </w:rPr>
      </w:pPr>
      <w:bookmarkStart w:id="0" w:name="_Toc311793102"/>
      <w:bookmarkStart w:id="1" w:name="_Toc466388066"/>
      <w:bookmarkStart w:id="2" w:name="_Toc466389161"/>
    </w:p>
    <w:p w14:paraId="5DCE2215">
      <w:pPr>
        <w:keepNext/>
        <w:keepLines/>
        <w:spacing w:before="163" w:beforeLines="50" w:after="163" w:afterLines="50" w:line="360" w:lineRule="auto"/>
        <w:jc w:val="center"/>
        <w:outlineLvl w:val="0"/>
        <w:rPr>
          <w:rFonts w:ascii="黑体" w:hAnsi="黑体" w:eastAsia="黑体" w:cs="Times New Roman"/>
          <w:b/>
          <w:sz w:val="52"/>
          <w:szCs w:val="52"/>
          <w:lang w:val="zh-CN" w:eastAsia="zh-CN"/>
        </w:rPr>
      </w:pPr>
      <w:r>
        <w:rPr>
          <w:rFonts w:hint="eastAsia" w:ascii="黑体" w:hAnsi="黑体" w:eastAsia="黑体" w:cs="Times New Roman"/>
          <w:b/>
          <w:sz w:val="52"/>
          <w:szCs w:val="52"/>
          <w:lang w:val="en-US" w:eastAsia="zh-CN"/>
        </w:rPr>
        <w:t>长兴地块</w:t>
      </w:r>
      <w:r>
        <w:rPr>
          <w:rFonts w:hint="eastAsia" w:ascii="黑体" w:hAnsi="黑体" w:eastAsia="黑体" w:cs="Times New Roman"/>
          <w:b/>
          <w:sz w:val="52"/>
          <w:szCs w:val="52"/>
          <w:lang w:val="zh-CN" w:eastAsia="zh-CN"/>
        </w:rPr>
        <w:t>项目</w:t>
      </w:r>
      <w:bookmarkEnd w:id="0"/>
      <w:bookmarkEnd w:id="1"/>
      <w:bookmarkEnd w:id="2"/>
      <w:bookmarkStart w:id="3" w:name="_Toc311793103"/>
      <w:bookmarkStart w:id="4" w:name="_Toc466388067"/>
      <w:bookmarkStart w:id="5" w:name="_Toc466389162"/>
    </w:p>
    <w:p w14:paraId="7E0FB3C3">
      <w:pPr>
        <w:keepNext/>
        <w:keepLines/>
        <w:spacing w:before="163" w:beforeLines="50" w:after="163" w:afterLines="50" w:line="360" w:lineRule="auto"/>
        <w:jc w:val="center"/>
        <w:outlineLvl w:val="0"/>
        <w:rPr>
          <w:rFonts w:ascii="黑体" w:hAnsi="黑体" w:eastAsia="黑体" w:cs="Times New Roman"/>
          <w:b/>
          <w:sz w:val="52"/>
          <w:szCs w:val="52"/>
          <w:lang w:val="zh-CN" w:eastAsia="zh-CN"/>
        </w:rPr>
      </w:pPr>
      <w:r>
        <w:rPr>
          <w:rFonts w:hint="eastAsia" w:ascii="黑体" w:hAnsi="黑体" w:eastAsia="黑体" w:cs="Times New Roman"/>
          <w:b/>
          <w:sz w:val="52"/>
          <w:szCs w:val="52"/>
          <w:lang w:val="zh-CN" w:eastAsia="zh-CN"/>
        </w:rPr>
        <w:t>景观设计任务书</w:t>
      </w:r>
      <w:bookmarkEnd w:id="3"/>
      <w:bookmarkEnd w:id="4"/>
      <w:bookmarkEnd w:id="5"/>
    </w:p>
    <w:p w14:paraId="22FAB657">
      <w:pPr>
        <w:spacing w:line="360" w:lineRule="auto"/>
        <w:ind w:firstLine="480" w:firstLineChars="200"/>
        <w:rPr>
          <w:rFonts w:ascii="宋体" w:hAnsi="宋体" w:eastAsia="宋体" w:cs="Times New Roman"/>
          <w:b/>
          <w:sz w:val="24"/>
        </w:rPr>
      </w:pPr>
    </w:p>
    <w:p w14:paraId="352D1344">
      <w:pPr>
        <w:spacing w:line="360" w:lineRule="auto"/>
        <w:ind w:firstLine="480" w:firstLineChars="200"/>
        <w:rPr>
          <w:rFonts w:ascii="宋体" w:hAnsi="宋体" w:eastAsia="宋体" w:cs="Times New Roman"/>
          <w:b/>
          <w:sz w:val="24"/>
        </w:rPr>
      </w:pPr>
    </w:p>
    <w:p w14:paraId="4ECCE81B">
      <w:pPr>
        <w:spacing w:line="360" w:lineRule="auto"/>
        <w:ind w:firstLine="480" w:firstLineChars="200"/>
        <w:rPr>
          <w:rFonts w:ascii="宋体" w:hAnsi="宋体" w:eastAsia="宋体" w:cs="Times New Roman"/>
          <w:b/>
          <w:sz w:val="24"/>
        </w:rPr>
      </w:pPr>
    </w:p>
    <w:p w14:paraId="26101B8E">
      <w:pPr>
        <w:spacing w:line="360" w:lineRule="auto"/>
        <w:ind w:firstLine="480" w:firstLineChars="200"/>
        <w:rPr>
          <w:rFonts w:ascii="宋体" w:hAnsi="宋体" w:eastAsia="宋体" w:cs="Times New Roman"/>
          <w:b/>
          <w:sz w:val="24"/>
        </w:rPr>
      </w:pPr>
    </w:p>
    <w:p w14:paraId="3C4C6CCF">
      <w:pPr>
        <w:spacing w:line="360" w:lineRule="auto"/>
        <w:ind w:firstLine="480" w:firstLineChars="200"/>
        <w:rPr>
          <w:rFonts w:ascii="宋体" w:hAnsi="宋体" w:eastAsia="宋体" w:cs="Times New Roman"/>
          <w:b/>
          <w:sz w:val="24"/>
        </w:rPr>
      </w:pPr>
    </w:p>
    <w:p w14:paraId="5172B797">
      <w:pPr>
        <w:spacing w:line="360" w:lineRule="auto"/>
        <w:ind w:firstLine="480" w:firstLineChars="200"/>
        <w:rPr>
          <w:rFonts w:ascii="宋体" w:hAnsi="宋体" w:eastAsia="宋体" w:cs="Times New Roman"/>
          <w:b/>
          <w:sz w:val="24"/>
        </w:rPr>
      </w:pPr>
    </w:p>
    <w:p w14:paraId="3A8E067B">
      <w:pPr>
        <w:spacing w:line="360" w:lineRule="auto"/>
        <w:ind w:firstLine="480" w:firstLineChars="200"/>
        <w:rPr>
          <w:rFonts w:ascii="宋体" w:hAnsi="宋体" w:eastAsia="宋体" w:cs="Times New Roman"/>
          <w:b/>
          <w:sz w:val="24"/>
        </w:rPr>
      </w:pPr>
    </w:p>
    <w:p w14:paraId="788CB8A6">
      <w:pPr>
        <w:spacing w:line="360" w:lineRule="auto"/>
        <w:ind w:firstLine="480" w:firstLineChars="200"/>
        <w:rPr>
          <w:rFonts w:ascii="宋体" w:hAnsi="宋体" w:eastAsia="宋体" w:cs="Times New Roman"/>
          <w:b/>
          <w:sz w:val="24"/>
        </w:rPr>
      </w:pPr>
    </w:p>
    <w:p w14:paraId="2D8A31DD">
      <w:pPr>
        <w:spacing w:line="360" w:lineRule="auto"/>
        <w:ind w:firstLine="480" w:firstLineChars="200"/>
        <w:jc w:val="center"/>
        <w:rPr>
          <w:rFonts w:ascii="宋体" w:hAnsi="宋体" w:eastAsia="宋体" w:cs="Times New Roman"/>
          <w:sz w:val="24"/>
        </w:rPr>
      </w:pPr>
    </w:p>
    <w:p w14:paraId="3E5FF435">
      <w:pPr>
        <w:spacing w:line="360" w:lineRule="auto"/>
        <w:ind w:firstLine="480" w:firstLineChars="200"/>
        <w:jc w:val="center"/>
        <w:rPr>
          <w:rFonts w:ascii="宋体" w:hAnsi="宋体" w:eastAsia="宋体" w:cs="Times New Roman"/>
          <w:sz w:val="24"/>
        </w:rPr>
      </w:pPr>
    </w:p>
    <w:p w14:paraId="2BD40D2D">
      <w:pPr>
        <w:spacing w:line="360" w:lineRule="auto"/>
        <w:ind w:firstLine="480" w:firstLineChars="200"/>
        <w:jc w:val="center"/>
        <w:rPr>
          <w:rFonts w:ascii="宋体" w:hAnsi="宋体" w:eastAsia="宋体" w:cs="Times New Roman"/>
          <w:sz w:val="24"/>
        </w:rPr>
      </w:pPr>
    </w:p>
    <w:p w14:paraId="2B704D3D">
      <w:pPr>
        <w:spacing w:line="360" w:lineRule="auto"/>
        <w:ind w:firstLine="480" w:firstLineChars="200"/>
        <w:jc w:val="center"/>
        <w:rPr>
          <w:rFonts w:ascii="宋体" w:hAnsi="宋体" w:eastAsia="宋体" w:cs="Times New Roman"/>
          <w:sz w:val="24"/>
        </w:rPr>
      </w:pPr>
    </w:p>
    <w:p w14:paraId="43C7720E">
      <w:pPr>
        <w:spacing w:line="360" w:lineRule="auto"/>
        <w:ind w:firstLine="480" w:firstLineChars="200"/>
        <w:jc w:val="center"/>
        <w:rPr>
          <w:rFonts w:ascii="宋体" w:hAnsi="宋体" w:eastAsia="宋体" w:cs="Times New Roman"/>
          <w:sz w:val="24"/>
        </w:rPr>
      </w:pPr>
    </w:p>
    <w:p w14:paraId="045693A3">
      <w:pPr>
        <w:spacing w:line="360" w:lineRule="auto"/>
        <w:ind w:firstLine="480" w:firstLineChars="200"/>
        <w:jc w:val="center"/>
        <w:rPr>
          <w:rFonts w:ascii="宋体" w:hAnsi="宋体" w:eastAsia="宋体" w:cs="Times New Roman"/>
          <w:sz w:val="24"/>
        </w:rPr>
      </w:pPr>
    </w:p>
    <w:p w14:paraId="25F7F461">
      <w:pPr>
        <w:spacing w:line="360" w:lineRule="auto"/>
        <w:ind w:firstLine="480" w:firstLineChars="200"/>
        <w:jc w:val="center"/>
        <w:rPr>
          <w:rFonts w:ascii="宋体" w:hAnsi="宋体" w:eastAsia="宋体" w:cs="Times New Roman"/>
          <w:sz w:val="24"/>
        </w:rPr>
      </w:pPr>
    </w:p>
    <w:p w14:paraId="0D0DAF97">
      <w:pPr>
        <w:spacing w:line="360" w:lineRule="auto"/>
        <w:ind w:firstLine="480" w:firstLineChars="200"/>
        <w:jc w:val="center"/>
        <w:rPr>
          <w:rFonts w:ascii="宋体" w:hAnsi="宋体" w:eastAsia="宋体" w:cs="Times New Roman"/>
          <w:sz w:val="24"/>
        </w:rPr>
      </w:pPr>
    </w:p>
    <w:p w14:paraId="2EE624C6">
      <w:pPr>
        <w:spacing w:line="360" w:lineRule="auto"/>
        <w:ind w:firstLine="480" w:firstLineChars="200"/>
        <w:jc w:val="center"/>
        <w:rPr>
          <w:rFonts w:ascii="宋体" w:hAnsi="宋体" w:eastAsia="宋体" w:cs="Times New Roman"/>
          <w:sz w:val="24"/>
        </w:rPr>
      </w:pPr>
    </w:p>
    <w:p w14:paraId="08AC5E53">
      <w:pPr>
        <w:spacing w:line="360" w:lineRule="auto"/>
        <w:ind w:firstLine="480" w:firstLineChars="200"/>
        <w:jc w:val="center"/>
        <w:rPr>
          <w:rFonts w:ascii="宋体" w:hAnsi="宋体" w:eastAsia="宋体" w:cs="Times New Roman"/>
          <w:sz w:val="24"/>
        </w:rPr>
      </w:pPr>
    </w:p>
    <w:p w14:paraId="4E39E818">
      <w:pPr>
        <w:adjustRightInd w:val="0"/>
        <w:spacing w:before="163" w:beforeLines="50" w:after="163" w:afterLines="50" w:line="360" w:lineRule="auto"/>
        <w:ind w:firstLine="560" w:firstLineChars="200"/>
        <w:jc w:val="center"/>
        <w:rPr>
          <w:rFonts w:ascii="黑体" w:hAnsi="Arial" w:eastAsia="黑体" w:cs="Times New Roman"/>
          <w:sz w:val="28"/>
          <w:szCs w:val="28"/>
          <w:highlight w:val="none"/>
        </w:rPr>
      </w:pPr>
      <w:r>
        <w:rPr>
          <w:rFonts w:hint="eastAsia" w:ascii="黑体" w:hAnsi="Arial" w:eastAsia="黑体" w:cs="Times New Roman"/>
          <w:sz w:val="28"/>
          <w:szCs w:val="28"/>
        </w:rPr>
        <w:t>广州市智</w:t>
      </w:r>
      <w:r>
        <w:rPr>
          <w:rFonts w:hint="eastAsia" w:ascii="黑体" w:hAnsi="Arial" w:eastAsia="黑体" w:cs="Times New Roman"/>
          <w:sz w:val="28"/>
          <w:szCs w:val="28"/>
          <w:lang w:val="en-US" w:eastAsia="zh-CN"/>
        </w:rPr>
        <w:t>鸿</w:t>
      </w:r>
      <w:r>
        <w:rPr>
          <w:rFonts w:hint="eastAsia" w:ascii="黑体" w:hAnsi="Arial" w:eastAsia="黑体" w:cs="Times New Roman"/>
          <w:sz w:val="28"/>
          <w:szCs w:val="28"/>
        </w:rPr>
        <w:t>房地产开发有限公司</w:t>
      </w:r>
      <w:r>
        <w:rPr>
          <w:rFonts w:hint="eastAsia" w:ascii="黑体" w:hAnsi="Arial" w:eastAsia="黑体" w:cs="Times New Roman"/>
          <w:sz w:val="28"/>
          <w:szCs w:val="28"/>
        </w:rPr>
        <w:br w:type="textWrapping"/>
      </w:r>
      <w:r>
        <w:rPr>
          <w:rFonts w:hint="eastAsia" w:ascii="黑体" w:hAnsi="Arial" w:eastAsia="黑体" w:cs="Times New Roman"/>
          <w:sz w:val="28"/>
          <w:szCs w:val="28"/>
          <w:highlight w:val="none"/>
          <w:lang w:val="en-US" w:eastAsia="zh-CN"/>
        </w:rPr>
        <w:t>2025</w:t>
      </w:r>
      <w:r>
        <w:rPr>
          <w:rFonts w:hint="eastAsia" w:ascii="黑体" w:hAnsi="Arial" w:eastAsia="黑体" w:cs="Times New Roman"/>
          <w:sz w:val="28"/>
          <w:szCs w:val="28"/>
          <w:highlight w:val="none"/>
        </w:rPr>
        <w:t>年</w:t>
      </w:r>
      <w:r>
        <w:rPr>
          <w:rFonts w:hint="eastAsia" w:ascii="黑体" w:hAnsi="Arial" w:eastAsia="黑体" w:cs="Times New Roman"/>
          <w:sz w:val="28"/>
          <w:szCs w:val="28"/>
          <w:highlight w:val="none"/>
          <w:lang w:val="en-US" w:eastAsia="zh-CN"/>
        </w:rPr>
        <w:t>09</w:t>
      </w:r>
      <w:r>
        <w:rPr>
          <w:rFonts w:hint="eastAsia" w:ascii="黑体" w:hAnsi="Arial" w:eastAsia="黑体" w:cs="Times New Roman"/>
          <w:sz w:val="28"/>
          <w:szCs w:val="28"/>
          <w:highlight w:val="none"/>
        </w:rPr>
        <w:t>月</w:t>
      </w:r>
    </w:p>
    <w:p w14:paraId="74B1F9F2">
      <w:pPr>
        <w:adjustRightInd w:val="0"/>
        <w:spacing w:before="163" w:beforeLines="50" w:after="163" w:afterLines="50" w:line="360" w:lineRule="auto"/>
        <w:jc w:val="center"/>
        <w:rPr>
          <w:rFonts w:ascii="黑体" w:hAnsi="Arial" w:eastAsia="黑体" w:cs="Times New Roman"/>
          <w:sz w:val="32"/>
          <w:szCs w:val="32"/>
        </w:rPr>
      </w:pPr>
      <w:r>
        <w:rPr>
          <w:rFonts w:hint="eastAsia" w:ascii="黑体" w:hAnsi="Arial" w:eastAsia="黑体" w:cs="Times New Roman"/>
          <w:sz w:val="32"/>
          <w:szCs w:val="32"/>
        </w:rPr>
        <w:t>目录</w:t>
      </w:r>
    </w:p>
    <w:p w14:paraId="184476F4">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第一章</w:t>
      </w:r>
      <w:r>
        <w:rPr>
          <w:rFonts w:hint="eastAsia" w:ascii="黑体" w:hAnsi="Arial" w:eastAsia="黑体" w:cs="Times New Roman"/>
          <w:sz w:val="24"/>
        </w:rPr>
        <w:tab/>
      </w:r>
      <w:r>
        <w:rPr>
          <w:rFonts w:hint="eastAsia" w:ascii="黑体" w:hAnsi="Arial" w:eastAsia="黑体" w:cs="Times New Roman"/>
          <w:sz w:val="24"/>
        </w:rPr>
        <w:t>项目概况及周边条件</w:t>
      </w:r>
    </w:p>
    <w:p w14:paraId="679E3018">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第二章</w:t>
      </w:r>
      <w:r>
        <w:rPr>
          <w:rFonts w:hint="eastAsia" w:ascii="黑体" w:hAnsi="Arial" w:eastAsia="黑体" w:cs="Times New Roman"/>
          <w:sz w:val="24"/>
        </w:rPr>
        <w:tab/>
      </w:r>
      <w:r>
        <w:rPr>
          <w:rFonts w:hint="eastAsia" w:ascii="黑体" w:hAnsi="Arial" w:eastAsia="黑体" w:cs="Times New Roman"/>
          <w:sz w:val="24"/>
        </w:rPr>
        <w:t>规划及建筑设计简介</w:t>
      </w:r>
    </w:p>
    <w:p w14:paraId="5A55A2DF">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第三章</w:t>
      </w:r>
      <w:r>
        <w:rPr>
          <w:rFonts w:hint="eastAsia" w:ascii="黑体" w:hAnsi="Arial" w:eastAsia="黑体" w:cs="Times New Roman"/>
          <w:sz w:val="24"/>
        </w:rPr>
        <w:tab/>
      </w:r>
      <w:r>
        <w:rPr>
          <w:rFonts w:hint="eastAsia" w:ascii="黑体" w:hAnsi="Arial" w:eastAsia="黑体" w:cs="Times New Roman"/>
          <w:sz w:val="24"/>
        </w:rPr>
        <w:t>景观设计要求</w:t>
      </w:r>
    </w:p>
    <w:p w14:paraId="59D45627">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第四章</w:t>
      </w:r>
      <w:r>
        <w:rPr>
          <w:rFonts w:hint="eastAsia" w:ascii="黑体" w:hAnsi="Arial" w:eastAsia="黑体" w:cs="Times New Roman"/>
          <w:sz w:val="24"/>
        </w:rPr>
        <w:tab/>
      </w:r>
      <w:r>
        <w:rPr>
          <w:rFonts w:hint="eastAsia" w:ascii="黑体" w:hAnsi="Arial" w:eastAsia="黑体" w:cs="Times New Roman"/>
          <w:sz w:val="24"/>
        </w:rPr>
        <w:t>景观设计工作内容及目标</w:t>
      </w:r>
    </w:p>
    <w:p w14:paraId="2EB2793D">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第五章</w:t>
      </w:r>
      <w:r>
        <w:rPr>
          <w:rFonts w:hint="eastAsia" w:ascii="黑体" w:hAnsi="Arial" w:eastAsia="黑体" w:cs="Times New Roman"/>
          <w:sz w:val="24"/>
        </w:rPr>
        <w:tab/>
      </w:r>
      <w:r>
        <w:rPr>
          <w:rFonts w:hint="eastAsia" w:ascii="黑体" w:hAnsi="Arial" w:eastAsia="黑体" w:cs="Times New Roman"/>
          <w:sz w:val="24"/>
        </w:rPr>
        <w:t>景观成本要求</w:t>
      </w:r>
    </w:p>
    <w:p w14:paraId="73B4B40E">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第六章</w:t>
      </w:r>
      <w:r>
        <w:rPr>
          <w:rFonts w:hint="eastAsia" w:ascii="黑体" w:hAnsi="Arial" w:eastAsia="黑体" w:cs="Times New Roman"/>
          <w:sz w:val="24"/>
        </w:rPr>
        <w:tab/>
      </w:r>
      <w:r>
        <w:rPr>
          <w:rFonts w:hint="eastAsia" w:ascii="黑体" w:hAnsi="Arial" w:eastAsia="黑体" w:cs="Times New Roman"/>
          <w:sz w:val="24"/>
        </w:rPr>
        <w:t>施工期间现场配合要求</w:t>
      </w:r>
    </w:p>
    <w:p w14:paraId="7C37A31B">
      <w:pPr>
        <w:adjustRightInd w:val="0"/>
        <w:spacing w:before="163" w:beforeLines="50" w:after="163" w:afterLines="50" w:line="360" w:lineRule="auto"/>
        <w:ind w:firstLine="240" w:firstLineChars="100"/>
        <w:jc w:val="left"/>
        <w:rPr>
          <w:rFonts w:ascii="黑体" w:hAnsi="Arial" w:eastAsia="黑体" w:cs="Times New Roman"/>
          <w:sz w:val="24"/>
        </w:rPr>
      </w:pPr>
      <w:r>
        <w:rPr>
          <w:rFonts w:hint="eastAsia" w:ascii="黑体" w:hAnsi="Arial" w:eastAsia="黑体" w:cs="Times New Roman"/>
          <w:sz w:val="24"/>
        </w:rPr>
        <w:t>第七章</w:t>
      </w:r>
      <w:r>
        <w:rPr>
          <w:rFonts w:hint="eastAsia" w:ascii="黑体" w:hAnsi="Arial" w:eastAsia="黑体" w:cs="Times New Roman"/>
          <w:sz w:val="24"/>
        </w:rPr>
        <w:tab/>
      </w:r>
      <w:r>
        <w:rPr>
          <w:rFonts w:hint="eastAsia" w:ascii="黑体" w:hAnsi="Arial" w:eastAsia="黑体" w:cs="Times New Roman"/>
          <w:sz w:val="24"/>
        </w:rPr>
        <w:t>附件</w:t>
      </w:r>
    </w:p>
    <w:p w14:paraId="70D35BCE">
      <w:pPr>
        <w:spacing w:line="360" w:lineRule="auto"/>
        <w:ind w:firstLine="480" w:firstLineChars="200"/>
        <w:rPr>
          <w:rFonts w:ascii="宋体" w:hAnsi="宋体" w:eastAsia="宋体" w:cs="Times New Roman"/>
          <w:b/>
          <w:sz w:val="24"/>
        </w:rPr>
      </w:pPr>
    </w:p>
    <w:p w14:paraId="2E83A410">
      <w:pPr>
        <w:spacing w:line="360" w:lineRule="auto"/>
        <w:ind w:firstLine="480" w:firstLineChars="200"/>
        <w:rPr>
          <w:rFonts w:ascii="宋体" w:hAnsi="宋体" w:eastAsia="宋体" w:cs="Times New Roman"/>
          <w:b/>
          <w:sz w:val="24"/>
        </w:rPr>
        <w:sectPr>
          <w:headerReference r:id="rId3" w:type="default"/>
          <w:footerReference r:id="rId4" w:type="default"/>
          <w:footerReference r:id="rId5" w:type="even"/>
          <w:pgSz w:w="11906" w:h="16838"/>
          <w:pgMar w:top="1418" w:right="991" w:bottom="1134" w:left="1418" w:header="680" w:footer="992" w:gutter="0"/>
          <w:pgNumType w:start="6"/>
          <w:cols w:space="720" w:num="1"/>
          <w:docGrid w:type="linesAndChars" w:linePitch="326" w:charSpace="0"/>
        </w:sectPr>
      </w:pPr>
    </w:p>
    <w:p w14:paraId="4BAA7F04">
      <w:pPr>
        <w:spacing w:line="360" w:lineRule="auto"/>
        <w:jc w:val="center"/>
        <w:rPr>
          <w:rFonts w:hint="eastAsia" w:ascii="黑体" w:eastAsia="黑体"/>
          <w:sz w:val="30"/>
          <w:szCs w:val="30"/>
        </w:rPr>
      </w:pPr>
      <w:r>
        <w:rPr>
          <w:rFonts w:hint="eastAsia" w:ascii="黑体" w:eastAsia="黑体"/>
          <w:sz w:val="30"/>
          <w:szCs w:val="30"/>
        </w:rPr>
        <w:t>第一章、</w:t>
      </w:r>
      <w:r>
        <w:rPr>
          <w:rFonts w:hint="eastAsia" w:ascii="黑体" w:eastAsia="黑体"/>
          <w:sz w:val="30"/>
          <w:szCs w:val="30"/>
        </w:rPr>
        <w:tab/>
      </w:r>
      <w:r>
        <w:rPr>
          <w:rFonts w:hint="eastAsia" w:ascii="黑体" w:eastAsia="黑体"/>
          <w:sz w:val="30"/>
          <w:szCs w:val="30"/>
        </w:rPr>
        <w:t>项目概况及周边条件</w:t>
      </w:r>
    </w:p>
    <w:p w14:paraId="3C6C3E8A">
      <w:pPr>
        <w:spacing w:line="360" w:lineRule="auto"/>
        <w:jc w:val="center"/>
        <w:rPr>
          <w:rFonts w:hint="eastAsia" w:ascii="黑体" w:eastAsia="黑体"/>
          <w:sz w:val="30"/>
          <w:szCs w:val="30"/>
        </w:rPr>
      </w:pPr>
    </w:p>
    <w:p w14:paraId="596700AC">
      <w:pPr>
        <w:spacing w:line="360" w:lineRule="auto"/>
        <w:rPr>
          <w:rFonts w:hint="eastAsia" w:ascii="黑体" w:eastAsia="黑体"/>
          <w:sz w:val="24"/>
        </w:rPr>
      </w:pPr>
      <w:r>
        <w:rPr>
          <w:rFonts w:hint="eastAsia" w:ascii="黑体" w:eastAsia="黑体"/>
          <w:sz w:val="24"/>
        </w:rPr>
        <w:t>一、基地位置</w:t>
      </w:r>
    </w:p>
    <w:p w14:paraId="1E60DAB4">
      <w:pPr>
        <w:spacing w:line="300" w:lineRule="auto"/>
        <w:ind w:firstLine="480" w:firstLineChars="200"/>
        <w:rPr>
          <w:rFonts w:hint="eastAsia" w:ascii="宋体" w:hAnsi="宋体" w:eastAsia="宋体" w:cs="Times New Roman"/>
          <w:kern w:val="0"/>
          <w:sz w:val="24"/>
          <w:lang w:eastAsia="zh-CN"/>
        </w:rPr>
      </w:pPr>
      <w:r>
        <w:rPr>
          <w:rFonts w:hint="eastAsia" w:ascii="宋体" w:hAnsi="宋体" w:eastAsia="宋体" w:cs="Times New Roman"/>
          <w:kern w:val="0"/>
          <w:sz w:val="24"/>
        </w:rPr>
        <w:t>基地位于广东省广州市花都区凤凰南路与空铁大道交汇板块。距离白云国际机场11.5km，20分钟车程；距离广州北站5.2km，15分钟车程。 附近有地铁9号线，距清布站1.5km；未来有18号线北延段通车，距基地500m左右，交通便利性将提升</w:t>
      </w:r>
      <w:r>
        <w:rPr>
          <w:rFonts w:hint="eastAsia" w:ascii="宋体" w:hAnsi="宋体" w:eastAsia="宋体" w:cs="Times New Roman"/>
          <w:kern w:val="0"/>
          <w:sz w:val="24"/>
          <w:lang w:eastAsia="zh-CN"/>
        </w:rPr>
        <w:t>；</w:t>
      </w:r>
      <w:r>
        <w:rPr>
          <w:rFonts w:hint="eastAsia" w:ascii="宋体" w:hAnsi="宋体" w:eastAsia="宋体" w:cs="Times New Roman"/>
          <w:kern w:val="0"/>
          <w:sz w:val="24"/>
        </w:rPr>
        <w:t xml:space="preserve"> 基地西北侧直线距离650m范围可触达花都湖国家湿地公园景观，为发展基地西北侧景观面提供基础</w:t>
      </w:r>
      <w:r>
        <w:rPr>
          <w:rFonts w:hint="eastAsia" w:ascii="宋体" w:hAnsi="宋体" w:eastAsia="宋体" w:cs="Times New Roman"/>
          <w:kern w:val="0"/>
          <w:sz w:val="24"/>
          <w:lang w:eastAsia="zh-CN"/>
        </w:rPr>
        <w:t>。</w:t>
      </w:r>
    </w:p>
    <w:p w14:paraId="21870A0B">
      <w:pPr>
        <w:spacing w:line="300" w:lineRule="auto"/>
        <w:rPr>
          <w:rFonts w:hint="eastAsia" w:ascii="宋体" w:hAnsi="宋体" w:eastAsia="宋体" w:cs="Times New Roman"/>
          <w:kern w:val="0"/>
          <w:sz w:val="24"/>
          <w:lang w:eastAsia="zh-CN"/>
        </w:rPr>
      </w:pPr>
      <w:r>
        <w:drawing>
          <wp:inline distT="0" distB="0" distL="114300" distR="114300">
            <wp:extent cx="5260975" cy="2825750"/>
            <wp:effectExtent l="0" t="0" r="9525" b="635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260975" cy="2825750"/>
                    </a:xfrm>
                    <a:prstGeom prst="rect">
                      <a:avLst/>
                    </a:prstGeom>
                    <a:noFill/>
                    <a:ln>
                      <a:noFill/>
                    </a:ln>
                  </pic:spPr>
                </pic:pic>
              </a:graphicData>
            </a:graphic>
          </wp:inline>
        </w:drawing>
      </w:r>
    </w:p>
    <w:p w14:paraId="0AC1B7AD">
      <w:pPr>
        <w:spacing w:line="300" w:lineRule="auto"/>
        <w:ind w:firstLine="420" w:firstLineChars="200"/>
        <w:rPr>
          <w:rFonts w:hint="eastAsia"/>
          <w:lang w:eastAsia="zh-CN"/>
        </w:rPr>
      </w:pPr>
    </w:p>
    <w:p w14:paraId="56B322A4">
      <w:pPr>
        <w:spacing w:line="360" w:lineRule="auto"/>
        <w:rPr>
          <w:rFonts w:hint="eastAsia" w:ascii="黑体" w:eastAsia="黑体"/>
          <w:sz w:val="24"/>
        </w:rPr>
      </w:pPr>
      <w:r>
        <w:rPr>
          <w:rFonts w:hint="eastAsia" w:ascii="黑体" w:eastAsia="黑体"/>
          <w:sz w:val="24"/>
        </w:rPr>
        <w:t>二、建设规模</w:t>
      </w:r>
    </w:p>
    <w:p w14:paraId="2080E2AF">
      <w:pPr>
        <w:spacing w:line="300" w:lineRule="auto"/>
        <w:ind w:firstLine="470" w:firstLineChars="196"/>
        <w:rPr>
          <w:rFonts w:hint="eastAsia" w:ascii="宋体" w:hAnsi="宋体"/>
          <w:kern w:val="0"/>
          <w:sz w:val="24"/>
        </w:rPr>
      </w:pPr>
      <w:bookmarkStart w:id="6" w:name="_Toc195213050"/>
      <w:bookmarkStart w:id="7" w:name="_Toc195213233"/>
      <w:bookmarkStart w:id="8" w:name="_Toc195212124"/>
      <w:r>
        <w:rPr>
          <w:rFonts w:ascii="宋体" w:hAnsi="宋体"/>
          <w:kern w:val="0"/>
          <w:sz w:val="24"/>
        </w:rPr>
        <w:t>地块</w:t>
      </w:r>
      <w:r>
        <w:rPr>
          <w:rFonts w:hint="eastAsia" w:ascii="宋体" w:hAnsi="宋体"/>
          <w:kern w:val="0"/>
          <w:sz w:val="24"/>
        </w:rPr>
        <w:t>总用地</w:t>
      </w:r>
      <w:r>
        <w:rPr>
          <w:rFonts w:ascii="宋体" w:hAnsi="宋体"/>
          <w:kern w:val="0"/>
          <w:sz w:val="24"/>
        </w:rPr>
        <w:t>面积：</w:t>
      </w:r>
      <w:r>
        <w:rPr>
          <w:szCs w:val="21"/>
          <w:u w:val="single"/>
        </w:rPr>
        <w:t>3</w:t>
      </w:r>
      <w:r>
        <w:rPr>
          <w:rFonts w:hint="eastAsia"/>
          <w:szCs w:val="21"/>
          <w:u w:val="single"/>
          <w:lang w:val="en-US" w:eastAsia="zh-CN"/>
        </w:rPr>
        <w:t>5619.9</w:t>
      </w:r>
      <w:r>
        <w:rPr>
          <w:rFonts w:hint="eastAsia" w:ascii="宋体" w:hAnsi="宋体"/>
          <w:kern w:val="0"/>
          <w:sz w:val="24"/>
        </w:rPr>
        <w:t>㎡</w:t>
      </w:r>
      <w:r>
        <w:rPr>
          <w:rFonts w:ascii="宋体" w:hAnsi="宋体"/>
          <w:kern w:val="0"/>
          <w:sz w:val="24"/>
        </w:rPr>
        <w:t>。</w:t>
      </w:r>
      <w:r>
        <w:rPr>
          <w:rFonts w:hint="eastAsia" w:ascii="宋体" w:hAnsi="宋体"/>
          <w:kern w:val="0"/>
          <w:sz w:val="24"/>
        </w:rPr>
        <w:t>其中项目建设用地面积</w:t>
      </w:r>
      <w:r>
        <w:rPr>
          <w:rFonts w:hint="eastAsia"/>
          <w:szCs w:val="21"/>
          <w:u w:val="single"/>
          <w:lang w:val="en-US" w:eastAsia="zh-CN"/>
        </w:rPr>
        <w:t>32210.09</w:t>
      </w:r>
      <w:r>
        <w:rPr>
          <w:rFonts w:hint="eastAsia" w:ascii="宋体" w:hAnsi="宋体"/>
          <w:kern w:val="0"/>
          <w:sz w:val="24"/>
        </w:rPr>
        <w:t>㎡，</w:t>
      </w:r>
      <w:r>
        <w:rPr>
          <w:rFonts w:hint="eastAsia" w:ascii="宋体" w:hAnsi="宋体"/>
          <w:kern w:val="0"/>
          <w:sz w:val="24"/>
          <w:lang w:val="en-US" w:eastAsia="zh-CN"/>
        </w:rPr>
        <w:t>绿地</w:t>
      </w:r>
      <w:r>
        <w:rPr>
          <w:rFonts w:hint="eastAsia" w:ascii="宋体" w:hAnsi="宋体"/>
          <w:kern w:val="0"/>
          <w:sz w:val="24"/>
        </w:rPr>
        <w:t>用地</w:t>
      </w:r>
      <w:r>
        <w:rPr>
          <w:rFonts w:hint="eastAsia" w:ascii="宋体" w:hAnsi="宋体"/>
          <w:kern w:val="0"/>
          <w:sz w:val="24"/>
          <w:lang w:val="en-US" w:eastAsia="zh-CN"/>
        </w:rPr>
        <w:t>面积</w:t>
      </w:r>
      <w:r>
        <w:rPr>
          <w:rFonts w:hint="eastAsia"/>
          <w:szCs w:val="21"/>
          <w:u w:val="single"/>
          <w:lang w:val="en-US" w:eastAsia="zh-CN"/>
        </w:rPr>
        <w:t>3409.81</w:t>
      </w:r>
      <w:r>
        <w:rPr>
          <w:rFonts w:hint="eastAsia" w:ascii="宋体" w:hAnsi="宋体"/>
          <w:kern w:val="0"/>
          <w:sz w:val="24"/>
        </w:rPr>
        <w:t>㎡。建筑总面积</w:t>
      </w:r>
      <w:r>
        <w:rPr>
          <w:rFonts w:hint="eastAsia"/>
          <w:szCs w:val="21"/>
          <w:u w:val="single"/>
          <w:lang w:val="en-US" w:eastAsia="zh-CN"/>
        </w:rPr>
        <w:t>96543.43</w:t>
      </w:r>
      <w:r>
        <w:rPr>
          <w:rFonts w:hint="eastAsia" w:ascii="宋体" w:hAnsi="宋体"/>
          <w:kern w:val="0"/>
          <w:sz w:val="24"/>
        </w:rPr>
        <w:t>㎡，容积率为</w:t>
      </w:r>
      <w:r>
        <w:rPr>
          <w:rFonts w:hint="eastAsia"/>
          <w:szCs w:val="21"/>
          <w:u w:val="single"/>
          <w:lang w:val="en-US" w:eastAsia="zh-CN"/>
        </w:rPr>
        <w:t>2</w:t>
      </w:r>
      <w:r>
        <w:rPr>
          <w:szCs w:val="21"/>
          <w:u w:val="single"/>
        </w:rPr>
        <w:t>.0</w:t>
      </w:r>
      <w:r>
        <w:rPr>
          <w:rFonts w:hint="eastAsia" w:ascii="宋体" w:hAnsi="宋体"/>
          <w:kern w:val="0"/>
          <w:sz w:val="24"/>
        </w:rPr>
        <w:t>。</w:t>
      </w:r>
    </w:p>
    <w:p w14:paraId="64A0DFFF">
      <w:pPr>
        <w:spacing w:line="300" w:lineRule="auto"/>
        <w:ind w:firstLine="470" w:firstLineChars="196"/>
        <w:rPr>
          <w:rFonts w:hint="eastAsia" w:ascii="宋体" w:hAnsi="宋体"/>
          <w:kern w:val="0"/>
          <w:sz w:val="24"/>
        </w:rPr>
      </w:pPr>
    </w:p>
    <w:bookmarkEnd w:id="6"/>
    <w:bookmarkEnd w:id="7"/>
    <w:bookmarkEnd w:id="8"/>
    <w:p w14:paraId="4A9902DA">
      <w:pPr>
        <w:spacing w:line="300" w:lineRule="auto"/>
        <w:rPr>
          <w:rFonts w:ascii="仿宋_GB2312" w:hAnsi="仿宋_GB2312" w:eastAsia="仿宋_GB2312"/>
          <w:sz w:val="28"/>
          <w:szCs w:val="28"/>
        </w:rPr>
      </w:pPr>
      <w:r>
        <w:rPr>
          <w:rFonts w:hint="eastAsia" w:ascii="黑体" w:eastAsia="黑体"/>
          <w:sz w:val="24"/>
        </w:rPr>
        <w:t>三、城市总规及区域控规</w:t>
      </w:r>
    </w:p>
    <w:p w14:paraId="3F4AB341">
      <w:pPr>
        <w:spacing w:line="300" w:lineRule="auto"/>
        <w:ind w:firstLine="470" w:firstLineChars="196"/>
        <w:rPr>
          <w:rFonts w:hint="eastAsia" w:ascii="宋体" w:hAnsi="宋体" w:eastAsia="宋体" w:cs="Times New Roman"/>
          <w:kern w:val="0"/>
          <w:sz w:val="24"/>
          <w:lang w:eastAsia="zh-CN"/>
        </w:rPr>
      </w:pPr>
      <w:r>
        <w:rPr>
          <w:rFonts w:hint="eastAsia" w:ascii="宋体" w:hAnsi="宋体" w:eastAsia="宋体" w:cs="Times New Roman"/>
          <w:kern w:val="0"/>
          <w:sz w:val="24"/>
        </w:rPr>
        <w:t>地块位于花都湖板块，规划定位为“花都滨水新城区”，整体配套成熟度高、景观资源优质</w:t>
      </w:r>
      <w:r>
        <w:rPr>
          <w:rFonts w:hint="eastAsia" w:ascii="宋体" w:hAnsi="宋体" w:eastAsia="宋体" w:cs="Times New Roman"/>
          <w:kern w:val="0"/>
          <w:sz w:val="24"/>
          <w:lang w:eastAsia="zh-CN"/>
        </w:rPr>
        <w:t>。</w:t>
      </w:r>
    </w:p>
    <w:p w14:paraId="5CBF9A5C">
      <w:pPr>
        <w:spacing w:line="300" w:lineRule="auto"/>
        <w:ind w:firstLine="470" w:firstLineChars="196"/>
        <w:rPr>
          <w:rFonts w:hint="eastAsia" w:ascii="宋体" w:hAnsi="宋体" w:eastAsia="宋体" w:cs="Times New Roman"/>
          <w:kern w:val="0"/>
          <w:sz w:val="24"/>
          <w:lang w:val="en-US" w:eastAsia="zh-CN"/>
        </w:rPr>
      </w:pPr>
      <w:r>
        <w:rPr>
          <w:rFonts w:hint="eastAsia" w:ascii="宋体" w:hAnsi="宋体" w:eastAsia="宋体" w:cs="Times New Roman"/>
          <w:kern w:val="0"/>
          <w:sz w:val="24"/>
          <w:lang w:val="en-US" w:eastAsia="zh-CN"/>
        </w:rPr>
        <w:t>项目西侧为现状中学，北侧、东侧为办公及创意产业园区，南侧现状为厂房（控规为住宅用地）。</w:t>
      </w:r>
    </w:p>
    <w:p w14:paraId="4FC1F94C">
      <w:pPr>
        <w:spacing w:line="300" w:lineRule="auto"/>
        <w:rPr>
          <w:rFonts w:hint="default" w:ascii="宋体" w:hAnsi="宋体" w:eastAsia="宋体" w:cs="Times New Roman"/>
          <w:kern w:val="0"/>
          <w:sz w:val="24"/>
          <w:lang w:val="en-US" w:eastAsia="zh-CN"/>
        </w:rPr>
      </w:pPr>
      <w:r>
        <w:drawing>
          <wp:inline distT="0" distB="0" distL="114300" distR="114300">
            <wp:extent cx="5268595" cy="3832860"/>
            <wp:effectExtent l="0" t="0" r="1905"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stretch>
                      <a:fillRect/>
                    </a:stretch>
                  </pic:blipFill>
                  <pic:spPr>
                    <a:xfrm>
                      <a:off x="0" y="0"/>
                      <a:ext cx="5268595" cy="3832860"/>
                    </a:xfrm>
                    <a:prstGeom prst="rect">
                      <a:avLst/>
                    </a:prstGeom>
                    <a:noFill/>
                    <a:ln>
                      <a:noFill/>
                    </a:ln>
                  </pic:spPr>
                </pic:pic>
              </a:graphicData>
            </a:graphic>
          </wp:inline>
        </w:drawing>
      </w:r>
    </w:p>
    <w:p w14:paraId="6DF22D22">
      <w:pPr>
        <w:spacing w:line="300" w:lineRule="auto"/>
        <w:ind w:firstLine="470" w:firstLineChars="196"/>
        <w:rPr>
          <w:rFonts w:hint="eastAsia" w:ascii="宋体" w:hAnsi="宋体" w:eastAsia="宋体" w:cs="Times New Roman"/>
          <w:kern w:val="0"/>
          <w:sz w:val="24"/>
          <w:lang w:eastAsia="zh-CN"/>
        </w:rPr>
      </w:pPr>
    </w:p>
    <w:p w14:paraId="0E9EC41B">
      <w:pPr>
        <w:spacing w:line="360" w:lineRule="auto"/>
        <w:rPr>
          <w:rFonts w:hint="eastAsia" w:ascii="黑体" w:eastAsia="黑体"/>
          <w:sz w:val="24"/>
        </w:rPr>
      </w:pPr>
      <w:r>
        <w:rPr>
          <w:rFonts w:hint="eastAsia" w:ascii="黑体" w:eastAsia="黑体"/>
          <w:sz w:val="24"/>
        </w:rPr>
        <w:t>四、</w:t>
      </w:r>
      <w:bookmarkStart w:id="9" w:name="_Toc195212153"/>
      <w:bookmarkStart w:id="10" w:name="_Toc195213079"/>
      <w:bookmarkStart w:id="11" w:name="_Toc195213262"/>
      <w:r>
        <w:rPr>
          <w:rFonts w:ascii="黑体" w:eastAsia="黑体"/>
          <w:sz w:val="24"/>
        </w:rPr>
        <w:t>项目地块及周边</w:t>
      </w:r>
      <w:r>
        <w:rPr>
          <w:rFonts w:hint="eastAsia" w:ascii="黑体" w:eastAsia="黑体"/>
          <w:sz w:val="24"/>
        </w:rPr>
        <w:t>现状</w:t>
      </w:r>
    </w:p>
    <w:p w14:paraId="08D8A165">
      <w:pPr>
        <w:spacing w:line="300" w:lineRule="auto"/>
        <w:ind w:firstLine="420"/>
        <w:outlineLvl w:val="0"/>
        <w:rPr>
          <w:rFonts w:hint="default" w:ascii="宋体" w:hAnsi="宋体" w:eastAsia="宋体"/>
          <w:kern w:val="0"/>
          <w:sz w:val="24"/>
          <w:lang w:val="en-US" w:eastAsia="zh-CN"/>
        </w:rPr>
      </w:pPr>
      <w:r>
        <w:rPr>
          <w:rFonts w:hint="eastAsia" w:ascii="宋体" w:hAnsi="宋体"/>
          <w:kern w:val="0"/>
          <w:sz w:val="24"/>
        </w:rPr>
        <w:t>地块内</w:t>
      </w:r>
      <w:r>
        <w:rPr>
          <w:rFonts w:hint="eastAsia" w:ascii="宋体" w:hAnsi="宋体"/>
          <w:kern w:val="0"/>
          <w:sz w:val="24"/>
          <w:lang w:val="en-US" w:eastAsia="zh-CN"/>
        </w:rPr>
        <w:t>现状为积水坑，为原开挖基坑后遗留坑洞积水形成，其余部分为平整场地，无待拆建筑物；</w:t>
      </w:r>
    </w:p>
    <w:p w14:paraId="1F32D7F1">
      <w:pPr>
        <w:spacing w:line="300" w:lineRule="auto"/>
        <w:jc w:val="both"/>
        <w:outlineLvl w:val="0"/>
        <w:rPr>
          <w:rFonts w:hint="eastAsia" w:ascii="宋体" w:hAnsi="宋体"/>
          <w:kern w:val="0"/>
          <w:sz w:val="24"/>
        </w:rPr>
      </w:pPr>
    </w:p>
    <w:bookmarkEnd w:id="9"/>
    <w:bookmarkEnd w:id="10"/>
    <w:bookmarkEnd w:id="11"/>
    <w:p w14:paraId="073EEB6A">
      <w:pPr>
        <w:spacing w:line="360" w:lineRule="auto"/>
        <w:rPr>
          <w:rFonts w:hint="eastAsia" w:ascii="黑体" w:eastAsia="黑体"/>
          <w:sz w:val="24"/>
        </w:rPr>
      </w:pPr>
      <w:r>
        <w:rPr>
          <w:rFonts w:hint="eastAsia" w:ascii="黑体" w:eastAsia="黑体"/>
          <w:sz w:val="24"/>
        </w:rPr>
        <w:t>五、周边区域交通及道路</w:t>
      </w:r>
    </w:p>
    <w:p w14:paraId="644D8D89">
      <w:pPr>
        <w:spacing w:line="300" w:lineRule="auto"/>
        <w:ind w:firstLine="420"/>
        <w:outlineLvl w:val="0"/>
        <w:rPr>
          <w:rFonts w:hint="eastAsia" w:ascii="宋体" w:hAnsi="宋体"/>
          <w:kern w:val="0"/>
          <w:sz w:val="24"/>
        </w:rPr>
      </w:pPr>
      <w:r>
        <w:rPr>
          <w:rFonts w:hint="eastAsia" w:ascii="宋体" w:hAnsi="宋体"/>
          <w:kern w:val="0"/>
          <w:sz w:val="24"/>
        </w:rPr>
        <w:t>地块</w:t>
      </w:r>
      <w:r>
        <w:rPr>
          <w:rFonts w:hint="eastAsia" w:ascii="宋体" w:hAnsi="宋体"/>
          <w:kern w:val="0"/>
          <w:sz w:val="24"/>
          <w:lang w:val="en-US" w:eastAsia="zh-CN"/>
        </w:rPr>
        <w:t>四周均为现状道路，其中西</w:t>
      </w:r>
      <w:r>
        <w:rPr>
          <w:rFonts w:hint="eastAsia" w:ascii="宋体" w:hAnsi="宋体"/>
          <w:kern w:val="0"/>
          <w:sz w:val="24"/>
        </w:rPr>
        <w:t>侧为</w:t>
      </w:r>
      <w:r>
        <w:rPr>
          <w:rFonts w:hint="eastAsia" w:ascii="宋体" w:hAnsi="宋体"/>
          <w:kern w:val="0"/>
          <w:sz w:val="24"/>
          <w:lang w:val="en-US" w:eastAsia="zh-CN"/>
        </w:rPr>
        <w:t>雅正</w:t>
      </w:r>
      <w:r>
        <w:rPr>
          <w:rFonts w:hint="eastAsia" w:ascii="宋体" w:hAnsi="宋体"/>
          <w:kern w:val="0"/>
          <w:sz w:val="24"/>
        </w:rPr>
        <w:t>路，双向</w:t>
      </w:r>
      <w:r>
        <w:rPr>
          <w:rFonts w:hint="eastAsia" w:ascii="宋体" w:hAnsi="宋体"/>
          <w:kern w:val="0"/>
          <w:sz w:val="24"/>
          <w:lang w:val="en-US" w:eastAsia="zh-CN"/>
        </w:rPr>
        <w:t>4</w:t>
      </w:r>
      <w:r>
        <w:rPr>
          <w:rFonts w:hint="eastAsia" w:ascii="宋体" w:hAnsi="宋体"/>
          <w:kern w:val="0"/>
          <w:sz w:val="24"/>
        </w:rPr>
        <w:t>车道</w:t>
      </w:r>
      <w:r>
        <w:rPr>
          <w:rFonts w:hint="eastAsia" w:ascii="宋体" w:hAnsi="宋体"/>
          <w:kern w:val="0"/>
          <w:sz w:val="24"/>
          <w:lang w:eastAsia="zh-CN"/>
        </w:rPr>
        <w:t>；</w:t>
      </w:r>
      <w:r>
        <w:rPr>
          <w:rFonts w:hint="eastAsia" w:ascii="宋体" w:hAnsi="宋体"/>
          <w:kern w:val="0"/>
          <w:sz w:val="24"/>
          <w:lang w:val="en-US" w:eastAsia="zh-CN"/>
        </w:rPr>
        <w:t>北</w:t>
      </w:r>
      <w:r>
        <w:rPr>
          <w:rFonts w:hint="eastAsia" w:ascii="宋体" w:hAnsi="宋体"/>
          <w:kern w:val="0"/>
          <w:sz w:val="24"/>
        </w:rPr>
        <w:t>侧为</w:t>
      </w:r>
      <w:r>
        <w:rPr>
          <w:rFonts w:hint="eastAsia" w:ascii="宋体" w:hAnsi="宋体"/>
          <w:kern w:val="0"/>
          <w:sz w:val="24"/>
          <w:lang w:val="en-US" w:eastAsia="zh-CN"/>
        </w:rPr>
        <w:t>三向</w:t>
      </w:r>
      <w:r>
        <w:rPr>
          <w:rFonts w:hint="eastAsia" w:ascii="宋体" w:hAnsi="宋体"/>
          <w:kern w:val="0"/>
          <w:sz w:val="24"/>
        </w:rPr>
        <w:t>东路，双向</w:t>
      </w:r>
      <w:r>
        <w:rPr>
          <w:rFonts w:hint="eastAsia" w:ascii="宋体" w:hAnsi="宋体"/>
          <w:kern w:val="0"/>
          <w:sz w:val="24"/>
          <w:lang w:val="en-US" w:eastAsia="zh-CN"/>
        </w:rPr>
        <w:t>6</w:t>
      </w:r>
      <w:r>
        <w:rPr>
          <w:rFonts w:hint="eastAsia" w:ascii="宋体" w:hAnsi="宋体"/>
          <w:kern w:val="0"/>
          <w:sz w:val="24"/>
        </w:rPr>
        <w:t>车道；</w:t>
      </w:r>
      <w:r>
        <w:rPr>
          <w:rFonts w:hint="eastAsia" w:ascii="宋体" w:hAnsi="宋体"/>
          <w:kern w:val="0"/>
          <w:sz w:val="24"/>
          <w:lang w:val="en-US" w:eastAsia="zh-CN"/>
        </w:rPr>
        <w:t>东侧、南侧均为双车道</w:t>
      </w:r>
      <w:r>
        <w:rPr>
          <w:rFonts w:hint="eastAsia" w:ascii="宋体" w:hAnsi="宋体"/>
          <w:kern w:val="0"/>
          <w:sz w:val="24"/>
        </w:rPr>
        <w:t>。</w:t>
      </w:r>
    </w:p>
    <w:p w14:paraId="2F209DC0">
      <w:pPr>
        <w:spacing w:before="156" w:beforeLines="50" w:after="156" w:afterLines="50"/>
        <w:ind w:firstLine="600" w:firstLineChars="200"/>
        <w:outlineLvl w:val="1"/>
        <w:rPr>
          <w:rFonts w:ascii="黑体" w:hAnsi="黑体" w:eastAsia="黑体" w:cs="Times New Roman"/>
          <w:sz w:val="30"/>
          <w:szCs w:val="30"/>
        </w:rPr>
      </w:pPr>
      <w:r>
        <w:rPr>
          <w:rFonts w:ascii="黑体" w:hAnsi="黑体" w:eastAsia="黑体" w:cs="Times New Roman"/>
          <w:sz w:val="30"/>
          <w:szCs w:val="30"/>
        </w:rPr>
        <w:br w:type="page"/>
      </w:r>
    </w:p>
    <w:p w14:paraId="0ABCA946">
      <w:pPr>
        <w:spacing w:line="360" w:lineRule="auto"/>
        <w:ind w:firstLine="640" w:firstLineChars="200"/>
        <w:jc w:val="center"/>
        <w:rPr>
          <w:rFonts w:hint="eastAsia" w:ascii="黑体" w:hAnsi="黑体" w:eastAsia="黑体" w:cs="Times New Roman"/>
          <w:sz w:val="32"/>
          <w:szCs w:val="32"/>
        </w:rPr>
      </w:pPr>
      <w:r>
        <w:rPr>
          <w:rFonts w:hint="eastAsia" w:ascii="黑体" w:hAnsi="黑体" w:eastAsia="黑体" w:cs="Times New Roman"/>
          <w:sz w:val="32"/>
          <w:szCs w:val="32"/>
        </w:rPr>
        <w:t>第二章</w:t>
      </w:r>
      <w:r>
        <w:rPr>
          <w:rFonts w:hint="eastAsia" w:ascii="黑体" w:hAnsi="黑体" w:eastAsia="黑体" w:cs="Times New Roman"/>
          <w:sz w:val="32"/>
          <w:szCs w:val="32"/>
        </w:rPr>
        <w:tab/>
      </w:r>
      <w:r>
        <w:rPr>
          <w:rFonts w:hint="eastAsia" w:ascii="黑体" w:hAnsi="黑体" w:eastAsia="黑体" w:cs="Times New Roman"/>
          <w:sz w:val="32"/>
          <w:szCs w:val="32"/>
        </w:rPr>
        <w:t>规划及建筑设计简介</w:t>
      </w:r>
    </w:p>
    <w:p w14:paraId="657476D6">
      <w:pPr>
        <w:spacing w:before="156" w:beforeLines="50" w:after="156" w:afterLines="50"/>
        <w:outlineLvl w:val="1"/>
        <w:rPr>
          <w:rFonts w:ascii="黑体" w:hAnsi="黑体" w:eastAsia="黑体" w:cs="Times New Roman"/>
          <w:sz w:val="30"/>
          <w:szCs w:val="30"/>
        </w:rPr>
      </w:pPr>
    </w:p>
    <w:p w14:paraId="605E6A09">
      <w:pPr>
        <w:spacing w:before="156" w:beforeLines="50" w:after="156" w:afterLines="50"/>
        <w:outlineLvl w:val="1"/>
        <w:rPr>
          <w:rFonts w:hint="eastAsia" w:ascii="黑体" w:hAnsi="黑体" w:eastAsia="黑体" w:cs="Times New Roman"/>
          <w:sz w:val="32"/>
          <w:szCs w:val="32"/>
        </w:rPr>
      </w:pPr>
      <w:r>
        <w:rPr>
          <w:rFonts w:hint="eastAsia" w:ascii="黑体" w:hAnsi="黑体" w:eastAsia="黑体" w:cs="Times New Roman"/>
          <w:sz w:val="32"/>
          <w:szCs w:val="32"/>
        </w:rPr>
        <w:t>规划及建筑设计简介</w:t>
      </w:r>
    </w:p>
    <w:p w14:paraId="49B490BC">
      <w:pPr>
        <w:numPr>
          <w:ilvl w:val="0"/>
          <w:numId w:val="0"/>
        </w:numPr>
        <w:spacing w:line="360" w:lineRule="auto"/>
        <w:jc w:val="both"/>
        <w:rPr>
          <w:rFonts w:hint="eastAsia"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1 项目理念及意象</w:t>
      </w:r>
    </w:p>
    <w:p w14:paraId="771D6C06">
      <w:pPr>
        <w:numPr>
          <w:ilvl w:val="0"/>
          <w:numId w:val="0"/>
        </w:numPr>
        <w:spacing w:line="360" w:lineRule="auto"/>
        <w:jc w:val="both"/>
      </w:pPr>
      <w:r>
        <w:drawing>
          <wp:inline distT="0" distB="0" distL="114300" distR="114300">
            <wp:extent cx="5810885" cy="3735705"/>
            <wp:effectExtent l="0" t="0" r="571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810885" cy="3735705"/>
                    </a:xfrm>
                    <a:prstGeom prst="rect">
                      <a:avLst/>
                    </a:prstGeom>
                    <a:noFill/>
                    <a:ln>
                      <a:noFill/>
                    </a:ln>
                  </pic:spPr>
                </pic:pic>
              </a:graphicData>
            </a:graphic>
          </wp:inline>
        </w:drawing>
      </w:r>
    </w:p>
    <w:p w14:paraId="6F4CF36B">
      <w:pPr>
        <w:numPr>
          <w:ilvl w:val="0"/>
          <w:numId w:val="0"/>
        </w:numPr>
        <w:spacing w:line="360" w:lineRule="auto"/>
        <w:jc w:val="both"/>
        <w:rPr>
          <w:rFonts w:hint="eastAsia" w:eastAsiaTheme="minorEastAsia"/>
          <w:lang w:val="zh-CN" w:eastAsia="zh-CN"/>
        </w:rPr>
      </w:pPr>
      <w:r>
        <w:rPr>
          <w:rFonts w:hint="eastAsia"/>
          <w:lang w:val="en-US" w:eastAsia="zh-CN"/>
        </w:rPr>
        <w:t xml:space="preserve">        </w:t>
      </w:r>
    </w:p>
    <w:p w14:paraId="768366FC">
      <w:pPr>
        <w:keepNext/>
        <w:keepLines/>
        <w:spacing w:before="156" w:beforeLines="50" w:after="156" w:afterLines="50"/>
        <w:outlineLvl w:val="0"/>
        <w:rPr>
          <w:rFonts w:hint="eastAsia" w:ascii="黑体" w:hAnsi="黑体" w:eastAsia="黑体" w:cs="Times New Roman"/>
          <w:bCs/>
          <w:kern w:val="0"/>
          <w:sz w:val="24"/>
          <w:szCs w:val="44"/>
          <w:lang w:val="zh-CN" w:eastAsia="zh-CN"/>
        </w:rPr>
      </w:pPr>
      <w:r>
        <w:rPr>
          <w:rFonts w:hint="eastAsia" w:ascii="黑体" w:hAnsi="黑体" w:eastAsia="黑体" w:cs="Times New Roman"/>
          <w:bCs/>
          <w:kern w:val="0"/>
          <w:sz w:val="24"/>
          <w:szCs w:val="44"/>
          <w:lang w:val="zh-CN" w:eastAsia="zh-CN"/>
        </w:rPr>
        <w:t>2 规划设计简介</w:t>
      </w:r>
    </w:p>
    <w:p w14:paraId="08842C84">
      <w:pPr>
        <w:numPr>
          <w:ilvl w:val="0"/>
          <w:numId w:val="0"/>
        </w:numPr>
        <w:spacing w:line="400" w:lineRule="exact"/>
        <w:ind w:firstLine="480" w:firstLineChars="200"/>
        <w:rPr>
          <w:rFonts w:hint="eastAsia" w:ascii="宋体" w:hAnsi="宋体"/>
          <w:color w:val="auto"/>
          <w:sz w:val="24"/>
          <w:lang w:val="en-US" w:eastAsia="zh-CN"/>
        </w:rPr>
      </w:pPr>
      <w:r>
        <w:rPr>
          <w:rFonts w:hint="eastAsia" w:ascii="宋体" w:hAnsi="宋体"/>
          <w:color w:val="auto"/>
          <w:sz w:val="24"/>
          <w:lang w:val="en-US" w:eastAsia="zh-CN"/>
        </w:rPr>
        <w:t>项目整体采取高低配的规划设计形式，北侧、西北侧沿河带采用小高层，充分利用外部景观资源，东南向规划为低密度住宅拉升整体调性，同时结合北侧代建公园绿地，以及地块内部下沉绿谷概念的规划设置，由外及内、自下而上的打造多维度的自然、生态居住空间。</w:t>
      </w:r>
    </w:p>
    <w:p w14:paraId="11564F83">
      <w:pPr>
        <w:numPr>
          <w:ilvl w:val="0"/>
          <w:numId w:val="0"/>
        </w:numPr>
        <w:spacing w:line="400" w:lineRule="exact"/>
        <w:ind w:firstLine="480" w:firstLineChars="200"/>
        <w:rPr>
          <w:rFonts w:hint="default" w:ascii="宋体" w:hAnsi="宋体"/>
          <w:color w:val="auto"/>
          <w:sz w:val="24"/>
          <w:lang w:val="en-US" w:eastAsia="zh-CN"/>
        </w:rPr>
      </w:pPr>
    </w:p>
    <w:p w14:paraId="2BBFF5D9">
      <w:pPr>
        <w:numPr>
          <w:ilvl w:val="0"/>
          <w:numId w:val="0"/>
        </w:numPr>
        <w:spacing w:line="360" w:lineRule="auto"/>
        <w:ind w:leftChars="0"/>
        <w:rPr>
          <w:rFonts w:hint="eastAsia" w:ascii="黑体" w:eastAsia="黑体"/>
          <w:color w:val="auto"/>
          <w:sz w:val="24"/>
        </w:rPr>
      </w:pPr>
      <w:r>
        <w:rPr>
          <w:rFonts w:hint="eastAsia" w:ascii="黑体" w:eastAsia="黑体"/>
          <w:color w:val="auto"/>
          <w:sz w:val="24"/>
          <w:lang w:val="en-US" w:eastAsia="zh-CN"/>
        </w:rPr>
        <w:t>2.1</w:t>
      </w:r>
      <w:r>
        <w:rPr>
          <w:rFonts w:hint="eastAsia" w:ascii="黑体" w:eastAsia="黑体"/>
          <w:color w:val="auto"/>
          <w:sz w:val="24"/>
        </w:rPr>
        <w:t>规划设计控制条件</w:t>
      </w:r>
    </w:p>
    <w:p w14:paraId="393B762E">
      <w:pPr>
        <w:numPr>
          <w:ilvl w:val="0"/>
          <w:numId w:val="2"/>
        </w:numPr>
        <w:spacing w:line="400" w:lineRule="exact"/>
        <w:ind w:left="845" w:leftChars="0" w:hanging="425" w:firstLineChars="0"/>
        <w:rPr>
          <w:rFonts w:hint="eastAsia" w:ascii="宋体" w:hAnsi="宋体"/>
          <w:color w:val="auto"/>
          <w:sz w:val="24"/>
        </w:rPr>
      </w:pPr>
      <w:r>
        <w:rPr>
          <w:rFonts w:hint="eastAsia" w:ascii="宋体" w:hAnsi="宋体"/>
          <w:color w:val="auto"/>
          <w:sz w:val="24"/>
        </w:rPr>
        <w:t>用地性质： 居住用地</w:t>
      </w:r>
    </w:p>
    <w:p w14:paraId="4402C890">
      <w:pPr>
        <w:numPr>
          <w:ilvl w:val="0"/>
          <w:numId w:val="2"/>
        </w:numPr>
        <w:spacing w:line="400" w:lineRule="exact"/>
        <w:ind w:left="845" w:leftChars="0" w:hanging="425" w:firstLineChars="0"/>
        <w:rPr>
          <w:rFonts w:hint="eastAsia" w:ascii="宋体" w:hAnsi="宋体" w:eastAsia="宋体" w:cs="Times New Roman"/>
          <w:color w:val="auto"/>
          <w:sz w:val="24"/>
        </w:rPr>
      </w:pPr>
      <w:r>
        <w:rPr>
          <w:rFonts w:hint="eastAsia" w:ascii="宋体" w:hAnsi="宋体" w:eastAsia="宋体" w:cs="Times New Roman"/>
          <w:color w:val="auto"/>
          <w:sz w:val="24"/>
        </w:rPr>
        <w:t xml:space="preserve">总用地面积： </w:t>
      </w:r>
      <w:r>
        <w:rPr>
          <w:rFonts w:hint="eastAsia" w:ascii="宋体" w:hAnsi="宋体" w:eastAsia="宋体" w:cs="Times New Roman"/>
          <w:sz w:val="24"/>
          <w:lang w:val="en-US" w:eastAsia="zh-CN"/>
        </w:rPr>
        <w:t>35619.9㎡</w:t>
      </w:r>
    </w:p>
    <w:p w14:paraId="6E00FFC1">
      <w:pPr>
        <w:numPr>
          <w:ilvl w:val="0"/>
          <w:numId w:val="2"/>
        </w:numPr>
        <w:spacing w:line="400" w:lineRule="exact"/>
        <w:ind w:left="845" w:leftChars="0" w:hanging="425" w:firstLineChars="0"/>
        <w:rPr>
          <w:rFonts w:hint="eastAsia" w:ascii="宋体" w:hAnsi="宋体" w:eastAsia="宋体" w:cs="Times New Roman"/>
          <w:color w:val="auto"/>
          <w:sz w:val="24"/>
        </w:rPr>
      </w:pPr>
      <w:r>
        <w:rPr>
          <w:rFonts w:hint="eastAsia" w:ascii="宋体" w:hAnsi="宋体" w:eastAsia="宋体" w:cs="Times New Roman"/>
          <w:color w:val="auto"/>
          <w:sz w:val="24"/>
        </w:rPr>
        <w:t>净地总面积：</w:t>
      </w:r>
      <w:r>
        <w:rPr>
          <w:rFonts w:hint="eastAsia" w:ascii="宋体" w:hAnsi="宋体" w:eastAsia="宋体" w:cs="Times New Roman"/>
          <w:sz w:val="24"/>
          <w:lang w:val="en-US" w:eastAsia="zh-CN"/>
        </w:rPr>
        <w:t>32210.09㎡</w:t>
      </w:r>
    </w:p>
    <w:p w14:paraId="55210E24">
      <w:pPr>
        <w:numPr>
          <w:ilvl w:val="0"/>
          <w:numId w:val="2"/>
        </w:numPr>
        <w:spacing w:line="400" w:lineRule="exact"/>
        <w:ind w:left="845" w:hanging="425" w:firstLineChars="0"/>
        <w:rPr>
          <w:rFonts w:hint="eastAsia" w:ascii="宋体" w:hAnsi="宋体" w:eastAsia="宋体" w:cs="Times New Roman"/>
          <w:color w:val="auto"/>
          <w:sz w:val="24"/>
        </w:rPr>
      </w:pPr>
      <w:r>
        <w:rPr>
          <w:rFonts w:hint="eastAsia" w:ascii="宋体" w:hAnsi="宋体" w:eastAsia="宋体" w:cs="Times New Roman"/>
          <w:color w:val="auto"/>
          <w:sz w:val="24"/>
        </w:rPr>
        <w:t>容积率：</w:t>
      </w:r>
      <w:r>
        <w:rPr>
          <w:rFonts w:hint="eastAsia" w:ascii="宋体" w:hAnsi="宋体"/>
          <w:sz w:val="24"/>
          <w:lang w:val="en-US" w:eastAsia="zh-CN"/>
        </w:rPr>
        <w:t>2</w:t>
      </w:r>
      <w:r>
        <w:rPr>
          <w:rFonts w:hint="eastAsia" w:ascii="宋体" w:hAnsi="宋体"/>
          <w:sz w:val="24"/>
        </w:rPr>
        <w:t>.0</w:t>
      </w:r>
    </w:p>
    <w:p w14:paraId="06E45CA7">
      <w:pPr>
        <w:numPr>
          <w:ilvl w:val="0"/>
          <w:numId w:val="2"/>
        </w:numPr>
        <w:spacing w:line="400" w:lineRule="exact"/>
        <w:ind w:left="845" w:hanging="425" w:firstLineChars="0"/>
        <w:rPr>
          <w:rFonts w:hint="eastAsia" w:ascii="宋体" w:hAnsi="宋体" w:eastAsia="宋体" w:cs="Times New Roman"/>
          <w:color w:val="auto"/>
          <w:sz w:val="24"/>
        </w:rPr>
      </w:pPr>
      <w:r>
        <w:rPr>
          <w:rFonts w:hint="eastAsia" w:ascii="宋体" w:hAnsi="宋体" w:eastAsia="宋体" w:cs="Times New Roman"/>
          <w:color w:val="auto"/>
          <w:sz w:val="24"/>
        </w:rPr>
        <w:t>建筑密度：</w:t>
      </w:r>
      <w:r>
        <w:rPr>
          <w:rFonts w:hint="eastAsia" w:ascii="宋体" w:hAnsi="宋体"/>
          <w:sz w:val="24"/>
          <w:lang w:val="en-US" w:eastAsia="zh-CN"/>
        </w:rPr>
        <w:t>≤28</w:t>
      </w:r>
      <w:r>
        <w:rPr>
          <w:rFonts w:hint="eastAsia" w:ascii="宋体" w:hAnsi="宋体"/>
          <w:sz w:val="24"/>
        </w:rPr>
        <w:t xml:space="preserve">% </w:t>
      </w:r>
    </w:p>
    <w:p w14:paraId="74C54165">
      <w:pPr>
        <w:numPr>
          <w:ilvl w:val="0"/>
          <w:numId w:val="2"/>
        </w:numPr>
        <w:spacing w:line="400" w:lineRule="exact"/>
        <w:ind w:left="845" w:hanging="425" w:firstLineChars="0"/>
        <w:outlineLvl w:val="9"/>
        <w:rPr>
          <w:rFonts w:hint="eastAsia" w:ascii="宋体" w:hAnsi="宋体" w:eastAsia="宋体" w:cs="Times New Roman"/>
          <w:color w:val="auto"/>
          <w:sz w:val="24"/>
        </w:rPr>
      </w:pPr>
      <w:r>
        <w:rPr>
          <w:rFonts w:hint="eastAsia" w:ascii="宋体" w:hAnsi="宋体" w:eastAsia="宋体" w:cs="Times New Roman"/>
          <w:color w:val="auto"/>
          <w:sz w:val="24"/>
        </w:rPr>
        <w:t xml:space="preserve">绿地率： </w:t>
      </w:r>
      <w:r>
        <w:rPr>
          <w:rFonts w:hint="eastAsia" w:ascii="宋体" w:hAnsi="宋体" w:eastAsia="宋体" w:cs="Times New Roman"/>
          <w:color w:val="auto"/>
          <w:sz w:val="24"/>
          <w:lang w:val="en-US" w:eastAsia="zh-CN"/>
        </w:rPr>
        <w:t>≥35</w:t>
      </w:r>
      <w:r>
        <w:rPr>
          <w:rFonts w:hint="eastAsia" w:ascii="宋体" w:hAnsi="宋体" w:eastAsia="宋体" w:cs="Times New Roman"/>
          <w:color w:val="auto"/>
          <w:sz w:val="24"/>
        </w:rPr>
        <w:t>%</w:t>
      </w:r>
    </w:p>
    <w:p w14:paraId="4A6C0397">
      <w:pPr>
        <w:numPr>
          <w:ilvl w:val="0"/>
          <w:numId w:val="2"/>
        </w:numPr>
        <w:spacing w:line="400" w:lineRule="exact"/>
        <w:ind w:left="845" w:hanging="425" w:firstLineChars="0"/>
        <w:rPr>
          <w:rFonts w:hint="eastAsia" w:ascii="宋体" w:hAnsi="宋体" w:eastAsia="宋体" w:cs="Times New Roman"/>
          <w:color w:val="auto"/>
          <w:sz w:val="24"/>
        </w:rPr>
      </w:pPr>
      <w:r>
        <w:rPr>
          <w:rFonts w:hint="eastAsia" w:ascii="宋体" w:hAnsi="宋体" w:eastAsia="宋体" w:cs="Times New Roman"/>
          <w:color w:val="auto"/>
          <w:sz w:val="24"/>
        </w:rPr>
        <w:t>建筑限高：</w:t>
      </w:r>
      <w:r>
        <w:rPr>
          <w:rFonts w:hint="eastAsia" w:ascii="宋体" w:hAnsi="宋体"/>
          <w:sz w:val="24"/>
        </w:rPr>
        <w:t xml:space="preserve"> </w:t>
      </w:r>
      <w:r>
        <w:rPr>
          <w:rFonts w:hint="eastAsia" w:ascii="宋体" w:hAnsi="宋体"/>
          <w:sz w:val="24"/>
          <w:lang w:val="en-US" w:eastAsia="zh-CN"/>
        </w:rPr>
        <w:t>机场航空限高</w:t>
      </w:r>
      <w:r>
        <w:rPr>
          <w:rFonts w:hint="eastAsia" w:ascii="宋体" w:hAnsi="宋体"/>
          <w:sz w:val="24"/>
          <w:lang w:val="en-US" w:eastAsia="zh-CN"/>
        </w:rPr>
        <w:br w:type="textWrapping"/>
      </w:r>
    </w:p>
    <w:p w14:paraId="5345C37D">
      <w:pPr>
        <w:numPr>
          <w:ilvl w:val="0"/>
          <w:numId w:val="0"/>
        </w:numPr>
        <w:spacing w:line="360" w:lineRule="auto"/>
        <w:ind w:leftChars="0"/>
        <w:rPr>
          <w:rFonts w:hint="eastAsia" w:ascii="黑体" w:eastAsia="黑体"/>
          <w:color w:val="auto"/>
          <w:sz w:val="24"/>
        </w:rPr>
      </w:pPr>
      <w:r>
        <w:rPr>
          <w:rFonts w:hint="eastAsia" w:ascii="宋体" w:hAnsi="宋体" w:eastAsia="宋体" w:cs="Times New Roman"/>
          <w:color w:val="auto"/>
          <w:sz w:val="24"/>
          <w:lang w:val="en-US" w:eastAsia="zh-CN"/>
        </w:rPr>
        <w:t>2.2</w:t>
      </w:r>
      <w:r>
        <w:rPr>
          <w:rFonts w:hint="eastAsia" w:ascii="黑体" w:eastAsia="黑体"/>
          <w:color w:val="auto"/>
          <w:sz w:val="24"/>
        </w:rPr>
        <w:t>配套功能设置要求</w:t>
      </w:r>
    </w:p>
    <w:p w14:paraId="7A86CAD2">
      <w:pPr>
        <w:numPr>
          <w:ilvl w:val="0"/>
          <w:numId w:val="3"/>
        </w:numPr>
        <w:spacing w:line="400" w:lineRule="exact"/>
        <w:ind w:left="845" w:hanging="425" w:firstLineChars="0"/>
        <w:outlineLvl w:val="9"/>
        <w:rPr>
          <w:rFonts w:hint="eastAsia" w:ascii="宋体" w:hAnsi="宋体" w:eastAsia="宋体" w:cs="Times New Roman"/>
          <w:color w:val="auto"/>
          <w:sz w:val="24"/>
          <w:highlight w:val="none"/>
        </w:rPr>
      </w:pPr>
      <w:r>
        <w:rPr>
          <w:rFonts w:hint="eastAsia" w:ascii="宋体" w:hAnsi="宋体" w:eastAsia="宋体" w:cs="Times New Roman"/>
          <w:color w:val="auto"/>
          <w:sz w:val="24"/>
          <w:highlight w:val="none"/>
        </w:rPr>
        <w:t>配套设施：</w:t>
      </w:r>
    </w:p>
    <w:p w14:paraId="5AAE21D1">
      <w:pPr>
        <w:numPr>
          <w:ilvl w:val="0"/>
          <w:numId w:val="0"/>
        </w:numPr>
        <w:spacing w:line="400" w:lineRule="exact"/>
        <w:ind w:left="420" w:leftChars="0"/>
        <w:outlineLvl w:val="9"/>
        <w:rPr>
          <w:rFonts w:hint="eastAsia" w:ascii="宋体" w:hAnsi="宋体" w:eastAsia="宋体" w:cs="Times New Roman"/>
          <w:color w:val="auto"/>
          <w:sz w:val="24"/>
          <w:highlight w:val="none"/>
        </w:rPr>
      </w:pPr>
      <w:r>
        <w:drawing>
          <wp:anchor distT="0" distB="0" distL="114300" distR="114300" simplePos="0" relativeHeight="251660288" behindDoc="0" locked="0" layoutInCell="1" allowOverlap="1">
            <wp:simplePos x="0" y="0"/>
            <wp:positionH relativeFrom="column">
              <wp:posOffset>184150</wp:posOffset>
            </wp:positionH>
            <wp:positionV relativeFrom="paragraph">
              <wp:posOffset>3289300</wp:posOffset>
            </wp:positionV>
            <wp:extent cx="4301490" cy="3393440"/>
            <wp:effectExtent l="0" t="0" r="3810" b="10160"/>
            <wp:wrapTopAndBottom/>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10"/>
                    <a:stretch>
                      <a:fillRect/>
                    </a:stretch>
                  </pic:blipFill>
                  <pic:spPr>
                    <a:xfrm>
                      <a:off x="0" y="0"/>
                      <a:ext cx="4301490" cy="3393440"/>
                    </a:xfrm>
                    <a:prstGeom prst="rect">
                      <a:avLst/>
                    </a:prstGeom>
                    <a:noFill/>
                    <a:ln>
                      <a:noFill/>
                    </a:ln>
                  </pic:spPr>
                </pic:pic>
              </a:graphicData>
            </a:graphic>
          </wp:anchor>
        </w:drawing>
      </w:r>
      <w:r>
        <w:drawing>
          <wp:anchor distT="0" distB="0" distL="114300" distR="114300" simplePos="0" relativeHeight="251659264" behindDoc="0" locked="0" layoutInCell="1" allowOverlap="1">
            <wp:simplePos x="0" y="0"/>
            <wp:positionH relativeFrom="column">
              <wp:posOffset>217805</wp:posOffset>
            </wp:positionH>
            <wp:positionV relativeFrom="paragraph">
              <wp:posOffset>112395</wp:posOffset>
            </wp:positionV>
            <wp:extent cx="4255135" cy="3137535"/>
            <wp:effectExtent l="9525" t="9525" r="15240" b="15240"/>
            <wp:wrapTopAndBottom/>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1"/>
                    <a:stretch>
                      <a:fillRect/>
                    </a:stretch>
                  </pic:blipFill>
                  <pic:spPr>
                    <a:xfrm>
                      <a:off x="0" y="0"/>
                      <a:ext cx="4255135" cy="3137535"/>
                    </a:xfrm>
                    <a:prstGeom prst="rect">
                      <a:avLst/>
                    </a:prstGeom>
                    <a:noFill/>
                    <a:ln>
                      <a:solidFill>
                        <a:schemeClr val="tx1"/>
                      </a:solidFill>
                    </a:ln>
                  </pic:spPr>
                </pic:pic>
              </a:graphicData>
            </a:graphic>
          </wp:anchor>
        </w:drawing>
      </w:r>
    </w:p>
    <w:p w14:paraId="06D2D944">
      <w:pPr>
        <w:numPr>
          <w:ilvl w:val="0"/>
          <w:numId w:val="0"/>
        </w:numPr>
        <w:spacing w:line="400" w:lineRule="exact"/>
        <w:outlineLvl w:val="9"/>
        <w:rPr>
          <w:rFonts w:hint="eastAsia"/>
        </w:rPr>
      </w:pPr>
    </w:p>
    <w:p w14:paraId="1027CB46">
      <w:pPr>
        <w:numPr>
          <w:ilvl w:val="0"/>
          <w:numId w:val="3"/>
        </w:numPr>
        <w:spacing w:line="400" w:lineRule="exact"/>
        <w:ind w:left="845" w:leftChars="0" w:hanging="425" w:firstLineChars="0"/>
        <w:outlineLvl w:val="9"/>
        <w:rPr>
          <w:rFonts w:hint="eastAsia" w:ascii="宋体" w:hAnsi="宋体" w:eastAsia="宋体" w:cs="Times New Roman"/>
          <w:color w:val="auto"/>
          <w:sz w:val="24"/>
          <w:highlight w:val="none"/>
        </w:rPr>
      </w:pPr>
      <w:r>
        <w:rPr>
          <w:rFonts w:hint="eastAsia" w:ascii="宋体" w:hAnsi="宋体" w:eastAsia="宋体" w:cs="Times New Roman"/>
          <w:color w:val="auto"/>
          <w:sz w:val="24"/>
          <w:highlight w:val="none"/>
        </w:rPr>
        <w:t>停车车位配比指标</w:t>
      </w:r>
      <w:r>
        <w:rPr>
          <w:rFonts w:hint="eastAsia" w:ascii="宋体" w:hAnsi="宋体" w:eastAsia="宋体" w:cs="Times New Roman"/>
          <w:color w:val="auto"/>
          <w:sz w:val="24"/>
          <w:highlight w:val="none"/>
          <w:lang w:eastAsia="zh-CN"/>
        </w:rPr>
        <w:t>：</w:t>
      </w:r>
      <w:r>
        <w:rPr>
          <w:rFonts w:hint="eastAsia" w:ascii="宋体" w:hAnsi="宋体" w:eastAsia="宋体" w:cs="Times New Roman"/>
          <w:color w:val="auto"/>
          <w:sz w:val="24"/>
          <w:highlight w:val="none"/>
          <w:lang w:val="en-US" w:eastAsia="zh-CN"/>
        </w:rPr>
        <w:t>参照广州市城市规划设计细则等相关规定。</w:t>
      </w:r>
    </w:p>
    <w:p w14:paraId="1683B0F4">
      <w:pPr>
        <w:numPr>
          <w:ilvl w:val="0"/>
          <w:numId w:val="0"/>
        </w:numPr>
        <w:spacing w:line="400" w:lineRule="exact"/>
        <w:outlineLvl w:val="9"/>
        <w:rPr>
          <w:rFonts w:hint="eastAsia" w:ascii="宋体" w:hAnsi="宋体" w:eastAsia="宋体" w:cs="Times New Roman"/>
          <w:color w:val="auto"/>
          <w:sz w:val="24"/>
          <w:highlight w:val="none"/>
        </w:rPr>
      </w:pPr>
    </w:p>
    <w:p w14:paraId="6927C6DA">
      <w:pPr>
        <w:autoSpaceDE w:val="0"/>
        <w:autoSpaceDN w:val="0"/>
        <w:adjustRightInd w:val="0"/>
        <w:ind w:left="1078" w:leftChars="342" w:hanging="360" w:hangingChars="150"/>
        <w:jc w:val="center"/>
        <w:rPr>
          <w:rFonts w:hint="eastAsia" w:ascii="宋体" w:hAnsi="宋体"/>
          <w:color w:val="auto"/>
          <w:sz w:val="24"/>
          <w:highlight w:val="yellow"/>
        </w:rPr>
      </w:pPr>
    </w:p>
    <w:p w14:paraId="5E85FA95">
      <w:pPr>
        <w:numPr>
          <w:ilvl w:val="0"/>
          <w:numId w:val="0"/>
        </w:numPr>
        <w:spacing w:line="400" w:lineRule="exact"/>
        <w:ind w:left="720" w:hanging="720" w:hangingChars="300"/>
        <w:rPr>
          <w:rFonts w:hint="eastAsia" w:ascii="黑体" w:hAnsi="黑体" w:eastAsia="黑体" w:cs="Times New Roman"/>
          <w:sz w:val="24"/>
          <w:lang w:val="zh-CN" w:eastAsia="zh-CN"/>
        </w:rPr>
      </w:pPr>
      <w:r>
        <w:rPr>
          <w:rFonts w:hint="eastAsia" w:ascii="黑体" w:hAnsi="黑体" w:eastAsia="黑体" w:cs="Times New Roman"/>
          <w:kern w:val="0"/>
          <w:sz w:val="24"/>
          <w:lang w:val="zh-CN" w:eastAsia="zh-CN"/>
        </w:rPr>
        <w:t>2.</w:t>
      </w:r>
      <w:r>
        <w:rPr>
          <w:rFonts w:hint="eastAsia" w:ascii="黑体" w:hAnsi="黑体" w:eastAsia="黑体" w:cs="Times New Roman"/>
          <w:kern w:val="0"/>
          <w:sz w:val="24"/>
          <w:lang w:val="en-US" w:eastAsia="zh-CN"/>
        </w:rPr>
        <w:t>3</w:t>
      </w:r>
      <w:r>
        <w:rPr>
          <w:rFonts w:hint="eastAsia" w:ascii="黑体" w:hAnsi="黑体" w:eastAsia="黑体" w:cs="Times New Roman"/>
          <w:sz w:val="24"/>
          <w:lang w:val="zh-CN" w:eastAsia="zh-CN"/>
        </w:rPr>
        <w:t>规划结构</w:t>
      </w:r>
    </w:p>
    <w:p w14:paraId="10F8E4E9">
      <w:pPr>
        <w:numPr>
          <w:ilvl w:val="0"/>
          <w:numId w:val="0"/>
        </w:numPr>
        <w:spacing w:line="400" w:lineRule="exact"/>
        <w:ind w:firstLine="480" w:firstLineChars="200"/>
        <w:rPr>
          <w:rFonts w:hint="default" w:ascii="黑体" w:hAnsi="黑体" w:eastAsia="黑体" w:cs="Times New Roman"/>
          <w:sz w:val="24"/>
          <w:lang w:val="en-US" w:eastAsia="zh-CN"/>
        </w:rPr>
      </w:pPr>
      <w:r>
        <w:rPr>
          <w:rFonts w:hint="eastAsia" w:ascii="宋体" w:hAnsi="宋体"/>
          <w:color w:val="auto"/>
          <w:sz w:val="24"/>
          <w:lang w:val="en-US" w:eastAsia="zh-CN"/>
        </w:rPr>
        <w:t>项目整体采取全板楼规划设计形式，采用围合式布局营造内部大花园，小高+大高的组合形式丰富了项目天际线，园林层结合架空层一体打造，同时结合周边学府资源，打造学府高塔，声息社区；</w:t>
      </w:r>
    </w:p>
    <w:p w14:paraId="167C17AC">
      <w:pPr>
        <w:spacing w:before="156" w:beforeLines="50" w:after="156" w:afterLines="50"/>
        <w:outlineLvl w:val="1"/>
        <w:rPr>
          <w:rFonts w:hint="eastAsia" w:ascii="黑体" w:hAnsi="黑体" w:eastAsia="黑体" w:cs="Times New Roman"/>
          <w:sz w:val="24"/>
          <w:lang w:val="zh-CN" w:eastAsia="zh-CN"/>
        </w:rPr>
      </w:pPr>
    </w:p>
    <w:p w14:paraId="7D800694">
      <w:pPr>
        <w:spacing w:before="156" w:beforeLines="50" w:after="156" w:afterLines="50"/>
        <w:outlineLvl w:val="1"/>
        <w:rPr>
          <w:rFonts w:hint="eastAsia" w:ascii="黑体" w:hAnsi="黑体" w:eastAsia="黑体" w:cs="Times New Roman"/>
          <w:sz w:val="24"/>
          <w:lang w:val="zh-CN" w:eastAsia="zh-CN"/>
        </w:rPr>
      </w:pPr>
      <w:bookmarkStart w:id="14" w:name="_GoBack"/>
      <w:bookmarkEnd w:id="14"/>
    </w:p>
    <w:p w14:paraId="64F76D8A">
      <w:pPr>
        <w:spacing w:before="156" w:beforeLines="50" w:after="156" w:afterLines="50"/>
        <w:outlineLvl w:val="1"/>
        <w:rPr>
          <w:rFonts w:hint="eastAsia" w:ascii="黑体" w:hAnsi="黑体" w:eastAsia="黑体" w:cs="Times New Roman"/>
          <w:sz w:val="24"/>
          <w:lang w:val="zh-CN" w:eastAsia="zh-CN"/>
        </w:rPr>
      </w:pPr>
      <w:r>
        <w:rPr>
          <w:rFonts w:hint="eastAsia" w:ascii="黑体" w:hAnsi="黑体" w:eastAsia="黑体" w:cs="Times New Roman"/>
          <w:kern w:val="0"/>
          <w:sz w:val="24"/>
          <w:lang w:val="zh-CN" w:eastAsia="zh-CN"/>
        </w:rPr>
        <w:t>2.</w:t>
      </w:r>
      <w:r>
        <w:rPr>
          <w:rFonts w:hint="eastAsia" w:ascii="黑体" w:hAnsi="黑体" w:eastAsia="黑体" w:cs="Times New Roman"/>
          <w:kern w:val="0"/>
          <w:sz w:val="24"/>
          <w:lang w:val="en-US" w:eastAsia="zh-CN"/>
        </w:rPr>
        <w:t>4</w:t>
      </w:r>
      <w:r>
        <w:rPr>
          <w:rFonts w:hint="eastAsia" w:ascii="黑体" w:hAnsi="黑体" w:eastAsia="黑体" w:cs="Times New Roman"/>
          <w:sz w:val="24"/>
          <w:lang w:val="zh-CN" w:eastAsia="zh-CN"/>
        </w:rPr>
        <w:t>主要经济技术指标</w:t>
      </w:r>
      <w:r>
        <w:rPr>
          <w:rFonts w:hint="eastAsia" w:ascii="黑体" w:hAnsi="黑体" w:eastAsia="黑体" w:cs="Times New Roman"/>
          <w:sz w:val="24"/>
          <w:lang w:val="zh-CN" w:eastAsia="zh-CN"/>
        </w:rPr>
        <w:br w:type="textWrapping"/>
      </w:r>
      <w:r>
        <w:drawing>
          <wp:inline distT="0" distB="0" distL="114300" distR="114300">
            <wp:extent cx="2854325" cy="3028950"/>
            <wp:effectExtent l="0" t="0" r="3175" b="635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2"/>
                    <a:srcRect b="41673"/>
                    <a:stretch>
                      <a:fillRect/>
                    </a:stretch>
                  </pic:blipFill>
                  <pic:spPr>
                    <a:xfrm>
                      <a:off x="0" y="0"/>
                      <a:ext cx="2854325" cy="3028950"/>
                    </a:xfrm>
                    <a:prstGeom prst="rect">
                      <a:avLst/>
                    </a:prstGeom>
                    <a:noFill/>
                    <a:ln>
                      <a:noFill/>
                    </a:ln>
                  </pic:spPr>
                </pic:pic>
              </a:graphicData>
            </a:graphic>
          </wp:inline>
        </w:drawing>
      </w:r>
      <w:r>
        <w:drawing>
          <wp:inline distT="0" distB="0" distL="114300" distR="114300">
            <wp:extent cx="2858135" cy="2181225"/>
            <wp:effectExtent l="0" t="0" r="12065" b="317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rcRect t="58053"/>
                    <a:stretch>
                      <a:fillRect/>
                    </a:stretch>
                  </pic:blipFill>
                  <pic:spPr>
                    <a:xfrm>
                      <a:off x="0" y="0"/>
                      <a:ext cx="2858135" cy="2181225"/>
                    </a:xfrm>
                    <a:prstGeom prst="rect">
                      <a:avLst/>
                    </a:prstGeom>
                    <a:noFill/>
                    <a:ln>
                      <a:noFill/>
                    </a:ln>
                  </pic:spPr>
                </pic:pic>
              </a:graphicData>
            </a:graphic>
          </wp:inline>
        </w:drawing>
      </w:r>
    </w:p>
    <w:p w14:paraId="22993E24">
      <w:pPr>
        <w:spacing w:before="156" w:beforeLines="50" w:after="156" w:afterLines="50"/>
        <w:outlineLvl w:val="1"/>
        <w:rPr>
          <w:rFonts w:hint="eastAsia" w:ascii="黑体" w:hAnsi="黑体" w:eastAsia="黑体" w:cs="Times New Roman"/>
          <w:sz w:val="24"/>
          <w:lang w:val="zh-CN" w:eastAsia="zh-CN"/>
        </w:rPr>
      </w:pPr>
    </w:p>
    <w:p w14:paraId="11D4AC56">
      <w:pPr>
        <w:spacing w:line="360" w:lineRule="auto"/>
        <w:ind w:firstLine="600" w:firstLineChars="200"/>
        <w:jc w:val="center"/>
        <w:rPr>
          <w:rFonts w:ascii="黑体" w:hAnsi="黑体" w:eastAsia="黑体" w:cs="Times New Roman"/>
          <w:sz w:val="30"/>
          <w:szCs w:val="30"/>
        </w:rPr>
      </w:pPr>
      <w:r>
        <w:rPr>
          <w:rFonts w:ascii="黑体" w:hAnsi="黑体" w:eastAsia="黑体" w:cs="Times New Roman"/>
          <w:sz w:val="30"/>
          <w:szCs w:val="30"/>
        </w:rPr>
        <w:br w:type="page"/>
      </w:r>
      <w:r>
        <w:rPr>
          <w:rFonts w:hint="eastAsia" w:ascii="黑体" w:hAnsi="黑体" w:eastAsia="黑体" w:cs="Times New Roman"/>
          <w:sz w:val="32"/>
          <w:szCs w:val="32"/>
        </w:rPr>
        <w:t>第三章 景观设计要求</w:t>
      </w:r>
    </w:p>
    <w:p w14:paraId="49FA6169">
      <w:pPr>
        <w:keepNext/>
        <w:keepLines/>
        <w:spacing w:before="156" w:beforeLines="50" w:after="156" w:afterLines="50"/>
        <w:outlineLvl w:val="0"/>
        <w:rPr>
          <w:rFonts w:ascii="黑体" w:hAnsi="黑体" w:eastAsia="黑体" w:cs="宋体"/>
          <w:b/>
          <w:bCs/>
          <w:kern w:val="44"/>
          <w:sz w:val="24"/>
          <w:szCs w:val="44"/>
          <w:lang w:val="zh-CN" w:eastAsia="zh-CN"/>
        </w:rPr>
      </w:pPr>
      <w:r>
        <w:rPr>
          <w:rFonts w:hint="eastAsia" w:ascii="黑体" w:hAnsi="黑体" w:eastAsia="黑体" w:cs="Times New Roman"/>
          <w:bCs/>
          <w:kern w:val="44"/>
          <w:sz w:val="24"/>
          <w:szCs w:val="44"/>
          <w:lang w:val="zh-CN" w:eastAsia="zh-CN"/>
        </w:rPr>
        <w:t>1 规划及建筑设计评估</w:t>
      </w:r>
    </w:p>
    <w:p w14:paraId="16D2A390">
      <w:pPr>
        <w:numPr>
          <w:ilvl w:val="0"/>
          <w:numId w:val="0"/>
        </w:numPr>
        <w:spacing w:line="400" w:lineRule="exact"/>
        <w:ind w:firstLine="480" w:firstLineChars="200"/>
        <w:rPr>
          <w:rFonts w:hint="default" w:ascii="Arial" w:hAnsi="Arial" w:eastAsia="宋体" w:cs="Times New Roman"/>
          <w:sz w:val="24"/>
          <w:lang w:val="en-US" w:eastAsia="zh-CN"/>
        </w:rPr>
      </w:pPr>
      <w:r>
        <w:rPr>
          <w:rFonts w:hint="eastAsia" w:ascii="宋体" w:hAnsi="宋体"/>
          <w:color w:val="auto"/>
          <w:sz w:val="24"/>
          <w:lang w:val="en-US" w:eastAsia="zh-CN"/>
        </w:rPr>
        <w:t>项目整体采取全板楼规划设计形式，采用围合式布局营造内部大花园，小高+大高的组合形式丰富了项目天际线，园林层结合架空层一体打造，同时结合周边学府资源，打造学府高塔，声息社区；</w:t>
      </w:r>
      <w:r>
        <w:rPr>
          <w:rFonts w:hint="eastAsia" w:ascii="Arial" w:hAnsi="Arial" w:eastAsia="宋体" w:cs="Times New Roman"/>
          <w:sz w:val="24"/>
          <w:lang w:val="en-US" w:eastAsia="zh-CN"/>
        </w:rPr>
        <w:t>景观设计重点有如下几个方面：①根据规划设计的多进庭院，打造项目礼序感，同时重点打造内部中心大花园、小组团花园及下层庭院；②北侧公共绿地与红线内景观的融合打造，削弱北侧配套用房影响；③架空层与室外园林的穿插和嵌套；</w:t>
      </w:r>
    </w:p>
    <w:p w14:paraId="5EF27799">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2设计依据及基础资料</w:t>
      </w:r>
    </w:p>
    <w:p w14:paraId="509E8289">
      <w:pPr>
        <w:spacing w:before="156" w:beforeLines="50" w:after="156" w:afterLines="50"/>
        <w:outlineLvl w:val="1"/>
        <w:rPr>
          <w:rFonts w:hint="default" w:ascii="黑体" w:hAnsi="黑体" w:eastAsia="黑体" w:cs="Times New Roman"/>
          <w:sz w:val="24"/>
          <w:lang w:val="en-US" w:eastAsia="zh-CN"/>
        </w:rPr>
      </w:pPr>
      <w:r>
        <w:rPr>
          <w:rFonts w:hint="eastAsia" w:ascii="黑体" w:hAnsi="黑体" w:eastAsia="黑体" w:cs="Times New Roman"/>
          <w:sz w:val="24"/>
          <w:lang w:val="zh-CN" w:eastAsia="zh-CN"/>
        </w:rPr>
        <w:t>2.1设计依据</w:t>
      </w:r>
    </w:p>
    <w:p w14:paraId="748422DE">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《中华人民共和国民法典》、《中华人民共和国建筑法》、《建筑工程设计文件编制深度规定》；</w:t>
      </w:r>
    </w:p>
    <w:p w14:paraId="4D956ED0">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《居住区绿地设计规范》    DB11/T 214—2003；</w:t>
      </w:r>
    </w:p>
    <w:p w14:paraId="29F4D776">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《居住区环境景观设计导则》（2006）；</w:t>
      </w:r>
    </w:p>
    <w:p w14:paraId="2C98D8A7">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《城市道路绿化规范与设计规范》CJJ 75-97；</w:t>
      </w:r>
    </w:p>
    <w:p w14:paraId="7E44F1DD">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《园林基本术语标准》CJJ/ T91-2002；</w:t>
      </w:r>
      <w:r>
        <w:rPr>
          <w:rFonts w:hint="eastAsia" w:ascii="宋体" w:hAnsi="宋体" w:eastAsia="宋体" w:cs="宋体"/>
          <w:sz w:val="24"/>
          <w:lang w:val="en-US" w:eastAsia="zh-CN"/>
        </w:rPr>
        <w:t>xq</w:t>
      </w:r>
    </w:p>
    <w:p w14:paraId="3346F0F9">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《城市居住区规划设计规范》GB50180-93；</w:t>
      </w:r>
    </w:p>
    <w:p w14:paraId="7527B6F3">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《风景园林图例图示标准》CJJ67-95；</w:t>
      </w:r>
    </w:p>
    <w:p w14:paraId="2D56F93F">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《公园设计规范》CJJ/T82-99；</w:t>
      </w:r>
    </w:p>
    <w:p w14:paraId="3D978ADD">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《城市绿化和园林绿地用植物材料木本苗》CJ/T34-91；</w:t>
      </w:r>
    </w:p>
    <w:p w14:paraId="42793FAF">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《城市绿化工程施工及验收规范》CJJ/T82-99；</w:t>
      </w:r>
    </w:p>
    <w:p w14:paraId="53C0E1DF">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《室外给水设计规范》GB50013-2006；</w:t>
      </w:r>
    </w:p>
    <w:p w14:paraId="37FE817A">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《室外排水设计规范》GB50014-2006；</w:t>
      </w:r>
    </w:p>
    <w:p w14:paraId="11F38820">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《低压配电设计规范》GB50054-95；</w:t>
      </w:r>
    </w:p>
    <w:p w14:paraId="7573E896">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《电力工程电缆设计规范》GB50127-94；</w:t>
      </w:r>
    </w:p>
    <w:p w14:paraId="462F223B">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《城市道路照明工程施工验收规程》CJJ89-2001；</w:t>
      </w:r>
    </w:p>
    <w:p w14:paraId="41BBEC05">
      <w:pPr>
        <w:widowControl/>
        <w:numPr>
          <w:ilvl w:val="0"/>
          <w:numId w:val="4"/>
        </w:numPr>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《建筑电气工程施工质量验收规范》GB50303-2002。</w:t>
      </w:r>
    </w:p>
    <w:p w14:paraId="2F151CC3">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2.2基础资料</w:t>
      </w:r>
    </w:p>
    <w:p w14:paraId="32AC1CD7">
      <w:pPr>
        <w:widowControl/>
        <w:numPr>
          <w:ilvl w:val="0"/>
          <w:numId w:val="5"/>
        </w:numPr>
        <w:spacing w:line="360" w:lineRule="auto"/>
        <w:ind w:right="-292" w:rightChars="-139" w:firstLine="480" w:firstLineChars="200"/>
        <w:jc w:val="left"/>
      </w:pPr>
      <w:r>
        <w:rPr>
          <w:rFonts w:hint="eastAsia" w:ascii="宋体" w:hAnsi="宋体" w:eastAsia="宋体" w:cs="宋体"/>
          <w:sz w:val="24"/>
        </w:rPr>
        <w:t>规划设计图纸、现状地形图电子文档各一份（附图2）；</w:t>
      </w:r>
    </w:p>
    <w:p w14:paraId="7361EEF1">
      <w:pPr>
        <w:widowControl/>
        <w:numPr>
          <w:ilvl w:val="0"/>
          <w:numId w:val="5"/>
        </w:numPr>
        <w:spacing w:line="360" w:lineRule="auto"/>
        <w:ind w:right="-292" w:rightChars="-139" w:firstLine="480" w:firstLineChars="200"/>
        <w:jc w:val="left"/>
        <w:rPr>
          <w:rFonts w:hint="eastAsia" w:ascii="宋体" w:hAnsi="宋体" w:eastAsia="宋体" w:cs="宋体"/>
          <w:sz w:val="24"/>
          <w:lang w:eastAsia="zh-CN"/>
        </w:rPr>
      </w:pPr>
      <w:r>
        <w:rPr>
          <w:rFonts w:hint="eastAsia" w:ascii="宋体" w:hAnsi="宋体" w:eastAsia="宋体" w:cs="宋体"/>
          <w:sz w:val="24"/>
        </w:rPr>
        <w:t>设计范围详总平面图（附图3）；</w:t>
      </w:r>
    </w:p>
    <w:p w14:paraId="117071A6">
      <w:pPr>
        <w:widowControl/>
        <w:numPr>
          <w:ilvl w:val="0"/>
          <w:numId w:val="5"/>
        </w:numPr>
        <w:spacing w:line="360" w:lineRule="auto"/>
        <w:ind w:right="-292" w:rightChars="-139" w:firstLine="480" w:firstLineChars="200"/>
        <w:jc w:val="left"/>
        <w:rPr>
          <w:rFonts w:ascii="宋体" w:hAnsi="宋体" w:eastAsia="宋体" w:cs="宋体"/>
          <w:sz w:val="24"/>
        </w:rPr>
      </w:pPr>
      <w:r>
        <w:rPr>
          <w:rFonts w:hint="eastAsia" w:ascii="宋体" w:hAnsi="宋体" w:eastAsia="宋体" w:cs="宋体"/>
          <w:sz w:val="24"/>
        </w:rPr>
        <w:t>其他必要的设计资料</w:t>
      </w:r>
      <w:r>
        <w:rPr>
          <w:rFonts w:hint="eastAsia" w:ascii="宋体" w:hAnsi="宋体" w:eastAsia="宋体" w:cs="宋体"/>
          <w:sz w:val="24"/>
          <w:lang w:val="en-US" w:eastAsia="zh-CN"/>
        </w:rPr>
        <w:t>(建筑方案文本、定位报告等详见附件）</w:t>
      </w:r>
    </w:p>
    <w:p w14:paraId="6A37D385">
      <w:pPr>
        <w:widowControl/>
        <w:numPr>
          <w:ilvl w:val="0"/>
          <w:numId w:val="5"/>
        </w:numPr>
        <w:spacing w:line="360" w:lineRule="auto"/>
        <w:ind w:right="-292" w:rightChars="-139" w:firstLine="480" w:firstLineChars="200"/>
        <w:jc w:val="left"/>
        <w:rPr>
          <w:rFonts w:ascii="宋体" w:hAnsi="宋体" w:eastAsia="宋体" w:cs="宋体"/>
          <w:sz w:val="24"/>
        </w:rPr>
      </w:pPr>
      <w:r>
        <w:rPr>
          <w:rFonts w:hint="eastAsia" w:ascii="宋体" w:hAnsi="宋体" w:eastAsia="宋体" w:cs="宋体"/>
          <w:sz w:val="24"/>
        </w:rPr>
        <w:t>特殊资料：（如:古树、名木、水系、湖泊、森林等）</w:t>
      </w:r>
      <w:r>
        <w:rPr>
          <w:rFonts w:hint="eastAsia" w:ascii="宋体" w:hAnsi="宋体" w:eastAsia="宋体" w:cs="宋体"/>
          <w:sz w:val="24"/>
          <w:lang w:eastAsia="zh-CN"/>
        </w:rPr>
        <w:t>。</w:t>
      </w:r>
    </w:p>
    <w:p w14:paraId="1773BE2A">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3 设计理念及要点</w:t>
      </w:r>
      <w:r>
        <w:rPr>
          <w:rFonts w:hint="eastAsia" w:ascii="黑体" w:hAnsi="黑体" w:eastAsia="黑体" w:cs="Times New Roman"/>
          <w:bCs/>
          <w:kern w:val="44"/>
          <w:sz w:val="24"/>
          <w:szCs w:val="44"/>
          <w:lang w:val="zh-CN" w:eastAsia="zh-CN"/>
        </w:rPr>
        <w:tab/>
      </w:r>
    </w:p>
    <w:p w14:paraId="2EB7D43F">
      <w:pPr>
        <w:spacing w:before="156" w:beforeLines="50" w:after="156" w:afterLines="50"/>
        <w:outlineLvl w:val="1"/>
        <w:rPr>
          <w:rFonts w:ascii="黑体" w:hAnsi="黑体" w:eastAsia="黑体" w:cs="Times New Roman"/>
          <w:sz w:val="24"/>
          <w:lang w:val="zh-CN" w:eastAsia="zh-CN"/>
        </w:rPr>
      </w:pPr>
      <w:r>
        <w:rPr>
          <w:rFonts w:hint="eastAsia" w:ascii="黑体" w:hAnsi="宋体" w:eastAsia="黑体" w:cs="Times New Roman"/>
          <w:kern w:val="0"/>
          <w:sz w:val="24"/>
          <w:lang w:val="zh-CN" w:eastAsia="zh-CN"/>
        </w:rPr>
        <w:t>3.1</w:t>
      </w:r>
      <w:r>
        <w:rPr>
          <w:rFonts w:hint="eastAsia" w:ascii="黑体" w:hAnsi="黑体" w:eastAsia="黑体" w:cs="Times New Roman"/>
          <w:sz w:val="24"/>
          <w:lang w:val="zh-CN" w:eastAsia="zh-CN"/>
        </w:rPr>
        <w:t>设计理念</w:t>
      </w:r>
    </w:p>
    <w:p w14:paraId="7C31F179">
      <w:pPr>
        <w:spacing w:line="360" w:lineRule="auto"/>
        <w:ind w:firstLine="480" w:firstLineChars="200"/>
        <w:rPr>
          <w:rFonts w:ascii="Arial" w:hAnsi="Arial" w:eastAsia="宋体" w:cs="Times New Roman"/>
          <w:sz w:val="24"/>
        </w:rPr>
      </w:pPr>
      <w:r>
        <w:rPr>
          <w:rFonts w:hint="eastAsia" w:ascii="黑体" w:hAnsi="黑体" w:eastAsia="黑体" w:cs="Times New Roman"/>
          <w:sz w:val="24"/>
        </w:rPr>
        <w:t>a）</w:t>
      </w:r>
      <w:r>
        <w:rPr>
          <w:rFonts w:hint="eastAsia" w:ascii="Arial" w:hAnsi="Arial" w:eastAsia="宋体" w:cs="Times New Roman"/>
          <w:sz w:val="24"/>
        </w:rPr>
        <w:t>注重当地文脉与场地周边自然资源的发掘与应用。</w:t>
      </w:r>
    </w:p>
    <w:p w14:paraId="307AEC39">
      <w:pPr>
        <w:spacing w:line="360" w:lineRule="auto"/>
        <w:ind w:left="839" w:leftChars="228" w:hanging="360" w:hangingChars="150"/>
        <w:rPr>
          <w:rFonts w:ascii="Arial" w:hAnsi="Arial" w:eastAsia="宋体" w:cs="Times New Roman"/>
          <w:sz w:val="24"/>
        </w:rPr>
      </w:pPr>
      <w:r>
        <w:rPr>
          <w:rFonts w:hint="eastAsia" w:ascii="黑体" w:hAnsi="黑体" w:eastAsia="黑体" w:cs="Times New Roman"/>
          <w:sz w:val="24"/>
        </w:rPr>
        <w:t>b）</w:t>
      </w:r>
      <w:r>
        <w:rPr>
          <w:rFonts w:hint="eastAsia" w:ascii="Arial" w:hAnsi="Arial" w:eastAsia="宋体" w:cs="Times New Roman"/>
          <w:sz w:val="24"/>
        </w:rPr>
        <w:t>注重景观的生态性与可持续性。收集园区建筑屋面及地面雨水，与当地海绵城市营造要求一致，作为园区自然水系的补给水源；尽量选择乡土树种，减少修剪性灌木的使用量，减少草坪面积，降低后期管理维护难度；新型景观环保材料的运用，比如透水砖、PC材料等。</w:t>
      </w:r>
    </w:p>
    <w:p w14:paraId="599EBD48">
      <w:pPr>
        <w:spacing w:line="360" w:lineRule="auto"/>
        <w:ind w:firstLine="480" w:firstLineChars="200"/>
        <w:rPr>
          <w:rFonts w:ascii="Arial" w:hAnsi="Arial" w:eastAsia="宋体" w:cs="Times New Roman"/>
          <w:sz w:val="24"/>
        </w:rPr>
      </w:pPr>
      <w:r>
        <w:rPr>
          <w:rFonts w:hint="eastAsia" w:ascii="黑体" w:hAnsi="黑体" w:eastAsia="黑体" w:cs="Times New Roman"/>
          <w:sz w:val="24"/>
        </w:rPr>
        <w:t>c）</w:t>
      </w:r>
      <w:r>
        <w:rPr>
          <w:rFonts w:hint="eastAsia" w:ascii="Arial" w:hAnsi="Arial" w:eastAsia="宋体" w:cs="Times New Roman"/>
          <w:sz w:val="24"/>
        </w:rPr>
        <w:t>注重园区住户的功能性需求，如休闲、慢跑、小规模团体运动、养生等。功能性</w:t>
      </w:r>
    </w:p>
    <w:p w14:paraId="591DDAE4">
      <w:pPr>
        <w:spacing w:line="360" w:lineRule="auto"/>
        <w:ind w:firstLine="840" w:firstLineChars="350"/>
        <w:rPr>
          <w:rFonts w:ascii="Arial" w:hAnsi="Arial" w:eastAsia="宋体" w:cs="Times New Roman"/>
          <w:sz w:val="24"/>
        </w:rPr>
      </w:pPr>
      <w:r>
        <w:rPr>
          <w:rFonts w:hint="eastAsia" w:ascii="Arial" w:hAnsi="Arial" w:eastAsia="宋体" w:cs="Times New Roman"/>
          <w:sz w:val="24"/>
        </w:rPr>
        <w:t>场地尽量与园区消防通道及消防登高面相结合，加强场地的复合性特质。</w:t>
      </w:r>
    </w:p>
    <w:p w14:paraId="11CCFB82">
      <w:pPr>
        <w:spacing w:line="360" w:lineRule="auto"/>
        <w:ind w:firstLine="480" w:firstLineChars="200"/>
        <w:rPr>
          <w:rFonts w:ascii="Arial" w:hAnsi="Arial" w:eastAsia="宋体" w:cs="Times New Roman"/>
          <w:sz w:val="24"/>
        </w:rPr>
      </w:pPr>
      <w:r>
        <w:rPr>
          <w:rFonts w:hint="eastAsia" w:ascii="黑体" w:hAnsi="黑体" w:eastAsia="黑体" w:cs="Times New Roman"/>
          <w:sz w:val="24"/>
        </w:rPr>
        <w:t>d）</w:t>
      </w:r>
      <w:r>
        <w:rPr>
          <w:rFonts w:hint="eastAsia" w:ascii="Arial" w:hAnsi="Arial" w:eastAsia="宋体" w:cs="Times New Roman"/>
          <w:sz w:val="24"/>
        </w:rPr>
        <w:t>注重园区景观的参与性与趣味性，如设置植物种植体验区、儿童综合游乐场地、</w:t>
      </w:r>
    </w:p>
    <w:p w14:paraId="10BA40F3">
      <w:pPr>
        <w:spacing w:line="360" w:lineRule="auto"/>
        <w:ind w:firstLine="840" w:firstLineChars="350"/>
        <w:rPr>
          <w:rFonts w:ascii="Arial" w:hAnsi="Arial" w:eastAsia="宋体" w:cs="Times New Roman"/>
          <w:sz w:val="24"/>
        </w:rPr>
      </w:pPr>
      <w:r>
        <w:rPr>
          <w:rFonts w:hint="eastAsia" w:ascii="Arial" w:hAnsi="Arial" w:eastAsia="宋体" w:cs="Times New Roman"/>
          <w:sz w:val="24"/>
        </w:rPr>
        <w:t>自然式水系及旱溪等体验性区域。</w:t>
      </w:r>
    </w:p>
    <w:p w14:paraId="5CEC9BFC">
      <w:pPr>
        <w:pStyle w:val="26"/>
        <w:numPr>
          <w:ilvl w:val="0"/>
          <w:numId w:val="5"/>
        </w:numPr>
        <w:spacing w:line="360" w:lineRule="auto"/>
        <w:ind w:left="420" w:leftChars="200" w:firstLineChars="0"/>
        <w:rPr>
          <w:rFonts w:ascii="Arial" w:hAnsi="Arial" w:eastAsia="宋体" w:cs="Times New Roman"/>
          <w:sz w:val="24"/>
        </w:rPr>
      </w:pPr>
      <w:r>
        <w:rPr>
          <w:rFonts w:hint="eastAsia" w:ascii="Arial" w:hAnsi="Arial" w:eastAsia="宋体" w:cs="Times New Roman"/>
          <w:sz w:val="24"/>
        </w:rPr>
        <w:t>加强植物种植的丰富度与参与性，如设置水生植物园、植物种植体验区、盆景养生园（老人）。</w:t>
      </w:r>
    </w:p>
    <w:p w14:paraId="5D920BD6">
      <w:pPr>
        <w:pStyle w:val="26"/>
        <w:numPr>
          <w:ilvl w:val="0"/>
          <w:numId w:val="5"/>
        </w:numPr>
        <w:spacing w:line="360" w:lineRule="auto"/>
        <w:ind w:left="420" w:leftChars="200" w:firstLineChars="0"/>
        <w:rPr>
          <w:rFonts w:ascii="Arial" w:hAnsi="Arial" w:eastAsia="宋体" w:cs="Times New Roman"/>
          <w:sz w:val="24"/>
        </w:rPr>
      </w:pPr>
      <w:r>
        <w:rPr>
          <w:rFonts w:hint="eastAsia" w:ascii="Arial" w:hAnsi="Arial" w:eastAsia="宋体" w:cs="Times New Roman"/>
          <w:sz w:val="24"/>
        </w:rPr>
        <w:t>园区设计应考虑景观空间安全防护、老人儿童防跌落防碰撞、场地消防疏散以及景观电路等安全性问题。</w:t>
      </w:r>
    </w:p>
    <w:p w14:paraId="2EA59EC2">
      <w:pPr>
        <w:pStyle w:val="26"/>
        <w:numPr>
          <w:ilvl w:val="0"/>
          <w:numId w:val="5"/>
        </w:numPr>
        <w:spacing w:line="360" w:lineRule="auto"/>
        <w:ind w:left="420" w:leftChars="200" w:firstLineChars="0"/>
        <w:rPr>
          <w:rFonts w:ascii="Arial" w:hAnsi="Arial" w:eastAsia="宋体" w:cs="Times New Roman"/>
          <w:sz w:val="24"/>
        </w:rPr>
      </w:pPr>
      <w:r>
        <w:rPr>
          <w:rFonts w:hint="eastAsia" w:ascii="宋体" w:hAnsi="宋体" w:eastAsia="宋体" w:cs="宋体"/>
          <w:sz w:val="24"/>
        </w:rPr>
        <w:t>配合销售前期的“沙盘制作”、“销售说辞”的讲解，要求提供详细文本解释园区设计意向、主要功能模块等。</w:t>
      </w:r>
    </w:p>
    <w:p w14:paraId="21D0DDBB">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3.2</w:t>
      </w:r>
      <w:r>
        <w:rPr>
          <w:rFonts w:hint="eastAsia" w:ascii="黑体" w:hAnsi="黑体" w:eastAsia="黑体" w:cs="Times New Roman"/>
          <w:sz w:val="24"/>
          <w:lang w:val="zh-CN" w:eastAsia="zh-CN"/>
        </w:rPr>
        <w:t>设计要点</w:t>
      </w:r>
    </w:p>
    <w:p w14:paraId="7278C38C">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景观设计应与整体项目气质相吻合，符合项目各区块的功能需求。</w:t>
      </w:r>
    </w:p>
    <w:p w14:paraId="491B78BA">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住宅区：营造</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 xml:space="preserve">生态自然 </w:t>
      </w:r>
      <w:r>
        <w:rPr>
          <w:rFonts w:hint="eastAsia" w:ascii="宋体" w:hAnsi="宋体" w:eastAsia="宋体" w:cs="宋体"/>
          <w:sz w:val="24"/>
        </w:rPr>
        <w:t>的景观空间。住宅区公共景观</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 xml:space="preserve">生态自然 </w:t>
      </w:r>
      <w:r>
        <w:rPr>
          <w:rFonts w:hint="eastAsia" w:ascii="宋体" w:hAnsi="宋体" w:eastAsia="宋体" w:cs="宋体"/>
          <w:sz w:val="24"/>
        </w:rPr>
        <w:t xml:space="preserve"> ；宅间景观 </w:t>
      </w:r>
      <w:r>
        <w:rPr>
          <w:rFonts w:hint="eastAsia" w:ascii="宋体" w:hAnsi="宋体" w:eastAsia="宋体" w:cs="宋体"/>
          <w:sz w:val="24"/>
          <w:u w:val="single"/>
          <w:lang w:val="en-US" w:eastAsia="zh-CN"/>
        </w:rPr>
        <w:t>多元健康</w:t>
      </w:r>
      <w:r>
        <w:rPr>
          <w:rFonts w:hint="eastAsia" w:ascii="宋体" w:hAnsi="宋体" w:eastAsia="宋体" w:cs="宋体"/>
          <w:sz w:val="24"/>
          <w:u w:val="single"/>
        </w:rPr>
        <w:t>（风格）</w:t>
      </w:r>
      <w:r>
        <w:rPr>
          <w:rFonts w:hint="eastAsia" w:ascii="宋体" w:hAnsi="宋体" w:eastAsia="宋体" w:cs="宋体"/>
          <w:sz w:val="24"/>
          <w:u w:val="single"/>
          <w:lang w:eastAsia="zh-CN"/>
        </w:rPr>
        <w:t>，</w:t>
      </w:r>
      <w:r>
        <w:rPr>
          <w:rFonts w:hint="eastAsia" w:ascii="宋体" w:hAnsi="宋体" w:eastAsia="宋体" w:cs="宋体"/>
          <w:sz w:val="24"/>
          <w:u w:val="single"/>
          <w:lang w:val="en-US" w:eastAsia="zh-CN"/>
        </w:rPr>
        <w:t>重视邻里交流沟通空间，集约布置多元化的景观功能区</w:t>
      </w:r>
      <w:r>
        <w:rPr>
          <w:rFonts w:hint="eastAsia" w:ascii="宋体" w:hAnsi="宋体" w:eastAsia="宋体" w:cs="宋体"/>
          <w:sz w:val="24"/>
        </w:rPr>
        <w:t>。</w:t>
      </w:r>
    </w:p>
    <w:p w14:paraId="1A567AFE">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项目周界景观（市政绿化、人行道、沿街商业）：</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生态自然。同时因消防车道及登高面均布置在项目周界，对此部分的设计需考虑消解大面积硬质铺装的生硬及空旷，采用灵活多样的方式</w:t>
      </w:r>
      <w:r>
        <w:rPr>
          <w:rFonts w:hint="eastAsia" w:ascii="宋体" w:hAnsi="宋体" w:eastAsia="宋体" w:cs="宋体"/>
          <w:sz w:val="24"/>
          <w:u w:val="none"/>
          <w:lang w:val="en-US" w:eastAsia="zh-CN"/>
        </w:rPr>
        <w:t>处理此类空间</w:t>
      </w:r>
      <w:r>
        <w:rPr>
          <w:rFonts w:hint="eastAsia" w:ascii="宋体" w:hAnsi="宋体" w:eastAsia="宋体" w:cs="宋体"/>
          <w:sz w:val="24"/>
          <w:lang w:val="en-US" w:eastAsia="zh-CN"/>
        </w:rPr>
        <w:t>。</w:t>
      </w:r>
      <w:r>
        <w:rPr>
          <w:rFonts w:hint="eastAsia" w:ascii="宋体" w:hAnsi="宋体" w:eastAsia="宋体" w:cs="宋体"/>
          <w:sz w:val="24"/>
        </w:rPr>
        <w:t xml:space="preserve">         </w:t>
      </w:r>
    </w:p>
    <w:p w14:paraId="3DFD4980">
      <w:pPr>
        <w:widowControl/>
        <w:spacing w:line="360" w:lineRule="auto"/>
        <w:ind w:right="76" w:firstLine="480" w:firstLineChars="200"/>
        <w:jc w:val="left"/>
        <w:rPr>
          <w:rFonts w:ascii="宋体" w:hAnsi="宋体" w:eastAsia="宋体" w:cs="宋体"/>
          <w:color w:val="FF0000"/>
          <w:sz w:val="24"/>
        </w:rPr>
      </w:pPr>
    </w:p>
    <w:p w14:paraId="718CD3C8">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4</w:t>
      </w:r>
      <w:r>
        <w:rPr>
          <w:rFonts w:hint="eastAsia" w:ascii="黑体" w:hAnsi="黑体" w:eastAsia="黑体" w:cs="Times New Roman"/>
          <w:bCs/>
          <w:kern w:val="44"/>
          <w:sz w:val="24"/>
          <w:szCs w:val="44"/>
          <w:lang w:val="zh-CN"/>
        </w:rPr>
        <w:t xml:space="preserve">  </w:t>
      </w:r>
      <w:r>
        <w:rPr>
          <w:rFonts w:hint="eastAsia" w:ascii="黑体" w:hAnsi="黑体" w:eastAsia="黑体" w:cs="Times New Roman"/>
          <w:bCs/>
          <w:kern w:val="44"/>
          <w:sz w:val="24"/>
          <w:szCs w:val="44"/>
          <w:lang w:val="zh-CN" w:eastAsia="zh-CN"/>
        </w:rPr>
        <w:t>景观设计要求</w:t>
      </w:r>
    </w:p>
    <w:p w14:paraId="108FDB1A">
      <w:pPr>
        <w:spacing w:before="156" w:beforeLines="50" w:after="156" w:afterLines="50"/>
        <w:outlineLvl w:val="1"/>
        <w:rPr>
          <w:rFonts w:ascii="黑体" w:hAnsi="黑体" w:eastAsia="黑体" w:cs="Times New Roman"/>
          <w:sz w:val="24"/>
          <w:lang w:val="zh-CN"/>
        </w:rPr>
      </w:pPr>
      <w:r>
        <w:rPr>
          <w:rFonts w:hint="eastAsia" w:ascii="黑体" w:hAnsi="宋体" w:eastAsia="黑体" w:cs="Times New Roman"/>
          <w:kern w:val="0"/>
          <w:sz w:val="24"/>
          <w:lang w:val="zh-CN" w:eastAsia="zh-CN"/>
        </w:rPr>
        <w:t>4.1</w:t>
      </w:r>
      <w:r>
        <w:rPr>
          <w:rFonts w:hint="eastAsia" w:ascii="黑体" w:hAnsi="黑体" w:eastAsia="黑体" w:cs="Times New Roman"/>
          <w:sz w:val="24"/>
          <w:lang w:val="zh-CN" w:eastAsia="zh-CN"/>
        </w:rPr>
        <w:t>园区出入口</w:t>
      </w:r>
      <w:r>
        <w:rPr>
          <w:rFonts w:hint="eastAsia" w:ascii="黑体" w:hAnsi="黑体" w:eastAsia="黑体" w:cs="Times New Roman"/>
          <w:sz w:val="24"/>
          <w:lang w:val="zh-CN"/>
        </w:rPr>
        <w:t>景观</w:t>
      </w:r>
    </w:p>
    <w:p w14:paraId="2EFB373E">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lang w:val="en-US" w:eastAsia="zh-CN"/>
        </w:rPr>
        <w:t>因园区有三个较大且具备一定空间条件的出入口，</w:t>
      </w:r>
      <w:r>
        <w:rPr>
          <w:rFonts w:hint="eastAsia" w:ascii="宋体" w:hAnsi="宋体" w:eastAsia="宋体" w:cs="宋体"/>
          <w:sz w:val="24"/>
        </w:rPr>
        <w:t>首先</w:t>
      </w:r>
      <w:r>
        <w:rPr>
          <w:rFonts w:ascii="宋体" w:hAnsi="宋体" w:eastAsia="宋体" w:cs="宋体"/>
          <w:sz w:val="24"/>
        </w:rPr>
        <w:t>必须</w:t>
      </w:r>
      <w:r>
        <w:rPr>
          <w:rFonts w:hint="eastAsia" w:ascii="宋体" w:hAnsi="宋体" w:eastAsia="宋体" w:cs="宋体"/>
          <w:sz w:val="24"/>
        </w:rPr>
        <w:t>满足园区出入口的功能性要求。考虑主入口岗亭合理位置，有条件则设计永久岗亭，无条件则需考虑移动岗亭；同时考虑园区出入口人车分流，及出入口与市政道路的衔接方式；人行、非机动车与机动车的交通流线梳理，避免出现交叉情况；考虑设计访客车辆、共享单车、其他功能性车辆临时泊位。</w:t>
      </w:r>
    </w:p>
    <w:p w14:paraId="68A7DFB2">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园区出入口在满足交通需求前提下，应注重仪式感和尊贵感，入口标志性造型（如门廊、门架、门柱、门洞等）应与居住区整体环境及建筑风格相协调。同时，各出入口的风格要保持统一。</w:t>
      </w:r>
    </w:p>
    <w:p w14:paraId="7943BBE6">
      <w:pPr>
        <w:spacing w:before="156" w:beforeLines="50" w:after="156" w:afterLines="50"/>
        <w:outlineLvl w:val="1"/>
        <w:rPr>
          <w:rFonts w:ascii="黑体" w:hAnsi="黑体" w:eastAsia="黑体" w:cs="Times New Roman"/>
          <w:sz w:val="24"/>
          <w:lang w:val="zh-CN" w:eastAsia="zh-CN"/>
        </w:rPr>
      </w:pPr>
      <w:r>
        <w:rPr>
          <w:rFonts w:hint="eastAsia" w:ascii="黑体" w:hAnsi="黑体" w:eastAsia="黑体" w:cs="Times New Roman"/>
          <w:sz w:val="24"/>
          <w:lang w:val="zh-CN" w:eastAsia="zh-CN"/>
        </w:rPr>
        <w:t>4.2中心花园</w:t>
      </w:r>
      <w:r>
        <w:rPr>
          <w:rFonts w:hint="eastAsia" w:ascii="黑体" w:hAnsi="黑体" w:eastAsia="黑体" w:cs="Times New Roman"/>
          <w:sz w:val="24"/>
          <w:lang w:val="zh-CN"/>
        </w:rPr>
        <w:t>景观</w:t>
      </w:r>
    </w:p>
    <w:p w14:paraId="1C91E3A8">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首先满足中心花园的功能性要求，设置合理的活动空间。如大草坪、泳池</w:t>
      </w:r>
      <w:r>
        <w:rPr>
          <w:rFonts w:hint="eastAsia" w:ascii="宋体" w:hAnsi="宋体" w:eastAsia="宋体" w:cs="宋体"/>
          <w:sz w:val="24"/>
          <w:lang w:eastAsia="zh-CN"/>
        </w:rPr>
        <w:t>（</w:t>
      </w:r>
      <w:r>
        <w:rPr>
          <w:rFonts w:hint="eastAsia" w:ascii="宋体" w:hAnsi="宋体" w:eastAsia="宋体" w:cs="宋体"/>
          <w:sz w:val="24"/>
          <w:lang w:val="en-US" w:eastAsia="zh-CN"/>
        </w:rPr>
        <w:t>如有</w:t>
      </w:r>
      <w:r>
        <w:rPr>
          <w:rFonts w:hint="eastAsia" w:ascii="宋体" w:hAnsi="宋体" w:eastAsia="宋体" w:cs="宋体"/>
          <w:sz w:val="24"/>
          <w:lang w:eastAsia="zh-CN"/>
        </w:rPr>
        <w:t>）</w:t>
      </w:r>
      <w:r>
        <w:rPr>
          <w:rFonts w:hint="eastAsia" w:ascii="宋体" w:hAnsi="宋体" w:eastAsia="宋体" w:cs="宋体"/>
          <w:sz w:val="24"/>
        </w:rPr>
        <w:t xml:space="preserve">等，考虑住户停留与游憩的功能性要求；中心花园需要有小区中心感，可达性良好，并考虑良好的鸟瞰效果。中心花园为园区内部主要绿地区块，应与园区规划风格相统一。本项目中心花园建议选择 </w:t>
      </w:r>
      <w:r>
        <w:rPr>
          <w:rFonts w:hint="eastAsia" w:ascii="宋体" w:hAnsi="宋体" w:eastAsia="宋体" w:cs="宋体"/>
          <w:sz w:val="24"/>
          <w:lang w:val="en-US" w:eastAsia="zh-CN"/>
        </w:rPr>
        <w:t>水景及泳池中心</w:t>
      </w:r>
      <w:r>
        <w:rPr>
          <w:rFonts w:hint="eastAsia" w:ascii="宋体" w:hAnsi="宋体" w:eastAsia="宋体" w:cs="宋体"/>
          <w:sz w:val="24"/>
        </w:rPr>
        <w:t xml:space="preserve"> 布局，利用 </w:t>
      </w:r>
      <w:r>
        <w:rPr>
          <w:rFonts w:hint="eastAsia" w:ascii="宋体" w:hAnsi="宋体" w:eastAsia="宋体" w:cs="宋体"/>
          <w:sz w:val="24"/>
          <w:lang w:val="en-US" w:eastAsia="zh-CN"/>
        </w:rPr>
        <w:t>绿化空间结合开敞的阳光草坪</w:t>
      </w:r>
      <w:r>
        <w:rPr>
          <w:rFonts w:hint="eastAsia" w:ascii="宋体" w:hAnsi="宋体" w:eastAsia="宋体" w:cs="宋体"/>
          <w:sz w:val="24"/>
        </w:rPr>
        <w:t xml:space="preserve">  等手法营造空间层次。</w:t>
      </w:r>
    </w:p>
    <w:p w14:paraId="36EB9D8B">
      <w:pPr>
        <w:widowControl/>
        <w:spacing w:line="360" w:lineRule="auto"/>
        <w:ind w:right="76" w:firstLine="480" w:firstLineChars="200"/>
        <w:rPr>
          <w:rFonts w:ascii="宋体" w:hAnsi="宋体" w:eastAsia="宋体" w:cs="宋体"/>
          <w:sz w:val="24"/>
        </w:rPr>
      </w:pPr>
      <w:r>
        <w:rPr>
          <w:rFonts w:ascii="宋体" w:hAnsi="宋体" w:eastAsia="宋体" w:cs="宋体"/>
          <w:sz w:val="24"/>
        </w:rPr>
        <w:t>园区内</w:t>
      </w:r>
      <w:r>
        <w:rPr>
          <w:rFonts w:hint="eastAsia" w:ascii="宋体" w:hAnsi="宋体" w:eastAsia="宋体" w:cs="宋体"/>
          <w:sz w:val="24"/>
        </w:rPr>
        <w:t>设置</w:t>
      </w:r>
      <w:r>
        <w:rPr>
          <w:rFonts w:ascii="宋体" w:hAnsi="宋体" w:eastAsia="宋体" w:cs="宋体"/>
          <w:sz w:val="24"/>
        </w:rPr>
        <w:t>游泳池空间</w:t>
      </w:r>
      <w:r>
        <w:rPr>
          <w:rFonts w:hint="eastAsia" w:ascii="宋体" w:hAnsi="宋体" w:eastAsia="宋体" w:cs="宋体"/>
          <w:sz w:val="24"/>
          <w:lang w:eastAsia="zh-CN"/>
        </w:rPr>
        <w:t>（</w:t>
      </w:r>
      <w:r>
        <w:rPr>
          <w:rFonts w:hint="eastAsia" w:ascii="宋体" w:hAnsi="宋体" w:eastAsia="宋体" w:cs="宋体"/>
          <w:sz w:val="24"/>
          <w:lang w:val="en-US" w:eastAsia="zh-CN"/>
        </w:rPr>
        <w:t>如有</w:t>
      </w:r>
      <w:r>
        <w:rPr>
          <w:rFonts w:hint="eastAsia" w:ascii="宋体" w:hAnsi="宋体" w:eastAsia="宋体" w:cs="宋体"/>
          <w:sz w:val="24"/>
          <w:lang w:eastAsia="zh-CN"/>
        </w:rPr>
        <w:t>）</w:t>
      </w:r>
      <w:r>
        <w:rPr>
          <w:rFonts w:ascii="宋体" w:hAnsi="宋体" w:eastAsia="宋体" w:cs="宋体"/>
          <w:sz w:val="24"/>
        </w:rPr>
        <w:t>，应考虑设置在园区中轴核心空间。</w:t>
      </w:r>
      <w:r>
        <w:rPr>
          <w:rFonts w:hint="eastAsia" w:ascii="宋体" w:hAnsi="宋体" w:eastAsia="宋体" w:cs="宋体"/>
          <w:sz w:val="24"/>
        </w:rPr>
        <w:t>游泳池功能性设施需齐备，如强淋、洗脚池、户外软装等。室外成人游泳池形态需美观，且不能出现阳角；游泳池周围交通组织需顺畅；成人泳池深度不大于130cm，需保证20-25m的泳道；另可考虑儿童池、SPA池的设置，若有儿童泳池，深度不应大于6</w:t>
      </w:r>
      <w:r>
        <w:rPr>
          <w:rFonts w:ascii="宋体" w:hAnsi="宋体" w:eastAsia="宋体" w:cs="宋体"/>
          <w:sz w:val="24"/>
        </w:rPr>
        <w:t>0cm</w:t>
      </w:r>
      <w:r>
        <w:rPr>
          <w:rFonts w:hint="eastAsia" w:ascii="宋体" w:hAnsi="宋体" w:eastAsia="宋体" w:cs="宋体"/>
          <w:sz w:val="24"/>
        </w:rPr>
        <w:t>。泳池区的管理方式需要在方案设计中体现，要求既满足经营性管理要求与一定的私密性，又具有可观性。</w:t>
      </w:r>
    </w:p>
    <w:p w14:paraId="663C9E0E">
      <w:pPr>
        <w:spacing w:before="156" w:beforeLines="50" w:after="156" w:afterLines="50"/>
        <w:outlineLvl w:val="1"/>
        <w:rPr>
          <w:rFonts w:ascii="黑体" w:hAnsi="黑体" w:eastAsia="黑体" w:cs="Times New Roman"/>
          <w:kern w:val="0"/>
          <w:sz w:val="24"/>
          <w:lang w:val="zh-CN" w:eastAsia="zh-CN"/>
        </w:rPr>
      </w:pPr>
      <w:r>
        <w:rPr>
          <w:rFonts w:hint="eastAsia" w:ascii="黑体" w:hAnsi="黑体" w:eastAsia="黑体" w:cs="Times New Roman"/>
          <w:kern w:val="0"/>
          <w:sz w:val="24"/>
          <w:lang w:val="zh-CN" w:eastAsia="zh-CN"/>
        </w:rPr>
        <w:t>4.3组团花园</w:t>
      </w:r>
      <w:r>
        <w:rPr>
          <w:rFonts w:hint="eastAsia" w:ascii="黑体" w:hAnsi="黑体" w:eastAsia="黑体" w:cs="Times New Roman"/>
          <w:sz w:val="24"/>
          <w:lang w:val="zh-CN"/>
        </w:rPr>
        <w:t>景观</w:t>
      </w:r>
    </w:p>
    <w:p w14:paraId="4D20BFEF">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满足组团花园的功能性要求。设置合理的活动空间，如儿童活动空间、老人活动空间；组团花园的功能性空间结合消防通道、登高场地考虑，尽量将硬质场地与消防场地结合。宅间道路两侧、建筑登高场地的设计须满足消防、活动需求。组团花园</w:t>
      </w:r>
      <w:r>
        <w:rPr>
          <w:rFonts w:ascii="宋体" w:hAnsi="宋体" w:eastAsia="宋体" w:cs="宋体"/>
          <w:sz w:val="24"/>
        </w:rPr>
        <w:t>植物景观注重</w:t>
      </w:r>
      <w:r>
        <w:rPr>
          <w:rFonts w:hint="eastAsia" w:ascii="宋体" w:hAnsi="宋体" w:eastAsia="宋体" w:cs="宋体"/>
          <w:sz w:val="24"/>
        </w:rPr>
        <w:t>与</w:t>
      </w:r>
      <w:r>
        <w:rPr>
          <w:rFonts w:ascii="宋体" w:hAnsi="宋体" w:eastAsia="宋体" w:cs="宋体"/>
          <w:sz w:val="24"/>
        </w:rPr>
        <w:t>周边建筑景观视线遮挡与采光通透的关系处理</w:t>
      </w:r>
      <w:r>
        <w:rPr>
          <w:rFonts w:hint="eastAsia" w:ascii="宋体" w:hAnsi="宋体" w:eastAsia="宋体" w:cs="宋体"/>
          <w:sz w:val="24"/>
        </w:rPr>
        <w:t>。组团</w:t>
      </w:r>
      <w:r>
        <w:rPr>
          <w:rFonts w:ascii="宋体" w:hAnsi="宋体" w:eastAsia="宋体" w:cs="宋体"/>
          <w:sz w:val="24"/>
        </w:rPr>
        <w:t>花园活动</w:t>
      </w:r>
      <w:r>
        <w:rPr>
          <w:rFonts w:hint="eastAsia" w:ascii="宋体" w:hAnsi="宋体" w:eastAsia="宋体" w:cs="宋体"/>
          <w:sz w:val="24"/>
        </w:rPr>
        <w:t>空间</w:t>
      </w:r>
      <w:r>
        <w:rPr>
          <w:rFonts w:ascii="宋体" w:hAnsi="宋体" w:eastAsia="宋体" w:cs="宋体"/>
          <w:sz w:val="24"/>
        </w:rPr>
        <w:t>设计</w:t>
      </w:r>
      <w:r>
        <w:rPr>
          <w:rFonts w:hint="eastAsia" w:ascii="宋体" w:hAnsi="宋体" w:eastAsia="宋体" w:cs="宋体"/>
          <w:sz w:val="24"/>
        </w:rPr>
        <w:t>在</w:t>
      </w:r>
      <w:r>
        <w:rPr>
          <w:rFonts w:ascii="宋体" w:hAnsi="宋体" w:eastAsia="宋体" w:cs="宋体"/>
          <w:sz w:val="24"/>
        </w:rPr>
        <w:t>注重自身功能性的同</w:t>
      </w:r>
      <w:r>
        <w:rPr>
          <w:rFonts w:hint="eastAsia" w:ascii="宋体" w:hAnsi="宋体" w:eastAsia="宋体" w:cs="宋体"/>
          <w:sz w:val="24"/>
        </w:rPr>
        <w:t>时</w:t>
      </w:r>
      <w:r>
        <w:rPr>
          <w:rFonts w:ascii="宋体" w:hAnsi="宋体" w:eastAsia="宋体" w:cs="宋体"/>
          <w:sz w:val="24"/>
        </w:rPr>
        <w:t>必须考虑对周边</w:t>
      </w:r>
      <w:r>
        <w:rPr>
          <w:rFonts w:hint="eastAsia" w:ascii="宋体" w:hAnsi="宋体" w:eastAsia="宋体" w:cs="宋体"/>
          <w:sz w:val="24"/>
        </w:rPr>
        <w:t>住宅</w:t>
      </w:r>
      <w:r>
        <w:rPr>
          <w:rFonts w:ascii="宋体" w:hAnsi="宋体" w:eastAsia="宋体" w:cs="宋体"/>
          <w:sz w:val="24"/>
        </w:rPr>
        <w:t>空间的影响与干扰因素。</w:t>
      </w:r>
    </w:p>
    <w:p w14:paraId="31AB26C0">
      <w:pPr>
        <w:widowControl/>
        <w:spacing w:line="360" w:lineRule="auto"/>
        <w:ind w:right="76" w:firstLine="480" w:firstLineChars="200"/>
        <w:jc w:val="left"/>
      </w:pPr>
      <w:r>
        <w:rPr>
          <w:rFonts w:hint="eastAsia" w:ascii="宋体" w:hAnsi="宋体" w:eastAsia="宋体" w:cs="宋体"/>
          <w:sz w:val="24"/>
        </w:rPr>
        <w:t>组团花园营造</w:t>
      </w:r>
      <w:r>
        <w:rPr>
          <w:rFonts w:hint="eastAsia" w:ascii="宋体" w:hAnsi="宋体" w:eastAsia="宋体" w:cs="宋体"/>
          <w:sz w:val="24"/>
          <w:u w:val="single"/>
        </w:rPr>
        <w:t xml:space="preserve">  自然式 （风格</w:t>
      </w:r>
      <w:r>
        <w:rPr>
          <w:rFonts w:hint="eastAsia" w:ascii="宋体" w:hAnsi="宋体" w:eastAsia="宋体" w:cs="宋体"/>
          <w:color w:val="auto"/>
          <w:sz w:val="24"/>
          <w:u w:val="single"/>
        </w:rPr>
        <w:t>）为主</w:t>
      </w:r>
      <w:r>
        <w:rPr>
          <w:rFonts w:ascii="宋体" w:hAnsi="宋体" w:eastAsia="宋体" w:cs="宋体"/>
          <w:sz w:val="24"/>
        </w:rPr>
        <w:t>的景观空间</w:t>
      </w:r>
      <w:r>
        <w:rPr>
          <w:rFonts w:hint="eastAsia" w:ascii="宋体" w:hAnsi="宋体" w:eastAsia="宋体" w:cs="宋体"/>
          <w:sz w:val="24"/>
        </w:rPr>
        <w:t>，</w:t>
      </w:r>
      <w:r>
        <w:rPr>
          <w:rFonts w:hint="eastAsia" w:ascii="宋体" w:hAnsi="宋体" w:eastAsia="宋体" w:cs="宋体"/>
          <w:sz w:val="24"/>
          <w:u w:val="single"/>
        </w:rPr>
        <w:t>可结合功能要求分散布置。组团花园主要由活动场地、景观小品、绿植组成。景观小品的布置需要考虑组团位置、造价等因素，在植物设计方面需要注重与周边建筑景观视线遮挡与采光通透的关系处理，做到开合有致、有进有退，避免视线通廊上一览无余。</w:t>
      </w:r>
    </w:p>
    <w:p w14:paraId="1B48FB65">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组团花园</w:t>
      </w:r>
      <w:r>
        <w:rPr>
          <w:rFonts w:hint="eastAsia" w:ascii="宋体" w:hAnsi="宋体" w:eastAsia="宋体" w:cs="宋体"/>
          <w:sz w:val="24"/>
          <w:lang w:val="en-US" w:eastAsia="zh-CN"/>
        </w:rPr>
        <w:t>结合功能进行布置</w:t>
      </w:r>
      <w:r>
        <w:rPr>
          <w:rFonts w:ascii="宋体" w:hAnsi="宋体" w:eastAsia="宋体" w:cs="宋体"/>
          <w:sz w:val="24"/>
        </w:rPr>
        <w:t>景观空间</w:t>
      </w:r>
      <w:r>
        <w:rPr>
          <w:rFonts w:hint="eastAsia" w:ascii="宋体" w:hAnsi="宋体" w:eastAsia="宋体" w:cs="宋体"/>
          <w:sz w:val="24"/>
        </w:rPr>
        <w:t>，</w:t>
      </w:r>
      <w:r>
        <w:rPr>
          <w:rFonts w:ascii="宋体" w:hAnsi="宋体" w:eastAsia="宋体" w:cs="宋体"/>
          <w:sz w:val="24"/>
        </w:rPr>
        <w:t>需要布置</w:t>
      </w:r>
      <w:r>
        <w:rPr>
          <w:rFonts w:hint="eastAsia" w:ascii="宋体" w:hAnsi="宋体" w:eastAsia="宋体" w:cs="宋体"/>
          <w:sz w:val="24"/>
        </w:rPr>
        <w:t xml:space="preserve"> </w:t>
      </w:r>
      <w:r>
        <w:rPr>
          <w:rFonts w:hint="eastAsia" w:ascii="宋体" w:hAnsi="宋体" w:eastAsia="宋体" w:cs="宋体"/>
          <w:sz w:val="24"/>
          <w:u w:val="single"/>
          <w:lang w:val="en-US" w:eastAsia="zh-CN"/>
        </w:rPr>
        <w:t>约300平米</w:t>
      </w:r>
      <w:r>
        <w:rPr>
          <w:rFonts w:hint="eastAsia" w:ascii="宋体" w:hAnsi="宋体" w:eastAsia="宋体" w:cs="宋体"/>
          <w:sz w:val="24"/>
          <w:u w:val="single"/>
        </w:rPr>
        <w:t>（面积）</w:t>
      </w:r>
      <w:r>
        <w:rPr>
          <w:rFonts w:hint="eastAsia" w:ascii="宋体" w:hAnsi="宋体" w:eastAsia="宋体" w:cs="宋体"/>
          <w:sz w:val="24"/>
        </w:rPr>
        <w:t>的</w:t>
      </w:r>
      <w:r>
        <w:rPr>
          <w:rFonts w:hint="eastAsia" w:ascii="宋体" w:hAnsi="宋体" w:eastAsia="宋体" w:cs="宋体"/>
          <w:sz w:val="24"/>
          <w:lang w:val="en-US" w:eastAsia="zh-CN"/>
        </w:rPr>
        <w:t>户外</w:t>
      </w:r>
      <w:r>
        <w:rPr>
          <w:rFonts w:ascii="宋体" w:hAnsi="宋体" w:eastAsia="宋体" w:cs="宋体"/>
          <w:sz w:val="24"/>
        </w:rPr>
        <w:t>儿童活动空间</w:t>
      </w:r>
      <w:r>
        <w:rPr>
          <w:rFonts w:hint="eastAsia" w:ascii="宋体" w:hAnsi="宋体" w:eastAsia="宋体" w:cs="宋体"/>
          <w:sz w:val="24"/>
        </w:rPr>
        <w:t>，</w:t>
      </w:r>
      <w:r>
        <w:rPr>
          <w:rFonts w:hint="eastAsia" w:ascii="宋体" w:hAnsi="宋体" w:eastAsia="宋体" w:cs="宋体"/>
          <w:sz w:val="24"/>
          <w:lang w:val="en-US" w:eastAsia="zh-CN"/>
        </w:rPr>
        <w:t>布置约</w:t>
      </w:r>
      <w:r>
        <w:rPr>
          <w:rFonts w:hint="eastAsia" w:ascii="宋体" w:hAnsi="宋体" w:eastAsia="宋体" w:cs="宋体"/>
          <w:sz w:val="24"/>
          <w:u w:val="single"/>
          <w:lang w:val="en-US" w:eastAsia="zh-CN"/>
        </w:rPr>
        <w:t>300平米</w:t>
      </w:r>
      <w:r>
        <w:rPr>
          <w:rFonts w:hint="eastAsia" w:ascii="宋体" w:hAnsi="宋体" w:eastAsia="宋体" w:cs="宋体"/>
          <w:sz w:val="24"/>
          <w:lang w:val="en-US" w:eastAsia="zh-CN"/>
        </w:rPr>
        <w:t>的架空层儿童活动空间，</w:t>
      </w:r>
      <w:r>
        <w:rPr>
          <w:rFonts w:ascii="宋体" w:hAnsi="宋体" w:eastAsia="宋体" w:cs="宋体"/>
          <w:sz w:val="24"/>
        </w:rPr>
        <w:t>布置</w:t>
      </w:r>
      <w:r>
        <w:rPr>
          <w:rFonts w:hint="eastAsia" w:ascii="宋体" w:hAnsi="宋体" w:eastAsia="宋体" w:cs="宋体"/>
          <w:sz w:val="24"/>
        </w:rPr>
        <w:t xml:space="preserve">  </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约450平米</w:t>
      </w:r>
      <w:r>
        <w:rPr>
          <w:rFonts w:hint="eastAsia" w:ascii="宋体" w:hAnsi="宋体" w:eastAsia="宋体" w:cs="宋体"/>
          <w:sz w:val="24"/>
        </w:rPr>
        <w:t>（面积）的老人</w:t>
      </w:r>
      <w:r>
        <w:rPr>
          <w:rFonts w:ascii="宋体" w:hAnsi="宋体" w:eastAsia="宋体" w:cs="宋体"/>
          <w:sz w:val="24"/>
        </w:rPr>
        <w:t>活动空间</w:t>
      </w:r>
      <w:r>
        <w:rPr>
          <w:rFonts w:hint="eastAsia" w:ascii="宋体" w:hAnsi="宋体" w:eastAsia="宋体" w:cs="宋体"/>
          <w:sz w:val="24"/>
        </w:rPr>
        <w:t>，</w:t>
      </w:r>
      <w:r>
        <w:rPr>
          <w:rFonts w:ascii="宋体" w:hAnsi="宋体" w:eastAsia="宋体" w:cs="宋体"/>
          <w:sz w:val="24"/>
        </w:rPr>
        <w:t>布置</w:t>
      </w:r>
      <w:r>
        <w:rPr>
          <w:rFonts w:hint="eastAsia" w:ascii="宋体" w:hAnsi="宋体" w:eastAsia="宋体" w:cs="宋体"/>
          <w:sz w:val="24"/>
          <w:lang w:val="en-US" w:eastAsia="zh-CN"/>
        </w:rPr>
        <w:t>约</w:t>
      </w:r>
      <w:r>
        <w:rPr>
          <w:rFonts w:hint="eastAsia" w:ascii="宋体" w:hAnsi="宋体" w:eastAsia="宋体" w:cs="宋体"/>
          <w:sz w:val="24"/>
          <w:u w:val="single"/>
          <w:lang w:val="en-US" w:eastAsia="zh-CN"/>
        </w:rPr>
        <w:t>800平米</w:t>
      </w:r>
      <w:r>
        <w:rPr>
          <w:rFonts w:hint="eastAsia" w:ascii="宋体" w:hAnsi="宋体" w:eastAsia="宋体" w:cs="宋体"/>
          <w:sz w:val="24"/>
          <w:u w:val="single"/>
        </w:rPr>
        <w:t xml:space="preserve"> </w:t>
      </w:r>
      <w:r>
        <w:rPr>
          <w:rFonts w:hint="eastAsia" w:ascii="宋体" w:hAnsi="宋体" w:eastAsia="宋体" w:cs="宋体"/>
          <w:sz w:val="24"/>
        </w:rPr>
        <w:t>（面积）的健身</w:t>
      </w:r>
      <w:r>
        <w:rPr>
          <w:rFonts w:ascii="宋体" w:hAnsi="宋体" w:eastAsia="宋体" w:cs="宋体"/>
          <w:sz w:val="24"/>
        </w:rPr>
        <w:t>活动活动空间</w:t>
      </w:r>
    </w:p>
    <w:p w14:paraId="76B9315B">
      <w:pPr>
        <w:widowControl/>
        <w:spacing w:line="360" w:lineRule="auto"/>
        <w:ind w:right="76" w:firstLine="480" w:firstLineChars="200"/>
        <w:jc w:val="left"/>
        <w:rPr>
          <w:rFonts w:ascii="宋体" w:hAnsi="宋体" w:eastAsia="宋体" w:cs="宋体"/>
          <w:sz w:val="24"/>
        </w:rPr>
      </w:pPr>
    </w:p>
    <w:p w14:paraId="0086E5DA">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4.</w:t>
      </w:r>
      <w:r>
        <w:rPr>
          <w:rFonts w:hint="eastAsia" w:ascii="黑体" w:hAnsi="黑体" w:eastAsia="黑体" w:cs="Times New Roman"/>
          <w:bCs/>
          <w:kern w:val="44"/>
          <w:sz w:val="24"/>
          <w:szCs w:val="44"/>
          <w:lang w:val="zh-CN"/>
        </w:rPr>
        <w:t xml:space="preserve">4 </w:t>
      </w:r>
      <w:r>
        <w:rPr>
          <w:rFonts w:hint="eastAsia" w:ascii="黑体" w:hAnsi="黑体" w:eastAsia="黑体" w:cs="Times New Roman"/>
          <w:bCs/>
          <w:kern w:val="44"/>
          <w:sz w:val="24"/>
          <w:szCs w:val="44"/>
          <w:lang w:val="zh-CN" w:eastAsia="zh-CN"/>
        </w:rPr>
        <w:t>儿童活动场地</w:t>
      </w:r>
    </w:p>
    <w:p w14:paraId="60A9A4F3">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考虑全龄段儿童活动场地设计要求；一定面积范围内按照项目对儿童活动场地的户均要求进行配置；考虑设计适合儿童使用的活动</w:t>
      </w:r>
      <w:r>
        <w:rPr>
          <w:rFonts w:ascii="宋体" w:hAnsi="宋体" w:eastAsia="宋体" w:cs="宋体"/>
          <w:sz w:val="24"/>
        </w:rPr>
        <w:t>设施和</w:t>
      </w:r>
      <w:r>
        <w:rPr>
          <w:rFonts w:hint="eastAsia" w:ascii="宋体" w:hAnsi="宋体" w:eastAsia="宋体" w:cs="宋体"/>
          <w:sz w:val="24"/>
        </w:rPr>
        <w:t>配套设施。儿童活动</w:t>
      </w:r>
      <w:r>
        <w:rPr>
          <w:rFonts w:ascii="宋体" w:hAnsi="宋体" w:eastAsia="宋体" w:cs="宋体"/>
          <w:sz w:val="24"/>
        </w:rPr>
        <w:t>场地</w:t>
      </w:r>
      <w:r>
        <w:rPr>
          <w:rFonts w:hint="eastAsia" w:ascii="宋体" w:hAnsi="宋体" w:eastAsia="宋体" w:cs="宋体"/>
          <w:sz w:val="24"/>
        </w:rPr>
        <w:t>结合</w:t>
      </w:r>
      <w:r>
        <w:rPr>
          <w:rFonts w:ascii="宋体" w:hAnsi="宋体" w:eastAsia="宋体" w:cs="宋体"/>
          <w:sz w:val="24"/>
        </w:rPr>
        <w:t>设施器械根据不同年龄段儿童的活动需求分区块进行考虑，选择的儿童活动器械需要考虑</w:t>
      </w:r>
      <w:r>
        <w:rPr>
          <w:rFonts w:hint="eastAsia" w:ascii="宋体" w:hAnsi="宋体" w:eastAsia="宋体" w:cs="宋体"/>
          <w:sz w:val="24"/>
        </w:rPr>
        <w:t>相应</w:t>
      </w:r>
      <w:r>
        <w:rPr>
          <w:rFonts w:ascii="宋体" w:hAnsi="宋体" w:eastAsia="宋体" w:cs="宋体"/>
          <w:sz w:val="24"/>
        </w:rPr>
        <w:t>的</w:t>
      </w:r>
      <w:r>
        <w:rPr>
          <w:rFonts w:hint="eastAsia" w:ascii="宋体" w:hAnsi="宋体" w:eastAsia="宋体" w:cs="宋体"/>
          <w:sz w:val="24"/>
        </w:rPr>
        <w:t>防碰撞</w:t>
      </w:r>
      <w:r>
        <w:rPr>
          <w:rFonts w:ascii="宋体" w:hAnsi="宋体" w:eastAsia="宋体" w:cs="宋体"/>
          <w:sz w:val="24"/>
        </w:rPr>
        <w:t>防跌落等安全性上的考虑，儿童活动场地需要考虑适合的照明设施、驱蚊灯、使用安全标识以及适合儿童使用尺寸的洗手池</w:t>
      </w:r>
      <w:r>
        <w:rPr>
          <w:rFonts w:hint="eastAsia" w:ascii="宋体" w:hAnsi="宋体" w:eastAsia="宋体" w:cs="宋体"/>
          <w:sz w:val="24"/>
        </w:rPr>
        <w:t>、</w:t>
      </w:r>
      <w:r>
        <w:rPr>
          <w:rFonts w:ascii="宋体" w:hAnsi="宋体" w:eastAsia="宋体" w:cs="宋体"/>
          <w:sz w:val="24"/>
        </w:rPr>
        <w:t>垃圾桶等配套设施。</w:t>
      </w:r>
    </w:p>
    <w:p w14:paraId="4D6404A4">
      <w:pPr>
        <w:widowControl/>
        <w:spacing w:line="360" w:lineRule="auto"/>
        <w:ind w:right="76" w:firstLine="480" w:firstLineChars="200"/>
        <w:jc w:val="left"/>
        <w:rPr>
          <w:rFonts w:hint="eastAsia" w:ascii="宋体" w:hAnsi="宋体" w:eastAsia="宋体" w:cs="宋体"/>
          <w:sz w:val="24"/>
        </w:rPr>
      </w:pPr>
      <w:r>
        <w:rPr>
          <w:rFonts w:hint="eastAsia" w:ascii="宋体" w:hAnsi="宋体" w:eastAsia="宋体" w:cs="宋体"/>
          <w:sz w:val="24"/>
        </w:rPr>
        <w:t>儿童活动场地应均匀分布在项目内，部分场地可结合架空层布置。设置时需考虑儿童活动的嘈杂声对周边住户的影响。儿童活动场地铺装包括塑胶场地、沙池、儿童活动草坪。场地需保证冬天阳光充足，夏季阴凉。就近设置座凳、凉亭，方便大人照看时停留。儿童活动场地可结合消防登高场地设置。</w:t>
      </w:r>
    </w:p>
    <w:p w14:paraId="1ADCEF19">
      <w:pPr>
        <w:widowControl/>
        <w:spacing w:line="360" w:lineRule="auto"/>
        <w:ind w:right="76" w:firstLine="420" w:firstLineChars="200"/>
        <w:jc w:val="left"/>
        <w:rPr>
          <w:rFonts w:hint="eastAsia" w:ascii="宋体" w:hAnsi="宋体" w:eastAsia="宋体" w:cs="宋体"/>
          <w:sz w:val="24"/>
        </w:rPr>
      </w:pPr>
      <w:r>
        <w:rPr>
          <w:rFonts w:hint="eastAsia"/>
          <w:lang w:val="en-US" w:eastAsia="zh-CN"/>
        </w:rPr>
        <w:t xml:space="preserve">       </w:t>
      </w:r>
    </w:p>
    <w:p w14:paraId="4F53A98E">
      <w:pPr>
        <w:widowControl/>
        <w:spacing w:line="360" w:lineRule="auto"/>
        <w:ind w:right="76" w:firstLine="480" w:firstLineChars="200"/>
        <w:jc w:val="left"/>
        <w:rPr>
          <w:rFonts w:ascii="宋体" w:hAnsi="宋体" w:eastAsia="黑体" w:cs="宋体"/>
          <w:b/>
          <w:bCs/>
          <w:kern w:val="44"/>
          <w:sz w:val="24"/>
          <w:szCs w:val="44"/>
          <w:lang w:val="zh-CN" w:eastAsia="zh-CN"/>
        </w:rPr>
      </w:pPr>
      <w:r>
        <w:rPr>
          <w:rFonts w:ascii="黑体" w:hAnsi="黑体" w:eastAsia="黑体" w:cs="Times New Roman"/>
          <w:bCs/>
          <w:kern w:val="44"/>
          <w:sz w:val="24"/>
          <w:szCs w:val="44"/>
          <w:lang w:val="zh-CN"/>
        </w:rPr>
        <w:t>4.5</w:t>
      </w:r>
      <w:r>
        <w:rPr>
          <w:rFonts w:hint="eastAsia" w:ascii="黑体" w:hAnsi="黑体" w:eastAsia="黑体" w:cs="Times New Roman"/>
          <w:bCs/>
          <w:kern w:val="44"/>
          <w:sz w:val="24"/>
          <w:szCs w:val="44"/>
          <w:lang w:val="zh-CN"/>
        </w:rPr>
        <w:t>老人</w:t>
      </w:r>
      <w:r>
        <w:rPr>
          <w:rFonts w:hint="eastAsia" w:ascii="黑体" w:hAnsi="黑体" w:eastAsia="黑体" w:cs="Times New Roman"/>
          <w:bCs/>
          <w:kern w:val="44"/>
          <w:sz w:val="24"/>
          <w:szCs w:val="44"/>
          <w:lang w:val="zh-CN" w:eastAsia="zh-CN"/>
        </w:rPr>
        <w:t>活动场地</w:t>
      </w:r>
    </w:p>
    <w:p w14:paraId="60D77C7D">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考虑园区适宜老人活动的各种场地空间。老人</w:t>
      </w:r>
      <w:r>
        <w:rPr>
          <w:rFonts w:ascii="宋体" w:hAnsi="宋体" w:eastAsia="宋体" w:cs="宋体"/>
          <w:sz w:val="24"/>
        </w:rPr>
        <w:t>活动场地要求根据组团空间的特点，设计适合老人</w:t>
      </w:r>
      <w:r>
        <w:rPr>
          <w:rFonts w:hint="eastAsia" w:ascii="宋体" w:hAnsi="宋体" w:eastAsia="宋体" w:cs="宋体"/>
          <w:sz w:val="24"/>
        </w:rPr>
        <w:t>散步</w:t>
      </w:r>
      <w:r>
        <w:rPr>
          <w:rFonts w:ascii="宋体" w:hAnsi="宋体" w:eastAsia="宋体" w:cs="宋体"/>
          <w:sz w:val="24"/>
        </w:rPr>
        <w:t>、健身</w:t>
      </w:r>
      <w:r>
        <w:rPr>
          <w:rFonts w:hint="eastAsia" w:ascii="宋体" w:hAnsi="宋体" w:eastAsia="宋体" w:cs="宋体"/>
          <w:sz w:val="24"/>
        </w:rPr>
        <w:t>运动</w:t>
      </w:r>
      <w:r>
        <w:rPr>
          <w:rFonts w:ascii="宋体" w:hAnsi="宋体" w:eastAsia="宋体" w:cs="宋体"/>
          <w:sz w:val="24"/>
        </w:rPr>
        <w:t>、</w:t>
      </w:r>
      <w:r>
        <w:rPr>
          <w:rFonts w:hint="eastAsia" w:ascii="宋体" w:hAnsi="宋体" w:eastAsia="宋体" w:cs="宋体"/>
          <w:sz w:val="24"/>
        </w:rPr>
        <w:t>休憩</w:t>
      </w:r>
      <w:r>
        <w:rPr>
          <w:rFonts w:ascii="宋体" w:hAnsi="宋体" w:eastAsia="宋体" w:cs="宋体"/>
          <w:sz w:val="24"/>
        </w:rPr>
        <w:t>、品茗、看书等活动的场地</w:t>
      </w:r>
      <w:r>
        <w:rPr>
          <w:rFonts w:hint="eastAsia" w:ascii="宋体" w:hAnsi="宋体" w:eastAsia="宋体" w:cs="宋体"/>
          <w:sz w:val="24"/>
        </w:rPr>
        <w:t>，</w:t>
      </w:r>
      <w:r>
        <w:rPr>
          <w:rFonts w:ascii="宋体" w:hAnsi="宋体" w:eastAsia="宋体" w:cs="宋体"/>
          <w:sz w:val="24"/>
        </w:rPr>
        <w:t>设计适合</w:t>
      </w:r>
      <w:r>
        <w:rPr>
          <w:rFonts w:hint="eastAsia" w:ascii="宋体" w:hAnsi="宋体" w:eastAsia="宋体" w:cs="宋体"/>
          <w:sz w:val="24"/>
        </w:rPr>
        <w:t>3</w:t>
      </w:r>
      <w:r>
        <w:rPr>
          <w:rFonts w:ascii="宋体" w:hAnsi="宋体" w:eastAsia="宋体" w:cs="宋体"/>
          <w:sz w:val="24"/>
        </w:rPr>
        <w:t>-5</w:t>
      </w:r>
      <w:r>
        <w:rPr>
          <w:rFonts w:hint="eastAsia" w:ascii="宋体" w:hAnsi="宋体" w:eastAsia="宋体" w:cs="宋体"/>
          <w:sz w:val="24"/>
        </w:rPr>
        <w:t>人</w:t>
      </w:r>
      <w:r>
        <w:rPr>
          <w:rFonts w:ascii="宋体" w:hAnsi="宋体" w:eastAsia="宋体" w:cs="宋体"/>
          <w:sz w:val="24"/>
        </w:rPr>
        <w:t>、</w:t>
      </w:r>
      <w:r>
        <w:rPr>
          <w:rFonts w:hint="eastAsia" w:ascii="宋体" w:hAnsi="宋体" w:eastAsia="宋体" w:cs="宋体"/>
          <w:sz w:val="24"/>
        </w:rPr>
        <w:t>5</w:t>
      </w:r>
      <w:r>
        <w:rPr>
          <w:rFonts w:ascii="宋体" w:hAnsi="宋体" w:eastAsia="宋体" w:cs="宋体"/>
          <w:sz w:val="24"/>
        </w:rPr>
        <w:t>-10</w:t>
      </w:r>
      <w:r>
        <w:rPr>
          <w:rFonts w:hint="eastAsia" w:ascii="宋体" w:hAnsi="宋体" w:eastAsia="宋体" w:cs="宋体"/>
          <w:sz w:val="24"/>
        </w:rPr>
        <w:t>人</w:t>
      </w:r>
      <w:r>
        <w:rPr>
          <w:rFonts w:ascii="宋体" w:hAnsi="宋体" w:eastAsia="宋体" w:cs="宋体"/>
          <w:sz w:val="24"/>
        </w:rPr>
        <w:t>等不同尺寸空间的老人活动场地，以适应各类不同的活动内容。如果</w:t>
      </w:r>
      <w:r>
        <w:rPr>
          <w:rFonts w:hint="eastAsia" w:ascii="宋体" w:hAnsi="宋体" w:eastAsia="宋体" w:cs="宋体"/>
          <w:sz w:val="24"/>
        </w:rPr>
        <w:t>场地</w:t>
      </w:r>
      <w:r>
        <w:rPr>
          <w:rFonts w:ascii="宋体" w:hAnsi="宋体" w:eastAsia="宋体" w:cs="宋体"/>
          <w:sz w:val="24"/>
        </w:rPr>
        <w:t>空间允许也可复合设计各类综合的活动空间。老人</w:t>
      </w:r>
      <w:r>
        <w:rPr>
          <w:rFonts w:hint="eastAsia" w:ascii="宋体" w:hAnsi="宋体" w:eastAsia="宋体" w:cs="宋体"/>
          <w:sz w:val="24"/>
        </w:rPr>
        <w:t>活动</w:t>
      </w:r>
      <w:r>
        <w:rPr>
          <w:rFonts w:ascii="宋体" w:hAnsi="宋体" w:eastAsia="宋体" w:cs="宋体"/>
          <w:sz w:val="24"/>
        </w:rPr>
        <w:t>场地必须考虑无障碍通道、轮椅通道座椅、扶手座椅、遮阴空间等适合老人使用的配套设施，合理考虑相关适老化设施。</w:t>
      </w:r>
    </w:p>
    <w:p w14:paraId="7A2A63BF">
      <w:pPr>
        <w:widowControl/>
        <w:spacing w:line="360" w:lineRule="auto"/>
        <w:ind w:right="76"/>
        <w:jc w:val="both"/>
        <w:rPr>
          <w:rFonts w:ascii="宋体" w:hAnsi="宋体" w:eastAsia="宋体" w:cs="宋体"/>
          <w:sz w:val="24"/>
        </w:rPr>
      </w:pPr>
    </w:p>
    <w:p w14:paraId="06003019">
      <w:pPr>
        <w:keepNext/>
        <w:keepLines/>
        <w:spacing w:before="156" w:beforeLines="50" w:after="156" w:afterLines="50"/>
        <w:outlineLvl w:val="0"/>
        <w:rPr>
          <w:rFonts w:ascii="宋体" w:hAnsi="宋体" w:eastAsia="黑体" w:cs="宋体"/>
          <w:b/>
          <w:bCs/>
          <w:kern w:val="44"/>
          <w:sz w:val="24"/>
          <w:szCs w:val="44"/>
          <w:lang w:val="zh-CN" w:eastAsia="zh-CN"/>
        </w:rPr>
      </w:pPr>
      <w:r>
        <w:rPr>
          <w:rFonts w:hint="eastAsia" w:ascii="黑体" w:hAnsi="黑体" w:eastAsia="黑体" w:cs="Times New Roman"/>
          <w:bCs/>
          <w:kern w:val="44"/>
          <w:sz w:val="24"/>
          <w:szCs w:val="44"/>
          <w:lang w:val="zh-CN" w:eastAsia="zh-CN"/>
        </w:rPr>
        <w:t>4.6 架空层景观</w:t>
      </w:r>
    </w:p>
    <w:p w14:paraId="1A07C118">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明确架空层类型，为通过型、观赏型或功能型，根据不同类型架空层的功能需求来进行景观设计；要求有架空层空间的项目引入架空层主题化设计。结合项目</w:t>
      </w:r>
      <w:r>
        <w:rPr>
          <w:rFonts w:ascii="宋体" w:hAnsi="宋体" w:eastAsia="宋体" w:cs="宋体"/>
          <w:sz w:val="24"/>
        </w:rPr>
        <w:t>本身产品定位以及成本投入选择主题化架空层营造空间</w:t>
      </w:r>
    </w:p>
    <w:p w14:paraId="54175B35">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架空层是建筑与自然景观的过渡空间，设计时应注意外部空间及绿化的引入；架空层铺装可结合活动内容选择不同材质，如汀步卵石、塑胶地垫、石材铺装等；架空层</w:t>
      </w:r>
      <w:r>
        <w:rPr>
          <w:rFonts w:ascii="宋体" w:hAnsi="宋体" w:eastAsia="宋体" w:cs="宋体"/>
          <w:sz w:val="24"/>
        </w:rPr>
        <w:t>空间</w:t>
      </w:r>
      <w:r>
        <w:rPr>
          <w:rFonts w:hint="eastAsia" w:ascii="宋体" w:hAnsi="宋体" w:eastAsia="宋体" w:cs="宋体"/>
          <w:sz w:val="24"/>
        </w:rPr>
        <w:t>景观</w:t>
      </w:r>
      <w:r>
        <w:rPr>
          <w:rFonts w:ascii="宋体" w:hAnsi="宋体" w:eastAsia="宋体" w:cs="宋体"/>
          <w:sz w:val="24"/>
        </w:rPr>
        <w:t>材料材质</w:t>
      </w:r>
      <w:r>
        <w:rPr>
          <w:rFonts w:hint="eastAsia" w:ascii="宋体" w:hAnsi="宋体" w:eastAsia="宋体" w:cs="宋体"/>
          <w:sz w:val="24"/>
        </w:rPr>
        <w:t>选择</w:t>
      </w:r>
      <w:r>
        <w:rPr>
          <w:rFonts w:ascii="宋体" w:hAnsi="宋体" w:eastAsia="宋体" w:cs="宋体"/>
          <w:sz w:val="24"/>
        </w:rPr>
        <w:t>需要考虑后期使用的安全性、便利性以及材料本身的耐久性</w:t>
      </w:r>
      <w:r>
        <w:rPr>
          <w:rFonts w:hint="eastAsia" w:ascii="宋体" w:hAnsi="宋体" w:eastAsia="宋体" w:cs="宋体"/>
          <w:sz w:val="24"/>
        </w:rPr>
        <w:t>；</w:t>
      </w:r>
      <w:r>
        <w:rPr>
          <w:rFonts w:ascii="宋体" w:hAnsi="宋体" w:eastAsia="宋体" w:cs="宋体"/>
          <w:sz w:val="24"/>
        </w:rPr>
        <w:t>结合</w:t>
      </w:r>
      <w:r>
        <w:rPr>
          <w:rFonts w:hint="eastAsia" w:ascii="宋体" w:hAnsi="宋体" w:eastAsia="宋体" w:cs="宋体"/>
          <w:sz w:val="24"/>
        </w:rPr>
        <w:t>建筑</w:t>
      </w:r>
      <w:r>
        <w:rPr>
          <w:rFonts w:ascii="宋体" w:hAnsi="宋体" w:eastAsia="宋体" w:cs="宋体"/>
          <w:sz w:val="24"/>
        </w:rPr>
        <w:t>、精装修、机电等专业营造</w:t>
      </w:r>
      <w:r>
        <w:rPr>
          <w:rFonts w:hint="eastAsia" w:ascii="宋体" w:hAnsi="宋体" w:eastAsia="宋体" w:cs="宋体"/>
          <w:sz w:val="24"/>
        </w:rPr>
        <w:t>形成</w:t>
      </w:r>
      <w:r>
        <w:rPr>
          <w:rFonts w:ascii="宋体" w:hAnsi="宋体" w:eastAsia="宋体" w:cs="宋体"/>
          <w:sz w:val="24"/>
        </w:rPr>
        <w:t>系统设计</w:t>
      </w:r>
      <w:r>
        <w:rPr>
          <w:rFonts w:hint="eastAsia" w:ascii="宋体" w:hAnsi="宋体" w:eastAsia="宋体" w:cs="宋体"/>
          <w:sz w:val="24"/>
        </w:rPr>
        <w:t>规划</w:t>
      </w:r>
      <w:r>
        <w:rPr>
          <w:rFonts w:ascii="宋体" w:hAnsi="宋体" w:eastAsia="宋体" w:cs="宋体"/>
          <w:sz w:val="24"/>
        </w:rPr>
        <w:t>。</w:t>
      </w:r>
    </w:p>
    <w:p w14:paraId="4A2F507C">
      <w:pPr>
        <w:widowControl/>
        <w:spacing w:line="360" w:lineRule="auto"/>
        <w:ind w:right="76"/>
        <w:jc w:val="both"/>
        <w:rPr>
          <w:rFonts w:ascii="宋体" w:hAnsi="宋体" w:eastAsia="宋体" w:cs="宋体"/>
          <w:sz w:val="24"/>
        </w:rPr>
      </w:pPr>
      <w:r>
        <w:rPr>
          <w:rFonts w:hint="eastAsia"/>
          <w:lang w:val="en-US" w:eastAsia="zh-CN"/>
        </w:rPr>
        <w:t xml:space="preserve">     </w:t>
      </w:r>
    </w:p>
    <w:p w14:paraId="42487A7D">
      <w:pPr>
        <w:spacing w:before="156" w:beforeLines="50" w:after="156" w:afterLines="50"/>
        <w:outlineLvl w:val="1"/>
        <w:rPr>
          <w:rFonts w:ascii="黑体" w:hAnsi="黑体" w:eastAsia="黑体" w:cs="Times New Roman"/>
          <w:kern w:val="0"/>
          <w:sz w:val="24"/>
          <w:lang w:val="zh-CN" w:eastAsia="zh-CN"/>
        </w:rPr>
      </w:pPr>
      <w:r>
        <w:rPr>
          <w:rFonts w:hint="eastAsia" w:ascii="黑体" w:hAnsi="黑体" w:eastAsia="黑体" w:cs="Times New Roman"/>
          <w:kern w:val="0"/>
          <w:sz w:val="24"/>
          <w:lang w:val="zh-CN" w:eastAsia="zh-CN"/>
        </w:rPr>
        <w:t>4.</w:t>
      </w:r>
      <w:r>
        <w:rPr>
          <w:rFonts w:ascii="黑体" w:hAnsi="黑体" w:eastAsia="黑体" w:cs="Times New Roman"/>
          <w:kern w:val="0"/>
          <w:sz w:val="24"/>
          <w:lang w:val="zh-CN" w:eastAsia="zh-CN"/>
        </w:rPr>
        <w:t>7</w:t>
      </w:r>
      <w:r>
        <w:rPr>
          <w:rFonts w:hint="eastAsia" w:ascii="黑体" w:hAnsi="黑体" w:eastAsia="黑体" w:cs="Times New Roman"/>
          <w:kern w:val="0"/>
          <w:sz w:val="24"/>
          <w:lang w:val="zh-CN" w:eastAsia="zh-CN"/>
        </w:rPr>
        <w:t>宅旁绿地</w:t>
      </w:r>
      <w:r>
        <w:rPr>
          <w:rFonts w:hint="eastAsia" w:ascii="黑体" w:hAnsi="黑体" w:eastAsia="黑体" w:cs="Times New Roman"/>
          <w:sz w:val="24"/>
          <w:lang w:val="zh-CN"/>
        </w:rPr>
        <w:t>景观</w:t>
      </w:r>
    </w:p>
    <w:p w14:paraId="07CE7CB3">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满足宅旁绿地的功能性要求。种植应考虑建筑物的朝向，不影响住户采光；建筑物南面近窗处不宜种高大乔木；建筑物西面可种植阔叶落叶乔木，利于夏季降温；外墙采用面砖、石材等易脱落材质的建筑，宅旁须设置一定宽度的绿植或其他防护。</w:t>
      </w:r>
    </w:p>
    <w:p w14:paraId="294F9461">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住宅入口要突出可识别性，并配置标识系统和无障碍设施。</w:t>
      </w:r>
    </w:p>
    <w:p w14:paraId="5D752E22">
      <w:pPr>
        <w:widowControl/>
        <w:spacing w:line="360" w:lineRule="auto"/>
        <w:ind w:right="76" w:firstLine="480" w:firstLineChars="200"/>
        <w:jc w:val="center"/>
        <w:rPr>
          <w:rFonts w:ascii="宋体" w:hAnsi="宋体" w:eastAsia="宋体" w:cs="宋体"/>
          <w:sz w:val="24"/>
        </w:rPr>
      </w:pPr>
    </w:p>
    <w:p w14:paraId="0234D465">
      <w:pPr>
        <w:spacing w:before="156" w:beforeLines="50" w:after="156" w:afterLines="50"/>
        <w:outlineLvl w:val="1"/>
        <w:rPr>
          <w:rFonts w:ascii="黑体" w:hAnsi="黑体" w:eastAsia="黑体" w:cs="Times New Roman"/>
          <w:kern w:val="0"/>
          <w:sz w:val="24"/>
          <w:lang w:val="zh-CN" w:eastAsia="zh-CN"/>
        </w:rPr>
      </w:pPr>
      <w:r>
        <w:rPr>
          <w:rFonts w:hint="eastAsia" w:ascii="黑体" w:hAnsi="黑体" w:eastAsia="黑体" w:cs="Times New Roman"/>
          <w:kern w:val="0"/>
          <w:sz w:val="24"/>
          <w:lang w:val="zh-CN" w:eastAsia="zh-CN"/>
        </w:rPr>
        <w:t>4.</w:t>
      </w:r>
      <w:r>
        <w:rPr>
          <w:rFonts w:ascii="黑体" w:hAnsi="黑体" w:eastAsia="黑体" w:cs="Times New Roman"/>
          <w:kern w:val="0"/>
          <w:sz w:val="24"/>
          <w:lang w:val="zh-CN" w:eastAsia="zh-CN"/>
        </w:rPr>
        <w:t>8</w:t>
      </w:r>
      <w:r>
        <w:rPr>
          <w:rFonts w:hint="eastAsia" w:ascii="黑体" w:hAnsi="黑体" w:eastAsia="黑体" w:cs="Times New Roman"/>
          <w:kern w:val="0"/>
          <w:sz w:val="24"/>
          <w:lang w:val="zh-CN" w:eastAsia="zh-CN"/>
        </w:rPr>
        <w:t>园区道路景观</w:t>
      </w:r>
    </w:p>
    <w:p w14:paraId="747E29B9">
      <w:pPr>
        <w:keepNext/>
        <w:keepLines/>
        <w:adjustRightInd w:val="0"/>
        <w:snapToGrid w:val="0"/>
        <w:spacing w:line="360" w:lineRule="auto"/>
        <w:outlineLvl w:val="3"/>
        <w:rPr>
          <w:rFonts w:ascii="宋体" w:hAnsi="黑体" w:eastAsia="黑体" w:cs="宋体"/>
          <w:bCs/>
          <w:kern w:val="0"/>
          <w:sz w:val="24"/>
          <w:szCs w:val="28"/>
          <w:lang w:val="zh-CN" w:eastAsia="zh-CN"/>
        </w:rPr>
      </w:pPr>
      <w:r>
        <w:rPr>
          <w:rFonts w:hint="eastAsia" w:ascii="黑体" w:hAnsi="黑体" w:eastAsia="黑体" w:cs="Times New Roman"/>
          <w:bCs/>
          <w:kern w:val="0"/>
          <w:sz w:val="24"/>
          <w:szCs w:val="28"/>
          <w:lang w:val="zh-CN" w:eastAsia="zh-CN"/>
        </w:rPr>
        <w:t>4.8.1园区道路与消防通道的复合</w:t>
      </w:r>
    </w:p>
    <w:p w14:paraId="650580FD">
      <w:pPr>
        <w:spacing w:line="360" w:lineRule="auto"/>
        <w:ind w:firstLine="480" w:firstLineChars="200"/>
        <w:rPr>
          <w:rFonts w:ascii="宋体" w:hAnsi="宋体" w:eastAsia="宋体" w:cs="宋体"/>
          <w:sz w:val="24"/>
        </w:rPr>
      </w:pPr>
      <w:r>
        <w:rPr>
          <w:rFonts w:hint="eastAsia" w:ascii="宋体" w:hAnsi="宋体" w:eastAsia="宋体" w:cs="宋体"/>
          <w:sz w:val="24"/>
        </w:rPr>
        <w:t>园区道路设计应尽可能与建筑消防通道、消防登高场地重合设置</w:t>
      </w:r>
      <w:r>
        <w:rPr>
          <w:rFonts w:hint="eastAsia" w:ascii="宋体" w:hAnsi="宋体" w:eastAsia="宋体" w:cs="宋体"/>
          <w:i/>
          <w:sz w:val="24"/>
        </w:rPr>
        <w:t>。</w:t>
      </w:r>
      <w:r>
        <w:rPr>
          <w:rFonts w:hint="eastAsia" w:ascii="宋体" w:hAnsi="宋体" w:eastAsia="宋体" w:cs="宋体"/>
          <w:sz w:val="24"/>
        </w:rPr>
        <w:t>原则上必须按照规范完成所有景观消防场地设计。</w:t>
      </w:r>
    </w:p>
    <w:p w14:paraId="2BDD972F">
      <w:pPr>
        <w:widowControl/>
        <w:spacing w:line="360" w:lineRule="auto"/>
        <w:ind w:firstLine="480" w:firstLineChars="200"/>
        <w:jc w:val="left"/>
        <w:rPr>
          <w:rFonts w:ascii="宋体" w:hAnsi="宋体" w:eastAsia="宋体" w:cs="宋体"/>
          <w:sz w:val="24"/>
        </w:rPr>
      </w:pPr>
      <w:r>
        <w:rPr>
          <w:rFonts w:hint="eastAsia" w:ascii="宋体" w:hAnsi="宋体" w:eastAsia="宋体" w:cs="宋体"/>
          <w:sz w:val="24"/>
        </w:rPr>
        <w:t>除考虑机动车、非机动车和行人快捷通行外，还应兼顾对园区景观节点和建筑的观赏角度。与建筑的距离不宜太近，以免对一层业主造成影响。</w:t>
      </w:r>
    </w:p>
    <w:p w14:paraId="107A17FB">
      <w:pPr>
        <w:keepNext/>
        <w:keepLines/>
        <w:adjustRightInd w:val="0"/>
        <w:snapToGrid w:val="0"/>
        <w:spacing w:before="240" w:line="360" w:lineRule="auto"/>
        <w:outlineLvl w:val="3"/>
        <w:rPr>
          <w:rFonts w:ascii="黑体" w:hAnsi="黑体" w:eastAsia="黑体" w:cs="Times New Roman"/>
          <w:bCs/>
          <w:kern w:val="0"/>
          <w:sz w:val="24"/>
          <w:szCs w:val="28"/>
          <w:lang w:val="zh-CN" w:eastAsia="zh-CN"/>
        </w:rPr>
      </w:pPr>
      <w:r>
        <w:rPr>
          <w:rFonts w:hint="eastAsia" w:ascii="黑体" w:hAnsi="黑体" w:eastAsia="黑体" w:cs="Times New Roman"/>
          <w:bCs/>
          <w:kern w:val="0"/>
          <w:sz w:val="24"/>
          <w:szCs w:val="28"/>
          <w:lang w:val="zh-CN" w:eastAsia="zh-CN"/>
        </w:rPr>
        <w:t>4.8.2园路的弯曲度和坡度</w:t>
      </w:r>
    </w:p>
    <w:p w14:paraId="0F92A4E0">
      <w:pPr>
        <w:widowControl/>
        <w:spacing w:line="360" w:lineRule="auto"/>
        <w:ind w:firstLine="480" w:firstLineChars="200"/>
        <w:jc w:val="left"/>
        <w:rPr>
          <w:rFonts w:ascii="宋体" w:hAnsi="宋体" w:eastAsia="宋体" w:cs="宋体"/>
          <w:sz w:val="24"/>
        </w:rPr>
      </w:pPr>
      <w:r>
        <w:rPr>
          <w:rFonts w:hint="eastAsia" w:ascii="宋体" w:hAnsi="宋体" w:eastAsia="宋体" w:cs="宋体"/>
          <w:sz w:val="24"/>
        </w:rPr>
        <w:t>园区主路主要满足易达、易记忆的功能需求，以平直线条为主。</w:t>
      </w:r>
    </w:p>
    <w:p w14:paraId="7E200A50">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宅间道路可考虑弯曲线形，随地形起伏，配合植物种植形成步移景异的效果。道路纵坡原则上不高于2.5%。</w:t>
      </w:r>
    </w:p>
    <w:p w14:paraId="50D886D2">
      <w:pPr>
        <w:keepNext/>
        <w:keepLines/>
        <w:adjustRightInd w:val="0"/>
        <w:snapToGrid w:val="0"/>
        <w:spacing w:before="240" w:line="360" w:lineRule="auto"/>
        <w:outlineLvl w:val="3"/>
        <w:rPr>
          <w:rFonts w:ascii="黑体" w:hAnsi="黑体" w:eastAsia="黑体" w:cs="Times New Roman"/>
          <w:bCs/>
          <w:kern w:val="0"/>
          <w:sz w:val="24"/>
          <w:szCs w:val="28"/>
          <w:lang w:val="zh-CN" w:eastAsia="zh-CN"/>
        </w:rPr>
      </w:pPr>
      <w:r>
        <w:rPr>
          <w:rFonts w:hint="eastAsia" w:ascii="黑体" w:hAnsi="黑体" w:eastAsia="黑体" w:cs="Times New Roman"/>
          <w:bCs/>
          <w:kern w:val="0"/>
          <w:sz w:val="24"/>
          <w:szCs w:val="28"/>
          <w:lang w:val="zh-CN" w:eastAsia="zh-CN"/>
        </w:rPr>
        <w:t>4.8.3路宽的合理设定</w:t>
      </w:r>
    </w:p>
    <w:p w14:paraId="62AECB84">
      <w:pPr>
        <w:widowControl/>
        <w:spacing w:line="360" w:lineRule="auto"/>
        <w:ind w:right="76" w:firstLine="480" w:firstLineChars="200"/>
        <w:jc w:val="left"/>
        <w:rPr>
          <w:rFonts w:ascii="宋体" w:hAnsi="宋体" w:eastAsia="宋体" w:cs="宋体"/>
          <w:sz w:val="24"/>
          <w:highlight w:val="none"/>
        </w:rPr>
      </w:pPr>
      <w:r>
        <w:rPr>
          <w:rFonts w:hint="eastAsia" w:ascii="宋体" w:hAnsi="宋体" w:eastAsia="宋体" w:cs="宋体"/>
          <w:sz w:val="24"/>
        </w:rPr>
        <w:t>园区道路分级：园区主路、次要游步道。园区</w:t>
      </w:r>
      <w:r>
        <w:rPr>
          <w:rFonts w:ascii="宋体" w:hAnsi="宋体" w:eastAsia="宋体" w:cs="宋体"/>
          <w:sz w:val="24"/>
        </w:rPr>
        <w:t>主路建议与园区消防通道局部结合，</w:t>
      </w:r>
      <w:r>
        <w:rPr>
          <w:rFonts w:hint="eastAsia" w:ascii="宋体" w:hAnsi="宋体" w:eastAsia="宋体" w:cs="宋体"/>
          <w:sz w:val="24"/>
        </w:rPr>
        <w:t>中心绿地步行道、</w:t>
      </w:r>
      <w:r>
        <w:rPr>
          <w:rFonts w:hint="eastAsia" w:ascii="宋体" w:hAnsi="宋体" w:eastAsia="宋体" w:cs="宋体"/>
          <w:sz w:val="24"/>
          <w:highlight w:val="none"/>
        </w:rPr>
        <w:t>入户路宽</w:t>
      </w:r>
      <w:r>
        <w:rPr>
          <w:rFonts w:hint="eastAsia" w:ascii="宋体" w:hAnsi="宋体" w:eastAsia="宋体" w:cs="宋体"/>
          <w:sz w:val="24"/>
          <w:highlight w:val="none"/>
          <w:u w:val="single"/>
          <w:lang w:val="en-US" w:eastAsia="zh-CN"/>
        </w:rPr>
        <w:t>2-4</w:t>
      </w:r>
      <w:r>
        <w:rPr>
          <w:rFonts w:ascii="宋体" w:hAnsi="宋体" w:eastAsia="宋体" w:cs="宋体"/>
          <w:sz w:val="24"/>
          <w:highlight w:val="none"/>
          <w:u w:val="single"/>
        </w:rPr>
        <w:t xml:space="preserve"> </w:t>
      </w:r>
      <w:r>
        <w:rPr>
          <w:rFonts w:hint="eastAsia" w:ascii="宋体" w:hAnsi="宋体" w:eastAsia="宋体" w:cs="宋体"/>
          <w:sz w:val="24"/>
          <w:highlight w:val="none"/>
        </w:rPr>
        <w:t>米，次要游步道</w:t>
      </w:r>
      <w:r>
        <w:rPr>
          <w:rFonts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1.5-2</w:t>
      </w:r>
      <w:r>
        <w:rPr>
          <w:rFonts w:ascii="宋体" w:hAnsi="宋体" w:eastAsia="宋体" w:cs="宋体"/>
          <w:sz w:val="24"/>
          <w:highlight w:val="none"/>
          <w:u w:val="single"/>
        </w:rPr>
        <w:t xml:space="preserve"> </w:t>
      </w:r>
      <w:r>
        <w:rPr>
          <w:rFonts w:hint="eastAsia" w:ascii="宋体" w:hAnsi="宋体" w:eastAsia="宋体" w:cs="宋体"/>
          <w:sz w:val="24"/>
          <w:highlight w:val="none"/>
        </w:rPr>
        <w:t>米。</w:t>
      </w:r>
    </w:p>
    <w:p w14:paraId="1A75C610">
      <w:pPr>
        <w:keepNext/>
        <w:keepLines/>
        <w:adjustRightInd w:val="0"/>
        <w:snapToGrid w:val="0"/>
        <w:spacing w:before="240" w:line="360" w:lineRule="auto"/>
        <w:outlineLvl w:val="3"/>
        <w:rPr>
          <w:rFonts w:ascii="宋体" w:hAnsi="黑体" w:eastAsia="黑体" w:cs="宋体"/>
          <w:bCs/>
          <w:kern w:val="0"/>
          <w:sz w:val="24"/>
          <w:szCs w:val="28"/>
          <w:lang w:val="zh-CN" w:eastAsia="zh-CN"/>
        </w:rPr>
      </w:pPr>
      <w:r>
        <w:rPr>
          <w:rFonts w:hint="eastAsia" w:ascii="黑体" w:hAnsi="黑体" w:eastAsia="黑体" w:cs="Times New Roman"/>
          <w:bCs/>
          <w:kern w:val="0"/>
          <w:sz w:val="24"/>
          <w:szCs w:val="28"/>
          <w:lang w:val="zh-CN" w:eastAsia="zh-CN"/>
        </w:rPr>
        <w:t>4.8.4园路的铺装</w:t>
      </w:r>
    </w:p>
    <w:p w14:paraId="20F4B06B">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地面铺装的风格、色彩要与整个社区建筑和景观的风格相呼应。</w:t>
      </w:r>
    </w:p>
    <w:p w14:paraId="3ABE3123">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道路铺装方式：</w:t>
      </w:r>
      <w:r>
        <w:rPr>
          <w:rFonts w:hint="eastAsia" w:ascii="宋体" w:hAnsi="宋体" w:eastAsia="宋体" w:cs="宋体"/>
          <w:sz w:val="24"/>
          <w:highlight w:val="none"/>
        </w:rPr>
        <w:t>直线道路使用</w:t>
      </w:r>
      <w:r>
        <w:rPr>
          <w:rFonts w:hint="eastAsia"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方块铺</w:t>
      </w:r>
      <w:r>
        <w:rPr>
          <w:rFonts w:hint="eastAsia" w:ascii="宋体" w:hAnsi="宋体" w:eastAsia="宋体" w:cs="宋体"/>
          <w:sz w:val="24"/>
          <w:highlight w:val="none"/>
          <w:u w:val="single"/>
        </w:rPr>
        <w:t>（铺装</w:t>
      </w:r>
      <w:r>
        <w:rPr>
          <w:rFonts w:ascii="宋体" w:hAnsi="宋体" w:eastAsia="宋体" w:cs="宋体"/>
          <w:sz w:val="24"/>
          <w:highlight w:val="none"/>
          <w:u w:val="single"/>
        </w:rPr>
        <w:t>样式</w:t>
      </w:r>
      <w:r>
        <w:rPr>
          <w:rFonts w:hint="eastAsia" w:ascii="宋体" w:hAnsi="宋体" w:eastAsia="宋体" w:cs="宋体"/>
          <w:sz w:val="24"/>
          <w:highlight w:val="none"/>
          <w:u w:val="single"/>
        </w:rPr>
        <w:t>）</w:t>
      </w:r>
      <w:r>
        <w:rPr>
          <w:rFonts w:hint="eastAsia" w:ascii="宋体" w:hAnsi="宋体" w:eastAsia="宋体" w:cs="宋体"/>
          <w:sz w:val="24"/>
          <w:highlight w:val="none"/>
        </w:rPr>
        <w:t>，弧线道路使用</w:t>
      </w:r>
      <w:r>
        <w:rPr>
          <w:rFonts w:hint="eastAsia" w:ascii="宋体" w:hAnsi="宋体" w:eastAsia="宋体" w:cs="宋体"/>
          <w:sz w:val="24"/>
          <w:highlight w:val="none"/>
          <w:u w:val="single"/>
        </w:rPr>
        <w:t xml:space="preserve"> </w:t>
      </w:r>
      <w:r>
        <w:rPr>
          <w:rFonts w:hint="eastAsia" w:ascii="宋体" w:hAnsi="宋体" w:eastAsia="宋体" w:cs="宋体"/>
          <w:sz w:val="24"/>
          <w:u w:val="single"/>
          <w:lang w:eastAsia="zh-CN"/>
        </w:rPr>
        <w:t>工字铺、方块铺，具体根据排版深化</w:t>
      </w:r>
      <w:r>
        <w:rPr>
          <w:rFonts w:hint="eastAsia" w:ascii="宋体" w:hAnsi="宋体" w:eastAsia="宋体" w:cs="宋体"/>
          <w:sz w:val="24"/>
          <w:highlight w:val="none"/>
          <w:u w:val="single"/>
        </w:rPr>
        <w:t>（铺装</w:t>
      </w:r>
      <w:r>
        <w:rPr>
          <w:rFonts w:ascii="宋体" w:hAnsi="宋体" w:eastAsia="宋体" w:cs="宋体"/>
          <w:sz w:val="24"/>
          <w:highlight w:val="none"/>
          <w:u w:val="single"/>
        </w:rPr>
        <w:t>样式</w:t>
      </w:r>
      <w:r>
        <w:rPr>
          <w:rFonts w:hint="eastAsia" w:ascii="宋体" w:hAnsi="宋体" w:eastAsia="宋体" w:cs="宋体"/>
          <w:sz w:val="24"/>
          <w:highlight w:val="none"/>
          <w:u w:val="single"/>
        </w:rPr>
        <w:t>）</w:t>
      </w:r>
      <w:r>
        <w:rPr>
          <w:rFonts w:hint="eastAsia" w:ascii="宋体" w:hAnsi="宋体" w:eastAsia="宋体" w:cs="宋体"/>
          <w:sz w:val="24"/>
          <w:highlight w:val="none"/>
        </w:rPr>
        <w:t>。（Ⅲ类</w:t>
      </w:r>
      <w:r>
        <w:rPr>
          <w:rFonts w:ascii="宋体" w:hAnsi="宋体" w:eastAsia="宋体" w:cs="宋体"/>
          <w:sz w:val="24"/>
          <w:highlight w:val="none"/>
        </w:rPr>
        <w:t>项目严格执行景观类标准化景观元素标准模块相关内容</w:t>
      </w:r>
      <w:r>
        <w:rPr>
          <w:rFonts w:hint="eastAsia" w:ascii="宋体" w:hAnsi="宋体" w:eastAsia="宋体" w:cs="宋体"/>
          <w:sz w:val="24"/>
          <w:highlight w:val="none"/>
        </w:rPr>
        <w:t>）</w:t>
      </w:r>
      <w:r>
        <w:rPr>
          <w:rFonts w:hint="eastAsia" w:ascii="宋体" w:hAnsi="宋体" w:eastAsia="宋体" w:cs="宋体"/>
          <w:sz w:val="24"/>
        </w:rPr>
        <w:t>铺装</w:t>
      </w:r>
      <w:r>
        <w:rPr>
          <w:rFonts w:ascii="宋体" w:hAnsi="宋体" w:eastAsia="宋体" w:cs="宋体"/>
          <w:sz w:val="24"/>
        </w:rPr>
        <w:t>样式选择考虑与项目整体设计风格相符，且考虑铺装铺贴的合理损耗。</w:t>
      </w:r>
      <w:r>
        <w:rPr>
          <w:rFonts w:hint="eastAsia" w:ascii="宋体" w:hAnsi="宋体" w:eastAsia="宋体" w:cs="宋体"/>
          <w:sz w:val="24"/>
        </w:rPr>
        <w:t>局部放大节点铺装形式可丰富，园区内慎重使用冰裂纹碎拼。</w:t>
      </w:r>
    </w:p>
    <w:p w14:paraId="75D97F82">
      <w:pPr>
        <w:widowControl/>
        <w:spacing w:line="360" w:lineRule="auto"/>
        <w:ind w:right="76" w:firstLine="480" w:firstLineChars="200"/>
        <w:jc w:val="left"/>
        <w:rPr>
          <w:rFonts w:hint="eastAsia" w:ascii="宋体" w:hAnsi="宋体" w:eastAsia="宋体" w:cs="宋体"/>
          <w:sz w:val="24"/>
          <w:u w:val="single"/>
        </w:rPr>
      </w:pPr>
      <w:r>
        <w:rPr>
          <w:rFonts w:hint="eastAsia" w:ascii="宋体" w:hAnsi="宋体" w:eastAsia="宋体" w:cs="宋体"/>
          <w:sz w:val="24"/>
        </w:rPr>
        <w:t>地面石材铺装尺寸：</w:t>
      </w:r>
      <w:r>
        <w:rPr>
          <w:rFonts w:hint="eastAsia" w:ascii="宋体" w:hAnsi="宋体" w:eastAsia="宋体" w:cs="宋体"/>
          <w:sz w:val="24"/>
          <w:u w:val="single"/>
        </w:rPr>
        <w:t xml:space="preserve"> 按300的模数  （结合具体尺寸排版设计）</w:t>
      </w:r>
    </w:p>
    <w:p w14:paraId="7B04FEE1">
      <w:pPr>
        <w:widowControl/>
        <w:spacing w:line="360" w:lineRule="auto"/>
        <w:ind w:right="76" w:firstLine="480" w:firstLineChars="200"/>
        <w:jc w:val="left"/>
        <w:rPr>
          <w:rFonts w:ascii="宋体" w:hAnsi="宋体" w:eastAsia="宋体" w:cs="宋体"/>
          <w:sz w:val="24"/>
          <w:u w:val="single"/>
        </w:rPr>
      </w:pPr>
      <w:r>
        <w:rPr>
          <w:rFonts w:hint="eastAsia" w:ascii="宋体" w:hAnsi="宋体" w:eastAsia="宋体" w:cs="宋体"/>
          <w:sz w:val="24"/>
        </w:rPr>
        <w:t xml:space="preserve">石材铺装厚度： </w:t>
      </w:r>
      <w:r>
        <w:rPr>
          <w:rFonts w:hint="eastAsia" w:ascii="宋体" w:hAnsi="宋体" w:eastAsia="宋体" w:cs="宋体"/>
          <w:sz w:val="24"/>
          <w:u w:val="single"/>
          <w:lang w:val="en-US" w:eastAsia="zh-CN"/>
        </w:rPr>
        <w:t>车行铺装厚度不低于50mm，人行铺装不低于30mm</w:t>
      </w:r>
      <w:r>
        <w:rPr>
          <w:rFonts w:ascii="宋体" w:hAnsi="宋体" w:eastAsia="宋体" w:cs="宋体"/>
          <w:sz w:val="24"/>
          <w:u w:val="single"/>
        </w:rPr>
        <w:t xml:space="preserve"> </w:t>
      </w:r>
    </w:p>
    <w:p w14:paraId="28D4FEB1">
      <w:pPr>
        <w:widowControl/>
        <w:spacing w:line="360" w:lineRule="auto"/>
        <w:ind w:right="76" w:firstLine="480" w:firstLineChars="200"/>
        <w:jc w:val="center"/>
        <w:rPr>
          <w:rFonts w:ascii="宋体" w:hAnsi="宋体" w:eastAsia="宋体" w:cs="宋体"/>
          <w:sz w:val="24"/>
        </w:rPr>
      </w:pPr>
    </w:p>
    <w:p w14:paraId="6EFE0E03">
      <w:pPr>
        <w:keepNext/>
        <w:keepLines/>
        <w:adjustRightInd w:val="0"/>
        <w:snapToGrid w:val="0"/>
        <w:spacing w:line="360" w:lineRule="auto"/>
        <w:outlineLvl w:val="3"/>
        <w:rPr>
          <w:rFonts w:ascii="黑体" w:hAnsi="黑体" w:eastAsia="黑体" w:cs="Times New Roman"/>
          <w:bCs/>
          <w:kern w:val="0"/>
          <w:sz w:val="24"/>
          <w:szCs w:val="24"/>
          <w:lang w:val="zh-CN"/>
        </w:rPr>
      </w:pPr>
      <w:r>
        <w:rPr>
          <w:rFonts w:hint="eastAsia" w:ascii="黑体" w:hAnsi="黑体" w:eastAsia="黑体" w:cs="Times New Roman"/>
          <w:bCs/>
          <w:kern w:val="0"/>
          <w:sz w:val="24"/>
          <w:szCs w:val="28"/>
          <w:lang w:val="zh-CN" w:eastAsia="zh-CN"/>
        </w:rPr>
        <w:t>4</w:t>
      </w:r>
      <w:r>
        <w:rPr>
          <w:rFonts w:hint="eastAsia" w:ascii="黑体" w:hAnsi="黑体" w:eastAsia="黑体" w:cs="Times New Roman"/>
          <w:bCs/>
          <w:kern w:val="0"/>
          <w:sz w:val="24"/>
          <w:szCs w:val="24"/>
          <w:lang w:val="zh-CN" w:eastAsia="zh-CN"/>
        </w:rPr>
        <w:t>.</w:t>
      </w:r>
      <w:r>
        <w:rPr>
          <w:rFonts w:hint="eastAsia" w:ascii="黑体" w:hAnsi="黑体" w:eastAsia="黑体" w:cs="Times New Roman"/>
          <w:bCs/>
          <w:kern w:val="0"/>
          <w:sz w:val="24"/>
          <w:szCs w:val="24"/>
          <w:lang w:val="zh-CN"/>
        </w:rPr>
        <w:t>8</w:t>
      </w:r>
      <w:r>
        <w:rPr>
          <w:rFonts w:hint="eastAsia" w:ascii="黑体" w:hAnsi="黑体" w:eastAsia="黑体" w:cs="Times New Roman"/>
          <w:bCs/>
          <w:kern w:val="0"/>
          <w:sz w:val="24"/>
          <w:szCs w:val="24"/>
          <w:lang w:val="zh-CN" w:eastAsia="zh-CN"/>
        </w:rPr>
        <w:t>.5</w:t>
      </w:r>
      <w:r>
        <w:rPr>
          <w:rFonts w:hint="eastAsia" w:ascii="黑体" w:hAnsi="黑体" w:eastAsia="黑体" w:cs="Times New Roman"/>
          <w:bCs/>
          <w:kern w:val="0"/>
          <w:sz w:val="24"/>
          <w:szCs w:val="24"/>
          <w:lang w:val="zh-CN"/>
        </w:rPr>
        <w:t>园区排水组织</w:t>
      </w:r>
    </w:p>
    <w:p w14:paraId="690B27DE">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园区合理</w:t>
      </w:r>
      <w:r>
        <w:rPr>
          <w:rFonts w:ascii="宋体" w:hAnsi="宋体" w:eastAsia="宋体" w:cs="宋体"/>
          <w:sz w:val="24"/>
        </w:rPr>
        <w:t>布置场地地形</w:t>
      </w:r>
      <w:r>
        <w:rPr>
          <w:rFonts w:hint="eastAsia" w:ascii="宋体" w:hAnsi="宋体" w:eastAsia="宋体" w:cs="宋体"/>
          <w:sz w:val="24"/>
        </w:rPr>
        <w:t>，在</w:t>
      </w:r>
      <w:r>
        <w:rPr>
          <w:rFonts w:ascii="宋体" w:hAnsi="宋体" w:eastAsia="宋体" w:cs="宋体"/>
          <w:sz w:val="24"/>
        </w:rPr>
        <w:t>大面铺装、园区道路以及</w:t>
      </w:r>
      <w:r>
        <w:rPr>
          <w:rFonts w:hint="eastAsia" w:ascii="宋体" w:hAnsi="宋体" w:eastAsia="宋体" w:cs="宋体"/>
          <w:sz w:val="24"/>
        </w:rPr>
        <w:t>靠近</w:t>
      </w:r>
      <w:r>
        <w:rPr>
          <w:rFonts w:ascii="宋体" w:hAnsi="宋体" w:eastAsia="宋体" w:cs="宋体"/>
          <w:sz w:val="24"/>
        </w:rPr>
        <w:t>建筑周边设置明沟排水</w:t>
      </w:r>
      <w:r>
        <w:rPr>
          <w:rFonts w:hint="eastAsia" w:ascii="宋体" w:hAnsi="宋体" w:eastAsia="宋体" w:cs="宋体"/>
          <w:sz w:val="24"/>
        </w:rPr>
        <w:t>，保证</w:t>
      </w:r>
      <w:r>
        <w:rPr>
          <w:rFonts w:ascii="宋体" w:hAnsi="宋体" w:eastAsia="宋体" w:cs="宋体"/>
          <w:sz w:val="24"/>
        </w:rPr>
        <w:t>园区排水对建筑室内以及</w:t>
      </w:r>
      <w:r>
        <w:rPr>
          <w:rFonts w:hint="eastAsia" w:ascii="宋体" w:hAnsi="宋体" w:eastAsia="宋体" w:cs="宋体"/>
          <w:sz w:val="24"/>
        </w:rPr>
        <w:t>园路</w:t>
      </w:r>
      <w:r>
        <w:rPr>
          <w:rFonts w:ascii="宋体" w:hAnsi="宋体" w:eastAsia="宋体" w:cs="宋体"/>
          <w:sz w:val="24"/>
        </w:rPr>
        <w:t>铺装造成积水</w:t>
      </w:r>
      <w:r>
        <w:rPr>
          <w:rFonts w:hint="eastAsia" w:ascii="宋体" w:hAnsi="宋体" w:eastAsia="宋体" w:cs="宋体"/>
          <w:sz w:val="24"/>
        </w:rPr>
        <w:t>；合理设计排水坡度地表雨水水口位置要求与园路低点吻合；大面草坪草坪空间</w:t>
      </w:r>
      <w:r>
        <w:rPr>
          <w:rFonts w:ascii="宋体" w:hAnsi="宋体" w:eastAsia="宋体" w:cs="宋体"/>
          <w:sz w:val="24"/>
        </w:rPr>
        <w:t>布设排水设施；</w:t>
      </w:r>
      <w:r>
        <w:rPr>
          <w:rFonts w:hint="eastAsia" w:ascii="宋体" w:hAnsi="宋体" w:eastAsia="宋体" w:cs="宋体"/>
          <w:sz w:val="24"/>
        </w:rPr>
        <w:t>下沉庭院、地下室入口、采光井周边布置强制排水设施；</w:t>
      </w:r>
      <w:r>
        <w:rPr>
          <w:rFonts w:ascii="宋体" w:hAnsi="宋体" w:eastAsia="宋体" w:cs="宋体"/>
          <w:sz w:val="24"/>
        </w:rPr>
        <w:t>铺装面层井盖应与市政管井相结合，铺装井盖形式与铺装大面样式</w:t>
      </w:r>
      <w:r>
        <w:rPr>
          <w:rFonts w:hint="eastAsia" w:ascii="宋体" w:hAnsi="宋体" w:eastAsia="宋体" w:cs="宋体"/>
          <w:sz w:val="24"/>
        </w:rPr>
        <w:t>一致</w:t>
      </w:r>
      <w:r>
        <w:rPr>
          <w:rFonts w:ascii="宋体" w:hAnsi="宋体" w:eastAsia="宋体" w:cs="宋体"/>
          <w:sz w:val="24"/>
        </w:rPr>
        <w:t>。</w:t>
      </w:r>
    </w:p>
    <w:p w14:paraId="39A31D4E">
      <w:pPr>
        <w:widowControl/>
        <w:spacing w:line="360" w:lineRule="auto"/>
        <w:ind w:right="76" w:firstLine="420" w:firstLineChars="200"/>
        <w:jc w:val="left"/>
      </w:pPr>
    </w:p>
    <w:p w14:paraId="12FE70BE">
      <w:pPr>
        <w:widowControl/>
        <w:spacing w:line="360" w:lineRule="auto"/>
        <w:ind w:right="76" w:firstLine="420" w:firstLineChars="200"/>
        <w:jc w:val="left"/>
        <w:rPr>
          <w:rFonts w:hint="eastAsia"/>
          <w:lang w:eastAsia="zh-CN"/>
        </w:rPr>
      </w:pPr>
    </w:p>
    <w:p w14:paraId="1518D35C">
      <w:pPr>
        <w:keepNext/>
        <w:keepLines/>
        <w:adjustRightInd w:val="0"/>
        <w:snapToGrid w:val="0"/>
        <w:spacing w:line="360" w:lineRule="auto"/>
        <w:outlineLvl w:val="3"/>
        <w:rPr>
          <w:rFonts w:ascii="黑体" w:hAnsi="黑体" w:eastAsia="黑体" w:cs="Times New Roman"/>
          <w:bCs/>
          <w:kern w:val="0"/>
          <w:sz w:val="24"/>
          <w:szCs w:val="24"/>
          <w:lang w:val="zh-CN"/>
        </w:rPr>
      </w:pPr>
      <w:r>
        <w:rPr>
          <w:rFonts w:hint="eastAsia" w:ascii="黑体" w:hAnsi="黑体" w:eastAsia="黑体" w:cs="Times New Roman"/>
          <w:bCs/>
          <w:kern w:val="0"/>
          <w:sz w:val="24"/>
          <w:szCs w:val="24"/>
          <w:lang w:val="zh-CN"/>
        </w:rPr>
        <w:t>4</w:t>
      </w:r>
      <w:r>
        <w:rPr>
          <w:rFonts w:ascii="黑体" w:hAnsi="黑体" w:eastAsia="黑体" w:cs="Times New Roman"/>
          <w:bCs/>
          <w:kern w:val="0"/>
          <w:sz w:val="24"/>
          <w:szCs w:val="24"/>
          <w:lang w:val="zh-CN"/>
        </w:rPr>
        <w:t xml:space="preserve">.9 </w:t>
      </w:r>
      <w:r>
        <w:rPr>
          <w:rFonts w:hint="eastAsia" w:ascii="黑体" w:hAnsi="黑体" w:eastAsia="黑体" w:cs="Times New Roman"/>
          <w:bCs/>
          <w:kern w:val="0"/>
          <w:sz w:val="24"/>
          <w:szCs w:val="24"/>
          <w:lang w:val="zh-CN"/>
        </w:rPr>
        <w:t>消防场地景观</w:t>
      </w:r>
    </w:p>
    <w:p w14:paraId="0D764938">
      <w:pPr>
        <w:widowControl/>
        <w:spacing w:line="360" w:lineRule="auto"/>
        <w:ind w:right="76" w:firstLine="480" w:firstLineChars="200"/>
        <w:rPr>
          <w:rFonts w:ascii="宋体" w:hAnsi="宋体" w:eastAsia="宋体" w:cs="宋体"/>
          <w:sz w:val="24"/>
        </w:rPr>
      </w:pPr>
      <w:r>
        <w:rPr>
          <w:rFonts w:hint="eastAsia" w:ascii="宋体" w:hAnsi="宋体" w:eastAsia="宋体" w:cs="宋体"/>
          <w:sz w:val="24"/>
        </w:rPr>
        <w:t>消防场地（包括消防出入口、消防通道、消防车回车场及消防登高面）原则上须全硬化处理。场地不得设置固定的景观小品、设备器具或乔灌木，面层处理须满足规范要求，登高面与建筑之间不得有影响消防扑救的树木或不可移动的景观小品。消防场地的尺寸，即消防通道的宽度与转弯半径、消防登高面、回车场的长宽须满足规范要求。</w:t>
      </w:r>
    </w:p>
    <w:p w14:paraId="1DD3E16C">
      <w:pPr>
        <w:widowControl/>
        <w:spacing w:line="360" w:lineRule="auto"/>
        <w:ind w:right="76" w:firstLine="480" w:firstLineChars="200"/>
        <w:rPr>
          <w:rFonts w:ascii="宋体" w:hAnsi="宋体" w:eastAsia="宋体" w:cs="宋体"/>
          <w:color w:val="FF0000"/>
          <w:sz w:val="24"/>
        </w:rPr>
      </w:pPr>
      <w:r>
        <w:rPr>
          <w:rFonts w:hint="eastAsia" w:ascii="宋体" w:hAnsi="宋体" w:eastAsia="宋体" w:cs="宋体"/>
          <w:sz w:val="24"/>
        </w:rPr>
        <w:t>消防场地在满足规范的前提下，应当做景观化处理，可结合园区跑道、儿童活动、老人活动、运动场地等功能。同时，园区各消防场地在风格统一的前提下，应当做到形式多样。</w:t>
      </w:r>
    </w:p>
    <w:p w14:paraId="67FC5C17">
      <w:pPr>
        <w:keepNext/>
        <w:keepLines/>
        <w:spacing w:before="156" w:beforeLines="50" w:after="156" w:afterLines="50"/>
        <w:outlineLvl w:val="0"/>
        <w:rPr>
          <w:rFonts w:ascii="宋体" w:hAnsi="宋体" w:eastAsia="黑体" w:cs="宋体"/>
          <w:bCs/>
          <w:kern w:val="44"/>
          <w:sz w:val="24"/>
          <w:szCs w:val="44"/>
          <w:lang w:val="zh-CN" w:eastAsia="zh-CN"/>
        </w:rPr>
      </w:pPr>
      <w:r>
        <w:rPr>
          <w:rFonts w:hint="eastAsia" w:ascii="黑体" w:hAnsi="黑体" w:eastAsia="黑体" w:cs="Times New Roman"/>
          <w:bCs/>
          <w:kern w:val="44"/>
          <w:sz w:val="24"/>
          <w:szCs w:val="44"/>
          <w:lang w:val="zh-CN"/>
        </w:rPr>
        <w:t>5</w:t>
      </w:r>
      <w:r>
        <w:rPr>
          <w:rFonts w:hint="eastAsia" w:ascii="黑体" w:hAnsi="黑体" w:eastAsia="黑体" w:cs="Times New Roman"/>
          <w:bCs/>
          <w:kern w:val="44"/>
          <w:sz w:val="24"/>
          <w:szCs w:val="44"/>
          <w:lang w:val="zh-CN" w:eastAsia="zh-CN"/>
        </w:rPr>
        <w:t>水景</w:t>
      </w:r>
    </w:p>
    <w:p w14:paraId="362A5874">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建议在主要人行入口、中轴线重要位置设置水景，应注重采用节水景观。本项目外围水景资源丰富，内部不建议设计自然式水体。如有</w:t>
      </w:r>
      <w:r>
        <w:rPr>
          <w:rFonts w:ascii="宋体" w:hAnsi="宋体" w:eastAsia="宋体" w:cs="宋体"/>
          <w:sz w:val="24"/>
        </w:rPr>
        <w:t>项目需实施海绵城市相关设计，须与项目水景设计一体考虑。</w:t>
      </w:r>
    </w:p>
    <w:p w14:paraId="4A686C51">
      <w:pPr>
        <w:keepNext/>
        <w:keepLines/>
        <w:spacing w:before="156" w:beforeLines="50" w:after="156" w:afterLines="50"/>
        <w:outlineLvl w:val="0"/>
        <w:rPr>
          <w:rFonts w:ascii="宋体" w:hAnsi="宋体" w:eastAsia="黑体" w:cs="宋体"/>
          <w:bCs/>
          <w:kern w:val="0"/>
          <w:sz w:val="24"/>
          <w:szCs w:val="44"/>
          <w:lang w:val="zh-CN" w:eastAsia="zh-CN"/>
        </w:rPr>
      </w:pPr>
      <w:r>
        <w:rPr>
          <w:rFonts w:hint="eastAsia" w:ascii="黑体" w:hAnsi="黑体" w:eastAsia="黑体" w:cs="Times New Roman"/>
          <w:bCs/>
          <w:kern w:val="44"/>
          <w:sz w:val="24"/>
          <w:szCs w:val="44"/>
          <w:lang w:val="zh-CN"/>
        </w:rPr>
        <w:t>6</w:t>
      </w:r>
      <w:r>
        <w:rPr>
          <w:rFonts w:hint="eastAsia" w:ascii="黑体" w:hAnsi="黑体" w:eastAsia="黑体" w:cs="Times New Roman"/>
          <w:bCs/>
          <w:kern w:val="44"/>
          <w:sz w:val="24"/>
          <w:szCs w:val="44"/>
          <w:lang w:val="zh-CN" w:eastAsia="zh-CN"/>
        </w:rPr>
        <w:t>围墙</w:t>
      </w:r>
    </w:p>
    <w:p w14:paraId="079F5FCA">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围墙形式要符合建筑的造型及风格（Ⅲ类</w:t>
      </w:r>
      <w:r>
        <w:rPr>
          <w:rFonts w:ascii="宋体" w:hAnsi="宋体" w:eastAsia="宋体" w:cs="宋体"/>
          <w:sz w:val="24"/>
        </w:rPr>
        <w:t>项目严格执行景观类标准化景观元素标准模块相关内容</w:t>
      </w:r>
      <w:r>
        <w:rPr>
          <w:rFonts w:hint="eastAsia" w:ascii="宋体" w:hAnsi="宋体" w:eastAsia="宋体" w:cs="宋体"/>
          <w:sz w:val="24"/>
        </w:rPr>
        <w:t>）</w:t>
      </w:r>
      <w:r>
        <w:rPr>
          <w:rFonts w:hint="eastAsia" w:ascii="宋体" w:hAnsi="宋体" w:eastAsia="宋体" w:cs="宋体"/>
          <w:sz w:val="24"/>
          <w:highlight w:val="none"/>
        </w:rPr>
        <w:t>，主次出入口两侧约10米范围内，周界围墙采用</w:t>
      </w:r>
      <w:r>
        <w:rPr>
          <w:rFonts w:hint="eastAsia" w:ascii="宋体" w:hAnsi="宋体" w:eastAsia="宋体" w:cs="宋体"/>
          <w:sz w:val="24"/>
          <w:highlight w:val="none"/>
          <w:u w:val="single"/>
        </w:rPr>
        <w:t xml:space="preserve"> </w:t>
      </w:r>
      <w:r>
        <w:rPr>
          <w:rFonts w:hint="eastAsia" w:ascii="宋体" w:hAnsi="宋体" w:eastAsia="宋体" w:cs="宋体"/>
          <w:sz w:val="24"/>
          <w:highlight w:val="none"/>
          <w:u w:val="single"/>
          <w:lang w:val="en-US" w:eastAsia="zh-CN"/>
        </w:rPr>
        <w:t>通透或半通透围墙</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，其余围墙墙体采用</w:t>
      </w:r>
      <w:r>
        <w:rPr>
          <w:rFonts w:hint="eastAsia" w:ascii="宋体" w:hAnsi="宋体" w:eastAsia="宋体" w:cs="宋体"/>
          <w:sz w:val="24"/>
          <w:highlight w:val="none"/>
          <w:u w:val="single"/>
          <w:lang w:val="en-US" w:eastAsia="zh-CN"/>
        </w:rPr>
        <w:t>通透围墙</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w:t>
      </w:r>
      <w:r>
        <w:rPr>
          <w:rFonts w:hint="eastAsia" w:ascii="宋体" w:hAnsi="宋体" w:eastAsia="宋体" w:cs="宋体"/>
          <w:sz w:val="24"/>
        </w:rPr>
        <w:t>首层</w:t>
      </w:r>
      <w:r>
        <w:rPr>
          <w:rFonts w:ascii="宋体" w:hAnsi="宋体" w:eastAsia="宋体" w:cs="宋体"/>
          <w:sz w:val="24"/>
        </w:rPr>
        <w:t>私家花园分户围墙</w:t>
      </w:r>
      <w:r>
        <w:rPr>
          <w:rFonts w:hint="eastAsia" w:ascii="宋体" w:hAnsi="宋体" w:eastAsia="宋体" w:cs="宋体"/>
          <w:sz w:val="24"/>
        </w:rPr>
        <w:t>形式必须</w:t>
      </w:r>
      <w:r>
        <w:rPr>
          <w:rFonts w:ascii="宋体" w:hAnsi="宋体" w:eastAsia="宋体" w:cs="宋体"/>
          <w:sz w:val="24"/>
        </w:rPr>
        <w:t>满足</w:t>
      </w:r>
      <w:r>
        <w:rPr>
          <w:rFonts w:hint="eastAsia" w:ascii="宋体" w:hAnsi="宋体" w:eastAsia="宋体" w:cs="宋体"/>
          <w:sz w:val="24"/>
        </w:rPr>
        <w:t>当地</w:t>
      </w:r>
      <w:r>
        <w:rPr>
          <w:rFonts w:ascii="宋体" w:hAnsi="宋体" w:eastAsia="宋体" w:cs="宋体"/>
          <w:sz w:val="24"/>
        </w:rPr>
        <w:t>相关验收规范</w:t>
      </w:r>
      <w:r>
        <w:rPr>
          <w:rFonts w:hint="eastAsia" w:ascii="宋体" w:hAnsi="宋体" w:eastAsia="宋体" w:cs="宋体"/>
          <w:sz w:val="24"/>
        </w:rPr>
        <w:t>，</w:t>
      </w:r>
      <w:r>
        <w:rPr>
          <w:rFonts w:ascii="宋体" w:hAnsi="宋体" w:eastAsia="宋体" w:cs="宋体"/>
          <w:sz w:val="24"/>
        </w:rPr>
        <w:t>满足项目绿地率相关指标要求，</w:t>
      </w:r>
      <w:r>
        <w:rPr>
          <w:rFonts w:hint="eastAsia" w:ascii="宋体" w:hAnsi="宋体" w:eastAsia="宋体" w:cs="宋体"/>
          <w:sz w:val="24"/>
        </w:rPr>
        <w:t>私家</w:t>
      </w:r>
      <w:r>
        <w:rPr>
          <w:rFonts w:ascii="宋体" w:hAnsi="宋体" w:eastAsia="宋体" w:cs="宋体"/>
          <w:sz w:val="24"/>
        </w:rPr>
        <w:t>花园分户围墙满足住宅私密性要求。</w:t>
      </w:r>
    </w:p>
    <w:p w14:paraId="417666AF">
      <w:pPr>
        <w:keepNext/>
        <w:keepLines/>
        <w:spacing w:before="156" w:beforeLines="50" w:after="156" w:afterLines="50"/>
        <w:outlineLvl w:val="0"/>
        <w:rPr>
          <w:rFonts w:ascii="宋体" w:hAnsi="黑体" w:eastAsia="黑体" w:cs="Times New Roman"/>
          <w:bCs/>
          <w:kern w:val="44"/>
          <w:sz w:val="24"/>
          <w:szCs w:val="44"/>
          <w:lang w:val="zh-CN"/>
        </w:rPr>
      </w:pPr>
      <w:r>
        <w:rPr>
          <w:rFonts w:ascii="黑体" w:hAnsi="黑体" w:eastAsia="黑体" w:cs="Times New Roman"/>
          <w:bCs/>
          <w:kern w:val="44"/>
          <w:sz w:val="24"/>
          <w:szCs w:val="44"/>
          <w:lang w:val="zh-CN"/>
        </w:rPr>
        <w:t>7</w:t>
      </w:r>
      <w:r>
        <w:rPr>
          <w:rFonts w:hint="eastAsia" w:ascii="黑体" w:hAnsi="黑体" w:eastAsia="黑体" w:cs="Times New Roman"/>
          <w:bCs/>
          <w:kern w:val="44"/>
          <w:sz w:val="24"/>
          <w:szCs w:val="44"/>
          <w:lang w:val="zh-CN"/>
        </w:rPr>
        <w:t>绿化配置</w:t>
      </w:r>
    </w:p>
    <w:p w14:paraId="28CFD647">
      <w:pPr>
        <w:widowControl/>
        <w:tabs>
          <w:tab w:val="left" w:pos="284"/>
        </w:tabs>
        <w:spacing w:line="360" w:lineRule="auto"/>
        <w:ind w:right="76" w:firstLine="240" w:firstLineChars="100"/>
        <w:jc w:val="left"/>
        <w:rPr>
          <w:rFonts w:ascii="宋体" w:hAnsi="宋体" w:eastAsia="宋体" w:cs="宋体"/>
          <w:sz w:val="24"/>
          <w:u w:val="single"/>
        </w:rPr>
      </w:pPr>
      <w:r>
        <w:rPr>
          <w:rFonts w:ascii="宋体" w:hAnsi="宋体" w:eastAsia="宋体" w:cs="宋体"/>
          <w:sz w:val="24"/>
        </w:rPr>
        <w:t>中心花园</w:t>
      </w:r>
      <w:r>
        <w:rPr>
          <w:rFonts w:hint="eastAsia" w:ascii="宋体" w:hAnsi="宋体" w:eastAsia="宋体" w:cs="宋体"/>
          <w:sz w:val="24"/>
        </w:rPr>
        <w:t>绿化</w:t>
      </w:r>
      <w:r>
        <w:rPr>
          <w:rFonts w:ascii="宋体" w:hAnsi="宋体" w:eastAsia="宋体" w:cs="宋体"/>
          <w:sz w:val="24"/>
        </w:rPr>
        <w:t>种植要求</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结合轴线布置</w:t>
      </w:r>
      <w:r>
        <w:rPr>
          <w:rFonts w:hint="eastAsia" w:ascii="宋体" w:hAnsi="宋体" w:eastAsia="宋体" w:cs="宋体"/>
          <w:sz w:val="24"/>
          <w:u w:val="single"/>
        </w:rPr>
        <w:t xml:space="preserve"> </w:t>
      </w:r>
      <w:r>
        <w:rPr>
          <w:rFonts w:hint="eastAsia" w:ascii="宋体" w:hAnsi="宋体" w:eastAsia="宋体" w:cs="宋体"/>
          <w:sz w:val="24"/>
          <w:u w:val="single"/>
          <w:lang w:eastAsia="zh-CN"/>
        </w:rPr>
        <w:t>，</w:t>
      </w:r>
      <w:r>
        <w:rPr>
          <w:rFonts w:hint="eastAsia" w:ascii="宋体" w:hAnsi="宋体" w:eastAsia="宋体" w:cs="宋体"/>
          <w:sz w:val="24"/>
          <w:u w:val="single"/>
        </w:rPr>
        <w:t xml:space="preserve">构成中心花园的空间骨架，可结合设计区域的功能布局、尺度关系考虑一定体量的草坪空间     </w:t>
      </w:r>
      <w:r>
        <w:rPr>
          <w:rFonts w:hint="eastAsia" w:ascii="宋体" w:hAnsi="宋体" w:eastAsia="宋体" w:cs="宋体"/>
          <w:sz w:val="24"/>
        </w:rPr>
        <w:t>。组团花园</w:t>
      </w:r>
      <w:r>
        <w:rPr>
          <w:rFonts w:ascii="宋体" w:hAnsi="宋体" w:eastAsia="宋体" w:cs="宋体"/>
          <w:sz w:val="24"/>
        </w:rPr>
        <w:t>绿化种植要求</w:t>
      </w:r>
      <w:r>
        <w:rPr>
          <w:rFonts w:hint="eastAsia" w:ascii="宋体" w:hAnsi="宋体" w:eastAsia="宋体" w:cs="宋体"/>
          <w:sz w:val="24"/>
          <w:u w:val="single"/>
        </w:rPr>
        <w:t xml:space="preserve">  以自然式布局营造复合式植物群落，在搭配时需重视与园路的衔接、</w:t>
      </w:r>
      <w:r>
        <w:rPr>
          <w:rFonts w:hint="eastAsia" w:ascii="宋体" w:hAnsi="宋体" w:eastAsia="宋体" w:cs="宋体"/>
          <w:sz w:val="24"/>
          <w:u w:val="single"/>
          <w:lang w:val="en-US" w:eastAsia="zh-CN"/>
        </w:rPr>
        <w:t>功能场所</w:t>
      </w:r>
      <w:r>
        <w:rPr>
          <w:rFonts w:hint="eastAsia" w:ascii="宋体" w:hAnsi="宋体" w:eastAsia="宋体" w:cs="宋体"/>
          <w:sz w:val="24"/>
          <w:u w:val="single"/>
        </w:rPr>
        <w:t>的结合，形成开敞或私密的空间</w:t>
      </w:r>
      <w:r>
        <w:rPr>
          <w:rFonts w:hint="eastAsia" w:ascii="宋体" w:hAnsi="宋体" w:eastAsia="宋体" w:cs="宋体"/>
          <w:sz w:val="24"/>
        </w:rPr>
        <w:t>植物以当地树种为主，适地适树</w:t>
      </w:r>
      <w:r>
        <w:rPr>
          <w:rFonts w:ascii="宋体" w:hAnsi="宋体" w:eastAsia="宋体" w:cs="宋体"/>
          <w:sz w:val="24"/>
        </w:rPr>
        <w:t>，避免有刺有毒有飘絮</w:t>
      </w:r>
      <w:r>
        <w:rPr>
          <w:rFonts w:hint="eastAsia" w:ascii="宋体" w:hAnsi="宋体" w:eastAsia="宋体" w:cs="宋体"/>
          <w:sz w:val="24"/>
        </w:rPr>
        <w:t>的</w:t>
      </w:r>
      <w:r>
        <w:rPr>
          <w:rFonts w:ascii="宋体" w:hAnsi="宋体" w:eastAsia="宋体" w:cs="宋体"/>
          <w:sz w:val="24"/>
        </w:rPr>
        <w:t>植物在园区中应用</w:t>
      </w:r>
      <w:r>
        <w:rPr>
          <w:rFonts w:hint="eastAsia" w:ascii="宋体" w:hAnsi="宋体" w:eastAsia="宋体" w:cs="宋体"/>
          <w:sz w:val="24"/>
          <w:lang w:eastAsia="zh-CN"/>
        </w:rPr>
        <w:t>，</w:t>
      </w:r>
      <w:r>
        <w:rPr>
          <w:rFonts w:hint="eastAsia" w:ascii="宋体" w:hAnsi="宋体" w:eastAsia="宋体" w:cs="宋体"/>
          <w:sz w:val="24"/>
          <w:u w:val="single"/>
        </w:rPr>
        <w:t>也需注意常绿树与落叶树的比例</w:t>
      </w:r>
      <w:r>
        <w:rPr>
          <w:rFonts w:hint="eastAsia" w:ascii="宋体" w:hAnsi="宋体" w:eastAsia="宋体" w:cs="宋体"/>
          <w:sz w:val="24"/>
          <w:u w:val="single"/>
          <w:lang w:eastAsia="zh-CN"/>
        </w:rPr>
        <w:t>，</w:t>
      </w:r>
      <w:r>
        <w:rPr>
          <w:rFonts w:hint="eastAsia" w:ascii="宋体" w:hAnsi="宋体" w:eastAsia="宋体" w:cs="宋体"/>
          <w:sz w:val="24"/>
          <w:u w:val="single"/>
          <w:lang w:val="en-US" w:eastAsia="zh-CN"/>
        </w:rPr>
        <w:t>南方植物按季节注意观花及观果的自然搭配分布</w:t>
      </w:r>
      <w:r>
        <w:rPr>
          <w:rFonts w:ascii="宋体" w:hAnsi="宋体" w:eastAsia="宋体" w:cs="宋体"/>
          <w:sz w:val="24"/>
        </w:rPr>
        <w:t>。</w:t>
      </w:r>
    </w:p>
    <w:p w14:paraId="62720A51">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景观轴线、景观样板区考虑到即时效果与成本控制，乔木胸径宜≤25cm，局部特型树不在此列。宅间景观需考虑到后期成长空间，乔木胸径宜≤18cm。</w:t>
      </w:r>
    </w:p>
    <w:p w14:paraId="076D4E9D">
      <w:pPr>
        <w:widowControl/>
        <w:tabs>
          <w:tab w:val="left" w:pos="284"/>
        </w:tabs>
        <w:spacing w:line="360" w:lineRule="auto"/>
        <w:ind w:right="76"/>
        <w:jc w:val="left"/>
        <w:rPr>
          <w:rFonts w:ascii="宋体" w:hAnsi="宋体" w:eastAsia="宋体" w:cs="宋体"/>
          <w:sz w:val="24"/>
        </w:rPr>
      </w:pPr>
    </w:p>
    <w:p w14:paraId="2ECA8266">
      <w:pPr>
        <w:keepNext/>
        <w:keepLines/>
        <w:spacing w:before="156" w:beforeLines="50" w:after="156" w:afterLines="50"/>
        <w:outlineLvl w:val="0"/>
        <w:rPr>
          <w:rFonts w:ascii="黑体" w:hAnsi="黑体" w:eastAsia="黑体" w:cs="Times New Roman"/>
          <w:bCs/>
          <w:kern w:val="44"/>
          <w:sz w:val="24"/>
          <w:szCs w:val="44"/>
          <w:lang w:val="zh-CN"/>
        </w:rPr>
      </w:pPr>
      <w:r>
        <w:rPr>
          <w:rFonts w:ascii="黑体" w:hAnsi="黑体" w:eastAsia="黑体" w:cs="Times New Roman"/>
          <w:bCs/>
          <w:kern w:val="44"/>
          <w:sz w:val="24"/>
          <w:szCs w:val="44"/>
          <w:lang w:val="zh-CN"/>
        </w:rPr>
        <w:t>8</w:t>
      </w:r>
      <w:r>
        <w:rPr>
          <w:rFonts w:hint="eastAsia" w:ascii="黑体" w:hAnsi="黑体" w:eastAsia="黑体" w:cs="Times New Roman"/>
          <w:bCs/>
          <w:kern w:val="44"/>
          <w:sz w:val="24"/>
          <w:szCs w:val="44"/>
          <w:lang w:val="zh-CN"/>
        </w:rPr>
        <w:t>构筑物元素</w:t>
      </w:r>
    </w:p>
    <w:p w14:paraId="602602D0">
      <w:pPr>
        <w:widowControl/>
        <w:spacing w:line="360" w:lineRule="auto"/>
        <w:ind w:right="76"/>
        <w:jc w:val="both"/>
        <w:rPr>
          <w:rFonts w:ascii="宋体" w:hAnsi="宋体" w:eastAsia="宋体" w:cs="宋体"/>
          <w:sz w:val="24"/>
        </w:rPr>
      </w:pPr>
      <w:r>
        <w:rPr>
          <w:rFonts w:hint="eastAsia" w:ascii="宋体" w:hAnsi="宋体" w:eastAsia="宋体" w:cs="宋体"/>
          <w:sz w:val="24"/>
        </w:rPr>
        <w:t>构筑物需与项目整体风格一致。构筑物需兼顾不同</w:t>
      </w:r>
      <w:r>
        <w:rPr>
          <w:rFonts w:ascii="宋体" w:hAnsi="宋体" w:eastAsia="宋体" w:cs="宋体"/>
          <w:sz w:val="24"/>
        </w:rPr>
        <w:t>活动空间的</w:t>
      </w:r>
      <w:r>
        <w:rPr>
          <w:rFonts w:hint="eastAsia" w:ascii="宋体" w:hAnsi="宋体" w:eastAsia="宋体" w:cs="宋体"/>
          <w:sz w:val="24"/>
        </w:rPr>
        <w:t>合适功能性。</w:t>
      </w:r>
    </w:p>
    <w:p w14:paraId="5AD45CEC">
      <w:pPr>
        <w:keepNext/>
        <w:keepLines/>
        <w:spacing w:before="156" w:beforeLines="50" w:after="156" w:afterLines="50"/>
        <w:outlineLvl w:val="0"/>
        <w:rPr>
          <w:rFonts w:ascii="宋体" w:hAnsi="黑体" w:eastAsia="黑体" w:cs="Times New Roman"/>
          <w:bCs/>
          <w:kern w:val="44"/>
          <w:sz w:val="24"/>
          <w:szCs w:val="44"/>
          <w:lang w:val="zh-CN"/>
        </w:rPr>
      </w:pPr>
      <w:r>
        <w:rPr>
          <w:rFonts w:ascii="黑体" w:hAnsi="黑体" w:eastAsia="黑体" w:cs="Times New Roman"/>
          <w:bCs/>
          <w:kern w:val="44"/>
          <w:sz w:val="24"/>
          <w:szCs w:val="44"/>
          <w:lang w:val="zh-CN"/>
        </w:rPr>
        <w:t>9</w:t>
      </w:r>
      <w:r>
        <w:rPr>
          <w:rFonts w:hint="eastAsia" w:ascii="黑体" w:hAnsi="黑体" w:eastAsia="黑体" w:cs="Times New Roman"/>
          <w:bCs/>
          <w:kern w:val="44"/>
          <w:sz w:val="24"/>
          <w:szCs w:val="44"/>
          <w:lang w:val="zh-CN"/>
        </w:rPr>
        <w:t>物业配套</w:t>
      </w:r>
    </w:p>
    <w:p w14:paraId="1759BAD4">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景观设计阶段应明确项目集中垃圾收集点的位置、清运动线、清洗给排水以及照明通风的问题。明确园区各个出入口的管控方式，考虑岗亭的设置。考虑快递柜的设置点位。考虑</w:t>
      </w:r>
      <w:r>
        <w:rPr>
          <w:rFonts w:ascii="宋体" w:hAnsi="宋体" w:eastAsia="宋体" w:cs="宋体"/>
          <w:sz w:val="24"/>
        </w:rPr>
        <w:t>项目采光井、地下室出入口等建筑配套设施对景观的影响。</w:t>
      </w:r>
    </w:p>
    <w:p w14:paraId="5037E379">
      <w:pPr>
        <w:widowControl/>
        <w:spacing w:line="360" w:lineRule="auto"/>
        <w:ind w:right="76"/>
        <w:jc w:val="both"/>
        <w:rPr>
          <w:rFonts w:hint="eastAsia" w:ascii="宋体" w:hAnsi="宋体" w:eastAsia="宋体" w:cs="宋体"/>
          <w:sz w:val="24"/>
        </w:rPr>
      </w:pPr>
    </w:p>
    <w:p w14:paraId="15494963">
      <w:pPr>
        <w:widowControl/>
        <w:tabs>
          <w:tab w:val="left" w:pos="284"/>
        </w:tabs>
        <w:spacing w:line="360" w:lineRule="auto"/>
        <w:ind w:right="76"/>
        <w:jc w:val="left"/>
        <w:rPr>
          <w:rFonts w:ascii="宋体" w:hAnsi="宋体" w:eastAsia="宋体" w:cs="宋体"/>
          <w:sz w:val="24"/>
        </w:rPr>
      </w:pPr>
    </w:p>
    <w:p w14:paraId="0FF3300A">
      <w:pPr>
        <w:spacing w:line="360" w:lineRule="auto"/>
        <w:ind w:firstLine="600" w:firstLineChars="200"/>
        <w:jc w:val="center"/>
        <w:rPr>
          <w:rFonts w:ascii="黑体" w:hAnsi="黑体" w:eastAsia="黑体" w:cs="Times New Roman"/>
          <w:sz w:val="30"/>
          <w:szCs w:val="30"/>
        </w:rPr>
      </w:pPr>
      <w:r>
        <w:rPr>
          <w:rFonts w:ascii="黑体" w:hAnsi="黑体" w:eastAsia="黑体" w:cs="Times New Roman"/>
          <w:sz w:val="30"/>
          <w:szCs w:val="30"/>
        </w:rPr>
        <w:br w:type="page"/>
      </w:r>
      <w:r>
        <w:rPr>
          <w:rFonts w:hint="eastAsia" w:ascii="黑体" w:hAnsi="黑体" w:eastAsia="黑体" w:cs="Times New Roman"/>
          <w:sz w:val="32"/>
          <w:szCs w:val="32"/>
        </w:rPr>
        <w:t>第四章  景观设计工作内容</w:t>
      </w:r>
    </w:p>
    <w:p w14:paraId="3F6A3C9F">
      <w:pPr>
        <w:keepNext/>
        <w:keepLines/>
        <w:spacing w:before="156" w:beforeLines="50" w:after="156" w:afterLines="50"/>
        <w:outlineLvl w:val="0"/>
        <w:rPr>
          <w:rFonts w:ascii="黑体" w:hAnsi="黑体" w:eastAsia="黑体" w:cs="Times New Roman"/>
          <w:bCs/>
          <w:kern w:val="0"/>
          <w:sz w:val="24"/>
          <w:szCs w:val="44"/>
          <w:lang w:val="zh-CN" w:eastAsia="zh-CN"/>
        </w:rPr>
      </w:pPr>
      <w:r>
        <w:rPr>
          <w:rFonts w:hint="eastAsia" w:ascii="黑体" w:hAnsi="黑体" w:eastAsia="黑体" w:cs="Times New Roman"/>
          <w:bCs/>
          <w:kern w:val="44"/>
          <w:sz w:val="24"/>
          <w:szCs w:val="44"/>
          <w:lang w:val="zh-CN" w:eastAsia="zh-CN"/>
        </w:rPr>
        <w:t xml:space="preserve">1 </w:t>
      </w:r>
      <w:r>
        <w:rPr>
          <w:rFonts w:hint="eastAsia" w:ascii="黑体" w:hAnsi="黑体" w:eastAsia="黑体" w:cs="Times New Roman"/>
          <w:bCs/>
          <w:kern w:val="0"/>
          <w:sz w:val="24"/>
          <w:szCs w:val="44"/>
          <w:lang w:val="zh-CN" w:eastAsia="zh-CN"/>
        </w:rPr>
        <w:t>服务范围</w:t>
      </w:r>
    </w:p>
    <w:p w14:paraId="05E58B8C">
      <w:pPr>
        <w:spacing w:line="360" w:lineRule="auto"/>
        <w:ind w:firstLine="480" w:firstLineChars="200"/>
        <w:rPr>
          <w:rFonts w:ascii="宋体" w:hAnsi="宋体" w:eastAsia="宋体" w:cs="宋体"/>
          <w:sz w:val="24"/>
        </w:rPr>
      </w:pPr>
      <w:r>
        <w:rPr>
          <w:rFonts w:hint="eastAsia" w:ascii="宋体" w:hAnsi="宋体" w:eastAsia="宋体" w:cs="宋体"/>
          <w:sz w:val="24"/>
        </w:rPr>
        <w:t>项目用地范围内的整体景观范围及周边道路景观。</w:t>
      </w:r>
    </w:p>
    <w:p w14:paraId="0EA50A09">
      <w:pPr>
        <w:keepNext/>
        <w:keepLines/>
        <w:spacing w:before="156" w:beforeLines="50" w:after="156" w:afterLines="50"/>
        <w:outlineLvl w:val="0"/>
        <w:rPr>
          <w:rFonts w:ascii="宋体" w:hAnsi="黑体" w:eastAsia="黑体" w:cs="宋体"/>
          <w:b/>
          <w:bCs/>
          <w:kern w:val="44"/>
          <w:sz w:val="24"/>
          <w:szCs w:val="44"/>
          <w:lang w:val="zh-CN" w:eastAsia="zh-CN"/>
        </w:rPr>
      </w:pPr>
      <w:r>
        <w:rPr>
          <w:rFonts w:hint="eastAsia" w:ascii="黑体" w:hAnsi="黑体" w:eastAsia="黑体" w:cs="Times New Roman"/>
          <w:bCs/>
          <w:kern w:val="44"/>
          <w:sz w:val="24"/>
          <w:szCs w:val="44"/>
          <w:lang w:val="zh-CN" w:eastAsia="zh-CN"/>
        </w:rPr>
        <w:t xml:space="preserve">2 </w:t>
      </w:r>
      <w:r>
        <w:rPr>
          <w:rFonts w:hint="eastAsia" w:ascii="黑体" w:hAnsi="黑体" w:eastAsia="黑体" w:cs="Times New Roman"/>
          <w:bCs/>
          <w:kern w:val="0"/>
          <w:sz w:val="24"/>
          <w:szCs w:val="44"/>
          <w:lang w:val="zh-CN" w:eastAsia="zh-CN"/>
        </w:rPr>
        <w:t>服务内容及目标</w:t>
      </w:r>
    </w:p>
    <w:p w14:paraId="4A6B18EC">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服务内容包含现场踏勘、景观概念设计、景观方案设计、景观初步设计、景观施工图设计、景观施工图交底以及施工现场设计效果全程把控。</w:t>
      </w:r>
    </w:p>
    <w:p w14:paraId="011201F9">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2.1设计方向交底会</w:t>
      </w:r>
      <w:r>
        <w:rPr>
          <w:rFonts w:hint="eastAsia" w:ascii="黑体" w:hAnsi="黑体" w:eastAsia="黑体" w:cs="Times New Roman"/>
          <w:kern w:val="0"/>
          <w:sz w:val="24"/>
          <w:lang w:val="zh-CN" w:eastAsia="zh-CN"/>
        </w:rPr>
        <w:tab/>
      </w:r>
    </w:p>
    <w:p w14:paraId="4C003DE7">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合同签定后，乙方按项目计划赴基地进行基地踏勘和分析，熟悉项目建筑规划方案、项目用地及周边资源。项目公司主导讨论并确立景观风格、市场定位等基本策略，避免设计思路与甲方需求发生偏差。</w:t>
      </w:r>
    </w:p>
    <w:p w14:paraId="7B618D6F">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2.2景观概念</w:t>
      </w:r>
      <w:r>
        <w:rPr>
          <w:rFonts w:hint="eastAsia" w:ascii="黑体" w:hAnsi="黑体" w:eastAsia="黑体" w:cs="Times New Roman"/>
          <w:kern w:val="0"/>
          <w:sz w:val="24"/>
          <w:lang w:val="zh-CN"/>
        </w:rPr>
        <w:t>沟通</w:t>
      </w:r>
      <w:r>
        <w:rPr>
          <w:rFonts w:hint="eastAsia" w:ascii="黑体" w:hAnsi="黑体" w:eastAsia="黑体" w:cs="Times New Roman"/>
          <w:kern w:val="0"/>
          <w:sz w:val="24"/>
          <w:lang w:val="zh-CN" w:eastAsia="zh-CN"/>
        </w:rPr>
        <w:t>阶段</w:t>
      </w:r>
    </w:p>
    <w:p w14:paraId="04A39404">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基于设计方向交底会的共识，乙方进行景观概念设计。要求提供不少于2个概念性方案供甲方选择，经讨论确定后出正式文本。</w:t>
      </w:r>
    </w:p>
    <w:p w14:paraId="0563A627">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乙方应提交概念性总图（彩色）及相关意象图，与甲方讨论后形成此阶段成果。本阶段应确定景观主题，主要景观节点位置；大致明确平面布局,组织竖向关系，明确交通流线；确定植物造景风格。</w:t>
      </w:r>
    </w:p>
    <w:p w14:paraId="6F2F9F94">
      <w:pPr>
        <w:spacing w:before="156" w:beforeLines="50" w:after="156" w:afterLines="50"/>
        <w:outlineLvl w:val="1"/>
        <w:rPr>
          <w:rFonts w:ascii="黑体" w:hAnsi="黑体" w:eastAsia="黑体" w:cs="Times New Roman"/>
          <w:kern w:val="0"/>
          <w:sz w:val="24"/>
          <w:lang w:val="zh-CN"/>
        </w:rPr>
      </w:pPr>
      <w:r>
        <w:rPr>
          <w:rFonts w:hint="eastAsia" w:ascii="黑体" w:hAnsi="黑体" w:eastAsia="黑体" w:cs="Times New Roman"/>
          <w:kern w:val="0"/>
          <w:sz w:val="24"/>
          <w:lang w:val="zh-CN" w:eastAsia="zh-CN"/>
        </w:rPr>
        <w:t>2.3样板区景观方案设计</w:t>
      </w:r>
    </w:p>
    <w:p w14:paraId="0F5314B6">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明确样板区存在类型，为临时或是永久存在形式。若为临时存在，设计时应充分考虑样板区二次利用的可能性；若为永久存在，设计时应充分考虑样板区后期可持续利用的可能性。</w:t>
      </w:r>
    </w:p>
    <w:p w14:paraId="43683E59">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基于景观概念设计成果，乙方进行样板区景观方案设计。乙方应充分考虑营销需求及展示效果，合理设置样板区入口，安排停车场方位，组织游览路线、景观序列以及场地内的各种景观元素，讨论并确定景观要素的尺度、材质、色彩等主要特征，确定软景效果及基调树种骨干树种。注重售楼部建筑与景观的内外空间关系。</w:t>
      </w:r>
    </w:p>
    <w:p w14:paraId="719613D2">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要求园区景观轴线区域尽量规整对称，地形平整无堆坡；宅间景观区域可在道路两侧、建筑周边做自然式堆坡。</w:t>
      </w:r>
    </w:p>
    <w:p w14:paraId="58B799A7">
      <w:pPr>
        <w:widowControl/>
        <w:tabs>
          <w:tab w:val="left" w:pos="284"/>
        </w:tabs>
        <w:spacing w:line="360" w:lineRule="auto"/>
        <w:ind w:right="76" w:firstLine="480" w:firstLineChars="200"/>
        <w:jc w:val="left"/>
        <w:rPr>
          <w:rFonts w:ascii="宋体" w:hAnsi="宋体" w:eastAsia="宋体" w:cs="宋体"/>
          <w:sz w:val="24"/>
        </w:rPr>
      </w:pPr>
    </w:p>
    <w:p w14:paraId="1960BA25">
      <w:pPr>
        <w:widowControl/>
        <w:tabs>
          <w:tab w:val="left" w:pos="284"/>
        </w:tabs>
        <w:spacing w:line="360" w:lineRule="auto"/>
        <w:ind w:right="76"/>
        <w:jc w:val="left"/>
        <w:rPr>
          <w:rFonts w:ascii="宋体" w:hAnsi="宋体" w:eastAsia="宋体" w:cs="宋体"/>
          <w:sz w:val="24"/>
        </w:rPr>
      </w:pPr>
    </w:p>
    <w:p w14:paraId="088E34ED">
      <w:pPr>
        <w:spacing w:before="156" w:beforeLines="50" w:after="156" w:afterLines="50"/>
        <w:outlineLvl w:val="1"/>
        <w:rPr>
          <w:rFonts w:ascii="黑体" w:hAnsi="黑体" w:eastAsia="黑体" w:cs="Times New Roman"/>
          <w:kern w:val="0"/>
          <w:sz w:val="24"/>
          <w:lang w:val="zh-CN"/>
        </w:rPr>
      </w:pPr>
      <w:r>
        <w:rPr>
          <w:rFonts w:hint="eastAsia" w:ascii="黑体" w:hAnsi="黑体" w:eastAsia="黑体" w:cs="Times New Roman"/>
          <w:kern w:val="0"/>
          <w:sz w:val="24"/>
          <w:lang w:val="zh-CN" w:eastAsia="zh-CN"/>
        </w:rPr>
        <w:t>2.4景观方案设计阶段</w:t>
      </w:r>
    </w:p>
    <w:p w14:paraId="306A9DFA">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景观方案设计要满足所有国家标准规范。</w:t>
      </w:r>
    </w:p>
    <w:p w14:paraId="37378479">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设计方案与项目产品定位相匹配，特别考虑产品售价与项目区域定位。</w:t>
      </w:r>
    </w:p>
    <w:p w14:paraId="55867ED8">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基于景观概念设计成果，乙方进行整体景观方案设计。乙方应与甲方深入讨论并确定项目平面布局，梳理竖向关系，明确重要景观节点的形式与尺度（水景、构筑物、出入口等），明确软景效果意向及园区主要树种。</w:t>
      </w:r>
    </w:p>
    <w:p w14:paraId="7495D24B">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要求景观硬质以功能为主，减少不必要的硬地；景观道路、硬质活动场地尽可能与消防通道重合，增加绿地、降低基层处理费用。</w:t>
      </w:r>
    </w:p>
    <w:p w14:paraId="1AE9D0A3">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要求项目高层区域硬软景比例建议为，草坪面积占绿化总面积比例不宜超过；合院公共区域软硬景比例建议为，草坪面积占绿化总面积比例不宜超过。草皮采用普通两季型草。</w:t>
      </w:r>
    </w:p>
    <w:p w14:paraId="0B6B8824">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方案评审时需审核方案是否考虑项目内外配套设施的设计。</w:t>
      </w:r>
    </w:p>
    <w:p w14:paraId="54A1F0BE">
      <w:pPr>
        <w:spacing w:before="156" w:beforeLines="50" w:after="156" w:afterLines="50"/>
        <w:outlineLvl w:val="1"/>
        <w:rPr>
          <w:rFonts w:ascii="宋体" w:hAnsi="黑体" w:eastAsia="黑体" w:cs="宋体"/>
          <w:b/>
          <w:sz w:val="24"/>
          <w:lang w:val="zh-CN"/>
        </w:rPr>
      </w:pPr>
      <w:r>
        <w:rPr>
          <w:rFonts w:hint="eastAsia" w:ascii="黑体" w:hAnsi="黑体" w:eastAsia="黑体" w:cs="Times New Roman"/>
          <w:kern w:val="0"/>
          <w:sz w:val="24"/>
          <w:lang w:val="zh-CN" w:eastAsia="zh-CN"/>
        </w:rPr>
        <w:t>2.5景观</w:t>
      </w:r>
      <w:r>
        <w:rPr>
          <w:rFonts w:hint="eastAsia" w:ascii="黑体" w:hAnsi="黑体" w:eastAsia="黑体" w:cs="Times New Roman"/>
          <w:kern w:val="0"/>
          <w:sz w:val="24"/>
          <w:lang w:val="zh-CN"/>
        </w:rPr>
        <w:t>扩初</w:t>
      </w:r>
      <w:r>
        <w:rPr>
          <w:rFonts w:hint="eastAsia" w:ascii="黑体" w:hAnsi="黑体" w:eastAsia="黑体" w:cs="Times New Roman"/>
          <w:kern w:val="0"/>
          <w:sz w:val="24"/>
          <w:lang w:val="zh-CN" w:eastAsia="zh-CN"/>
        </w:rPr>
        <w:t>设计阶段</w:t>
      </w:r>
      <w:r>
        <w:rPr>
          <w:rFonts w:hint="eastAsia" w:ascii="宋体" w:hAnsi="黑体" w:eastAsia="黑体" w:cs="宋体"/>
          <w:b/>
          <w:sz w:val="24"/>
          <w:lang w:val="zh-CN" w:eastAsia="zh-CN"/>
        </w:rPr>
        <w:tab/>
      </w:r>
    </w:p>
    <w:p w14:paraId="413F1613">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基于景观方案设计成果，乙方进行景观初步设计。与项目各专业工程师协调有关结构设施、地下管线、户外照明设施、水景循环系统等相关问题，完成景观初步设计图纸，并向下游设计单位交底。</w:t>
      </w:r>
    </w:p>
    <w:p w14:paraId="22C5DE9D">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确定包括场地总平面控制尺寸及座标关系、竖向高程及排水关系、材质铺设及材料样板、初步种植定位及物种规格数量、小品及景观构筑物详图等与效果相关的全部技术参数以及景观家具（灯具、标识、休闲凳、垃圾筒、背景音乐等）布点及选型；提供工程量计算供甲方进行成本核算。</w:t>
      </w:r>
    </w:p>
    <w:p w14:paraId="63224E67">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要求园区覆土厚度以建筑结构图纸为准，按园区平均米设计，建筑架空层完成面标高+0.0米，园区主要道路基准标高-0.2米，景观最高堆土厚度控制在米，景观堆坡范围不得超过绿化总面积的30%。</w:t>
      </w:r>
    </w:p>
    <w:p w14:paraId="0135B90E">
      <w:pPr>
        <w:widowControl/>
        <w:tabs>
          <w:tab w:val="left" w:pos="284"/>
        </w:tabs>
        <w:spacing w:line="360" w:lineRule="auto"/>
        <w:ind w:right="74" w:firstLine="480" w:firstLineChars="200"/>
        <w:jc w:val="left"/>
        <w:rPr>
          <w:rFonts w:ascii="宋体" w:hAnsi="宋体" w:eastAsia="宋体" w:cs="宋体"/>
          <w:sz w:val="24"/>
        </w:rPr>
      </w:pPr>
      <w:r>
        <w:rPr>
          <w:rFonts w:hint="eastAsia" w:ascii="宋体" w:hAnsi="宋体" w:eastAsia="宋体" w:cs="宋体"/>
          <w:sz w:val="24"/>
        </w:rPr>
        <w:t>使用者无法接触的立面如围墙、景墙等，可选择和建筑裙房相同或相近的真石漆等喷涂材料做面层。使用者可接触石材，原则上同地面铺装材质。</w:t>
      </w:r>
    </w:p>
    <w:p w14:paraId="037C9F5D">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需明确硬质、软景等所有主要材料。从成本角度考虑易损耗材料的替换，以及</w:t>
      </w:r>
      <w:r>
        <w:rPr>
          <w:rFonts w:ascii="宋体" w:hAnsi="宋体" w:eastAsia="宋体" w:cs="宋体"/>
          <w:sz w:val="24"/>
        </w:rPr>
        <w:t>PC</w:t>
      </w:r>
      <w:r>
        <w:rPr>
          <w:rFonts w:hint="eastAsia" w:ascii="宋体" w:hAnsi="宋体" w:eastAsia="宋体" w:cs="宋体"/>
          <w:sz w:val="24"/>
        </w:rPr>
        <w:t>等可再生材料的使用。</w:t>
      </w:r>
    </w:p>
    <w:p w14:paraId="0AB8EC6D">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地面铺装材质及样式：常规地面石材种类不宜超过3种。主要可使用黄锈、贵妇红、中国黑等国产优质石材。</w:t>
      </w:r>
    </w:p>
    <w:p w14:paraId="35BEE417">
      <w:pPr>
        <w:widowControl/>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游泳池马赛克材料色系选择须符合项目当地游泳池验收规范。</w:t>
      </w:r>
    </w:p>
    <w:p w14:paraId="152C3B50">
      <w:pPr>
        <w:widowControl/>
        <w:spacing w:line="360" w:lineRule="auto"/>
        <w:ind w:right="76"/>
        <w:jc w:val="left"/>
        <w:rPr>
          <w:rFonts w:ascii="宋体" w:hAnsi="宋体" w:eastAsia="宋体" w:cs="宋体"/>
          <w:sz w:val="24"/>
        </w:rPr>
      </w:pPr>
    </w:p>
    <w:p w14:paraId="41E2B118">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2.6景观施工</w:t>
      </w:r>
      <w:r>
        <w:rPr>
          <w:rFonts w:hint="eastAsia" w:ascii="黑体" w:hAnsi="黑体" w:eastAsia="黑体" w:cs="Times New Roman"/>
          <w:sz w:val="24"/>
          <w:lang w:val="zh-CN" w:eastAsia="zh-CN"/>
        </w:rPr>
        <w:t>图</w:t>
      </w:r>
      <w:r>
        <w:rPr>
          <w:rFonts w:hint="eastAsia" w:ascii="黑体" w:hAnsi="黑体" w:eastAsia="黑体" w:cs="Times New Roman"/>
          <w:kern w:val="0"/>
          <w:sz w:val="24"/>
          <w:lang w:val="zh-CN" w:eastAsia="zh-CN"/>
        </w:rPr>
        <w:t>设计阶段</w:t>
      </w:r>
    </w:p>
    <w:p w14:paraId="1A7DA79E">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所有图纸（包括总图、节点做法大样、消防通道、标高、尺寸、材料、结构、防水、土木、水电、绿化、水景、小品、标识系统、灯具等图纸）均应在本阶段完成，并已达施工要求。</w:t>
      </w:r>
    </w:p>
    <w:p w14:paraId="5EA63323">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雕塑、儿童活动设施、老人活动设施、专项水景等配套专项设计需在此阶段完成施工图设计与审核。</w:t>
      </w:r>
    </w:p>
    <w:p w14:paraId="2308CDB3">
      <w:pPr>
        <w:spacing w:before="156" w:beforeLines="50" w:after="156" w:afterLines="50"/>
        <w:outlineLvl w:val="1"/>
        <w:rPr>
          <w:rFonts w:ascii="宋体" w:hAnsi="黑体" w:eastAsia="黑体" w:cs="宋体"/>
          <w:b/>
          <w:sz w:val="24"/>
          <w:lang w:val="zh-CN" w:eastAsia="zh-CN"/>
        </w:rPr>
      </w:pPr>
      <w:r>
        <w:rPr>
          <w:rFonts w:hint="eastAsia" w:ascii="黑体" w:hAnsi="黑体" w:eastAsia="黑体" w:cs="Times New Roman"/>
          <w:kern w:val="0"/>
          <w:sz w:val="24"/>
          <w:lang w:val="zh-CN" w:eastAsia="zh-CN"/>
        </w:rPr>
        <w:t>2.7施工过程把控</w:t>
      </w:r>
    </w:p>
    <w:p w14:paraId="704A9BA6">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施工过程中，乙方需协同甲方进行现场效果把控。根据甲乙双方共同选择的关键节点进行现场巡查，并提出修改意见。</w:t>
      </w:r>
    </w:p>
    <w:p w14:paraId="014C4D40">
      <w:pPr>
        <w:spacing w:line="360" w:lineRule="auto"/>
        <w:ind w:firstLine="600" w:firstLineChars="200"/>
        <w:jc w:val="center"/>
        <w:rPr>
          <w:rFonts w:ascii="黑体" w:hAnsi="黑体" w:eastAsia="黑体" w:cs="Times New Roman"/>
          <w:sz w:val="30"/>
          <w:szCs w:val="30"/>
        </w:rPr>
      </w:pPr>
      <w:r>
        <w:rPr>
          <w:rFonts w:ascii="黑体" w:hAnsi="黑体" w:eastAsia="黑体" w:cs="Times New Roman"/>
          <w:sz w:val="30"/>
          <w:szCs w:val="30"/>
        </w:rPr>
        <w:tab/>
      </w:r>
    </w:p>
    <w:p w14:paraId="35B71D87">
      <w:pPr>
        <w:spacing w:line="360" w:lineRule="auto"/>
        <w:ind w:firstLine="600" w:firstLineChars="200"/>
        <w:jc w:val="center"/>
        <w:rPr>
          <w:rFonts w:ascii="黑体" w:hAnsi="黑体" w:eastAsia="黑体" w:cs="Times New Roman"/>
          <w:sz w:val="32"/>
          <w:szCs w:val="32"/>
        </w:rPr>
      </w:pPr>
      <w:r>
        <w:rPr>
          <w:rFonts w:ascii="黑体" w:hAnsi="黑体" w:eastAsia="黑体" w:cs="Times New Roman"/>
          <w:sz w:val="30"/>
          <w:szCs w:val="30"/>
        </w:rPr>
        <w:br w:type="page"/>
      </w:r>
      <w:r>
        <w:rPr>
          <w:rFonts w:hint="eastAsia" w:ascii="黑体" w:hAnsi="黑体" w:eastAsia="黑体" w:cs="Times New Roman"/>
          <w:sz w:val="32"/>
          <w:szCs w:val="32"/>
        </w:rPr>
        <w:t>第五章 景观造价控制</w:t>
      </w:r>
    </w:p>
    <w:p w14:paraId="6C1D6BA7">
      <w:pPr>
        <w:keepNext/>
        <w:keepLines/>
        <w:spacing w:before="156" w:beforeLines="50" w:after="156" w:afterLines="50"/>
        <w:outlineLvl w:val="0"/>
        <w:rPr>
          <w:rFonts w:ascii="宋体" w:hAnsi="黑体" w:eastAsia="黑体" w:cs="宋体"/>
          <w:b/>
          <w:bCs/>
          <w:kern w:val="44"/>
          <w:sz w:val="24"/>
          <w:szCs w:val="44"/>
          <w:lang w:val="zh-CN" w:eastAsia="zh-CN"/>
        </w:rPr>
      </w:pPr>
      <w:r>
        <w:rPr>
          <w:rFonts w:hint="eastAsia" w:ascii="黑体" w:hAnsi="黑体" w:eastAsia="黑体" w:cs="Times New Roman"/>
          <w:bCs/>
          <w:kern w:val="44"/>
          <w:sz w:val="24"/>
          <w:szCs w:val="44"/>
          <w:lang w:val="zh-CN" w:eastAsia="zh-CN"/>
        </w:rPr>
        <w:t>1 景观目标成本</w:t>
      </w:r>
    </w:p>
    <w:p w14:paraId="7C12A819">
      <w:pPr>
        <w:widowControl/>
        <w:tabs>
          <w:tab w:val="left" w:pos="284"/>
        </w:tabs>
        <w:spacing w:line="360" w:lineRule="auto"/>
        <w:ind w:left="1260" w:leftChars="200" w:right="76" w:hanging="840" w:hangingChars="350"/>
        <w:jc w:val="left"/>
        <w:rPr>
          <w:rFonts w:ascii="宋体" w:hAnsi="宋体" w:eastAsia="宋体" w:cs="宋体"/>
          <w:sz w:val="24"/>
        </w:rPr>
      </w:pPr>
      <w:r>
        <w:rPr>
          <w:rFonts w:hint="eastAsia" w:ascii="宋体" w:hAnsi="宋体" w:eastAsia="宋体" w:cs="宋体"/>
          <w:sz w:val="24"/>
        </w:rPr>
        <w:t>景观设计委托面积</w:t>
      </w:r>
      <w:r>
        <w:rPr>
          <w:rFonts w:hint="eastAsia" w:ascii="宋体" w:hAnsi="宋体" w:eastAsia="宋体" w:cs="宋体"/>
          <w:sz w:val="24"/>
          <w:u w:val="single"/>
          <w:lang w:val="en-US" w:eastAsia="zh-CN"/>
        </w:rPr>
        <w:t>30787</w:t>
      </w:r>
      <w:r>
        <w:rPr>
          <w:rFonts w:hint="eastAsia" w:ascii="宋体" w:hAnsi="宋体" w:eastAsia="宋体" w:cs="宋体"/>
          <w:sz w:val="24"/>
        </w:rPr>
        <w:t>平方米，景观营造总面积</w:t>
      </w:r>
      <w:r>
        <w:rPr>
          <w:rFonts w:hint="eastAsia" w:ascii="宋体" w:hAnsi="宋体" w:eastAsia="宋体" w:cs="宋体"/>
          <w:sz w:val="24"/>
          <w:u w:val="single"/>
          <w:lang w:val="en-US" w:eastAsia="zh-CN"/>
        </w:rPr>
        <w:t>30787</w:t>
      </w:r>
      <w:r>
        <w:rPr>
          <w:rFonts w:hint="eastAsia" w:ascii="宋体" w:hAnsi="宋体" w:eastAsia="宋体" w:cs="宋体"/>
          <w:sz w:val="24"/>
        </w:rPr>
        <w:t>平方米。</w:t>
      </w:r>
    </w:p>
    <w:p w14:paraId="440C3121">
      <w:pPr>
        <w:widowControl/>
        <w:tabs>
          <w:tab w:val="left" w:pos="284"/>
        </w:tabs>
        <w:spacing w:line="360" w:lineRule="auto"/>
        <w:ind w:left="1260" w:leftChars="200" w:right="76" w:hanging="840" w:hangingChars="350"/>
        <w:jc w:val="left"/>
        <w:rPr>
          <w:rFonts w:hint="eastAsia" w:ascii="宋体" w:hAnsi="宋体" w:eastAsia="宋体" w:cs="宋体"/>
          <w:sz w:val="24"/>
        </w:rPr>
      </w:pPr>
      <w:r>
        <w:rPr>
          <w:rFonts w:hint="eastAsia" w:ascii="宋体" w:hAnsi="宋体" w:eastAsia="宋体" w:cs="宋体"/>
          <w:sz w:val="24"/>
        </w:rPr>
        <w:t>景观单方目标成本</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806</w:t>
      </w:r>
      <w:r>
        <w:rPr>
          <w:rFonts w:hint="eastAsia" w:ascii="宋体" w:hAnsi="宋体" w:eastAsia="宋体" w:cs="宋体"/>
          <w:sz w:val="24"/>
        </w:rPr>
        <w:t>元/㎡，景观总费用预算为</w:t>
      </w:r>
      <w:r>
        <w:rPr>
          <w:rFonts w:hint="eastAsia" w:ascii="宋体" w:hAnsi="宋体" w:eastAsia="宋体" w:cs="宋体"/>
          <w:sz w:val="24"/>
          <w:lang w:val="en-US" w:eastAsia="zh-CN"/>
        </w:rPr>
        <w:t xml:space="preserve"> </w:t>
      </w:r>
      <w:r>
        <w:rPr>
          <w:rFonts w:hint="eastAsia" w:ascii="宋体" w:hAnsi="宋体" w:eastAsia="宋体" w:cs="宋体"/>
          <w:sz w:val="24"/>
          <w:u w:val="single"/>
          <w:lang w:val="en-US" w:eastAsia="zh-CN"/>
        </w:rPr>
        <w:t>2480.69</w:t>
      </w:r>
      <w:r>
        <w:rPr>
          <w:rFonts w:hint="eastAsia" w:ascii="宋体" w:hAnsi="宋体" w:eastAsia="宋体" w:cs="宋体"/>
          <w:sz w:val="24"/>
        </w:rPr>
        <w:t>万元。</w:t>
      </w:r>
    </w:p>
    <w:p w14:paraId="49F96E38">
      <w:pPr>
        <w:widowControl/>
        <w:tabs>
          <w:tab w:val="left" w:pos="284"/>
        </w:tabs>
        <w:spacing w:line="360" w:lineRule="auto"/>
        <w:ind w:right="76"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lang w:val="en-US" w:eastAsia="zh-CN"/>
        </w:rPr>
        <w:t>设计单方建造标准不得超出成本限额的</w:t>
      </w:r>
      <w:r>
        <w:rPr>
          <w:rFonts w:hint="eastAsia" w:ascii="宋体" w:hAnsi="宋体" w:eastAsia="宋体" w:cs="宋体"/>
          <w:sz w:val="24"/>
          <w:highlight w:val="none"/>
          <w:u w:val="single"/>
          <w:lang w:val="en-US" w:eastAsia="zh-CN"/>
        </w:rPr>
        <w:t xml:space="preserve">   95%  </w:t>
      </w:r>
      <w:r>
        <w:rPr>
          <w:rFonts w:hint="eastAsia" w:ascii="宋体" w:hAnsi="宋体" w:eastAsia="宋体" w:cs="宋体"/>
          <w:sz w:val="24"/>
          <w:highlight w:val="none"/>
          <w:lang w:val="en-US" w:eastAsia="zh-CN"/>
        </w:rPr>
        <w:t>（须保留5%的不可预见费用），若超出需要无条件配合调整到位。</w:t>
      </w:r>
    </w:p>
    <w:p w14:paraId="10569E48">
      <w:pPr>
        <w:tabs>
          <w:tab w:val="left" w:pos="284"/>
        </w:tabs>
        <w:spacing w:line="360" w:lineRule="auto"/>
        <w:ind w:right="76" w:firstLine="480" w:firstLineChars="200"/>
        <w:rPr>
          <w:rFonts w:hint="default" w:ascii="宋体" w:hAnsi="宋体" w:eastAsia="宋体" w:cs="宋体"/>
          <w:sz w:val="24"/>
          <w:lang w:val="en-US"/>
        </w:rPr>
      </w:pPr>
      <w:r>
        <w:rPr>
          <w:rFonts w:hint="eastAsia" w:ascii="宋体" w:hAnsi="宋体" w:eastAsia="宋体" w:cs="宋体"/>
          <w:sz w:val="24"/>
        </w:rPr>
        <w:t>其中，</w:t>
      </w:r>
      <w:bookmarkStart w:id="12" w:name="OLE_LINK1"/>
      <w:r>
        <w:rPr>
          <w:rFonts w:hint="eastAsia" w:ascii="宋体" w:hAnsi="宋体" w:eastAsia="宋体" w:cs="宋体"/>
          <w:sz w:val="24"/>
        </w:rPr>
        <w:t>红线内住宅</w:t>
      </w:r>
      <w:r>
        <w:rPr>
          <w:rFonts w:ascii="宋体" w:hAnsi="宋体" w:eastAsia="宋体" w:cs="宋体"/>
          <w:sz w:val="24"/>
        </w:rPr>
        <w:t>区户外景观</w:t>
      </w:r>
      <w:r>
        <w:rPr>
          <w:rFonts w:hint="eastAsia" w:ascii="宋体" w:hAnsi="宋体" w:eastAsia="宋体" w:cs="宋体"/>
          <w:sz w:val="24"/>
        </w:rPr>
        <w:t>面积</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27378</w:t>
      </w:r>
      <w:r>
        <w:rPr>
          <w:rFonts w:hint="eastAsia" w:ascii="宋体" w:hAnsi="宋体" w:eastAsia="宋体" w:cs="宋体"/>
          <w:sz w:val="24"/>
          <w:u w:val="single"/>
        </w:rPr>
        <w:t xml:space="preserve"> </w:t>
      </w:r>
      <w:r>
        <w:rPr>
          <w:rFonts w:hint="eastAsia" w:ascii="宋体" w:hAnsi="宋体" w:eastAsia="宋体" w:cs="宋体"/>
          <w:sz w:val="24"/>
        </w:rPr>
        <w:t>平方米，</w:t>
      </w:r>
      <w:r>
        <w:rPr>
          <w:rFonts w:hint="eastAsia" w:ascii="宋体" w:hAnsi="宋体" w:eastAsia="宋体" w:cs="宋体"/>
          <w:sz w:val="24"/>
          <w:lang w:val="en-US" w:eastAsia="zh-CN"/>
        </w:rPr>
        <w:t>其中示范区景观面积</w:t>
      </w:r>
      <w:r>
        <w:rPr>
          <w:rFonts w:hint="eastAsia" w:ascii="宋体" w:hAnsi="宋体" w:eastAsia="宋体" w:cs="宋体"/>
          <w:sz w:val="24"/>
          <w:u w:val="single"/>
          <w:lang w:val="en-US" w:eastAsia="zh-CN"/>
        </w:rPr>
        <w:t>3000</w:t>
      </w:r>
      <w:r>
        <w:rPr>
          <w:rFonts w:hint="eastAsia" w:ascii="宋体" w:hAnsi="宋体" w:eastAsia="宋体" w:cs="宋体"/>
          <w:sz w:val="24"/>
          <w:lang w:val="en-US" w:eastAsia="zh-CN"/>
        </w:rPr>
        <w:t>平方米；红线外景观面积</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3409</w:t>
      </w:r>
      <w:r>
        <w:rPr>
          <w:rFonts w:hint="eastAsia" w:ascii="宋体" w:hAnsi="宋体" w:eastAsia="宋体" w:cs="宋体"/>
          <w:sz w:val="24"/>
          <w:u w:val="single"/>
        </w:rPr>
        <w:t xml:space="preserve"> </w:t>
      </w:r>
      <w:r>
        <w:rPr>
          <w:rFonts w:hint="eastAsia" w:ascii="宋体" w:hAnsi="宋体" w:eastAsia="宋体" w:cs="宋体"/>
          <w:sz w:val="24"/>
        </w:rPr>
        <w:t>平方米</w:t>
      </w:r>
      <w:bookmarkEnd w:id="12"/>
    </w:p>
    <w:p w14:paraId="19F59115">
      <w:pPr>
        <w:keepNext/>
        <w:keepLines/>
        <w:spacing w:before="156" w:beforeLines="50" w:after="156" w:afterLines="50"/>
        <w:outlineLvl w:val="0"/>
        <w:rPr>
          <w:rFonts w:ascii="黑体" w:hAnsi="黑体" w:eastAsia="黑体" w:cs="Times New Roman"/>
          <w:bCs/>
          <w:kern w:val="44"/>
          <w:sz w:val="24"/>
          <w:szCs w:val="44"/>
          <w:lang w:val="zh-CN"/>
        </w:rPr>
      </w:pPr>
      <w:r>
        <w:rPr>
          <w:rFonts w:hint="eastAsia" w:ascii="黑体" w:hAnsi="黑体" w:eastAsia="黑体" w:cs="Times New Roman"/>
          <w:bCs/>
          <w:kern w:val="44"/>
          <w:sz w:val="24"/>
          <w:szCs w:val="44"/>
          <w:lang w:val="zh-CN" w:eastAsia="zh-CN"/>
        </w:rPr>
        <w:t>2 景观成本</w:t>
      </w:r>
    </w:p>
    <w:p w14:paraId="32373F5E">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根据不同建筑类型分配后成本如下表所示：</w:t>
      </w:r>
    </w:p>
    <w:p w14:paraId="6962C2B3">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景观营造过程中，需重点打造区，形成仪式感强烈、景观节点丰富的轴线景观。建议区面积约方，区域中央轴线面积约方。景观成本如下表：</w:t>
      </w:r>
    </w:p>
    <w:tbl>
      <w:tblPr>
        <w:tblStyle w:val="9"/>
        <w:tblW w:w="0" w:type="auto"/>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04"/>
        <w:gridCol w:w="1440"/>
        <w:gridCol w:w="2208"/>
        <w:gridCol w:w="2268"/>
      </w:tblGrid>
      <w:tr w14:paraId="49FC7D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8520" w:type="dxa"/>
            <w:gridSpan w:val="4"/>
            <w:vAlign w:val="center"/>
          </w:tcPr>
          <w:p w14:paraId="57B8F9FA">
            <w:pPr>
              <w:widowControl/>
              <w:tabs>
                <w:tab w:val="left" w:pos="284"/>
              </w:tabs>
              <w:spacing w:line="360" w:lineRule="auto"/>
              <w:ind w:right="76" w:firstLine="482" w:firstLineChars="200"/>
              <w:jc w:val="center"/>
              <w:rPr>
                <w:rFonts w:ascii="宋体" w:hAnsi="宋体" w:eastAsia="宋体" w:cs="宋体"/>
                <w:b/>
                <w:sz w:val="24"/>
              </w:rPr>
            </w:pPr>
            <w:r>
              <w:rPr>
                <w:rFonts w:hint="eastAsia" w:ascii="宋体" w:hAnsi="宋体" w:eastAsia="宋体" w:cs="宋体"/>
                <w:b/>
                <w:sz w:val="24"/>
              </w:rPr>
              <w:t>项目景观成本分配表</w:t>
            </w:r>
          </w:p>
        </w:tc>
      </w:tr>
      <w:tr w14:paraId="00C31C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2604" w:type="dxa"/>
            <w:vAlign w:val="center"/>
          </w:tcPr>
          <w:p w14:paraId="78EE93F7">
            <w:pPr>
              <w:spacing w:line="360" w:lineRule="auto"/>
              <w:jc w:val="center"/>
              <w:outlineLvl w:val="2"/>
              <w:rPr>
                <w:rFonts w:ascii="宋体" w:hAnsi="宋体" w:eastAsia="宋体" w:cs="Times New Roman"/>
                <w:b/>
                <w:sz w:val="24"/>
              </w:rPr>
            </w:pPr>
            <w:r>
              <w:rPr>
                <w:rFonts w:hint="eastAsia" w:ascii="宋体" w:hAnsi="宋体" w:eastAsia="宋体" w:cs="Times New Roman"/>
                <w:b/>
                <w:sz w:val="24"/>
              </w:rPr>
              <w:t>区域</w:t>
            </w:r>
          </w:p>
        </w:tc>
        <w:tc>
          <w:tcPr>
            <w:tcW w:w="1440" w:type="dxa"/>
            <w:vAlign w:val="center"/>
          </w:tcPr>
          <w:p w14:paraId="35710EDE">
            <w:pPr>
              <w:spacing w:line="360" w:lineRule="auto"/>
              <w:jc w:val="center"/>
              <w:outlineLvl w:val="2"/>
              <w:rPr>
                <w:rFonts w:ascii="宋体" w:hAnsi="宋体" w:eastAsia="宋体" w:cs="Times New Roman"/>
                <w:b/>
                <w:sz w:val="24"/>
              </w:rPr>
            </w:pPr>
            <w:r>
              <w:rPr>
                <w:rFonts w:hint="eastAsia" w:ascii="宋体" w:hAnsi="宋体" w:eastAsia="宋体" w:cs="Times New Roman"/>
                <w:b/>
                <w:sz w:val="24"/>
              </w:rPr>
              <w:t>景观面积</w:t>
            </w:r>
          </w:p>
        </w:tc>
        <w:tc>
          <w:tcPr>
            <w:tcW w:w="2208" w:type="dxa"/>
            <w:vAlign w:val="center"/>
          </w:tcPr>
          <w:p w14:paraId="42817835">
            <w:pPr>
              <w:spacing w:line="360" w:lineRule="auto"/>
              <w:jc w:val="center"/>
              <w:outlineLvl w:val="2"/>
              <w:rPr>
                <w:rFonts w:ascii="宋体" w:hAnsi="宋体" w:eastAsia="宋体" w:cs="Times New Roman"/>
                <w:b/>
                <w:sz w:val="24"/>
              </w:rPr>
            </w:pPr>
            <w:r>
              <w:rPr>
                <w:rFonts w:hint="eastAsia" w:ascii="宋体" w:hAnsi="宋体" w:eastAsia="宋体" w:cs="Times New Roman"/>
                <w:b/>
                <w:sz w:val="24"/>
              </w:rPr>
              <w:t>单方造价（元）</w:t>
            </w:r>
          </w:p>
        </w:tc>
        <w:tc>
          <w:tcPr>
            <w:tcW w:w="2268" w:type="dxa"/>
            <w:vAlign w:val="center"/>
          </w:tcPr>
          <w:p w14:paraId="1B2713A7">
            <w:pPr>
              <w:spacing w:line="360" w:lineRule="auto"/>
              <w:jc w:val="center"/>
              <w:outlineLvl w:val="2"/>
              <w:rPr>
                <w:rFonts w:ascii="宋体" w:hAnsi="宋体" w:eastAsia="宋体" w:cs="Times New Roman"/>
                <w:b/>
                <w:sz w:val="24"/>
              </w:rPr>
            </w:pPr>
            <w:r>
              <w:rPr>
                <w:rFonts w:hint="eastAsia" w:ascii="宋体" w:hAnsi="宋体" w:eastAsia="宋体" w:cs="Times New Roman"/>
                <w:b/>
                <w:sz w:val="24"/>
              </w:rPr>
              <w:t>景观总价（</w:t>
            </w:r>
            <w:r>
              <w:rPr>
                <w:rFonts w:hint="eastAsia" w:ascii="宋体" w:hAnsi="宋体" w:eastAsia="宋体" w:cs="Times New Roman"/>
                <w:b/>
                <w:sz w:val="24"/>
                <w:lang w:val="en-US" w:eastAsia="zh-CN"/>
              </w:rPr>
              <w:t>万</w:t>
            </w:r>
            <w:r>
              <w:rPr>
                <w:rFonts w:hint="eastAsia" w:ascii="宋体" w:hAnsi="宋体" w:eastAsia="宋体" w:cs="Times New Roman"/>
                <w:b/>
                <w:sz w:val="24"/>
              </w:rPr>
              <w:t>元）</w:t>
            </w:r>
          </w:p>
        </w:tc>
      </w:tr>
      <w:tr w14:paraId="01C3A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604" w:type="dxa"/>
            <w:vAlign w:val="center"/>
          </w:tcPr>
          <w:p w14:paraId="633AB86F">
            <w:pPr>
              <w:widowControl/>
              <w:tabs>
                <w:tab w:val="left" w:pos="284"/>
              </w:tabs>
              <w:spacing w:line="360" w:lineRule="auto"/>
              <w:ind w:right="76" w:rightChars="0"/>
              <w:jc w:val="left"/>
              <w:rPr>
                <w:rFonts w:hint="default" w:ascii="宋体" w:hAnsi="宋体" w:eastAsia="宋体" w:cs="宋体"/>
                <w:sz w:val="24"/>
                <w:lang w:val="en-US" w:eastAsia="zh-CN"/>
              </w:rPr>
            </w:pPr>
            <w:r>
              <w:rPr>
                <w:rFonts w:hint="eastAsia" w:ascii="宋体" w:hAnsi="宋体" w:eastAsia="宋体" w:cs="宋体"/>
                <w:sz w:val="24"/>
                <w:lang w:val="en-US" w:eastAsia="zh-CN"/>
              </w:rPr>
              <w:t>红线内示范区</w:t>
            </w:r>
          </w:p>
        </w:tc>
        <w:tc>
          <w:tcPr>
            <w:tcW w:w="1440" w:type="dxa"/>
            <w:vAlign w:val="center"/>
          </w:tcPr>
          <w:p w14:paraId="312A927D">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3000</w:t>
            </w:r>
          </w:p>
        </w:tc>
        <w:tc>
          <w:tcPr>
            <w:tcW w:w="2208" w:type="dxa"/>
            <w:vAlign w:val="center"/>
          </w:tcPr>
          <w:p w14:paraId="7340CF5B">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1200</w:t>
            </w:r>
          </w:p>
        </w:tc>
        <w:tc>
          <w:tcPr>
            <w:tcW w:w="2268" w:type="dxa"/>
            <w:vAlign w:val="center"/>
          </w:tcPr>
          <w:p w14:paraId="0CBCA02D">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360</w:t>
            </w:r>
          </w:p>
        </w:tc>
      </w:tr>
      <w:tr w14:paraId="5DCBCA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604" w:type="dxa"/>
            <w:vAlign w:val="center"/>
          </w:tcPr>
          <w:p w14:paraId="3ED96A7C">
            <w:pPr>
              <w:widowControl/>
              <w:tabs>
                <w:tab w:val="left" w:pos="284"/>
              </w:tabs>
              <w:spacing w:line="360" w:lineRule="auto"/>
              <w:ind w:right="76" w:rightChars="0"/>
              <w:jc w:val="left"/>
              <w:rPr>
                <w:rFonts w:hint="default" w:ascii="宋体" w:hAnsi="宋体" w:eastAsia="宋体" w:cs="宋体"/>
                <w:sz w:val="24"/>
                <w:lang w:val="en-US" w:eastAsia="zh-CN"/>
              </w:rPr>
            </w:pPr>
            <w:r>
              <w:rPr>
                <w:rFonts w:hint="eastAsia" w:ascii="宋体" w:hAnsi="宋体" w:eastAsia="宋体" w:cs="宋体"/>
                <w:sz w:val="24"/>
                <w:lang w:val="en-US" w:eastAsia="zh-CN"/>
              </w:rPr>
              <w:t>红线内大区</w:t>
            </w:r>
          </w:p>
        </w:tc>
        <w:tc>
          <w:tcPr>
            <w:tcW w:w="1440" w:type="dxa"/>
            <w:vAlign w:val="center"/>
          </w:tcPr>
          <w:p w14:paraId="49F3B7F0">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24378</w:t>
            </w:r>
          </w:p>
        </w:tc>
        <w:tc>
          <w:tcPr>
            <w:tcW w:w="2208" w:type="dxa"/>
            <w:vAlign w:val="center"/>
          </w:tcPr>
          <w:p w14:paraId="08FAC84F">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700</w:t>
            </w:r>
          </w:p>
        </w:tc>
        <w:tc>
          <w:tcPr>
            <w:tcW w:w="2268" w:type="dxa"/>
            <w:vAlign w:val="center"/>
          </w:tcPr>
          <w:p w14:paraId="1699400A">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1950.24</w:t>
            </w:r>
          </w:p>
        </w:tc>
      </w:tr>
      <w:tr w14:paraId="325E4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604" w:type="dxa"/>
            <w:vAlign w:val="center"/>
          </w:tcPr>
          <w:p w14:paraId="7BB3988D">
            <w:pPr>
              <w:widowControl/>
              <w:tabs>
                <w:tab w:val="left" w:pos="284"/>
              </w:tabs>
              <w:spacing w:line="360" w:lineRule="auto"/>
              <w:ind w:right="76" w:rightChars="0"/>
              <w:jc w:val="left"/>
              <w:rPr>
                <w:rFonts w:hint="default" w:ascii="宋体" w:hAnsi="宋体" w:eastAsia="宋体" w:cs="宋体"/>
                <w:sz w:val="24"/>
                <w:lang w:val="en-US" w:eastAsia="zh-CN"/>
              </w:rPr>
            </w:pPr>
            <w:r>
              <w:rPr>
                <w:rFonts w:hint="eastAsia" w:ascii="宋体" w:hAnsi="宋体" w:eastAsia="宋体" w:cs="宋体"/>
                <w:sz w:val="24"/>
                <w:lang w:val="en-US" w:eastAsia="zh-CN"/>
              </w:rPr>
              <w:t>红线外公共绿地</w:t>
            </w:r>
          </w:p>
        </w:tc>
        <w:tc>
          <w:tcPr>
            <w:tcW w:w="1440" w:type="dxa"/>
            <w:vAlign w:val="center"/>
          </w:tcPr>
          <w:p w14:paraId="61FE4C96">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3409</w:t>
            </w:r>
          </w:p>
        </w:tc>
        <w:tc>
          <w:tcPr>
            <w:tcW w:w="2208" w:type="dxa"/>
            <w:vAlign w:val="center"/>
          </w:tcPr>
          <w:p w14:paraId="59468A14">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500</w:t>
            </w:r>
          </w:p>
        </w:tc>
        <w:tc>
          <w:tcPr>
            <w:tcW w:w="2268" w:type="dxa"/>
            <w:vAlign w:val="center"/>
          </w:tcPr>
          <w:p w14:paraId="62B69CA1">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170.45</w:t>
            </w:r>
          </w:p>
        </w:tc>
      </w:tr>
      <w:tr w14:paraId="55563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2604" w:type="dxa"/>
            <w:vAlign w:val="center"/>
          </w:tcPr>
          <w:p w14:paraId="5E2141DA">
            <w:pPr>
              <w:widowControl/>
              <w:tabs>
                <w:tab w:val="left" w:pos="284"/>
              </w:tabs>
              <w:spacing w:line="360" w:lineRule="auto"/>
              <w:ind w:right="76" w:rightChars="0" w:firstLine="480" w:firstLineChars="200"/>
              <w:jc w:val="center"/>
              <w:rPr>
                <w:rFonts w:ascii="宋体" w:hAnsi="宋体" w:eastAsia="宋体" w:cs="宋体"/>
                <w:sz w:val="24"/>
              </w:rPr>
            </w:pPr>
            <w:r>
              <w:rPr>
                <w:rFonts w:hint="eastAsia" w:ascii="宋体" w:hAnsi="宋体" w:eastAsia="宋体" w:cs="宋体"/>
                <w:sz w:val="24"/>
              </w:rPr>
              <w:t>总计</w:t>
            </w:r>
          </w:p>
        </w:tc>
        <w:tc>
          <w:tcPr>
            <w:tcW w:w="1440" w:type="dxa"/>
            <w:vAlign w:val="center"/>
          </w:tcPr>
          <w:p w14:paraId="1292455B">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30787</w:t>
            </w:r>
          </w:p>
        </w:tc>
        <w:tc>
          <w:tcPr>
            <w:tcW w:w="2208" w:type="dxa"/>
            <w:vAlign w:val="center"/>
          </w:tcPr>
          <w:p w14:paraId="706A6572">
            <w:pPr>
              <w:widowControl/>
              <w:tabs>
                <w:tab w:val="left" w:pos="284"/>
              </w:tabs>
              <w:spacing w:line="360" w:lineRule="auto"/>
              <w:ind w:right="76" w:rightChars="0" w:firstLine="960" w:firstLineChars="400"/>
              <w:jc w:val="both"/>
              <w:rPr>
                <w:rFonts w:hint="default" w:ascii="宋体" w:hAnsi="宋体" w:eastAsia="宋体" w:cs="宋体"/>
                <w:sz w:val="24"/>
                <w:lang w:val="en-US" w:eastAsia="zh-CN"/>
              </w:rPr>
            </w:pPr>
            <w:r>
              <w:rPr>
                <w:rFonts w:hint="eastAsia" w:ascii="宋体" w:hAnsi="宋体" w:eastAsia="宋体" w:cs="宋体"/>
                <w:sz w:val="24"/>
                <w:lang w:val="en-US" w:eastAsia="zh-CN"/>
              </w:rPr>
              <w:t>/</w:t>
            </w:r>
          </w:p>
        </w:tc>
        <w:tc>
          <w:tcPr>
            <w:tcW w:w="2268" w:type="dxa"/>
            <w:vAlign w:val="center"/>
          </w:tcPr>
          <w:p w14:paraId="33A725DA">
            <w:pPr>
              <w:widowControl/>
              <w:tabs>
                <w:tab w:val="left" w:pos="284"/>
              </w:tabs>
              <w:spacing w:line="360" w:lineRule="auto"/>
              <w:ind w:right="76" w:rightChars="0"/>
              <w:jc w:val="center"/>
              <w:rPr>
                <w:rFonts w:hint="default" w:ascii="宋体" w:hAnsi="宋体" w:eastAsia="宋体" w:cs="宋体"/>
                <w:sz w:val="24"/>
                <w:lang w:val="en-US" w:eastAsia="zh-CN"/>
              </w:rPr>
            </w:pPr>
            <w:r>
              <w:rPr>
                <w:rFonts w:hint="eastAsia" w:ascii="宋体" w:hAnsi="宋体" w:eastAsia="宋体" w:cs="宋体"/>
                <w:sz w:val="24"/>
                <w:lang w:val="en-US" w:eastAsia="zh-CN"/>
              </w:rPr>
              <w:t>2480.69</w:t>
            </w:r>
          </w:p>
        </w:tc>
      </w:tr>
    </w:tbl>
    <w:p w14:paraId="7BE948CF">
      <w:pPr>
        <w:widowControl/>
        <w:spacing w:line="360" w:lineRule="auto"/>
        <w:ind w:right="76"/>
        <w:rPr>
          <w:rFonts w:hint="eastAsia" w:ascii="宋体" w:hAnsi="宋体" w:eastAsia="宋体" w:cs="宋体"/>
          <w:sz w:val="24"/>
          <w:lang w:eastAsia="zh-CN"/>
        </w:rPr>
      </w:pPr>
    </w:p>
    <w:p w14:paraId="7968E9C6">
      <w:pPr>
        <w:widowControl/>
        <w:tabs>
          <w:tab w:val="left" w:pos="284"/>
        </w:tabs>
        <w:spacing w:line="360" w:lineRule="auto"/>
        <w:ind w:right="76" w:firstLine="480" w:firstLineChars="200"/>
        <w:jc w:val="left"/>
        <w:rPr>
          <w:rFonts w:ascii="楷体_GB2312" w:hAnsi="Arial" w:eastAsia="楷体_GB2312" w:cs="Times New Roman"/>
          <w:sz w:val="24"/>
        </w:rPr>
      </w:pPr>
    </w:p>
    <w:p w14:paraId="249A4A57">
      <w:pPr>
        <w:widowControl/>
        <w:tabs>
          <w:tab w:val="left" w:pos="284"/>
        </w:tabs>
        <w:spacing w:line="360" w:lineRule="auto"/>
        <w:ind w:right="76"/>
        <w:jc w:val="left"/>
        <w:rPr>
          <w:rFonts w:ascii="楷体_GB2312" w:hAnsi="Arial" w:eastAsia="楷体_GB2312" w:cs="Times New Roman"/>
          <w:sz w:val="24"/>
        </w:rPr>
      </w:pPr>
    </w:p>
    <w:p w14:paraId="4A497A4D">
      <w:pPr>
        <w:widowControl/>
        <w:tabs>
          <w:tab w:val="left" w:pos="284"/>
        </w:tabs>
        <w:spacing w:line="360" w:lineRule="auto"/>
        <w:ind w:right="76" w:firstLine="480" w:firstLineChars="200"/>
        <w:jc w:val="left"/>
        <w:rPr>
          <w:rFonts w:ascii="楷体_GB2312" w:hAnsi="Arial" w:eastAsia="楷体_GB2312" w:cs="Times New Roman"/>
          <w:sz w:val="24"/>
        </w:rPr>
      </w:pPr>
    </w:p>
    <w:p w14:paraId="00C9D1C6">
      <w:pPr>
        <w:widowControl/>
        <w:tabs>
          <w:tab w:val="left" w:pos="284"/>
        </w:tabs>
        <w:spacing w:line="360" w:lineRule="auto"/>
        <w:ind w:right="76" w:firstLine="480" w:firstLineChars="200"/>
        <w:jc w:val="left"/>
        <w:rPr>
          <w:rFonts w:ascii="楷体_GB2312" w:hAnsi="Arial" w:eastAsia="楷体_GB2312" w:cs="Times New Roman"/>
          <w:sz w:val="24"/>
        </w:rPr>
      </w:pPr>
    </w:p>
    <w:p w14:paraId="713EB3F9">
      <w:pPr>
        <w:widowControl/>
        <w:tabs>
          <w:tab w:val="left" w:pos="284"/>
        </w:tabs>
        <w:spacing w:line="360" w:lineRule="auto"/>
        <w:ind w:right="76"/>
        <w:jc w:val="left"/>
        <w:rPr>
          <w:rFonts w:ascii="楷体_GB2312" w:hAnsi="Arial" w:eastAsia="楷体_GB2312" w:cs="Times New Roman"/>
          <w:sz w:val="24"/>
        </w:rPr>
      </w:pPr>
    </w:p>
    <w:p w14:paraId="2F451FEF">
      <w:pPr>
        <w:spacing w:line="360" w:lineRule="auto"/>
        <w:ind w:firstLine="640" w:firstLineChars="200"/>
        <w:jc w:val="center"/>
        <w:rPr>
          <w:rFonts w:ascii="黑体" w:hAnsi="黑体" w:eastAsia="黑体" w:cs="Times New Roman"/>
          <w:sz w:val="32"/>
          <w:szCs w:val="32"/>
        </w:rPr>
      </w:pPr>
      <w:r>
        <w:rPr>
          <w:rFonts w:ascii="黑体" w:hAnsi="黑体" w:eastAsia="黑体" w:cs="Times New Roman"/>
          <w:sz w:val="32"/>
          <w:szCs w:val="32"/>
        </w:rPr>
        <w:br w:type="page"/>
      </w:r>
      <w:r>
        <w:rPr>
          <w:rFonts w:hint="eastAsia" w:ascii="黑体" w:hAnsi="黑体" w:eastAsia="黑体" w:cs="Times New Roman"/>
          <w:sz w:val="32"/>
          <w:szCs w:val="32"/>
        </w:rPr>
        <w:t>第六章 施工期间现场配合要求</w:t>
      </w:r>
    </w:p>
    <w:p w14:paraId="25E08A03">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1 现场汇报</w:t>
      </w:r>
    </w:p>
    <w:p w14:paraId="0BC376FE">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乙方设计人员来我公司汇报</w:t>
      </w:r>
      <w:r>
        <w:rPr>
          <w:rFonts w:hint="eastAsia" w:ascii="宋体" w:hAnsi="宋体" w:eastAsia="宋体" w:cs="宋体"/>
          <w:sz w:val="24"/>
          <w:u w:val="single"/>
        </w:rPr>
        <w:t>_</w:t>
      </w:r>
      <w:r>
        <w:rPr>
          <w:rFonts w:hint="eastAsia" w:ascii="宋体" w:hAnsi="宋体" w:eastAsia="宋体" w:cs="宋体"/>
          <w:sz w:val="24"/>
          <w:u w:val="single"/>
          <w:lang w:val="en-US" w:eastAsia="zh-CN"/>
        </w:rPr>
        <w:t>8</w:t>
      </w:r>
      <w:r>
        <w:rPr>
          <w:rFonts w:hint="eastAsia" w:ascii="宋体" w:hAnsi="宋体" w:eastAsia="宋体" w:cs="宋体"/>
          <w:sz w:val="24"/>
        </w:rPr>
        <w:t>次（暂定），其中样板区方案汇报_</w:t>
      </w:r>
      <w:r>
        <w:rPr>
          <w:rFonts w:hint="eastAsia" w:ascii="宋体" w:hAnsi="宋体" w:eastAsia="宋体" w:cs="宋体"/>
          <w:sz w:val="24"/>
          <w:lang w:val="en-US" w:eastAsia="zh-CN"/>
        </w:rPr>
        <w:t>1</w:t>
      </w:r>
      <w:r>
        <w:rPr>
          <w:rFonts w:hint="eastAsia" w:ascii="宋体" w:hAnsi="宋体" w:eastAsia="宋体" w:cs="宋体"/>
          <w:sz w:val="24"/>
        </w:rPr>
        <w:t>_次、</w:t>
      </w:r>
      <w:r>
        <w:rPr>
          <w:rFonts w:hint="eastAsia" w:ascii="宋体" w:hAnsi="宋体" w:eastAsia="宋体" w:cs="宋体"/>
          <w:sz w:val="24"/>
          <w:lang w:val="en-US" w:eastAsia="zh-CN"/>
        </w:rPr>
        <w:t>样板区初步设计阶段汇报</w:t>
      </w:r>
      <w:r>
        <w:rPr>
          <w:rFonts w:hint="eastAsia" w:ascii="宋体" w:hAnsi="宋体" w:eastAsia="宋体" w:cs="宋体"/>
          <w:sz w:val="24"/>
          <w:u w:val="single"/>
          <w:lang w:val="en-US" w:eastAsia="zh-CN"/>
        </w:rPr>
        <w:t>1</w:t>
      </w:r>
      <w:r>
        <w:rPr>
          <w:rFonts w:hint="eastAsia" w:ascii="宋体" w:hAnsi="宋体" w:eastAsia="宋体" w:cs="宋体"/>
          <w:sz w:val="24"/>
          <w:lang w:val="en-US" w:eastAsia="zh-CN"/>
        </w:rPr>
        <w:t>次，施工阶段汇报</w:t>
      </w:r>
      <w:r>
        <w:rPr>
          <w:rFonts w:hint="eastAsia" w:ascii="宋体" w:hAnsi="宋体" w:eastAsia="宋体" w:cs="宋体"/>
          <w:sz w:val="24"/>
          <w:u w:val="single"/>
          <w:lang w:val="en-US" w:eastAsia="zh-CN"/>
        </w:rPr>
        <w:t>1</w:t>
      </w:r>
      <w:r>
        <w:rPr>
          <w:rFonts w:hint="eastAsia" w:ascii="宋体" w:hAnsi="宋体" w:eastAsia="宋体" w:cs="宋体"/>
          <w:sz w:val="24"/>
          <w:lang w:val="en-US" w:eastAsia="zh-CN"/>
        </w:rPr>
        <w:t>次，</w:t>
      </w:r>
      <w:r>
        <w:rPr>
          <w:rFonts w:hint="eastAsia" w:ascii="宋体" w:hAnsi="宋体" w:eastAsia="宋体" w:cs="宋体"/>
          <w:sz w:val="24"/>
        </w:rPr>
        <w:t>总体方案设计阶段汇报_</w:t>
      </w:r>
      <w:r>
        <w:rPr>
          <w:rFonts w:hint="eastAsia" w:ascii="宋体" w:hAnsi="宋体" w:eastAsia="宋体" w:cs="宋体"/>
          <w:sz w:val="24"/>
          <w:lang w:val="en-US" w:eastAsia="zh-CN"/>
        </w:rPr>
        <w:t>1</w:t>
      </w:r>
      <w:r>
        <w:rPr>
          <w:rFonts w:hint="eastAsia" w:ascii="宋体" w:hAnsi="宋体" w:eastAsia="宋体" w:cs="宋体"/>
          <w:sz w:val="24"/>
        </w:rPr>
        <w:t>_次、</w:t>
      </w:r>
      <w:r>
        <w:rPr>
          <w:rFonts w:hint="eastAsia" w:ascii="宋体" w:hAnsi="宋体" w:eastAsia="宋体" w:cs="宋体"/>
          <w:sz w:val="24"/>
          <w:lang w:val="en-US" w:eastAsia="zh-CN"/>
        </w:rPr>
        <w:t>大区概念方案阶段</w:t>
      </w:r>
      <w:r>
        <w:rPr>
          <w:rFonts w:hint="eastAsia" w:ascii="宋体" w:hAnsi="宋体" w:eastAsia="宋体" w:cs="宋体"/>
          <w:sz w:val="24"/>
          <w:u w:val="single"/>
          <w:lang w:val="en-US" w:eastAsia="zh-CN"/>
        </w:rPr>
        <w:t>1</w:t>
      </w:r>
      <w:r>
        <w:rPr>
          <w:rFonts w:hint="eastAsia" w:ascii="宋体" w:hAnsi="宋体" w:eastAsia="宋体" w:cs="宋体"/>
          <w:sz w:val="24"/>
          <w:lang w:val="en-US" w:eastAsia="zh-CN"/>
        </w:rPr>
        <w:t>次，大区方案阶段汇报</w:t>
      </w:r>
      <w:r>
        <w:rPr>
          <w:rFonts w:hint="eastAsia" w:ascii="宋体" w:hAnsi="宋体" w:eastAsia="宋体" w:cs="宋体"/>
          <w:sz w:val="24"/>
          <w:u w:val="single"/>
          <w:lang w:val="en-US" w:eastAsia="zh-CN"/>
        </w:rPr>
        <w:t>1</w:t>
      </w:r>
      <w:r>
        <w:rPr>
          <w:rFonts w:hint="eastAsia" w:ascii="宋体" w:hAnsi="宋体" w:eastAsia="宋体" w:cs="宋体"/>
          <w:sz w:val="24"/>
          <w:u w:val="none"/>
          <w:lang w:val="en-US" w:eastAsia="zh-CN"/>
        </w:rPr>
        <w:t>次，</w:t>
      </w:r>
      <w:r>
        <w:rPr>
          <w:rFonts w:hint="eastAsia" w:ascii="宋体" w:hAnsi="宋体" w:eastAsia="宋体" w:cs="宋体"/>
          <w:sz w:val="24"/>
        </w:rPr>
        <w:t>扩初设计阶段汇报__</w:t>
      </w:r>
      <w:r>
        <w:rPr>
          <w:rFonts w:hint="eastAsia" w:ascii="宋体" w:hAnsi="宋体" w:eastAsia="宋体" w:cs="宋体"/>
          <w:sz w:val="24"/>
          <w:lang w:val="en-US" w:eastAsia="zh-CN"/>
        </w:rPr>
        <w:t>1</w:t>
      </w:r>
      <w:r>
        <w:rPr>
          <w:rFonts w:hint="eastAsia" w:ascii="宋体" w:hAnsi="宋体" w:eastAsia="宋体" w:cs="宋体"/>
          <w:sz w:val="24"/>
        </w:rPr>
        <w:t>_次，施工图</w:t>
      </w:r>
      <w:r>
        <w:rPr>
          <w:rFonts w:ascii="宋体" w:hAnsi="宋体" w:eastAsia="宋体" w:cs="宋体"/>
          <w:sz w:val="24"/>
        </w:rPr>
        <w:t>阶段</w:t>
      </w:r>
      <w:r>
        <w:rPr>
          <w:rFonts w:hint="eastAsia" w:ascii="宋体" w:hAnsi="宋体" w:eastAsia="宋体" w:cs="宋体"/>
          <w:sz w:val="24"/>
        </w:rPr>
        <w:t>汇报</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1</w:t>
      </w:r>
      <w:r>
        <w:rPr>
          <w:rFonts w:hint="eastAsia" w:ascii="宋体" w:hAnsi="宋体" w:eastAsia="宋体" w:cs="宋体"/>
          <w:sz w:val="24"/>
          <w:u w:val="single"/>
        </w:rPr>
        <w:t xml:space="preserve"> </w:t>
      </w:r>
      <w:r>
        <w:rPr>
          <w:rFonts w:hint="eastAsia" w:ascii="宋体" w:hAnsi="宋体" w:eastAsia="宋体" w:cs="宋体"/>
          <w:sz w:val="24"/>
        </w:rPr>
        <w:t>次。</w:t>
      </w:r>
    </w:p>
    <w:p w14:paraId="32D44012">
      <w:pPr>
        <w:keepNext/>
        <w:keepLines/>
        <w:spacing w:before="156" w:beforeLines="50" w:after="156" w:afterLines="50" w:line="360" w:lineRule="auto"/>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2 现场施工跟进</w:t>
      </w:r>
    </w:p>
    <w:p w14:paraId="1108225B">
      <w:pPr>
        <w:pStyle w:val="26"/>
        <w:keepNext/>
        <w:keepLines/>
        <w:numPr>
          <w:ilvl w:val="0"/>
          <w:numId w:val="6"/>
        </w:numPr>
        <w:spacing w:before="156" w:beforeLines="50" w:after="156" w:afterLines="50" w:line="360" w:lineRule="auto"/>
        <w:ind w:firstLineChars="0"/>
        <w:outlineLvl w:val="0"/>
        <w:rPr>
          <w:rFonts w:asciiTheme="minorEastAsia" w:hAnsiTheme="minorEastAsia"/>
          <w:sz w:val="24"/>
          <w:szCs w:val="24"/>
        </w:rPr>
      </w:pPr>
      <w:r>
        <w:rPr>
          <w:rFonts w:hint="eastAsia" w:asciiTheme="minorEastAsia" w:hAnsiTheme="minorEastAsia"/>
          <w:sz w:val="24"/>
          <w:szCs w:val="24"/>
        </w:rPr>
        <w:t>在景观施工阶段，乙方负责向甲方选择的施工单位解释设计意图及施工图内容，并负责进行技术交底，参加图纸会审和出席甲方召集并提前预告的有关会议；</w:t>
      </w:r>
    </w:p>
    <w:p w14:paraId="707BA05B">
      <w:pPr>
        <w:pStyle w:val="26"/>
        <w:keepNext/>
        <w:keepLines/>
        <w:numPr>
          <w:ilvl w:val="0"/>
          <w:numId w:val="6"/>
        </w:numPr>
        <w:spacing w:before="156" w:beforeLines="50" w:after="156" w:afterLines="50" w:line="360" w:lineRule="auto"/>
        <w:ind w:firstLineChars="0"/>
        <w:outlineLvl w:val="0"/>
        <w:rPr>
          <w:rFonts w:ascii="黑体" w:hAnsi="黑体" w:eastAsia="黑体" w:cs="Times New Roman"/>
          <w:bCs/>
          <w:kern w:val="44"/>
          <w:sz w:val="24"/>
          <w:szCs w:val="44"/>
          <w:lang w:val="zh-CN" w:eastAsia="zh-CN"/>
        </w:rPr>
      </w:pPr>
      <w:r>
        <w:rPr>
          <w:rFonts w:hint="eastAsia" w:asciiTheme="minorEastAsia" w:hAnsiTheme="minorEastAsia"/>
          <w:sz w:val="24"/>
          <w:szCs w:val="24"/>
        </w:rPr>
        <w:t>乙方应按甲方要求，参加工程竣工验收等工作；</w:t>
      </w:r>
    </w:p>
    <w:p w14:paraId="1897CC64">
      <w:pPr>
        <w:pStyle w:val="26"/>
        <w:keepNext/>
        <w:keepLines/>
        <w:numPr>
          <w:ilvl w:val="0"/>
          <w:numId w:val="6"/>
        </w:numPr>
        <w:spacing w:before="156" w:beforeLines="50" w:after="156" w:afterLines="50" w:line="360" w:lineRule="auto"/>
        <w:ind w:firstLineChars="0"/>
        <w:outlineLvl w:val="0"/>
        <w:rPr>
          <w:rFonts w:ascii="黑体" w:hAnsi="黑体" w:eastAsia="黑体" w:cs="Times New Roman"/>
          <w:bCs/>
          <w:kern w:val="44"/>
          <w:sz w:val="24"/>
          <w:szCs w:val="44"/>
          <w:lang w:val="zh-CN" w:eastAsia="zh-CN"/>
        </w:rPr>
      </w:pPr>
      <w:r>
        <w:rPr>
          <w:rFonts w:hint="eastAsia" w:asciiTheme="minorEastAsia" w:hAnsiTheme="minorEastAsia"/>
          <w:sz w:val="24"/>
          <w:szCs w:val="24"/>
        </w:rPr>
        <w:t>在施工期间，乙方设计师按合同约定负责到现场及时协调解决施工过程中遇到的与设计有关的问题，并按规定程序及时变更设计；</w:t>
      </w:r>
    </w:p>
    <w:p w14:paraId="54AFC86B">
      <w:pPr>
        <w:pStyle w:val="26"/>
        <w:keepNext/>
        <w:keepLines/>
        <w:numPr>
          <w:ilvl w:val="0"/>
          <w:numId w:val="6"/>
        </w:numPr>
        <w:spacing w:before="156" w:beforeLines="50" w:after="156" w:afterLines="50" w:line="360" w:lineRule="auto"/>
        <w:ind w:firstLineChars="0"/>
        <w:outlineLvl w:val="0"/>
        <w:rPr>
          <w:rFonts w:ascii="黑体" w:hAnsi="黑体" w:eastAsia="黑体" w:cs="Times New Roman"/>
          <w:bCs/>
          <w:kern w:val="44"/>
          <w:sz w:val="24"/>
          <w:szCs w:val="44"/>
          <w:lang w:val="zh-CN" w:eastAsia="zh-CN"/>
        </w:rPr>
      </w:pPr>
      <w:r>
        <w:rPr>
          <w:rFonts w:hint="eastAsia" w:asciiTheme="minorEastAsia" w:hAnsiTheme="minorEastAsia"/>
          <w:sz w:val="24"/>
          <w:szCs w:val="24"/>
        </w:rPr>
        <w:t>乙方协助甲方在施工招标过程中进行技术工作和提供施工中苗木材料的采购表和规格等资料；</w:t>
      </w:r>
    </w:p>
    <w:p w14:paraId="08606A0B">
      <w:pPr>
        <w:pStyle w:val="26"/>
        <w:keepNext/>
        <w:keepLines/>
        <w:numPr>
          <w:ilvl w:val="0"/>
          <w:numId w:val="6"/>
        </w:numPr>
        <w:spacing w:before="156" w:beforeLines="50" w:after="156" w:afterLines="50" w:line="360" w:lineRule="auto"/>
        <w:ind w:firstLineChars="0"/>
        <w:outlineLvl w:val="0"/>
        <w:rPr>
          <w:rFonts w:ascii="黑体" w:hAnsi="黑体" w:eastAsia="黑体" w:cs="Times New Roman"/>
          <w:bCs/>
          <w:kern w:val="44"/>
          <w:sz w:val="24"/>
          <w:szCs w:val="44"/>
          <w:lang w:val="zh-CN" w:eastAsia="zh-CN"/>
        </w:rPr>
      </w:pPr>
      <w:r>
        <w:rPr>
          <w:rFonts w:hint="eastAsia" w:asciiTheme="minorEastAsia" w:hAnsiTheme="minorEastAsia"/>
          <w:sz w:val="24"/>
          <w:szCs w:val="24"/>
        </w:rPr>
        <w:t>乙方承诺工作会晤和现场服务次数</w:t>
      </w:r>
      <w:r>
        <w:rPr>
          <w:rFonts w:hint="eastAsia" w:asciiTheme="minorEastAsia" w:hAnsiTheme="minorEastAsia"/>
          <w:sz w:val="24"/>
          <w:szCs w:val="24"/>
          <w:u w:val="single"/>
        </w:rPr>
        <w:t xml:space="preserve">  </w:t>
      </w:r>
      <w:r>
        <w:rPr>
          <w:rFonts w:hint="eastAsia" w:asciiTheme="minorEastAsia" w:hAnsiTheme="minorEastAsia"/>
          <w:sz w:val="24"/>
          <w:szCs w:val="24"/>
          <w:u w:val="single"/>
          <w:lang w:val="en-US" w:eastAsia="zh-CN"/>
        </w:rPr>
        <w:t>8次</w:t>
      </w:r>
      <w:r>
        <w:rPr>
          <w:rFonts w:hint="eastAsia" w:asciiTheme="minorEastAsia" w:hAnsiTheme="minorEastAsia"/>
          <w:sz w:val="24"/>
          <w:szCs w:val="24"/>
          <w:u w:val="single"/>
        </w:rPr>
        <w:t xml:space="preserve">  </w:t>
      </w:r>
      <w:r>
        <w:rPr>
          <w:rFonts w:hint="eastAsia" w:asciiTheme="minorEastAsia" w:hAnsiTheme="minorEastAsia"/>
          <w:sz w:val="24"/>
          <w:szCs w:val="24"/>
        </w:rPr>
        <w:t>。工作会晤和现场服务记录以附录附表作为访问记录的依据。</w:t>
      </w:r>
    </w:p>
    <w:p w14:paraId="6F012376">
      <w:pPr>
        <w:keepNext/>
        <w:keepLines/>
        <w:spacing w:before="156" w:beforeLines="50" w:after="156" w:afterLines="50" w:line="360" w:lineRule="auto"/>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3 乙方答疑约定</w:t>
      </w:r>
    </w:p>
    <w:p w14:paraId="6B30BAD8">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乙方应对甲方在设计及施工过程中提出的与景观设计相关的困惑及问题进行回复。设计过程中，应仔细研究项目所在地设计规范、规程，解读当地相关部门设计规定。</w:t>
      </w:r>
    </w:p>
    <w:p w14:paraId="7E9FBCC3">
      <w:pPr>
        <w:widowControl/>
        <w:tabs>
          <w:tab w:val="left" w:pos="284"/>
        </w:tabs>
        <w:spacing w:line="360" w:lineRule="auto"/>
        <w:ind w:right="76" w:firstLine="480" w:firstLineChars="200"/>
        <w:jc w:val="left"/>
        <w:rPr>
          <w:rFonts w:ascii="宋体" w:hAnsi="宋体" w:eastAsia="宋体" w:cs="宋体"/>
          <w:sz w:val="24"/>
        </w:rPr>
      </w:pPr>
      <w:r>
        <w:rPr>
          <w:rFonts w:hint="eastAsia" w:ascii="宋体" w:hAnsi="宋体" w:eastAsia="宋体" w:cs="宋体"/>
          <w:sz w:val="24"/>
        </w:rPr>
        <w:t>如对本任务书及设计规范有任何疑问，及时书面沟通确认。</w:t>
      </w:r>
    </w:p>
    <w:p w14:paraId="10A6583E">
      <w:pPr>
        <w:spacing w:line="360" w:lineRule="auto"/>
        <w:ind w:firstLine="600" w:firstLineChars="200"/>
        <w:jc w:val="center"/>
        <w:rPr>
          <w:rFonts w:ascii="黑体" w:hAnsi="黑体" w:eastAsia="黑体" w:cs="Times New Roman"/>
          <w:sz w:val="30"/>
          <w:szCs w:val="30"/>
        </w:rPr>
      </w:pPr>
    </w:p>
    <w:p w14:paraId="1FC2EC34">
      <w:pPr>
        <w:spacing w:line="360" w:lineRule="auto"/>
        <w:ind w:firstLine="640" w:firstLineChars="200"/>
        <w:jc w:val="center"/>
        <w:rPr>
          <w:rFonts w:ascii="黑体" w:hAnsi="黑体" w:eastAsia="黑体" w:cs="Times New Roman"/>
          <w:sz w:val="32"/>
          <w:szCs w:val="32"/>
        </w:rPr>
      </w:pPr>
      <w:r>
        <w:rPr>
          <w:rFonts w:ascii="黑体" w:hAnsi="黑体" w:eastAsia="黑体" w:cs="Times New Roman"/>
          <w:sz w:val="32"/>
          <w:szCs w:val="32"/>
        </w:rPr>
        <w:br w:type="page"/>
      </w:r>
    </w:p>
    <w:p w14:paraId="5BE4184F">
      <w:pPr>
        <w:keepNext/>
        <w:keepLines/>
        <w:spacing w:before="156" w:beforeLines="50" w:after="312" w:afterLines="100"/>
        <w:jc w:val="center"/>
        <w:outlineLvl w:val="0"/>
        <w:rPr>
          <w:rFonts w:ascii="黑体" w:hAnsi="黑体" w:eastAsia="黑体" w:cs="Times New Roman"/>
          <w:kern w:val="44"/>
          <w:sz w:val="32"/>
          <w:szCs w:val="32"/>
          <w:lang w:val="zh-CN" w:eastAsia="zh-CN"/>
        </w:rPr>
      </w:pPr>
      <w:bookmarkStart w:id="13" w:name="_Toc467599310"/>
      <w:r>
        <w:rPr>
          <w:rFonts w:hint="eastAsia" w:ascii="黑体" w:hAnsi="黑体" w:eastAsia="黑体" w:cs="Times New Roman"/>
          <w:kern w:val="44"/>
          <w:sz w:val="32"/>
          <w:szCs w:val="32"/>
          <w:lang w:val="zh-CN" w:eastAsia="zh-CN"/>
        </w:rPr>
        <w:t>第七章 附件</w:t>
      </w:r>
      <w:bookmarkEnd w:id="13"/>
    </w:p>
    <w:p w14:paraId="68AEBC83">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1 图纸资料（地形图、规划平面图等相关电子文件）</w:t>
      </w:r>
    </w:p>
    <w:p w14:paraId="12FE8091">
      <w:pPr>
        <w:keepNext/>
        <w:keepLines/>
        <w:spacing w:before="156" w:beforeLines="50" w:after="156" w:afterLines="50"/>
        <w:outlineLvl w:val="0"/>
        <w:rPr>
          <w:rFonts w:ascii="黑体" w:hAnsi="黑体" w:eastAsia="黑体" w:cs="Times New Roman"/>
          <w:bCs/>
          <w:kern w:val="44"/>
          <w:sz w:val="24"/>
          <w:szCs w:val="44"/>
          <w:lang w:val="zh-CN" w:eastAsia="zh-CN"/>
        </w:rPr>
      </w:pPr>
      <w:r>
        <w:rPr>
          <w:rFonts w:hint="eastAsia" w:ascii="黑体" w:hAnsi="黑体" w:eastAsia="黑体" w:cs="Times New Roman"/>
          <w:bCs/>
          <w:kern w:val="44"/>
          <w:sz w:val="24"/>
          <w:szCs w:val="44"/>
          <w:lang w:val="zh-CN" w:eastAsia="zh-CN"/>
        </w:rPr>
        <w:t>2 建筑意向效果图</w:t>
      </w:r>
    </w:p>
    <w:p w14:paraId="6D3B304F">
      <w:pPr>
        <w:keepNext/>
        <w:keepLines/>
        <w:spacing w:before="156" w:beforeLines="50" w:after="156" w:afterLines="50"/>
        <w:outlineLvl w:val="0"/>
        <w:rPr>
          <w:rFonts w:ascii="黑体" w:hAnsi="黑体" w:eastAsia="黑体" w:cs="Times New Roman"/>
          <w:bCs/>
          <w:kern w:val="44"/>
          <w:sz w:val="24"/>
          <w:szCs w:val="44"/>
          <w:lang w:val="zh-CN"/>
        </w:rPr>
      </w:pPr>
      <w:r>
        <w:rPr>
          <w:rFonts w:hint="eastAsia" w:ascii="黑体" w:hAnsi="黑体" w:eastAsia="黑体" w:cs="Times New Roman"/>
          <w:bCs/>
          <w:kern w:val="44"/>
          <w:sz w:val="24"/>
          <w:szCs w:val="44"/>
          <w:lang w:val="en-US" w:eastAsia="zh-CN"/>
        </w:rPr>
        <w:t xml:space="preserve">3 </w:t>
      </w:r>
      <w:r>
        <w:rPr>
          <w:rFonts w:hint="eastAsia" w:ascii="黑体" w:hAnsi="黑体" w:eastAsia="黑体" w:cs="Times New Roman"/>
          <w:bCs/>
          <w:kern w:val="44"/>
          <w:sz w:val="24"/>
          <w:szCs w:val="44"/>
          <w:lang w:val="zh-CN"/>
        </w:rPr>
        <w:t>其他</w:t>
      </w:r>
    </w:p>
    <w:p w14:paraId="25009DF0"/>
    <w:sectPr>
      <w:pgSz w:w="11906" w:h="16838"/>
      <w:pgMar w:top="1418" w:right="1134" w:bottom="1134" w:left="158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alibri Light">
    <w:panose1 w:val="020F0302020204030204"/>
    <w:charset w:val="00"/>
    <w:family w:val="swiss"/>
    <w:pitch w:val="default"/>
    <w:sig w:usb0="E4002EFF" w:usb1="C2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CA1C8B">
    <w:pPr>
      <w:pStyle w:val="6"/>
      <w:ind w:firstLine="360"/>
      <w:jc w:val="right"/>
    </w:pPr>
    <w:r>
      <w:fldChar w:fldCharType="begin"/>
    </w:r>
    <w:r>
      <w:instrText xml:space="preserve"> PAGE   \* MERGEFORMAT </w:instrText>
    </w:r>
    <w:r>
      <w:fldChar w:fldCharType="separate"/>
    </w:r>
    <w:r>
      <w:rPr>
        <w:lang w:val="zh-CN"/>
      </w:rPr>
      <w:t>21</w:t>
    </w:r>
    <w:r>
      <w:fldChar w:fldCharType="end"/>
    </w:r>
  </w:p>
  <w:p w14:paraId="1F099123">
    <w:pPr>
      <w:pStyle w:val="6"/>
      <w:ind w:firstLine="420"/>
      <w:jc w:val="right"/>
      <w:rPr>
        <w:rFonts w:cs="Arial"/>
        <w:sz w:val="21"/>
        <w:szCs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BFBBCF">
    <w:pPr>
      <w:pStyle w:val="6"/>
      <w:ind w:firstLine="420"/>
      <w:rPr>
        <w:rFonts w:ascii="Arial" w:hAnsi="Arial" w:cs="Arial"/>
        <w:sz w:val="21"/>
        <w:szCs w:val="21"/>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71D03E">
    <w:pPr>
      <w:pStyle w:val="25"/>
      <w:jc w:val="right"/>
      <w:rPr>
        <w:rFonts w:ascii="Arial" w:hAnsi="Arial" w:cs="Arial"/>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B7CFB2B"/>
    <w:multiLevelType w:val="multilevel"/>
    <w:tmpl w:val="1B7CFB2B"/>
    <w:lvl w:ilvl="0" w:tentative="0">
      <w:start w:val="1"/>
      <w:numFmt w:val="decimal"/>
      <w:lvlText w:val="%1."/>
      <w:lvlJc w:val="left"/>
      <w:pPr>
        <w:tabs>
          <w:tab w:val="left" w:pos="420"/>
        </w:tabs>
        <w:ind w:left="845" w:hanging="425"/>
      </w:pPr>
      <w:rPr>
        <w:rFonts w:hint="default"/>
      </w:rPr>
    </w:lvl>
    <w:lvl w:ilvl="1" w:tentative="0">
      <w:start w:val="1"/>
      <w:numFmt w:val="decimal"/>
      <w:lvlText w:val="(%2)"/>
      <w:lvlJc w:val="left"/>
      <w:pPr>
        <w:tabs>
          <w:tab w:val="left" w:pos="840"/>
        </w:tabs>
        <w:ind w:left="1260" w:hanging="420"/>
      </w:pPr>
      <w:rPr>
        <w:rFonts w:hint="default"/>
      </w:rPr>
    </w:lvl>
    <w:lvl w:ilvl="2" w:tentative="0">
      <w:start w:val="1"/>
      <w:numFmt w:val="decimalEnclosedCircleChinese"/>
      <w:lvlText w:val="%3"/>
      <w:lvlJc w:val="left"/>
      <w:pPr>
        <w:tabs>
          <w:tab w:val="left" w:pos="1260"/>
        </w:tabs>
        <w:ind w:left="1680" w:hanging="420"/>
      </w:pPr>
      <w:rPr>
        <w:rFonts w:hint="default"/>
      </w:rPr>
    </w:lvl>
    <w:lvl w:ilvl="3" w:tentative="0">
      <w:start w:val="1"/>
      <w:numFmt w:val="decimal"/>
      <w:lvlText w:val="%4)"/>
      <w:lvlJc w:val="left"/>
      <w:pPr>
        <w:tabs>
          <w:tab w:val="left" w:pos="1680"/>
        </w:tabs>
        <w:ind w:left="2100" w:hanging="420"/>
      </w:pPr>
      <w:rPr>
        <w:rFonts w:hint="default"/>
      </w:rPr>
    </w:lvl>
    <w:lvl w:ilvl="4" w:tentative="0">
      <w:start w:val="1"/>
      <w:numFmt w:val="lowerLetter"/>
      <w:lvlText w:val="%5."/>
      <w:lvlJc w:val="left"/>
      <w:pPr>
        <w:tabs>
          <w:tab w:val="left" w:pos="2100"/>
        </w:tabs>
        <w:ind w:left="2520" w:hanging="420"/>
      </w:pPr>
      <w:rPr>
        <w:rFonts w:hint="default"/>
      </w:rPr>
    </w:lvl>
    <w:lvl w:ilvl="5" w:tentative="0">
      <w:start w:val="1"/>
      <w:numFmt w:val="lowerLetter"/>
      <w:lvlText w:val="%6)"/>
      <w:lvlJc w:val="left"/>
      <w:pPr>
        <w:tabs>
          <w:tab w:val="left" w:pos="2520"/>
        </w:tabs>
        <w:ind w:left="2940" w:hanging="420"/>
      </w:pPr>
      <w:rPr>
        <w:rFonts w:hint="default"/>
      </w:rPr>
    </w:lvl>
    <w:lvl w:ilvl="6" w:tentative="0">
      <w:start w:val="1"/>
      <w:numFmt w:val="lowerRoman"/>
      <w:lvlText w:val="%7."/>
      <w:lvlJc w:val="left"/>
      <w:pPr>
        <w:tabs>
          <w:tab w:val="left" w:pos="2940"/>
        </w:tabs>
        <w:ind w:left="3360" w:hanging="420"/>
      </w:pPr>
      <w:rPr>
        <w:rFonts w:hint="default"/>
      </w:rPr>
    </w:lvl>
    <w:lvl w:ilvl="7" w:tentative="0">
      <w:start w:val="1"/>
      <w:numFmt w:val="lowerRoman"/>
      <w:lvlText w:val="%8)"/>
      <w:lvlJc w:val="left"/>
      <w:pPr>
        <w:tabs>
          <w:tab w:val="left" w:pos="3360"/>
        </w:tabs>
        <w:ind w:left="3780" w:hanging="420"/>
      </w:pPr>
      <w:rPr>
        <w:rFonts w:hint="default"/>
      </w:rPr>
    </w:lvl>
    <w:lvl w:ilvl="8" w:tentative="0">
      <w:start w:val="1"/>
      <w:numFmt w:val="lowerLetter"/>
      <w:lvlText w:val="%9."/>
      <w:lvlJc w:val="left"/>
      <w:pPr>
        <w:tabs>
          <w:tab w:val="left" w:pos="3780"/>
        </w:tabs>
        <w:ind w:left="4200" w:hanging="420"/>
      </w:pPr>
      <w:rPr>
        <w:rFonts w:hint="default"/>
      </w:rPr>
    </w:lvl>
  </w:abstractNum>
  <w:abstractNum w:abstractNumId="1">
    <w:nsid w:val="3A517578"/>
    <w:multiLevelType w:val="multilevel"/>
    <w:tmpl w:val="3A517578"/>
    <w:lvl w:ilvl="0" w:tentative="0">
      <w:start w:val="1"/>
      <w:numFmt w:val="decimal"/>
      <w:pStyle w:val="21"/>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488E3CCA"/>
    <w:multiLevelType w:val="multilevel"/>
    <w:tmpl w:val="488E3CCA"/>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6A9E307"/>
    <w:multiLevelType w:val="singleLevel"/>
    <w:tmpl w:val="56A9E307"/>
    <w:lvl w:ilvl="0" w:tentative="0">
      <w:start w:val="1"/>
      <w:numFmt w:val="lowerLetter"/>
      <w:suff w:val="nothing"/>
      <w:lvlText w:val="%1）"/>
      <w:lvlJc w:val="left"/>
    </w:lvl>
  </w:abstractNum>
  <w:abstractNum w:abstractNumId="4">
    <w:nsid w:val="56A9E373"/>
    <w:multiLevelType w:val="singleLevel"/>
    <w:tmpl w:val="56A9E373"/>
    <w:lvl w:ilvl="0" w:tentative="0">
      <w:start w:val="1"/>
      <w:numFmt w:val="lowerLetter"/>
      <w:lvlText w:val="%1)"/>
      <w:lvlJc w:val="left"/>
      <w:pPr>
        <w:ind w:left="420" w:hanging="420"/>
      </w:pPr>
    </w:lvl>
  </w:abstractNum>
  <w:abstractNum w:abstractNumId="5">
    <w:nsid w:val="6B20DD0C"/>
    <w:multiLevelType w:val="singleLevel"/>
    <w:tmpl w:val="6B20DD0C"/>
    <w:lvl w:ilvl="0" w:tentative="0">
      <w:start w:val="1"/>
      <w:numFmt w:val="decimal"/>
      <w:lvlText w:val="%1."/>
      <w:lvlJc w:val="left"/>
      <w:pPr>
        <w:tabs>
          <w:tab w:val="left" w:pos="420"/>
        </w:tabs>
        <w:ind w:left="845" w:hanging="425"/>
      </w:pPr>
      <w:rPr>
        <w:rFonts w:hint="default"/>
      </w:rPr>
    </w:lvl>
  </w:abstractNum>
  <w:num w:numId="1">
    <w:abstractNumId w:val="1"/>
  </w:num>
  <w:num w:numId="2">
    <w:abstractNumId w:val="5"/>
  </w:num>
  <w:num w:numId="3">
    <w:abstractNumId w:val="0"/>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evenAndOddHeaders w:val="1"/>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5535"/>
    <w:rsid w:val="000004F3"/>
    <w:rsid w:val="00000EBE"/>
    <w:rsid w:val="00011DF2"/>
    <w:rsid w:val="00015DD9"/>
    <w:rsid w:val="00023C2D"/>
    <w:rsid w:val="00053856"/>
    <w:rsid w:val="00060CB4"/>
    <w:rsid w:val="00065C09"/>
    <w:rsid w:val="0006630E"/>
    <w:rsid w:val="00085670"/>
    <w:rsid w:val="000971A8"/>
    <w:rsid w:val="000A4F94"/>
    <w:rsid w:val="000B035B"/>
    <w:rsid w:val="000B0D32"/>
    <w:rsid w:val="000B5D1B"/>
    <w:rsid w:val="000D2AEF"/>
    <w:rsid w:val="000E3207"/>
    <w:rsid w:val="000E33E4"/>
    <w:rsid w:val="000F75B5"/>
    <w:rsid w:val="001059E8"/>
    <w:rsid w:val="00120EF9"/>
    <w:rsid w:val="001459B6"/>
    <w:rsid w:val="00154B87"/>
    <w:rsid w:val="001679F6"/>
    <w:rsid w:val="00175B48"/>
    <w:rsid w:val="00191AF9"/>
    <w:rsid w:val="001A40A7"/>
    <w:rsid w:val="001A47CB"/>
    <w:rsid w:val="001A536C"/>
    <w:rsid w:val="001B694B"/>
    <w:rsid w:val="001C179B"/>
    <w:rsid w:val="001E3BCE"/>
    <w:rsid w:val="001E545A"/>
    <w:rsid w:val="00232220"/>
    <w:rsid w:val="0025262D"/>
    <w:rsid w:val="002B73F2"/>
    <w:rsid w:val="002C5A2D"/>
    <w:rsid w:val="002D3389"/>
    <w:rsid w:val="002E44D7"/>
    <w:rsid w:val="002F5731"/>
    <w:rsid w:val="00300270"/>
    <w:rsid w:val="003169C9"/>
    <w:rsid w:val="0033529B"/>
    <w:rsid w:val="0034022D"/>
    <w:rsid w:val="003649F9"/>
    <w:rsid w:val="00366234"/>
    <w:rsid w:val="00380DDE"/>
    <w:rsid w:val="00390634"/>
    <w:rsid w:val="003B3F29"/>
    <w:rsid w:val="003B5079"/>
    <w:rsid w:val="003C5F1B"/>
    <w:rsid w:val="003D740F"/>
    <w:rsid w:val="004031B0"/>
    <w:rsid w:val="00411D7F"/>
    <w:rsid w:val="00413C9B"/>
    <w:rsid w:val="00426FC1"/>
    <w:rsid w:val="00440AC3"/>
    <w:rsid w:val="004447D2"/>
    <w:rsid w:val="00461D62"/>
    <w:rsid w:val="0048566D"/>
    <w:rsid w:val="004873A7"/>
    <w:rsid w:val="00494E19"/>
    <w:rsid w:val="004A5260"/>
    <w:rsid w:val="004E4E96"/>
    <w:rsid w:val="004F1C09"/>
    <w:rsid w:val="00501327"/>
    <w:rsid w:val="00511B95"/>
    <w:rsid w:val="0051477E"/>
    <w:rsid w:val="00521E92"/>
    <w:rsid w:val="00527A57"/>
    <w:rsid w:val="0053466A"/>
    <w:rsid w:val="00543E27"/>
    <w:rsid w:val="005618FB"/>
    <w:rsid w:val="00563E8D"/>
    <w:rsid w:val="00571A2D"/>
    <w:rsid w:val="005858EA"/>
    <w:rsid w:val="005B1038"/>
    <w:rsid w:val="005C282D"/>
    <w:rsid w:val="005C5602"/>
    <w:rsid w:val="005D26B5"/>
    <w:rsid w:val="005E6378"/>
    <w:rsid w:val="005F784D"/>
    <w:rsid w:val="00624BF9"/>
    <w:rsid w:val="00633F40"/>
    <w:rsid w:val="00650100"/>
    <w:rsid w:val="00677E23"/>
    <w:rsid w:val="00687007"/>
    <w:rsid w:val="006A3BB7"/>
    <w:rsid w:val="006E5DBF"/>
    <w:rsid w:val="006F6F98"/>
    <w:rsid w:val="00702491"/>
    <w:rsid w:val="0070505E"/>
    <w:rsid w:val="00727262"/>
    <w:rsid w:val="00734D76"/>
    <w:rsid w:val="007376B1"/>
    <w:rsid w:val="00737866"/>
    <w:rsid w:val="00751B45"/>
    <w:rsid w:val="00751C26"/>
    <w:rsid w:val="00764C0C"/>
    <w:rsid w:val="00772BA2"/>
    <w:rsid w:val="00773473"/>
    <w:rsid w:val="0078057D"/>
    <w:rsid w:val="00790178"/>
    <w:rsid w:val="007A40D1"/>
    <w:rsid w:val="007C4458"/>
    <w:rsid w:val="007D2F96"/>
    <w:rsid w:val="00814506"/>
    <w:rsid w:val="00815A03"/>
    <w:rsid w:val="00826A24"/>
    <w:rsid w:val="00830EFB"/>
    <w:rsid w:val="008444BD"/>
    <w:rsid w:val="00847BF3"/>
    <w:rsid w:val="0085440B"/>
    <w:rsid w:val="008638F9"/>
    <w:rsid w:val="00892720"/>
    <w:rsid w:val="0089665F"/>
    <w:rsid w:val="0089666F"/>
    <w:rsid w:val="008A09FE"/>
    <w:rsid w:val="008A2B2B"/>
    <w:rsid w:val="008A4597"/>
    <w:rsid w:val="008A5499"/>
    <w:rsid w:val="008B1D45"/>
    <w:rsid w:val="008B690C"/>
    <w:rsid w:val="008C20FE"/>
    <w:rsid w:val="008C30F5"/>
    <w:rsid w:val="008D3E56"/>
    <w:rsid w:val="00901DE1"/>
    <w:rsid w:val="00963B8D"/>
    <w:rsid w:val="009935A1"/>
    <w:rsid w:val="00994B74"/>
    <w:rsid w:val="009E37A6"/>
    <w:rsid w:val="009F0BE9"/>
    <w:rsid w:val="009F29E1"/>
    <w:rsid w:val="009F49AF"/>
    <w:rsid w:val="00A0151F"/>
    <w:rsid w:val="00A32835"/>
    <w:rsid w:val="00A412C9"/>
    <w:rsid w:val="00A41776"/>
    <w:rsid w:val="00A5306C"/>
    <w:rsid w:val="00A73C1C"/>
    <w:rsid w:val="00A80694"/>
    <w:rsid w:val="00AA0734"/>
    <w:rsid w:val="00AB7E02"/>
    <w:rsid w:val="00AC6459"/>
    <w:rsid w:val="00AD3CBA"/>
    <w:rsid w:val="00AE658A"/>
    <w:rsid w:val="00AF1DDC"/>
    <w:rsid w:val="00B05078"/>
    <w:rsid w:val="00B94BD4"/>
    <w:rsid w:val="00BB616D"/>
    <w:rsid w:val="00BE2E68"/>
    <w:rsid w:val="00BE3BA4"/>
    <w:rsid w:val="00BE5622"/>
    <w:rsid w:val="00BF331E"/>
    <w:rsid w:val="00BF45AF"/>
    <w:rsid w:val="00BF7D31"/>
    <w:rsid w:val="00C15535"/>
    <w:rsid w:val="00C311E6"/>
    <w:rsid w:val="00CA37AC"/>
    <w:rsid w:val="00CA5F93"/>
    <w:rsid w:val="00CC019C"/>
    <w:rsid w:val="00CD6F9C"/>
    <w:rsid w:val="00CE5AA3"/>
    <w:rsid w:val="00D01032"/>
    <w:rsid w:val="00D615C8"/>
    <w:rsid w:val="00D6249C"/>
    <w:rsid w:val="00D81C2C"/>
    <w:rsid w:val="00D970B1"/>
    <w:rsid w:val="00DB1CAF"/>
    <w:rsid w:val="00DC7419"/>
    <w:rsid w:val="00DD4F85"/>
    <w:rsid w:val="00DE0A0D"/>
    <w:rsid w:val="00DF74FB"/>
    <w:rsid w:val="00E142AA"/>
    <w:rsid w:val="00E36AAF"/>
    <w:rsid w:val="00E400F5"/>
    <w:rsid w:val="00E45C9E"/>
    <w:rsid w:val="00E70627"/>
    <w:rsid w:val="00E76A1A"/>
    <w:rsid w:val="00E83D15"/>
    <w:rsid w:val="00E910E4"/>
    <w:rsid w:val="00EA412A"/>
    <w:rsid w:val="00EA7D0B"/>
    <w:rsid w:val="00EC4D6E"/>
    <w:rsid w:val="00ED2456"/>
    <w:rsid w:val="00EE0B3A"/>
    <w:rsid w:val="00F171BE"/>
    <w:rsid w:val="00F17864"/>
    <w:rsid w:val="00F21BD3"/>
    <w:rsid w:val="00F23A42"/>
    <w:rsid w:val="00F23F9F"/>
    <w:rsid w:val="00F519C1"/>
    <w:rsid w:val="00F62736"/>
    <w:rsid w:val="00F6671C"/>
    <w:rsid w:val="00F73A78"/>
    <w:rsid w:val="00F751EA"/>
    <w:rsid w:val="00F811FB"/>
    <w:rsid w:val="00F853BD"/>
    <w:rsid w:val="00FA12E0"/>
    <w:rsid w:val="00FC380D"/>
    <w:rsid w:val="00FC567F"/>
    <w:rsid w:val="00FE1BEC"/>
    <w:rsid w:val="00FF1340"/>
    <w:rsid w:val="0380376D"/>
    <w:rsid w:val="05B4344D"/>
    <w:rsid w:val="06D5010B"/>
    <w:rsid w:val="0B585961"/>
    <w:rsid w:val="11311F1E"/>
    <w:rsid w:val="15831C7A"/>
    <w:rsid w:val="1AD51683"/>
    <w:rsid w:val="1DAA5736"/>
    <w:rsid w:val="224C669D"/>
    <w:rsid w:val="22825ABD"/>
    <w:rsid w:val="25386261"/>
    <w:rsid w:val="28315FB5"/>
    <w:rsid w:val="2B600CC0"/>
    <w:rsid w:val="2C215C90"/>
    <w:rsid w:val="364F0C99"/>
    <w:rsid w:val="36994D60"/>
    <w:rsid w:val="380875DA"/>
    <w:rsid w:val="3A6A34B3"/>
    <w:rsid w:val="3E4C2941"/>
    <w:rsid w:val="402343A0"/>
    <w:rsid w:val="433D6A0C"/>
    <w:rsid w:val="43465425"/>
    <w:rsid w:val="4474083E"/>
    <w:rsid w:val="4B3176FF"/>
    <w:rsid w:val="4D812ECB"/>
    <w:rsid w:val="52BE0E81"/>
    <w:rsid w:val="52D72ABD"/>
    <w:rsid w:val="56446881"/>
    <w:rsid w:val="58BA64E1"/>
    <w:rsid w:val="5C4860C0"/>
    <w:rsid w:val="60655819"/>
    <w:rsid w:val="60DF53B1"/>
    <w:rsid w:val="62835350"/>
    <w:rsid w:val="6A2161DA"/>
    <w:rsid w:val="6AB243C0"/>
    <w:rsid w:val="6AFC4813"/>
    <w:rsid w:val="6D430C0D"/>
    <w:rsid w:val="72BF7C69"/>
    <w:rsid w:val="75F911FD"/>
    <w:rsid w:val="7A9241A9"/>
    <w:rsid w:val="7ABB33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2"/>
    <w:qFormat/>
    <w:uiPriority w:val="9"/>
    <w:pPr>
      <w:keepNext/>
      <w:keepLines/>
      <w:spacing w:before="340" w:after="330" w:line="578" w:lineRule="auto"/>
      <w:outlineLvl w:val="0"/>
    </w:pPr>
    <w:rPr>
      <w:rFonts w:ascii="Cambria" w:hAnsi="Cambria" w:eastAsia="宋体" w:cs="Times New Roman"/>
      <w:b/>
      <w:bCs/>
      <w:kern w:val="44"/>
      <w:sz w:val="32"/>
      <w:szCs w:val="44"/>
    </w:rPr>
  </w:style>
  <w:style w:type="paragraph" w:styleId="3">
    <w:name w:val="heading 2"/>
    <w:basedOn w:val="1"/>
    <w:next w:val="1"/>
    <w:link w:val="13"/>
    <w:unhideWhenUsed/>
    <w:qFormat/>
    <w:uiPriority w:val="9"/>
    <w:pPr>
      <w:keepNext/>
      <w:keepLines/>
      <w:spacing w:before="260" w:after="260" w:line="416" w:lineRule="auto"/>
      <w:outlineLvl w:val="1"/>
    </w:pPr>
    <w:rPr>
      <w:rFonts w:asciiTheme="majorHAnsi" w:hAnsiTheme="majorHAnsi" w:eastAsiaTheme="majorEastAsia" w:cstheme="majorBidi"/>
      <w:b/>
      <w:bCs/>
      <w:sz w:val="28"/>
      <w:szCs w:val="32"/>
    </w:rPr>
  </w:style>
  <w:style w:type="paragraph" w:styleId="4">
    <w:name w:val="heading 3"/>
    <w:basedOn w:val="1"/>
    <w:next w:val="1"/>
    <w:link w:val="14"/>
    <w:unhideWhenUsed/>
    <w:qFormat/>
    <w:uiPriority w:val="9"/>
    <w:pPr>
      <w:keepNext/>
      <w:keepLines/>
      <w:spacing w:before="260" w:after="260" w:line="416" w:lineRule="auto"/>
      <w:outlineLvl w:val="2"/>
    </w:pPr>
    <w:rPr>
      <w:rFonts w:ascii="Cambria" w:hAnsi="Cambria" w:eastAsia="宋体" w:cs="Times New Roman"/>
      <w:b/>
      <w:bCs/>
      <w:sz w:val="28"/>
      <w:szCs w:val="32"/>
    </w:rPr>
  </w:style>
  <w:style w:type="paragraph" w:styleId="5">
    <w:name w:val="heading 4"/>
    <w:basedOn w:val="1"/>
    <w:next w:val="1"/>
    <w:link w:val="24"/>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6">
    <w:name w:val="footer"/>
    <w:basedOn w:val="1"/>
    <w:link w:val="23"/>
    <w:unhideWhenUsed/>
    <w:qFormat/>
    <w:uiPriority w:val="99"/>
    <w:pPr>
      <w:tabs>
        <w:tab w:val="center" w:pos="4153"/>
        <w:tab w:val="right" w:pos="8306"/>
      </w:tabs>
      <w:snapToGrid w:val="0"/>
      <w:jc w:val="left"/>
    </w:pPr>
    <w:rPr>
      <w:sz w:val="18"/>
      <w:szCs w:val="18"/>
    </w:rPr>
  </w:style>
  <w:style w:type="paragraph" w:styleId="7">
    <w:name w:val="header"/>
    <w:basedOn w:val="1"/>
    <w:link w:val="22"/>
    <w:unhideWhenUsed/>
    <w:qFormat/>
    <w:uiPriority w:val="99"/>
    <w:pPr>
      <w:pBdr>
        <w:bottom w:val="single" w:color="auto" w:sz="6" w:space="1"/>
      </w:pBdr>
      <w:tabs>
        <w:tab w:val="center" w:pos="4153"/>
        <w:tab w:val="right" w:pos="8306"/>
      </w:tabs>
      <w:snapToGrid w:val="0"/>
      <w:jc w:val="center"/>
    </w:pPr>
    <w:rPr>
      <w:sz w:val="18"/>
      <w:szCs w:val="18"/>
    </w:rPr>
  </w:style>
  <w:style w:type="paragraph" w:styleId="8">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1">
    <w:name w:val="Emphasis"/>
    <w:basedOn w:val="10"/>
    <w:qFormat/>
    <w:uiPriority w:val="20"/>
    <w:rPr>
      <w:i/>
    </w:rPr>
  </w:style>
  <w:style w:type="character" w:customStyle="1" w:styleId="12">
    <w:name w:val="标题 1 字符"/>
    <w:basedOn w:val="10"/>
    <w:link w:val="2"/>
    <w:qFormat/>
    <w:uiPriority w:val="9"/>
    <w:rPr>
      <w:rFonts w:ascii="Cambria" w:hAnsi="Cambria" w:eastAsia="宋体" w:cs="Times New Roman"/>
      <w:b/>
      <w:bCs/>
      <w:kern w:val="44"/>
      <w:sz w:val="32"/>
      <w:szCs w:val="44"/>
    </w:rPr>
  </w:style>
  <w:style w:type="character" w:customStyle="1" w:styleId="13">
    <w:name w:val="标题 2 字符"/>
    <w:basedOn w:val="10"/>
    <w:link w:val="3"/>
    <w:qFormat/>
    <w:uiPriority w:val="9"/>
    <w:rPr>
      <w:rFonts w:asciiTheme="majorHAnsi" w:hAnsiTheme="majorHAnsi" w:eastAsiaTheme="majorEastAsia" w:cstheme="majorBidi"/>
      <w:b/>
      <w:bCs/>
      <w:sz w:val="28"/>
      <w:szCs w:val="32"/>
    </w:rPr>
  </w:style>
  <w:style w:type="character" w:customStyle="1" w:styleId="14">
    <w:name w:val="标题 3 字符"/>
    <w:basedOn w:val="10"/>
    <w:link w:val="4"/>
    <w:qFormat/>
    <w:uiPriority w:val="9"/>
    <w:rPr>
      <w:rFonts w:ascii="Cambria" w:hAnsi="Cambria" w:eastAsia="宋体" w:cs="Times New Roman"/>
      <w:b/>
      <w:bCs/>
      <w:sz w:val="28"/>
      <w:szCs w:val="32"/>
    </w:rPr>
  </w:style>
  <w:style w:type="paragraph" w:customStyle="1" w:styleId="15">
    <w:name w:val="标准化正文"/>
    <w:basedOn w:val="1"/>
    <w:link w:val="16"/>
    <w:qFormat/>
    <w:uiPriority w:val="0"/>
    <w:pPr>
      <w:spacing w:line="360" w:lineRule="auto"/>
      <w:ind w:firstLine="480" w:firstLineChars="200"/>
    </w:pPr>
    <w:rPr>
      <w:rFonts w:ascii="Arial" w:hAnsi="Arial" w:cs="Times New Roman"/>
      <w:sz w:val="24"/>
      <w:szCs w:val="28"/>
    </w:rPr>
  </w:style>
  <w:style w:type="character" w:customStyle="1" w:styleId="16">
    <w:name w:val="标准化正文 Char"/>
    <w:basedOn w:val="10"/>
    <w:link w:val="15"/>
    <w:qFormat/>
    <w:uiPriority w:val="0"/>
    <w:rPr>
      <w:rFonts w:ascii="Arial" w:hAnsi="Arial" w:cs="Times New Roman"/>
      <w:sz w:val="24"/>
      <w:szCs w:val="28"/>
    </w:rPr>
  </w:style>
  <w:style w:type="paragraph" w:customStyle="1" w:styleId="17">
    <w:name w:val="标准标题"/>
    <w:basedOn w:val="1"/>
    <w:link w:val="18"/>
    <w:qFormat/>
    <w:uiPriority w:val="0"/>
    <w:pPr>
      <w:adjustRightInd w:val="0"/>
      <w:snapToGrid w:val="0"/>
      <w:spacing w:before="50" w:beforeLines="50" w:after="50" w:afterLines="50" w:line="360" w:lineRule="auto"/>
    </w:pPr>
    <w:rPr>
      <w:rFonts w:ascii="黑体" w:hAnsi="宋体" w:eastAsia="黑体" w:cs="Times New Roman"/>
      <w:color w:val="000000"/>
      <w:sz w:val="24"/>
      <w:szCs w:val="24"/>
    </w:rPr>
  </w:style>
  <w:style w:type="character" w:customStyle="1" w:styleId="18">
    <w:name w:val="标准标题 Char"/>
    <w:basedOn w:val="10"/>
    <w:link w:val="17"/>
    <w:qFormat/>
    <w:uiPriority w:val="0"/>
    <w:rPr>
      <w:rFonts w:ascii="黑体" w:hAnsi="宋体" w:eastAsia="黑体" w:cs="Times New Roman"/>
      <w:color w:val="000000"/>
      <w:sz w:val="24"/>
      <w:szCs w:val="24"/>
    </w:rPr>
  </w:style>
  <w:style w:type="paragraph" w:customStyle="1" w:styleId="19">
    <w:name w:val="标准悬挂"/>
    <w:basedOn w:val="1"/>
    <w:link w:val="20"/>
    <w:qFormat/>
    <w:uiPriority w:val="0"/>
    <w:pPr>
      <w:adjustRightInd w:val="0"/>
      <w:snapToGrid w:val="0"/>
      <w:spacing w:line="360" w:lineRule="auto"/>
      <w:ind w:left="350" w:leftChars="200" w:hanging="150" w:hangingChars="150"/>
    </w:pPr>
    <w:rPr>
      <w:rFonts w:ascii="Arial" w:hAnsi="Arial" w:cs="Times New Roman"/>
      <w:color w:val="000000"/>
      <w:sz w:val="24"/>
      <w:szCs w:val="24"/>
    </w:rPr>
  </w:style>
  <w:style w:type="character" w:customStyle="1" w:styleId="20">
    <w:name w:val="标准悬挂 Char"/>
    <w:basedOn w:val="10"/>
    <w:link w:val="19"/>
    <w:qFormat/>
    <w:uiPriority w:val="0"/>
    <w:rPr>
      <w:rFonts w:ascii="Arial" w:hAnsi="Arial" w:cs="Times New Roman"/>
      <w:color w:val="000000"/>
      <w:sz w:val="24"/>
      <w:szCs w:val="24"/>
    </w:rPr>
  </w:style>
  <w:style w:type="paragraph" w:customStyle="1" w:styleId="21">
    <w:name w:val="样式1"/>
    <w:basedOn w:val="1"/>
    <w:qFormat/>
    <w:uiPriority w:val="0"/>
    <w:pPr>
      <w:numPr>
        <w:ilvl w:val="0"/>
        <w:numId w:val="1"/>
      </w:numPr>
      <w:jc w:val="center"/>
    </w:pPr>
    <w:rPr>
      <w:rFonts w:ascii="Arial" w:hAnsi="Arial" w:eastAsia="宋体" w:cs="Times New Roman"/>
      <w:b/>
      <w:szCs w:val="21"/>
    </w:rPr>
  </w:style>
  <w:style w:type="character" w:customStyle="1" w:styleId="22">
    <w:name w:val="页眉 字符"/>
    <w:basedOn w:val="10"/>
    <w:link w:val="7"/>
    <w:qFormat/>
    <w:uiPriority w:val="99"/>
    <w:rPr>
      <w:sz w:val="18"/>
      <w:szCs w:val="18"/>
    </w:rPr>
  </w:style>
  <w:style w:type="character" w:customStyle="1" w:styleId="23">
    <w:name w:val="页脚 字符"/>
    <w:basedOn w:val="10"/>
    <w:link w:val="6"/>
    <w:qFormat/>
    <w:uiPriority w:val="99"/>
    <w:rPr>
      <w:sz w:val="18"/>
      <w:szCs w:val="18"/>
    </w:rPr>
  </w:style>
  <w:style w:type="character" w:customStyle="1" w:styleId="24">
    <w:name w:val="标题 4 字符"/>
    <w:basedOn w:val="10"/>
    <w:link w:val="5"/>
    <w:semiHidden/>
    <w:qFormat/>
    <w:uiPriority w:val="9"/>
    <w:rPr>
      <w:rFonts w:asciiTheme="majorHAnsi" w:hAnsiTheme="majorHAnsi" w:eastAsiaTheme="majorEastAsia" w:cstheme="majorBidi"/>
      <w:b/>
      <w:bCs/>
      <w:sz w:val="28"/>
      <w:szCs w:val="28"/>
    </w:rPr>
  </w:style>
  <w:style w:type="paragraph" w:customStyle="1" w:styleId="25">
    <w:name w:val="样式2"/>
    <w:basedOn w:val="7"/>
    <w:qFormat/>
    <w:uiPriority w:val="0"/>
    <w:pPr>
      <w:pBdr>
        <w:bottom w:val="none" w:color="auto" w:sz="0" w:space="0"/>
      </w:pBdr>
      <w:spacing w:line="360" w:lineRule="auto"/>
      <w:ind w:firstLine="420" w:firstLineChars="200"/>
      <w:jc w:val="left"/>
    </w:pPr>
    <w:rPr>
      <w:rFonts w:ascii="Calibri" w:hAnsi="Calibri" w:eastAsia="宋体" w:cs="Times New Roman"/>
      <w:sz w:val="21"/>
      <w:szCs w:val="21"/>
      <w:lang w:val="zh-CN" w:eastAsia="zh-CN"/>
    </w:rPr>
  </w:style>
  <w:style w:type="paragraph" w:styleId="2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20</Pages>
  <Words>8010</Words>
  <Characters>8423</Characters>
  <Lines>59</Lines>
  <Paragraphs>16</Paragraphs>
  <TotalTime>11</TotalTime>
  <ScaleCrop>false</ScaleCrop>
  <LinksUpToDate>false</LinksUpToDate>
  <CharactersWithSpaces>8571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2017-11-10T01:20:00Z</dcterms:created>
  <dc:creator>彭婷</dc:creator>
  <cp:lastModifiedBy>小灰灰</cp:lastModifiedBy>
  <cp:lastPrinted>2021-06-17T12:34:00Z</cp:lastPrinted>
  <dcterms:modified xsi:type="dcterms:W3CDTF">2025-09-30T09:10:32Z</dcterms:modified>
  <cp:revision>216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7CD002135A574A378211803E7E9D8A50</vt:lpwstr>
  </property>
  <property fmtid="{D5CDD505-2E9C-101B-9397-08002B2CF9AE}" pid="4" name="KSOTemplateDocerSaveRecord">
    <vt:lpwstr>eyJoZGlkIjoiOGRiZDU5OGFhY2QzYWFmYzE0ZGRiNDdmYTUzYTk4ZmQiLCJ1c2VySWQiOiI3NDgzMjA0ODAifQ==</vt:lpwstr>
  </property>
</Properties>
</file>