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53D6CF7">
      <w:pPr>
        <w:spacing w:line="360" w:lineRule="auto"/>
        <w:jc w:val="left"/>
        <w:rPr>
          <w:rFonts w:ascii="仿宋_GB2312;仿宋" w:hAnsi="仿宋_GB2312;仿宋" w:eastAsia="仿宋_GB2312;仿宋"/>
          <w:b/>
          <w:sz w:val="24"/>
          <w:highlight w:val="none"/>
        </w:rPr>
      </w:pPr>
      <w:r>
        <w:rPr>
          <w:rFonts w:ascii="仿宋_GB2312;仿宋" w:hAnsi="仿宋_GB2312;仿宋" w:eastAsia="仿宋_GB2312;仿宋"/>
          <w:b/>
          <w:sz w:val="24"/>
          <w:highlight w:val="none"/>
        </w:rPr>
        <w:t>附件2</w:t>
      </w:r>
    </w:p>
    <w:p w14:paraId="003A1210">
      <w:pPr>
        <w:spacing w:line="360" w:lineRule="auto"/>
        <w:jc w:val="left"/>
        <w:rPr>
          <w:rFonts w:ascii="仿宋_GB2312;仿宋" w:hAnsi="仿宋_GB2312;仿宋" w:eastAsia="仿宋_GB2312;仿宋"/>
          <w:b/>
          <w:sz w:val="24"/>
          <w:highlight w:val="none"/>
        </w:rPr>
      </w:pPr>
    </w:p>
    <w:p w14:paraId="4EA7344C">
      <w:pPr>
        <w:tabs>
          <w:tab w:val="left" w:pos="540"/>
        </w:tabs>
        <w:spacing w:line="360" w:lineRule="auto"/>
        <w:jc w:val="center"/>
        <w:rPr>
          <w:rFonts w:hint="eastAsia" w:ascii="仿宋" w:hAnsi="仿宋" w:eastAsia="仿宋"/>
          <w:b/>
          <w:sz w:val="44"/>
          <w:szCs w:val="44"/>
          <w:highlight w:val="none"/>
          <w:lang w:val="en-US" w:eastAsia="zh-CN"/>
        </w:rPr>
      </w:pPr>
      <w:r>
        <w:rPr>
          <w:rFonts w:hint="eastAsia" w:ascii="仿宋" w:hAnsi="仿宋" w:eastAsia="仿宋"/>
          <w:b/>
          <w:sz w:val="44"/>
          <w:szCs w:val="44"/>
          <w:highlight w:val="none"/>
          <w:lang w:val="en-US" w:eastAsia="zh-CN"/>
        </w:rPr>
        <w:t>长兴</w:t>
      </w:r>
      <w:r>
        <w:rPr>
          <w:rFonts w:ascii="仿宋" w:hAnsi="仿宋" w:eastAsia="仿宋"/>
          <w:b/>
          <w:sz w:val="44"/>
          <w:szCs w:val="44"/>
          <w:highlight w:val="none"/>
        </w:rPr>
        <w:t>项目</w:t>
      </w:r>
      <w:r>
        <w:rPr>
          <w:rFonts w:hint="eastAsia" w:ascii="仿宋" w:hAnsi="仿宋" w:eastAsia="仿宋"/>
          <w:b/>
          <w:sz w:val="44"/>
          <w:szCs w:val="44"/>
          <w:highlight w:val="yellow"/>
          <w:lang w:val="en-US" w:eastAsia="zh-CN"/>
        </w:rPr>
        <w:t>大区精装</w:t>
      </w:r>
      <w:r>
        <w:rPr>
          <w:rFonts w:hint="eastAsia" w:ascii="仿宋" w:hAnsi="仿宋" w:eastAsia="仿宋"/>
          <w:b/>
          <w:sz w:val="44"/>
          <w:szCs w:val="44"/>
          <w:highlight w:val="none"/>
          <w:lang w:val="en-US" w:eastAsia="zh-CN"/>
        </w:rPr>
        <w:t>概念至施工图</w:t>
      </w:r>
    </w:p>
    <w:p w14:paraId="7F9780D4">
      <w:pPr>
        <w:tabs>
          <w:tab w:val="left" w:pos="540"/>
        </w:tabs>
        <w:spacing w:line="360" w:lineRule="auto"/>
        <w:jc w:val="center"/>
        <w:rPr>
          <w:highlight w:val="none"/>
        </w:rPr>
      </w:pPr>
      <w:r>
        <w:rPr>
          <w:rFonts w:ascii="仿宋" w:hAnsi="仿宋" w:eastAsia="仿宋"/>
          <w:b/>
          <w:sz w:val="44"/>
          <w:szCs w:val="44"/>
          <w:highlight w:val="none"/>
        </w:rPr>
        <w:t>装修设计任务书</w:t>
      </w:r>
      <w:r>
        <w:rPr>
          <w:highlight w:val="none"/>
        </w:rPr>
        <w:tab/>
      </w:r>
    </w:p>
    <w:p w14:paraId="10B27F21">
      <w:pPr>
        <w:tabs>
          <w:tab w:val="left" w:pos="540"/>
        </w:tabs>
        <w:spacing w:line="440" w:lineRule="exact"/>
        <w:jc w:val="center"/>
        <w:rPr>
          <w:highlight w:val="none"/>
        </w:rPr>
      </w:pPr>
    </w:p>
    <w:p w14:paraId="6FF688C3">
      <w:pPr>
        <w:pStyle w:val="97"/>
        <w:numPr>
          <w:ilvl w:val="0"/>
          <w:numId w:val="3"/>
        </w:numPr>
        <w:spacing w:line="276" w:lineRule="auto"/>
        <w:ind w:firstLineChars="0"/>
        <w:outlineLvl w:val="0"/>
        <w:rPr>
          <w:rFonts w:ascii="仿宋" w:hAnsi="仿宋" w:eastAsia="仿宋"/>
          <w:b/>
          <w:color w:val="000000"/>
          <w:sz w:val="24"/>
          <w:highlight w:val="none"/>
        </w:rPr>
      </w:pPr>
      <w:r>
        <w:rPr>
          <w:rFonts w:ascii="仿宋" w:hAnsi="仿宋" w:eastAsia="仿宋"/>
          <w:b/>
          <w:color w:val="000000"/>
          <w:sz w:val="24"/>
          <w:highlight w:val="none"/>
        </w:rPr>
        <w:t>项目概况：</w:t>
      </w:r>
    </w:p>
    <w:p w14:paraId="75965175">
      <w:pPr>
        <w:pageBreakBefore w:val="0"/>
        <w:kinsoku/>
        <w:wordWrap/>
        <w:overflowPunct/>
        <w:topLinePunct w:val="0"/>
        <w:bidi w:val="0"/>
        <w:adjustRightInd/>
        <w:spacing w:line="300" w:lineRule="auto"/>
        <w:ind w:firstLine="482" w:firstLineChars="200"/>
        <w:jc w:val="left"/>
        <w:rPr>
          <w:rFonts w:hint="eastAsia" w:ascii="仿宋" w:hAnsi="仿宋" w:eastAsia="仿宋" w:cs="Calibri"/>
          <w:b/>
          <w:kern w:val="2"/>
          <w:sz w:val="24"/>
          <w:szCs w:val="28"/>
          <w:highlight w:val="none"/>
          <w:lang w:val="en-US" w:eastAsia="zh-CN" w:bidi="ar-SA"/>
        </w:rPr>
      </w:pPr>
      <w:r>
        <w:rPr>
          <w:rFonts w:hint="eastAsia" w:ascii="仿宋" w:hAnsi="仿宋" w:eastAsia="仿宋" w:cs="Calibri"/>
          <w:b/>
          <w:kern w:val="2"/>
          <w:sz w:val="24"/>
          <w:szCs w:val="28"/>
          <w:highlight w:val="none"/>
        </w:rPr>
        <w:t>基地位于广东省广州市花都区凤凰南路与空铁大道交汇板块。距离白云国际机场11.5km，20分钟车程；距离广州北站5.2km，15分钟车程。 附近有地铁9号线，距清布站1.5km；未来有18号线北延段通车，距基地500m左右，交通便利性将提升</w:t>
      </w:r>
      <w:r>
        <w:rPr>
          <w:rFonts w:hint="eastAsia" w:ascii="仿宋" w:hAnsi="仿宋" w:eastAsia="仿宋" w:cs="Calibri"/>
          <w:b/>
          <w:kern w:val="2"/>
          <w:sz w:val="24"/>
          <w:szCs w:val="28"/>
          <w:highlight w:val="none"/>
          <w:lang w:eastAsia="zh-CN"/>
        </w:rPr>
        <w:t>；</w:t>
      </w:r>
      <w:r>
        <w:rPr>
          <w:rFonts w:hint="eastAsia" w:ascii="仿宋" w:hAnsi="仿宋" w:eastAsia="仿宋" w:cs="Calibri"/>
          <w:b/>
          <w:kern w:val="2"/>
          <w:sz w:val="24"/>
          <w:szCs w:val="28"/>
          <w:highlight w:val="none"/>
        </w:rPr>
        <w:t xml:space="preserve"> 基地西北侧直线距离650m范围可触达花都湖国家湿地公园景观，为发展基地西北侧景观面提供基础</w:t>
      </w:r>
      <w:r>
        <w:rPr>
          <w:rFonts w:hint="eastAsia" w:ascii="仿宋" w:hAnsi="仿宋" w:eastAsia="仿宋" w:cs="Calibri"/>
          <w:b/>
          <w:kern w:val="2"/>
          <w:sz w:val="24"/>
          <w:szCs w:val="28"/>
          <w:highlight w:val="none"/>
          <w:lang w:eastAsia="zh-CN"/>
        </w:rPr>
        <w:t>。</w:t>
      </w:r>
    </w:p>
    <w:p w14:paraId="75A02E15">
      <w:pPr>
        <w:pageBreakBefore w:val="0"/>
        <w:kinsoku/>
        <w:wordWrap/>
        <w:overflowPunct/>
        <w:topLinePunct w:val="0"/>
        <w:bidi w:val="0"/>
        <w:adjustRightInd/>
        <w:spacing w:line="500" w:lineRule="exact"/>
        <w:jc w:val="left"/>
        <w:rPr>
          <w:rFonts w:hint="eastAsia" w:ascii="仿宋" w:hAnsi="仿宋" w:eastAsia="仿宋" w:cs="Calibri"/>
          <w:b/>
          <w:kern w:val="2"/>
          <w:sz w:val="24"/>
          <w:szCs w:val="28"/>
          <w:highlight w:val="none"/>
          <w:lang w:val="en-US" w:eastAsia="zh-CN" w:bidi="ar-SA"/>
        </w:rPr>
      </w:pPr>
      <w:r>
        <w:rPr>
          <w:rFonts w:hint="eastAsia" w:ascii="仿宋" w:hAnsi="仿宋" w:eastAsia="仿宋" w:cs="Calibri"/>
          <w:b/>
          <w:kern w:val="2"/>
          <w:sz w:val="24"/>
          <w:szCs w:val="28"/>
          <w:highlight w:val="none"/>
          <w:lang w:val="en-US" w:eastAsia="zh-CN" w:bidi="ar-SA"/>
        </w:rPr>
        <w:t>（详见下图）</w:t>
      </w:r>
    </w:p>
    <w:p w14:paraId="2C20FEEC">
      <w:pPr>
        <w:pageBreakBefore w:val="0"/>
        <w:kinsoku/>
        <w:wordWrap/>
        <w:overflowPunct/>
        <w:topLinePunct w:val="0"/>
        <w:bidi w:val="0"/>
        <w:adjustRightInd/>
        <w:spacing w:line="500" w:lineRule="exact"/>
        <w:jc w:val="left"/>
        <w:rPr>
          <w:rFonts w:hint="eastAsia" w:ascii="仿宋" w:hAnsi="仿宋" w:eastAsia="仿宋" w:cs="Calibri"/>
          <w:b/>
          <w:kern w:val="2"/>
          <w:sz w:val="24"/>
          <w:szCs w:val="28"/>
          <w:highlight w:val="none"/>
          <w:lang w:val="en-US" w:eastAsia="zh-CN" w:bidi="ar-SA"/>
        </w:rPr>
      </w:pPr>
      <w:r>
        <w:drawing>
          <wp:anchor distT="0" distB="0" distL="114300" distR="114300" simplePos="0" relativeHeight="251659264" behindDoc="1" locked="0" layoutInCell="1" allowOverlap="1">
            <wp:simplePos x="0" y="0"/>
            <wp:positionH relativeFrom="column">
              <wp:posOffset>10795</wp:posOffset>
            </wp:positionH>
            <wp:positionV relativeFrom="paragraph">
              <wp:posOffset>29210</wp:posOffset>
            </wp:positionV>
            <wp:extent cx="5260975" cy="2825750"/>
            <wp:effectExtent l="0" t="0" r="6350" b="3175"/>
            <wp:wrapThrough wrapText="bothSides">
              <wp:wrapPolygon>
                <wp:start x="0" y="0"/>
                <wp:lineTo x="0" y="21551"/>
                <wp:lineTo x="21548" y="21551"/>
                <wp:lineTo x="21548" y="0"/>
                <wp:lineTo x="0" y="0"/>
              </wp:wrapPolygon>
            </wp:wrapThrough>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260975" cy="2825750"/>
                    </a:xfrm>
                    <a:prstGeom prst="rect">
                      <a:avLst/>
                    </a:prstGeom>
                    <a:noFill/>
                    <a:ln>
                      <a:noFill/>
                    </a:ln>
                  </pic:spPr>
                </pic:pic>
              </a:graphicData>
            </a:graphic>
          </wp:anchor>
        </w:drawing>
      </w:r>
    </w:p>
    <w:p w14:paraId="272331C4">
      <w:pPr>
        <w:pageBreakBefore w:val="0"/>
        <w:numPr>
          <w:ilvl w:val="0"/>
          <w:numId w:val="4"/>
        </w:numPr>
        <w:kinsoku/>
        <w:wordWrap/>
        <w:overflowPunct/>
        <w:topLinePunct w:val="0"/>
        <w:bidi w:val="0"/>
        <w:adjustRightInd/>
        <w:spacing w:line="500" w:lineRule="exact"/>
        <w:ind w:left="0" w:leftChars="0" w:firstLine="420" w:firstLineChars="0"/>
        <w:jc w:val="left"/>
        <w:rPr>
          <w:rFonts w:hint="eastAsia" w:ascii="仿宋" w:hAnsi="仿宋" w:eastAsia="仿宋" w:cs="Calibri"/>
          <w:b/>
          <w:kern w:val="2"/>
          <w:sz w:val="24"/>
          <w:szCs w:val="28"/>
          <w:highlight w:val="none"/>
          <w:lang w:val="en-US" w:eastAsia="zh-CN" w:bidi="ar-SA"/>
        </w:rPr>
      </w:pPr>
      <w:r>
        <w:rPr>
          <w:rFonts w:hint="eastAsia" w:ascii="仿宋" w:hAnsi="仿宋" w:eastAsia="仿宋" w:cs="Calibri"/>
          <w:b/>
          <w:kern w:val="2"/>
          <w:sz w:val="24"/>
          <w:szCs w:val="28"/>
          <w:highlight w:val="none"/>
          <w:lang w:val="en-US" w:eastAsia="zh-CN" w:bidi="ar-SA"/>
        </w:rPr>
        <w:t>项目总用地面积35619.9平方米，其中项目建设用地面积32210.09平方米，绿</w:t>
      </w:r>
      <w:bookmarkStart w:id="0" w:name="_GoBack"/>
      <w:bookmarkEnd w:id="0"/>
      <w:r>
        <w:rPr>
          <w:rFonts w:hint="eastAsia" w:ascii="仿宋" w:hAnsi="仿宋" w:eastAsia="仿宋" w:cs="Calibri"/>
          <w:b/>
          <w:kern w:val="2"/>
          <w:sz w:val="24"/>
          <w:szCs w:val="28"/>
          <w:highlight w:val="none"/>
          <w:lang w:val="en-US" w:eastAsia="zh-CN" w:bidi="ar-SA"/>
        </w:rPr>
        <w:t>地用地面积3409.81平方米。建筑总面积96543.43平方米，容积率为2.0。</w:t>
      </w:r>
    </w:p>
    <w:p w14:paraId="1809D5FD">
      <w:pPr>
        <w:pStyle w:val="97"/>
        <w:spacing w:line="276" w:lineRule="auto"/>
        <w:ind w:left="495" w:firstLine="0" w:firstLineChars="0"/>
        <w:outlineLvl w:val="0"/>
        <w:rPr>
          <w:rFonts w:hint="eastAsia" w:ascii="仿宋" w:hAnsi="仿宋" w:eastAsia="仿宋"/>
          <w:b/>
          <w:color w:val="000000"/>
          <w:sz w:val="24"/>
          <w:highlight w:val="none"/>
        </w:rPr>
      </w:pPr>
    </w:p>
    <w:p w14:paraId="06AEF423">
      <w:pPr>
        <w:pStyle w:val="97"/>
        <w:spacing w:line="276" w:lineRule="auto"/>
        <w:ind w:left="0" w:leftChars="0" w:firstLine="0" w:firstLineChars="0"/>
        <w:outlineLvl w:val="0"/>
        <w:rPr>
          <w:rFonts w:hint="eastAsia" w:ascii="仿宋" w:hAnsi="仿宋" w:eastAsia="仿宋"/>
          <w:b/>
          <w:color w:val="000000"/>
          <w:sz w:val="24"/>
          <w:highlight w:val="none"/>
        </w:rPr>
      </w:pPr>
    </w:p>
    <w:p w14:paraId="054FA97D">
      <w:pPr>
        <w:numPr>
          <w:ilvl w:val="0"/>
          <w:numId w:val="2"/>
        </w:numPr>
        <w:spacing w:line="276" w:lineRule="auto"/>
        <w:outlineLvl w:val="0"/>
        <w:rPr>
          <w:rFonts w:ascii="仿宋" w:hAnsi="仿宋" w:eastAsia="仿宋"/>
          <w:b/>
          <w:sz w:val="24"/>
          <w:highlight w:val="none"/>
        </w:rPr>
      </w:pPr>
      <w:r>
        <w:rPr>
          <w:rFonts w:ascii="仿宋" w:hAnsi="仿宋" w:eastAsia="仿宋"/>
          <w:b/>
          <w:color w:val="000000"/>
          <w:sz w:val="24"/>
          <w:highlight w:val="none"/>
        </w:rPr>
        <w:t>行业技术标准和规范：</w:t>
      </w:r>
    </w:p>
    <w:p w14:paraId="7B57A3FB">
      <w:pPr>
        <w:pStyle w:val="76"/>
        <w:numPr>
          <w:ilvl w:val="0"/>
          <w:numId w:val="0"/>
        </w:numPr>
        <w:ind w:left="-1" w:firstLine="480"/>
        <w:jc w:val="left"/>
        <w:rPr>
          <w:rFonts w:ascii="仿宋" w:hAnsi="仿宋" w:eastAsia="仿宋"/>
          <w:sz w:val="24"/>
          <w:highlight w:val="none"/>
        </w:rPr>
      </w:pPr>
      <w:r>
        <w:rPr>
          <w:rFonts w:ascii="仿宋" w:hAnsi="仿宋" w:eastAsia="仿宋"/>
          <w:sz w:val="24"/>
          <w:highlight w:val="none"/>
        </w:rPr>
        <w:t>设计任务必须满足国家相关法律、法规、强制性条文，国家及各行业设计规范、规程、行业条例及项目所在地方规定和标准，包括但不限于以下行业技术标准和规范。</w:t>
      </w:r>
    </w:p>
    <w:p w14:paraId="30DC944A">
      <w:pPr>
        <w:pStyle w:val="76"/>
        <w:numPr>
          <w:ilvl w:val="0"/>
          <w:numId w:val="5"/>
        </w:numPr>
        <w:ind w:left="0" w:leftChars="0" w:firstLine="420" w:firstLineChars="0"/>
        <w:jc w:val="left"/>
        <w:rPr>
          <w:rFonts w:ascii="仿宋" w:hAnsi="仿宋" w:eastAsia="仿宋"/>
          <w:sz w:val="24"/>
          <w:highlight w:val="none"/>
        </w:rPr>
      </w:pPr>
      <w:r>
        <w:rPr>
          <w:rFonts w:ascii="仿宋" w:hAnsi="仿宋" w:eastAsia="仿宋"/>
          <w:sz w:val="24"/>
          <w:highlight w:val="none"/>
        </w:rPr>
        <w:t>《建筑设计防火规范》、《建筑内部装修设计防火规范》、《广州市消防工程规定》</w:t>
      </w:r>
    </w:p>
    <w:p w14:paraId="7B95B0C1">
      <w:pPr>
        <w:pStyle w:val="76"/>
        <w:numPr>
          <w:ilvl w:val="0"/>
          <w:numId w:val="5"/>
        </w:numPr>
        <w:ind w:left="0" w:leftChars="0" w:firstLine="420" w:firstLineChars="0"/>
        <w:jc w:val="left"/>
        <w:rPr>
          <w:rFonts w:ascii="仿宋" w:hAnsi="仿宋" w:eastAsia="仿宋"/>
          <w:sz w:val="24"/>
          <w:highlight w:val="none"/>
        </w:rPr>
      </w:pPr>
      <w:r>
        <w:rPr>
          <w:rFonts w:ascii="仿宋" w:hAnsi="仿宋" w:eastAsia="仿宋"/>
          <w:sz w:val="24"/>
          <w:highlight w:val="none"/>
        </w:rPr>
        <w:t>《建筑照明设计标准》GB50034-2013</w:t>
      </w:r>
    </w:p>
    <w:p w14:paraId="10456254">
      <w:pPr>
        <w:pStyle w:val="76"/>
        <w:numPr>
          <w:ilvl w:val="0"/>
          <w:numId w:val="5"/>
        </w:numPr>
        <w:ind w:left="0" w:leftChars="0" w:firstLine="420" w:firstLineChars="0"/>
        <w:jc w:val="left"/>
        <w:rPr>
          <w:rFonts w:ascii="仿宋" w:hAnsi="仿宋" w:eastAsia="仿宋"/>
          <w:sz w:val="24"/>
          <w:highlight w:val="none"/>
        </w:rPr>
      </w:pPr>
      <w:r>
        <w:rPr>
          <w:rFonts w:ascii="仿宋" w:hAnsi="仿宋" w:eastAsia="仿宋"/>
          <w:sz w:val="24"/>
          <w:highlight w:val="none"/>
        </w:rPr>
        <w:t>《建筑工程设计文件编制深度规定》</w:t>
      </w:r>
    </w:p>
    <w:p w14:paraId="30FFE6F6">
      <w:pPr>
        <w:pStyle w:val="76"/>
        <w:numPr>
          <w:ilvl w:val="0"/>
          <w:numId w:val="5"/>
        </w:numPr>
        <w:ind w:left="0" w:leftChars="0" w:firstLine="420" w:firstLineChars="0"/>
        <w:jc w:val="left"/>
        <w:rPr>
          <w:rFonts w:ascii="仿宋" w:hAnsi="仿宋" w:eastAsia="仿宋"/>
          <w:sz w:val="24"/>
          <w:highlight w:val="none"/>
        </w:rPr>
      </w:pPr>
      <w:r>
        <w:rPr>
          <w:rFonts w:ascii="仿宋" w:hAnsi="仿宋" w:eastAsia="仿宋"/>
          <w:sz w:val="24"/>
          <w:highlight w:val="none"/>
        </w:rPr>
        <w:t>《火灾自动报警系统设计规范》</w:t>
      </w:r>
    </w:p>
    <w:p w14:paraId="6F59BBAF">
      <w:pPr>
        <w:pStyle w:val="76"/>
        <w:numPr>
          <w:ilvl w:val="0"/>
          <w:numId w:val="5"/>
        </w:numPr>
        <w:ind w:left="0" w:leftChars="0" w:firstLine="420" w:firstLineChars="0"/>
        <w:jc w:val="left"/>
        <w:rPr>
          <w:rFonts w:ascii="仿宋" w:hAnsi="仿宋" w:eastAsia="仿宋"/>
          <w:sz w:val="24"/>
          <w:highlight w:val="none"/>
        </w:rPr>
      </w:pPr>
      <w:r>
        <w:rPr>
          <w:rFonts w:ascii="仿宋" w:hAnsi="仿宋" w:eastAsia="仿宋"/>
          <w:sz w:val="24"/>
          <w:highlight w:val="none"/>
        </w:rPr>
        <w:t>《智能建筑设计标准》</w:t>
      </w:r>
    </w:p>
    <w:p w14:paraId="46003534">
      <w:pPr>
        <w:pStyle w:val="76"/>
        <w:numPr>
          <w:ilvl w:val="0"/>
          <w:numId w:val="5"/>
        </w:numPr>
        <w:ind w:left="0" w:leftChars="0" w:firstLine="420" w:firstLineChars="0"/>
        <w:jc w:val="left"/>
        <w:rPr>
          <w:rFonts w:ascii="仿宋" w:hAnsi="仿宋" w:eastAsia="仿宋"/>
          <w:sz w:val="24"/>
          <w:highlight w:val="none"/>
        </w:rPr>
      </w:pPr>
      <w:r>
        <w:rPr>
          <w:rFonts w:ascii="仿宋" w:hAnsi="仿宋" w:eastAsia="仿宋"/>
          <w:sz w:val="24"/>
          <w:highlight w:val="none"/>
        </w:rPr>
        <w:t>《绿色建筑评价标准》GB/T50378-20</w:t>
      </w:r>
      <w:r>
        <w:rPr>
          <w:rFonts w:hint="eastAsia" w:ascii="仿宋" w:hAnsi="仿宋" w:eastAsia="仿宋"/>
          <w:sz w:val="24"/>
          <w:highlight w:val="none"/>
          <w:lang w:val="en-US" w:eastAsia="zh-CN"/>
        </w:rPr>
        <w:t>22</w:t>
      </w:r>
    </w:p>
    <w:p w14:paraId="636CFF44">
      <w:pPr>
        <w:pStyle w:val="76"/>
        <w:numPr>
          <w:ilvl w:val="0"/>
          <w:numId w:val="5"/>
        </w:numPr>
        <w:ind w:left="0" w:leftChars="0" w:firstLine="420" w:firstLineChars="0"/>
        <w:jc w:val="left"/>
        <w:rPr>
          <w:rFonts w:ascii="仿宋" w:hAnsi="仿宋" w:eastAsia="仿宋"/>
          <w:sz w:val="24"/>
          <w:highlight w:val="none"/>
        </w:rPr>
      </w:pPr>
      <w:r>
        <w:rPr>
          <w:rFonts w:ascii="仿宋" w:hAnsi="仿宋" w:eastAsia="仿宋"/>
          <w:sz w:val="24"/>
          <w:highlight w:val="none"/>
        </w:rPr>
        <w:t>《</w:t>
      </w:r>
      <w:r>
        <w:rPr>
          <w:rFonts w:hint="eastAsia" w:ascii="仿宋" w:hAnsi="仿宋" w:eastAsia="仿宋"/>
          <w:sz w:val="24"/>
          <w:highlight w:val="none"/>
        </w:rPr>
        <w:t>无障碍设计规范》</w:t>
      </w:r>
      <w:r>
        <w:rPr>
          <w:rFonts w:ascii="仿宋" w:hAnsi="仿宋" w:eastAsia="仿宋"/>
          <w:sz w:val="24"/>
          <w:highlight w:val="none"/>
        </w:rPr>
        <w:t>GB50763-20</w:t>
      </w:r>
      <w:r>
        <w:rPr>
          <w:rFonts w:hint="eastAsia" w:ascii="仿宋" w:hAnsi="仿宋" w:eastAsia="仿宋"/>
          <w:sz w:val="24"/>
          <w:highlight w:val="none"/>
          <w:lang w:val="en-US" w:eastAsia="zh-CN"/>
        </w:rPr>
        <w:t>22</w:t>
      </w:r>
    </w:p>
    <w:p w14:paraId="515A7CF8">
      <w:pPr>
        <w:pStyle w:val="76"/>
        <w:numPr>
          <w:ilvl w:val="0"/>
          <w:numId w:val="5"/>
        </w:numPr>
        <w:ind w:left="0" w:leftChars="0" w:firstLine="420" w:firstLineChars="0"/>
        <w:jc w:val="left"/>
        <w:rPr>
          <w:rFonts w:ascii="仿宋" w:hAnsi="仿宋" w:eastAsia="仿宋"/>
          <w:sz w:val="24"/>
          <w:highlight w:val="none"/>
        </w:rPr>
      </w:pPr>
      <w:r>
        <w:rPr>
          <w:rFonts w:ascii="仿宋" w:hAnsi="仿宋" w:eastAsia="仿宋"/>
          <w:sz w:val="24"/>
          <w:highlight w:val="none"/>
        </w:rPr>
        <w:t>《房屋建筑制图统一标准》、《建筑制图标准》</w:t>
      </w:r>
    </w:p>
    <w:p w14:paraId="41E40733">
      <w:pPr>
        <w:pStyle w:val="76"/>
        <w:numPr>
          <w:ilvl w:val="0"/>
          <w:numId w:val="5"/>
        </w:numPr>
        <w:ind w:left="0" w:leftChars="0" w:firstLine="420" w:firstLineChars="0"/>
        <w:jc w:val="left"/>
        <w:rPr>
          <w:rFonts w:ascii="仿宋" w:hAnsi="仿宋" w:eastAsia="仿宋"/>
          <w:sz w:val="24"/>
          <w:highlight w:val="none"/>
        </w:rPr>
      </w:pPr>
      <w:r>
        <w:rPr>
          <w:rFonts w:ascii="仿宋" w:hAnsi="仿宋" w:eastAsia="仿宋"/>
          <w:sz w:val="24"/>
          <w:highlight w:val="none"/>
        </w:rPr>
        <w:t>《民用建筑工程室内环境污染控制规范》</w:t>
      </w:r>
    </w:p>
    <w:p w14:paraId="4D0DDE17">
      <w:pPr>
        <w:pStyle w:val="76"/>
        <w:numPr>
          <w:ilvl w:val="0"/>
          <w:numId w:val="5"/>
        </w:numPr>
        <w:ind w:left="0" w:leftChars="0" w:firstLine="420" w:firstLineChars="0"/>
        <w:jc w:val="left"/>
        <w:rPr>
          <w:rFonts w:ascii="仿宋" w:hAnsi="仿宋" w:eastAsia="仿宋"/>
          <w:sz w:val="24"/>
          <w:highlight w:val="none"/>
        </w:rPr>
      </w:pPr>
      <w:r>
        <w:rPr>
          <w:rFonts w:ascii="仿宋" w:hAnsi="仿宋" w:eastAsia="仿宋"/>
          <w:sz w:val="24"/>
          <w:highlight w:val="none"/>
        </w:rPr>
        <w:t>《建筑防烟排烟系统技术标准》GB51251-2017</w:t>
      </w:r>
    </w:p>
    <w:p w14:paraId="137EF669">
      <w:pPr>
        <w:pStyle w:val="76"/>
        <w:numPr>
          <w:ilvl w:val="0"/>
          <w:numId w:val="5"/>
        </w:numPr>
        <w:ind w:left="0" w:leftChars="0" w:firstLine="420" w:firstLineChars="0"/>
        <w:jc w:val="left"/>
        <w:rPr>
          <w:rFonts w:ascii="仿宋" w:hAnsi="仿宋" w:eastAsia="仿宋"/>
          <w:sz w:val="24"/>
          <w:highlight w:val="none"/>
        </w:rPr>
      </w:pPr>
      <w:r>
        <w:rPr>
          <w:rFonts w:ascii="仿宋" w:hAnsi="仿宋" w:eastAsia="仿宋"/>
          <w:sz w:val="24"/>
          <w:highlight w:val="none"/>
        </w:rPr>
        <w:t>《</w:t>
      </w:r>
      <w:r>
        <w:rPr>
          <w:rFonts w:hint="eastAsia" w:ascii="仿宋" w:hAnsi="仿宋" w:eastAsia="仿宋"/>
          <w:sz w:val="24"/>
          <w:highlight w:val="none"/>
        </w:rPr>
        <w:t>图形标志-使用原则与要求</w:t>
      </w:r>
      <w:r>
        <w:rPr>
          <w:rFonts w:ascii="仿宋" w:hAnsi="仿宋" w:eastAsia="仿宋"/>
          <w:sz w:val="24"/>
          <w:highlight w:val="none"/>
        </w:rPr>
        <w:t>》</w:t>
      </w:r>
      <w:r>
        <w:rPr>
          <w:rFonts w:hint="eastAsia" w:ascii="仿宋" w:hAnsi="仿宋" w:eastAsia="仿宋"/>
          <w:sz w:val="24"/>
          <w:highlight w:val="none"/>
        </w:rPr>
        <w:t>GB/T 15566-2007</w:t>
      </w:r>
    </w:p>
    <w:p w14:paraId="14F29567">
      <w:pPr>
        <w:pStyle w:val="76"/>
        <w:numPr>
          <w:ilvl w:val="0"/>
          <w:numId w:val="5"/>
        </w:numPr>
        <w:ind w:left="0" w:leftChars="0" w:firstLine="420" w:firstLineChars="0"/>
        <w:jc w:val="left"/>
        <w:rPr>
          <w:rFonts w:hint="eastAsia" w:ascii="仿宋" w:hAnsi="仿宋" w:eastAsia="仿宋"/>
          <w:sz w:val="24"/>
          <w:highlight w:val="none"/>
        </w:rPr>
      </w:pPr>
      <w:r>
        <w:rPr>
          <w:rFonts w:ascii="仿宋" w:hAnsi="仿宋" w:eastAsia="仿宋"/>
          <w:sz w:val="24"/>
          <w:highlight w:val="none"/>
        </w:rPr>
        <w:t>《</w:t>
      </w:r>
      <w:r>
        <w:rPr>
          <w:rFonts w:hint="eastAsia" w:ascii="仿宋" w:hAnsi="仿宋" w:eastAsia="仿宋"/>
          <w:sz w:val="24"/>
          <w:highlight w:val="none"/>
        </w:rPr>
        <w:t>视觉信号表面色</w:t>
      </w:r>
      <w:r>
        <w:rPr>
          <w:rFonts w:ascii="仿宋" w:hAnsi="仿宋" w:eastAsia="仿宋"/>
          <w:sz w:val="24"/>
          <w:highlight w:val="none"/>
        </w:rPr>
        <w:t xml:space="preserve">》 </w:t>
      </w:r>
      <w:r>
        <w:rPr>
          <w:rFonts w:hint="eastAsia" w:ascii="仿宋" w:hAnsi="仿宋" w:eastAsia="仿宋"/>
          <w:sz w:val="24"/>
          <w:highlight w:val="none"/>
        </w:rPr>
        <w:t>GB/T8416-2003</w:t>
      </w:r>
    </w:p>
    <w:p w14:paraId="44530C84">
      <w:pPr>
        <w:pStyle w:val="76"/>
        <w:numPr>
          <w:ilvl w:val="0"/>
          <w:numId w:val="5"/>
        </w:numPr>
        <w:ind w:left="0" w:leftChars="0" w:firstLine="420" w:firstLineChars="0"/>
        <w:jc w:val="left"/>
        <w:rPr>
          <w:rFonts w:ascii="仿宋" w:hAnsi="仿宋" w:eastAsia="仿宋"/>
          <w:sz w:val="24"/>
          <w:highlight w:val="none"/>
        </w:rPr>
      </w:pPr>
      <w:r>
        <w:rPr>
          <w:rFonts w:ascii="仿宋" w:hAnsi="仿宋" w:eastAsia="仿宋"/>
          <w:sz w:val="24"/>
          <w:highlight w:val="none"/>
        </w:rPr>
        <w:t>《居住区绿地设计规范》 DB11/T 214-2003</w:t>
      </w:r>
    </w:p>
    <w:p w14:paraId="28923B48">
      <w:pPr>
        <w:pStyle w:val="76"/>
        <w:numPr>
          <w:ilvl w:val="0"/>
          <w:numId w:val="5"/>
        </w:numPr>
        <w:ind w:left="0" w:leftChars="0" w:firstLine="420" w:firstLineChars="0"/>
        <w:jc w:val="left"/>
        <w:rPr>
          <w:rFonts w:ascii="仿宋" w:hAnsi="仿宋" w:eastAsia="仿宋"/>
          <w:sz w:val="24"/>
          <w:highlight w:val="none"/>
        </w:rPr>
      </w:pPr>
      <w:r>
        <w:rPr>
          <w:rFonts w:hint="eastAsia" w:ascii="仿宋" w:hAnsi="仿宋" w:eastAsia="仿宋"/>
          <w:sz w:val="24"/>
          <w:highlight w:val="none"/>
        </w:rPr>
        <w:t>《中华人民共和国广告法》、《广告管理条例》及《广告管理条例实施细则》</w:t>
      </w:r>
    </w:p>
    <w:p w14:paraId="21C4F846">
      <w:pPr>
        <w:pStyle w:val="76"/>
        <w:numPr>
          <w:ilvl w:val="0"/>
          <w:numId w:val="5"/>
        </w:numPr>
        <w:ind w:left="0" w:leftChars="0" w:firstLine="420" w:firstLineChars="0"/>
        <w:jc w:val="left"/>
        <w:rPr>
          <w:rFonts w:ascii="仿宋" w:hAnsi="仿宋" w:eastAsia="仿宋"/>
          <w:sz w:val="24"/>
          <w:highlight w:val="none"/>
        </w:rPr>
      </w:pPr>
      <w:r>
        <w:rPr>
          <w:rFonts w:ascii="仿宋" w:hAnsi="仿宋" w:eastAsia="仿宋"/>
          <w:sz w:val="24"/>
          <w:highlight w:val="none"/>
        </w:rPr>
        <w:t>相关政府主管部门对本项目的批复文件、给定的技术条件和意见要求</w:t>
      </w:r>
    </w:p>
    <w:p w14:paraId="7077028C">
      <w:pPr>
        <w:pStyle w:val="76"/>
        <w:numPr>
          <w:ilvl w:val="0"/>
          <w:numId w:val="5"/>
        </w:numPr>
        <w:ind w:left="0" w:leftChars="0" w:firstLine="420" w:firstLineChars="0"/>
        <w:jc w:val="left"/>
        <w:rPr>
          <w:rFonts w:ascii="仿宋" w:hAnsi="仿宋" w:eastAsia="仿宋"/>
          <w:sz w:val="24"/>
          <w:highlight w:val="none"/>
        </w:rPr>
      </w:pPr>
      <w:r>
        <w:rPr>
          <w:rFonts w:ascii="仿宋" w:hAnsi="仿宋" w:eastAsia="仿宋"/>
          <w:sz w:val="24"/>
          <w:highlight w:val="none"/>
        </w:rPr>
        <w:t>项目设计过程中甲方（或甲方指定委托人）提出的条件、意见和要求</w:t>
      </w:r>
    </w:p>
    <w:p w14:paraId="7CD93ABE">
      <w:pPr>
        <w:pStyle w:val="76"/>
        <w:numPr>
          <w:ilvl w:val="0"/>
          <w:numId w:val="5"/>
        </w:numPr>
        <w:ind w:left="0" w:leftChars="0" w:firstLine="420" w:firstLineChars="0"/>
        <w:jc w:val="left"/>
        <w:rPr>
          <w:rFonts w:ascii="仿宋" w:hAnsi="仿宋" w:eastAsia="仿宋"/>
          <w:sz w:val="24"/>
          <w:highlight w:val="none"/>
        </w:rPr>
      </w:pPr>
      <w:r>
        <w:rPr>
          <w:rFonts w:ascii="仿宋" w:hAnsi="仿宋" w:eastAsia="仿宋"/>
          <w:sz w:val="24"/>
          <w:highlight w:val="none"/>
        </w:rPr>
        <w:t>甲方提供的产品策划案</w:t>
      </w:r>
    </w:p>
    <w:p w14:paraId="3D391D4D">
      <w:pPr>
        <w:pStyle w:val="76"/>
        <w:numPr>
          <w:ilvl w:val="0"/>
          <w:numId w:val="5"/>
        </w:numPr>
        <w:ind w:left="0" w:leftChars="0" w:firstLine="420" w:firstLineChars="0"/>
        <w:jc w:val="left"/>
        <w:rPr>
          <w:rFonts w:hint="eastAsia" w:ascii="仿宋" w:hAnsi="仿宋" w:eastAsia="仿宋"/>
          <w:sz w:val="24"/>
          <w:highlight w:val="none"/>
          <w:lang w:eastAsia="zh-CN"/>
        </w:rPr>
      </w:pPr>
      <w:r>
        <w:rPr>
          <w:rFonts w:ascii="仿宋" w:hAnsi="仿宋" w:eastAsia="仿宋"/>
          <w:sz w:val="24"/>
          <w:highlight w:val="none"/>
        </w:rPr>
        <w:t>甲方提供的装修及设备品牌推荐表及施工技术要求</w:t>
      </w:r>
      <w:r>
        <w:rPr>
          <w:rFonts w:hint="eastAsia" w:ascii="仿宋" w:hAnsi="仿宋" w:eastAsia="仿宋"/>
          <w:sz w:val="24"/>
          <w:highlight w:val="none"/>
          <w:lang w:eastAsia="zh-CN"/>
        </w:rPr>
        <w:t>。</w:t>
      </w:r>
    </w:p>
    <w:p w14:paraId="115AC374">
      <w:pPr>
        <w:pStyle w:val="76"/>
        <w:numPr>
          <w:ilvl w:val="0"/>
          <w:numId w:val="0"/>
        </w:numPr>
        <w:ind w:left="570"/>
        <w:jc w:val="left"/>
        <w:rPr>
          <w:rFonts w:hint="eastAsia" w:ascii="仿宋" w:hAnsi="仿宋" w:eastAsia="仿宋"/>
          <w:sz w:val="24"/>
          <w:highlight w:val="none"/>
          <w:lang w:eastAsia="zh-CN"/>
        </w:rPr>
      </w:pPr>
    </w:p>
    <w:p w14:paraId="5D2E7476">
      <w:pPr>
        <w:numPr>
          <w:ilvl w:val="0"/>
          <w:numId w:val="2"/>
        </w:numPr>
        <w:spacing w:line="276" w:lineRule="auto"/>
        <w:outlineLvl w:val="0"/>
        <w:rPr>
          <w:rFonts w:ascii="仿宋" w:hAnsi="仿宋" w:eastAsia="仿宋"/>
          <w:b/>
          <w:color w:val="000000"/>
          <w:sz w:val="24"/>
          <w:highlight w:val="none"/>
        </w:rPr>
      </w:pPr>
      <w:r>
        <w:rPr>
          <w:rFonts w:ascii="仿宋" w:hAnsi="仿宋" w:eastAsia="仿宋"/>
          <w:b/>
          <w:color w:val="000000"/>
          <w:sz w:val="24"/>
          <w:highlight w:val="none"/>
        </w:rPr>
        <w:t>装修设计定位及要求：</w:t>
      </w:r>
    </w:p>
    <w:p w14:paraId="7962608E">
      <w:pPr>
        <w:pStyle w:val="76"/>
        <w:numPr>
          <w:ilvl w:val="0"/>
          <w:numId w:val="6"/>
        </w:numPr>
        <w:ind w:left="0" w:leftChars="0" w:firstLine="420" w:firstLineChars="0"/>
        <w:jc w:val="left"/>
        <w:rPr>
          <w:rFonts w:ascii="仿宋" w:hAnsi="仿宋" w:eastAsia="仿宋"/>
          <w:sz w:val="24"/>
          <w:highlight w:val="none"/>
        </w:rPr>
      </w:pPr>
      <w:r>
        <w:rPr>
          <w:rFonts w:ascii="仿宋" w:hAnsi="仿宋" w:eastAsia="仿宋"/>
          <w:color w:val="000000"/>
          <w:sz w:val="24"/>
          <w:highlight w:val="none"/>
        </w:rPr>
        <w:t>充分理解甲方的项目定位、营销策划方案等，包括但不限于甲方拟定的功能需求、运营方式、装修风格、采纳元素、材料质感等，用设计的语言及表达方式进行表现。设计方案须</w:t>
      </w:r>
      <w:r>
        <w:rPr>
          <w:rFonts w:hint="eastAsia" w:ascii="仿宋" w:hAnsi="仿宋" w:eastAsia="仿宋"/>
          <w:color w:val="000000"/>
          <w:sz w:val="24"/>
          <w:highlight w:val="none"/>
          <w:lang w:eastAsia="zh-CN"/>
        </w:rPr>
        <w:t>参照展示区样板房风格布局落位</w:t>
      </w:r>
      <w:r>
        <w:rPr>
          <w:rFonts w:ascii="仿宋" w:hAnsi="仿宋" w:eastAsia="仿宋"/>
          <w:color w:val="000000"/>
          <w:sz w:val="24"/>
          <w:highlight w:val="none"/>
        </w:rPr>
        <w:t>。</w:t>
      </w:r>
    </w:p>
    <w:p w14:paraId="4D3B1D8A">
      <w:pPr>
        <w:pStyle w:val="76"/>
        <w:numPr>
          <w:ilvl w:val="0"/>
          <w:numId w:val="6"/>
        </w:numPr>
        <w:ind w:left="0" w:leftChars="0" w:firstLine="420" w:firstLineChars="0"/>
        <w:jc w:val="left"/>
        <w:rPr>
          <w:rFonts w:ascii="仿宋" w:hAnsi="仿宋" w:eastAsia="仿宋"/>
          <w:sz w:val="24"/>
          <w:highlight w:val="none"/>
        </w:rPr>
      </w:pPr>
      <w:r>
        <w:rPr>
          <w:rFonts w:ascii="仿宋" w:hAnsi="仿宋" w:eastAsia="仿宋"/>
          <w:color w:val="000000"/>
          <w:sz w:val="24"/>
          <w:highlight w:val="none"/>
        </w:rPr>
        <w:t>通过</w:t>
      </w:r>
      <w:r>
        <w:rPr>
          <w:rFonts w:hint="eastAsia" w:ascii="仿宋" w:hAnsi="仿宋" w:eastAsia="仿宋"/>
          <w:color w:val="000000"/>
          <w:sz w:val="24"/>
          <w:highlight w:val="none"/>
          <w:lang w:eastAsia="zh-CN"/>
        </w:rPr>
        <w:t>会所</w:t>
      </w:r>
      <w:r>
        <w:rPr>
          <w:rFonts w:ascii="仿宋" w:hAnsi="仿宋" w:eastAsia="仿宋"/>
          <w:color w:val="000000"/>
          <w:sz w:val="24"/>
          <w:highlight w:val="none"/>
        </w:rPr>
        <w:t>的对外开放，在行业内打造高质量、精品化产品的企业形象，增强企业品牌的影响力，提升公司市场认知度及美誉度。同时需根据参观人群的需求意向，合理布置动线规划，满足目标导向清晰，科学分流。参观路线单向动线等功能。</w:t>
      </w:r>
    </w:p>
    <w:p w14:paraId="1A7ACE50">
      <w:pPr>
        <w:pStyle w:val="76"/>
        <w:numPr>
          <w:ilvl w:val="0"/>
          <w:numId w:val="6"/>
        </w:numPr>
        <w:ind w:left="0" w:leftChars="0" w:firstLine="420" w:firstLineChars="0"/>
        <w:jc w:val="left"/>
        <w:rPr>
          <w:rFonts w:ascii="仿宋" w:hAnsi="仿宋" w:eastAsia="仿宋"/>
          <w:sz w:val="24"/>
          <w:highlight w:val="none"/>
        </w:rPr>
      </w:pPr>
      <w:r>
        <w:rPr>
          <w:rFonts w:ascii="仿宋" w:hAnsi="仿宋" w:eastAsia="仿宋"/>
          <w:color w:val="000000"/>
          <w:sz w:val="24"/>
          <w:highlight w:val="none"/>
        </w:rPr>
        <w:t>通过动线设计、视觉、听觉等细节设计，实现不同空间的转换与互动，向客户传递项目理念及产品信息。</w:t>
      </w:r>
    </w:p>
    <w:p w14:paraId="5559D78C">
      <w:pPr>
        <w:pStyle w:val="76"/>
        <w:numPr>
          <w:ilvl w:val="0"/>
          <w:numId w:val="6"/>
        </w:numPr>
        <w:ind w:left="0" w:leftChars="0" w:firstLine="420" w:firstLineChars="0"/>
        <w:jc w:val="left"/>
        <w:rPr>
          <w:rFonts w:ascii="仿宋" w:hAnsi="仿宋" w:eastAsia="仿宋"/>
          <w:sz w:val="24"/>
          <w:highlight w:val="none"/>
        </w:rPr>
      </w:pPr>
      <w:r>
        <w:rPr>
          <w:rFonts w:ascii="仿宋" w:hAnsi="仿宋" w:eastAsia="仿宋"/>
          <w:color w:val="000000"/>
          <w:sz w:val="24"/>
          <w:highlight w:val="none"/>
        </w:rPr>
        <w:t>装修设计方案要具有前瞻性，可通过灵活的空间布置和软硬装之间的合理搭配，确保空间具有灵活的可调整性。</w:t>
      </w:r>
    </w:p>
    <w:p w14:paraId="640A67E1">
      <w:pPr>
        <w:pStyle w:val="76"/>
        <w:numPr>
          <w:ilvl w:val="0"/>
          <w:numId w:val="6"/>
        </w:numPr>
        <w:ind w:left="0" w:leftChars="0" w:firstLine="420" w:firstLineChars="0"/>
        <w:jc w:val="left"/>
        <w:rPr>
          <w:rFonts w:ascii="仿宋" w:hAnsi="仿宋" w:eastAsia="仿宋"/>
          <w:sz w:val="24"/>
          <w:highlight w:val="none"/>
        </w:rPr>
      </w:pPr>
      <w:r>
        <w:rPr>
          <w:rFonts w:ascii="仿宋" w:hAnsi="仿宋" w:eastAsia="仿宋"/>
          <w:color w:val="000000"/>
          <w:sz w:val="24"/>
          <w:highlight w:val="none"/>
        </w:rPr>
        <w:t>设计既要体现独具特色的内涵，同时要结合项目定位、建筑布局、楼距、景观、外立面等综合考虑，运用设计的手法提升产品质感。</w:t>
      </w:r>
    </w:p>
    <w:p w14:paraId="26C9CD70">
      <w:pPr>
        <w:pStyle w:val="76"/>
        <w:numPr>
          <w:ilvl w:val="0"/>
          <w:numId w:val="6"/>
        </w:numPr>
        <w:ind w:left="0" w:leftChars="0" w:firstLine="420" w:firstLineChars="0"/>
        <w:jc w:val="left"/>
        <w:rPr>
          <w:rFonts w:ascii="仿宋" w:hAnsi="仿宋" w:eastAsia="仿宋"/>
          <w:sz w:val="24"/>
          <w:highlight w:val="none"/>
        </w:rPr>
      </w:pPr>
      <w:r>
        <w:rPr>
          <w:rFonts w:hint="eastAsia" w:ascii="仿宋" w:hAnsi="仿宋" w:eastAsia="仿宋"/>
          <w:color w:val="000000"/>
          <w:sz w:val="24"/>
          <w:highlight w:val="none"/>
          <w:lang w:val="en-US" w:eastAsia="zh-CN"/>
        </w:rPr>
        <w:t>如涉及</w:t>
      </w:r>
      <w:r>
        <w:rPr>
          <w:rFonts w:ascii="仿宋" w:hAnsi="仿宋" w:eastAsia="仿宋"/>
          <w:color w:val="000000"/>
          <w:sz w:val="24"/>
          <w:highlight w:val="none"/>
        </w:rPr>
        <w:t>架空层的设计要满足一定的功能性，与建筑、园林、室内装修风格要协调。</w:t>
      </w:r>
    </w:p>
    <w:p w14:paraId="3176FC25">
      <w:pPr>
        <w:numPr>
          <w:ilvl w:val="0"/>
          <w:numId w:val="7"/>
        </w:numPr>
        <w:spacing w:line="276" w:lineRule="auto"/>
        <w:outlineLvl w:val="0"/>
        <w:rPr>
          <w:rFonts w:ascii="仿宋" w:hAnsi="仿宋" w:eastAsia="仿宋"/>
          <w:b/>
          <w:sz w:val="24"/>
          <w:highlight w:val="none"/>
        </w:rPr>
      </w:pPr>
      <w:r>
        <w:rPr>
          <w:rFonts w:ascii="仿宋" w:hAnsi="仿宋" w:eastAsia="仿宋"/>
          <w:b/>
          <w:color w:val="000000"/>
          <w:sz w:val="24"/>
          <w:highlight w:val="none"/>
        </w:rPr>
        <w:t>设计范围及具体工作内容如下：</w:t>
      </w:r>
    </w:p>
    <w:tbl>
      <w:tblPr>
        <w:tblStyle w:val="19"/>
        <w:tblW w:w="9728"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84"/>
        <w:gridCol w:w="1518"/>
        <w:gridCol w:w="1789"/>
        <w:gridCol w:w="1627"/>
        <w:gridCol w:w="1789"/>
        <w:gridCol w:w="2321"/>
      </w:tblGrid>
      <w:tr w14:paraId="0831301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0" w:hRule="atLeast"/>
        </w:trPr>
        <w:tc>
          <w:tcPr>
            <w:tcW w:w="9728" w:type="dxa"/>
            <w:gridSpan w:val="6"/>
            <w:tcBorders>
              <w:top w:val="single" w:color="000000" w:sz="4" w:space="0"/>
              <w:left w:val="single" w:color="000000" w:sz="4" w:space="0"/>
              <w:bottom w:val="single" w:color="000000" w:sz="4" w:space="0"/>
              <w:right w:val="single" w:color="000000" w:sz="4" w:space="0"/>
            </w:tcBorders>
            <w:shd w:val="clear" w:color="auto" w:fill="FFFF00"/>
            <w:noWrap/>
            <w:vAlign w:val="center"/>
          </w:tcPr>
          <w:p w14:paraId="385361EA">
            <w:pPr>
              <w:numPr>
                <w:ilvl w:val="0"/>
                <w:numId w:val="0"/>
              </w:numPr>
              <w:spacing w:line="276" w:lineRule="auto"/>
              <w:jc w:val="center"/>
              <w:outlineLvl w:val="0"/>
              <w:rPr>
                <w:rFonts w:ascii="仿宋" w:hAnsi="仿宋" w:eastAsia="仿宋"/>
                <w:sz w:val="24"/>
                <w:highlight w:val="none"/>
              </w:rPr>
            </w:pPr>
            <w:r>
              <w:rPr>
                <w:rFonts w:hint="default" w:ascii="仿宋" w:hAnsi="仿宋" w:eastAsia="仿宋"/>
                <w:sz w:val="24"/>
                <w:highlight w:val="none"/>
                <w:lang w:val="en-US" w:eastAsia="zh-CN"/>
              </w:rPr>
              <w:t>户型</w:t>
            </w:r>
          </w:p>
        </w:tc>
      </w:tr>
      <w:tr w14:paraId="5CA1C5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8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C6E9F1">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序号</w:t>
            </w:r>
          </w:p>
        </w:tc>
        <w:tc>
          <w:tcPr>
            <w:tcW w:w="15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71F927">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楼栋</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BFB486">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项目明细</w:t>
            </w:r>
          </w:p>
        </w:tc>
        <w:tc>
          <w:tcPr>
            <w:tcW w:w="16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3A3807">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面积</w:t>
            </w:r>
            <w:r>
              <w:rPr>
                <w:rFonts w:hint="default" w:ascii="仿宋" w:hAnsi="仿宋" w:eastAsia="仿宋"/>
                <w:sz w:val="24"/>
                <w:highlight w:val="none"/>
                <w:lang w:val="en-US" w:eastAsia="zh-CN"/>
              </w:rPr>
              <w:br w:type="textWrapping"/>
            </w:r>
            <w:r>
              <w:rPr>
                <w:rFonts w:hint="default" w:ascii="仿宋" w:hAnsi="仿宋" w:eastAsia="仿宋"/>
                <w:sz w:val="24"/>
                <w:highlight w:val="none"/>
                <w:lang w:val="en-US" w:eastAsia="zh-CN"/>
              </w:rPr>
              <w:t>(m2)</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DA0781">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图纸类型</w:t>
            </w:r>
          </w:p>
        </w:tc>
        <w:tc>
          <w:tcPr>
            <w:tcW w:w="23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DC293D">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备注</w:t>
            </w:r>
          </w:p>
        </w:tc>
      </w:tr>
      <w:tr w14:paraId="23D925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31BFFC">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w:t>
            </w:r>
          </w:p>
        </w:tc>
        <w:tc>
          <w:tcPr>
            <w:tcW w:w="1518" w:type="dxa"/>
            <w:vMerge w:val="restart"/>
            <w:tcBorders>
              <w:top w:val="single" w:color="000000" w:sz="4" w:space="0"/>
              <w:left w:val="single" w:color="000000" w:sz="4" w:space="0"/>
              <w:bottom w:val="nil"/>
              <w:right w:val="single" w:color="000000" w:sz="4" w:space="0"/>
            </w:tcBorders>
            <w:shd w:val="clear" w:color="auto" w:fill="auto"/>
            <w:vAlign w:val="center"/>
          </w:tcPr>
          <w:p w14:paraId="4B27F379">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16+1F（西北）</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82DC0C">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138户型（东）</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79D800">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138.00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F0DD2F">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交标母本（配置表、方案效果图）</w:t>
            </w:r>
            <w:r>
              <w:rPr>
                <w:rFonts w:hint="eastAsia" w:ascii="仿宋" w:hAnsi="仿宋" w:eastAsia="仿宋"/>
                <w:sz w:val="24"/>
                <w:highlight w:val="none"/>
                <w:lang w:val="en-US" w:eastAsia="zh-CN"/>
              </w:rPr>
              <w:t>，配合报建</w:t>
            </w:r>
          </w:p>
        </w:tc>
        <w:tc>
          <w:tcPr>
            <w:tcW w:w="23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C0378A1">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相同楼栋还有：</w:t>
            </w:r>
            <w:r>
              <w:rPr>
                <w:rFonts w:hint="default" w:ascii="仿宋" w:hAnsi="仿宋" w:eastAsia="仿宋"/>
                <w:sz w:val="24"/>
                <w:highlight w:val="none"/>
                <w:lang w:val="en-US" w:eastAsia="zh-CN"/>
              </w:rPr>
              <w:br w:type="textWrapping"/>
            </w:r>
            <w:r>
              <w:rPr>
                <w:rFonts w:hint="default" w:ascii="仿宋" w:hAnsi="仿宋" w:eastAsia="仿宋"/>
                <w:sz w:val="24"/>
                <w:highlight w:val="none"/>
                <w:lang w:val="en-US" w:eastAsia="zh-CN"/>
              </w:rPr>
              <w:t>1、16+1F（东北）</w:t>
            </w:r>
            <w:r>
              <w:rPr>
                <w:rFonts w:hint="default" w:ascii="仿宋" w:hAnsi="仿宋" w:eastAsia="仿宋"/>
                <w:sz w:val="24"/>
                <w:highlight w:val="none"/>
                <w:lang w:val="en-US" w:eastAsia="zh-CN"/>
              </w:rPr>
              <w:br w:type="textWrapping"/>
            </w:r>
            <w:r>
              <w:rPr>
                <w:rFonts w:hint="default" w:ascii="仿宋" w:hAnsi="仿宋" w:eastAsia="仿宋"/>
                <w:sz w:val="24"/>
                <w:highlight w:val="none"/>
                <w:lang w:val="en-US" w:eastAsia="zh-CN"/>
              </w:rPr>
              <w:t>2、16+1F（西中）</w:t>
            </w:r>
            <w:r>
              <w:rPr>
                <w:rFonts w:hint="default" w:ascii="仿宋" w:hAnsi="仿宋" w:eastAsia="仿宋"/>
                <w:sz w:val="24"/>
                <w:highlight w:val="none"/>
                <w:lang w:val="en-US" w:eastAsia="zh-CN"/>
              </w:rPr>
              <w:br w:type="textWrapping"/>
            </w:r>
            <w:r>
              <w:rPr>
                <w:rFonts w:hint="default" w:ascii="仿宋" w:hAnsi="仿宋" w:eastAsia="仿宋"/>
                <w:sz w:val="24"/>
                <w:highlight w:val="none"/>
                <w:lang w:val="en-US" w:eastAsia="zh-CN"/>
              </w:rPr>
              <w:t>3、16+1F（东中）</w:t>
            </w:r>
            <w:r>
              <w:rPr>
                <w:rFonts w:hint="default" w:ascii="仿宋" w:hAnsi="仿宋" w:eastAsia="仿宋"/>
                <w:sz w:val="24"/>
                <w:highlight w:val="none"/>
                <w:lang w:val="en-US" w:eastAsia="zh-CN"/>
              </w:rPr>
              <w:br w:type="textWrapping"/>
            </w:r>
            <w:r>
              <w:rPr>
                <w:rFonts w:hint="default" w:ascii="仿宋" w:hAnsi="仿宋" w:eastAsia="仿宋"/>
                <w:sz w:val="24"/>
                <w:highlight w:val="none"/>
                <w:lang w:val="en-US" w:eastAsia="zh-CN"/>
              </w:rPr>
              <w:t>4、16+1F（西南）</w:t>
            </w:r>
            <w:r>
              <w:rPr>
                <w:rFonts w:hint="default" w:ascii="仿宋" w:hAnsi="仿宋" w:eastAsia="仿宋"/>
                <w:sz w:val="24"/>
                <w:highlight w:val="none"/>
                <w:lang w:val="en-US" w:eastAsia="zh-CN"/>
              </w:rPr>
              <w:br w:type="textWrapping"/>
            </w:r>
            <w:r>
              <w:rPr>
                <w:rFonts w:hint="default" w:ascii="仿宋" w:hAnsi="仿宋" w:eastAsia="仿宋"/>
                <w:sz w:val="24"/>
                <w:highlight w:val="none"/>
                <w:lang w:val="en-US" w:eastAsia="zh-CN"/>
              </w:rPr>
              <w:t>5、16+1F（东南）</w:t>
            </w:r>
            <w:r>
              <w:rPr>
                <w:rFonts w:hint="default" w:ascii="仿宋" w:hAnsi="仿宋" w:eastAsia="仿宋"/>
                <w:sz w:val="24"/>
                <w:highlight w:val="none"/>
                <w:lang w:val="en-US" w:eastAsia="zh-CN"/>
              </w:rPr>
              <w:br w:type="textWrapping"/>
            </w:r>
            <w:r>
              <w:rPr>
                <w:rFonts w:hint="default" w:ascii="仿宋" w:hAnsi="仿宋" w:eastAsia="仿宋"/>
                <w:sz w:val="24"/>
                <w:highlight w:val="none"/>
                <w:lang w:val="en-US" w:eastAsia="zh-CN"/>
              </w:rPr>
              <w:t>6、16+1F（南左）</w:t>
            </w:r>
            <w:r>
              <w:rPr>
                <w:rFonts w:hint="default" w:ascii="仿宋" w:hAnsi="仿宋" w:eastAsia="仿宋"/>
                <w:sz w:val="24"/>
                <w:highlight w:val="none"/>
                <w:lang w:val="en-US" w:eastAsia="zh-CN"/>
              </w:rPr>
              <w:br w:type="textWrapping"/>
            </w:r>
            <w:r>
              <w:rPr>
                <w:rFonts w:hint="default" w:ascii="仿宋" w:hAnsi="仿宋" w:eastAsia="仿宋"/>
                <w:sz w:val="24"/>
                <w:highlight w:val="none"/>
                <w:lang w:val="en-US" w:eastAsia="zh-CN"/>
              </w:rPr>
              <w:t>7、16+1F（南右）</w:t>
            </w:r>
          </w:p>
        </w:tc>
      </w:tr>
      <w:tr w14:paraId="3B3966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25F789">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2</w:t>
            </w:r>
          </w:p>
        </w:tc>
        <w:tc>
          <w:tcPr>
            <w:tcW w:w="1518"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14:paraId="2839C2CE">
            <w:pPr>
              <w:numPr>
                <w:ilvl w:val="0"/>
                <w:numId w:val="0"/>
              </w:numPr>
              <w:spacing w:line="276" w:lineRule="auto"/>
              <w:jc w:val="center"/>
              <w:outlineLvl w:val="0"/>
              <w:rPr>
                <w:rFonts w:hint="default" w:ascii="仿宋" w:hAnsi="仿宋" w:eastAsia="仿宋"/>
                <w:sz w:val="24"/>
                <w:highlight w:val="none"/>
              </w:rPr>
            </w:pPr>
          </w:p>
        </w:tc>
        <w:tc>
          <w:tcPr>
            <w:tcW w:w="1789" w:type="dxa"/>
            <w:tcBorders>
              <w:top w:val="single" w:color="000000" w:sz="4" w:space="0"/>
              <w:left w:val="single" w:color="000000" w:sz="4" w:space="0"/>
              <w:bottom w:val="single" w:color="auto" w:sz="4" w:space="0"/>
              <w:right w:val="single" w:color="000000" w:sz="4" w:space="0"/>
            </w:tcBorders>
            <w:shd w:val="clear" w:color="auto" w:fill="auto"/>
            <w:vAlign w:val="center"/>
          </w:tcPr>
          <w:p w14:paraId="764DBAB2">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138户型（西）镜像</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E87445">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138.00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9694C2">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套方案施工图</w:t>
            </w:r>
            <w:r>
              <w:rPr>
                <w:rFonts w:hint="eastAsia" w:ascii="仿宋" w:hAnsi="仿宋" w:eastAsia="仿宋"/>
                <w:sz w:val="24"/>
                <w:highlight w:val="none"/>
                <w:lang w:val="en-US" w:eastAsia="zh-CN"/>
              </w:rPr>
              <w:t>，配合报建</w:t>
            </w:r>
          </w:p>
        </w:tc>
        <w:tc>
          <w:tcPr>
            <w:tcW w:w="23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47F8A2">
            <w:pPr>
              <w:numPr>
                <w:ilvl w:val="0"/>
                <w:numId w:val="0"/>
              </w:numPr>
              <w:spacing w:line="276" w:lineRule="auto"/>
              <w:jc w:val="center"/>
              <w:outlineLvl w:val="0"/>
              <w:rPr>
                <w:rFonts w:hint="default" w:ascii="仿宋" w:hAnsi="仿宋" w:eastAsia="仿宋"/>
                <w:sz w:val="24"/>
                <w:highlight w:val="none"/>
              </w:rPr>
            </w:pPr>
          </w:p>
        </w:tc>
      </w:tr>
      <w:tr w14:paraId="1256974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auto" w:sz="4" w:space="0"/>
            </w:tcBorders>
            <w:shd w:val="clear" w:color="auto" w:fill="auto"/>
            <w:noWrap/>
            <w:vAlign w:val="center"/>
          </w:tcPr>
          <w:p w14:paraId="77D94632">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3</w:t>
            </w:r>
          </w:p>
        </w:tc>
        <w:tc>
          <w:tcPr>
            <w:tcW w:w="1518" w:type="dxa"/>
            <w:vMerge w:val="restart"/>
            <w:tcBorders>
              <w:top w:val="single" w:color="auto" w:sz="4" w:space="0"/>
              <w:left w:val="single" w:color="auto" w:sz="4" w:space="0"/>
              <w:bottom w:val="nil"/>
              <w:right w:val="single" w:color="000000" w:sz="4" w:space="0"/>
            </w:tcBorders>
            <w:shd w:val="clear" w:color="auto" w:fill="auto"/>
            <w:vAlign w:val="center"/>
          </w:tcPr>
          <w:p w14:paraId="013649F7">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15+1F（北）</w:t>
            </w:r>
          </w:p>
        </w:tc>
        <w:tc>
          <w:tcPr>
            <w:tcW w:w="1789" w:type="dxa"/>
            <w:tcBorders>
              <w:top w:val="single" w:color="auto" w:sz="4" w:space="0"/>
              <w:left w:val="single" w:color="000000" w:sz="4" w:space="0"/>
              <w:bottom w:val="single" w:color="000000" w:sz="4" w:space="0"/>
              <w:right w:val="single" w:color="auto" w:sz="4" w:space="0"/>
            </w:tcBorders>
            <w:shd w:val="clear" w:color="auto" w:fill="auto"/>
            <w:vAlign w:val="center"/>
          </w:tcPr>
          <w:p w14:paraId="13E24217">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165户型（东）</w:t>
            </w:r>
          </w:p>
        </w:tc>
        <w:tc>
          <w:tcPr>
            <w:tcW w:w="1627"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33A130E7">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165.00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D8BC80">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交标母本（配置表、方案效果图）</w:t>
            </w:r>
            <w:r>
              <w:rPr>
                <w:rFonts w:hint="eastAsia" w:ascii="仿宋" w:hAnsi="仿宋" w:eastAsia="仿宋"/>
                <w:sz w:val="24"/>
                <w:highlight w:val="none"/>
                <w:lang w:val="en-US" w:eastAsia="zh-CN"/>
              </w:rPr>
              <w:t>，配合报建</w:t>
            </w:r>
          </w:p>
        </w:tc>
        <w:tc>
          <w:tcPr>
            <w:tcW w:w="23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1E00DC4">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相同楼栋还有：15+1F（南）</w:t>
            </w:r>
          </w:p>
        </w:tc>
      </w:tr>
      <w:tr w14:paraId="7231B1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auto" w:sz="4" w:space="0"/>
            </w:tcBorders>
            <w:shd w:val="clear" w:color="auto" w:fill="auto"/>
            <w:noWrap/>
            <w:vAlign w:val="center"/>
          </w:tcPr>
          <w:p w14:paraId="540501BD">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4</w:t>
            </w:r>
          </w:p>
        </w:tc>
        <w:tc>
          <w:tcPr>
            <w:tcW w:w="1518" w:type="dxa"/>
            <w:vMerge w:val="continue"/>
            <w:tcBorders>
              <w:top w:val="single" w:color="000000" w:sz="4" w:space="0"/>
              <w:left w:val="single" w:color="auto" w:sz="4" w:space="0"/>
              <w:bottom w:val="single" w:color="auto" w:sz="4" w:space="0"/>
              <w:right w:val="single" w:color="000000" w:sz="4" w:space="0"/>
            </w:tcBorders>
            <w:shd w:val="clear" w:color="auto" w:fill="auto"/>
            <w:vAlign w:val="center"/>
          </w:tcPr>
          <w:p w14:paraId="0951A60F">
            <w:pPr>
              <w:numPr>
                <w:ilvl w:val="0"/>
                <w:numId w:val="0"/>
              </w:numPr>
              <w:spacing w:line="276" w:lineRule="auto"/>
              <w:jc w:val="center"/>
              <w:outlineLvl w:val="0"/>
              <w:rPr>
                <w:rFonts w:hint="default" w:ascii="仿宋" w:hAnsi="仿宋" w:eastAsia="仿宋"/>
                <w:sz w:val="24"/>
                <w:highlight w:val="none"/>
              </w:rPr>
            </w:pPr>
          </w:p>
        </w:tc>
        <w:tc>
          <w:tcPr>
            <w:tcW w:w="1789" w:type="dxa"/>
            <w:tcBorders>
              <w:top w:val="single" w:color="000000" w:sz="4" w:space="0"/>
              <w:left w:val="single" w:color="000000" w:sz="4" w:space="0"/>
              <w:bottom w:val="single" w:color="auto" w:sz="4" w:space="0"/>
              <w:right w:val="single" w:color="auto" w:sz="4" w:space="0"/>
            </w:tcBorders>
            <w:shd w:val="clear" w:color="auto" w:fill="auto"/>
            <w:vAlign w:val="center"/>
          </w:tcPr>
          <w:p w14:paraId="6C4616F3">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165户型（西）镜像</w:t>
            </w:r>
          </w:p>
        </w:tc>
        <w:tc>
          <w:tcPr>
            <w:tcW w:w="1627"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0B8AEF60">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165.00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BD5ECC">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套方案施工图</w:t>
            </w:r>
            <w:r>
              <w:rPr>
                <w:rFonts w:hint="eastAsia" w:ascii="仿宋" w:hAnsi="仿宋" w:eastAsia="仿宋"/>
                <w:sz w:val="24"/>
                <w:highlight w:val="none"/>
                <w:lang w:val="en-US" w:eastAsia="zh-CN"/>
              </w:rPr>
              <w:t>，配合报建</w:t>
            </w:r>
          </w:p>
        </w:tc>
        <w:tc>
          <w:tcPr>
            <w:tcW w:w="23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85B618">
            <w:pPr>
              <w:numPr>
                <w:ilvl w:val="0"/>
                <w:numId w:val="0"/>
              </w:numPr>
              <w:spacing w:line="276" w:lineRule="auto"/>
              <w:jc w:val="center"/>
              <w:outlineLvl w:val="0"/>
              <w:rPr>
                <w:rFonts w:hint="default" w:ascii="仿宋" w:hAnsi="仿宋" w:eastAsia="仿宋"/>
                <w:sz w:val="24"/>
                <w:highlight w:val="none"/>
              </w:rPr>
            </w:pPr>
          </w:p>
        </w:tc>
      </w:tr>
      <w:tr w14:paraId="35454F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4EC33F">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5</w:t>
            </w:r>
          </w:p>
        </w:tc>
        <w:tc>
          <w:tcPr>
            <w:tcW w:w="1518" w:type="dxa"/>
            <w:vMerge w:val="restart"/>
            <w:tcBorders>
              <w:top w:val="single" w:color="auto" w:sz="4" w:space="0"/>
              <w:left w:val="single" w:color="000000" w:sz="4" w:space="0"/>
              <w:bottom w:val="nil"/>
              <w:right w:val="single" w:color="000000" w:sz="4" w:space="0"/>
            </w:tcBorders>
            <w:shd w:val="clear" w:color="auto" w:fill="auto"/>
            <w:vAlign w:val="center"/>
          </w:tcPr>
          <w:p w14:paraId="39E0C3E8">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23+1F（西）</w:t>
            </w:r>
          </w:p>
        </w:tc>
        <w:tc>
          <w:tcPr>
            <w:tcW w:w="1789" w:type="dxa"/>
            <w:tcBorders>
              <w:top w:val="single" w:color="auto" w:sz="4" w:space="0"/>
              <w:left w:val="single" w:color="000000" w:sz="4" w:space="0"/>
              <w:bottom w:val="single" w:color="000000" w:sz="4" w:space="0"/>
              <w:right w:val="single" w:color="000000" w:sz="4" w:space="0"/>
            </w:tcBorders>
            <w:shd w:val="clear" w:color="auto" w:fill="auto"/>
            <w:vAlign w:val="center"/>
          </w:tcPr>
          <w:p w14:paraId="7652D30A">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185户型</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BBD684">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185.00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66F108">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交标母本（配置表、方案效果图）</w:t>
            </w:r>
            <w:r>
              <w:rPr>
                <w:rFonts w:hint="eastAsia" w:ascii="仿宋" w:hAnsi="仿宋" w:eastAsia="仿宋"/>
                <w:sz w:val="24"/>
                <w:highlight w:val="none"/>
                <w:lang w:val="en-US" w:eastAsia="zh-CN"/>
              </w:rPr>
              <w:t>，配合报建</w:t>
            </w:r>
          </w:p>
        </w:tc>
        <w:tc>
          <w:tcPr>
            <w:tcW w:w="23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622018B">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相同楼栋还有：23+1F（东）</w:t>
            </w:r>
          </w:p>
        </w:tc>
      </w:tr>
      <w:tr w14:paraId="5DB2AD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C18E39">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6</w:t>
            </w:r>
          </w:p>
        </w:tc>
        <w:tc>
          <w:tcPr>
            <w:tcW w:w="1518" w:type="dxa"/>
            <w:vMerge w:val="continue"/>
            <w:tcBorders>
              <w:top w:val="single" w:color="000000" w:sz="4" w:space="0"/>
              <w:left w:val="single" w:color="000000" w:sz="4" w:space="0"/>
              <w:bottom w:val="nil"/>
              <w:right w:val="single" w:color="000000" w:sz="4" w:space="0"/>
            </w:tcBorders>
            <w:shd w:val="clear" w:color="auto" w:fill="auto"/>
            <w:vAlign w:val="center"/>
          </w:tcPr>
          <w:p w14:paraId="2046C0C7">
            <w:pPr>
              <w:numPr>
                <w:ilvl w:val="0"/>
                <w:numId w:val="0"/>
              </w:numPr>
              <w:spacing w:line="276" w:lineRule="auto"/>
              <w:jc w:val="center"/>
              <w:outlineLvl w:val="0"/>
              <w:rPr>
                <w:rFonts w:hint="default" w:ascii="仿宋" w:hAnsi="仿宋" w:eastAsia="仿宋"/>
                <w:sz w:val="24"/>
                <w:highlight w:val="none"/>
              </w:rPr>
            </w:pP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CFD250">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185户型（西）镜像</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DBDDF7">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185.00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38587F">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套方案施工图</w:t>
            </w:r>
            <w:r>
              <w:rPr>
                <w:rFonts w:hint="eastAsia" w:ascii="仿宋" w:hAnsi="仿宋" w:eastAsia="仿宋"/>
                <w:sz w:val="24"/>
                <w:highlight w:val="none"/>
                <w:lang w:val="en-US" w:eastAsia="zh-CN"/>
              </w:rPr>
              <w:t>，配合报建</w:t>
            </w:r>
          </w:p>
        </w:tc>
        <w:tc>
          <w:tcPr>
            <w:tcW w:w="23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39AB0B">
            <w:pPr>
              <w:numPr>
                <w:ilvl w:val="0"/>
                <w:numId w:val="0"/>
              </w:numPr>
              <w:spacing w:line="276" w:lineRule="auto"/>
              <w:jc w:val="center"/>
              <w:outlineLvl w:val="0"/>
              <w:rPr>
                <w:rFonts w:hint="default" w:ascii="仿宋" w:hAnsi="仿宋" w:eastAsia="仿宋"/>
                <w:sz w:val="24"/>
                <w:highlight w:val="none"/>
              </w:rPr>
            </w:pPr>
          </w:p>
        </w:tc>
      </w:tr>
      <w:tr w14:paraId="69E21F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56" w:hRule="atLeast"/>
        </w:trPr>
        <w:tc>
          <w:tcPr>
            <w:tcW w:w="3991"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3675DD">
            <w:pPr>
              <w:numPr>
                <w:ilvl w:val="0"/>
                <w:numId w:val="0"/>
              </w:numPr>
              <w:spacing w:line="276" w:lineRule="auto"/>
              <w:jc w:val="center"/>
              <w:outlineLvl w:val="0"/>
              <w:rPr>
                <w:rFonts w:hint="default" w:ascii="仿宋" w:hAnsi="仿宋" w:eastAsia="仿宋"/>
                <w:sz w:val="24"/>
                <w:highlight w:val="none"/>
              </w:rPr>
            </w:pPr>
            <w:r>
              <w:rPr>
                <w:rFonts w:hint="eastAsia" w:ascii="仿宋" w:hAnsi="仿宋" w:eastAsia="仿宋"/>
                <w:sz w:val="24"/>
                <w:highlight w:val="none"/>
                <w:lang w:val="en-US" w:eastAsia="zh-CN"/>
              </w:rPr>
              <w:t>面积</w:t>
            </w:r>
            <w:r>
              <w:rPr>
                <w:rFonts w:hint="default" w:ascii="仿宋" w:hAnsi="仿宋" w:eastAsia="仿宋"/>
                <w:sz w:val="24"/>
                <w:highlight w:val="none"/>
                <w:lang w:val="en-US" w:eastAsia="zh-CN"/>
              </w:rPr>
              <w:t>小计</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06BB9B">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976.00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ADB4B4">
            <w:pPr>
              <w:numPr>
                <w:ilvl w:val="0"/>
                <w:numId w:val="0"/>
              </w:numPr>
              <w:spacing w:line="276" w:lineRule="auto"/>
              <w:jc w:val="center"/>
              <w:outlineLvl w:val="0"/>
              <w:rPr>
                <w:rFonts w:hint="default" w:ascii="仿宋" w:hAnsi="仿宋" w:eastAsia="仿宋"/>
                <w:sz w:val="24"/>
                <w:highlight w:val="none"/>
              </w:rPr>
            </w:pPr>
          </w:p>
        </w:tc>
        <w:tc>
          <w:tcPr>
            <w:tcW w:w="23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F6EF19">
            <w:pPr>
              <w:numPr>
                <w:ilvl w:val="0"/>
                <w:numId w:val="0"/>
              </w:numPr>
              <w:spacing w:line="276" w:lineRule="auto"/>
              <w:jc w:val="center"/>
              <w:outlineLvl w:val="0"/>
              <w:rPr>
                <w:rFonts w:hint="default" w:ascii="仿宋" w:hAnsi="仿宋" w:eastAsia="仿宋"/>
                <w:sz w:val="24"/>
                <w:highlight w:val="none"/>
              </w:rPr>
            </w:pPr>
          </w:p>
        </w:tc>
      </w:tr>
      <w:tr w14:paraId="63A67C3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2" w:hRule="atLeast"/>
        </w:trPr>
        <w:tc>
          <w:tcPr>
            <w:tcW w:w="9728" w:type="dxa"/>
            <w:gridSpan w:val="6"/>
            <w:tcBorders>
              <w:top w:val="single" w:color="000000" w:sz="4" w:space="0"/>
              <w:left w:val="single" w:color="000000" w:sz="4" w:space="0"/>
              <w:bottom w:val="single" w:color="000000" w:sz="4" w:space="0"/>
              <w:right w:val="single" w:color="000000" w:sz="4" w:space="0"/>
            </w:tcBorders>
            <w:shd w:val="clear" w:color="auto" w:fill="FFFF00"/>
            <w:noWrap/>
            <w:vAlign w:val="center"/>
          </w:tcPr>
          <w:p w14:paraId="2101E0DE">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公区</w:t>
            </w:r>
          </w:p>
        </w:tc>
      </w:tr>
      <w:tr w14:paraId="1A118C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3EC8DE">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序号</w:t>
            </w:r>
          </w:p>
        </w:tc>
        <w:tc>
          <w:tcPr>
            <w:tcW w:w="15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69B913">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类目</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4628A0">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项目明细</w:t>
            </w:r>
          </w:p>
        </w:tc>
        <w:tc>
          <w:tcPr>
            <w:tcW w:w="16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0A52A3">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面积</w:t>
            </w:r>
            <w:r>
              <w:rPr>
                <w:rFonts w:hint="default" w:ascii="仿宋" w:hAnsi="仿宋" w:eastAsia="仿宋"/>
                <w:sz w:val="24"/>
                <w:highlight w:val="none"/>
                <w:lang w:val="en-US" w:eastAsia="zh-CN"/>
              </w:rPr>
              <w:br w:type="textWrapping"/>
            </w:r>
            <w:r>
              <w:rPr>
                <w:rFonts w:hint="default" w:ascii="仿宋" w:hAnsi="仿宋" w:eastAsia="仿宋"/>
                <w:sz w:val="24"/>
                <w:highlight w:val="none"/>
                <w:lang w:val="en-US" w:eastAsia="zh-CN"/>
              </w:rPr>
              <w:t>(m2)</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1531A9">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图纸类型</w:t>
            </w:r>
          </w:p>
        </w:tc>
        <w:tc>
          <w:tcPr>
            <w:tcW w:w="23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27CB88">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备注</w:t>
            </w:r>
          </w:p>
        </w:tc>
      </w:tr>
      <w:tr w14:paraId="20D2A4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3E40FD">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w:t>
            </w:r>
          </w:p>
        </w:tc>
        <w:tc>
          <w:tcPr>
            <w:tcW w:w="151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083D270">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16+1F（西北）</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917502">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标准层公区</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FCA068">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40.00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76C641">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交标母本（配置表、方案效果图）</w:t>
            </w:r>
            <w:r>
              <w:rPr>
                <w:rFonts w:hint="eastAsia" w:ascii="仿宋" w:hAnsi="仿宋" w:eastAsia="仿宋"/>
                <w:sz w:val="24"/>
                <w:highlight w:val="none"/>
                <w:lang w:val="en-US" w:eastAsia="zh-CN"/>
              </w:rPr>
              <w:t>，配合报建</w:t>
            </w:r>
          </w:p>
        </w:tc>
        <w:tc>
          <w:tcPr>
            <w:tcW w:w="23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F681000">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母本</w:t>
            </w:r>
          </w:p>
        </w:tc>
      </w:tr>
      <w:tr w14:paraId="5F59A5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009A52">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2</w:t>
            </w:r>
          </w:p>
        </w:tc>
        <w:tc>
          <w:tcPr>
            <w:tcW w:w="15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E6F581">
            <w:pPr>
              <w:numPr>
                <w:ilvl w:val="0"/>
                <w:numId w:val="0"/>
              </w:numPr>
              <w:spacing w:line="276" w:lineRule="auto"/>
              <w:jc w:val="center"/>
              <w:outlineLvl w:val="0"/>
              <w:rPr>
                <w:rFonts w:hint="default" w:ascii="仿宋" w:hAnsi="仿宋" w:eastAsia="仿宋"/>
                <w:sz w:val="24"/>
                <w:highlight w:val="none"/>
              </w:rPr>
            </w:pP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A75BBF">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首层公区</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85AD3F">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100.00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AF1E19">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交标母本（配置表、方案效果图）</w:t>
            </w:r>
            <w:r>
              <w:rPr>
                <w:rFonts w:hint="eastAsia" w:ascii="仿宋" w:hAnsi="仿宋" w:eastAsia="仿宋"/>
                <w:sz w:val="24"/>
                <w:highlight w:val="none"/>
                <w:lang w:val="en-US" w:eastAsia="zh-CN"/>
              </w:rPr>
              <w:t>，配合报建</w:t>
            </w:r>
          </w:p>
        </w:tc>
        <w:tc>
          <w:tcPr>
            <w:tcW w:w="23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D049F0">
            <w:pPr>
              <w:numPr>
                <w:ilvl w:val="0"/>
                <w:numId w:val="0"/>
              </w:numPr>
              <w:spacing w:line="276" w:lineRule="auto"/>
              <w:jc w:val="center"/>
              <w:outlineLvl w:val="0"/>
              <w:rPr>
                <w:rFonts w:hint="default" w:ascii="仿宋" w:hAnsi="仿宋" w:eastAsia="仿宋"/>
                <w:sz w:val="24"/>
                <w:highlight w:val="none"/>
              </w:rPr>
            </w:pPr>
          </w:p>
        </w:tc>
      </w:tr>
      <w:tr w14:paraId="439B114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6556B0">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3</w:t>
            </w:r>
          </w:p>
        </w:tc>
        <w:tc>
          <w:tcPr>
            <w:tcW w:w="15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95A7FB">
            <w:pPr>
              <w:numPr>
                <w:ilvl w:val="0"/>
                <w:numId w:val="0"/>
              </w:numPr>
              <w:spacing w:line="276" w:lineRule="auto"/>
              <w:jc w:val="center"/>
              <w:outlineLvl w:val="0"/>
              <w:rPr>
                <w:rFonts w:hint="default" w:ascii="仿宋" w:hAnsi="仿宋" w:eastAsia="仿宋"/>
                <w:sz w:val="24"/>
                <w:highlight w:val="none"/>
              </w:rPr>
            </w:pP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0064E7">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地下一层大堂光厅</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F5B25F">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110.00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FAE538">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交标母本（配置表、方案效果图）</w:t>
            </w:r>
            <w:r>
              <w:rPr>
                <w:rFonts w:hint="eastAsia" w:ascii="仿宋" w:hAnsi="仿宋" w:eastAsia="仿宋"/>
                <w:sz w:val="24"/>
                <w:highlight w:val="none"/>
                <w:lang w:val="en-US" w:eastAsia="zh-CN"/>
              </w:rPr>
              <w:t>，配合报建</w:t>
            </w:r>
          </w:p>
        </w:tc>
        <w:tc>
          <w:tcPr>
            <w:tcW w:w="23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16A614">
            <w:pPr>
              <w:numPr>
                <w:ilvl w:val="0"/>
                <w:numId w:val="0"/>
              </w:numPr>
              <w:spacing w:line="276" w:lineRule="auto"/>
              <w:jc w:val="center"/>
              <w:outlineLvl w:val="0"/>
              <w:rPr>
                <w:rFonts w:hint="default" w:ascii="仿宋" w:hAnsi="仿宋" w:eastAsia="仿宋"/>
                <w:sz w:val="24"/>
                <w:highlight w:val="none"/>
              </w:rPr>
            </w:pPr>
          </w:p>
        </w:tc>
      </w:tr>
      <w:tr w14:paraId="59E49F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585D03">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4</w:t>
            </w:r>
          </w:p>
        </w:tc>
        <w:tc>
          <w:tcPr>
            <w:tcW w:w="15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CBBF15">
            <w:pPr>
              <w:numPr>
                <w:ilvl w:val="0"/>
                <w:numId w:val="0"/>
              </w:numPr>
              <w:spacing w:line="276" w:lineRule="auto"/>
              <w:jc w:val="center"/>
              <w:outlineLvl w:val="0"/>
              <w:rPr>
                <w:rFonts w:hint="default" w:ascii="仿宋" w:hAnsi="仿宋" w:eastAsia="仿宋"/>
                <w:sz w:val="24"/>
                <w:highlight w:val="none"/>
              </w:rPr>
            </w:pP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38C551">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地下二层大堂光厅</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01ABFE">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110.00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063AAF">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交标母本（配置表、方案效果图）</w:t>
            </w:r>
            <w:r>
              <w:rPr>
                <w:rFonts w:hint="eastAsia" w:ascii="仿宋" w:hAnsi="仿宋" w:eastAsia="仿宋"/>
                <w:sz w:val="24"/>
                <w:highlight w:val="none"/>
                <w:lang w:val="en-US" w:eastAsia="zh-CN"/>
              </w:rPr>
              <w:t>，配合报建</w:t>
            </w:r>
          </w:p>
        </w:tc>
        <w:tc>
          <w:tcPr>
            <w:tcW w:w="23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5CF9EE">
            <w:pPr>
              <w:numPr>
                <w:ilvl w:val="0"/>
                <w:numId w:val="0"/>
              </w:numPr>
              <w:spacing w:line="276" w:lineRule="auto"/>
              <w:jc w:val="center"/>
              <w:outlineLvl w:val="0"/>
              <w:rPr>
                <w:rFonts w:hint="default" w:ascii="仿宋" w:hAnsi="仿宋" w:eastAsia="仿宋"/>
                <w:sz w:val="24"/>
                <w:highlight w:val="none"/>
              </w:rPr>
            </w:pPr>
          </w:p>
        </w:tc>
      </w:tr>
      <w:tr w14:paraId="5338D78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8E5F58">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5</w:t>
            </w:r>
          </w:p>
        </w:tc>
        <w:tc>
          <w:tcPr>
            <w:tcW w:w="151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E3527AB">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变异北大堂</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BD85B0">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标准层公区</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C04841">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40.00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CE5EFB">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套方案施工图</w:t>
            </w:r>
            <w:r>
              <w:rPr>
                <w:rFonts w:hint="eastAsia" w:ascii="仿宋" w:hAnsi="仿宋" w:eastAsia="仿宋"/>
                <w:sz w:val="24"/>
                <w:highlight w:val="none"/>
                <w:lang w:val="en-US" w:eastAsia="zh-CN"/>
              </w:rPr>
              <w:t>，配合报建</w:t>
            </w:r>
          </w:p>
        </w:tc>
        <w:tc>
          <w:tcPr>
            <w:tcW w:w="23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A2D24A4">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具体以实际规划为准</w:t>
            </w:r>
          </w:p>
        </w:tc>
      </w:tr>
      <w:tr w14:paraId="79918C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E86A8C">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6</w:t>
            </w:r>
          </w:p>
        </w:tc>
        <w:tc>
          <w:tcPr>
            <w:tcW w:w="15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39910A">
            <w:pPr>
              <w:numPr>
                <w:ilvl w:val="0"/>
                <w:numId w:val="0"/>
              </w:numPr>
              <w:spacing w:line="276" w:lineRule="auto"/>
              <w:jc w:val="center"/>
              <w:outlineLvl w:val="0"/>
              <w:rPr>
                <w:rFonts w:hint="default" w:ascii="仿宋" w:hAnsi="仿宋" w:eastAsia="仿宋"/>
                <w:sz w:val="24"/>
                <w:highlight w:val="none"/>
              </w:rPr>
            </w:pP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B3D9C2">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首层公区</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00D064">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100.00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D34ED9">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套方案施工图</w:t>
            </w:r>
            <w:r>
              <w:rPr>
                <w:rFonts w:hint="eastAsia" w:ascii="仿宋" w:hAnsi="仿宋" w:eastAsia="仿宋"/>
                <w:sz w:val="24"/>
                <w:highlight w:val="none"/>
                <w:lang w:val="en-US" w:eastAsia="zh-CN"/>
              </w:rPr>
              <w:t>，配合报建</w:t>
            </w:r>
          </w:p>
        </w:tc>
        <w:tc>
          <w:tcPr>
            <w:tcW w:w="23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671CC7">
            <w:pPr>
              <w:numPr>
                <w:ilvl w:val="0"/>
                <w:numId w:val="0"/>
              </w:numPr>
              <w:spacing w:line="276" w:lineRule="auto"/>
              <w:jc w:val="center"/>
              <w:outlineLvl w:val="0"/>
              <w:rPr>
                <w:rFonts w:hint="default" w:ascii="仿宋" w:hAnsi="仿宋" w:eastAsia="仿宋"/>
                <w:sz w:val="24"/>
                <w:highlight w:val="none"/>
              </w:rPr>
            </w:pPr>
          </w:p>
        </w:tc>
      </w:tr>
      <w:tr w14:paraId="68ACA43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C1EC8F">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7</w:t>
            </w:r>
          </w:p>
        </w:tc>
        <w:tc>
          <w:tcPr>
            <w:tcW w:w="15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FE7FB2">
            <w:pPr>
              <w:numPr>
                <w:ilvl w:val="0"/>
                <w:numId w:val="0"/>
              </w:numPr>
              <w:spacing w:line="276" w:lineRule="auto"/>
              <w:jc w:val="center"/>
              <w:outlineLvl w:val="0"/>
              <w:rPr>
                <w:rFonts w:hint="default" w:ascii="仿宋" w:hAnsi="仿宋" w:eastAsia="仿宋"/>
                <w:sz w:val="24"/>
                <w:highlight w:val="none"/>
              </w:rPr>
            </w:pP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16F37D">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地下一层大堂光厅</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DEB8E6">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110.00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29A833">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套方案施工图</w:t>
            </w:r>
            <w:r>
              <w:rPr>
                <w:rFonts w:hint="eastAsia" w:ascii="仿宋" w:hAnsi="仿宋" w:eastAsia="仿宋"/>
                <w:sz w:val="24"/>
                <w:highlight w:val="none"/>
                <w:lang w:val="en-US" w:eastAsia="zh-CN"/>
              </w:rPr>
              <w:t>，配合报建</w:t>
            </w:r>
          </w:p>
        </w:tc>
        <w:tc>
          <w:tcPr>
            <w:tcW w:w="23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B9C7C98">
            <w:pPr>
              <w:numPr>
                <w:ilvl w:val="0"/>
                <w:numId w:val="0"/>
              </w:numPr>
              <w:spacing w:line="276" w:lineRule="auto"/>
              <w:jc w:val="center"/>
              <w:outlineLvl w:val="0"/>
              <w:rPr>
                <w:rFonts w:hint="default" w:ascii="仿宋" w:hAnsi="仿宋" w:eastAsia="仿宋"/>
                <w:sz w:val="24"/>
                <w:highlight w:val="none"/>
              </w:rPr>
            </w:pPr>
          </w:p>
        </w:tc>
      </w:tr>
      <w:tr w14:paraId="737F0E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47E09C">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8</w:t>
            </w:r>
          </w:p>
        </w:tc>
        <w:tc>
          <w:tcPr>
            <w:tcW w:w="15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5C8919">
            <w:pPr>
              <w:numPr>
                <w:ilvl w:val="0"/>
                <w:numId w:val="0"/>
              </w:numPr>
              <w:spacing w:line="276" w:lineRule="auto"/>
              <w:jc w:val="center"/>
              <w:outlineLvl w:val="0"/>
              <w:rPr>
                <w:rFonts w:hint="default" w:ascii="仿宋" w:hAnsi="仿宋" w:eastAsia="仿宋"/>
                <w:sz w:val="24"/>
                <w:highlight w:val="none"/>
              </w:rPr>
            </w:pP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AD53EB">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地下二层大堂光厅</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598B77">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110.00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D1EC73">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套方案施工图</w:t>
            </w:r>
            <w:r>
              <w:rPr>
                <w:rFonts w:hint="eastAsia" w:ascii="仿宋" w:hAnsi="仿宋" w:eastAsia="仿宋"/>
                <w:sz w:val="24"/>
                <w:highlight w:val="none"/>
                <w:lang w:val="en-US" w:eastAsia="zh-CN"/>
              </w:rPr>
              <w:t>，配合报建</w:t>
            </w:r>
          </w:p>
        </w:tc>
        <w:tc>
          <w:tcPr>
            <w:tcW w:w="23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7069EC">
            <w:pPr>
              <w:numPr>
                <w:ilvl w:val="0"/>
                <w:numId w:val="0"/>
              </w:numPr>
              <w:spacing w:line="276" w:lineRule="auto"/>
              <w:jc w:val="center"/>
              <w:outlineLvl w:val="0"/>
              <w:rPr>
                <w:rFonts w:hint="default" w:ascii="仿宋" w:hAnsi="仿宋" w:eastAsia="仿宋"/>
                <w:sz w:val="24"/>
                <w:highlight w:val="none"/>
              </w:rPr>
            </w:pPr>
          </w:p>
        </w:tc>
      </w:tr>
      <w:tr w14:paraId="4549AE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2EE15B">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9</w:t>
            </w:r>
          </w:p>
        </w:tc>
        <w:tc>
          <w:tcPr>
            <w:tcW w:w="151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3075E48">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变异南大堂</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870D83">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标准层公区</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61C774">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40.00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9FBBAF">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套方案施工图</w:t>
            </w:r>
            <w:r>
              <w:rPr>
                <w:rFonts w:hint="eastAsia" w:ascii="仿宋" w:hAnsi="仿宋" w:eastAsia="仿宋"/>
                <w:sz w:val="24"/>
                <w:highlight w:val="none"/>
                <w:lang w:val="en-US" w:eastAsia="zh-CN"/>
              </w:rPr>
              <w:t>，配合报建</w:t>
            </w:r>
          </w:p>
        </w:tc>
        <w:tc>
          <w:tcPr>
            <w:tcW w:w="232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F58C255">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具体以实际规划为准</w:t>
            </w:r>
          </w:p>
        </w:tc>
      </w:tr>
      <w:tr w14:paraId="267886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5A39FC">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10</w:t>
            </w:r>
          </w:p>
        </w:tc>
        <w:tc>
          <w:tcPr>
            <w:tcW w:w="15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036E415">
            <w:pPr>
              <w:numPr>
                <w:ilvl w:val="0"/>
                <w:numId w:val="0"/>
              </w:numPr>
              <w:spacing w:line="276" w:lineRule="auto"/>
              <w:jc w:val="center"/>
              <w:outlineLvl w:val="0"/>
              <w:rPr>
                <w:rFonts w:hint="default" w:ascii="仿宋" w:hAnsi="仿宋" w:eastAsia="仿宋"/>
                <w:sz w:val="24"/>
                <w:highlight w:val="none"/>
              </w:rPr>
            </w:pP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1BB6FF">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首层公区</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31B10A">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100.00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4497E0">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套方案施工图</w:t>
            </w:r>
            <w:r>
              <w:rPr>
                <w:rFonts w:hint="eastAsia" w:ascii="仿宋" w:hAnsi="仿宋" w:eastAsia="仿宋"/>
                <w:sz w:val="24"/>
                <w:highlight w:val="none"/>
                <w:lang w:val="en-US" w:eastAsia="zh-CN"/>
              </w:rPr>
              <w:t>，配合报建</w:t>
            </w:r>
          </w:p>
        </w:tc>
        <w:tc>
          <w:tcPr>
            <w:tcW w:w="23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17D6C8">
            <w:pPr>
              <w:numPr>
                <w:ilvl w:val="0"/>
                <w:numId w:val="0"/>
              </w:numPr>
              <w:spacing w:line="276" w:lineRule="auto"/>
              <w:jc w:val="center"/>
              <w:outlineLvl w:val="0"/>
              <w:rPr>
                <w:rFonts w:hint="default" w:ascii="仿宋" w:hAnsi="仿宋" w:eastAsia="仿宋"/>
                <w:sz w:val="24"/>
                <w:highlight w:val="none"/>
              </w:rPr>
            </w:pPr>
          </w:p>
        </w:tc>
      </w:tr>
      <w:tr w14:paraId="21D7ED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5D8E9E">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11</w:t>
            </w:r>
          </w:p>
        </w:tc>
        <w:tc>
          <w:tcPr>
            <w:tcW w:w="15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4E4537">
            <w:pPr>
              <w:numPr>
                <w:ilvl w:val="0"/>
                <w:numId w:val="0"/>
              </w:numPr>
              <w:spacing w:line="276" w:lineRule="auto"/>
              <w:jc w:val="center"/>
              <w:outlineLvl w:val="0"/>
              <w:rPr>
                <w:rFonts w:hint="default" w:ascii="仿宋" w:hAnsi="仿宋" w:eastAsia="仿宋"/>
                <w:sz w:val="24"/>
                <w:highlight w:val="none"/>
              </w:rPr>
            </w:pP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AA2C8E">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地下一层大堂光厅</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7F8321">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110.00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B529B7">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套方案施工图</w:t>
            </w:r>
            <w:r>
              <w:rPr>
                <w:rFonts w:hint="eastAsia" w:ascii="仿宋" w:hAnsi="仿宋" w:eastAsia="仿宋"/>
                <w:sz w:val="24"/>
                <w:highlight w:val="none"/>
                <w:lang w:val="en-US" w:eastAsia="zh-CN"/>
              </w:rPr>
              <w:t>，配合报建</w:t>
            </w:r>
          </w:p>
        </w:tc>
        <w:tc>
          <w:tcPr>
            <w:tcW w:w="23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7AED37">
            <w:pPr>
              <w:numPr>
                <w:ilvl w:val="0"/>
                <w:numId w:val="0"/>
              </w:numPr>
              <w:spacing w:line="276" w:lineRule="auto"/>
              <w:jc w:val="center"/>
              <w:outlineLvl w:val="0"/>
              <w:rPr>
                <w:rFonts w:hint="default" w:ascii="仿宋" w:hAnsi="仿宋" w:eastAsia="仿宋"/>
                <w:sz w:val="24"/>
                <w:highlight w:val="none"/>
              </w:rPr>
            </w:pPr>
          </w:p>
        </w:tc>
      </w:tr>
      <w:tr w14:paraId="764A194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7C1A47">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12</w:t>
            </w:r>
          </w:p>
        </w:tc>
        <w:tc>
          <w:tcPr>
            <w:tcW w:w="15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E57D3D">
            <w:pPr>
              <w:numPr>
                <w:ilvl w:val="0"/>
                <w:numId w:val="0"/>
              </w:numPr>
              <w:spacing w:line="276" w:lineRule="auto"/>
              <w:jc w:val="center"/>
              <w:outlineLvl w:val="0"/>
              <w:rPr>
                <w:rFonts w:hint="default" w:ascii="仿宋" w:hAnsi="仿宋" w:eastAsia="仿宋"/>
                <w:sz w:val="24"/>
                <w:highlight w:val="none"/>
              </w:rPr>
            </w:pP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F64047">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地下二层大堂光厅</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0A6798">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110.00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D85686">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套方案施工图</w:t>
            </w:r>
            <w:r>
              <w:rPr>
                <w:rFonts w:hint="eastAsia" w:ascii="仿宋" w:hAnsi="仿宋" w:eastAsia="仿宋"/>
                <w:sz w:val="24"/>
                <w:highlight w:val="none"/>
                <w:lang w:val="en-US" w:eastAsia="zh-CN"/>
              </w:rPr>
              <w:t>，配合报建</w:t>
            </w:r>
          </w:p>
        </w:tc>
        <w:tc>
          <w:tcPr>
            <w:tcW w:w="232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C32472">
            <w:pPr>
              <w:numPr>
                <w:ilvl w:val="0"/>
                <w:numId w:val="0"/>
              </w:numPr>
              <w:spacing w:line="276" w:lineRule="auto"/>
              <w:jc w:val="center"/>
              <w:outlineLvl w:val="0"/>
              <w:rPr>
                <w:rFonts w:hint="default" w:ascii="仿宋" w:hAnsi="仿宋" w:eastAsia="仿宋"/>
                <w:sz w:val="24"/>
                <w:highlight w:val="none"/>
              </w:rPr>
            </w:pPr>
          </w:p>
        </w:tc>
      </w:tr>
      <w:tr w14:paraId="57B4B0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0" w:hRule="atLeast"/>
        </w:trPr>
        <w:tc>
          <w:tcPr>
            <w:tcW w:w="3991"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0E4AEA">
            <w:pPr>
              <w:numPr>
                <w:ilvl w:val="0"/>
                <w:numId w:val="0"/>
              </w:numPr>
              <w:spacing w:line="276" w:lineRule="auto"/>
              <w:jc w:val="center"/>
              <w:outlineLvl w:val="0"/>
              <w:rPr>
                <w:rFonts w:hint="default" w:ascii="仿宋" w:hAnsi="仿宋" w:eastAsia="仿宋"/>
                <w:sz w:val="24"/>
                <w:highlight w:val="none"/>
              </w:rPr>
            </w:pPr>
            <w:r>
              <w:rPr>
                <w:rFonts w:hint="eastAsia" w:ascii="仿宋" w:hAnsi="仿宋" w:eastAsia="仿宋"/>
                <w:sz w:val="24"/>
                <w:highlight w:val="none"/>
                <w:lang w:val="en-US" w:eastAsia="zh-CN"/>
              </w:rPr>
              <w:t>面积</w:t>
            </w:r>
            <w:r>
              <w:rPr>
                <w:rFonts w:hint="default" w:ascii="仿宋" w:hAnsi="仿宋" w:eastAsia="仿宋"/>
                <w:sz w:val="24"/>
                <w:highlight w:val="none"/>
                <w:lang w:val="en-US" w:eastAsia="zh-CN"/>
              </w:rPr>
              <w:t>小计</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950198">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1,080.00</w:t>
            </w:r>
          </w:p>
        </w:tc>
        <w:tc>
          <w:tcPr>
            <w:tcW w:w="178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DD8936">
            <w:pPr>
              <w:numPr>
                <w:ilvl w:val="0"/>
                <w:numId w:val="0"/>
              </w:numPr>
              <w:spacing w:line="276" w:lineRule="auto"/>
              <w:jc w:val="center"/>
              <w:outlineLvl w:val="0"/>
              <w:rPr>
                <w:rFonts w:hint="default" w:ascii="仿宋" w:hAnsi="仿宋" w:eastAsia="仿宋"/>
                <w:sz w:val="24"/>
                <w:highlight w:val="none"/>
              </w:rPr>
            </w:pPr>
          </w:p>
        </w:tc>
        <w:tc>
          <w:tcPr>
            <w:tcW w:w="23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8E839B">
            <w:pPr>
              <w:numPr>
                <w:ilvl w:val="0"/>
                <w:numId w:val="0"/>
              </w:numPr>
              <w:spacing w:line="276" w:lineRule="auto"/>
              <w:jc w:val="center"/>
              <w:outlineLvl w:val="0"/>
              <w:rPr>
                <w:rFonts w:hint="default" w:ascii="仿宋" w:hAnsi="仿宋" w:eastAsia="仿宋"/>
                <w:sz w:val="24"/>
                <w:highlight w:val="none"/>
              </w:rPr>
            </w:pPr>
          </w:p>
        </w:tc>
      </w:tr>
      <w:tr w14:paraId="50F8C8E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92" w:hRule="atLeast"/>
        </w:trPr>
        <w:tc>
          <w:tcPr>
            <w:tcW w:w="9728" w:type="dxa"/>
            <w:gridSpan w:val="6"/>
            <w:tcBorders>
              <w:top w:val="single" w:color="000000" w:sz="4" w:space="0"/>
              <w:left w:val="single" w:color="000000" w:sz="4" w:space="0"/>
              <w:bottom w:val="single" w:color="000000" w:sz="4" w:space="0"/>
              <w:right w:val="single" w:color="000000" w:sz="4" w:space="0"/>
            </w:tcBorders>
            <w:shd w:val="clear" w:color="auto" w:fill="FFFF00"/>
            <w:noWrap/>
            <w:vAlign w:val="center"/>
          </w:tcPr>
          <w:p w14:paraId="7382EEB5">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公共配套</w:t>
            </w:r>
          </w:p>
        </w:tc>
      </w:tr>
      <w:tr w14:paraId="685093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70"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46E9AC">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序号</w:t>
            </w:r>
          </w:p>
        </w:tc>
        <w:tc>
          <w:tcPr>
            <w:tcW w:w="151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829A56">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类目</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014BBF">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项目明细</w:t>
            </w:r>
          </w:p>
        </w:tc>
        <w:tc>
          <w:tcPr>
            <w:tcW w:w="16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9D76B8">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面积</w:t>
            </w:r>
            <w:r>
              <w:rPr>
                <w:rFonts w:hint="default" w:ascii="仿宋" w:hAnsi="仿宋" w:eastAsia="仿宋"/>
                <w:sz w:val="24"/>
                <w:highlight w:val="none"/>
                <w:lang w:val="en-US" w:eastAsia="zh-CN"/>
              </w:rPr>
              <w:br w:type="textWrapping"/>
            </w:r>
            <w:r>
              <w:rPr>
                <w:rFonts w:hint="default" w:ascii="仿宋" w:hAnsi="仿宋" w:eastAsia="仿宋"/>
                <w:sz w:val="24"/>
                <w:highlight w:val="none"/>
                <w:lang w:val="en-US" w:eastAsia="zh-CN"/>
              </w:rPr>
              <w:t>(m2)</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92203F">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图纸类型</w:t>
            </w:r>
          </w:p>
        </w:tc>
        <w:tc>
          <w:tcPr>
            <w:tcW w:w="23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7A7D33">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备注</w:t>
            </w:r>
          </w:p>
        </w:tc>
      </w:tr>
      <w:tr w14:paraId="592D283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06" w:hRule="atLeast"/>
        </w:trPr>
        <w:tc>
          <w:tcPr>
            <w:tcW w:w="6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03D60C">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1</w:t>
            </w:r>
          </w:p>
        </w:tc>
        <w:tc>
          <w:tcPr>
            <w:tcW w:w="1518" w:type="dxa"/>
            <w:tcBorders>
              <w:top w:val="nil"/>
              <w:left w:val="nil"/>
              <w:bottom w:val="single" w:color="auto" w:sz="4" w:space="0"/>
              <w:right w:val="nil"/>
            </w:tcBorders>
            <w:shd w:val="clear" w:color="auto" w:fill="auto"/>
            <w:noWrap/>
            <w:vAlign w:val="center"/>
          </w:tcPr>
          <w:p w14:paraId="2EC77E23">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公共配套</w:t>
            </w:r>
          </w:p>
        </w:tc>
        <w:tc>
          <w:tcPr>
            <w:tcW w:w="1789" w:type="dxa"/>
            <w:tcBorders>
              <w:top w:val="single" w:color="000000" w:sz="4" w:space="0"/>
              <w:left w:val="single" w:color="000000" w:sz="4" w:space="0"/>
              <w:bottom w:val="single" w:color="auto" w:sz="4" w:space="0"/>
              <w:right w:val="single" w:color="000000" w:sz="4" w:space="0"/>
            </w:tcBorders>
            <w:shd w:val="clear" w:color="auto" w:fill="auto"/>
            <w:vAlign w:val="center"/>
          </w:tcPr>
          <w:p w14:paraId="17F342AE">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物业管理（含业主委员会）</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E13E2B">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200.00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9BC506">
            <w:pPr>
              <w:numPr>
                <w:ilvl w:val="0"/>
                <w:numId w:val="0"/>
              </w:numPr>
              <w:spacing w:line="276" w:lineRule="auto"/>
              <w:jc w:val="center"/>
              <w:outlineLvl w:val="0"/>
              <w:rPr>
                <w:rFonts w:hint="default" w:ascii="仿宋" w:hAnsi="仿宋" w:eastAsia="仿宋"/>
                <w:sz w:val="24"/>
                <w:highlight w:val="none"/>
              </w:rPr>
            </w:pPr>
            <w:r>
              <w:rPr>
                <w:rFonts w:hint="eastAsia" w:ascii="仿宋" w:hAnsi="仿宋" w:eastAsia="仿宋"/>
                <w:sz w:val="24"/>
                <w:highlight w:val="none"/>
                <w:lang w:val="en-US" w:eastAsia="zh-CN"/>
              </w:rPr>
              <w:t>方案+施工图</w:t>
            </w:r>
          </w:p>
        </w:tc>
        <w:tc>
          <w:tcPr>
            <w:tcW w:w="23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DAFB29">
            <w:pPr>
              <w:numPr>
                <w:ilvl w:val="0"/>
                <w:numId w:val="0"/>
              </w:numPr>
              <w:spacing w:line="276" w:lineRule="auto"/>
              <w:jc w:val="center"/>
              <w:outlineLvl w:val="0"/>
              <w:rPr>
                <w:rFonts w:hint="default" w:ascii="仿宋" w:hAnsi="仿宋" w:eastAsia="仿宋"/>
                <w:sz w:val="24"/>
                <w:highlight w:val="none"/>
              </w:rPr>
            </w:pPr>
          </w:p>
        </w:tc>
      </w:tr>
      <w:tr w14:paraId="074AF0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51" w:hRule="atLeast"/>
        </w:trPr>
        <w:tc>
          <w:tcPr>
            <w:tcW w:w="684" w:type="dxa"/>
            <w:tcBorders>
              <w:top w:val="single" w:color="000000" w:sz="4" w:space="0"/>
              <w:left w:val="single" w:color="000000" w:sz="4" w:space="0"/>
              <w:bottom w:val="single" w:color="000000" w:sz="4" w:space="0"/>
              <w:right w:val="single" w:color="auto" w:sz="4" w:space="0"/>
            </w:tcBorders>
            <w:shd w:val="clear" w:color="auto" w:fill="auto"/>
            <w:noWrap/>
            <w:vAlign w:val="center"/>
          </w:tcPr>
          <w:p w14:paraId="0E4781FF">
            <w:pPr>
              <w:numPr>
                <w:ilvl w:val="0"/>
                <w:numId w:val="0"/>
              </w:numPr>
              <w:spacing w:line="276" w:lineRule="auto"/>
              <w:jc w:val="center"/>
              <w:outlineLvl w:val="0"/>
              <w:rPr>
                <w:rFonts w:hint="default" w:ascii="仿宋" w:hAnsi="仿宋" w:eastAsia="仿宋"/>
                <w:sz w:val="24"/>
                <w:highlight w:val="none"/>
                <w:lang w:val="en-US" w:eastAsia="zh-CN"/>
              </w:rPr>
            </w:pPr>
            <w:r>
              <w:rPr>
                <w:rFonts w:hint="eastAsia" w:ascii="仿宋" w:hAnsi="仿宋" w:eastAsia="仿宋"/>
                <w:sz w:val="24"/>
                <w:highlight w:val="none"/>
                <w:lang w:val="en-US" w:eastAsia="zh-CN"/>
              </w:rPr>
              <w:t>2</w:t>
            </w:r>
          </w:p>
        </w:tc>
        <w:tc>
          <w:tcPr>
            <w:tcW w:w="1518" w:type="dxa"/>
            <w:tcBorders>
              <w:top w:val="single" w:color="auto" w:sz="4" w:space="0"/>
              <w:left w:val="single" w:color="auto" w:sz="4" w:space="0"/>
              <w:bottom w:val="single" w:color="auto" w:sz="4" w:space="0"/>
              <w:right w:val="nil"/>
            </w:tcBorders>
            <w:shd w:val="clear" w:color="auto" w:fill="auto"/>
            <w:noWrap/>
            <w:vAlign w:val="center"/>
          </w:tcPr>
          <w:p w14:paraId="5283E735">
            <w:pPr>
              <w:numPr>
                <w:ilvl w:val="0"/>
                <w:numId w:val="0"/>
              </w:numPr>
              <w:spacing w:line="276" w:lineRule="auto"/>
              <w:jc w:val="center"/>
              <w:outlineLvl w:val="0"/>
              <w:rPr>
                <w:rFonts w:hint="default" w:ascii="仿宋" w:hAnsi="仿宋" w:eastAsia="仿宋"/>
                <w:sz w:val="24"/>
                <w:highlight w:val="none"/>
                <w:lang w:val="en-US" w:eastAsia="zh-CN"/>
              </w:rPr>
            </w:pPr>
            <w:r>
              <w:rPr>
                <w:rFonts w:hint="eastAsia" w:ascii="仿宋" w:hAnsi="仿宋" w:eastAsia="仿宋"/>
                <w:sz w:val="24"/>
                <w:highlight w:val="none"/>
                <w:lang w:val="en-US" w:eastAsia="zh-CN"/>
              </w:rPr>
              <w:t>异地展厅</w:t>
            </w:r>
          </w:p>
        </w:tc>
        <w:tc>
          <w:tcPr>
            <w:tcW w:w="1789" w:type="dxa"/>
            <w:tcBorders>
              <w:top w:val="single" w:color="auto" w:sz="4" w:space="0"/>
              <w:left w:val="single" w:color="000000" w:sz="4" w:space="0"/>
              <w:bottom w:val="single" w:color="auto" w:sz="4" w:space="0"/>
              <w:right w:val="single" w:color="auto" w:sz="4" w:space="0"/>
            </w:tcBorders>
            <w:shd w:val="clear" w:color="auto" w:fill="auto"/>
            <w:vAlign w:val="center"/>
          </w:tcPr>
          <w:p w14:paraId="548DADB4">
            <w:pPr>
              <w:numPr>
                <w:ilvl w:val="0"/>
                <w:numId w:val="0"/>
              </w:numPr>
              <w:spacing w:line="276" w:lineRule="auto"/>
              <w:jc w:val="center"/>
              <w:outlineLvl w:val="0"/>
              <w:rPr>
                <w:rFonts w:hint="default" w:ascii="仿宋" w:hAnsi="仿宋" w:eastAsia="仿宋"/>
                <w:sz w:val="24"/>
                <w:highlight w:val="none"/>
                <w:lang w:val="en-US" w:eastAsia="zh-CN"/>
              </w:rPr>
            </w:pPr>
            <w:r>
              <w:rPr>
                <w:rFonts w:hint="eastAsia" w:ascii="仿宋" w:hAnsi="仿宋" w:eastAsia="仿宋"/>
                <w:sz w:val="24"/>
                <w:highlight w:val="none"/>
                <w:lang w:val="en-US" w:eastAsia="zh-CN"/>
              </w:rPr>
              <w:t>销售厅+办公区</w:t>
            </w:r>
          </w:p>
        </w:tc>
        <w:tc>
          <w:tcPr>
            <w:tcW w:w="1627"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17DDC8A5">
            <w:pPr>
              <w:numPr>
                <w:ilvl w:val="0"/>
                <w:numId w:val="0"/>
              </w:numPr>
              <w:spacing w:line="276" w:lineRule="auto"/>
              <w:jc w:val="center"/>
              <w:outlineLvl w:val="0"/>
              <w:rPr>
                <w:rFonts w:hint="default" w:ascii="仿宋" w:hAnsi="仿宋" w:eastAsia="仿宋"/>
                <w:sz w:val="24"/>
                <w:highlight w:val="none"/>
                <w:lang w:val="en-US" w:eastAsia="zh-CN"/>
              </w:rPr>
            </w:pPr>
            <w:r>
              <w:rPr>
                <w:rFonts w:hint="eastAsia" w:ascii="仿宋" w:hAnsi="仿宋" w:eastAsia="仿宋"/>
                <w:sz w:val="24"/>
                <w:highlight w:val="none"/>
                <w:lang w:val="en-US" w:eastAsia="zh-CN"/>
              </w:rPr>
              <w:t>696.00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990913">
            <w:pPr>
              <w:numPr>
                <w:ilvl w:val="0"/>
                <w:numId w:val="0"/>
              </w:numPr>
              <w:spacing w:line="276" w:lineRule="auto"/>
              <w:jc w:val="center"/>
              <w:outlineLvl w:val="0"/>
              <w:rPr>
                <w:rFonts w:hint="default" w:ascii="仿宋" w:hAnsi="仿宋" w:eastAsia="仿宋"/>
                <w:sz w:val="24"/>
                <w:highlight w:val="none"/>
                <w:lang w:val="en-US" w:eastAsia="zh-CN"/>
              </w:rPr>
            </w:pPr>
            <w:r>
              <w:rPr>
                <w:rFonts w:hint="eastAsia" w:ascii="仿宋" w:hAnsi="仿宋" w:eastAsia="仿宋"/>
                <w:sz w:val="24"/>
                <w:highlight w:val="none"/>
                <w:lang w:val="en-US" w:eastAsia="zh-CN"/>
              </w:rPr>
              <w:t>方案+施工图</w:t>
            </w:r>
          </w:p>
        </w:tc>
        <w:tc>
          <w:tcPr>
            <w:tcW w:w="23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0E7DE7">
            <w:pPr>
              <w:numPr>
                <w:ilvl w:val="0"/>
                <w:numId w:val="0"/>
              </w:numPr>
              <w:spacing w:line="276" w:lineRule="auto"/>
              <w:jc w:val="center"/>
              <w:outlineLvl w:val="0"/>
              <w:rPr>
                <w:rFonts w:hint="eastAsia" w:ascii="仿宋" w:hAnsi="仿宋" w:eastAsia="仿宋"/>
                <w:sz w:val="24"/>
                <w:highlight w:val="none"/>
                <w:lang w:eastAsia="zh-CN"/>
              </w:rPr>
            </w:pPr>
          </w:p>
        </w:tc>
      </w:tr>
      <w:tr w14:paraId="7B2EAFD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01" w:hRule="atLeast"/>
        </w:trPr>
        <w:tc>
          <w:tcPr>
            <w:tcW w:w="3991"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717472">
            <w:pPr>
              <w:numPr>
                <w:ilvl w:val="0"/>
                <w:numId w:val="0"/>
              </w:numPr>
              <w:spacing w:line="276" w:lineRule="auto"/>
              <w:jc w:val="center"/>
              <w:outlineLvl w:val="0"/>
              <w:rPr>
                <w:rFonts w:hint="default" w:ascii="仿宋" w:hAnsi="仿宋" w:eastAsia="仿宋"/>
                <w:sz w:val="24"/>
                <w:highlight w:val="none"/>
              </w:rPr>
            </w:pPr>
            <w:r>
              <w:rPr>
                <w:rFonts w:hint="eastAsia" w:ascii="仿宋" w:hAnsi="仿宋" w:eastAsia="仿宋"/>
                <w:sz w:val="24"/>
                <w:highlight w:val="none"/>
                <w:lang w:val="en-US" w:eastAsia="zh-CN"/>
              </w:rPr>
              <w:t>面积</w:t>
            </w:r>
            <w:r>
              <w:rPr>
                <w:rFonts w:hint="default" w:ascii="仿宋" w:hAnsi="仿宋" w:eastAsia="仿宋"/>
                <w:sz w:val="24"/>
                <w:highlight w:val="none"/>
                <w:lang w:val="en-US" w:eastAsia="zh-CN"/>
              </w:rPr>
              <w:t>小计</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0419D1">
            <w:pPr>
              <w:numPr>
                <w:ilvl w:val="0"/>
                <w:numId w:val="0"/>
              </w:numPr>
              <w:spacing w:line="276" w:lineRule="auto"/>
              <w:jc w:val="center"/>
              <w:outlineLvl w:val="0"/>
              <w:rPr>
                <w:rFonts w:hint="default" w:ascii="仿宋" w:hAnsi="仿宋" w:eastAsia="仿宋"/>
                <w:sz w:val="24"/>
                <w:highlight w:val="none"/>
              </w:rPr>
            </w:pPr>
            <w:r>
              <w:rPr>
                <w:rFonts w:hint="eastAsia" w:ascii="仿宋" w:hAnsi="仿宋" w:eastAsia="仿宋"/>
                <w:sz w:val="24"/>
                <w:highlight w:val="none"/>
                <w:lang w:val="en-US" w:eastAsia="zh-CN"/>
              </w:rPr>
              <w:t>547</w:t>
            </w:r>
            <w:r>
              <w:rPr>
                <w:rFonts w:hint="default" w:ascii="仿宋" w:hAnsi="仿宋" w:eastAsia="仿宋"/>
                <w:sz w:val="24"/>
                <w:highlight w:val="none"/>
                <w:lang w:val="en-US" w:eastAsia="zh-CN"/>
              </w:rPr>
              <w:t>.00</w:t>
            </w:r>
          </w:p>
        </w:tc>
        <w:tc>
          <w:tcPr>
            <w:tcW w:w="178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AD64A6">
            <w:pPr>
              <w:numPr>
                <w:ilvl w:val="0"/>
                <w:numId w:val="0"/>
              </w:numPr>
              <w:spacing w:line="276" w:lineRule="auto"/>
              <w:jc w:val="center"/>
              <w:outlineLvl w:val="0"/>
              <w:rPr>
                <w:rFonts w:hint="default" w:ascii="仿宋" w:hAnsi="仿宋" w:eastAsia="仿宋"/>
                <w:sz w:val="24"/>
                <w:highlight w:val="none"/>
              </w:rPr>
            </w:pPr>
          </w:p>
        </w:tc>
        <w:tc>
          <w:tcPr>
            <w:tcW w:w="23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A8FA22">
            <w:pPr>
              <w:numPr>
                <w:ilvl w:val="0"/>
                <w:numId w:val="0"/>
              </w:numPr>
              <w:spacing w:line="276" w:lineRule="auto"/>
              <w:jc w:val="center"/>
              <w:outlineLvl w:val="0"/>
              <w:rPr>
                <w:rFonts w:hint="default" w:ascii="仿宋" w:hAnsi="仿宋" w:eastAsia="仿宋"/>
                <w:sz w:val="24"/>
                <w:highlight w:val="none"/>
              </w:rPr>
            </w:pPr>
          </w:p>
        </w:tc>
      </w:tr>
      <w:tr w14:paraId="543755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05" w:hRule="atLeast"/>
        </w:trPr>
        <w:tc>
          <w:tcPr>
            <w:tcW w:w="3991" w:type="dxa"/>
            <w:gridSpan w:val="3"/>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07B7E9">
            <w:pPr>
              <w:numPr>
                <w:ilvl w:val="0"/>
                <w:numId w:val="0"/>
              </w:numPr>
              <w:spacing w:line="276" w:lineRule="auto"/>
              <w:jc w:val="center"/>
              <w:outlineLvl w:val="0"/>
              <w:rPr>
                <w:rFonts w:hint="default" w:ascii="仿宋" w:hAnsi="仿宋" w:eastAsia="仿宋"/>
                <w:sz w:val="24"/>
                <w:highlight w:val="none"/>
              </w:rPr>
            </w:pPr>
            <w:r>
              <w:rPr>
                <w:rFonts w:hint="eastAsia" w:ascii="仿宋" w:hAnsi="仿宋" w:eastAsia="仿宋"/>
                <w:sz w:val="24"/>
                <w:highlight w:val="none"/>
                <w:lang w:val="en-US" w:eastAsia="zh-CN"/>
              </w:rPr>
              <w:t>面积</w:t>
            </w:r>
            <w:r>
              <w:rPr>
                <w:rFonts w:hint="default" w:ascii="仿宋" w:hAnsi="仿宋" w:eastAsia="仿宋"/>
                <w:sz w:val="24"/>
                <w:highlight w:val="none"/>
                <w:lang w:val="en-US" w:eastAsia="zh-CN"/>
              </w:rPr>
              <w:t>合计</w:t>
            </w:r>
          </w:p>
        </w:tc>
        <w:tc>
          <w:tcPr>
            <w:tcW w:w="162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6457A4">
            <w:pPr>
              <w:numPr>
                <w:ilvl w:val="0"/>
                <w:numId w:val="0"/>
              </w:numPr>
              <w:spacing w:line="276" w:lineRule="auto"/>
              <w:jc w:val="center"/>
              <w:outlineLvl w:val="0"/>
              <w:rPr>
                <w:rFonts w:hint="default" w:ascii="仿宋" w:hAnsi="仿宋" w:eastAsia="仿宋"/>
                <w:sz w:val="24"/>
                <w:highlight w:val="none"/>
              </w:rPr>
            </w:pPr>
            <w:r>
              <w:rPr>
                <w:rFonts w:hint="default" w:ascii="仿宋" w:hAnsi="仿宋" w:eastAsia="仿宋"/>
                <w:sz w:val="24"/>
                <w:highlight w:val="none"/>
                <w:lang w:val="en-US" w:eastAsia="zh-CN"/>
              </w:rPr>
              <w:t>2,</w:t>
            </w:r>
            <w:r>
              <w:rPr>
                <w:rFonts w:hint="eastAsia" w:ascii="仿宋" w:hAnsi="仿宋" w:eastAsia="仿宋"/>
                <w:sz w:val="24"/>
                <w:highlight w:val="none"/>
                <w:lang w:val="en-US" w:eastAsia="zh-CN"/>
              </w:rPr>
              <w:t>803</w:t>
            </w:r>
            <w:r>
              <w:rPr>
                <w:rFonts w:hint="default" w:ascii="仿宋" w:hAnsi="仿宋" w:eastAsia="仿宋"/>
                <w:sz w:val="24"/>
                <w:highlight w:val="none"/>
                <w:lang w:val="en-US" w:eastAsia="zh-CN"/>
              </w:rPr>
              <w:t>.00</w:t>
            </w:r>
          </w:p>
        </w:tc>
        <w:tc>
          <w:tcPr>
            <w:tcW w:w="17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137183">
            <w:pPr>
              <w:numPr>
                <w:ilvl w:val="0"/>
                <w:numId w:val="0"/>
              </w:numPr>
              <w:spacing w:line="276" w:lineRule="auto"/>
              <w:jc w:val="center"/>
              <w:outlineLvl w:val="0"/>
              <w:rPr>
                <w:rFonts w:hint="default" w:ascii="仿宋" w:hAnsi="仿宋" w:eastAsia="仿宋"/>
                <w:sz w:val="24"/>
                <w:highlight w:val="none"/>
              </w:rPr>
            </w:pPr>
          </w:p>
        </w:tc>
        <w:tc>
          <w:tcPr>
            <w:tcW w:w="23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9467C9">
            <w:pPr>
              <w:numPr>
                <w:ilvl w:val="0"/>
                <w:numId w:val="0"/>
              </w:numPr>
              <w:spacing w:line="276" w:lineRule="auto"/>
              <w:jc w:val="center"/>
              <w:outlineLvl w:val="0"/>
              <w:rPr>
                <w:rFonts w:hint="default" w:ascii="仿宋" w:hAnsi="仿宋" w:eastAsia="仿宋"/>
                <w:sz w:val="24"/>
                <w:highlight w:val="none"/>
              </w:rPr>
            </w:pPr>
          </w:p>
        </w:tc>
      </w:tr>
    </w:tbl>
    <w:p w14:paraId="715DAEC2">
      <w:pPr>
        <w:numPr>
          <w:ilvl w:val="0"/>
          <w:numId w:val="0"/>
        </w:numPr>
        <w:spacing w:line="276" w:lineRule="auto"/>
        <w:jc w:val="left"/>
        <w:outlineLvl w:val="0"/>
        <w:rPr>
          <w:rFonts w:ascii="仿宋" w:hAnsi="仿宋" w:eastAsia="仿宋"/>
          <w:sz w:val="24"/>
          <w:highlight w:val="none"/>
        </w:rPr>
      </w:pPr>
    </w:p>
    <w:p w14:paraId="5B3B5567">
      <w:pPr>
        <w:spacing w:line="276" w:lineRule="auto"/>
        <w:outlineLvl w:val="0"/>
        <w:rPr>
          <w:rFonts w:hint="eastAsia" w:ascii="仿宋" w:hAnsi="仿宋" w:eastAsia="仿宋"/>
          <w:sz w:val="24"/>
          <w:highlight w:val="none"/>
          <w:lang w:val="en-US" w:eastAsia="zh-CN"/>
        </w:rPr>
      </w:pPr>
      <w:r>
        <w:rPr>
          <w:rFonts w:hint="eastAsia" w:ascii="仿宋" w:hAnsi="仿宋" w:eastAsia="仿宋"/>
          <w:color w:val="000000"/>
          <w:highlight w:val="none"/>
          <w:lang w:val="en-US" w:eastAsia="zh-CN"/>
        </w:rPr>
        <w:t xml:space="preserve"> </w:t>
      </w:r>
      <w:r>
        <w:rPr>
          <w:rFonts w:ascii="仿宋" w:hAnsi="仿宋" w:eastAsia="仿宋"/>
          <w:color w:val="000000"/>
        </w:rPr>
        <w:t>备注：</w:t>
      </w:r>
      <w:r>
        <w:rPr>
          <w:rFonts w:ascii="仿宋_GB2312;仿宋" w:hAnsi="仿宋_GB2312;仿宋" w:eastAsia="仿宋_GB2312;仿宋"/>
        </w:rPr>
        <w:t>实际设计面积以经甲方确认的设计范围为准。套内</w:t>
      </w:r>
      <w:r>
        <w:rPr>
          <w:rFonts w:hint="eastAsia" w:ascii="仿宋_GB2312;仿宋" w:hAnsi="仿宋_GB2312;仿宋" w:eastAsia="宋体"/>
          <w:lang w:eastAsia="zh-CN"/>
        </w:rPr>
        <w:t>设计</w:t>
      </w:r>
      <w:r>
        <w:rPr>
          <w:rFonts w:ascii="仿宋_GB2312;仿宋" w:hAnsi="仿宋_GB2312;仿宋" w:eastAsia="仿宋_GB2312;仿宋"/>
        </w:rPr>
        <w:t>面积</w:t>
      </w:r>
      <w:r>
        <w:rPr>
          <w:rFonts w:hint="eastAsia" w:ascii="仿宋_GB2312;仿宋" w:hAnsi="仿宋_GB2312;仿宋" w:eastAsia="宋体"/>
          <w:lang w:eastAsia="zh-CN"/>
        </w:rPr>
        <w:t>按墙体中线计算</w:t>
      </w:r>
      <w:r>
        <w:rPr>
          <w:rFonts w:ascii="仿宋" w:hAnsi="仿宋" w:eastAsia="仿宋"/>
          <w:color w:val="000000"/>
        </w:rPr>
        <w:t>。</w:t>
      </w:r>
    </w:p>
    <w:p w14:paraId="267EE704">
      <w:pPr>
        <w:pStyle w:val="76"/>
        <w:numPr>
          <w:ilvl w:val="0"/>
          <w:numId w:val="8"/>
        </w:numPr>
        <w:ind w:left="0" w:leftChars="0" w:firstLine="420" w:firstLineChars="0"/>
        <w:jc w:val="left"/>
        <w:rPr>
          <w:rFonts w:ascii="仿宋" w:hAnsi="仿宋" w:eastAsia="仿宋"/>
          <w:b w:val="0"/>
          <w:sz w:val="24"/>
          <w:highlight w:val="none"/>
        </w:rPr>
      </w:pPr>
      <w:r>
        <w:rPr>
          <w:rFonts w:ascii="仿宋" w:hAnsi="仿宋" w:eastAsia="仿宋"/>
          <w:color w:val="000000"/>
          <w:sz w:val="24"/>
          <w:highlight w:val="none"/>
        </w:rPr>
        <w:t>本次装修设计服务需提供上述描述范围的概念设计、方案设计、装修施工图以及施工现场配合服务。设计面积以实际装修设计面积结算，样板间设计风格除建议风格外，要求设计单位根据项目定位，提供两种以上的风格建议。</w:t>
      </w:r>
    </w:p>
    <w:p w14:paraId="237B099C">
      <w:pPr>
        <w:pStyle w:val="76"/>
        <w:numPr>
          <w:ilvl w:val="0"/>
          <w:numId w:val="8"/>
        </w:numPr>
        <w:ind w:left="0" w:leftChars="0" w:firstLine="420" w:firstLineChars="0"/>
        <w:jc w:val="left"/>
        <w:rPr>
          <w:rFonts w:ascii="仿宋" w:hAnsi="仿宋" w:eastAsia="仿宋"/>
          <w:b w:val="0"/>
          <w:sz w:val="24"/>
          <w:highlight w:val="none"/>
        </w:rPr>
      </w:pPr>
      <w:r>
        <w:rPr>
          <w:rFonts w:ascii="仿宋" w:hAnsi="仿宋" w:eastAsia="仿宋"/>
          <w:color w:val="000000"/>
          <w:sz w:val="24"/>
          <w:highlight w:val="none"/>
        </w:rPr>
        <w:t>本次装修设计项目需根据甲方成本估算及概算成果进行方案调整，以满足成本控制的要求。</w:t>
      </w:r>
    </w:p>
    <w:p w14:paraId="5A204596">
      <w:pPr>
        <w:pStyle w:val="76"/>
        <w:numPr>
          <w:ilvl w:val="0"/>
          <w:numId w:val="8"/>
        </w:numPr>
        <w:ind w:left="0" w:leftChars="0" w:firstLine="420" w:firstLineChars="0"/>
        <w:jc w:val="left"/>
        <w:rPr>
          <w:rFonts w:ascii="仿宋" w:hAnsi="仿宋" w:eastAsia="仿宋"/>
          <w:b w:val="0"/>
          <w:sz w:val="24"/>
          <w:highlight w:val="none"/>
        </w:rPr>
      </w:pPr>
      <w:r>
        <w:rPr>
          <w:rFonts w:ascii="仿宋" w:hAnsi="仿宋" w:eastAsia="仿宋"/>
          <w:color w:val="000000"/>
          <w:sz w:val="24"/>
          <w:highlight w:val="none"/>
        </w:rPr>
        <w:t xml:space="preserve">应满足甲方装修设计限额要求，硬装限额需包括天花、地面、墙面、机电、智能化以及固定家具等。 </w:t>
      </w:r>
    </w:p>
    <w:p w14:paraId="27258853">
      <w:pPr>
        <w:pStyle w:val="76"/>
        <w:numPr>
          <w:ilvl w:val="0"/>
          <w:numId w:val="8"/>
        </w:numPr>
        <w:ind w:left="0" w:leftChars="0" w:firstLine="420" w:firstLineChars="0"/>
        <w:jc w:val="left"/>
        <w:rPr>
          <w:rFonts w:ascii="仿宋" w:hAnsi="仿宋" w:eastAsia="仿宋"/>
          <w:b w:val="0"/>
          <w:sz w:val="24"/>
          <w:highlight w:val="none"/>
        </w:rPr>
      </w:pPr>
      <w:r>
        <w:rPr>
          <w:rFonts w:ascii="仿宋" w:hAnsi="仿宋" w:eastAsia="仿宋"/>
          <w:color w:val="000000"/>
          <w:sz w:val="24"/>
          <w:highlight w:val="none"/>
        </w:rPr>
        <w:t>样板房及对应公区设计内容（包括但不限于）：公共大堂背景、电梯厅（含地下电梯厅延伸部分及客户接触的重点区域）、电梯轿厢、入户鞋柜或收纳柜体、客厅及房间背壁、厨房橱柜、卫生间镜柜等。</w:t>
      </w:r>
    </w:p>
    <w:p w14:paraId="69088EC5">
      <w:pPr>
        <w:pStyle w:val="76"/>
        <w:numPr>
          <w:ilvl w:val="0"/>
          <w:numId w:val="8"/>
        </w:numPr>
        <w:ind w:left="0" w:leftChars="0" w:firstLine="420" w:firstLineChars="0"/>
        <w:jc w:val="left"/>
        <w:rPr>
          <w:rFonts w:ascii="仿宋" w:hAnsi="仿宋" w:eastAsia="仿宋"/>
          <w:b w:val="0"/>
          <w:sz w:val="24"/>
          <w:highlight w:val="none"/>
        </w:rPr>
      </w:pPr>
      <w:r>
        <w:rPr>
          <w:rFonts w:ascii="仿宋" w:hAnsi="仿宋" w:eastAsia="仿宋"/>
          <w:color w:val="000000"/>
          <w:sz w:val="24"/>
          <w:highlight w:val="none"/>
        </w:rPr>
        <w:t>配合软装做好提资工作。</w:t>
      </w:r>
    </w:p>
    <w:p w14:paraId="4BB92BE3">
      <w:pPr>
        <w:pStyle w:val="76"/>
        <w:numPr>
          <w:ilvl w:val="0"/>
          <w:numId w:val="8"/>
        </w:numPr>
        <w:ind w:left="0" w:leftChars="0" w:firstLine="420" w:firstLineChars="0"/>
        <w:jc w:val="left"/>
        <w:rPr>
          <w:rFonts w:ascii="仿宋" w:hAnsi="仿宋" w:eastAsia="仿宋"/>
          <w:b w:val="0"/>
          <w:sz w:val="24"/>
          <w:highlight w:val="none"/>
        </w:rPr>
      </w:pPr>
      <w:r>
        <w:rPr>
          <w:rFonts w:ascii="仿宋" w:hAnsi="仿宋" w:eastAsia="仿宋"/>
          <w:color w:val="000000"/>
          <w:sz w:val="24"/>
          <w:highlight w:val="none"/>
        </w:rPr>
        <w:t>包括设计范围内的灯光方案，达到施工图的深度，并反映到综合天花图上。施工图设计需包括机电末端定位(含智能化及发光标识末端)及</w:t>
      </w:r>
      <w:r>
        <w:rPr>
          <w:rFonts w:hint="eastAsia" w:ascii="仿宋" w:hAnsi="仿宋" w:eastAsia="仿宋"/>
          <w:color w:val="000000"/>
          <w:sz w:val="24"/>
          <w:highlight w:val="none"/>
          <w:lang w:val="en-US" w:eastAsia="zh-CN"/>
        </w:rPr>
        <w:t>末端</w:t>
      </w:r>
      <w:r>
        <w:rPr>
          <w:rFonts w:ascii="仿宋" w:hAnsi="仿宋" w:eastAsia="仿宋"/>
          <w:color w:val="000000"/>
          <w:sz w:val="24"/>
          <w:highlight w:val="none"/>
        </w:rPr>
        <w:t>布线图等。</w:t>
      </w:r>
    </w:p>
    <w:p w14:paraId="460158B1">
      <w:pPr>
        <w:pStyle w:val="76"/>
        <w:numPr>
          <w:ilvl w:val="0"/>
          <w:numId w:val="8"/>
        </w:numPr>
        <w:ind w:left="0" w:leftChars="0" w:firstLine="420" w:firstLineChars="0"/>
        <w:jc w:val="left"/>
        <w:rPr>
          <w:rFonts w:ascii="仿宋" w:hAnsi="仿宋" w:eastAsia="仿宋"/>
          <w:b w:val="0"/>
          <w:sz w:val="24"/>
          <w:highlight w:val="none"/>
        </w:rPr>
      </w:pPr>
      <w:r>
        <w:rPr>
          <w:rFonts w:ascii="仿宋" w:hAnsi="仿宋" w:eastAsia="仿宋"/>
          <w:color w:val="000000"/>
          <w:sz w:val="24"/>
          <w:highlight w:val="none"/>
        </w:rPr>
        <w:t>施工图应满足甲方成本计量、招标及施工图审查，最终满足办理装修分部工程的施工许可证的要求，确保通过政府主管部门及消防部门的报审及审批要求。如不需报审政府主管部门及消防部门，则由甲方书面确认即可。</w:t>
      </w:r>
    </w:p>
    <w:p w14:paraId="22965316">
      <w:pPr>
        <w:pStyle w:val="76"/>
        <w:numPr>
          <w:ilvl w:val="0"/>
          <w:numId w:val="8"/>
        </w:numPr>
        <w:ind w:left="0" w:leftChars="0" w:firstLine="420" w:firstLineChars="0"/>
        <w:jc w:val="left"/>
        <w:rPr>
          <w:rFonts w:ascii="仿宋" w:hAnsi="仿宋" w:eastAsia="仿宋"/>
          <w:color w:val="000000"/>
          <w:sz w:val="24"/>
          <w:highlight w:val="none"/>
        </w:rPr>
      </w:pPr>
      <w:r>
        <w:rPr>
          <w:rFonts w:ascii="仿宋" w:hAnsi="仿宋" w:eastAsia="仿宋"/>
          <w:color w:val="000000"/>
          <w:sz w:val="24"/>
          <w:highlight w:val="yellow"/>
        </w:rPr>
        <w:t>乙方在服务期内</w:t>
      </w:r>
      <w:r>
        <w:rPr>
          <w:rFonts w:hint="eastAsia" w:ascii="仿宋" w:hAnsi="仿宋" w:eastAsia="仿宋"/>
          <w:color w:val="000000"/>
          <w:sz w:val="24"/>
          <w:highlight w:val="yellow"/>
          <w:lang w:eastAsia="zh-CN"/>
        </w:rPr>
        <w:t>按需</w:t>
      </w:r>
      <w:r>
        <w:rPr>
          <w:rFonts w:ascii="仿宋" w:hAnsi="仿宋" w:eastAsia="仿宋"/>
          <w:color w:val="000000"/>
          <w:sz w:val="24"/>
          <w:highlight w:val="yellow"/>
        </w:rPr>
        <w:t>提供现场服务，</w:t>
      </w:r>
      <w:r>
        <w:rPr>
          <w:rFonts w:ascii="仿宋" w:hAnsi="仿宋" w:eastAsia="仿宋"/>
          <w:color w:val="000000"/>
          <w:sz w:val="24"/>
          <w:highlight w:val="none"/>
        </w:rPr>
        <w:t>其中包含设计成果汇报服务及施工期间现场服务（未能解决问题除外），在总服务次数不变的前提下，甲方有权自行调配各阶段的现场服务次数</w:t>
      </w:r>
      <w:r>
        <w:rPr>
          <w:rFonts w:hint="eastAsia" w:ascii="仿宋" w:hAnsi="仿宋" w:eastAsia="仿宋"/>
          <w:color w:val="000000"/>
          <w:sz w:val="24"/>
          <w:highlight w:val="none"/>
          <w:lang w:eastAsia="zh-CN"/>
        </w:rPr>
        <w:t>，</w:t>
      </w:r>
      <w:r>
        <w:rPr>
          <w:rFonts w:hint="default" w:ascii="仿宋" w:hAnsi="仿宋" w:eastAsia="仿宋"/>
          <w:color w:val="000000"/>
          <w:sz w:val="24"/>
          <w:highlight w:val="none"/>
        </w:rPr>
        <w:t>如因乙方图纸错误等原因造成的必要现场配合不计入约定次数范畴</w:t>
      </w:r>
      <w:r>
        <w:rPr>
          <w:rFonts w:hint="eastAsia" w:ascii="仿宋" w:hAnsi="仿宋" w:eastAsia="仿宋"/>
          <w:color w:val="000000"/>
          <w:sz w:val="24"/>
          <w:highlight w:val="none"/>
          <w:lang w:eastAsia="zh-CN"/>
        </w:rPr>
        <w:t>（图纸错误认定以书面审核意见为准，现场服务包括设计交底、关键节点验收、材料样板确认等，每次服务有书面记录）</w:t>
      </w:r>
      <w:r>
        <w:rPr>
          <w:rFonts w:hint="default" w:ascii="仿宋" w:hAnsi="仿宋" w:eastAsia="仿宋"/>
          <w:color w:val="000000"/>
          <w:sz w:val="24"/>
          <w:highlight w:val="none"/>
        </w:rPr>
        <w:t>。</w:t>
      </w:r>
    </w:p>
    <w:p w14:paraId="01EF4EFE">
      <w:pPr>
        <w:pStyle w:val="76"/>
        <w:numPr>
          <w:ilvl w:val="0"/>
          <w:numId w:val="8"/>
        </w:numPr>
        <w:ind w:left="0" w:leftChars="0" w:firstLine="420" w:firstLineChars="0"/>
        <w:jc w:val="left"/>
        <w:rPr>
          <w:rFonts w:ascii="仿宋" w:hAnsi="仿宋" w:eastAsia="仿宋"/>
          <w:b w:val="0"/>
          <w:sz w:val="24"/>
          <w:highlight w:val="none"/>
        </w:rPr>
      </w:pPr>
      <w:r>
        <w:rPr>
          <w:rFonts w:ascii="仿宋" w:hAnsi="仿宋" w:eastAsia="仿宋"/>
          <w:color w:val="000000"/>
          <w:sz w:val="24"/>
          <w:highlight w:val="none"/>
        </w:rPr>
        <w:t>需协调建筑、园林、标识设计顾问，并对前述设计方案提供意见反馈。</w:t>
      </w:r>
    </w:p>
    <w:p w14:paraId="4023B95F">
      <w:pPr>
        <w:pStyle w:val="76"/>
        <w:numPr>
          <w:ilvl w:val="0"/>
          <w:numId w:val="0"/>
        </w:numPr>
        <w:ind w:left="420" w:leftChars="0"/>
        <w:jc w:val="left"/>
        <w:rPr>
          <w:rFonts w:ascii="仿宋" w:hAnsi="仿宋" w:eastAsia="仿宋"/>
          <w:b w:val="0"/>
          <w:sz w:val="24"/>
          <w:highlight w:val="none"/>
        </w:rPr>
      </w:pPr>
    </w:p>
    <w:p w14:paraId="2CBAFCA2">
      <w:pPr>
        <w:pStyle w:val="85"/>
        <w:numPr>
          <w:ilvl w:val="0"/>
          <w:numId w:val="7"/>
        </w:numPr>
        <w:spacing w:line="360" w:lineRule="auto"/>
        <w:ind w:firstLine="420"/>
        <w:outlineLvl w:val="0"/>
        <w:rPr>
          <w:rFonts w:ascii="仿宋" w:hAnsi="仿宋" w:eastAsia="仿宋"/>
          <w:b/>
          <w:sz w:val="24"/>
          <w:highlight w:val="none"/>
        </w:rPr>
      </w:pPr>
      <w:r>
        <w:rPr>
          <w:rFonts w:ascii="仿宋" w:hAnsi="仿宋" w:eastAsia="仿宋"/>
          <w:b/>
          <w:color w:val="000000"/>
          <w:sz w:val="24"/>
          <w:highlight w:val="none"/>
        </w:rPr>
        <w:t>设计节点及成果要求：</w:t>
      </w:r>
    </w:p>
    <w:p w14:paraId="071CB507">
      <w:pPr>
        <w:pStyle w:val="76"/>
        <w:numPr>
          <w:ilvl w:val="0"/>
          <w:numId w:val="0"/>
        </w:numPr>
        <w:ind w:left="855"/>
        <w:jc w:val="left"/>
        <w:outlineLvl w:val="0"/>
        <w:rPr>
          <w:rFonts w:ascii="仿宋" w:hAnsi="仿宋" w:eastAsia="仿宋"/>
          <w:sz w:val="24"/>
          <w:highlight w:val="none"/>
        </w:rPr>
      </w:pPr>
      <w:r>
        <w:rPr>
          <w:rFonts w:ascii="仿宋" w:hAnsi="仿宋" w:eastAsia="仿宋"/>
          <w:color w:val="000000"/>
          <w:sz w:val="24"/>
          <w:highlight w:val="none"/>
        </w:rPr>
        <w:t>（一）概念设计阶段：</w:t>
      </w:r>
    </w:p>
    <w:p w14:paraId="58AE0068">
      <w:pPr>
        <w:pStyle w:val="76"/>
        <w:numPr>
          <w:ilvl w:val="0"/>
          <w:numId w:val="0"/>
        </w:numPr>
        <w:ind w:left="855" w:hanging="285"/>
        <w:jc w:val="left"/>
        <w:rPr>
          <w:rFonts w:hint="eastAsia" w:ascii="仿宋" w:hAnsi="仿宋" w:eastAsia="仿宋"/>
          <w:sz w:val="24"/>
          <w:highlight w:val="none"/>
          <w:lang w:eastAsia="zh-CN"/>
        </w:rPr>
      </w:pPr>
      <w:r>
        <w:rPr>
          <w:rFonts w:ascii="仿宋" w:hAnsi="仿宋" w:eastAsia="仿宋"/>
          <w:color w:val="000000"/>
          <w:sz w:val="24"/>
          <w:highlight w:val="none"/>
        </w:rPr>
        <w:t>设计周期：</w:t>
      </w:r>
      <w:r>
        <w:rPr>
          <w:rFonts w:hint="eastAsia" w:ascii="仿宋" w:hAnsi="仿宋" w:eastAsia="仿宋"/>
          <w:color w:val="000000"/>
          <w:sz w:val="24"/>
          <w:highlight w:val="yellow"/>
          <w:lang w:val="en-US" w:eastAsia="zh-CN"/>
        </w:rPr>
        <w:t>7</w:t>
      </w:r>
      <w:r>
        <w:rPr>
          <w:rFonts w:ascii="仿宋" w:hAnsi="仿宋" w:eastAsia="仿宋"/>
          <w:color w:val="000000"/>
          <w:sz w:val="24"/>
          <w:highlight w:val="yellow"/>
        </w:rPr>
        <w:t>个日历天</w:t>
      </w:r>
      <w:r>
        <w:rPr>
          <w:rFonts w:hint="eastAsia" w:ascii="仿宋" w:hAnsi="仿宋" w:eastAsia="仿宋"/>
          <w:color w:val="000000"/>
          <w:sz w:val="24"/>
          <w:highlight w:val="yellow"/>
          <w:lang w:eastAsia="zh-CN"/>
        </w:rPr>
        <w:t>（国家法定节假日则相应顺延）</w:t>
      </w:r>
    </w:p>
    <w:p w14:paraId="5FA47DE4">
      <w:pPr>
        <w:pStyle w:val="76"/>
        <w:numPr>
          <w:ilvl w:val="0"/>
          <w:numId w:val="0"/>
        </w:numPr>
        <w:ind w:left="855" w:hanging="285"/>
        <w:jc w:val="left"/>
        <w:rPr>
          <w:rFonts w:ascii="仿宋" w:hAnsi="仿宋" w:eastAsia="仿宋"/>
          <w:sz w:val="24"/>
          <w:highlight w:val="none"/>
        </w:rPr>
      </w:pPr>
      <w:r>
        <w:rPr>
          <w:rFonts w:ascii="仿宋" w:hAnsi="仿宋" w:eastAsia="仿宋"/>
          <w:color w:val="000000"/>
          <w:sz w:val="24"/>
          <w:highlight w:val="none"/>
        </w:rPr>
        <w:t>提供成果具体如下，包括但不限于：</w:t>
      </w:r>
    </w:p>
    <w:p w14:paraId="17D1DE91">
      <w:pPr>
        <w:pStyle w:val="76"/>
        <w:numPr>
          <w:ilvl w:val="0"/>
          <w:numId w:val="9"/>
        </w:numPr>
        <w:ind w:left="1055" w:leftChars="0" w:hanging="425" w:firstLineChars="0"/>
        <w:jc w:val="left"/>
        <w:rPr>
          <w:rFonts w:ascii="仿宋" w:hAnsi="仿宋" w:eastAsia="仿宋"/>
          <w:b w:val="0"/>
          <w:bCs/>
          <w:sz w:val="24"/>
          <w:highlight w:val="none"/>
        </w:rPr>
      </w:pPr>
      <w:r>
        <w:rPr>
          <w:rFonts w:ascii="仿宋" w:hAnsi="仿宋" w:eastAsia="仿宋"/>
          <w:b w:val="0"/>
          <w:bCs/>
          <w:color w:val="000000"/>
          <w:sz w:val="24"/>
          <w:highlight w:val="none"/>
        </w:rPr>
        <w:t>开展设计前与主体建筑（含机电）等设计单位及商业策划团队、营销管理团队充分沟通交流，了解项目总体设计理念。</w:t>
      </w:r>
    </w:p>
    <w:p w14:paraId="78F0B1C5">
      <w:pPr>
        <w:pStyle w:val="76"/>
        <w:numPr>
          <w:ilvl w:val="0"/>
          <w:numId w:val="9"/>
        </w:numPr>
        <w:ind w:left="1055" w:leftChars="0" w:hanging="425" w:firstLineChars="0"/>
        <w:jc w:val="left"/>
        <w:rPr>
          <w:rFonts w:ascii="仿宋" w:hAnsi="仿宋" w:eastAsia="仿宋"/>
          <w:b w:val="0"/>
          <w:bCs/>
          <w:sz w:val="24"/>
          <w:highlight w:val="none"/>
        </w:rPr>
      </w:pPr>
      <w:r>
        <w:rPr>
          <w:rFonts w:ascii="仿宋" w:hAnsi="仿宋" w:eastAsia="仿宋"/>
          <w:b w:val="0"/>
          <w:bCs/>
          <w:color w:val="000000"/>
          <w:sz w:val="24"/>
          <w:highlight w:val="none"/>
        </w:rPr>
        <w:t>样板间</w:t>
      </w:r>
      <w:r>
        <w:rPr>
          <w:rFonts w:hint="eastAsia" w:ascii="仿宋" w:hAnsi="仿宋" w:eastAsia="仿宋"/>
          <w:b w:val="0"/>
          <w:bCs/>
          <w:color w:val="000000"/>
          <w:sz w:val="24"/>
          <w:highlight w:val="none"/>
          <w:lang w:val="en-US" w:eastAsia="zh-CN"/>
        </w:rPr>
        <w:t>按照展示区样板房风格及布局设计</w:t>
      </w:r>
      <w:r>
        <w:rPr>
          <w:rFonts w:ascii="仿宋" w:hAnsi="仿宋" w:eastAsia="仿宋"/>
          <w:b w:val="0"/>
          <w:bCs/>
          <w:color w:val="000000"/>
          <w:sz w:val="24"/>
          <w:highlight w:val="none"/>
        </w:rPr>
        <w:t>。</w:t>
      </w:r>
    </w:p>
    <w:p w14:paraId="7A283E95">
      <w:pPr>
        <w:pStyle w:val="76"/>
        <w:numPr>
          <w:ilvl w:val="0"/>
          <w:numId w:val="9"/>
        </w:numPr>
        <w:ind w:left="1055" w:leftChars="0" w:hanging="425" w:firstLineChars="0"/>
        <w:jc w:val="left"/>
        <w:rPr>
          <w:rFonts w:ascii="仿宋" w:hAnsi="仿宋" w:eastAsia="仿宋"/>
          <w:b w:val="0"/>
          <w:bCs/>
          <w:sz w:val="24"/>
          <w:highlight w:val="none"/>
        </w:rPr>
      </w:pPr>
      <w:r>
        <w:rPr>
          <w:rFonts w:ascii="仿宋" w:hAnsi="仿宋" w:eastAsia="仿宋"/>
          <w:b w:val="0"/>
          <w:bCs/>
          <w:color w:val="000000"/>
          <w:sz w:val="24"/>
          <w:highlight w:val="none"/>
        </w:rPr>
        <w:t>平面功能布局及户型优化建议，并标注主要尺寸，同时体现设计概念。</w:t>
      </w:r>
    </w:p>
    <w:p w14:paraId="41EE3A94">
      <w:pPr>
        <w:pStyle w:val="76"/>
        <w:numPr>
          <w:ilvl w:val="0"/>
          <w:numId w:val="9"/>
        </w:numPr>
        <w:ind w:left="1055" w:leftChars="0" w:hanging="425" w:firstLineChars="0"/>
        <w:jc w:val="left"/>
        <w:rPr>
          <w:rFonts w:ascii="仿宋" w:hAnsi="仿宋" w:eastAsia="仿宋"/>
          <w:b w:val="0"/>
          <w:bCs/>
          <w:sz w:val="24"/>
          <w:highlight w:val="none"/>
        </w:rPr>
      </w:pPr>
      <w:r>
        <w:rPr>
          <w:rFonts w:ascii="仿宋" w:hAnsi="仿宋" w:eastAsia="仿宋"/>
          <w:b w:val="0"/>
          <w:bCs/>
          <w:color w:val="000000"/>
          <w:sz w:val="24"/>
          <w:highlight w:val="none"/>
        </w:rPr>
        <w:t>主题策划及重点节点打造意向。</w:t>
      </w:r>
    </w:p>
    <w:p w14:paraId="1E46E994">
      <w:pPr>
        <w:pStyle w:val="76"/>
        <w:numPr>
          <w:ilvl w:val="0"/>
          <w:numId w:val="9"/>
        </w:numPr>
        <w:ind w:left="1055" w:leftChars="0" w:hanging="425" w:firstLineChars="0"/>
        <w:jc w:val="left"/>
        <w:rPr>
          <w:rFonts w:ascii="仿宋" w:hAnsi="仿宋" w:eastAsia="仿宋"/>
          <w:b w:val="0"/>
          <w:bCs/>
          <w:sz w:val="24"/>
          <w:highlight w:val="none"/>
        </w:rPr>
      </w:pPr>
      <w:r>
        <w:rPr>
          <w:rFonts w:hint="eastAsia" w:ascii="仿宋" w:hAnsi="仿宋" w:eastAsia="仿宋"/>
          <w:b w:val="0"/>
          <w:bCs/>
          <w:color w:val="000000"/>
          <w:sz w:val="24"/>
          <w:highlight w:val="none"/>
          <w:lang w:val="en-US" w:eastAsia="zh-CN"/>
        </w:rPr>
        <w:t>根据母版样板房，</w:t>
      </w:r>
      <w:r>
        <w:rPr>
          <w:rFonts w:ascii="仿宋" w:hAnsi="仿宋" w:eastAsia="仿宋"/>
          <w:b w:val="0"/>
          <w:bCs/>
          <w:color w:val="000000"/>
          <w:sz w:val="24"/>
          <w:highlight w:val="none"/>
        </w:rPr>
        <w:t>需结合场景空间的效果图对主要装饰材料进行说明。</w:t>
      </w:r>
    </w:p>
    <w:p w14:paraId="2B34E9BD">
      <w:pPr>
        <w:pStyle w:val="76"/>
        <w:numPr>
          <w:ilvl w:val="0"/>
          <w:numId w:val="9"/>
        </w:numPr>
        <w:ind w:left="1055" w:leftChars="0" w:hanging="425" w:firstLineChars="0"/>
        <w:jc w:val="left"/>
        <w:rPr>
          <w:rFonts w:ascii="仿宋" w:hAnsi="仿宋" w:eastAsia="仿宋"/>
          <w:b w:val="0"/>
          <w:bCs/>
          <w:color w:val="000000"/>
          <w:sz w:val="24"/>
          <w:highlight w:val="none"/>
        </w:rPr>
      </w:pPr>
      <w:r>
        <w:rPr>
          <w:rFonts w:ascii="仿宋" w:hAnsi="仿宋" w:eastAsia="仿宋"/>
          <w:b w:val="0"/>
          <w:bCs/>
          <w:color w:val="000000"/>
          <w:sz w:val="24"/>
          <w:highlight w:val="none"/>
        </w:rPr>
        <w:t>待甲方评审确定后方可进入下一阶段设计工作。</w:t>
      </w:r>
    </w:p>
    <w:p w14:paraId="73C05B47">
      <w:pPr>
        <w:pStyle w:val="76"/>
        <w:numPr>
          <w:ilvl w:val="0"/>
          <w:numId w:val="0"/>
        </w:numPr>
        <w:ind w:left="855"/>
        <w:jc w:val="left"/>
        <w:outlineLvl w:val="0"/>
        <w:rPr>
          <w:rFonts w:ascii="仿宋" w:hAnsi="仿宋" w:eastAsia="仿宋"/>
          <w:color w:val="000000"/>
          <w:sz w:val="24"/>
          <w:highlight w:val="none"/>
        </w:rPr>
      </w:pPr>
      <w:r>
        <w:rPr>
          <w:rFonts w:ascii="仿宋" w:hAnsi="仿宋" w:eastAsia="仿宋"/>
          <w:color w:val="000000"/>
          <w:sz w:val="24"/>
          <w:highlight w:val="none"/>
        </w:rPr>
        <w:t>（二）方案设计阶段：</w:t>
      </w:r>
    </w:p>
    <w:p w14:paraId="02575478">
      <w:pPr>
        <w:pStyle w:val="76"/>
        <w:numPr>
          <w:ilvl w:val="0"/>
          <w:numId w:val="0"/>
        </w:numPr>
        <w:ind w:left="855" w:hanging="285"/>
        <w:jc w:val="left"/>
        <w:rPr>
          <w:rFonts w:ascii="仿宋" w:hAnsi="仿宋" w:eastAsia="仿宋"/>
          <w:color w:val="000000"/>
          <w:sz w:val="24"/>
          <w:highlight w:val="yellow"/>
        </w:rPr>
      </w:pPr>
      <w:r>
        <w:rPr>
          <w:rFonts w:ascii="仿宋" w:hAnsi="仿宋" w:eastAsia="仿宋"/>
          <w:color w:val="000000"/>
          <w:sz w:val="24"/>
          <w:highlight w:val="none"/>
        </w:rPr>
        <w:t>设计周期：</w:t>
      </w:r>
      <w:r>
        <w:rPr>
          <w:rFonts w:hint="eastAsia" w:ascii="仿宋" w:hAnsi="仿宋" w:eastAsia="仿宋"/>
          <w:color w:val="000000"/>
          <w:sz w:val="24"/>
          <w:highlight w:val="yellow"/>
          <w:lang w:val="en-US" w:eastAsia="zh-CN"/>
        </w:rPr>
        <w:t>15</w:t>
      </w:r>
      <w:r>
        <w:rPr>
          <w:rFonts w:ascii="仿宋" w:hAnsi="仿宋" w:eastAsia="仿宋"/>
          <w:color w:val="000000"/>
          <w:sz w:val="24"/>
          <w:highlight w:val="yellow"/>
        </w:rPr>
        <w:t>个日历天</w:t>
      </w:r>
      <w:r>
        <w:rPr>
          <w:rFonts w:hint="eastAsia" w:ascii="仿宋" w:hAnsi="仿宋" w:eastAsia="仿宋"/>
          <w:color w:val="000000"/>
          <w:sz w:val="24"/>
          <w:highlight w:val="yellow"/>
          <w:lang w:eastAsia="zh-CN"/>
        </w:rPr>
        <w:t>（国家法定节假日则相应顺延）</w:t>
      </w:r>
    </w:p>
    <w:p w14:paraId="65736789">
      <w:pPr>
        <w:pStyle w:val="76"/>
        <w:numPr>
          <w:ilvl w:val="0"/>
          <w:numId w:val="0"/>
        </w:numPr>
        <w:ind w:left="855" w:hanging="285"/>
        <w:jc w:val="left"/>
        <w:rPr>
          <w:rFonts w:ascii="仿宋" w:hAnsi="仿宋" w:eastAsia="仿宋"/>
          <w:color w:val="000000"/>
          <w:sz w:val="24"/>
          <w:highlight w:val="none"/>
        </w:rPr>
      </w:pPr>
      <w:r>
        <w:rPr>
          <w:rFonts w:ascii="仿宋" w:hAnsi="仿宋" w:eastAsia="仿宋"/>
          <w:color w:val="000000"/>
          <w:sz w:val="24"/>
          <w:highlight w:val="none"/>
        </w:rPr>
        <w:t>提供成果具体如下，包括但不限于：</w:t>
      </w:r>
    </w:p>
    <w:p w14:paraId="22BE5EC4">
      <w:pPr>
        <w:pStyle w:val="76"/>
        <w:numPr>
          <w:ilvl w:val="0"/>
          <w:numId w:val="10"/>
        </w:numPr>
        <w:ind w:left="0" w:leftChars="0" w:firstLine="480" w:firstLineChars="200"/>
        <w:jc w:val="left"/>
        <w:rPr>
          <w:rFonts w:ascii="仿宋" w:hAnsi="仿宋" w:eastAsia="仿宋"/>
          <w:b w:val="0"/>
          <w:bCs/>
          <w:color w:val="000000"/>
          <w:sz w:val="24"/>
          <w:highlight w:val="none"/>
        </w:rPr>
      </w:pPr>
      <w:r>
        <w:rPr>
          <w:rFonts w:ascii="仿宋" w:hAnsi="仿宋" w:eastAsia="仿宋"/>
          <w:b w:val="0"/>
          <w:bCs/>
          <w:color w:val="000000"/>
          <w:sz w:val="24"/>
          <w:highlight w:val="none"/>
        </w:rPr>
        <w:t>彩色深化布局平面布置图并标注主要尺寸，天花图，地花图，主要立面图。</w:t>
      </w:r>
    </w:p>
    <w:p w14:paraId="4F1ED96D">
      <w:pPr>
        <w:pStyle w:val="76"/>
        <w:numPr>
          <w:ilvl w:val="0"/>
          <w:numId w:val="10"/>
        </w:numPr>
        <w:ind w:left="0" w:leftChars="0" w:firstLine="480" w:firstLineChars="200"/>
        <w:jc w:val="left"/>
        <w:rPr>
          <w:rFonts w:ascii="仿宋" w:hAnsi="仿宋" w:eastAsia="仿宋"/>
          <w:b w:val="0"/>
          <w:bCs/>
          <w:color w:val="000000"/>
          <w:sz w:val="24"/>
          <w:highlight w:val="none"/>
        </w:rPr>
      </w:pPr>
      <w:r>
        <w:rPr>
          <w:rFonts w:ascii="仿宋" w:hAnsi="仿宋" w:eastAsia="仿宋"/>
          <w:b w:val="0"/>
          <w:bCs/>
          <w:color w:val="000000"/>
          <w:sz w:val="24"/>
          <w:highlight w:val="none"/>
        </w:rPr>
        <w:t>主要材料的样板展板一份</w:t>
      </w:r>
      <w:r>
        <w:rPr>
          <w:rFonts w:hint="eastAsia" w:ascii="仿宋" w:hAnsi="仿宋" w:eastAsia="仿宋"/>
          <w:b w:val="0"/>
          <w:bCs/>
          <w:color w:val="000000"/>
          <w:sz w:val="24"/>
          <w:highlight w:val="none"/>
          <w:lang w:eastAsia="zh-CN"/>
        </w:rPr>
        <w:t>（</w:t>
      </w:r>
      <w:r>
        <w:rPr>
          <w:rFonts w:hint="eastAsia" w:ascii="仿宋" w:hAnsi="仿宋" w:eastAsia="仿宋"/>
          <w:b w:val="0"/>
          <w:bCs/>
          <w:color w:val="000000"/>
          <w:sz w:val="24"/>
          <w:highlight w:val="none"/>
          <w:lang w:val="en-US" w:eastAsia="zh-CN"/>
        </w:rPr>
        <w:t>最终要求一式三份材料实体样板</w:t>
      </w:r>
      <w:r>
        <w:rPr>
          <w:rFonts w:hint="eastAsia" w:ascii="仿宋" w:hAnsi="仿宋" w:eastAsia="仿宋"/>
          <w:b w:val="0"/>
          <w:bCs/>
          <w:color w:val="000000"/>
          <w:sz w:val="24"/>
          <w:highlight w:val="none"/>
          <w:lang w:eastAsia="zh-CN"/>
        </w:rPr>
        <w:t>）</w:t>
      </w:r>
      <w:r>
        <w:rPr>
          <w:rFonts w:ascii="仿宋" w:hAnsi="仿宋" w:eastAsia="仿宋"/>
          <w:b w:val="0"/>
          <w:bCs/>
          <w:color w:val="000000"/>
          <w:sz w:val="24"/>
          <w:highlight w:val="none"/>
        </w:rPr>
        <w:t>：需结合主要场景空间的效果图、机电末端图册一起进行材料样板展示（包括石材、仿石砖、木饰面、皮革、布料）。应避免使用进口材料及设备，并在甲方供应商品牌库内</w:t>
      </w:r>
      <w:r>
        <w:rPr>
          <w:rFonts w:hint="eastAsia" w:ascii="仿宋" w:hAnsi="仿宋" w:eastAsia="仿宋"/>
          <w:b w:val="0"/>
          <w:bCs/>
          <w:color w:val="000000"/>
          <w:sz w:val="24"/>
          <w:highlight w:val="none"/>
          <w:lang w:eastAsia="zh-CN"/>
        </w:rPr>
        <w:t>（</w:t>
      </w:r>
      <w:r>
        <w:rPr>
          <w:rFonts w:hint="eastAsia" w:ascii="仿宋" w:hAnsi="仿宋" w:eastAsia="仿宋"/>
          <w:b w:val="0"/>
          <w:bCs/>
          <w:color w:val="000000"/>
          <w:sz w:val="24"/>
          <w:highlight w:val="none"/>
          <w:lang w:val="en-US" w:eastAsia="zh-CN"/>
        </w:rPr>
        <w:t>如有</w:t>
      </w:r>
      <w:r>
        <w:rPr>
          <w:rFonts w:hint="eastAsia" w:ascii="仿宋" w:hAnsi="仿宋" w:eastAsia="仿宋"/>
          <w:b w:val="0"/>
          <w:bCs/>
          <w:color w:val="000000"/>
          <w:sz w:val="24"/>
          <w:highlight w:val="none"/>
          <w:lang w:eastAsia="zh-CN"/>
        </w:rPr>
        <w:t>）</w:t>
      </w:r>
      <w:r>
        <w:rPr>
          <w:rFonts w:ascii="仿宋" w:hAnsi="仿宋" w:eastAsia="仿宋"/>
          <w:b w:val="0"/>
          <w:bCs/>
          <w:color w:val="000000"/>
          <w:sz w:val="24"/>
          <w:highlight w:val="none"/>
        </w:rPr>
        <w:t>选择不少于</w:t>
      </w:r>
      <w:r>
        <w:rPr>
          <w:rFonts w:hint="eastAsia" w:ascii="仿宋" w:hAnsi="仿宋" w:eastAsia="仿宋"/>
          <w:b w:val="0"/>
          <w:bCs/>
          <w:color w:val="000000"/>
          <w:sz w:val="24"/>
          <w:highlight w:val="none"/>
          <w:lang w:val="en-US" w:eastAsia="zh-CN"/>
        </w:rPr>
        <w:t>1</w:t>
      </w:r>
      <w:r>
        <w:rPr>
          <w:rFonts w:ascii="仿宋" w:hAnsi="仿宋" w:eastAsia="仿宋"/>
          <w:b w:val="0"/>
          <w:bCs/>
          <w:color w:val="000000"/>
          <w:sz w:val="24"/>
          <w:highlight w:val="none"/>
        </w:rPr>
        <w:t>个品牌满足效果的材料型号。如有特殊情况，应在材料样板提交时，清晰标注并作必要说明</w:t>
      </w:r>
      <w:r>
        <w:rPr>
          <w:rFonts w:hint="eastAsia" w:ascii="仿宋" w:hAnsi="仿宋" w:eastAsia="仿宋"/>
          <w:b w:val="0"/>
          <w:bCs/>
          <w:color w:val="000000"/>
          <w:sz w:val="24"/>
          <w:highlight w:val="none"/>
          <w:lang w:eastAsia="zh-CN"/>
        </w:rPr>
        <w:t>，</w:t>
      </w:r>
      <w:r>
        <w:rPr>
          <w:rFonts w:hint="eastAsia" w:ascii="仿宋" w:hAnsi="仿宋" w:eastAsia="仿宋"/>
          <w:b w:val="0"/>
          <w:bCs/>
          <w:color w:val="000000"/>
          <w:sz w:val="24"/>
          <w:highlight w:val="none"/>
          <w:lang w:val="en-US" w:eastAsia="zh-CN"/>
        </w:rPr>
        <w:t>关于石材和木纹类别的观光材料，要求有大板纹路指导图片</w:t>
      </w:r>
      <w:r>
        <w:rPr>
          <w:rFonts w:ascii="仿宋" w:hAnsi="仿宋" w:eastAsia="仿宋"/>
          <w:b w:val="0"/>
          <w:bCs/>
          <w:color w:val="000000"/>
          <w:sz w:val="24"/>
          <w:highlight w:val="none"/>
        </w:rPr>
        <w:t>。</w:t>
      </w:r>
    </w:p>
    <w:p w14:paraId="55A6F456">
      <w:pPr>
        <w:pStyle w:val="76"/>
        <w:numPr>
          <w:ilvl w:val="0"/>
          <w:numId w:val="10"/>
        </w:numPr>
        <w:ind w:left="0" w:leftChars="0" w:firstLine="480" w:firstLineChars="200"/>
        <w:jc w:val="left"/>
        <w:rPr>
          <w:rFonts w:ascii="仿宋" w:hAnsi="仿宋" w:eastAsia="仿宋"/>
          <w:b w:val="0"/>
          <w:bCs/>
          <w:color w:val="000000"/>
          <w:sz w:val="24"/>
          <w:highlight w:val="none"/>
        </w:rPr>
      </w:pPr>
      <w:r>
        <w:rPr>
          <w:rFonts w:ascii="仿宋" w:hAnsi="仿宋" w:eastAsia="仿宋"/>
          <w:b w:val="0"/>
          <w:bCs/>
          <w:color w:val="000000"/>
          <w:sz w:val="24"/>
          <w:highlight w:val="none"/>
        </w:rPr>
        <w:t>打印A3规格汇报精装彩色图册一式三份，图纸电子文件需同时提供CAD（或天正及T3版本）以及PPT、PDF格式。</w:t>
      </w:r>
    </w:p>
    <w:p w14:paraId="53B5EDB7">
      <w:pPr>
        <w:pStyle w:val="76"/>
        <w:numPr>
          <w:ilvl w:val="0"/>
          <w:numId w:val="10"/>
        </w:numPr>
        <w:ind w:left="0" w:leftChars="0" w:firstLine="480" w:firstLineChars="200"/>
        <w:jc w:val="left"/>
        <w:rPr>
          <w:rFonts w:ascii="仿宋" w:hAnsi="仿宋" w:eastAsia="仿宋"/>
          <w:b w:val="0"/>
          <w:bCs/>
          <w:color w:val="000000"/>
          <w:sz w:val="24"/>
          <w:highlight w:val="none"/>
        </w:rPr>
      </w:pPr>
      <w:r>
        <w:rPr>
          <w:rFonts w:ascii="仿宋" w:hAnsi="仿宋" w:eastAsia="仿宋"/>
          <w:b w:val="0"/>
          <w:bCs/>
          <w:color w:val="000000"/>
          <w:sz w:val="24"/>
          <w:highlight w:val="none"/>
        </w:rPr>
        <w:t>成果电子设计文件（全部刻制成</w:t>
      </w:r>
      <w:r>
        <w:rPr>
          <w:rFonts w:hint="eastAsia" w:ascii="仿宋" w:hAnsi="仿宋" w:eastAsia="仿宋"/>
          <w:b w:val="0"/>
          <w:bCs/>
          <w:color w:val="000000"/>
          <w:sz w:val="24"/>
          <w:highlight w:val="none"/>
          <w:lang w:val="en-US" w:eastAsia="zh-CN"/>
        </w:rPr>
        <w:t>U盘一</w:t>
      </w:r>
      <w:r>
        <w:rPr>
          <w:rFonts w:ascii="仿宋" w:hAnsi="仿宋" w:eastAsia="仿宋"/>
          <w:b w:val="0"/>
          <w:bCs/>
          <w:color w:val="000000"/>
          <w:sz w:val="24"/>
          <w:highlight w:val="none"/>
        </w:rPr>
        <w:t>份）。</w:t>
      </w:r>
    </w:p>
    <w:p w14:paraId="045EA99C">
      <w:pPr>
        <w:pStyle w:val="76"/>
        <w:numPr>
          <w:ilvl w:val="0"/>
          <w:numId w:val="10"/>
        </w:numPr>
        <w:ind w:left="0" w:leftChars="0" w:firstLine="480" w:firstLineChars="200"/>
        <w:jc w:val="left"/>
        <w:rPr>
          <w:rFonts w:ascii="仿宋" w:hAnsi="仿宋" w:eastAsia="仿宋"/>
          <w:b w:val="0"/>
          <w:bCs/>
          <w:color w:val="000000"/>
          <w:sz w:val="24"/>
          <w:highlight w:val="none"/>
        </w:rPr>
      </w:pPr>
      <w:r>
        <w:rPr>
          <w:rFonts w:ascii="仿宋" w:hAnsi="仿宋" w:eastAsia="仿宋"/>
          <w:b w:val="0"/>
          <w:bCs/>
          <w:color w:val="000000"/>
          <w:sz w:val="24"/>
          <w:highlight w:val="none"/>
        </w:rPr>
        <w:t>待甲方评审确定后方可进入下一阶段设计工作。</w:t>
      </w:r>
    </w:p>
    <w:p w14:paraId="623C9CC1">
      <w:pPr>
        <w:ind w:left="764"/>
        <w:jc w:val="left"/>
        <w:rPr>
          <w:rFonts w:ascii="仿宋" w:hAnsi="仿宋" w:eastAsia="仿宋"/>
          <w:b w:val="0"/>
          <w:bCs/>
          <w:sz w:val="24"/>
          <w:highlight w:val="none"/>
        </w:rPr>
      </w:pPr>
    </w:p>
    <w:p w14:paraId="5BB7EA4F">
      <w:pPr>
        <w:pStyle w:val="76"/>
        <w:numPr>
          <w:ilvl w:val="0"/>
          <w:numId w:val="0"/>
        </w:numPr>
        <w:ind w:left="426" w:firstLine="427"/>
        <w:jc w:val="left"/>
        <w:outlineLvl w:val="0"/>
        <w:rPr>
          <w:rFonts w:ascii="仿宋" w:hAnsi="仿宋" w:eastAsia="仿宋"/>
          <w:sz w:val="24"/>
          <w:highlight w:val="none"/>
        </w:rPr>
      </w:pPr>
      <w:r>
        <w:rPr>
          <w:rFonts w:ascii="仿宋" w:hAnsi="仿宋" w:eastAsia="仿宋"/>
          <w:color w:val="000000"/>
          <w:sz w:val="24"/>
          <w:highlight w:val="none"/>
        </w:rPr>
        <w:t>（三）扩初图设计阶段</w:t>
      </w:r>
      <w:r>
        <w:rPr>
          <w:rFonts w:hint="eastAsia" w:ascii="仿宋" w:hAnsi="仿宋" w:eastAsia="仿宋"/>
          <w:color w:val="000000"/>
          <w:sz w:val="24"/>
          <w:highlight w:val="none"/>
          <w:lang w:eastAsia="zh-CN"/>
        </w:rPr>
        <w:t>（</w:t>
      </w:r>
      <w:r>
        <w:rPr>
          <w:rFonts w:ascii="仿宋" w:hAnsi="仿宋" w:eastAsia="仿宋"/>
          <w:color w:val="000000"/>
          <w:sz w:val="24"/>
          <w:highlight w:val="none"/>
        </w:rPr>
        <w:t>施工图50%阶段</w:t>
      </w:r>
      <w:r>
        <w:rPr>
          <w:rFonts w:hint="eastAsia" w:ascii="仿宋" w:hAnsi="仿宋" w:eastAsia="仿宋"/>
          <w:color w:val="000000"/>
          <w:sz w:val="24"/>
          <w:highlight w:val="none"/>
          <w:lang w:eastAsia="zh-CN"/>
        </w:rPr>
        <w:t>）</w:t>
      </w:r>
      <w:r>
        <w:rPr>
          <w:rFonts w:ascii="仿宋" w:hAnsi="仿宋" w:eastAsia="仿宋"/>
          <w:color w:val="000000"/>
          <w:sz w:val="24"/>
          <w:highlight w:val="none"/>
        </w:rPr>
        <w:t>：</w:t>
      </w:r>
    </w:p>
    <w:p w14:paraId="7BF9505B">
      <w:pPr>
        <w:pStyle w:val="76"/>
        <w:numPr>
          <w:ilvl w:val="0"/>
          <w:numId w:val="0"/>
        </w:numPr>
        <w:ind w:left="855" w:hanging="285"/>
        <w:jc w:val="left"/>
        <w:rPr>
          <w:rFonts w:ascii="仿宋" w:hAnsi="仿宋" w:eastAsia="仿宋"/>
          <w:sz w:val="24"/>
          <w:highlight w:val="yellow"/>
        </w:rPr>
      </w:pPr>
      <w:r>
        <w:rPr>
          <w:rFonts w:ascii="仿宋" w:hAnsi="仿宋" w:eastAsia="仿宋"/>
          <w:color w:val="000000"/>
          <w:sz w:val="24"/>
          <w:highlight w:val="none"/>
        </w:rPr>
        <w:t>设计周期：</w:t>
      </w:r>
      <w:r>
        <w:rPr>
          <w:rFonts w:hint="eastAsia" w:ascii="仿宋" w:hAnsi="仿宋" w:eastAsia="仿宋"/>
          <w:color w:val="000000"/>
          <w:sz w:val="24"/>
          <w:highlight w:val="yellow"/>
          <w:lang w:val="en-US" w:eastAsia="zh-CN"/>
        </w:rPr>
        <w:t>7</w:t>
      </w:r>
      <w:r>
        <w:rPr>
          <w:rFonts w:ascii="仿宋" w:hAnsi="仿宋" w:eastAsia="仿宋"/>
          <w:color w:val="000000"/>
          <w:sz w:val="24"/>
          <w:highlight w:val="yellow"/>
        </w:rPr>
        <w:t>个日历天</w:t>
      </w:r>
      <w:r>
        <w:rPr>
          <w:rFonts w:hint="eastAsia" w:ascii="仿宋" w:hAnsi="仿宋" w:eastAsia="仿宋"/>
          <w:color w:val="000000"/>
          <w:sz w:val="24"/>
          <w:highlight w:val="yellow"/>
          <w:lang w:eastAsia="zh-CN"/>
        </w:rPr>
        <w:t>（国家法定节假日则相应顺延）</w:t>
      </w:r>
    </w:p>
    <w:p w14:paraId="096A665C">
      <w:pPr>
        <w:pStyle w:val="76"/>
        <w:numPr>
          <w:ilvl w:val="0"/>
          <w:numId w:val="0"/>
        </w:numPr>
        <w:ind w:left="855" w:hanging="285"/>
        <w:jc w:val="left"/>
        <w:rPr>
          <w:rFonts w:ascii="仿宋" w:hAnsi="仿宋" w:eastAsia="仿宋"/>
          <w:sz w:val="24"/>
          <w:highlight w:val="none"/>
        </w:rPr>
      </w:pPr>
      <w:r>
        <w:rPr>
          <w:rFonts w:ascii="仿宋" w:hAnsi="仿宋" w:eastAsia="仿宋"/>
          <w:color w:val="000000"/>
          <w:sz w:val="24"/>
          <w:highlight w:val="none"/>
        </w:rPr>
        <w:t>扩初设计图纸（含招标图）提供成果具体如下，包括但不限于：</w:t>
      </w:r>
    </w:p>
    <w:p w14:paraId="354A24D0">
      <w:pPr>
        <w:pStyle w:val="76"/>
        <w:numPr>
          <w:ilvl w:val="0"/>
          <w:numId w:val="11"/>
        </w:numPr>
        <w:ind w:left="845" w:leftChars="0" w:hanging="425" w:firstLineChars="0"/>
        <w:jc w:val="left"/>
        <w:rPr>
          <w:rFonts w:ascii="仿宋" w:hAnsi="仿宋" w:eastAsia="仿宋"/>
          <w:b w:val="0"/>
          <w:sz w:val="24"/>
          <w:highlight w:val="none"/>
        </w:rPr>
      </w:pPr>
      <w:r>
        <w:rPr>
          <w:rFonts w:ascii="仿宋" w:hAnsi="仿宋" w:eastAsia="仿宋"/>
          <w:color w:val="000000"/>
          <w:sz w:val="24"/>
          <w:highlight w:val="none"/>
        </w:rPr>
        <w:t>设计期间与主体建筑（含机电）、园林、标识、灯光等设计单位充分沟通及交底，对下游设计单位提供效果统筹的指导意见。</w:t>
      </w:r>
    </w:p>
    <w:p w14:paraId="45B924FD">
      <w:pPr>
        <w:pStyle w:val="76"/>
        <w:numPr>
          <w:ilvl w:val="0"/>
          <w:numId w:val="11"/>
        </w:numPr>
        <w:ind w:left="845" w:leftChars="0" w:hanging="425" w:firstLineChars="0"/>
        <w:jc w:val="left"/>
        <w:rPr>
          <w:rFonts w:ascii="仿宋" w:hAnsi="仿宋" w:eastAsia="仿宋"/>
          <w:b w:val="0"/>
          <w:sz w:val="24"/>
          <w:highlight w:val="none"/>
        </w:rPr>
      </w:pPr>
      <w:r>
        <w:rPr>
          <w:rFonts w:ascii="仿宋" w:hAnsi="仿宋" w:eastAsia="仿宋"/>
          <w:color w:val="000000"/>
          <w:sz w:val="24"/>
          <w:highlight w:val="none"/>
        </w:rPr>
        <w:t>图纸目录、设计说明、施工说明、图例说明、详细施工图设计图纸。</w:t>
      </w:r>
    </w:p>
    <w:p w14:paraId="6ED57369">
      <w:pPr>
        <w:pStyle w:val="76"/>
        <w:numPr>
          <w:ilvl w:val="0"/>
          <w:numId w:val="11"/>
        </w:numPr>
        <w:ind w:left="845" w:leftChars="0" w:hanging="425" w:firstLineChars="0"/>
        <w:jc w:val="left"/>
        <w:rPr>
          <w:rFonts w:ascii="仿宋" w:hAnsi="仿宋" w:eastAsia="仿宋"/>
          <w:b w:val="0"/>
          <w:sz w:val="24"/>
          <w:highlight w:val="none"/>
        </w:rPr>
      </w:pPr>
      <w:r>
        <w:rPr>
          <w:rFonts w:ascii="仿宋" w:hAnsi="仿宋" w:eastAsia="仿宋"/>
          <w:color w:val="000000"/>
          <w:sz w:val="24"/>
          <w:highlight w:val="none"/>
        </w:rPr>
        <w:t>平面布置图,地面铺设图,天花布置图。综合天花平面图应详尽反映各机电专业设备末端（含智能化末端）、路由及检修口；在符合规范、使用要求的前提下，结合整体装修设计效果，准确定位及标示尺寸并绘制综合管线图</w:t>
      </w:r>
      <w:r>
        <w:rPr>
          <w:rFonts w:hint="eastAsia" w:ascii="仿宋" w:hAnsi="仿宋" w:eastAsia="仿宋"/>
          <w:color w:val="000000"/>
          <w:sz w:val="24"/>
          <w:highlight w:val="none"/>
          <w:lang w:eastAsia="zh-CN"/>
        </w:rPr>
        <w:t>。</w:t>
      </w:r>
    </w:p>
    <w:p w14:paraId="15FCB3B9">
      <w:pPr>
        <w:pStyle w:val="76"/>
        <w:numPr>
          <w:ilvl w:val="0"/>
          <w:numId w:val="11"/>
        </w:numPr>
        <w:ind w:left="845" w:leftChars="0" w:hanging="425" w:firstLineChars="0"/>
        <w:jc w:val="left"/>
        <w:rPr>
          <w:rFonts w:ascii="仿宋" w:hAnsi="仿宋" w:eastAsia="仿宋"/>
          <w:b w:val="0"/>
          <w:sz w:val="24"/>
          <w:highlight w:val="none"/>
        </w:rPr>
      </w:pPr>
      <w:r>
        <w:rPr>
          <w:rFonts w:ascii="仿宋" w:hAnsi="仿宋" w:eastAsia="仿宋"/>
          <w:color w:val="000000"/>
          <w:sz w:val="24"/>
          <w:highlight w:val="none"/>
        </w:rPr>
        <w:t>综合管线图包含平面图及局部剖面图，在符合规范、使用要求的前提下对机电专业各类管线进行综合排布，注明管线的安装尺寸及标高；合理利用空间，确保净高</w:t>
      </w:r>
      <w:r>
        <w:rPr>
          <w:rFonts w:hint="eastAsia" w:ascii="仿宋" w:hAnsi="仿宋" w:eastAsia="仿宋"/>
          <w:color w:val="000000"/>
          <w:sz w:val="24"/>
          <w:highlight w:val="none"/>
          <w:lang w:eastAsia="zh-CN"/>
        </w:rPr>
        <w:t>。</w:t>
      </w:r>
    </w:p>
    <w:p w14:paraId="3985C056">
      <w:pPr>
        <w:pStyle w:val="76"/>
        <w:numPr>
          <w:ilvl w:val="0"/>
          <w:numId w:val="11"/>
        </w:numPr>
        <w:ind w:left="845" w:leftChars="0" w:hanging="425" w:firstLineChars="0"/>
        <w:jc w:val="left"/>
        <w:rPr>
          <w:rFonts w:ascii="仿宋" w:hAnsi="仿宋" w:eastAsia="仿宋"/>
          <w:b w:val="0"/>
          <w:sz w:val="24"/>
          <w:highlight w:val="none"/>
        </w:rPr>
      </w:pPr>
      <w:r>
        <w:rPr>
          <w:rFonts w:ascii="仿宋" w:hAnsi="仿宋" w:eastAsia="仿宋"/>
          <w:color w:val="000000"/>
          <w:sz w:val="24"/>
          <w:highlight w:val="none"/>
        </w:rPr>
        <w:t>提供设计范围内部隔墙的定位及反映不同做法的墙体标示；确认方案图中未明确的尺寸及标注。详细标示各设备的定位尺寸（在各专业设备提供的资料基础上）。反映天花的伸缩及沉降缝。</w:t>
      </w:r>
    </w:p>
    <w:p w14:paraId="554020F3">
      <w:pPr>
        <w:pStyle w:val="76"/>
        <w:numPr>
          <w:ilvl w:val="0"/>
          <w:numId w:val="11"/>
        </w:numPr>
        <w:ind w:left="845" w:leftChars="0" w:hanging="425" w:firstLineChars="0"/>
        <w:jc w:val="left"/>
        <w:rPr>
          <w:rFonts w:ascii="仿宋" w:hAnsi="仿宋" w:eastAsia="仿宋"/>
          <w:b w:val="0"/>
          <w:sz w:val="24"/>
          <w:highlight w:val="none"/>
        </w:rPr>
      </w:pPr>
      <w:r>
        <w:rPr>
          <w:rFonts w:ascii="仿宋" w:hAnsi="仿宋" w:eastAsia="仿宋"/>
          <w:color w:val="000000"/>
          <w:sz w:val="24"/>
          <w:highlight w:val="none"/>
        </w:rPr>
        <w:t>在平面图中核对标高是否与墙、地面装修物体有冲突。严格控制地材的分割，使之与墙体对齐，标示出各种地材的铺贴起始点的定位尺寸，标示出各种地材的大小尺寸。在平面图中标示各个空间的装修地面标高。反映地面的伸缩及沉降缝。</w:t>
      </w:r>
    </w:p>
    <w:p w14:paraId="17C0E2E6">
      <w:pPr>
        <w:pStyle w:val="76"/>
        <w:numPr>
          <w:ilvl w:val="0"/>
          <w:numId w:val="11"/>
        </w:numPr>
        <w:ind w:left="845" w:leftChars="0" w:hanging="425" w:firstLineChars="0"/>
        <w:jc w:val="left"/>
        <w:rPr>
          <w:rFonts w:ascii="仿宋" w:hAnsi="仿宋" w:eastAsia="仿宋"/>
          <w:b w:val="0"/>
          <w:sz w:val="24"/>
          <w:highlight w:val="none"/>
        </w:rPr>
      </w:pPr>
      <w:r>
        <w:rPr>
          <w:rFonts w:ascii="仿宋" w:hAnsi="仿宋" w:eastAsia="仿宋"/>
          <w:color w:val="000000"/>
          <w:sz w:val="24"/>
          <w:highlight w:val="none"/>
        </w:rPr>
        <w:t>提供设计范围内的强电末端（包括灯具、插座、开关、温感、烟感、声光报警按钮、手报按钮、消火栓按钮、发光标识等）、给排水末端（包括喷淋、地漏、水炮等）、空调末端（包括风口等）、智能化末端（包括显示屏、监控设备等）设计的平面布置（标高、 位置分布等），需满足电气、给排水、空调、智能化等专业的功能及规范需求，并反馈可执行落地的意见，供施工图单位深化图纸；</w:t>
      </w:r>
    </w:p>
    <w:p w14:paraId="32EFF909">
      <w:pPr>
        <w:pStyle w:val="76"/>
        <w:numPr>
          <w:ilvl w:val="0"/>
          <w:numId w:val="11"/>
        </w:numPr>
        <w:ind w:left="845" w:leftChars="0" w:hanging="425" w:firstLineChars="0"/>
        <w:jc w:val="left"/>
        <w:rPr>
          <w:rFonts w:ascii="仿宋" w:hAnsi="仿宋" w:eastAsia="仿宋"/>
          <w:b w:val="0"/>
          <w:sz w:val="24"/>
          <w:highlight w:val="none"/>
        </w:rPr>
      </w:pPr>
      <w:r>
        <w:rPr>
          <w:rFonts w:ascii="仿宋" w:hAnsi="仿宋" w:eastAsia="仿宋"/>
          <w:color w:val="000000"/>
          <w:sz w:val="24"/>
          <w:highlight w:val="none"/>
        </w:rPr>
        <w:t>明确标识末端位置如需用电，复核平面须标识清楚定位及用电参数；</w:t>
      </w:r>
    </w:p>
    <w:p w14:paraId="5D83089E">
      <w:pPr>
        <w:pStyle w:val="76"/>
        <w:numPr>
          <w:ilvl w:val="0"/>
          <w:numId w:val="11"/>
        </w:numPr>
        <w:ind w:left="845" w:leftChars="0" w:hanging="425" w:firstLineChars="0"/>
        <w:jc w:val="left"/>
        <w:rPr>
          <w:rFonts w:ascii="仿宋" w:hAnsi="仿宋" w:eastAsia="仿宋"/>
          <w:b w:val="0"/>
          <w:sz w:val="24"/>
          <w:highlight w:val="none"/>
        </w:rPr>
      </w:pPr>
      <w:r>
        <w:rPr>
          <w:rFonts w:ascii="仿宋" w:hAnsi="仿宋" w:eastAsia="仿宋"/>
          <w:color w:val="000000"/>
          <w:sz w:val="24"/>
          <w:highlight w:val="none"/>
        </w:rPr>
        <w:t xml:space="preserve">扩初施工图应满足甲方成本计量以及招标的深度要求，以便进行成本测算工作； </w:t>
      </w:r>
    </w:p>
    <w:p w14:paraId="6C83EFC9">
      <w:pPr>
        <w:pStyle w:val="76"/>
        <w:numPr>
          <w:ilvl w:val="0"/>
          <w:numId w:val="11"/>
        </w:numPr>
        <w:ind w:left="845" w:leftChars="0" w:hanging="425" w:firstLineChars="0"/>
        <w:jc w:val="left"/>
        <w:rPr>
          <w:rFonts w:ascii="仿宋" w:hAnsi="仿宋" w:eastAsia="仿宋"/>
          <w:b w:val="0"/>
          <w:sz w:val="24"/>
          <w:highlight w:val="none"/>
        </w:rPr>
      </w:pPr>
      <w:r>
        <w:rPr>
          <w:rFonts w:ascii="仿宋" w:hAnsi="仿宋" w:eastAsia="仿宋"/>
          <w:color w:val="000000"/>
          <w:sz w:val="24"/>
          <w:highlight w:val="none"/>
        </w:rPr>
        <w:t>根据甲方提供的扩初图对应概算成果进行成本复核、方案调整及扩初图修改，以满足项目成本控制的要求。</w:t>
      </w:r>
    </w:p>
    <w:p w14:paraId="3F9D8A5C">
      <w:pPr>
        <w:pStyle w:val="76"/>
        <w:numPr>
          <w:ilvl w:val="0"/>
          <w:numId w:val="11"/>
        </w:numPr>
        <w:ind w:left="845" w:leftChars="0" w:hanging="425" w:firstLineChars="0"/>
        <w:jc w:val="left"/>
        <w:rPr>
          <w:rFonts w:ascii="仿宋" w:hAnsi="仿宋" w:eastAsia="仿宋"/>
          <w:b w:val="0"/>
          <w:sz w:val="24"/>
          <w:highlight w:val="none"/>
        </w:rPr>
      </w:pPr>
      <w:r>
        <w:rPr>
          <w:rFonts w:ascii="仿宋" w:hAnsi="仿宋" w:eastAsia="仿宋"/>
          <w:color w:val="000000"/>
          <w:sz w:val="24"/>
          <w:highlight w:val="none"/>
        </w:rPr>
        <w:t>提供完整的材料清单（含材料技术参数）、配套设施表（含灯光、灯具详细参数）以及机电效果配合要求等，并需配合甲方从材料库指定品牌中选择至少</w:t>
      </w:r>
      <w:r>
        <w:rPr>
          <w:rFonts w:hint="eastAsia" w:ascii="仿宋" w:hAnsi="仿宋" w:eastAsia="仿宋"/>
          <w:color w:val="000000"/>
          <w:sz w:val="24"/>
          <w:highlight w:val="none"/>
          <w:lang w:val="en-US" w:eastAsia="zh-CN"/>
        </w:rPr>
        <w:t>1</w:t>
      </w:r>
      <w:r>
        <w:rPr>
          <w:rFonts w:ascii="仿宋" w:hAnsi="仿宋" w:eastAsia="仿宋"/>
          <w:color w:val="000000"/>
          <w:sz w:val="24"/>
          <w:highlight w:val="none"/>
        </w:rPr>
        <w:t>家推荐品牌的设备选型。最终完整的材料清单（含洁具、五金配件等物料），以A4规格彩色精装打印，一式</w:t>
      </w:r>
      <w:r>
        <w:rPr>
          <w:rFonts w:hint="eastAsia" w:ascii="仿宋" w:hAnsi="仿宋" w:eastAsia="仿宋"/>
          <w:color w:val="000000"/>
          <w:sz w:val="24"/>
          <w:highlight w:val="none"/>
          <w:lang w:val="en-US" w:eastAsia="zh-CN"/>
        </w:rPr>
        <w:t>八</w:t>
      </w:r>
      <w:r>
        <w:rPr>
          <w:rFonts w:ascii="仿宋" w:hAnsi="仿宋" w:eastAsia="仿宋"/>
          <w:color w:val="000000"/>
          <w:sz w:val="24"/>
          <w:highlight w:val="none"/>
        </w:rPr>
        <w:t>份；</w:t>
      </w:r>
    </w:p>
    <w:p w14:paraId="3D1E6CFA">
      <w:pPr>
        <w:pStyle w:val="76"/>
        <w:numPr>
          <w:ilvl w:val="0"/>
          <w:numId w:val="11"/>
        </w:numPr>
        <w:ind w:left="845" w:leftChars="0" w:hanging="425" w:firstLineChars="0"/>
        <w:jc w:val="left"/>
        <w:rPr>
          <w:rFonts w:ascii="仿宋" w:hAnsi="仿宋" w:eastAsia="仿宋"/>
          <w:b w:val="0"/>
          <w:sz w:val="24"/>
          <w:highlight w:val="none"/>
        </w:rPr>
      </w:pPr>
      <w:r>
        <w:rPr>
          <w:rFonts w:ascii="仿宋" w:hAnsi="仿宋" w:eastAsia="仿宋"/>
          <w:color w:val="000000"/>
          <w:sz w:val="24"/>
          <w:highlight w:val="none"/>
        </w:rPr>
        <w:t>根据最终确定的效果图，相应修改装修扩初图，以及材料样板（石材、仿石砖、木饰面、皮革、布料）。</w:t>
      </w:r>
    </w:p>
    <w:p w14:paraId="151D1D21">
      <w:pPr>
        <w:pStyle w:val="76"/>
        <w:numPr>
          <w:ilvl w:val="0"/>
          <w:numId w:val="11"/>
        </w:numPr>
        <w:ind w:left="84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进一步明确机电末端的定位。同时全面复核装修区域设计净高是否能满足综合管线的标高要求，3</w:t>
      </w:r>
      <w:r>
        <w:rPr>
          <w:rFonts w:hint="eastAsia" w:ascii="仿宋" w:hAnsi="仿宋" w:eastAsia="仿宋"/>
          <w:color w:val="000000"/>
          <w:sz w:val="24"/>
          <w:highlight w:val="none"/>
          <w:lang w:eastAsia="zh-CN"/>
        </w:rPr>
        <w:t>工作</w:t>
      </w:r>
      <w:r>
        <w:rPr>
          <w:rFonts w:ascii="仿宋" w:hAnsi="仿宋" w:eastAsia="仿宋"/>
          <w:color w:val="000000"/>
          <w:sz w:val="24"/>
          <w:highlight w:val="none"/>
        </w:rPr>
        <w:t>天内提供相应审核文件给甲方。</w:t>
      </w:r>
    </w:p>
    <w:p w14:paraId="56AF5443">
      <w:pPr>
        <w:pStyle w:val="76"/>
        <w:numPr>
          <w:ilvl w:val="0"/>
          <w:numId w:val="11"/>
        </w:numPr>
        <w:ind w:left="845" w:leftChars="0" w:hanging="425" w:firstLineChars="0"/>
        <w:jc w:val="left"/>
        <w:rPr>
          <w:rFonts w:ascii="仿宋" w:hAnsi="仿宋" w:eastAsia="仿宋"/>
          <w:b w:val="0"/>
          <w:sz w:val="24"/>
          <w:highlight w:val="none"/>
        </w:rPr>
      </w:pPr>
      <w:r>
        <w:rPr>
          <w:rFonts w:ascii="仿宋" w:hAnsi="仿宋" w:eastAsia="仿宋"/>
          <w:color w:val="000000"/>
          <w:sz w:val="24"/>
          <w:highlight w:val="none"/>
        </w:rPr>
        <w:t>提供方案对应的成本估算成果，包括方案设计范围内的测算清单，并根据甲方的要求调整、修改、补充和完善，以满足甲方成本控制的要求。</w:t>
      </w:r>
    </w:p>
    <w:p w14:paraId="503AB4B4">
      <w:pPr>
        <w:pStyle w:val="76"/>
        <w:numPr>
          <w:ilvl w:val="0"/>
          <w:numId w:val="11"/>
        </w:numPr>
        <w:ind w:left="845" w:leftChars="0" w:hanging="425" w:firstLineChars="0"/>
        <w:jc w:val="left"/>
        <w:rPr>
          <w:rFonts w:ascii="仿宋" w:hAnsi="仿宋" w:eastAsia="仿宋"/>
          <w:b w:val="0"/>
          <w:sz w:val="24"/>
          <w:highlight w:val="none"/>
        </w:rPr>
      </w:pPr>
      <w:r>
        <w:rPr>
          <w:rFonts w:ascii="仿宋" w:hAnsi="仿宋" w:eastAsia="仿宋"/>
          <w:color w:val="000000"/>
          <w:sz w:val="24"/>
          <w:highlight w:val="none"/>
        </w:rPr>
        <w:t>全套扩初图纸：</w:t>
      </w:r>
    </w:p>
    <w:p w14:paraId="01EA976A">
      <w:pPr>
        <w:numPr>
          <w:ilvl w:val="0"/>
          <w:numId w:val="12"/>
        </w:numPr>
        <w:spacing w:line="360" w:lineRule="auto"/>
        <w:ind w:left="1265" w:leftChars="0" w:hanging="425" w:firstLineChars="0"/>
        <w:jc w:val="left"/>
        <w:rPr>
          <w:rFonts w:ascii="仿宋" w:hAnsi="仿宋" w:eastAsia="仿宋"/>
          <w:sz w:val="24"/>
          <w:highlight w:val="none"/>
        </w:rPr>
      </w:pPr>
      <w:r>
        <w:rPr>
          <w:rFonts w:ascii="仿宋" w:hAnsi="仿宋" w:eastAsia="仿宋"/>
          <w:color w:val="000000"/>
          <w:sz w:val="24"/>
          <w:highlight w:val="none"/>
        </w:rPr>
        <w:t>最终按扩初图深度及效果表现的效果图，显示所有材质和机电末端；</w:t>
      </w:r>
    </w:p>
    <w:p w14:paraId="602F36CA">
      <w:pPr>
        <w:numPr>
          <w:ilvl w:val="0"/>
          <w:numId w:val="12"/>
        </w:numPr>
        <w:spacing w:line="360" w:lineRule="auto"/>
        <w:ind w:left="1265" w:leftChars="0" w:hanging="425" w:firstLineChars="0"/>
        <w:jc w:val="left"/>
        <w:rPr>
          <w:rFonts w:ascii="仿宋" w:hAnsi="仿宋" w:eastAsia="仿宋"/>
          <w:sz w:val="24"/>
          <w:highlight w:val="none"/>
        </w:rPr>
      </w:pPr>
      <w:r>
        <w:rPr>
          <w:rFonts w:ascii="仿宋" w:hAnsi="仿宋" w:eastAsia="仿宋"/>
          <w:color w:val="000000"/>
          <w:sz w:val="24"/>
          <w:highlight w:val="none"/>
        </w:rPr>
        <w:t>电子文件为：CAD，同步提供PDF；</w:t>
      </w:r>
    </w:p>
    <w:p w14:paraId="1F35863C">
      <w:pPr>
        <w:numPr>
          <w:ilvl w:val="0"/>
          <w:numId w:val="12"/>
        </w:numPr>
        <w:spacing w:line="360" w:lineRule="auto"/>
        <w:ind w:left="1265" w:leftChars="0" w:hanging="425" w:firstLineChars="0"/>
        <w:jc w:val="left"/>
        <w:rPr>
          <w:rFonts w:ascii="仿宋" w:hAnsi="仿宋" w:eastAsia="仿宋"/>
          <w:sz w:val="24"/>
          <w:highlight w:val="none"/>
        </w:rPr>
      </w:pPr>
      <w:r>
        <w:rPr>
          <w:rFonts w:ascii="仿宋" w:hAnsi="仿宋" w:eastAsia="仿宋"/>
          <w:color w:val="000000"/>
          <w:sz w:val="24"/>
          <w:highlight w:val="none"/>
        </w:rPr>
        <w:t>全部电子设计文件（全部刻制成</w:t>
      </w:r>
      <w:r>
        <w:rPr>
          <w:rFonts w:hint="eastAsia" w:ascii="仿宋" w:hAnsi="仿宋" w:eastAsia="仿宋"/>
          <w:color w:val="000000"/>
          <w:sz w:val="24"/>
          <w:highlight w:val="none"/>
          <w:lang w:val="en-US" w:eastAsia="zh-CN"/>
        </w:rPr>
        <w:t>U盘一</w:t>
      </w:r>
      <w:r>
        <w:rPr>
          <w:rFonts w:ascii="仿宋" w:hAnsi="仿宋" w:eastAsia="仿宋"/>
          <w:color w:val="000000"/>
          <w:sz w:val="24"/>
          <w:highlight w:val="none"/>
        </w:rPr>
        <w:t>份）。</w:t>
      </w:r>
    </w:p>
    <w:p w14:paraId="4076C01D">
      <w:pPr>
        <w:numPr>
          <w:ilvl w:val="0"/>
          <w:numId w:val="0"/>
        </w:numPr>
        <w:spacing w:line="360" w:lineRule="auto"/>
        <w:ind w:left="840" w:leftChars="0"/>
        <w:jc w:val="left"/>
        <w:rPr>
          <w:rFonts w:ascii="仿宋" w:hAnsi="仿宋" w:eastAsia="仿宋"/>
          <w:sz w:val="24"/>
          <w:highlight w:val="none"/>
        </w:rPr>
      </w:pPr>
    </w:p>
    <w:p w14:paraId="4F8130C1">
      <w:pPr>
        <w:pStyle w:val="76"/>
        <w:numPr>
          <w:ilvl w:val="0"/>
          <w:numId w:val="11"/>
        </w:numPr>
        <w:ind w:left="84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制图要求：</w:t>
      </w:r>
    </w:p>
    <w:p w14:paraId="6A9AE4E1">
      <w:pPr>
        <w:numPr>
          <w:ilvl w:val="0"/>
          <w:numId w:val="13"/>
        </w:numPr>
        <w:spacing w:line="360" w:lineRule="auto"/>
        <w:ind w:left="1265" w:leftChars="0" w:hanging="425" w:firstLineChars="0"/>
        <w:jc w:val="left"/>
        <w:rPr>
          <w:rFonts w:ascii="仿宋" w:hAnsi="仿宋" w:eastAsia="仿宋"/>
          <w:b/>
          <w:bCs/>
          <w:sz w:val="24"/>
          <w:highlight w:val="none"/>
        </w:rPr>
      </w:pPr>
      <w:r>
        <w:rPr>
          <w:rFonts w:ascii="仿宋" w:hAnsi="仿宋" w:eastAsia="仿宋"/>
          <w:b/>
          <w:bCs/>
          <w:color w:val="000000"/>
          <w:sz w:val="24"/>
          <w:highlight w:val="none"/>
        </w:rPr>
        <w:t>装修立面图</w:t>
      </w:r>
    </w:p>
    <w:p w14:paraId="3436D8E2">
      <w:pPr>
        <w:numPr>
          <w:ilvl w:val="0"/>
          <w:numId w:val="14"/>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详细标示出装修面材的接缝及纹理方向；</w:t>
      </w:r>
    </w:p>
    <w:p w14:paraId="30A02C74">
      <w:pPr>
        <w:numPr>
          <w:ilvl w:val="0"/>
          <w:numId w:val="14"/>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详细标注立面上的各种装修面材的种类及规格；</w:t>
      </w:r>
    </w:p>
    <w:p w14:paraId="25EAAE93">
      <w:pPr>
        <w:numPr>
          <w:ilvl w:val="0"/>
          <w:numId w:val="14"/>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详细标注各种造型的控制尺寸，包括标高、分割尺寸及洞口尺寸等；</w:t>
      </w:r>
    </w:p>
    <w:p w14:paraId="11BF4B4C">
      <w:pPr>
        <w:numPr>
          <w:ilvl w:val="0"/>
          <w:numId w:val="14"/>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反映出土建结构层、主要设备管道及结构转换层与天花的位置关系；</w:t>
      </w:r>
    </w:p>
    <w:p w14:paraId="04E5B0A9">
      <w:pPr>
        <w:numPr>
          <w:ilvl w:val="0"/>
          <w:numId w:val="14"/>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详细标注各种分割缝的做法；</w:t>
      </w:r>
    </w:p>
    <w:p w14:paraId="15489DEE">
      <w:pPr>
        <w:numPr>
          <w:ilvl w:val="0"/>
          <w:numId w:val="14"/>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反映立面上的伸缩及沉降缝；</w:t>
      </w:r>
    </w:p>
    <w:p w14:paraId="39072614">
      <w:pPr>
        <w:numPr>
          <w:ilvl w:val="0"/>
          <w:numId w:val="14"/>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反映立面上的机电末端（包含强电、给排水、空调</w:t>
      </w:r>
      <w:r>
        <w:rPr>
          <w:rFonts w:ascii="仿宋" w:hAnsi="仿宋" w:eastAsia="仿宋"/>
          <w:b/>
          <w:color w:val="000000"/>
          <w:sz w:val="24"/>
          <w:highlight w:val="none"/>
        </w:rPr>
        <w:t>、</w:t>
      </w:r>
      <w:r>
        <w:rPr>
          <w:rFonts w:ascii="仿宋" w:hAnsi="仿宋" w:eastAsia="仿宋"/>
          <w:color w:val="000000"/>
          <w:sz w:val="24"/>
          <w:highlight w:val="none"/>
        </w:rPr>
        <w:t>智能化末端等），详细标示机电末端的定位尺寸；</w:t>
      </w:r>
    </w:p>
    <w:p w14:paraId="2A0C97E4">
      <w:pPr>
        <w:numPr>
          <w:ilvl w:val="0"/>
          <w:numId w:val="13"/>
        </w:numPr>
        <w:spacing w:line="360" w:lineRule="auto"/>
        <w:ind w:left="1265" w:leftChars="0" w:hanging="425" w:firstLineChars="0"/>
        <w:jc w:val="left"/>
        <w:rPr>
          <w:rFonts w:ascii="仿宋" w:hAnsi="仿宋" w:eastAsia="仿宋"/>
          <w:b/>
          <w:bCs/>
          <w:color w:val="000000"/>
          <w:sz w:val="24"/>
          <w:highlight w:val="none"/>
        </w:rPr>
      </w:pPr>
      <w:r>
        <w:rPr>
          <w:rFonts w:ascii="仿宋" w:hAnsi="仿宋" w:eastAsia="仿宋"/>
          <w:b/>
          <w:bCs/>
          <w:color w:val="000000"/>
          <w:sz w:val="24"/>
          <w:highlight w:val="none"/>
        </w:rPr>
        <w:t>装修剖面图、节点大样图：</w:t>
      </w:r>
    </w:p>
    <w:p w14:paraId="6E29D5F3">
      <w:pPr>
        <w:numPr>
          <w:ilvl w:val="0"/>
          <w:numId w:val="15"/>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详细反映出装修面板（包括天花、地面及墙身）及土建基层或各种墙体基层的材质，包括面板层、基层、结构层、连接层、转换层等隐蔽结构，使之达致估价算量的要求标准；</w:t>
      </w:r>
    </w:p>
    <w:p w14:paraId="444FDA29">
      <w:pPr>
        <w:numPr>
          <w:ilvl w:val="0"/>
          <w:numId w:val="15"/>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反映各种构造的真实做法，并详细标注说明；</w:t>
      </w:r>
    </w:p>
    <w:p w14:paraId="4DA7AF92">
      <w:pPr>
        <w:numPr>
          <w:ilvl w:val="0"/>
          <w:numId w:val="15"/>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反映出各种规范的详细要求，如防火、环保、防渗透、防腐、防潮、防锈等；</w:t>
      </w:r>
    </w:p>
    <w:p w14:paraId="52D4495B">
      <w:pPr>
        <w:numPr>
          <w:ilvl w:val="0"/>
          <w:numId w:val="15"/>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反应节点上的机电末端（包含强电、给排水、空调、智能化末端等），详细标示各设备的定位尺寸。</w:t>
      </w:r>
    </w:p>
    <w:p w14:paraId="79CA63FF">
      <w:pPr>
        <w:numPr>
          <w:ilvl w:val="0"/>
          <w:numId w:val="13"/>
        </w:numPr>
        <w:spacing w:line="360" w:lineRule="auto"/>
        <w:ind w:left="1265" w:leftChars="0" w:hanging="425" w:firstLineChars="0"/>
        <w:jc w:val="left"/>
        <w:rPr>
          <w:rFonts w:ascii="仿宋" w:hAnsi="仿宋" w:eastAsia="仿宋"/>
          <w:b/>
          <w:bCs/>
          <w:color w:val="000000"/>
          <w:sz w:val="24"/>
          <w:highlight w:val="none"/>
        </w:rPr>
      </w:pPr>
      <w:r>
        <w:rPr>
          <w:rFonts w:ascii="仿宋" w:hAnsi="仿宋" w:eastAsia="仿宋"/>
          <w:b/>
          <w:bCs/>
          <w:color w:val="000000"/>
          <w:sz w:val="24"/>
          <w:highlight w:val="none"/>
        </w:rPr>
        <w:t>装修材料运用分析及建议：</w:t>
      </w:r>
    </w:p>
    <w:p w14:paraId="6C8C82B1">
      <w:pPr>
        <w:numPr>
          <w:ilvl w:val="0"/>
          <w:numId w:val="16"/>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装饰材料的选择在基于方案意念的表达外，需根据材料特性及有利于当地气候的耐用、维护等各方面因素，综合分析并提供选择建议;</w:t>
      </w:r>
    </w:p>
    <w:p w14:paraId="7170974B">
      <w:pPr>
        <w:numPr>
          <w:ilvl w:val="0"/>
          <w:numId w:val="16"/>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要根据总体成本控制进行材料选择的搭配，对局部的用材要有所侧重，结合视觉重点优化用材组合以满足成本控制要求;</w:t>
      </w:r>
    </w:p>
    <w:p w14:paraId="2BA20DAD">
      <w:pPr>
        <w:numPr>
          <w:ilvl w:val="0"/>
          <w:numId w:val="16"/>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需结合材料矿产量、生产速度、运输加工等综合因素进行考虑，便于采购、施工及维护;</w:t>
      </w:r>
    </w:p>
    <w:p w14:paraId="567162CF">
      <w:pPr>
        <w:numPr>
          <w:ilvl w:val="0"/>
          <w:numId w:val="16"/>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注意方案可实施性，满足快速施工要求及成本控制要求(包括材料选择、施工工艺、结构要求等);</w:t>
      </w:r>
    </w:p>
    <w:p w14:paraId="7073144A">
      <w:pPr>
        <w:numPr>
          <w:ilvl w:val="0"/>
          <w:numId w:val="16"/>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需考虑排版</w:t>
      </w:r>
      <w:r>
        <w:rPr>
          <w:rFonts w:hint="eastAsia" w:ascii="仿宋" w:hAnsi="仿宋" w:eastAsia="仿宋"/>
          <w:color w:val="000000"/>
          <w:sz w:val="24"/>
          <w:highlight w:val="none"/>
          <w:lang w:val="en-US" w:eastAsia="zh-CN"/>
        </w:rPr>
        <w:t>及分派</w:t>
      </w:r>
      <w:r>
        <w:rPr>
          <w:rFonts w:ascii="仿宋" w:hAnsi="仿宋" w:eastAsia="仿宋"/>
          <w:color w:val="000000"/>
          <w:sz w:val="24"/>
          <w:highlight w:val="none"/>
        </w:rPr>
        <w:t>效果，以减少装饰材料的施工损耗；</w:t>
      </w:r>
    </w:p>
    <w:p w14:paraId="7A0F0BD2">
      <w:pPr>
        <w:numPr>
          <w:ilvl w:val="0"/>
          <w:numId w:val="16"/>
        </w:numPr>
        <w:spacing w:line="360" w:lineRule="auto"/>
        <w:ind w:left="168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提供档次材料对比清单，包含对应的项目、做法、价格等内容对比；</w:t>
      </w:r>
    </w:p>
    <w:p w14:paraId="79050493">
      <w:pPr>
        <w:numPr>
          <w:ilvl w:val="0"/>
          <w:numId w:val="16"/>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优化设计单位提供的主材品牌表、工程灯具表、洁具表、五金表、机电末端表等，满足设计效果的前提下，综合成本、采购、材料特性、施工工艺、方便维修维护等各方面因素进行选型的优化。</w:t>
      </w:r>
    </w:p>
    <w:p w14:paraId="537099A3">
      <w:pPr>
        <w:numPr>
          <w:ilvl w:val="0"/>
          <w:numId w:val="13"/>
        </w:numPr>
        <w:spacing w:line="360" w:lineRule="auto"/>
        <w:ind w:left="1265" w:leftChars="0" w:hanging="425" w:firstLineChars="0"/>
        <w:jc w:val="left"/>
        <w:rPr>
          <w:rFonts w:ascii="仿宋" w:hAnsi="仿宋" w:eastAsia="仿宋"/>
          <w:b/>
          <w:bCs/>
          <w:color w:val="000000"/>
          <w:sz w:val="24"/>
          <w:highlight w:val="none"/>
        </w:rPr>
      </w:pPr>
      <w:r>
        <w:rPr>
          <w:rFonts w:ascii="仿宋" w:hAnsi="仿宋" w:eastAsia="仿宋"/>
          <w:b/>
          <w:bCs/>
          <w:color w:val="000000"/>
          <w:sz w:val="24"/>
          <w:highlight w:val="none"/>
        </w:rPr>
        <w:t>其他说明：</w:t>
      </w:r>
    </w:p>
    <w:p w14:paraId="5E4EDFE4">
      <w:pPr>
        <w:numPr>
          <w:ilvl w:val="0"/>
          <w:numId w:val="17"/>
        </w:numPr>
        <w:spacing w:line="360" w:lineRule="auto"/>
        <w:ind w:left="168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主材品牌表: 饰面品种、尺寸、规格、型号、厚度、颜色、纹理方向，饰面工艺要求及饰面处理，饰面纹理拼接方案，有定制图案须提供图案图纸，如天然饰面须提供大板图片，明确使用位置，符合限价内的推荐供应商及联系方式（不少于</w:t>
      </w:r>
      <w:r>
        <w:rPr>
          <w:rFonts w:hint="eastAsia" w:ascii="仿宋" w:hAnsi="仿宋" w:eastAsia="仿宋"/>
          <w:color w:val="000000"/>
          <w:sz w:val="24"/>
          <w:highlight w:val="none"/>
          <w:lang w:val="en-US" w:eastAsia="zh-CN"/>
        </w:rPr>
        <w:t>1</w:t>
      </w:r>
      <w:r>
        <w:rPr>
          <w:rFonts w:ascii="仿宋" w:hAnsi="仿宋" w:eastAsia="仿宋"/>
          <w:color w:val="000000"/>
          <w:sz w:val="24"/>
          <w:highlight w:val="none"/>
        </w:rPr>
        <w:t>家）；</w:t>
      </w:r>
    </w:p>
    <w:p w14:paraId="565F1EA0">
      <w:pPr>
        <w:numPr>
          <w:ilvl w:val="0"/>
          <w:numId w:val="17"/>
        </w:numPr>
        <w:spacing w:line="360" w:lineRule="auto"/>
        <w:ind w:left="168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复核灯光顾问提供的工程灯具表：该表包含灯具的尺寸、规格、型号、材质、光源、色温、CRI开孔尺寸、旋转角度、光束角度、电压、整灯光通量、显色指数、UGR等参数；复核使用位置；相关参数需满足甲方材料库品牌中至少</w:t>
      </w:r>
      <w:r>
        <w:rPr>
          <w:rFonts w:hint="eastAsia" w:ascii="仿宋" w:hAnsi="仿宋" w:eastAsia="仿宋"/>
          <w:color w:val="000000"/>
          <w:sz w:val="24"/>
          <w:highlight w:val="none"/>
          <w:lang w:val="en-US" w:eastAsia="zh-CN"/>
        </w:rPr>
        <w:t>1</w:t>
      </w:r>
      <w:r>
        <w:rPr>
          <w:rFonts w:ascii="仿宋" w:hAnsi="仿宋" w:eastAsia="仿宋"/>
          <w:color w:val="000000"/>
          <w:sz w:val="24"/>
          <w:highlight w:val="none"/>
        </w:rPr>
        <w:t>家推荐品牌的要求；</w:t>
      </w:r>
    </w:p>
    <w:p w14:paraId="2F6E6F00">
      <w:pPr>
        <w:numPr>
          <w:ilvl w:val="0"/>
          <w:numId w:val="17"/>
        </w:numPr>
        <w:spacing w:line="360" w:lineRule="auto"/>
        <w:ind w:left="168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洁具表：该表包含洁具及洁具五金的尺寸、规格、型号、材质、厚度、颜色，出水方式、配电方式、使用位置；相关参数需满足甲方材料库品牌中至少</w:t>
      </w:r>
      <w:r>
        <w:rPr>
          <w:rFonts w:hint="eastAsia" w:ascii="仿宋" w:hAnsi="仿宋" w:eastAsia="仿宋"/>
          <w:color w:val="000000"/>
          <w:sz w:val="24"/>
          <w:highlight w:val="none"/>
          <w:lang w:val="en-US" w:eastAsia="zh-CN"/>
        </w:rPr>
        <w:t>1</w:t>
      </w:r>
      <w:r>
        <w:rPr>
          <w:rFonts w:ascii="仿宋" w:hAnsi="仿宋" w:eastAsia="仿宋"/>
          <w:color w:val="000000"/>
          <w:sz w:val="24"/>
          <w:highlight w:val="none"/>
        </w:rPr>
        <w:t>家推荐品牌的要求；</w:t>
      </w:r>
    </w:p>
    <w:p w14:paraId="5F81DC8B">
      <w:pPr>
        <w:numPr>
          <w:ilvl w:val="0"/>
          <w:numId w:val="17"/>
        </w:numPr>
        <w:spacing w:line="360" w:lineRule="auto"/>
        <w:ind w:left="168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五金表：五金的尺寸、规格、型号、材质、厚度、颜色;使用位置；相关参数需满足甲方材料库品牌中至少</w:t>
      </w:r>
      <w:r>
        <w:rPr>
          <w:rFonts w:hint="eastAsia" w:ascii="仿宋" w:hAnsi="仿宋" w:eastAsia="仿宋"/>
          <w:color w:val="000000"/>
          <w:sz w:val="24"/>
          <w:highlight w:val="none"/>
          <w:lang w:val="en-US" w:eastAsia="zh-CN"/>
        </w:rPr>
        <w:t>1</w:t>
      </w:r>
      <w:r>
        <w:rPr>
          <w:rFonts w:ascii="仿宋" w:hAnsi="仿宋" w:eastAsia="仿宋"/>
          <w:color w:val="000000"/>
          <w:sz w:val="24"/>
          <w:highlight w:val="none"/>
        </w:rPr>
        <w:t>家推荐品牌的要求；</w:t>
      </w:r>
    </w:p>
    <w:p w14:paraId="42B0C4EC">
      <w:pPr>
        <w:numPr>
          <w:ilvl w:val="0"/>
          <w:numId w:val="17"/>
        </w:numPr>
        <w:spacing w:line="360" w:lineRule="auto"/>
        <w:ind w:left="168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复核机电末端表：该表包含机电末端的尺寸、规格、型号、材质、颜色、配电方式及使用位置等；</w:t>
      </w:r>
    </w:p>
    <w:p w14:paraId="634FD8D8">
      <w:pPr>
        <w:numPr>
          <w:ilvl w:val="0"/>
          <w:numId w:val="17"/>
        </w:numPr>
        <w:spacing w:line="360" w:lineRule="auto"/>
        <w:ind w:left="1685" w:leftChars="0" w:hanging="425" w:firstLineChars="0"/>
        <w:jc w:val="left"/>
        <w:rPr>
          <w:rFonts w:ascii="仿宋" w:hAnsi="仿宋" w:eastAsia="仿宋"/>
          <w:sz w:val="24"/>
          <w:highlight w:val="none"/>
        </w:rPr>
      </w:pPr>
      <w:r>
        <w:rPr>
          <w:rFonts w:ascii="仿宋" w:hAnsi="仿宋" w:eastAsia="仿宋"/>
          <w:color w:val="000000"/>
          <w:sz w:val="24"/>
          <w:highlight w:val="none"/>
        </w:rPr>
        <w:t>乙方应向甲方提出拟采用的各主要装饰材料的要求及选型建议。乙方设计的选材必须考虑甲方的限额设计指标，并优先在甲方材料库指定品牌范围内进行选择。在选定材料前，应预先提供有关材料说明给甲方，如甲方认为乙方提出的材料影响整体造价的，乙方应提出满足造价要求和设计效果的替代材料，但甲方应在此情形发生后提供相应的造价要求给乙方。甲方有权对建材作最终确认。</w:t>
      </w:r>
    </w:p>
    <w:p w14:paraId="16DD1D0F">
      <w:pPr>
        <w:pStyle w:val="76"/>
        <w:numPr>
          <w:ilvl w:val="0"/>
          <w:numId w:val="11"/>
        </w:numPr>
        <w:ind w:left="84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扩初图配合服务：</w:t>
      </w:r>
    </w:p>
    <w:p w14:paraId="47F57828">
      <w:pPr>
        <w:numPr>
          <w:ilvl w:val="0"/>
          <w:numId w:val="18"/>
        </w:numPr>
        <w:spacing w:line="360" w:lineRule="auto"/>
        <w:ind w:left="126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提供后续装修施工图所需要的设计文件，做好施工图设计答疑工作；</w:t>
      </w:r>
    </w:p>
    <w:p w14:paraId="62785108">
      <w:pPr>
        <w:numPr>
          <w:ilvl w:val="0"/>
          <w:numId w:val="18"/>
        </w:numPr>
        <w:spacing w:line="360" w:lineRule="auto"/>
        <w:ind w:left="126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乙方参加与本项目有关的询价、对外谈判、施工材料选型、技术考察等工作；</w:t>
      </w:r>
    </w:p>
    <w:p w14:paraId="7C17087D">
      <w:pPr>
        <w:numPr>
          <w:ilvl w:val="0"/>
          <w:numId w:val="18"/>
        </w:numPr>
        <w:spacing w:line="360" w:lineRule="auto"/>
        <w:ind w:left="126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施工图审核，根据甲方要求审核施工图，并在要求的时间内回复审核意见。</w:t>
      </w:r>
    </w:p>
    <w:p w14:paraId="79BE1C65">
      <w:pPr>
        <w:pStyle w:val="76"/>
        <w:numPr>
          <w:ilvl w:val="0"/>
          <w:numId w:val="11"/>
        </w:numPr>
        <w:ind w:left="84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扩初图质量要求：</w:t>
      </w:r>
    </w:p>
    <w:p w14:paraId="30D207D9">
      <w:pPr>
        <w:numPr>
          <w:ilvl w:val="0"/>
          <w:numId w:val="19"/>
        </w:numPr>
        <w:spacing w:line="360" w:lineRule="auto"/>
        <w:ind w:left="1265" w:leftChars="0" w:hanging="425" w:firstLineChars="0"/>
        <w:jc w:val="left"/>
        <w:rPr>
          <w:rFonts w:ascii="仿宋" w:hAnsi="仿宋" w:eastAsia="仿宋"/>
          <w:sz w:val="24"/>
          <w:highlight w:val="none"/>
        </w:rPr>
      </w:pPr>
      <w:r>
        <w:rPr>
          <w:rFonts w:ascii="仿宋" w:hAnsi="仿宋" w:eastAsia="仿宋"/>
          <w:color w:val="000000"/>
          <w:sz w:val="24"/>
          <w:highlight w:val="none"/>
        </w:rPr>
        <w:t>扩初图须与建筑、结构、机电设计无冲突（如对原建筑有调整，需评审通过并明确具体调整内容后提供修改图纸予相关专业），尺寸、材料标注齐全、无误。</w:t>
      </w:r>
    </w:p>
    <w:p w14:paraId="28BB9A5B">
      <w:pPr>
        <w:pStyle w:val="76"/>
        <w:numPr>
          <w:ilvl w:val="0"/>
          <w:numId w:val="19"/>
        </w:numPr>
        <w:ind w:left="1265" w:leftChars="0" w:hanging="425" w:firstLineChars="0"/>
        <w:jc w:val="left"/>
        <w:rPr>
          <w:rFonts w:ascii="仿宋" w:hAnsi="仿宋" w:eastAsia="仿宋"/>
          <w:b w:val="0"/>
          <w:bCs/>
          <w:sz w:val="24"/>
          <w:highlight w:val="none"/>
        </w:rPr>
      </w:pPr>
      <w:r>
        <w:rPr>
          <w:rFonts w:ascii="仿宋" w:hAnsi="仿宋" w:eastAsia="仿宋"/>
          <w:b w:val="0"/>
          <w:bCs/>
          <w:color w:val="000000"/>
          <w:sz w:val="24"/>
          <w:highlight w:val="none"/>
        </w:rPr>
        <w:t>所有图纸需符合国家规范及行业规范要求，并满足消防规范。</w:t>
      </w:r>
    </w:p>
    <w:p w14:paraId="36BF311D">
      <w:pPr>
        <w:pStyle w:val="76"/>
        <w:numPr>
          <w:ilvl w:val="0"/>
          <w:numId w:val="19"/>
        </w:numPr>
        <w:ind w:left="1265" w:leftChars="0" w:hanging="425" w:firstLineChars="0"/>
        <w:jc w:val="left"/>
        <w:rPr>
          <w:rFonts w:ascii="仿宋" w:hAnsi="仿宋" w:eastAsia="仿宋"/>
          <w:b w:val="0"/>
          <w:bCs/>
          <w:sz w:val="24"/>
          <w:highlight w:val="none"/>
        </w:rPr>
      </w:pPr>
      <w:r>
        <w:rPr>
          <w:rFonts w:ascii="仿宋" w:hAnsi="仿宋" w:eastAsia="仿宋"/>
          <w:b w:val="0"/>
          <w:bCs/>
          <w:color w:val="000000"/>
          <w:sz w:val="24"/>
          <w:highlight w:val="none"/>
        </w:rPr>
        <w:t>扩初图满足造价计量及施工要求，如有特殊工艺或新型材料需提供相关施工工艺或结构详图。</w:t>
      </w:r>
    </w:p>
    <w:p w14:paraId="56CBDD48">
      <w:pPr>
        <w:pStyle w:val="76"/>
        <w:numPr>
          <w:ilvl w:val="0"/>
          <w:numId w:val="19"/>
        </w:numPr>
        <w:ind w:left="1265" w:leftChars="0" w:hanging="425" w:firstLineChars="0"/>
        <w:jc w:val="left"/>
        <w:rPr>
          <w:rFonts w:ascii="仿宋" w:hAnsi="仿宋" w:eastAsia="仿宋"/>
          <w:b w:val="0"/>
          <w:bCs/>
          <w:sz w:val="24"/>
          <w:highlight w:val="none"/>
        </w:rPr>
      </w:pPr>
      <w:r>
        <w:rPr>
          <w:rFonts w:ascii="仿宋" w:hAnsi="仿宋" w:eastAsia="仿宋"/>
          <w:b w:val="0"/>
          <w:bCs/>
          <w:color w:val="000000"/>
          <w:sz w:val="24"/>
          <w:highlight w:val="none"/>
        </w:rPr>
        <w:t>图纸及清单文字格式统一采用宋体。</w:t>
      </w:r>
    </w:p>
    <w:p w14:paraId="2CCDA068">
      <w:pPr>
        <w:pStyle w:val="76"/>
        <w:numPr>
          <w:ilvl w:val="0"/>
          <w:numId w:val="19"/>
        </w:numPr>
        <w:ind w:left="1265" w:leftChars="0" w:hanging="425" w:firstLineChars="0"/>
        <w:jc w:val="left"/>
        <w:rPr>
          <w:rFonts w:ascii="仿宋" w:hAnsi="仿宋" w:eastAsia="仿宋"/>
          <w:b w:val="0"/>
          <w:bCs/>
          <w:sz w:val="24"/>
          <w:highlight w:val="none"/>
        </w:rPr>
      </w:pPr>
      <w:r>
        <w:rPr>
          <w:rFonts w:ascii="仿宋" w:hAnsi="仿宋" w:eastAsia="仿宋"/>
          <w:b w:val="0"/>
          <w:bCs/>
          <w:color w:val="000000"/>
          <w:sz w:val="24"/>
          <w:highlight w:val="none"/>
        </w:rPr>
        <w:t>平面图、立面图、剖面图图纸比例深度要求：</w:t>
      </w:r>
    </w:p>
    <w:p w14:paraId="0578E01E">
      <w:pPr>
        <w:numPr>
          <w:ilvl w:val="0"/>
          <w:numId w:val="20"/>
        </w:numPr>
        <w:spacing w:line="360" w:lineRule="auto"/>
        <w:ind w:left="1475" w:leftChars="0" w:hanging="425" w:firstLineChars="0"/>
        <w:jc w:val="left"/>
        <w:rPr>
          <w:rFonts w:ascii="仿宋" w:hAnsi="仿宋" w:eastAsia="仿宋"/>
          <w:sz w:val="24"/>
          <w:highlight w:val="none"/>
        </w:rPr>
      </w:pPr>
      <w:r>
        <w:rPr>
          <w:rFonts w:ascii="仿宋" w:hAnsi="仿宋" w:eastAsia="仿宋"/>
          <w:color w:val="000000"/>
          <w:sz w:val="24"/>
          <w:highlight w:val="none"/>
        </w:rPr>
        <w:t>平面图：标明图纸要素：图名、比例尺、图例、图标、图签等。图纸比例一般为：1/200、1/100、1/50、1/25、1/20、1/10；</w:t>
      </w:r>
    </w:p>
    <w:p w14:paraId="538D99D6">
      <w:pPr>
        <w:numPr>
          <w:ilvl w:val="0"/>
          <w:numId w:val="20"/>
        </w:numPr>
        <w:spacing w:line="360" w:lineRule="auto"/>
        <w:ind w:left="1475" w:leftChars="0" w:hanging="425" w:firstLineChars="0"/>
        <w:jc w:val="left"/>
        <w:rPr>
          <w:rFonts w:ascii="仿宋" w:hAnsi="仿宋" w:eastAsia="仿宋"/>
          <w:sz w:val="24"/>
          <w:highlight w:val="none"/>
        </w:rPr>
      </w:pPr>
      <w:r>
        <w:rPr>
          <w:rFonts w:ascii="仿宋" w:hAnsi="仿宋" w:eastAsia="仿宋"/>
          <w:color w:val="000000"/>
          <w:sz w:val="24"/>
          <w:highlight w:val="none"/>
        </w:rPr>
        <w:t>立面图：标明图纸要素：图名、比例尺、图例、图标、图签等。图纸比例一般为：1/100、1/75、1/50、1/25、1/20、1/10。图纸内容和要素应当按照国家有关制图标准和规范的要求清晰、完整反映；</w:t>
      </w:r>
    </w:p>
    <w:p w14:paraId="6B65E126">
      <w:pPr>
        <w:numPr>
          <w:ilvl w:val="0"/>
          <w:numId w:val="20"/>
        </w:numPr>
        <w:spacing w:line="360" w:lineRule="auto"/>
        <w:ind w:left="1475" w:leftChars="0" w:hanging="425" w:firstLineChars="0"/>
        <w:jc w:val="left"/>
        <w:rPr>
          <w:rFonts w:ascii="仿宋" w:hAnsi="仿宋" w:eastAsia="仿宋"/>
          <w:sz w:val="24"/>
          <w:highlight w:val="none"/>
        </w:rPr>
      </w:pPr>
      <w:r>
        <w:rPr>
          <w:rFonts w:ascii="仿宋" w:hAnsi="仿宋" w:eastAsia="仿宋"/>
          <w:color w:val="000000"/>
          <w:sz w:val="24"/>
          <w:highlight w:val="none"/>
        </w:rPr>
        <w:t>剖面图：标明图纸要素：图名、比例尺、图例、图标、图签等。图纸比例一般为：1/20、1/10、1/5、1/1。图纸内容和要素应当按照国家有关制图标准和规范的要求清晰、完整反映。</w:t>
      </w:r>
    </w:p>
    <w:p w14:paraId="246DA72D">
      <w:pPr>
        <w:pStyle w:val="76"/>
        <w:numPr>
          <w:ilvl w:val="0"/>
          <w:numId w:val="19"/>
        </w:numPr>
        <w:ind w:left="1265" w:leftChars="0" w:hanging="425" w:firstLineChars="0"/>
        <w:jc w:val="left"/>
        <w:rPr>
          <w:rFonts w:ascii="仿宋" w:hAnsi="仿宋" w:eastAsia="仿宋"/>
          <w:b w:val="0"/>
          <w:bCs/>
          <w:color w:val="000000"/>
          <w:sz w:val="24"/>
          <w:highlight w:val="none"/>
        </w:rPr>
      </w:pPr>
      <w:r>
        <w:rPr>
          <w:rFonts w:ascii="仿宋" w:hAnsi="仿宋" w:eastAsia="仿宋"/>
          <w:b w:val="0"/>
          <w:bCs/>
          <w:color w:val="000000"/>
          <w:sz w:val="24"/>
          <w:highlight w:val="none"/>
        </w:rPr>
        <w:t>各阶段图纸及设计变更的命名规则为：</w:t>
      </w:r>
    </w:p>
    <w:p w14:paraId="5FAAFC08">
      <w:pPr>
        <w:numPr>
          <w:ilvl w:val="0"/>
          <w:numId w:val="21"/>
        </w:numPr>
        <w:spacing w:line="360" w:lineRule="auto"/>
        <w:ind w:left="1475" w:leftChars="0" w:hanging="425" w:firstLineChars="0"/>
        <w:jc w:val="left"/>
        <w:rPr>
          <w:rFonts w:ascii="仿宋" w:hAnsi="仿宋" w:eastAsia="仿宋"/>
          <w:sz w:val="24"/>
          <w:highlight w:val="none"/>
        </w:rPr>
      </w:pPr>
      <w:r>
        <w:rPr>
          <w:rFonts w:ascii="仿宋" w:hAnsi="仿宋" w:eastAsia="仿宋"/>
          <w:color w:val="000000"/>
          <w:sz w:val="24"/>
          <w:highlight w:val="none"/>
        </w:rPr>
        <w:t>出图日期+编号+图名/变更名称+，如：202</w:t>
      </w:r>
      <w:r>
        <w:rPr>
          <w:rFonts w:hint="eastAsia" w:ascii="仿宋" w:hAnsi="仿宋" w:eastAsia="仿宋"/>
          <w:color w:val="000000"/>
          <w:sz w:val="24"/>
          <w:highlight w:val="none"/>
          <w:lang w:val="en-US" w:eastAsia="zh-CN"/>
        </w:rPr>
        <w:t>50519</w:t>
      </w:r>
      <w:r>
        <w:rPr>
          <w:rFonts w:ascii="仿宋" w:hAnsi="仿宋" w:eastAsia="仿宋"/>
          <w:color w:val="000000"/>
          <w:sz w:val="24"/>
          <w:highlight w:val="none"/>
        </w:rPr>
        <w:t>JZ-12</w:t>
      </w:r>
      <w:r>
        <w:rPr>
          <w:rFonts w:hint="eastAsia" w:ascii="仿宋" w:hAnsi="仿宋" w:eastAsia="仿宋"/>
          <w:color w:val="000000"/>
          <w:sz w:val="24"/>
          <w:highlight w:val="none"/>
          <w:lang w:val="en-US" w:eastAsia="zh-CN"/>
        </w:rPr>
        <w:t xml:space="preserve"> </w:t>
      </w:r>
      <w:r>
        <w:rPr>
          <w:rFonts w:ascii="仿宋" w:hAnsi="仿宋" w:eastAsia="仿宋"/>
          <w:color w:val="000000"/>
          <w:sz w:val="24"/>
          <w:highlight w:val="none"/>
        </w:rPr>
        <w:t>XX项目平面图。设计变更及修改图纸需用云线标明修改内容。若图纸版本有调整，需在图中调整对应的图纸号和出图日期（各专业标识方式需统一），且需明确各专业修改内容；</w:t>
      </w:r>
    </w:p>
    <w:p w14:paraId="51289A68">
      <w:pPr>
        <w:numPr>
          <w:ilvl w:val="0"/>
          <w:numId w:val="21"/>
        </w:numPr>
        <w:spacing w:line="360" w:lineRule="auto"/>
        <w:ind w:left="1475" w:leftChars="0" w:hanging="425" w:firstLineChars="0"/>
        <w:jc w:val="left"/>
        <w:rPr>
          <w:rFonts w:ascii="仿宋" w:hAnsi="仿宋" w:eastAsia="仿宋"/>
          <w:sz w:val="24"/>
          <w:highlight w:val="none"/>
        </w:rPr>
      </w:pPr>
      <w:r>
        <w:rPr>
          <w:rFonts w:ascii="仿宋" w:hAnsi="仿宋" w:eastAsia="仿宋"/>
          <w:color w:val="000000"/>
          <w:sz w:val="24"/>
          <w:highlight w:val="none"/>
        </w:rPr>
        <w:t>所有专业设计变更指令需用乙方统一变更指令图框，图框必须包括：</w:t>
      </w:r>
    </w:p>
    <w:p w14:paraId="69017020">
      <w:pPr>
        <w:numPr>
          <w:ilvl w:val="0"/>
          <w:numId w:val="22"/>
        </w:numPr>
        <w:spacing w:line="360" w:lineRule="auto"/>
        <w:ind w:left="1895" w:leftChars="0" w:hanging="425" w:firstLineChars="0"/>
        <w:jc w:val="left"/>
        <w:rPr>
          <w:rFonts w:ascii="仿宋" w:hAnsi="仿宋" w:eastAsia="仿宋"/>
          <w:sz w:val="24"/>
          <w:highlight w:val="none"/>
        </w:rPr>
      </w:pPr>
      <w:r>
        <w:rPr>
          <w:rFonts w:ascii="仿宋" w:hAnsi="仿宋" w:eastAsia="仿宋"/>
          <w:color w:val="000000"/>
          <w:sz w:val="24"/>
          <w:highlight w:val="none"/>
        </w:rPr>
        <w:t>工程项目名称：注明所属工程名称及期数；</w:t>
      </w:r>
    </w:p>
    <w:p w14:paraId="290ACB05">
      <w:pPr>
        <w:numPr>
          <w:ilvl w:val="0"/>
          <w:numId w:val="22"/>
        </w:numPr>
        <w:spacing w:line="360" w:lineRule="auto"/>
        <w:ind w:left="1895" w:leftChars="0" w:hanging="425" w:firstLineChars="0"/>
        <w:jc w:val="left"/>
        <w:rPr>
          <w:rFonts w:ascii="仿宋" w:hAnsi="仿宋" w:eastAsia="仿宋"/>
          <w:sz w:val="24"/>
          <w:highlight w:val="none"/>
        </w:rPr>
      </w:pPr>
      <w:r>
        <w:rPr>
          <w:rFonts w:ascii="仿宋" w:hAnsi="仿宋" w:eastAsia="仿宋"/>
          <w:color w:val="000000"/>
          <w:sz w:val="24"/>
          <w:highlight w:val="none"/>
        </w:rPr>
        <w:t>专业：注明该变更所属专业，涉及多专业变更的应分开填写；</w:t>
      </w:r>
    </w:p>
    <w:p w14:paraId="4D200F6E">
      <w:pPr>
        <w:numPr>
          <w:ilvl w:val="0"/>
          <w:numId w:val="22"/>
        </w:numPr>
        <w:spacing w:line="360" w:lineRule="auto"/>
        <w:ind w:left="1895" w:leftChars="0" w:hanging="425" w:firstLineChars="0"/>
        <w:jc w:val="left"/>
        <w:rPr>
          <w:rFonts w:ascii="仿宋" w:hAnsi="仿宋" w:eastAsia="仿宋"/>
          <w:sz w:val="24"/>
          <w:highlight w:val="none"/>
        </w:rPr>
      </w:pPr>
      <w:r>
        <w:rPr>
          <w:rFonts w:ascii="仿宋" w:hAnsi="仿宋" w:eastAsia="仿宋"/>
          <w:color w:val="000000"/>
          <w:sz w:val="24"/>
          <w:highlight w:val="none"/>
        </w:rPr>
        <w:t>变更号：可按乙方内部规定编写变更号，各专业编号应分开编制，不得出现漏号跳号；</w:t>
      </w:r>
    </w:p>
    <w:p w14:paraId="51036886">
      <w:pPr>
        <w:numPr>
          <w:ilvl w:val="0"/>
          <w:numId w:val="22"/>
        </w:numPr>
        <w:spacing w:line="360" w:lineRule="auto"/>
        <w:ind w:left="1895" w:leftChars="0" w:hanging="425" w:firstLineChars="0"/>
        <w:jc w:val="left"/>
        <w:rPr>
          <w:rFonts w:ascii="仿宋" w:hAnsi="仿宋" w:eastAsia="仿宋"/>
          <w:sz w:val="24"/>
          <w:highlight w:val="none"/>
        </w:rPr>
      </w:pPr>
      <w:r>
        <w:rPr>
          <w:rFonts w:ascii="仿宋" w:hAnsi="仿宋" w:eastAsia="仿宋"/>
          <w:color w:val="000000"/>
          <w:sz w:val="24"/>
          <w:highlight w:val="none"/>
        </w:rPr>
        <w:t>页数：注明该变更的总页数及第几页；</w:t>
      </w:r>
    </w:p>
    <w:p w14:paraId="7359A227">
      <w:pPr>
        <w:numPr>
          <w:ilvl w:val="0"/>
          <w:numId w:val="22"/>
        </w:numPr>
        <w:spacing w:line="360" w:lineRule="auto"/>
        <w:ind w:left="1895" w:leftChars="0" w:hanging="425" w:firstLineChars="0"/>
        <w:jc w:val="left"/>
        <w:rPr>
          <w:rFonts w:ascii="仿宋" w:hAnsi="仿宋" w:eastAsia="仿宋"/>
          <w:sz w:val="24"/>
          <w:highlight w:val="none"/>
        </w:rPr>
      </w:pPr>
      <w:r>
        <w:rPr>
          <w:rFonts w:ascii="仿宋" w:hAnsi="仿宋" w:eastAsia="仿宋"/>
          <w:color w:val="000000"/>
          <w:sz w:val="24"/>
          <w:highlight w:val="none"/>
        </w:rPr>
        <w:t>会签：变更每一页应有各个相关专业负责人的签字；</w:t>
      </w:r>
    </w:p>
    <w:p w14:paraId="1844534B">
      <w:pPr>
        <w:numPr>
          <w:ilvl w:val="0"/>
          <w:numId w:val="22"/>
        </w:numPr>
        <w:spacing w:line="360" w:lineRule="auto"/>
        <w:ind w:left="1895" w:leftChars="0" w:hanging="425" w:firstLineChars="0"/>
        <w:jc w:val="left"/>
        <w:rPr>
          <w:rFonts w:ascii="仿宋" w:hAnsi="仿宋" w:eastAsia="仿宋"/>
          <w:sz w:val="24"/>
          <w:highlight w:val="none"/>
        </w:rPr>
      </w:pPr>
      <w:r>
        <w:rPr>
          <w:rFonts w:ascii="仿宋" w:hAnsi="仿宋" w:eastAsia="仿宋"/>
          <w:color w:val="000000"/>
          <w:sz w:val="24"/>
          <w:highlight w:val="none"/>
        </w:rPr>
        <w:t>盖章：变更每一页应有乙方的出图章、专业注册章；</w:t>
      </w:r>
    </w:p>
    <w:p w14:paraId="503DBE2C">
      <w:pPr>
        <w:numPr>
          <w:ilvl w:val="0"/>
          <w:numId w:val="22"/>
        </w:numPr>
        <w:spacing w:line="360" w:lineRule="auto"/>
        <w:ind w:left="1895" w:leftChars="0" w:hanging="425" w:firstLineChars="0"/>
        <w:jc w:val="left"/>
        <w:rPr>
          <w:rFonts w:ascii="仿宋" w:hAnsi="仿宋" w:eastAsia="仿宋"/>
          <w:sz w:val="24"/>
          <w:highlight w:val="none"/>
        </w:rPr>
      </w:pPr>
      <w:r>
        <w:rPr>
          <w:rFonts w:ascii="仿宋" w:hAnsi="仿宋" w:eastAsia="仿宋"/>
          <w:color w:val="000000"/>
          <w:sz w:val="24"/>
          <w:highlight w:val="none"/>
        </w:rPr>
        <w:t>变更必须包括文字说明及图纸两部分内容；</w:t>
      </w:r>
    </w:p>
    <w:p w14:paraId="44D0CA4D">
      <w:pPr>
        <w:numPr>
          <w:ilvl w:val="0"/>
          <w:numId w:val="22"/>
        </w:numPr>
        <w:spacing w:line="360" w:lineRule="auto"/>
        <w:ind w:left="1895" w:leftChars="0" w:hanging="425" w:firstLineChars="0"/>
        <w:jc w:val="left"/>
        <w:rPr>
          <w:rFonts w:ascii="仿宋" w:hAnsi="仿宋" w:eastAsia="仿宋"/>
          <w:sz w:val="24"/>
          <w:highlight w:val="none"/>
        </w:rPr>
      </w:pPr>
      <w:r>
        <w:rPr>
          <w:rFonts w:ascii="仿宋" w:hAnsi="仿宋" w:eastAsia="仿宋"/>
          <w:color w:val="000000"/>
          <w:sz w:val="24"/>
          <w:highlight w:val="none"/>
        </w:rPr>
        <w:t>文字说明必须在变更首页按序号逐一列明变更内容，详细说明变更所在位置、原图情况、变更后情况、对应原图纸编号并索引变更后的图纸内容；</w:t>
      </w:r>
    </w:p>
    <w:p w14:paraId="09B06BFE">
      <w:pPr>
        <w:numPr>
          <w:ilvl w:val="0"/>
          <w:numId w:val="22"/>
        </w:numPr>
        <w:spacing w:line="360" w:lineRule="auto"/>
        <w:ind w:left="1895" w:leftChars="0" w:hanging="425" w:firstLineChars="0"/>
        <w:jc w:val="left"/>
        <w:rPr>
          <w:rFonts w:ascii="仿宋" w:hAnsi="仿宋" w:eastAsia="仿宋"/>
          <w:sz w:val="24"/>
          <w:highlight w:val="none"/>
        </w:rPr>
      </w:pPr>
      <w:r>
        <w:rPr>
          <w:rFonts w:ascii="仿宋" w:hAnsi="仿宋" w:eastAsia="仿宋"/>
          <w:color w:val="000000"/>
          <w:sz w:val="24"/>
          <w:highlight w:val="none"/>
        </w:rPr>
        <w:t>乙方除提供纸质变更单外，还应提供电子版变更单供甲方存档，电子版命名应写明变更单号及变更内容。</w:t>
      </w:r>
    </w:p>
    <w:p w14:paraId="4D8CE5DB">
      <w:pPr>
        <w:pStyle w:val="76"/>
        <w:numPr>
          <w:ilvl w:val="0"/>
          <w:numId w:val="0"/>
        </w:numPr>
        <w:ind w:left="426" w:firstLine="427"/>
        <w:jc w:val="left"/>
        <w:outlineLvl w:val="0"/>
        <w:rPr>
          <w:rFonts w:ascii="仿宋" w:hAnsi="仿宋" w:eastAsia="仿宋"/>
          <w:color w:val="000000"/>
          <w:sz w:val="24"/>
          <w:highlight w:val="none"/>
        </w:rPr>
      </w:pPr>
    </w:p>
    <w:p w14:paraId="676F4F87">
      <w:pPr>
        <w:pStyle w:val="76"/>
        <w:numPr>
          <w:ilvl w:val="0"/>
          <w:numId w:val="0"/>
        </w:numPr>
        <w:ind w:left="426" w:firstLine="427"/>
        <w:jc w:val="left"/>
        <w:outlineLvl w:val="0"/>
        <w:rPr>
          <w:rFonts w:ascii="仿宋" w:hAnsi="仿宋" w:eastAsia="仿宋"/>
          <w:color w:val="000000"/>
          <w:sz w:val="24"/>
          <w:highlight w:val="none"/>
        </w:rPr>
      </w:pPr>
      <w:r>
        <w:rPr>
          <w:rFonts w:ascii="仿宋" w:hAnsi="仿宋" w:eastAsia="仿宋"/>
          <w:color w:val="000000"/>
          <w:sz w:val="24"/>
          <w:highlight w:val="none"/>
        </w:rPr>
        <w:t>（四）施工图设计阶段：</w:t>
      </w:r>
    </w:p>
    <w:p w14:paraId="0D18A09D">
      <w:pPr>
        <w:pStyle w:val="76"/>
        <w:numPr>
          <w:ilvl w:val="0"/>
          <w:numId w:val="0"/>
        </w:numPr>
        <w:ind w:left="855" w:hanging="285"/>
        <w:jc w:val="left"/>
        <w:rPr>
          <w:rFonts w:ascii="仿宋" w:hAnsi="仿宋" w:eastAsia="仿宋"/>
          <w:color w:val="000000"/>
          <w:sz w:val="24"/>
          <w:highlight w:val="none"/>
        </w:rPr>
      </w:pPr>
      <w:r>
        <w:rPr>
          <w:rFonts w:ascii="仿宋" w:hAnsi="仿宋" w:eastAsia="仿宋"/>
          <w:color w:val="000000"/>
          <w:sz w:val="24"/>
          <w:highlight w:val="none"/>
        </w:rPr>
        <w:t>设计周期：</w:t>
      </w:r>
      <w:r>
        <w:rPr>
          <w:rFonts w:hint="eastAsia" w:ascii="仿宋" w:hAnsi="仿宋" w:eastAsia="仿宋"/>
          <w:color w:val="000000"/>
          <w:sz w:val="24"/>
          <w:highlight w:val="yellow"/>
          <w:lang w:val="en-US" w:eastAsia="zh-CN"/>
        </w:rPr>
        <w:t>20</w:t>
      </w:r>
      <w:r>
        <w:rPr>
          <w:rFonts w:ascii="仿宋" w:hAnsi="仿宋" w:eastAsia="仿宋"/>
          <w:color w:val="000000"/>
          <w:sz w:val="24"/>
          <w:highlight w:val="yellow"/>
        </w:rPr>
        <w:t>个日历天。</w:t>
      </w:r>
      <w:r>
        <w:rPr>
          <w:rFonts w:hint="eastAsia" w:ascii="仿宋" w:hAnsi="仿宋" w:eastAsia="仿宋"/>
          <w:color w:val="000000"/>
          <w:sz w:val="24"/>
          <w:highlight w:val="yellow"/>
          <w:lang w:eastAsia="zh-CN"/>
        </w:rPr>
        <w:t>（国家法定节假日则相应顺延）</w:t>
      </w:r>
    </w:p>
    <w:p w14:paraId="47266648">
      <w:pPr>
        <w:pStyle w:val="76"/>
        <w:numPr>
          <w:ilvl w:val="0"/>
          <w:numId w:val="0"/>
        </w:numPr>
        <w:ind w:left="855" w:hanging="285"/>
        <w:jc w:val="left"/>
        <w:rPr>
          <w:rFonts w:ascii="仿宋" w:hAnsi="仿宋" w:eastAsia="仿宋"/>
          <w:sz w:val="24"/>
          <w:highlight w:val="none"/>
        </w:rPr>
      </w:pPr>
      <w:r>
        <w:rPr>
          <w:rFonts w:ascii="仿宋" w:hAnsi="仿宋" w:eastAsia="仿宋"/>
          <w:color w:val="000000"/>
          <w:sz w:val="24"/>
          <w:highlight w:val="none"/>
        </w:rPr>
        <w:t>提供成果具体如下，包括但不限于：</w:t>
      </w:r>
    </w:p>
    <w:p w14:paraId="39CEAC2B">
      <w:pPr>
        <w:pStyle w:val="76"/>
        <w:numPr>
          <w:ilvl w:val="0"/>
          <w:numId w:val="23"/>
        </w:numPr>
        <w:ind w:left="480" w:leftChars="0" w:hanging="480" w:firstLineChars="0"/>
        <w:jc w:val="left"/>
        <w:rPr>
          <w:rFonts w:ascii="仿宋" w:hAnsi="仿宋" w:eastAsia="仿宋"/>
          <w:b w:val="0"/>
          <w:sz w:val="24"/>
          <w:highlight w:val="none"/>
        </w:rPr>
      </w:pPr>
      <w:r>
        <w:rPr>
          <w:rFonts w:ascii="仿宋" w:hAnsi="仿宋" w:eastAsia="仿宋"/>
          <w:color w:val="000000"/>
          <w:sz w:val="24"/>
          <w:highlight w:val="none"/>
        </w:rPr>
        <w:t>图纸目录、设计说明、施工说明、图例说明、根据甲方材料品牌库选定不少于3家的品牌推荐清单、装修材料文本、装修施工技术要求文本，详细施工图设计图纸。</w:t>
      </w:r>
    </w:p>
    <w:p w14:paraId="49F21D06">
      <w:pPr>
        <w:pStyle w:val="76"/>
        <w:numPr>
          <w:ilvl w:val="0"/>
          <w:numId w:val="23"/>
        </w:numPr>
        <w:ind w:left="480" w:leftChars="0" w:hanging="480" w:firstLineChars="0"/>
        <w:jc w:val="left"/>
        <w:rPr>
          <w:rFonts w:ascii="仿宋" w:hAnsi="仿宋" w:eastAsia="仿宋"/>
          <w:b w:val="0"/>
          <w:sz w:val="24"/>
          <w:highlight w:val="none"/>
        </w:rPr>
      </w:pPr>
      <w:r>
        <w:rPr>
          <w:rFonts w:ascii="仿宋" w:hAnsi="仿宋" w:eastAsia="仿宋"/>
          <w:color w:val="000000"/>
          <w:sz w:val="24"/>
          <w:highlight w:val="none"/>
        </w:rPr>
        <w:t>平面布置图,地面铺设图,天花布置图。综合天花平面图应详尽反映各机电专业设备末端（含智能化末端）、路由及检修口；在符合规范、使用要求的前提下，结合整体装修设计效果，准确定位及标示尺寸并绘制综合管线图。</w:t>
      </w:r>
    </w:p>
    <w:p w14:paraId="583AEF21">
      <w:pPr>
        <w:pStyle w:val="76"/>
        <w:numPr>
          <w:ilvl w:val="0"/>
          <w:numId w:val="23"/>
        </w:numPr>
        <w:ind w:left="480" w:leftChars="0" w:hanging="480" w:firstLineChars="0"/>
        <w:jc w:val="left"/>
        <w:rPr>
          <w:rFonts w:ascii="仿宋" w:hAnsi="仿宋" w:eastAsia="仿宋"/>
          <w:b w:val="0"/>
          <w:sz w:val="24"/>
          <w:highlight w:val="none"/>
        </w:rPr>
      </w:pPr>
      <w:r>
        <w:rPr>
          <w:rFonts w:ascii="仿宋" w:hAnsi="仿宋" w:eastAsia="仿宋"/>
          <w:color w:val="000000"/>
          <w:sz w:val="24"/>
          <w:highlight w:val="none"/>
        </w:rPr>
        <w:t>综合管线图包含平面图及局部剖面图，在符合规范、使用要求的前提下对机电专业各类管线进行综合排布，注明管线的安装尺寸及标高；合理利用空间，确保净高。其中卫生间需包含卫生间的给排水平面图和大样图以及相应的设计说明和标注。</w:t>
      </w:r>
    </w:p>
    <w:p w14:paraId="345ED847">
      <w:pPr>
        <w:pStyle w:val="76"/>
        <w:numPr>
          <w:ilvl w:val="0"/>
          <w:numId w:val="23"/>
        </w:numPr>
        <w:ind w:left="480" w:leftChars="0" w:hanging="480" w:firstLineChars="0"/>
        <w:jc w:val="left"/>
        <w:rPr>
          <w:rFonts w:ascii="仿宋" w:hAnsi="仿宋" w:eastAsia="仿宋"/>
          <w:b w:val="0"/>
          <w:sz w:val="24"/>
          <w:highlight w:val="none"/>
        </w:rPr>
      </w:pPr>
      <w:r>
        <w:rPr>
          <w:rFonts w:ascii="仿宋" w:hAnsi="仿宋" w:eastAsia="仿宋"/>
          <w:color w:val="000000"/>
          <w:sz w:val="24"/>
          <w:highlight w:val="none"/>
        </w:rPr>
        <w:t>提供设计范围内部隔墙的定位及反映不同做法的墙体标示；确认方案图中未明确的尺寸及标注。详细标示各设备的定位尺寸（在各专业设备提供的资料基础上）。反映天花的伸缩及沉降缝。</w:t>
      </w:r>
    </w:p>
    <w:p w14:paraId="2C1C3063">
      <w:pPr>
        <w:pStyle w:val="76"/>
        <w:numPr>
          <w:ilvl w:val="0"/>
          <w:numId w:val="23"/>
        </w:numPr>
        <w:ind w:left="480" w:leftChars="0" w:hanging="480" w:firstLineChars="0"/>
        <w:jc w:val="left"/>
        <w:rPr>
          <w:rFonts w:ascii="仿宋" w:hAnsi="仿宋" w:eastAsia="仿宋"/>
          <w:b w:val="0"/>
          <w:sz w:val="24"/>
          <w:highlight w:val="none"/>
        </w:rPr>
      </w:pPr>
      <w:r>
        <w:rPr>
          <w:rFonts w:ascii="仿宋" w:hAnsi="仿宋" w:eastAsia="仿宋"/>
          <w:color w:val="000000"/>
          <w:sz w:val="24"/>
          <w:highlight w:val="none"/>
        </w:rPr>
        <w:t>在平面图中核对标高是否与墙、地面装修物体有冲突。严格控制地材的分割，使之与墙体对齐，标示出各种地材的铺贴起始点的定位尺寸，标示出各种地材的大小尺寸。在平面图中标示各个空间的装修地面标高。反映地面的伸缩及沉降缝。</w:t>
      </w:r>
    </w:p>
    <w:p w14:paraId="442843CE">
      <w:pPr>
        <w:pStyle w:val="76"/>
        <w:numPr>
          <w:ilvl w:val="0"/>
          <w:numId w:val="23"/>
        </w:numPr>
        <w:ind w:left="480" w:leftChars="0" w:hanging="480" w:firstLineChars="0"/>
        <w:jc w:val="left"/>
        <w:rPr>
          <w:rFonts w:ascii="仿宋" w:hAnsi="仿宋" w:eastAsia="仿宋"/>
          <w:b w:val="0"/>
          <w:sz w:val="24"/>
          <w:highlight w:val="none"/>
        </w:rPr>
      </w:pPr>
      <w:r>
        <w:rPr>
          <w:rFonts w:ascii="仿宋" w:hAnsi="仿宋" w:eastAsia="仿宋"/>
          <w:color w:val="000000"/>
          <w:sz w:val="24"/>
          <w:highlight w:val="none"/>
        </w:rPr>
        <w:t>有相关的强电末端（包括灯具、插座、开关、喇叭、温感、烟感、消防广播、灯箱、疏散指示标志、应急照明设备、声光报警按钮、手报按钮、消火栓按钮、标识、项目VI及广告屏等功能末端等）、给排水末端（包括喷淋、消防栓、地漏、水炮等）、空调末端（包括风口等）、智能化末端（包括显示屏、摄像机、喇叭、门禁、闸机、监控设备等）设计的平面布置（标高、位置分布等），需满足电气、给排水、空调、智能化等专业的功能及规范需求。</w:t>
      </w:r>
    </w:p>
    <w:p w14:paraId="1A8677F5">
      <w:pPr>
        <w:pStyle w:val="76"/>
        <w:numPr>
          <w:ilvl w:val="0"/>
          <w:numId w:val="23"/>
        </w:numPr>
        <w:ind w:left="480" w:leftChars="0" w:hanging="480" w:firstLineChars="0"/>
        <w:jc w:val="left"/>
        <w:rPr>
          <w:rFonts w:ascii="仿宋" w:hAnsi="仿宋" w:eastAsia="仿宋"/>
          <w:b w:val="0"/>
          <w:sz w:val="24"/>
          <w:highlight w:val="none"/>
        </w:rPr>
      </w:pPr>
      <w:r>
        <w:rPr>
          <w:rFonts w:ascii="仿宋" w:hAnsi="仿宋" w:eastAsia="仿宋"/>
          <w:color w:val="000000"/>
          <w:sz w:val="24"/>
          <w:highlight w:val="none"/>
        </w:rPr>
        <w:t>设计期间与建筑、园林等设计单位紧密沟通，做到标识与装修效果统一；标识末端如需用电，乙方需开展配电设计；同时乙方须确保装修材料需满足结构荷载的要求。</w:t>
      </w:r>
    </w:p>
    <w:p w14:paraId="3DC33B7A">
      <w:pPr>
        <w:pStyle w:val="76"/>
        <w:numPr>
          <w:ilvl w:val="0"/>
          <w:numId w:val="23"/>
        </w:numPr>
        <w:ind w:left="480" w:leftChars="0" w:hanging="480" w:firstLineChars="0"/>
        <w:jc w:val="left"/>
        <w:rPr>
          <w:rFonts w:ascii="仿宋" w:hAnsi="仿宋" w:eastAsia="仿宋"/>
          <w:b w:val="0"/>
          <w:sz w:val="24"/>
          <w:highlight w:val="none"/>
        </w:rPr>
      </w:pPr>
      <w:r>
        <w:rPr>
          <w:rFonts w:ascii="仿宋" w:hAnsi="仿宋" w:eastAsia="仿宋"/>
          <w:color w:val="000000"/>
          <w:sz w:val="24"/>
          <w:highlight w:val="none"/>
        </w:rPr>
        <w:t>施工图应满足甲方成本计量深度要求，确保通过政府主管部门报审及审批的要求。</w:t>
      </w:r>
    </w:p>
    <w:p w14:paraId="2B6246B1">
      <w:pPr>
        <w:pStyle w:val="76"/>
        <w:numPr>
          <w:ilvl w:val="0"/>
          <w:numId w:val="23"/>
        </w:numPr>
        <w:ind w:left="480" w:leftChars="0" w:hanging="480" w:firstLineChars="0"/>
        <w:jc w:val="left"/>
        <w:rPr>
          <w:rFonts w:ascii="仿宋" w:hAnsi="仿宋" w:eastAsia="仿宋"/>
          <w:b w:val="0"/>
          <w:sz w:val="24"/>
          <w:highlight w:val="none"/>
        </w:rPr>
      </w:pPr>
      <w:r>
        <w:rPr>
          <w:rFonts w:ascii="仿宋" w:hAnsi="仿宋" w:eastAsia="仿宋"/>
          <w:color w:val="000000"/>
          <w:sz w:val="24"/>
          <w:highlight w:val="none"/>
        </w:rPr>
        <w:t>施工图应确保通过政府施工图审查及消防审核部门的审批。</w:t>
      </w:r>
    </w:p>
    <w:p w14:paraId="322B7205">
      <w:pPr>
        <w:pStyle w:val="76"/>
        <w:numPr>
          <w:ilvl w:val="0"/>
          <w:numId w:val="23"/>
        </w:numPr>
        <w:ind w:left="480" w:leftChars="0" w:hanging="480" w:firstLineChars="0"/>
        <w:jc w:val="left"/>
        <w:rPr>
          <w:rFonts w:ascii="仿宋" w:hAnsi="仿宋" w:eastAsia="仿宋"/>
          <w:b w:val="0"/>
          <w:sz w:val="24"/>
          <w:highlight w:val="none"/>
        </w:rPr>
      </w:pPr>
      <w:r>
        <w:rPr>
          <w:rFonts w:ascii="仿宋" w:hAnsi="仿宋" w:eastAsia="仿宋"/>
          <w:color w:val="000000"/>
          <w:sz w:val="24"/>
          <w:highlight w:val="none"/>
        </w:rPr>
        <w:t>根据甲方提供的施工图对应预算成果进行方案调整及施工图修改，以满足项目成本控制的要求。</w:t>
      </w:r>
    </w:p>
    <w:p w14:paraId="68BC7AF2">
      <w:pPr>
        <w:pStyle w:val="76"/>
        <w:numPr>
          <w:ilvl w:val="0"/>
          <w:numId w:val="23"/>
        </w:numPr>
        <w:ind w:left="480" w:leftChars="0" w:hanging="480" w:firstLineChars="0"/>
        <w:jc w:val="left"/>
        <w:rPr>
          <w:rFonts w:ascii="仿宋" w:hAnsi="仿宋" w:eastAsia="仿宋"/>
          <w:b w:val="0"/>
          <w:sz w:val="24"/>
          <w:highlight w:val="none"/>
        </w:rPr>
      </w:pPr>
      <w:r>
        <w:rPr>
          <w:rFonts w:ascii="仿宋" w:hAnsi="仿宋" w:eastAsia="仿宋"/>
          <w:color w:val="000000"/>
          <w:sz w:val="24"/>
          <w:highlight w:val="none"/>
        </w:rPr>
        <w:t>提供完整的材料清单（含材料技术参数）、配套设施表（含灯光、灯具详细参数）以及机电效果配合要求等，并需配合甲方从材料库指定品牌中选择至少</w:t>
      </w:r>
      <w:r>
        <w:rPr>
          <w:rFonts w:hint="eastAsia" w:ascii="仿宋" w:hAnsi="仿宋" w:eastAsia="仿宋"/>
          <w:color w:val="000000"/>
          <w:sz w:val="24"/>
          <w:highlight w:val="none"/>
          <w:lang w:val="en-US" w:eastAsia="zh-CN"/>
        </w:rPr>
        <w:t>1</w:t>
      </w:r>
      <w:r>
        <w:rPr>
          <w:rFonts w:ascii="仿宋" w:hAnsi="仿宋" w:eastAsia="仿宋"/>
          <w:color w:val="000000"/>
          <w:sz w:val="24"/>
          <w:highlight w:val="none"/>
        </w:rPr>
        <w:t>家推荐品牌的设备选型。最终完整的材料清单，以A4规格彩色精装打印，一式六份；</w:t>
      </w:r>
    </w:p>
    <w:p w14:paraId="6AF7C3C9">
      <w:pPr>
        <w:pStyle w:val="76"/>
        <w:numPr>
          <w:ilvl w:val="0"/>
          <w:numId w:val="23"/>
        </w:numPr>
        <w:ind w:left="480" w:leftChars="0" w:hanging="480" w:firstLineChars="0"/>
        <w:jc w:val="left"/>
        <w:rPr>
          <w:rFonts w:ascii="仿宋" w:hAnsi="仿宋" w:eastAsia="仿宋"/>
          <w:b w:val="0"/>
          <w:sz w:val="24"/>
          <w:highlight w:val="none"/>
        </w:rPr>
      </w:pPr>
      <w:r>
        <w:rPr>
          <w:rFonts w:ascii="仿宋" w:hAnsi="仿宋" w:eastAsia="仿宋"/>
          <w:color w:val="000000"/>
          <w:sz w:val="24"/>
          <w:highlight w:val="none"/>
        </w:rPr>
        <w:t>根据最终确定的效果图，相应修改装修施工图，以及材料样板（石材、仿石砖、木饰面、皮革、布料、防火门面板、扶手、空调风口等），含技术要求及机电末端样板技术要求的图册文件。</w:t>
      </w:r>
    </w:p>
    <w:p w14:paraId="2810902F">
      <w:pPr>
        <w:pStyle w:val="76"/>
        <w:numPr>
          <w:ilvl w:val="0"/>
          <w:numId w:val="23"/>
        </w:numPr>
        <w:ind w:left="480" w:leftChars="0" w:hanging="480" w:firstLineChars="0"/>
        <w:jc w:val="left"/>
        <w:rPr>
          <w:rFonts w:ascii="仿宋" w:hAnsi="仿宋" w:eastAsia="仿宋"/>
          <w:b w:val="0"/>
          <w:sz w:val="24"/>
          <w:highlight w:val="none"/>
        </w:rPr>
      </w:pPr>
      <w:r>
        <w:rPr>
          <w:rFonts w:ascii="仿宋" w:hAnsi="仿宋" w:eastAsia="仿宋"/>
          <w:color w:val="000000"/>
          <w:sz w:val="24"/>
          <w:highlight w:val="none"/>
        </w:rPr>
        <w:t>在扩初设计图纸的基础上，进一步明确机电末端的定位。同时全面复核装修区域设计净高是否能满足综合管线的标高要求，3</w:t>
      </w:r>
      <w:r>
        <w:rPr>
          <w:rFonts w:hint="eastAsia" w:ascii="仿宋" w:hAnsi="仿宋" w:eastAsia="仿宋"/>
          <w:color w:val="000000"/>
          <w:sz w:val="24"/>
          <w:highlight w:val="none"/>
          <w:lang w:eastAsia="zh-CN"/>
        </w:rPr>
        <w:t>工作</w:t>
      </w:r>
      <w:r>
        <w:rPr>
          <w:rFonts w:ascii="仿宋" w:hAnsi="仿宋" w:eastAsia="仿宋"/>
          <w:color w:val="000000"/>
          <w:sz w:val="24"/>
          <w:highlight w:val="none"/>
        </w:rPr>
        <w:t>天内提供相应审核文件给甲方。</w:t>
      </w:r>
    </w:p>
    <w:p w14:paraId="4497A6B1">
      <w:pPr>
        <w:pStyle w:val="76"/>
        <w:numPr>
          <w:ilvl w:val="0"/>
          <w:numId w:val="23"/>
        </w:numPr>
        <w:ind w:left="480" w:leftChars="0" w:hanging="480" w:firstLineChars="0"/>
        <w:jc w:val="left"/>
        <w:rPr>
          <w:rFonts w:ascii="仿宋" w:hAnsi="仿宋" w:eastAsia="仿宋"/>
          <w:b w:val="0"/>
          <w:sz w:val="24"/>
          <w:highlight w:val="none"/>
        </w:rPr>
      </w:pPr>
      <w:r>
        <w:rPr>
          <w:rFonts w:ascii="仿宋" w:hAnsi="仿宋" w:eastAsia="仿宋"/>
          <w:color w:val="000000"/>
          <w:sz w:val="24"/>
          <w:highlight w:val="none"/>
        </w:rPr>
        <w:t>全套施工图纸：</w:t>
      </w:r>
    </w:p>
    <w:p w14:paraId="32550C41">
      <w:pPr>
        <w:numPr>
          <w:ilvl w:val="0"/>
          <w:numId w:val="24"/>
        </w:numPr>
        <w:spacing w:line="360" w:lineRule="auto"/>
        <w:ind w:left="845" w:leftChars="0" w:hanging="425" w:firstLineChars="0"/>
        <w:jc w:val="left"/>
        <w:rPr>
          <w:rFonts w:ascii="仿宋" w:hAnsi="仿宋" w:eastAsia="仿宋"/>
          <w:sz w:val="24"/>
          <w:highlight w:val="none"/>
        </w:rPr>
      </w:pPr>
      <w:r>
        <w:rPr>
          <w:rFonts w:ascii="仿宋" w:hAnsi="仿宋" w:eastAsia="仿宋"/>
          <w:color w:val="000000"/>
          <w:sz w:val="24"/>
          <w:highlight w:val="none"/>
        </w:rPr>
        <w:t>最终按施工图深度及效果表现的效果图，显示所有材质和机电末端，含机电末端样板</w:t>
      </w:r>
      <w:r>
        <w:rPr>
          <w:rFonts w:hint="eastAsia" w:ascii="仿宋" w:hAnsi="仿宋" w:eastAsia="仿宋"/>
          <w:color w:val="000000"/>
          <w:sz w:val="24"/>
          <w:highlight w:val="none"/>
          <w:lang w:val="en-US" w:eastAsia="zh-CN"/>
        </w:rPr>
        <w:t>指引</w:t>
      </w:r>
      <w:r>
        <w:rPr>
          <w:rFonts w:ascii="仿宋" w:hAnsi="仿宋" w:eastAsia="仿宋"/>
          <w:color w:val="000000"/>
          <w:sz w:val="24"/>
          <w:highlight w:val="none"/>
        </w:rPr>
        <w:t>或图册文件；</w:t>
      </w:r>
    </w:p>
    <w:p w14:paraId="27CCA903">
      <w:pPr>
        <w:numPr>
          <w:ilvl w:val="0"/>
          <w:numId w:val="24"/>
        </w:numPr>
        <w:spacing w:line="360" w:lineRule="auto"/>
        <w:ind w:left="845" w:leftChars="0" w:hanging="425" w:firstLineChars="0"/>
        <w:jc w:val="left"/>
        <w:rPr>
          <w:rFonts w:ascii="仿宋" w:hAnsi="仿宋" w:eastAsia="仿宋"/>
          <w:sz w:val="24"/>
          <w:highlight w:val="none"/>
        </w:rPr>
      </w:pPr>
      <w:r>
        <w:rPr>
          <w:rFonts w:ascii="仿宋" w:hAnsi="仿宋" w:eastAsia="仿宋"/>
          <w:color w:val="000000"/>
          <w:sz w:val="24"/>
          <w:highlight w:val="none"/>
        </w:rPr>
        <w:t>电子文件为：CAD，同步提供PDF；</w:t>
      </w:r>
    </w:p>
    <w:p w14:paraId="429B2FCA">
      <w:pPr>
        <w:numPr>
          <w:ilvl w:val="0"/>
          <w:numId w:val="24"/>
        </w:numPr>
        <w:spacing w:line="360" w:lineRule="auto"/>
        <w:ind w:left="845" w:leftChars="0" w:hanging="425" w:firstLineChars="0"/>
        <w:jc w:val="left"/>
        <w:rPr>
          <w:rFonts w:ascii="仿宋" w:hAnsi="仿宋" w:eastAsia="仿宋"/>
          <w:sz w:val="24"/>
          <w:highlight w:val="none"/>
        </w:rPr>
      </w:pPr>
      <w:r>
        <w:rPr>
          <w:rFonts w:ascii="仿宋" w:hAnsi="仿宋" w:eastAsia="仿宋"/>
          <w:color w:val="000000"/>
          <w:sz w:val="24"/>
          <w:highlight w:val="none"/>
        </w:rPr>
        <w:t>全套施工图纸：打印A2规格一式</w:t>
      </w:r>
      <w:r>
        <w:rPr>
          <w:rFonts w:hint="eastAsia" w:ascii="仿宋" w:hAnsi="仿宋" w:eastAsia="仿宋"/>
          <w:color w:val="000000"/>
          <w:sz w:val="24"/>
          <w:highlight w:val="none"/>
          <w:lang w:val="en-US" w:eastAsia="zh-CN"/>
        </w:rPr>
        <w:t>八</w:t>
      </w:r>
      <w:r>
        <w:rPr>
          <w:rFonts w:ascii="仿宋" w:hAnsi="仿宋" w:eastAsia="仿宋"/>
          <w:color w:val="000000"/>
          <w:sz w:val="24"/>
          <w:highlight w:val="none"/>
        </w:rPr>
        <w:t xml:space="preserve">份蓝图, </w:t>
      </w:r>
      <w:r>
        <w:rPr>
          <w:rFonts w:hint="eastAsia" w:ascii="仿宋" w:hAnsi="仿宋" w:eastAsia="仿宋"/>
          <w:color w:val="000000"/>
          <w:sz w:val="24"/>
          <w:highlight w:val="none"/>
          <w:lang w:val="en-US" w:eastAsia="zh-CN"/>
        </w:rPr>
        <w:t>另：</w:t>
      </w:r>
      <w:r>
        <w:rPr>
          <w:rFonts w:ascii="仿宋" w:hAnsi="仿宋" w:eastAsia="仿宋"/>
          <w:color w:val="000000"/>
          <w:sz w:val="24"/>
          <w:highlight w:val="none"/>
        </w:rPr>
        <w:t>报建施工图按照送审部门要求打印一式八份</w:t>
      </w:r>
      <w:r>
        <w:rPr>
          <w:rFonts w:hint="eastAsia" w:ascii="仿宋" w:hAnsi="仿宋" w:eastAsia="仿宋"/>
          <w:color w:val="000000"/>
          <w:sz w:val="24"/>
          <w:highlight w:val="none"/>
          <w:lang w:eastAsia="zh-CN"/>
        </w:rPr>
        <w:t>（</w:t>
      </w:r>
      <w:r>
        <w:rPr>
          <w:rFonts w:hint="eastAsia" w:ascii="仿宋" w:hAnsi="仿宋" w:eastAsia="仿宋"/>
          <w:color w:val="000000"/>
          <w:sz w:val="24"/>
          <w:highlight w:val="none"/>
          <w:lang w:val="en-US" w:eastAsia="zh-CN"/>
        </w:rPr>
        <w:t>套图单位要求</w:t>
      </w:r>
      <w:r>
        <w:rPr>
          <w:rFonts w:hint="eastAsia" w:ascii="仿宋" w:hAnsi="仿宋" w:eastAsia="仿宋"/>
          <w:color w:val="000000"/>
          <w:sz w:val="24"/>
          <w:highlight w:val="none"/>
          <w:lang w:eastAsia="zh-CN"/>
        </w:rPr>
        <w:t>）</w:t>
      </w:r>
      <w:r>
        <w:rPr>
          <w:rFonts w:ascii="仿宋" w:hAnsi="仿宋" w:eastAsia="仿宋"/>
          <w:color w:val="000000"/>
          <w:sz w:val="24"/>
          <w:highlight w:val="none"/>
        </w:rPr>
        <w:t>；</w:t>
      </w:r>
    </w:p>
    <w:p w14:paraId="0DCE78AE">
      <w:pPr>
        <w:numPr>
          <w:ilvl w:val="0"/>
          <w:numId w:val="24"/>
        </w:numPr>
        <w:spacing w:line="360" w:lineRule="auto"/>
        <w:ind w:left="845" w:leftChars="0" w:hanging="425" w:firstLineChars="0"/>
        <w:jc w:val="left"/>
        <w:rPr>
          <w:rFonts w:ascii="仿宋" w:hAnsi="仿宋" w:eastAsia="仿宋"/>
          <w:sz w:val="24"/>
          <w:highlight w:val="none"/>
        </w:rPr>
      </w:pPr>
      <w:r>
        <w:rPr>
          <w:rFonts w:ascii="仿宋" w:hAnsi="仿宋" w:eastAsia="仿宋"/>
          <w:color w:val="000000"/>
          <w:sz w:val="24"/>
          <w:highlight w:val="none"/>
        </w:rPr>
        <w:t>全部电子设计文件（全部刻制成</w:t>
      </w:r>
      <w:r>
        <w:rPr>
          <w:rFonts w:hint="eastAsia" w:ascii="仿宋" w:hAnsi="仿宋" w:eastAsia="仿宋"/>
          <w:color w:val="000000"/>
          <w:sz w:val="24"/>
          <w:highlight w:val="none"/>
          <w:lang w:val="en-US" w:eastAsia="zh-CN"/>
        </w:rPr>
        <w:t>U盘</w:t>
      </w:r>
      <w:r>
        <w:rPr>
          <w:rFonts w:hint="eastAsia" w:ascii="仿宋" w:hAnsi="仿宋" w:eastAsia="仿宋"/>
          <w:color w:val="000000"/>
          <w:sz w:val="24"/>
          <w:highlight w:val="none"/>
          <w:lang w:eastAsia="zh-CN"/>
        </w:rPr>
        <w:t>一</w:t>
      </w:r>
      <w:r>
        <w:rPr>
          <w:rFonts w:ascii="仿宋" w:hAnsi="仿宋" w:eastAsia="仿宋"/>
          <w:color w:val="000000"/>
          <w:sz w:val="24"/>
          <w:highlight w:val="none"/>
        </w:rPr>
        <w:t>份）。</w:t>
      </w:r>
    </w:p>
    <w:p w14:paraId="23656912">
      <w:pPr>
        <w:pStyle w:val="76"/>
        <w:numPr>
          <w:ilvl w:val="0"/>
          <w:numId w:val="23"/>
        </w:numPr>
        <w:ind w:left="480" w:leftChars="0" w:hanging="480" w:firstLineChars="0"/>
        <w:jc w:val="left"/>
        <w:rPr>
          <w:rFonts w:ascii="仿宋" w:hAnsi="仿宋" w:eastAsia="仿宋"/>
          <w:color w:val="000000"/>
          <w:sz w:val="24"/>
          <w:highlight w:val="none"/>
        </w:rPr>
      </w:pPr>
      <w:r>
        <w:rPr>
          <w:rFonts w:ascii="仿宋" w:hAnsi="仿宋" w:eastAsia="仿宋"/>
          <w:color w:val="000000"/>
          <w:sz w:val="24"/>
          <w:highlight w:val="none"/>
        </w:rPr>
        <w:t>制图要求：</w:t>
      </w:r>
    </w:p>
    <w:p w14:paraId="0D8109B0">
      <w:pPr>
        <w:numPr>
          <w:ilvl w:val="0"/>
          <w:numId w:val="25"/>
        </w:numPr>
        <w:spacing w:line="360" w:lineRule="auto"/>
        <w:ind w:left="840" w:leftChars="0" w:firstLineChars="0"/>
        <w:jc w:val="left"/>
        <w:rPr>
          <w:rFonts w:ascii="仿宋" w:hAnsi="仿宋" w:eastAsia="仿宋"/>
          <w:sz w:val="24"/>
          <w:highlight w:val="none"/>
        </w:rPr>
      </w:pPr>
      <w:r>
        <w:rPr>
          <w:rFonts w:ascii="仿宋" w:hAnsi="仿宋" w:eastAsia="仿宋"/>
          <w:color w:val="000000"/>
          <w:sz w:val="24"/>
          <w:highlight w:val="none"/>
        </w:rPr>
        <w:t>装修立面图</w:t>
      </w:r>
    </w:p>
    <w:p w14:paraId="4378E82C">
      <w:pPr>
        <w:numPr>
          <w:ilvl w:val="1"/>
          <w:numId w:val="26"/>
        </w:numPr>
        <w:spacing w:line="360" w:lineRule="auto"/>
        <w:jc w:val="left"/>
        <w:rPr>
          <w:rFonts w:ascii="仿宋" w:hAnsi="仿宋" w:eastAsia="仿宋"/>
          <w:sz w:val="24"/>
          <w:highlight w:val="none"/>
        </w:rPr>
      </w:pPr>
      <w:r>
        <w:rPr>
          <w:rFonts w:ascii="仿宋" w:hAnsi="仿宋" w:eastAsia="仿宋"/>
          <w:color w:val="000000"/>
          <w:sz w:val="24"/>
          <w:highlight w:val="none"/>
        </w:rPr>
        <w:t>详细标示出装修面材的接缝及纹理方向。</w:t>
      </w:r>
    </w:p>
    <w:p w14:paraId="656D87DA">
      <w:pPr>
        <w:numPr>
          <w:ilvl w:val="1"/>
          <w:numId w:val="27"/>
        </w:numPr>
        <w:spacing w:line="360" w:lineRule="auto"/>
        <w:jc w:val="left"/>
        <w:rPr>
          <w:rFonts w:ascii="仿宋" w:hAnsi="仿宋" w:eastAsia="仿宋"/>
          <w:sz w:val="24"/>
          <w:highlight w:val="none"/>
        </w:rPr>
      </w:pPr>
      <w:r>
        <w:rPr>
          <w:rFonts w:ascii="仿宋" w:hAnsi="仿宋" w:eastAsia="仿宋"/>
          <w:color w:val="000000"/>
          <w:sz w:val="24"/>
          <w:highlight w:val="none"/>
        </w:rPr>
        <w:t>详细标注立面上的各种装修面材的种类及规格，挂面料龙骨的材质以及型号，龙骨的分割。</w:t>
      </w:r>
    </w:p>
    <w:p w14:paraId="06E6A1AE">
      <w:pPr>
        <w:numPr>
          <w:ilvl w:val="1"/>
          <w:numId w:val="27"/>
        </w:numPr>
        <w:spacing w:line="360" w:lineRule="auto"/>
        <w:jc w:val="left"/>
        <w:rPr>
          <w:rFonts w:ascii="仿宋" w:hAnsi="仿宋" w:eastAsia="仿宋"/>
          <w:sz w:val="24"/>
          <w:highlight w:val="none"/>
        </w:rPr>
      </w:pPr>
      <w:r>
        <w:rPr>
          <w:rFonts w:ascii="仿宋" w:hAnsi="仿宋" w:eastAsia="仿宋"/>
          <w:color w:val="000000"/>
          <w:sz w:val="24"/>
          <w:highlight w:val="none"/>
        </w:rPr>
        <w:t>详细标注各种造型的控制尺寸，包括标高、分割尺寸及洞口尺寸等。</w:t>
      </w:r>
    </w:p>
    <w:p w14:paraId="0FAC2602">
      <w:pPr>
        <w:numPr>
          <w:ilvl w:val="1"/>
          <w:numId w:val="27"/>
        </w:numPr>
        <w:spacing w:line="360" w:lineRule="auto"/>
        <w:jc w:val="left"/>
        <w:rPr>
          <w:rFonts w:ascii="仿宋" w:hAnsi="仿宋" w:eastAsia="仿宋"/>
          <w:sz w:val="24"/>
          <w:highlight w:val="none"/>
        </w:rPr>
      </w:pPr>
      <w:r>
        <w:rPr>
          <w:rFonts w:ascii="仿宋" w:hAnsi="仿宋" w:eastAsia="仿宋"/>
          <w:color w:val="000000"/>
          <w:sz w:val="24"/>
          <w:highlight w:val="none"/>
        </w:rPr>
        <w:t>反映出土建结构层、主要设备管道及结构转换层与天花的位置关系。</w:t>
      </w:r>
    </w:p>
    <w:p w14:paraId="2AB7C48A">
      <w:pPr>
        <w:numPr>
          <w:ilvl w:val="1"/>
          <w:numId w:val="27"/>
        </w:numPr>
        <w:spacing w:line="360" w:lineRule="auto"/>
        <w:jc w:val="left"/>
        <w:rPr>
          <w:rFonts w:ascii="仿宋" w:hAnsi="仿宋" w:eastAsia="仿宋"/>
          <w:sz w:val="24"/>
          <w:highlight w:val="none"/>
        </w:rPr>
      </w:pPr>
      <w:r>
        <w:rPr>
          <w:rFonts w:ascii="仿宋" w:hAnsi="仿宋" w:eastAsia="仿宋"/>
          <w:color w:val="000000"/>
          <w:sz w:val="24"/>
          <w:highlight w:val="none"/>
        </w:rPr>
        <w:t>详细标注各种分割缝的做法。</w:t>
      </w:r>
    </w:p>
    <w:p w14:paraId="0D2A6149">
      <w:pPr>
        <w:numPr>
          <w:ilvl w:val="1"/>
          <w:numId w:val="27"/>
        </w:numPr>
        <w:spacing w:line="360" w:lineRule="auto"/>
        <w:jc w:val="left"/>
        <w:rPr>
          <w:rFonts w:ascii="仿宋" w:hAnsi="仿宋" w:eastAsia="仿宋"/>
          <w:sz w:val="24"/>
          <w:highlight w:val="none"/>
        </w:rPr>
      </w:pPr>
      <w:r>
        <w:rPr>
          <w:rFonts w:ascii="仿宋" w:hAnsi="仿宋" w:eastAsia="仿宋"/>
          <w:color w:val="000000"/>
          <w:sz w:val="24"/>
          <w:highlight w:val="none"/>
        </w:rPr>
        <w:t>反映立面上的伸缩及沉降缝。</w:t>
      </w:r>
    </w:p>
    <w:p w14:paraId="6FAEC1D3">
      <w:pPr>
        <w:numPr>
          <w:ilvl w:val="1"/>
          <w:numId w:val="27"/>
        </w:numPr>
        <w:spacing w:line="360" w:lineRule="auto"/>
        <w:jc w:val="left"/>
        <w:rPr>
          <w:rFonts w:ascii="仿宋" w:hAnsi="仿宋" w:eastAsia="仿宋"/>
          <w:sz w:val="24"/>
          <w:highlight w:val="none"/>
        </w:rPr>
      </w:pPr>
      <w:r>
        <w:rPr>
          <w:rFonts w:ascii="仿宋" w:hAnsi="仿宋" w:eastAsia="仿宋"/>
          <w:color w:val="000000"/>
          <w:sz w:val="24"/>
          <w:highlight w:val="none"/>
        </w:rPr>
        <w:t>反映立面上的机电末端（包含强电、给排水、空调</w:t>
      </w:r>
      <w:r>
        <w:rPr>
          <w:rFonts w:ascii="仿宋" w:hAnsi="仿宋" w:eastAsia="仿宋"/>
          <w:b/>
          <w:color w:val="000000"/>
          <w:sz w:val="24"/>
          <w:highlight w:val="none"/>
        </w:rPr>
        <w:t>、</w:t>
      </w:r>
      <w:r>
        <w:rPr>
          <w:rFonts w:ascii="仿宋" w:hAnsi="仿宋" w:eastAsia="仿宋"/>
          <w:color w:val="000000"/>
          <w:sz w:val="24"/>
          <w:highlight w:val="none"/>
        </w:rPr>
        <w:t>智能化末端等），详细标示机电末端的定位尺寸。</w:t>
      </w:r>
    </w:p>
    <w:p w14:paraId="23A016C2">
      <w:pPr>
        <w:numPr>
          <w:ilvl w:val="0"/>
          <w:numId w:val="28"/>
        </w:numPr>
        <w:spacing w:line="360" w:lineRule="auto"/>
        <w:ind w:left="840" w:leftChars="0" w:firstLineChars="0"/>
        <w:jc w:val="left"/>
        <w:rPr>
          <w:rFonts w:ascii="仿宋" w:hAnsi="仿宋" w:eastAsia="仿宋"/>
          <w:sz w:val="24"/>
          <w:highlight w:val="none"/>
        </w:rPr>
      </w:pPr>
      <w:r>
        <w:rPr>
          <w:rFonts w:ascii="仿宋" w:hAnsi="仿宋" w:eastAsia="仿宋"/>
          <w:color w:val="000000"/>
          <w:sz w:val="24"/>
          <w:highlight w:val="none"/>
        </w:rPr>
        <w:t>装修剖面图、节点大样图：</w:t>
      </w:r>
    </w:p>
    <w:p w14:paraId="4911C702">
      <w:pPr>
        <w:numPr>
          <w:ilvl w:val="0"/>
          <w:numId w:val="29"/>
        </w:numPr>
        <w:spacing w:line="360" w:lineRule="auto"/>
        <w:jc w:val="left"/>
        <w:rPr>
          <w:rFonts w:ascii="仿宋" w:hAnsi="仿宋" w:eastAsia="仿宋"/>
          <w:sz w:val="24"/>
          <w:highlight w:val="none"/>
        </w:rPr>
      </w:pPr>
      <w:r>
        <w:rPr>
          <w:rFonts w:ascii="仿宋" w:hAnsi="仿宋" w:eastAsia="仿宋"/>
          <w:color w:val="000000"/>
          <w:sz w:val="24"/>
          <w:highlight w:val="none"/>
        </w:rPr>
        <w:t>详细反映出装修面板（包括天花、地面及墙身）及土建基层或各种墙体基层的材质，包括面板层、基层、结构层、连接层、转换层等隐蔽结构，使之达致估价算量的要求标准。</w:t>
      </w:r>
    </w:p>
    <w:p w14:paraId="523E25F0">
      <w:pPr>
        <w:numPr>
          <w:ilvl w:val="0"/>
          <w:numId w:val="30"/>
        </w:numPr>
        <w:spacing w:line="360" w:lineRule="auto"/>
        <w:jc w:val="left"/>
        <w:rPr>
          <w:rFonts w:ascii="仿宋" w:hAnsi="仿宋" w:eastAsia="仿宋"/>
          <w:sz w:val="24"/>
          <w:highlight w:val="none"/>
        </w:rPr>
      </w:pPr>
      <w:r>
        <w:rPr>
          <w:rFonts w:ascii="仿宋" w:hAnsi="仿宋" w:eastAsia="仿宋"/>
          <w:color w:val="000000"/>
          <w:sz w:val="24"/>
          <w:highlight w:val="none"/>
        </w:rPr>
        <w:t>反映各种构造的真实做法，并详细标注说明。</w:t>
      </w:r>
    </w:p>
    <w:p w14:paraId="247D4C9A">
      <w:pPr>
        <w:numPr>
          <w:ilvl w:val="0"/>
          <w:numId w:val="30"/>
        </w:numPr>
        <w:spacing w:line="360" w:lineRule="auto"/>
        <w:jc w:val="left"/>
        <w:rPr>
          <w:rFonts w:ascii="仿宋" w:hAnsi="仿宋" w:eastAsia="仿宋"/>
          <w:sz w:val="24"/>
          <w:highlight w:val="none"/>
        </w:rPr>
      </w:pPr>
      <w:r>
        <w:rPr>
          <w:rFonts w:ascii="仿宋" w:hAnsi="仿宋" w:eastAsia="仿宋"/>
          <w:color w:val="000000"/>
          <w:sz w:val="24"/>
          <w:highlight w:val="none"/>
        </w:rPr>
        <w:t>反映出各种规范的详细要求，如防火、环保、防渗透、防腐、防潮、防锈等。</w:t>
      </w:r>
    </w:p>
    <w:p w14:paraId="5D6C4924">
      <w:pPr>
        <w:numPr>
          <w:ilvl w:val="0"/>
          <w:numId w:val="30"/>
        </w:numPr>
        <w:spacing w:line="360" w:lineRule="auto"/>
        <w:jc w:val="left"/>
        <w:rPr>
          <w:rFonts w:ascii="仿宋" w:hAnsi="仿宋" w:eastAsia="仿宋"/>
          <w:sz w:val="24"/>
          <w:highlight w:val="none"/>
        </w:rPr>
      </w:pPr>
      <w:r>
        <w:rPr>
          <w:rFonts w:ascii="仿宋" w:hAnsi="仿宋" w:eastAsia="仿宋"/>
          <w:color w:val="000000"/>
          <w:sz w:val="24"/>
          <w:highlight w:val="none"/>
        </w:rPr>
        <w:t>反应节点上的机电末端（包含强电、给排水、空调、智能化、发光标识末端等），详细标示各设备的定位尺寸。</w:t>
      </w:r>
    </w:p>
    <w:p w14:paraId="5F68A5AF">
      <w:pPr>
        <w:numPr>
          <w:ilvl w:val="0"/>
          <w:numId w:val="28"/>
        </w:numPr>
        <w:spacing w:line="360" w:lineRule="auto"/>
        <w:ind w:left="840" w:leftChars="0" w:firstLineChars="0"/>
        <w:jc w:val="left"/>
        <w:rPr>
          <w:rFonts w:ascii="仿宋" w:hAnsi="仿宋" w:eastAsia="仿宋"/>
          <w:sz w:val="24"/>
          <w:highlight w:val="none"/>
        </w:rPr>
      </w:pPr>
      <w:r>
        <w:rPr>
          <w:rFonts w:ascii="仿宋" w:hAnsi="仿宋" w:eastAsia="仿宋"/>
          <w:color w:val="000000"/>
          <w:sz w:val="24"/>
          <w:highlight w:val="none"/>
        </w:rPr>
        <w:t>装饰材料运用分析及建议：</w:t>
      </w:r>
    </w:p>
    <w:p w14:paraId="67F1D316">
      <w:pPr>
        <w:numPr>
          <w:ilvl w:val="0"/>
          <w:numId w:val="31"/>
        </w:numPr>
        <w:spacing w:line="360" w:lineRule="auto"/>
        <w:jc w:val="left"/>
        <w:rPr>
          <w:rFonts w:ascii="仿宋" w:hAnsi="仿宋" w:eastAsia="仿宋"/>
          <w:sz w:val="24"/>
          <w:highlight w:val="none"/>
        </w:rPr>
      </w:pPr>
      <w:r>
        <w:rPr>
          <w:rFonts w:ascii="仿宋" w:hAnsi="仿宋" w:eastAsia="仿宋"/>
          <w:color w:val="000000"/>
          <w:sz w:val="24"/>
          <w:highlight w:val="none"/>
        </w:rPr>
        <w:t>装饰材料的选择在基于方案意念的表达外，需根据材料特性及有利于当地气候的耐用、维护等各方面因素，综合分析并提供选择建议;</w:t>
      </w:r>
    </w:p>
    <w:p w14:paraId="3E524660">
      <w:pPr>
        <w:numPr>
          <w:ilvl w:val="0"/>
          <w:numId w:val="32"/>
        </w:numPr>
        <w:spacing w:line="360" w:lineRule="auto"/>
        <w:jc w:val="left"/>
        <w:rPr>
          <w:rFonts w:ascii="仿宋" w:hAnsi="仿宋" w:eastAsia="仿宋"/>
          <w:sz w:val="24"/>
          <w:highlight w:val="none"/>
        </w:rPr>
      </w:pPr>
      <w:r>
        <w:rPr>
          <w:rFonts w:ascii="仿宋" w:hAnsi="仿宋" w:eastAsia="仿宋"/>
          <w:color w:val="000000"/>
          <w:sz w:val="24"/>
          <w:highlight w:val="none"/>
        </w:rPr>
        <w:t>要根据总体成本控制进行材料选择的搭配，对局部的用材要有所侧重，结合视觉重点优化用材组合以满足成本控制要求;</w:t>
      </w:r>
    </w:p>
    <w:p w14:paraId="11175AEC">
      <w:pPr>
        <w:numPr>
          <w:ilvl w:val="0"/>
          <w:numId w:val="32"/>
        </w:numPr>
        <w:spacing w:line="360" w:lineRule="auto"/>
        <w:jc w:val="left"/>
        <w:rPr>
          <w:rFonts w:ascii="仿宋" w:hAnsi="仿宋" w:eastAsia="仿宋"/>
          <w:sz w:val="24"/>
          <w:highlight w:val="none"/>
        </w:rPr>
      </w:pPr>
      <w:r>
        <w:rPr>
          <w:rFonts w:ascii="仿宋" w:hAnsi="仿宋" w:eastAsia="仿宋"/>
          <w:color w:val="000000"/>
          <w:sz w:val="24"/>
          <w:highlight w:val="none"/>
        </w:rPr>
        <w:t>需结合材料矿产量、生产速度、运输加工等综合因素进行考虑，便于采购、施工及维护;</w:t>
      </w:r>
    </w:p>
    <w:p w14:paraId="34278EEC">
      <w:pPr>
        <w:numPr>
          <w:ilvl w:val="0"/>
          <w:numId w:val="32"/>
        </w:numPr>
        <w:spacing w:line="360" w:lineRule="auto"/>
        <w:jc w:val="left"/>
        <w:rPr>
          <w:rFonts w:ascii="仿宋" w:hAnsi="仿宋" w:eastAsia="仿宋"/>
          <w:sz w:val="24"/>
          <w:highlight w:val="none"/>
        </w:rPr>
      </w:pPr>
      <w:r>
        <w:rPr>
          <w:rFonts w:ascii="仿宋" w:hAnsi="仿宋" w:eastAsia="仿宋"/>
          <w:color w:val="000000"/>
          <w:sz w:val="24"/>
          <w:highlight w:val="none"/>
        </w:rPr>
        <w:t>注意方案可实施性，满足快速施工要求及成本控制要求(包括材料选择、施工工艺、结构要求等);</w:t>
      </w:r>
    </w:p>
    <w:p w14:paraId="6704B12B">
      <w:pPr>
        <w:numPr>
          <w:ilvl w:val="0"/>
          <w:numId w:val="32"/>
        </w:numPr>
        <w:spacing w:line="360" w:lineRule="auto"/>
        <w:jc w:val="left"/>
        <w:rPr>
          <w:rFonts w:ascii="仿宋" w:hAnsi="仿宋" w:eastAsia="仿宋"/>
          <w:sz w:val="24"/>
          <w:highlight w:val="none"/>
        </w:rPr>
      </w:pPr>
      <w:r>
        <w:rPr>
          <w:rFonts w:ascii="仿宋" w:hAnsi="仿宋" w:eastAsia="仿宋"/>
          <w:color w:val="000000"/>
          <w:sz w:val="24"/>
          <w:highlight w:val="none"/>
        </w:rPr>
        <w:t>需考虑排版及分派效果，以减少装饰材料的施工损耗；</w:t>
      </w:r>
    </w:p>
    <w:p w14:paraId="4562D34F">
      <w:pPr>
        <w:numPr>
          <w:ilvl w:val="0"/>
          <w:numId w:val="32"/>
        </w:numPr>
        <w:spacing w:line="360" w:lineRule="auto"/>
        <w:jc w:val="left"/>
        <w:rPr>
          <w:rFonts w:ascii="仿宋" w:hAnsi="仿宋" w:eastAsia="仿宋"/>
          <w:sz w:val="24"/>
          <w:highlight w:val="none"/>
        </w:rPr>
      </w:pPr>
      <w:r>
        <w:rPr>
          <w:rFonts w:ascii="仿宋" w:hAnsi="仿宋" w:eastAsia="仿宋"/>
          <w:color w:val="000000"/>
          <w:sz w:val="24"/>
          <w:highlight w:val="none"/>
        </w:rPr>
        <w:t>提供档次材料对比清单，包含对应的项目、做法、价格等内容对比</w:t>
      </w:r>
    </w:p>
    <w:p w14:paraId="45DF3E0A">
      <w:pPr>
        <w:numPr>
          <w:ilvl w:val="0"/>
          <w:numId w:val="32"/>
        </w:numPr>
        <w:spacing w:line="360" w:lineRule="auto"/>
        <w:jc w:val="left"/>
        <w:rPr>
          <w:rFonts w:ascii="仿宋" w:hAnsi="仿宋" w:eastAsia="仿宋"/>
          <w:sz w:val="24"/>
          <w:highlight w:val="none"/>
        </w:rPr>
      </w:pPr>
      <w:r>
        <w:rPr>
          <w:rFonts w:ascii="仿宋" w:hAnsi="仿宋" w:eastAsia="仿宋"/>
          <w:color w:val="000000"/>
          <w:sz w:val="24"/>
          <w:highlight w:val="none"/>
        </w:rPr>
        <w:t>优化设计单位提供的主材品牌表、工程灯具表、洁具表、五金表、机电末端表等，满足设计效果的前提下，综合成本、采购、材料特性、施工工艺、方便维修维护等各方面因素进行选型的优化。</w:t>
      </w:r>
    </w:p>
    <w:p w14:paraId="1DE429D9">
      <w:pPr>
        <w:numPr>
          <w:ilvl w:val="0"/>
          <w:numId w:val="32"/>
        </w:numPr>
        <w:spacing w:line="360" w:lineRule="auto"/>
        <w:jc w:val="left"/>
        <w:rPr>
          <w:rFonts w:ascii="仿宋" w:hAnsi="仿宋" w:eastAsia="仿宋"/>
          <w:sz w:val="24"/>
          <w:highlight w:val="none"/>
        </w:rPr>
      </w:pPr>
      <w:r>
        <w:rPr>
          <w:rFonts w:ascii="仿宋" w:hAnsi="仿宋" w:eastAsia="仿宋"/>
          <w:color w:val="000000"/>
          <w:sz w:val="24"/>
          <w:highlight w:val="none"/>
        </w:rPr>
        <w:t>需提供不满足成本及货期要求的替代材料建议及样板，一式两份，并满足设计效果；</w:t>
      </w:r>
    </w:p>
    <w:p w14:paraId="056A1EAA">
      <w:pPr>
        <w:numPr>
          <w:ilvl w:val="0"/>
          <w:numId w:val="32"/>
        </w:numPr>
        <w:spacing w:line="360" w:lineRule="auto"/>
        <w:jc w:val="left"/>
        <w:rPr>
          <w:rFonts w:ascii="仿宋" w:hAnsi="仿宋" w:eastAsia="仿宋"/>
          <w:sz w:val="24"/>
          <w:highlight w:val="none"/>
        </w:rPr>
      </w:pPr>
      <w:r>
        <w:rPr>
          <w:rFonts w:ascii="仿宋" w:hAnsi="仿宋" w:eastAsia="仿宋"/>
          <w:color w:val="000000"/>
          <w:sz w:val="24"/>
          <w:highlight w:val="none"/>
        </w:rPr>
        <w:t>于甲方材料品牌库中，配合材料品牌库的不同档次挑选满足设计效果要求的材料样板（不少于</w:t>
      </w:r>
      <w:r>
        <w:rPr>
          <w:rFonts w:hint="eastAsia" w:ascii="仿宋" w:hAnsi="仿宋" w:eastAsia="仿宋"/>
          <w:color w:val="000000"/>
          <w:sz w:val="24"/>
          <w:highlight w:val="none"/>
          <w:lang w:val="en-US" w:eastAsia="zh-CN"/>
        </w:rPr>
        <w:t>1</w:t>
      </w:r>
      <w:r>
        <w:rPr>
          <w:rFonts w:ascii="仿宋" w:hAnsi="仿宋" w:eastAsia="仿宋"/>
          <w:color w:val="000000"/>
          <w:sz w:val="24"/>
          <w:highlight w:val="none"/>
        </w:rPr>
        <w:t>家）。</w:t>
      </w:r>
    </w:p>
    <w:p w14:paraId="3FE3C8B4">
      <w:pPr>
        <w:numPr>
          <w:ilvl w:val="0"/>
          <w:numId w:val="0"/>
        </w:numPr>
        <w:spacing w:line="360" w:lineRule="auto"/>
        <w:ind w:left="851" w:leftChars="0"/>
        <w:jc w:val="left"/>
        <w:rPr>
          <w:rFonts w:ascii="仿宋" w:hAnsi="仿宋" w:eastAsia="仿宋"/>
          <w:sz w:val="24"/>
          <w:highlight w:val="none"/>
        </w:rPr>
      </w:pPr>
    </w:p>
    <w:p w14:paraId="7E6963F8">
      <w:pPr>
        <w:pStyle w:val="76"/>
        <w:numPr>
          <w:ilvl w:val="0"/>
          <w:numId w:val="0"/>
        </w:numPr>
        <w:ind w:left="855"/>
        <w:jc w:val="left"/>
        <w:outlineLvl w:val="0"/>
        <w:rPr>
          <w:rFonts w:ascii="仿宋" w:hAnsi="仿宋" w:eastAsia="仿宋"/>
          <w:sz w:val="24"/>
          <w:highlight w:val="none"/>
        </w:rPr>
      </w:pPr>
      <w:r>
        <w:rPr>
          <w:rFonts w:ascii="仿宋" w:hAnsi="仿宋" w:eastAsia="仿宋"/>
          <w:color w:val="000000"/>
          <w:sz w:val="24"/>
          <w:highlight w:val="none"/>
        </w:rPr>
        <w:t>（五）图纸错误及惩罚措施</w:t>
      </w:r>
    </w:p>
    <w:p w14:paraId="5ABCAB90">
      <w:pPr>
        <w:spacing w:line="360" w:lineRule="auto"/>
        <w:ind w:firstLine="480"/>
        <w:jc w:val="left"/>
        <w:rPr>
          <w:rFonts w:ascii="仿宋" w:hAnsi="仿宋" w:eastAsia="仿宋"/>
          <w:color w:val="000000"/>
          <w:sz w:val="24"/>
          <w:highlight w:val="none"/>
        </w:rPr>
      </w:pPr>
      <w:r>
        <w:rPr>
          <w:rFonts w:ascii="仿宋" w:hAnsi="仿宋" w:eastAsia="仿宋"/>
          <w:color w:val="000000"/>
          <w:sz w:val="24"/>
          <w:highlight w:val="none"/>
        </w:rPr>
        <w:t>为了提高设计图纸质量，规范图纸审核内容，各专业图纸的设计深度要求及各专业图纸的错误分类和惩罚措施按附件《</w:t>
      </w:r>
      <w:r>
        <w:rPr>
          <w:rFonts w:hint="eastAsia" w:ascii="仿宋" w:hAnsi="仿宋" w:eastAsia="仿宋"/>
          <w:color w:val="000000"/>
          <w:sz w:val="24"/>
          <w:highlight w:val="none"/>
          <w:lang w:val="en-US" w:eastAsia="zh-CN"/>
        </w:rPr>
        <w:t>广州市智鸿房地产开发有限公司</w:t>
      </w:r>
      <w:r>
        <w:rPr>
          <w:rFonts w:ascii="仿宋" w:hAnsi="仿宋" w:eastAsia="仿宋"/>
          <w:color w:val="000000"/>
          <w:sz w:val="24"/>
          <w:highlight w:val="none"/>
        </w:rPr>
        <w:t>设计文件深度和设计错误的分类及惩罚措施（室内设计）》执行。</w:t>
      </w:r>
    </w:p>
    <w:p w14:paraId="66B0F12A">
      <w:pPr>
        <w:spacing w:line="360" w:lineRule="auto"/>
        <w:ind w:firstLine="480"/>
        <w:jc w:val="left"/>
        <w:rPr>
          <w:rFonts w:ascii="仿宋" w:hAnsi="仿宋" w:eastAsia="仿宋"/>
          <w:color w:val="000000"/>
          <w:sz w:val="24"/>
          <w:highlight w:val="none"/>
        </w:rPr>
      </w:pPr>
    </w:p>
    <w:p w14:paraId="218B779B">
      <w:pPr>
        <w:pStyle w:val="76"/>
        <w:numPr>
          <w:ilvl w:val="0"/>
          <w:numId w:val="0"/>
        </w:numPr>
        <w:ind w:firstLine="482" w:firstLineChars="200"/>
        <w:jc w:val="left"/>
        <w:outlineLvl w:val="0"/>
        <w:rPr>
          <w:rFonts w:ascii="仿宋" w:hAnsi="仿宋" w:eastAsia="仿宋"/>
          <w:sz w:val="24"/>
          <w:highlight w:val="none"/>
        </w:rPr>
      </w:pPr>
      <w:r>
        <w:rPr>
          <w:rFonts w:ascii="仿宋" w:hAnsi="仿宋" w:eastAsia="仿宋"/>
          <w:color w:val="000000"/>
          <w:sz w:val="24"/>
          <w:highlight w:val="none"/>
        </w:rPr>
        <w:t>（六）现场施工配合内容及工作，包括但不限于：</w:t>
      </w:r>
    </w:p>
    <w:p w14:paraId="71FBCC92">
      <w:pPr>
        <w:numPr>
          <w:ilvl w:val="0"/>
          <w:numId w:val="33"/>
        </w:numPr>
        <w:spacing w:line="360" w:lineRule="auto"/>
        <w:ind w:left="42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乙方应负责向甲方选择的施工单位解释设计意图及施工内容，并负责进行技术交底。主持施工现场技术交底，及时解决各专业之间存在的技术冲突。</w:t>
      </w:r>
    </w:p>
    <w:p w14:paraId="5DA9D49E">
      <w:pPr>
        <w:numPr>
          <w:ilvl w:val="0"/>
          <w:numId w:val="33"/>
        </w:numPr>
        <w:spacing w:line="360" w:lineRule="auto"/>
        <w:ind w:left="42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乙方应按甲方或监理单位的要求，参加重要节点的工程验收；由于乙方原因需要对原设计做出修改时，乙方应无偿并及时完成相应的设计修改、且及时出图。</w:t>
      </w:r>
    </w:p>
    <w:p w14:paraId="0AFEFB4C">
      <w:pPr>
        <w:numPr>
          <w:ilvl w:val="0"/>
          <w:numId w:val="33"/>
        </w:numPr>
        <w:spacing w:line="360" w:lineRule="auto"/>
        <w:ind w:left="42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乙方在收到甲方书面提出的设计问题后，一般应在24小时内给予书面答复，最迟不应超过48小时提供设计变更单（重大设计变更除外）。</w:t>
      </w:r>
    </w:p>
    <w:p w14:paraId="0079A67C">
      <w:pPr>
        <w:numPr>
          <w:ilvl w:val="0"/>
          <w:numId w:val="33"/>
        </w:numPr>
        <w:spacing w:line="360" w:lineRule="auto"/>
        <w:ind w:left="42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乙方提供施工现场服务，对施工单位提出的设计疑问进行设计复核，并于48小时内提供解决方案。</w:t>
      </w:r>
    </w:p>
    <w:p w14:paraId="13A0525D">
      <w:pPr>
        <w:numPr>
          <w:ilvl w:val="0"/>
          <w:numId w:val="33"/>
        </w:numPr>
        <w:spacing w:line="360" w:lineRule="auto"/>
        <w:ind w:left="42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如上述操作未能有效解决，乙方保证在收到甲方通知</w:t>
      </w:r>
      <w:r>
        <w:rPr>
          <w:rFonts w:hint="eastAsia" w:ascii="仿宋" w:hAnsi="仿宋" w:eastAsia="仿宋"/>
          <w:color w:val="000000"/>
          <w:sz w:val="24"/>
          <w:highlight w:val="none"/>
          <w:lang w:eastAsia="zh-CN"/>
        </w:rPr>
        <w:t>的双方</w:t>
      </w:r>
      <w:r>
        <w:rPr>
          <w:rFonts w:ascii="仿宋" w:hAnsi="仿宋" w:eastAsia="仿宋"/>
          <w:color w:val="000000"/>
          <w:sz w:val="24"/>
          <w:highlight w:val="none"/>
        </w:rPr>
        <w:t>后72小时</w:t>
      </w:r>
      <w:r>
        <w:rPr>
          <w:rFonts w:hint="eastAsia" w:ascii="仿宋" w:hAnsi="仿宋" w:eastAsia="仿宋"/>
          <w:color w:val="000000"/>
          <w:sz w:val="24"/>
          <w:highlight w:val="none"/>
          <w:lang w:eastAsia="zh-CN"/>
        </w:rPr>
        <w:t>约定时间</w:t>
      </w:r>
      <w:r>
        <w:rPr>
          <w:rFonts w:ascii="仿宋" w:hAnsi="仿宋" w:eastAsia="仿宋"/>
          <w:color w:val="000000"/>
          <w:sz w:val="24"/>
          <w:highlight w:val="none"/>
        </w:rPr>
        <w:t>内派合格技术人员到现场提供服务，若乙方不能72小时内</w:t>
      </w:r>
      <w:r>
        <w:rPr>
          <w:rFonts w:hint="eastAsia" w:ascii="仿宋" w:hAnsi="仿宋" w:eastAsia="仿宋"/>
          <w:color w:val="000000"/>
          <w:sz w:val="24"/>
          <w:highlight w:val="none"/>
          <w:lang w:eastAsia="zh-CN"/>
        </w:rPr>
        <w:t>约定时间内</w:t>
      </w:r>
      <w:r>
        <w:rPr>
          <w:rFonts w:ascii="仿宋" w:hAnsi="仿宋" w:eastAsia="仿宋"/>
          <w:color w:val="000000"/>
          <w:sz w:val="24"/>
          <w:highlight w:val="none"/>
        </w:rPr>
        <w:t>派出合适的人员，甲方有权扣除1000元/人/次作为违约金。施工深化图的审查。乙方需负责对服务范围内各专业提供的施工深化图或建议优化方案进行审查，并在五个</w:t>
      </w:r>
      <w:r>
        <w:rPr>
          <w:rFonts w:hint="eastAsia" w:ascii="仿宋" w:hAnsi="仿宋" w:eastAsia="仿宋"/>
          <w:color w:val="000000"/>
          <w:sz w:val="24"/>
          <w:highlight w:val="none"/>
          <w:lang w:eastAsia="zh-CN"/>
        </w:rPr>
        <w:t>工作</w:t>
      </w:r>
      <w:r>
        <w:rPr>
          <w:rFonts w:ascii="仿宋" w:hAnsi="仿宋" w:eastAsia="仿宋"/>
          <w:color w:val="000000"/>
          <w:sz w:val="24"/>
          <w:highlight w:val="none"/>
        </w:rPr>
        <w:t>天内完成对施工深化图或优化方案的审核并回复意见予甲方。乙方需对深化图的准确性及效果负责，若乙方审核未发现设计错漏造成现场效果问题，甲方有权按照人民币2000元/条扣除乙方的设计费。</w:t>
      </w:r>
    </w:p>
    <w:p w14:paraId="16776257">
      <w:pPr>
        <w:numPr>
          <w:ilvl w:val="0"/>
          <w:numId w:val="33"/>
        </w:numPr>
        <w:spacing w:line="360" w:lineRule="auto"/>
        <w:ind w:left="42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根据甲方按施工进度提出的合理要求，乙方在一般情况下保证在收到甲方通知</w:t>
      </w:r>
      <w:r>
        <w:rPr>
          <w:rFonts w:hint="eastAsia" w:ascii="仿宋" w:hAnsi="仿宋" w:eastAsia="仿宋"/>
          <w:color w:val="000000"/>
          <w:sz w:val="24"/>
          <w:highlight w:val="none"/>
          <w:lang w:eastAsia="zh-CN"/>
        </w:rPr>
        <w:t>的双方</w:t>
      </w:r>
      <w:r>
        <w:rPr>
          <w:rFonts w:ascii="仿宋" w:hAnsi="仿宋" w:eastAsia="仿宋"/>
          <w:color w:val="000000"/>
          <w:sz w:val="24"/>
          <w:highlight w:val="none"/>
        </w:rPr>
        <w:t>后48小时</w:t>
      </w:r>
      <w:r>
        <w:rPr>
          <w:rFonts w:hint="eastAsia" w:ascii="仿宋" w:hAnsi="仿宋" w:eastAsia="仿宋"/>
          <w:color w:val="000000"/>
          <w:sz w:val="24"/>
          <w:highlight w:val="none"/>
          <w:lang w:eastAsia="zh-CN"/>
        </w:rPr>
        <w:t>约定时间</w:t>
      </w:r>
      <w:r>
        <w:rPr>
          <w:rFonts w:ascii="仿宋" w:hAnsi="仿宋" w:eastAsia="仿宋"/>
          <w:color w:val="000000"/>
          <w:sz w:val="24"/>
          <w:highlight w:val="none"/>
        </w:rPr>
        <w:t>内派合格技术人员到现场提供服务或通过邮件、视频会议解决（具体处理方式由现场情况而定）；若乙方未能达成上述要求，甲方有权扣除1000元/人/次作为违约金。</w:t>
      </w:r>
    </w:p>
    <w:p w14:paraId="6839F1AF">
      <w:pPr>
        <w:numPr>
          <w:ilvl w:val="0"/>
          <w:numId w:val="33"/>
        </w:numPr>
        <w:spacing w:line="360" w:lineRule="auto"/>
        <w:ind w:left="42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协助承包商对施工与设计示意的理解，并进行设计交底工作。</w:t>
      </w:r>
    </w:p>
    <w:p w14:paraId="7C0B340C">
      <w:pPr>
        <w:numPr>
          <w:ilvl w:val="0"/>
          <w:numId w:val="33"/>
        </w:numPr>
        <w:spacing w:line="360" w:lineRule="auto"/>
        <w:ind w:left="42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协助甲方审查材料样板，并填写材料审批表，直至项目完工为止。</w:t>
      </w:r>
    </w:p>
    <w:p w14:paraId="5CF045FE">
      <w:pPr>
        <w:numPr>
          <w:ilvl w:val="0"/>
          <w:numId w:val="33"/>
        </w:numPr>
        <w:spacing w:line="360" w:lineRule="auto"/>
        <w:ind w:left="42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须配合设计范围内的竣工验收，以及梳理施工过程中的设计变更进行梳理统计等工作。</w:t>
      </w:r>
    </w:p>
    <w:p w14:paraId="574B11C1">
      <w:pPr>
        <w:numPr>
          <w:ilvl w:val="0"/>
          <w:numId w:val="33"/>
        </w:numPr>
        <w:spacing w:line="360" w:lineRule="auto"/>
        <w:ind w:left="42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负责施工现场设计指导，并从设计角度进行施工监督，发布对现场施工不能满足或不符合设计要求的问题列表，于缺陷修补完成后跟进验收。</w:t>
      </w:r>
    </w:p>
    <w:p w14:paraId="308B284D">
      <w:pPr>
        <w:numPr>
          <w:ilvl w:val="0"/>
          <w:numId w:val="33"/>
        </w:numPr>
        <w:spacing w:line="360" w:lineRule="auto"/>
        <w:ind w:left="42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在本项目工程竣工后，如果在使用过程中发现了质量问题，乙方应积极参与质量事故分析。若经权威机构分析证实是设计缺陷所致，则乙方应完善设计方案及建议补救措施，并赔偿甲方因此造成的全部直接和间接损失。</w:t>
      </w:r>
    </w:p>
    <w:p w14:paraId="7236A7C9">
      <w:pPr>
        <w:numPr>
          <w:ilvl w:val="0"/>
          <w:numId w:val="33"/>
        </w:numPr>
        <w:spacing w:line="360" w:lineRule="auto"/>
        <w:ind w:left="42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施工期间需对现场进行效果把控，负责现场技术工作的落实情况，遵照施工图与其他专业沟通，并及时向甲方进行汇报，按要求提交现场勘察报告成果。</w:t>
      </w:r>
    </w:p>
    <w:p w14:paraId="0A39878F">
      <w:pPr>
        <w:numPr>
          <w:ilvl w:val="0"/>
          <w:numId w:val="33"/>
        </w:numPr>
        <w:spacing w:line="360" w:lineRule="auto"/>
        <w:ind w:left="42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设计变更图纸数量打印一式</w:t>
      </w:r>
      <w:r>
        <w:rPr>
          <w:rFonts w:hint="eastAsia" w:ascii="仿宋" w:hAnsi="仿宋" w:eastAsia="仿宋"/>
          <w:color w:val="000000"/>
          <w:sz w:val="24"/>
          <w:highlight w:val="none"/>
          <w:lang w:val="en-US" w:eastAsia="zh-CN"/>
        </w:rPr>
        <w:t>八</w:t>
      </w:r>
      <w:r>
        <w:rPr>
          <w:rFonts w:ascii="仿宋" w:hAnsi="仿宋" w:eastAsia="仿宋"/>
          <w:color w:val="000000"/>
          <w:sz w:val="24"/>
          <w:highlight w:val="none"/>
        </w:rPr>
        <w:t>份。</w:t>
      </w:r>
    </w:p>
    <w:p w14:paraId="4ACF16E4">
      <w:pPr>
        <w:numPr>
          <w:ilvl w:val="0"/>
          <w:numId w:val="33"/>
        </w:numPr>
        <w:spacing w:line="360" w:lineRule="auto"/>
        <w:ind w:left="425" w:leftChars="0" w:hanging="425" w:firstLineChars="0"/>
        <w:jc w:val="left"/>
        <w:rPr>
          <w:rFonts w:ascii="仿宋" w:hAnsi="仿宋" w:eastAsia="仿宋"/>
          <w:color w:val="000000"/>
          <w:sz w:val="24"/>
          <w:highlight w:val="none"/>
        </w:rPr>
      </w:pPr>
      <w:r>
        <w:rPr>
          <w:rFonts w:ascii="仿宋" w:hAnsi="仿宋" w:eastAsia="仿宋"/>
          <w:color w:val="000000"/>
          <w:sz w:val="24"/>
          <w:highlight w:val="none"/>
        </w:rPr>
        <w:t>本项目不需乙方提供驻场服务，如有需要另行协商费用。</w:t>
      </w:r>
    </w:p>
    <w:p w14:paraId="0585A309">
      <w:pPr>
        <w:spacing w:line="360" w:lineRule="auto"/>
        <w:ind w:firstLine="240"/>
        <w:jc w:val="left"/>
        <w:rPr>
          <w:rFonts w:ascii="仿宋" w:hAnsi="仿宋" w:eastAsia="仿宋"/>
          <w:sz w:val="24"/>
          <w:highlight w:val="none"/>
        </w:rPr>
      </w:pPr>
      <w:r>
        <w:rPr>
          <w:rFonts w:ascii="仿宋" w:hAnsi="仿宋" w:eastAsia="仿宋"/>
          <w:color w:val="000000"/>
          <w:sz w:val="24"/>
          <w:highlight w:val="none"/>
        </w:rPr>
        <w:t>附件：</w:t>
      </w:r>
      <w:r>
        <w:rPr>
          <w:rFonts w:hint="eastAsia" w:ascii="仿宋" w:hAnsi="仿宋" w:eastAsia="仿宋"/>
          <w:color w:val="000000"/>
          <w:sz w:val="24"/>
          <w:highlight w:val="none"/>
          <w:lang w:val="en-US" w:eastAsia="zh-CN"/>
        </w:rPr>
        <w:t>广州市智鸿房地产开发有限公司设计</w:t>
      </w:r>
      <w:r>
        <w:rPr>
          <w:rFonts w:ascii="仿宋" w:hAnsi="仿宋" w:eastAsia="仿宋"/>
          <w:color w:val="000000"/>
          <w:sz w:val="24"/>
          <w:highlight w:val="none"/>
        </w:rPr>
        <w:t>文件深度和设计错误的分类及惩罚措施</w:t>
      </w:r>
    </w:p>
    <w:p w14:paraId="69CF1CFB">
      <w:pPr>
        <w:spacing w:line="360" w:lineRule="auto"/>
        <w:jc w:val="left"/>
        <w:rPr>
          <w:rFonts w:ascii="仿宋" w:hAnsi="仿宋" w:eastAsia="仿宋"/>
          <w:sz w:val="24"/>
          <w:highlight w:val="none"/>
        </w:rPr>
      </w:pPr>
    </w:p>
    <w:p w14:paraId="131B510C">
      <w:pPr>
        <w:spacing w:line="360" w:lineRule="auto"/>
        <w:jc w:val="left"/>
        <w:rPr>
          <w:rFonts w:ascii="仿宋" w:hAnsi="仿宋" w:eastAsia="仿宋"/>
          <w:sz w:val="24"/>
          <w:highlight w:val="none"/>
        </w:rPr>
      </w:pPr>
    </w:p>
    <w:p w14:paraId="1164348C">
      <w:pPr>
        <w:spacing w:line="276" w:lineRule="auto"/>
        <w:ind w:right="160"/>
        <w:jc w:val="right"/>
        <w:rPr>
          <w:rFonts w:ascii="仿宋" w:hAnsi="仿宋" w:eastAsia="仿宋"/>
          <w:sz w:val="24"/>
          <w:highlight w:val="none"/>
        </w:rPr>
      </w:pPr>
      <w:r>
        <w:rPr>
          <w:rFonts w:ascii="仿宋" w:hAnsi="仿宋" w:eastAsia="仿宋"/>
          <w:sz w:val="28"/>
          <w:highlight w:val="none"/>
        </w:rPr>
        <w:t>二〇二</w:t>
      </w:r>
      <w:r>
        <w:rPr>
          <w:rFonts w:hint="eastAsia" w:ascii="仿宋" w:hAnsi="仿宋" w:eastAsia="仿宋"/>
          <w:sz w:val="28"/>
          <w:highlight w:val="none"/>
          <w:lang w:val="en-US" w:eastAsia="zh-CN"/>
        </w:rPr>
        <w:t>五</w:t>
      </w:r>
      <w:r>
        <w:rPr>
          <w:rFonts w:ascii="仿宋" w:hAnsi="仿宋" w:eastAsia="仿宋"/>
          <w:sz w:val="28"/>
          <w:highlight w:val="none"/>
        </w:rPr>
        <w:t>年</w:t>
      </w:r>
      <w:r>
        <w:rPr>
          <w:rFonts w:hint="eastAsia" w:ascii="仿宋" w:hAnsi="仿宋" w:eastAsia="仿宋"/>
          <w:sz w:val="28"/>
          <w:highlight w:val="none"/>
          <w:lang w:eastAsia="zh-CN"/>
        </w:rPr>
        <w:t>九</w:t>
      </w:r>
      <w:r>
        <w:rPr>
          <w:rFonts w:ascii="仿宋" w:hAnsi="仿宋" w:eastAsia="仿宋"/>
          <w:sz w:val="28"/>
          <w:highlight w:val="none"/>
        </w:rPr>
        <w:t>月</w:t>
      </w:r>
      <w:r>
        <w:rPr>
          <w:rFonts w:hint="eastAsia" w:ascii="仿宋" w:hAnsi="仿宋" w:eastAsia="仿宋"/>
          <w:sz w:val="28"/>
          <w:highlight w:val="none"/>
          <w:lang w:eastAsia="zh-CN"/>
        </w:rPr>
        <w:t>二十六</w:t>
      </w:r>
      <w:r>
        <w:rPr>
          <w:rFonts w:ascii="仿宋" w:hAnsi="仿宋" w:eastAsia="仿宋"/>
          <w:sz w:val="28"/>
          <w:highlight w:val="none"/>
        </w:rPr>
        <w:t>日</w:t>
      </w:r>
    </w:p>
    <w:p w14:paraId="69E4652A">
      <w:pPr>
        <w:spacing w:line="312" w:lineRule="auto"/>
        <w:jc w:val="left"/>
        <w:rPr>
          <w:rFonts w:ascii="仿宋" w:hAnsi="仿宋" w:eastAsia="仿宋"/>
          <w:sz w:val="24"/>
          <w:highlight w:val="none"/>
        </w:rPr>
      </w:pPr>
    </w:p>
    <w:p w14:paraId="7721AD60">
      <w:pPr>
        <w:spacing w:line="312" w:lineRule="auto"/>
        <w:jc w:val="left"/>
        <w:rPr>
          <w:rFonts w:ascii="仿宋" w:hAnsi="仿宋" w:eastAsia="仿宋"/>
          <w:sz w:val="24"/>
          <w:highlight w:val="none"/>
        </w:rPr>
      </w:pPr>
    </w:p>
    <w:p w14:paraId="739C747D">
      <w:pPr>
        <w:spacing w:line="312" w:lineRule="auto"/>
        <w:jc w:val="left"/>
        <w:rPr>
          <w:rFonts w:ascii="仿宋" w:hAnsi="仿宋" w:eastAsia="仿宋"/>
          <w:sz w:val="24"/>
          <w:highlight w:val="none"/>
        </w:rPr>
      </w:pPr>
    </w:p>
    <w:p w14:paraId="510F0B89">
      <w:pPr>
        <w:spacing w:line="312" w:lineRule="auto"/>
        <w:jc w:val="left"/>
        <w:rPr>
          <w:rFonts w:ascii="仿宋" w:hAnsi="仿宋" w:eastAsia="仿宋"/>
          <w:sz w:val="24"/>
          <w:highlight w:val="none"/>
        </w:rPr>
      </w:pPr>
    </w:p>
    <w:p w14:paraId="67345E4D">
      <w:pPr>
        <w:spacing w:line="312" w:lineRule="auto"/>
        <w:jc w:val="left"/>
        <w:rPr>
          <w:rFonts w:ascii="仿宋" w:hAnsi="仿宋" w:eastAsia="仿宋"/>
          <w:sz w:val="24"/>
          <w:highlight w:val="none"/>
        </w:rPr>
      </w:pPr>
    </w:p>
    <w:p w14:paraId="45BD8ABC">
      <w:pPr>
        <w:spacing w:line="312" w:lineRule="auto"/>
        <w:jc w:val="left"/>
        <w:rPr>
          <w:rFonts w:ascii="仿宋" w:hAnsi="仿宋" w:eastAsia="仿宋"/>
          <w:sz w:val="24"/>
          <w:highlight w:val="none"/>
        </w:rPr>
      </w:pPr>
    </w:p>
    <w:p w14:paraId="14B947FB">
      <w:pPr>
        <w:spacing w:line="312" w:lineRule="auto"/>
        <w:jc w:val="left"/>
        <w:rPr>
          <w:rFonts w:ascii="仿宋" w:hAnsi="仿宋" w:eastAsia="仿宋"/>
          <w:sz w:val="24"/>
          <w:highlight w:val="none"/>
        </w:rPr>
      </w:pPr>
    </w:p>
    <w:p w14:paraId="352339FF">
      <w:pPr>
        <w:spacing w:line="312" w:lineRule="auto"/>
        <w:jc w:val="left"/>
        <w:rPr>
          <w:rFonts w:ascii="仿宋" w:hAnsi="仿宋" w:eastAsia="仿宋"/>
          <w:sz w:val="24"/>
          <w:highlight w:val="none"/>
        </w:rPr>
      </w:pPr>
    </w:p>
    <w:p w14:paraId="22AD794F">
      <w:pPr>
        <w:spacing w:line="312" w:lineRule="auto"/>
        <w:jc w:val="left"/>
        <w:rPr>
          <w:rFonts w:ascii="仿宋" w:hAnsi="仿宋" w:eastAsia="仿宋"/>
          <w:sz w:val="24"/>
          <w:highlight w:val="none"/>
        </w:rPr>
      </w:pPr>
    </w:p>
    <w:p w14:paraId="016AF07C">
      <w:pPr>
        <w:spacing w:line="312" w:lineRule="auto"/>
        <w:jc w:val="left"/>
        <w:rPr>
          <w:rFonts w:ascii="仿宋" w:hAnsi="仿宋" w:eastAsia="仿宋"/>
          <w:sz w:val="24"/>
          <w:highlight w:val="none"/>
        </w:rPr>
      </w:pPr>
    </w:p>
    <w:p w14:paraId="23953581">
      <w:pPr>
        <w:spacing w:line="312" w:lineRule="auto"/>
        <w:jc w:val="left"/>
        <w:rPr>
          <w:rFonts w:ascii="仿宋" w:hAnsi="仿宋" w:eastAsia="仿宋"/>
          <w:sz w:val="24"/>
          <w:highlight w:val="none"/>
        </w:rPr>
      </w:pPr>
    </w:p>
    <w:p w14:paraId="6CB12426">
      <w:pPr>
        <w:spacing w:line="312" w:lineRule="auto"/>
        <w:jc w:val="left"/>
        <w:rPr>
          <w:rFonts w:ascii="仿宋" w:hAnsi="仿宋" w:eastAsia="仿宋"/>
          <w:sz w:val="24"/>
          <w:highlight w:val="none"/>
        </w:rPr>
      </w:pPr>
    </w:p>
    <w:p w14:paraId="2F351A88">
      <w:pPr>
        <w:spacing w:line="312" w:lineRule="auto"/>
        <w:jc w:val="left"/>
        <w:rPr>
          <w:rFonts w:ascii="仿宋" w:hAnsi="仿宋" w:eastAsia="仿宋"/>
          <w:sz w:val="24"/>
          <w:highlight w:val="none"/>
        </w:rPr>
      </w:pPr>
      <w:r>
        <w:rPr>
          <w:rFonts w:ascii="仿宋" w:hAnsi="仿宋" w:eastAsia="仿宋"/>
          <w:sz w:val="24"/>
          <w:highlight w:val="none"/>
        </w:rPr>
        <w:t>设计任务书附件</w:t>
      </w:r>
    </w:p>
    <w:p w14:paraId="1C35C1ED">
      <w:pPr>
        <w:jc w:val="center"/>
        <w:rPr>
          <w:rFonts w:hint="eastAsia" w:ascii="宋体;SimSun" w:hAnsi="宋体;SimSun"/>
          <w:b/>
          <w:sz w:val="28"/>
          <w:highlight w:val="none"/>
          <w:lang w:val="en-US" w:eastAsia="zh-CN"/>
        </w:rPr>
      </w:pPr>
      <w:r>
        <w:rPr>
          <w:rFonts w:hint="eastAsia" w:ascii="宋体;SimSun" w:hAnsi="宋体;SimSun"/>
          <w:b/>
          <w:sz w:val="28"/>
          <w:highlight w:val="none"/>
          <w:lang w:val="en-US" w:eastAsia="zh-CN"/>
        </w:rPr>
        <w:t>广州市智</w:t>
      </w:r>
      <w:r>
        <w:rPr>
          <w:rFonts w:hint="eastAsia" w:ascii="宋体;SimSun" w:hAnsi="宋体;SimSun" w:eastAsia="宋体;SimSun"/>
          <w:b/>
          <w:color w:val="auto"/>
          <w:sz w:val="28"/>
          <w:highlight w:val="none"/>
          <w:lang w:val="en-US" w:eastAsia="zh-CN"/>
        </w:rPr>
        <w:t>鸿</w:t>
      </w:r>
      <w:r>
        <w:rPr>
          <w:rFonts w:hint="eastAsia" w:ascii="宋体;SimSun" w:hAnsi="宋体;SimSun"/>
          <w:b/>
          <w:sz w:val="28"/>
          <w:highlight w:val="none"/>
          <w:lang w:val="en-US" w:eastAsia="zh-CN"/>
        </w:rPr>
        <w:t>房地产开发有限公司</w:t>
      </w:r>
    </w:p>
    <w:p w14:paraId="59E28690">
      <w:pPr>
        <w:jc w:val="center"/>
        <w:rPr>
          <w:rFonts w:ascii="仿宋" w:hAnsi="仿宋" w:eastAsia="仿宋"/>
          <w:sz w:val="24"/>
          <w:highlight w:val="none"/>
        </w:rPr>
      </w:pPr>
      <w:r>
        <w:rPr>
          <w:rFonts w:ascii="宋体;SimSun" w:hAnsi="宋体;SimSun"/>
          <w:b/>
          <w:sz w:val="28"/>
          <w:highlight w:val="none"/>
        </w:rPr>
        <w:t>设计文件深度和设计错误的分类及惩罚措施</w:t>
      </w:r>
    </w:p>
    <w:p w14:paraId="02D34164">
      <w:pPr>
        <w:jc w:val="center"/>
        <w:rPr>
          <w:rFonts w:ascii="仿宋" w:hAnsi="仿宋" w:eastAsia="仿宋"/>
          <w:sz w:val="24"/>
          <w:highlight w:val="none"/>
        </w:rPr>
      </w:pPr>
      <w:r>
        <w:rPr>
          <w:rFonts w:ascii="宋体;SimSun" w:hAnsi="宋体;SimSun"/>
          <w:b/>
          <w:sz w:val="28"/>
          <w:highlight w:val="none"/>
        </w:rPr>
        <w:t>（室内设计）</w:t>
      </w:r>
    </w:p>
    <w:p w14:paraId="710DDE97">
      <w:pPr>
        <w:spacing w:line="360" w:lineRule="auto"/>
        <w:jc w:val="center"/>
        <w:rPr>
          <w:rFonts w:ascii="仿宋" w:hAnsi="仿宋" w:eastAsia="仿宋"/>
          <w:sz w:val="24"/>
          <w:highlight w:val="none"/>
        </w:rPr>
      </w:pPr>
    </w:p>
    <w:p w14:paraId="56E45F18">
      <w:pPr>
        <w:spacing w:line="360" w:lineRule="auto"/>
        <w:rPr>
          <w:rFonts w:ascii="仿宋" w:hAnsi="仿宋" w:eastAsia="仿宋"/>
          <w:sz w:val="24"/>
          <w:highlight w:val="none"/>
        </w:rPr>
      </w:pPr>
      <w:r>
        <w:rPr>
          <w:rFonts w:ascii="宋体;SimSun" w:hAnsi="宋体;SimSun"/>
          <w:highlight w:val="none"/>
        </w:rPr>
        <w:t xml:space="preserve">  </w:t>
      </w:r>
      <w:r>
        <w:rPr>
          <w:rFonts w:hint="eastAsia" w:ascii="宋体;SimSun" w:hAnsi="宋体;SimSun" w:eastAsia="宋体"/>
          <w:highlight w:val="none"/>
          <w:lang w:val="en-US" w:eastAsia="zh-CN"/>
        </w:rPr>
        <w:t xml:space="preserve">         </w:t>
      </w:r>
      <w:r>
        <w:rPr>
          <w:rFonts w:ascii="仿宋" w:hAnsi="仿宋" w:eastAsia="仿宋"/>
          <w:color w:val="000000"/>
          <w:sz w:val="24"/>
          <w:highlight w:val="none"/>
        </w:rPr>
        <w:t>针对以往工程的图纸错误较多及深度不够等质量问题，造成甲方经济损失，特制定出各专业图纸的设计深度要求及各专业图纸的错误分类和惩罚措施。</w:t>
      </w:r>
    </w:p>
    <w:p w14:paraId="0C1000D6">
      <w:pPr>
        <w:spacing w:line="360" w:lineRule="auto"/>
        <w:rPr>
          <w:rFonts w:ascii="仿宋" w:hAnsi="仿宋" w:eastAsia="仿宋"/>
          <w:sz w:val="24"/>
          <w:highlight w:val="none"/>
        </w:rPr>
      </w:pPr>
      <w:r>
        <w:rPr>
          <w:rFonts w:ascii="仿宋" w:hAnsi="仿宋" w:eastAsia="仿宋"/>
          <w:color w:val="000000"/>
          <w:sz w:val="24"/>
          <w:highlight w:val="none"/>
        </w:rPr>
        <w:t>一、设计深度</w:t>
      </w:r>
    </w:p>
    <w:p w14:paraId="40B2B437">
      <w:pPr>
        <w:spacing w:line="360" w:lineRule="auto"/>
        <w:ind w:firstLine="480"/>
        <w:rPr>
          <w:rFonts w:ascii="仿宋" w:hAnsi="仿宋" w:eastAsia="仿宋"/>
          <w:sz w:val="24"/>
          <w:highlight w:val="none"/>
        </w:rPr>
      </w:pPr>
      <w:r>
        <w:rPr>
          <w:rFonts w:ascii="仿宋" w:hAnsi="仿宋" w:eastAsia="仿宋"/>
          <w:color w:val="000000"/>
          <w:sz w:val="24"/>
          <w:highlight w:val="none"/>
        </w:rPr>
        <w:t>各阶段设计的深度要求应遵照建设部编制的各类建筑工程设计文件编制深度的规定、《06SJ803：民用建筑工程室内施工图设计深度图样》以及甲方提供的设计深度（如有）等要求执行。</w:t>
      </w:r>
    </w:p>
    <w:p w14:paraId="06080BA8">
      <w:pPr>
        <w:spacing w:line="360" w:lineRule="auto"/>
        <w:rPr>
          <w:rFonts w:ascii="仿宋" w:hAnsi="仿宋" w:eastAsia="仿宋"/>
          <w:sz w:val="24"/>
          <w:highlight w:val="none"/>
        </w:rPr>
      </w:pPr>
      <w:r>
        <w:rPr>
          <w:rFonts w:ascii="仿宋" w:hAnsi="仿宋" w:eastAsia="仿宋"/>
          <w:color w:val="000000"/>
          <w:sz w:val="24"/>
          <w:highlight w:val="none"/>
        </w:rPr>
        <w:t>二、图纸的错误分类</w:t>
      </w:r>
    </w:p>
    <w:p w14:paraId="2D505278">
      <w:pPr>
        <w:spacing w:line="360" w:lineRule="auto"/>
        <w:rPr>
          <w:rFonts w:ascii="仿宋" w:hAnsi="仿宋" w:eastAsia="仿宋"/>
          <w:sz w:val="24"/>
          <w:highlight w:val="none"/>
        </w:rPr>
      </w:pPr>
      <w:r>
        <w:rPr>
          <w:rFonts w:ascii="仿宋" w:hAnsi="仿宋" w:eastAsia="仿宋"/>
          <w:color w:val="000000"/>
          <w:sz w:val="24"/>
          <w:highlight w:val="none"/>
        </w:rPr>
        <w:t>1、I类错误：</w:t>
      </w:r>
    </w:p>
    <w:p w14:paraId="333E3240">
      <w:pPr>
        <w:spacing w:line="360" w:lineRule="auto"/>
        <w:ind w:firstLine="480"/>
        <w:rPr>
          <w:rFonts w:ascii="仿宋" w:hAnsi="仿宋" w:eastAsia="仿宋"/>
          <w:sz w:val="24"/>
          <w:highlight w:val="none"/>
        </w:rPr>
      </w:pPr>
      <w:r>
        <w:rPr>
          <w:rFonts w:ascii="仿宋" w:hAnsi="仿宋" w:eastAsia="仿宋"/>
          <w:color w:val="000000"/>
          <w:sz w:val="24"/>
          <w:highlight w:val="none"/>
        </w:rPr>
        <w:t>A、严重违反规范、标准、规定（含规范中所有强制性条文），有可能造成严重影响安全和使用的错误.严重影响装修完成效果的错误。如：</w:t>
      </w:r>
    </w:p>
    <w:p w14:paraId="02609F35">
      <w:pPr>
        <w:spacing w:line="360" w:lineRule="auto"/>
        <w:ind w:firstLine="480"/>
        <w:jc w:val="left"/>
        <w:rPr>
          <w:rFonts w:ascii="仿宋" w:hAnsi="仿宋" w:eastAsia="仿宋"/>
          <w:sz w:val="24"/>
          <w:highlight w:val="none"/>
        </w:rPr>
      </w:pPr>
      <w:r>
        <w:rPr>
          <w:rFonts w:ascii="仿宋" w:hAnsi="仿宋" w:eastAsia="仿宋"/>
          <w:color w:val="000000"/>
          <w:sz w:val="24"/>
          <w:highlight w:val="none"/>
        </w:rPr>
        <w:t xml:space="preserve">材料：材料的选用未能达到国家规范的防火等级要求，不满足消防要求的错误；材料的选用未能达到国家规范和行业规范的环保要求的错误；材料的选用与确认效果图效果在质感、颜色、光泽、质量等有较大的差异，达不到确认的装修效果的错误；因设计、施工图、材料选版等原因需材料更换造成重大经济损失的错误。 </w:t>
      </w:r>
    </w:p>
    <w:p w14:paraId="731B6B25">
      <w:pPr>
        <w:spacing w:line="360" w:lineRule="auto"/>
        <w:ind w:firstLine="480"/>
        <w:jc w:val="left"/>
        <w:rPr>
          <w:rFonts w:ascii="仿宋" w:hAnsi="仿宋" w:eastAsia="仿宋"/>
          <w:sz w:val="24"/>
          <w:highlight w:val="none"/>
        </w:rPr>
      </w:pPr>
      <w:r>
        <w:rPr>
          <w:rFonts w:ascii="仿宋" w:hAnsi="仿宋" w:eastAsia="仿宋"/>
          <w:color w:val="000000"/>
          <w:sz w:val="24"/>
          <w:highlight w:val="none"/>
        </w:rPr>
        <w:t>项目材料方案未经过经济、技术方案比较、管线综合图未经过经济性分析，造成严重损失。</w:t>
      </w:r>
    </w:p>
    <w:p w14:paraId="7602BE1D">
      <w:pPr>
        <w:spacing w:line="360" w:lineRule="auto"/>
        <w:ind w:firstLine="480"/>
        <w:rPr>
          <w:rFonts w:ascii="仿宋" w:hAnsi="仿宋" w:eastAsia="仿宋"/>
          <w:sz w:val="24"/>
          <w:highlight w:val="none"/>
        </w:rPr>
      </w:pPr>
      <w:r>
        <w:rPr>
          <w:rFonts w:ascii="仿宋" w:hAnsi="仿宋" w:eastAsia="仿宋"/>
          <w:color w:val="000000"/>
          <w:sz w:val="24"/>
          <w:highlight w:val="none"/>
        </w:rPr>
        <w:t>机电末端：规范要求的消防设施、防火排烟设施未设计；电话、网络、电视、消防、安防等系统设置不合理或系统设置错漏，严重违反规范、标准、规定等。</w:t>
      </w:r>
    </w:p>
    <w:p w14:paraId="3813C4FF">
      <w:pPr>
        <w:spacing w:line="360" w:lineRule="auto"/>
        <w:ind w:firstLine="480"/>
        <w:rPr>
          <w:rFonts w:ascii="仿宋" w:hAnsi="仿宋" w:eastAsia="仿宋"/>
          <w:sz w:val="24"/>
          <w:highlight w:val="none"/>
        </w:rPr>
      </w:pPr>
      <w:r>
        <w:rPr>
          <w:rFonts w:ascii="仿宋" w:hAnsi="仿宋" w:eastAsia="仿宋"/>
          <w:color w:val="000000"/>
          <w:sz w:val="24"/>
          <w:highlight w:val="none"/>
        </w:rPr>
        <w:t>未能配合甲方设计图纸政府部门审查，延误报建进度。</w:t>
      </w:r>
    </w:p>
    <w:p w14:paraId="6CFD53C6">
      <w:pPr>
        <w:spacing w:line="360" w:lineRule="auto"/>
        <w:ind w:firstLine="480"/>
        <w:rPr>
          <w:rFonts w:ascii="仿宋" w:hAnsi="仿宋" w:eastAsia="仿宋"/>
          <w:sz w:val="24"/>
          <w:highlight w:val="none"/>
        </w:rPr>
      </w:pPr>
      <w:r>
        <w:rPr>
          <w:rFonts w:ascii="仿宋" w:hAnsi="仿宋" w:eastAsia="仿宋"/>
          <w:color w:val="000000"/>
          <w:sz w:val="24"/>
          <w:highlight w:val="none"/>
        </w:rPr>
        <w:t>节能设计未满足国家与地方节能设计要求，延误报建进度。</w:t>
      </w:r>
    </w:p>
    <w:p w14:paraId="7B2C82CA">
      <w:pPr>
        <w:spacing w:line="360" w:lineRule="auto"/>
        <w:ind w:firstLine="480"/>
        <w:rPr>
          <w:rFonts w:ascii="仿宋" w:hAnsi="仿宋" w:eastAsia="仿宋"/>
          <w:sz w:val="24"/>
          <w:highlight w:val="none"/>
        </w:rPr>
      </w:pPr>
      <w:r>
        <w:rPr>
          <w:rFonts w:ascii="仿宋" w:hAnsi="仿宋" w:eastAsia="仿宋"/>
          <w:color w:val="000000"/>
          <w:sz w:val="24"/>
          <w:highlight w:val="none"/>
        </w:rPr>
        <w:t>未能及时配合甲方其他精装修、景观园林、建筑、结构、给排水、暖通、电气等设计单位或相关专业工作，造成延误设计或施工工作进度的错误。</w:t>
      </w:r>
    </w:p>
    <w:p w14:paraId="453943D7">
      <w:pPr>
        <w:spacing w:line="360" w:lineRule="auto"/>
        <w:ind w:firstLine="480"/>
        <w:rPr>
          <w:rFonts w:ascii="仿宋" w:hAnsi="仿宋" w:eastAsia="仿宋"/>
          <w:sz w:val="24"/>
          <w:highlight w:val="none"/>
        </w:rPr>
      </w:pPr>
      <w:r>
        <w:rPr>
          <w:rFonts w:ascii="仿宋" w:hAnsi="仿宋" w:eastAsia="仿宋"/>
          <w:color w:val="000000"/>
          <w:sz w:val="24"/>
          <w:highlight w:val="none"/>
        </w:rPr>
        <w:t>派驻现场设计师工作不到位，延误施工进度。</w:t>
      </w:r>
    </w:p>
    <w:p w14:paraId="4039E85E">
      <w:pPr>
        <w:spacing w:line="360" w:lineRule="auto"/>
        <w:ind w:firstLine="480"/>
        <w:rPr>
          <w:rFonts w:ascii="仿宋" w:hAnsi="仿宋" w:eastAsia="仿宋"/>
          <w:sz w:val="24"/>
          <w:highlight w:val="none"/>
        </w:rPr>
      </w:pPr>
      <w:r>
        <w:rPr>
          <w:rFonts w:ascii="仿宋" w:hAnsi="仿宋" w:eastAsia="仿宋"/>
          <w:color w:val="000000"/>
          <w:sz w:val="24"/>
          <w:highlight w:val="none"/>
        </w:rPr>
        <w:t>售楼所需的图册（各类平面图）和文字说明错误导致延误租售工作或造成客户有效投诉。</w:t>
      </w:r>
    </w:p>
    <w:p w14:paraId="2745E99D">
      <w:pPr>
        <w:tabs>
          <w:tab w:val="left" w:pos="704"/>
        </w:tabs>
        <w:spacing w:line="360" w:lineRule="auto"/>
        <w:ind w:firstLine="480"/>
        <w:rPr>
          <w:rFonts w:ascii="仿宋" w:hAnsi="仿宋" w:eastAsia="仿宋"/>
          <w:sz w:val="24"/>
          <w:highlight w:val="none"/>
        </w:rPr>
      </w:pPr>
      <w:r>
        <w:rPr>
          <w:rFonts w:ascii="仿宋" w:hAnsi="仿宋" w:eastAsia="仿宋"/>
          <w:color w:val="000000"/>
          <w:sz w:val="24"/>
          <w:highlight w:val="none"/>
        </w:rPr>
        <w:t>在未征得甲方同意的情况下乙方在图纸中设计了具有专利性质的设备。</w:t>
      </w:r>
    </w:p>
    <w:p w14:paraId="73968248">
      <w:pPr>
        <w:tabs>
          <w:tab w:val="left" w:pos="704"/>
        </w:tabs>
        <w:spacing w:line="360" w:lineRule="auto"/>
        <w:ind w:firstLine="480"/>
        <w:rPr>
          <w:rFonts w:ascii="仿宋" w:hAnsi="仿宋" w:eastAsia="仿宋"/>
          <w:sz w:val="24"/>
          <w:highlight w:val="none"/>
        </w:rPr>
      </w:pPr>
      <w:r>
        <w:rPr>
          <w:rFonts w:ascii="仿宋" w:hAnsi="仿宋" w:eastAsia="仿宋"/>
          <w:color w:val="000000"/>
          <w:sz w:val="24"/>
          <w:highlight w:val="none"/>
        </w:rPr>
        <w:t>乙方在招标图纸、材料表、洁具表、五金表、灯具表等图纸表格中明确了产品品牌、或设计参数只有少数品牌能满足，导致招标过程中出现品牌指向问题。</w:t>
      </w:r>
    </w:p>
    <w:p w14:paraId="25A8912F">
      <w:pPr>
        <w:tabs>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B、设计不周或有严重错误，有可能造成影响装修效果、不能正常使用、不安全或重大经济损失。如：</w:t>
      </w:r>
    </w:p>
    <w:p w14:paraId="0B76F389">
      <w:pPr>
        <w:tabs>
          <w:tab w:val="center" w:pos="540"/>
          <w:tab w:val="center" w:pos="720"/>
          <w:tab w:val="left" w:pos="2385"/>
        </w:tabs>
        <w:spacing w:line="360" w:lineRule="auto"/>
        <w:ind w:left="151" w:firstLine="480"/>
        <w:rPr>
          <w:rFonts w:ascii="仿宋" w:hAnsi="仿宋" w:eastAsia="仿宋"/>
          <w:sz w:val="24"/>
          <w:highlight w:val="none"/>
        </w:rPr>
      </w:pPr>
      <w:r>
        <w:rPr>
          <w:rFonts w:ascii="仿宋" w:hAnsi="仿宋" w:eastAsia="仿宋"/>
          <w:color w:val="000000"/>
          <w:sz w:val="24"/>
          <w:highlight w:val="none"/>
        </w:rPr>
        <w:t>施工图纸：施工说明内容不全面明确，造成施工不符合规范的错误；平面图纸、立面图纸、剖面图纸、大样图纸等设计错误或者不能对应的错误；报建图、施工图等不能满足要求的错误。</w:t>
      </w:r>
    </w:p>
    <w:p w14:paraId="4A837039">
      <w:pPr>
        <w:tabs>
          <w:tab w:val="center" w:pos="540"/>
          <w:tab w:val="center" w:pos="720"/>
          <w:tab w:val="left" w:pos="2385"/>
        </w:tabs>
        <w:spacing w:line="360" w:lineRule="auto"/>
        <w:ind w:left="151" w:firstLine="480"/>
        <w:rPr>
          <w:rFonts w:ascii="仿宋" w:hAnsi="仿宋" w:eastAsia="仿宋"/>
          <w:sz w:val="24"/>
          <w:highlight w:val="none"/>
        </w:rPr>
      </w:pPr>
      <w:r>
        <w:rPr>
          <w:rFonts w:ascii="仿宋" w:hAnsi="仿宋" w:eastAsia="仿宋"/>
          <w:color w:val="000000"/>
          <w:sz w:val="24"/>
          <w:highlight w:val="none"/>
        </w:rPr>
        <w:t>机电设备：选用国家已公布的机电淘汰产品；供配电系统的控制保护，自动控制和自动调节原理图有严重错误；各弱电系统弱电设备之间线路连接有严重错误造成较大变更增项等。</w:t>
      </w:r>
    </w:p>
    <w:p w14:paraId="0EB81628">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C、严重影响报建及租售工作进行的相关错误。</w:t>
      </w:r>
    </w:p>
    <w:p w14:paraId="5691D18C">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D、设计文件未满足设计深度要求，出现了严重的设计漏项。</w:t>
      </w:r>
    </w:p>
    <w:p w14:paraId="4E84262E">
      <w:pPr>
        <w:tabs>
          <w:tab w:val="center" w:pos="540"/>
          <w:tab w:val="center" w:pos="720"/>
          <w:tab w:val="left" w:pos="2385"/>
        </w:tabs>
        <w:spacing w:line="360" w:lineRule="auto"/>
        <w:rPr>
          <w:rFonts w:ascii="仿宋" w:hAnsi="仿宋" w:eastAsia="仿宋"/>
          <w:sz w:val="24"/>
          <w:highlight w:val="none"/>
        </w:rPr>
      </w:pPr>
      <w:r>
        <w:rPr>
          <w:rFonts w:ascii="仿宋" w:hAnsi="仿宋" w:eastAsia="仿宋"/>
          <w:color w:val="000000"/>
          <w:sz w:val="24"/>
          <w:highlight w:val="none"/>
        </w:rPr>
        <w:t>2、Ⅱ类错误：</w:t>
      </w:r>
    </w:p>
    <w:p w14:paraId="6FDF84A1">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A、局部违反规范、标准、规定、对装修效果影响较小、且容易修正、且返工量不大。如：</w:t>
      </w:r>
    </w:p>
    <w:p w14:paraId="17452CBB">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通用设计：栏杆的高度及强度不符合要求；设计后的疏散门宽度不够、管道井门、管线穿越不同空间隔墙时，措施不符合防火规范等。</w:t>
      </w:r>
    </w:p>
    <w:p w14:paraId="5ABA8312">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给排水设计：生活饮用水管与非饮用水管道连接，未采取防回流污染措施等。</w:t>
      </w:r>
    </w:p>
    <w:p w14:paraId="17E62E3B">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暖通设计：管道井不符合防火规定；过防火墙未装防火阀；风管材料及保温材料不符合防火要求等。</w:t>
      </w:r>
    </w:p>
    <w:p w14:paraId="45D7E44B">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电气设计：烟、温感探测器的选型和设置不合理；与给排水、暖通等专业的配合到位，造成错漏较多等。</w:t>
      </w:r>
    </w:p>
    <w:p w14:paraId="3046B96B">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B、设计不周、构造或用量不当，有可能造成影响局部使用效果，或重要部位尺寸错误，有可能造成严重后果。如：</w:t>
      </w:r>
    </w:p>
    <w:p w14:paraId="3410F83D">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通用设计：结构承重部分在设计图中未完全反映或错误；声光热防水防潮等的技术处理欠妥等。存在明显的未设计部分，影响现场进度。</w:t>
      </w:r>
    </w:p>
    <w:p w14:paraId="38C073C6">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结构设计：各种门/窗洞高度不符合建筑设计要求，严重影响使用要求；结构标高与完成面层要求不符；阳台、雨蓬的倾覆安全不够；应设置构造钢筋的部位不设或少设。</w:t>
      </w:r>
    </w:p>
    <w:p w14:paraId="747C61A0">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机电设计：选用了已淘汰的耗能大的设备。设备末端未考虑检修条件等；风机的消声、减震处理不当等；强、弱电各种线路布局不合理，设备选型不当。</w:t>
      </w:r>
    </w:p>
    <w:p w14:paraId="0FEFB75E">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C、工种配合严重错误或局部遗漏有可能造成影响使用，或造成施工返工，如装修隔墙上预埋孔洞未预留，造成返工。</w:t>
      </w:r>
    </w:p>
    <w:p w14:paraId="3834454A">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D、严重影响报建及租售工作的进行：各功能区未详细标明或标识不清，影响面积查丈及验收。</w:t>
      </w:r>
    </w:p>
    <w:p w14:paraId="13B7B276">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E、设计图纸出现了一般的设计漏项。</w:t>
      </w:r>
    </w:p>
    <w:p w14:paraId="211A00E5">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F、定板定样工作配合不足，导致施工进度延误。</w:t>
      </w:r>
    </w:p>
    <w:p w14:paraId="4B2D600D">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G、设计图纸中要求的设备材料的消防耐火等级不满足规范要求。</w:t>
      </w:r>
    </w:p>
    <w:p w14:paraId="3402EDDD">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H、因专业设计之间的冲突或互相提资不足而产生了设计变更，造成返工工程量较大或影响工期。</w:t>
      </w:r>
    </w:p>
    <w:p w14:paraId="5A020391">
      <w:pPr>
        <w:tabs>
          <w:tab w:val="center" w:pos="180"/>
          <w:tab w:val="center" w:pos="360"/>
          <w:tab w:val="center" w:pos="540"/>
          <w:tab w:val="center" w:pos="720"/>
          <w:tab w:val="center" w:pos="1080"/>
          <w:tab w:val="center" w:pos="1440"/>
          <w:tab w:val="center" w:pos="2160"/>
          <w:tab w:val="left" w:pos="2385"/>
        </w:tabs>
        <w:spacing w:line="360" w:lineRule="auto"/>
        <w:ind w:left="360" w:hanging="360"/>
        <w:rPr>
          <w:rFonts w:ascii="仿宋" w:hAnsi="仿宋" w:eastAsia="仿宋"/>
          <w:color w:val="000000"/>
          <w:sz w:val="24"/>
          <w:highlight w:val="none"/>
        </w:rPr>
      </w:pPr>
      <w:r>
        <w:rPr>
          <w:rFonts w:ascii="仿宋" w:hAnsi="仿宋" w:eastAsia="仿宋"/>
          <w:color w:val="000000"/>
          <w:sz w:val="24"/>
          <w:highlight w:val="none"/>
        </w:rPr>
        <w:t>3、Ⅲ类错误</w:t>
      </w:r>
    </w:p>
    <w:p w14:paraId="103E77EA">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A、容易修正、且不造成使用或安全缺陷，但会给建设单位、施工单位带来麻烦。如：图纸目录不全、表达不够清楚、平剖面图不一致、一般性尺寸错误或不全、图例或符号不合规定、平面图与系统图不一致等；设计文件、计算书及存档材料的完整性不够；设计说明、图纸目录不全、图例符号表达不合规定；系统图与平面图的一致性的错、漏、碰、缺等。</w:t>
      </w:r>
    </w:p>
    <w:p w14:paraId="20F23AF6">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B、工种配合中的一般性错误，容易修正，且不致造成影响使用效果或安全。</w:t>
      </w:r>
    </w:p>
    <w:p w14:paraId="2630047F">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C、因专业设计之间的冲突或互相提资不足而产生了设计变更，造成的影响较小。</w:t>
      </w:r>
    </w:p>
    <w:p w14:paraId="2B3B0B1D">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D、设计文件未满足设计深度要求，出现了轻微的设计漏项。</w:t>
      </w:r>
    </w:p>
    <w:p w14:paraId="6969EEE5">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E、对甲方提出的图纸问题，未按合同要求时间内出具变更或解决方案。</w:t>
      </w:r>
    </w:p>
    <w:p w14:paraId="6CA954F0">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F、正式的设计文件、设计样板或设计变更未按合同要求的时间内送达指定地点。</w:t>
      </w:r>
    </w:p>
    <w:p w14:paraId="64AE0EE9">
      <w:pPr>
        <w:spacing w:line="360" w:lineRule="auto"/>
        <w:rPr>
          <w:rFonts w:ascii="仿宋" w:hAnsi="仿宋" w:eastAsia="仿宋"/>
          <w:sz w:val="24"/>
          <w:highlight w:val="none"/>
        </w:rPr>
      </w:pPr>
      <w:r>
        <w:rPr>
          <w:rFonts w:ascii="仿宋" w:hAnsi="仿宋" w:eastAsia="仿宋"/>
          <w:color w:val="000000"/>
          <w:sz w:val="24"/>
          <w:highlight w:val="none"/>
        </w:rPr>
        <w:t>三、惩罚措施</w:t>
      </w:r>
    </w:p>
    <w:p w14:paraId="086FF16D">
      <w:pPr>
        <w:spacing w:line="360" w:lineRule="auto"/>
        <w:rPr>
          <w:rFonts w:ascii="仿宋" w:hAnsi="仿宋" w:eastAsia="仿宋"/>
          <w:sz w:val="24"/>
          <w:highlight w:val="none"/>
        </w:rPr>
      </w:pPr>
      <w:r>
        <w:rPr>
          <w:rFonts w:ascii="仿宋" w:hAnsi="仿宋" w:eastAsia="仿宋"/>
          <w:color w:val="000000"/>
          <w:sz w:val="24"/>
          <w:highlight w:val="none"/>
        </w:rPr>
        <w:t>1、错误惩罚最高金额为装修工程设计费总价的30%.</w:t>
      </w:r>
    </w:p>
    <w:p w14:paraId="7F74E8CB">
      <w:pPr>
        <w:spacing w:line="360" w:lineRule="auto"/>
        <w:rPr>
          <w:rFonts w:ascii="仿宋" w:hAnsi="仿宋" w:eastAsia="仿宋"/>
          <w:sz w:val="24"/>
          <w:highlight w:val="none"/>
        </w:rPr>
      </w:pPr>
      <w:r>
        <w:rPr>
          <w:rFonts w:ascii="仿宋" w:hAnsi="仿宋" w:eastAsia="仿宋"/>
          <w:color w:val="000000"/>
          <w:sz w:val="24"/>
          <w:highlight w:val="none"/>
        </w:rPr>
        <w:t>2、惩罚方式：</w:t>
      </w:r>
    </w:p>
    <w:p w14:paraId="103FDAC8">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A、方案阶段：若设计方案两次因设计深度不符或图纸错误被相关部门退文处理的，甲方有权从设计费中扣除方案阶段惩罚金。</w:t>
      </w:r>
    </w:p>
    <w:p w14:paraId="500E37BC">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B、扩初阶段和施工图阶段：</w:t>
      </w:r>
    </w:p>
    <w:p w14:paraId="677A1344">
      <w:pPr>
        <w:spacing w:line="360" w:lineRule="auto"/>
        <w:ind w:firstLine="480"/>
        <w:rPr>
          <w:rFonts w:ascii="仿宋" w:hAnsi="仿宋" w:eastAsia="仿宋"/>
          <w:sz w:val="24"/>
          <w:highlight w:val="none"/>
        </w:rPr>
      </w:pPr>
      <w:r>
        <w:rPr>
          <w:rFonts w:ascii="仿宋" w:hAnsi="仿宋" w:eastAsia="仿宋"/>
          <w:color w:val="000000"/>
          <w:sz w:val="24"/>
          <w:highlight w:val="none"/>
        </w:rPr>
        <w:t>按照以上第一、二条对设计的每个阶段的质量进行评判及惩罚；在乙方提供的设计文件中，若出现Ⅰ类问题，每个扣人民币5万元整；若出现Ⅱ类问题多于5个者，每增加一个问题扣人民币5000元整；若出现Ⅲ类问题多于50个者，每增加5个问题扣人民币3000元整（不超过5个按5个计算）。</w:t>
      </w:r>
    </w:p>
    <w:p w14:paraId="3A669D04">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C、甲方提出审图意见后，若乙方同意修改却未修改到位，则该条错误分类按照上升1级处罚。</w:t>
      </w:r>
    </w:p>
    <w:p w14:paraId="374FB4E4">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D、若因图纸错误造成甲方蒙受严重经济损失时，则视具体问题及严重程度给予恰当的赔偿金额，其金额由双方协商，甲方有权在甲方向乙方支付的任何费用中扣除。</w:t>
      </w:r>
    </w:p>
    <w:p w14:paraId="009F11E9">
      <w:pPr>
        <w:tabs>
          <w:tab w:val="center" w:pos="540"/>
          <w:tab w:val="center" w:pos="720"/>
          <w:tab w:val="left" w:pos="2385"/>
        </w:tabs>
        <w:spacing w:line="360" w:lineRule="auto"/>
        <w:ind w:firstLine="480"/>
        <w:rPr>
          <w:rFonts w:ascii="仿宋" w:hAnsi="仿宋" w:eastAsia="仿宋"/>
          <w:sz w:val="24"/>
          <w:highlight w:val="none"/>
        </w:rPr>
      </w:pPr>
      <w:r>
        <w:rPr>
          <w:rFonts w:ascii="仿宋" w:hAnsi="仿宋" w:eastAsia="仿宋"/>
          <w:color w:val="000000"/>
          <w:sz w:val="24"/>
          <w:highlight w:val="none"/>
        </w:rPr>
        <w:t>E、若由于图纸深度不够、设计缺陷过多，甲方有权要求乙方派驻设计代表驻现场解决设计问题，派驻的设计代表费用一律由乙方承担，派驻时间地点由甲方视情况而定，乙方不得拒绝。</w:t>
      </w:r>
    </w:p>
    <w:p w14:paraId="6C3A9469">
      <w:pPr>
        <w:spacing w:line="360" w:lineRule="auto"/>
        <w:jc w:val="left"/>
        <w:rPr>
          <w:rFonts w:ascii="仿宋" w:hAnsi="仿宋" w:eastAsia="仿宋"/>
          <w:sz w:val="24"/>
          <w:highlight w:val="none"/>
        </w:rPr>
      </w:pPr>
    </w:p>
    <w:p w14:paraId="25FEB5C2">
      <w:pPr>
        <w:spacing w:line="440" w:lineRule="exact"/>
        <w:rPr>
          <w:rFonts w:ascii="仿宋" w:hAnsi="仿宋" w:eastAsia="仿宋"/>
          <w:sz w:val="24"/>
          <w:highlight w:val="none"/>
        </w:rPr>
      </w:pPr>
      <w:r>
        <w:rPr>
          <w:rFonts w:ascii="仿宋" w:hAnsi="仿宋" w:eastAsia="仿宋"/>
          <w:sz w:val="24"/>
          <w:highlight w:val="none"/>
        </w:rPr>
        <w:t xml:space="preserve"> </w:t>
      </w:r>
    </w:p>
    <w:p w14:paraId="0EB4605C">
      <w:pPr>
        <w:rPr>
          <w:rFonts w:ascii="仿宋" w:hAnsi="仿宋" w:eastAsia="仿宋"/>
          <w:sz w:val="24"/>
          <w:highlight w:val="none"/>
        </w:rPr>
      </w:pPr>
    </w:p>
    <w:p w14:paraId="463E7396">
      <w:pPr>
        <w:rPr>
          <w:rFonts w:ascii="仿宋" w:hAnsi="仿宋" w:eastAsia="仿宋"/>
          <w:sz w:val="24"/>
          <w:highlight w:val="none"/>
        </w:rPr>
      </w:pPr>
    </w:p>
    <w:p w14:paraId="4F77193E">
      <w:pPr>
        <w:spacing w:line="440" w:lineRule="exact"/>
        <w:rPr>
          <w:rFonts w:ascii="仿宋" w:hAnsi="仿宋" w:eastAsia="仿宋"/>
          <w:sz w:val="24"/>
          <w:highlight w:val="none"/>
        </w:rPr>
      </w:pPr>
      <w:r>
        <w:rPr>
          <w:rFonts w:ascii="宋体;SimSun" w:hAnsi="宋体;SimSun"/>
          <w:highlight w:val="none"/>
        </w:rPr>
        <w:t xml:space="preserve"> </w:t>
      </w:r>
    </w:p>
    <w:p w14:paraId="7A71319C">
      <w:pPr>
        <w:spacing w:line="360" w:lineRule="auto"/>
        <w:rPr>
          <w:rFonts w:ascii="仿宋" w:hAnsi="仿宋" w:eastAsia="仿宋"/>
          <w:sz w:val="24"/>
          <w:highlight w:val="none"/>
        </w:rPr>
      </w:pPr>
    </w:p>
    <w:p w14:paraId="4CA1F73C">
      <w:pPr>
        <w:spacing w:line="360" w:lineRule="auto"/>
        <w:rPr>
          <w:rFonts w:ascii="仿宋" w:hAnsi="仿宋" w:eastAsia="仿宋"/>
          <w:sz w:val="24"/>
          <w:highlight w:val="none"/>
        </w:rPr>
      </w:pPr>
    </w:p>
    <w:p w14:paraId="789A591B">
      <w:pPr>
        <w:spacing w:line="360" w:lineRule="auto"/>
        <w:rPr>
          <w:rFonts w:ascii="仿宋" w:hAnsi="仿宋" w:eastAsia="仿宋"/>
          <w:sz w:val="24"/>
          <w:highlight w:val="none"/>
        </w:rPr>
      </w:pPr>
    </w:p>
    <w:p w14:paraId="64162379">
      <w:pPr>
        <w:spacing w:line="360" w:lineRule="auto"/>
        <w:rPr>
          <w:rFonts w:ascii="仿宋" w:hAnsi="仿宋" w:eastAsia="仿宋"/>
          <w:sz w:val="24"/>
          <w:highlight w:val="none"/>
        </w:rPr>
      </w:pPr>
    </w:p>
    <w:p w14:paraId="6FF570A6">
      <w:pPr>
        <w:spacing w:line="360" w:lineRule="auto"/>
        <w:rPr>
          <w:rFonts w:ascii="仿宋" w:hAnsi="仿宋" w:eastAsia="仿宋"/>
          <w:sz w:val="24"/>
          <w:highlight w:val="none"/>
        </w:rPr>
      </w:pPr>
    </w:p>
    <w:p w14:paraId="1E5A5F89">
      <w:pPr>
        <w:spacing w:line="360" w:lineRule="auto"/>
        <w:rPr>
          <w:rFonts w:ascii="仿宋" w:hAnsi="仿宋" w:eastAsia="仿宋"/>
          <w:sz w:val="24"/>
          <w:highlight w:val="none"/>
        </w:rPr>
      </w:pPr>
    </w:p>
    <w:p w14:paraId="45095319">
      <w:pPr>
        <w:spacing w:line="440" w:lineRule="exact"/>
        <w:rPr>
          <w:rFonts w:ascii="仿宋" w:hAnsi="仿宋" w:eastAsia="仿宋"/>
          <w:sz w:val="24"/>
          <w:highlight w:val="none"/>
        </w:rPr>
      </w:pPr>
    </w:p>
    <w:p w14:paraId="2EC56D7C">
      <w:pPr>
        <w:spacing w:line="440" w:lineRule="exact"/>
        <w:jc w:val="left"/>
        <w:rPr>
          <w:rFonts w:ascii="仿宋" w:hAnsi="仿宋" w:eastAsia="仿宋"/>
          <w:sz w:val="24"/>
          <w:highlight w:val="none"/>
        </w:rPr>
      </w:pPr>
    </w:p>
    <w:p w14:paraId="124EA8C6">
      <w:pPr>
        <w:spacing w:line="276" w:lineRule="auto"/>
        <w:jc w:val="left"/>
        <w:rPr>
          <w:rFonts w:ascii="仿宋" w:hAnsi="仿宋" w:eastAsia="仿宋"/>
          <w:sz w:val="24"/>
          <w:highlight w:val="none"/>
        </w:rPr>
      </w:pPr>
    </w:p>
    <w:p w14:paraId="607D33F7">
      <w:pPr>
        <w:spacing w:line="276" w:lineRule="auto"/>
        <w:jc w:val="left"/>
        <w:rPr>
          <w:rFonts w:ascii="仿宋" w:hAnsi="仿宋" w:eastAsia="仿宋"/>
          <w:sz w:val="24"/>
          <w:highlight w:val="none"/>
        </w:rPr>
      </w:pPr>
    </w:p>
    <w:p w14:paraId="06E00FB8">
      <w:pPr>
        <w:spacing w:line="276" w:lineRule="auto"/>
        <w:jc w:val="left"/>
        <w:rPr>
          <w:rFonts w:ascii="仿宋" w:hAnsi="仿宋" w:eastAsia="仿宋"/>
          <w:sz w:val="24"/>
          <w:highlight w:val="none"/>
        </w:rPr>
      </w:pPr>
    </w:p>
    <w:p w14:paraId="71967BE2">
      <w:pPr>
        <w:spacing w:line="276" w:lineRule="auto"/>
        <w:jc w:val="left"/>
        <w:rPr>
          <w:rFonts w:ascii="仿宋" w:hAnsi="仿宋" w:eastAsia="仿宋"/>
          <w:sz w:val="24"/>
          <w:highlight w:val="none"/>
        </w:rPr>
      </w:pPr>
    </w:p>
    <w:p w14:paraId="4DD74279">
      <w:pPr>
        <w:spacing w:line="276" w:lineRule="auto"/>
        <w:jc w:val="left"/>
        <w:rPr>
          <w:rFonts w:ascii="仿宋" w:hAnsi="仿宋" w:eastAsia="仿宋"/>
          <w:sz w:val="24"/>
          <w:highlight w:val="none"/>
        </w:rPr>
      </w:pPr>
    </w:p>
    <w:p w14:paraId="3AC78AE0">
      <w:pPr>
        <w:spacing w:line="276" w:lineRule="auto"/>
        <w:jc w:val="left"/>
        <w:rPr>
          <w:rFonts w:ascii="仿宋" w:hAnsi="仿宋" w:eastAsia="仿宋"/>
          <w:sz w:val="24"/>
          <w:highlight w:val="none"/>
        </w:rPr>
      </w:pPr>
    </w:p>
    <w:p w14:paraId="7BC21EB2">
      <w:pPr>
        <w:spacing w:line="276" w:lineRule="auto"/>
        <w:jc w:val="left"/>
        <w:rPr>
          <w:rFonts w:ascii="仿宋" w:hAnsi="仿宋" w:eastAsia="仿宋"/>
          <w:sz w:val="24"/>
          <w:highlight w:val="none"/>
        </w:rPr>
      </w:pPr>
    </w:p>
    <w:p w14:paraId="3829C128">
      <w:pPr>
        <w:spacing w:line="276" w:lineRule="auto"/>
        <w:jc w:val="left"/>
        <w:rPr>
          <w:rFonts w:ascii="仿宋" w:hAnsi="仿宋" w:eastAsia="仿宋"/>
          <w:sz w:val="24"/>
          <w:highlight w:val="none"/>
        </w:rPr>
      </w:pPr>
    </w:p>
    <w:p w14:paraId="75AA2E15">
      <w:pPr>
        <w:spacing w:line="276" w:lineRule="auto"/>
        <w:jc w:val="left"/>
        <w:rPr>
          <w:rFonts w:ascii="仿宋" w:hAnsi="仿宋" w:eastAsia="仿宋"/>
          <w:sz w:val="24"/>
          <w:highlight w:val="none"/>
        </w:rPr>
      </w:pPr>
    </w:p>
    <w:p w14:paraId="6F9CD70E">
      <w:pPr>
        <w:spacing w:line="276" w:lineRule="auto"/>
        <w:jc w:val="left"/>
        <w:rPr>
          <w:rFonts w:ascii="仿宋" w:hAnsi="仿宋" w:eastAsia="仿宋"/>
          <w:sz w:val="24"/>
          <w:highlight w:val="none"/>
        </w:rPr>
      </w:pPr>
    </w:p>
    <w:p w14:paraId="7E7D0E14">
      <w:pPr>
        <w:spacing w:line="276" w:lineRule="auto"/>
        <w:jc w:val="left"/>
        <w:rPr>
          <w:rFonts w:hint="eastAsia" w:ascii="仿宋" w:hAnsi="仿宋" w:eastAsia="仿宋"/>
          <w:sz w:val="24"/>
          <w:highlight w:val="none"/>
        </w:rPr>
      </w:pPr>
    </w:p>
    <w:sectPr>
      <w:footerReference r:id="rId4" w:type="first"/>
      <w:footerReference r:id="rId3" w:type="default"/>
      <w:pgSz w:w="11906" w:h="16838"/>
      <w:pgMar w:top="1361" w:right="1191" w:bottom="1361" w:left="1191" w:header="0" w:footer="992" w:gutter="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宋体;SimSun">
    <w:altName w:val="Calibri"/>
    <w:panose1 w:val="00000000000000000000"/>
    <w:charset w:val="00"/>
    <w:family w:val="auto"/>
    <w:pitch w:val="default"/>
    <w:sig w:usb0="00000000" w:usb1="00000000" w:usb2="00000000" w:usb3="00000000" w:csb0="00000000" w:csb1="00000000"/>
  </w:font>
  <w:font w:name="黑体;SimHei">
    <w:altName w:val="Calibri"/>
    <w:panose1 w:val="00000000000000000000"/>
    <w:charset w:val="00"/>
    <w:family w:val="auto"/>
    <w:pitch w:val="default"/>
    <w:sig w:usb0="00000000" w:usb1="00000000" w:usb2="00000000" w:usb3="00000000" w:csb0="00000000" w:csb1="00000000"/>
  </w:font>
  <w:font w:name="仿宋_GB2312;仿宋">
    <w:altName w:val="Calibri"/>
    <w:panose1 w:val="00000000000000000000"/>
    <w:charset w:val="00"/>
    <w:family w:val="auto"/>
    <w:pitch w:val="default"/>
    <w:sig w:usb0="00000000" w:usb1="00000000" w:usb2="00000000" w:usb3="00000000" w:csb0="00000000" w:csb1="00000000"/>
  </w:font>
  <w:font w:name="方正仿宋简体;宋体">
    <w:altName w:val="微软雅黑"/>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swiss"/>
    <w:pitch w:val="default"/>
    <w:sig w:usb0="E1002EFF" w:usb1="C000605B" w:usb2="00000029" w:usb3="00000000" w:csb0="200101FF" w:csb1="20280000"/>
  </w:font>
  <w:font w:name="等线">
    <w:panose1 w:val="02010600030101010101"/>
    <w:charset w:val="86"/>
    <w:family w:val="auto"/>
    <w:pitch w:val="default"/>
    <w:sig w:usb0="A00002BF" w:usb1="38CF7CFA" w:usb2="00000016" w:usb3="00000000" w:csb0="0004000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DejaVu Serif">
    <w:altName w:val="Calibri"/>
    <w:panose1 w:val="00000000000000000000"/>
    <w:charset w:val="00"/>
    <w:family w:val="auto"/>
    <w:pitch w:val="default"/>
    <w:sig w:usb0="00000000" w:usb1="00000000" w:usb2="00000000" w:usb3="00000000" w:csb0="00000000" w:csb1="00000000"/>
  </w:font>
  <w:font w:name="Noto Sans">
    <w:altName w:val="Segoe Print"/>
    <w:panose1 w:val="00000000000000000000"/>
    <w:charset w:val="00"/>
    <w:family w:val="swiss"/>
    <w:pitch w:val="default"/>
    <w:sig w:usb0="00000000" w:usb1="00000000" w:usb2="00000021" w:usb3="00000000" w:csb0="0000019F"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DF1552">
    <w:pPr>
      <w:pStyle w:val="13"/>
      <w:jc w:val="center"/>
      <w:rPr>
        <w:rFonts w:ascii="DejaVu Serif" w:hAnsi="DejaVu Serif" w:eastAsia="Noto Sans"/>
      </w:rPr>
    </w:pPr>
    <w:r>
      <w:fldChar w:fldCharType="begin"/>
    </w:r>
    <w:r>
      <w:instrText xml:space="preserve"> PAGE </w:instrText>
    </w:r>
    <w:r>
      <w:fldChar w:fldCharType="separate"/>
    </w:r>
    <w:r>
      <w:rPr>
        <w:rFonts w:ascii="DejaVu Serif" w:hAnsi="DejaVu Serif" w:eastAsia="Noto Sans"/>
        <w:b/>
        <w:sz w:val="24"/>
      </w:rPr>
      <w:t>41</w:t>
    </w:r>
    <w:r>
      <w:fldChar w:fldCharType="end"/>
    </w:r>
    <w:r>
      <w:rPr>
        <w:rFonts w:ascii="DejaVu Serif" w:hAnsi="DejaVu Serif" w:eastAsia="Times New Roman"/>
      </w:rPr>
      <w:t xml:space="preserve"> </w:t>
    </w:r>
    <w:r>
      <w:rPr>
        <w:rFonts w:ascii="DejaVu Serif" w:hAnsi="DejaVu Serif" w:eastAsia="Noto Sans"/>
      </w:rPr>
      <w:t xml:space="preserve">/ </w:t>
    </w:r>
    <w:r>
      <w:fldChar w:fldCharType="begin"/>
    </w:r>
    <w:r>
      <w:instrText xml:space="preserve"> NUMPAGES \* ARABIC </w:instrText>
    </w:r>
    <w:r>
      <w:fldChar w:fldCharType="separate"/>
    </w:r>
    <w:r>
      <w:rPr>
        <w:rFonts w:ascii="DejaVu Serif" w:hAnsi="DejaVu Serif" w:eastAsia="Noto Sans"/>
        <w:b/>
        <w:sz w:val="24"/>
      </w:rPr>
      <w:t>41</w:t>
    </w:r>
  </w:p>
  <w:p w14:paraId="6302FB2A">
    <w:pPr>
      <w:pStyle w:val="13"/>
      <w:rPr>
        <w:rFonts w:ascii="DejaVu Serif" w:hAnsi="DejaVu Serif" w:eastAsia="Noto Sans"/>
      </w:rPr>
    </w:pP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D4B9E5">
    <w:pPr>
      <w:pStyle w:val="13"/>
      <w:jc w:val="center"/>
      <w:rPr>
        <w:rFonts w:ascii="DejaVu Serif" w:hAnsi="DejaVu Serif" w:eastAsia="Noto Sans"/>
      </w:rPr>
    </w:pPr>
    <w:r>
      <w:fldChar w:fldCharType="begin"/>
    </w:r>
    <w:r>
      <w:instrText xml:space="preserve"> PAGE </w:instrText>
    </w:r>
    <w:r>
      <w:fldChar w:fldCharType="separate"/>
    </w:r>
    <w:r>
      <w:rPr>
        <w:rFonts w:ascii="DejaVu Serif" w:hAnsi="DejaVu Serif" w:eastAsia="Noto Sans"/>
        <w:b/>
        <w:sz w:val="24"/>
      </w:rPr>
      <w:t>1</w:t>
    </w:r>
    <w:r>
      <w:fldChar w:fldCharType="end"/>
    </w:r>
    <w:r>
      <w:rPr>
        <w:rFonts w:ascii="DejaVu Serif" w:hAnsi="DejaVu Serif" w:eastAsia="Times New Roman"/>
      </w:rPr>
      <w:t xml:space="preserve"> </w:t>
    </w:r>
    <w:r>
      <w:rPr>
        <w:rFonts w:ascii="DejaVu Serif" w:hAnsi="DejaVu Serif" w:eastAsia="Noto Sans"/>
      </w:rPr>
      <w:t xml:space="preserve">/ </w:t>
    </w:r>
    <w:r>
      <w:fldChar w:fldCharType="begin"/>
    </w:r>
    <w:r>
      <w:instrText xml:space="preserve"> NUMPAGES \* ARABIC </w:instrText>
    </w:r>
    <w:r>
      <w:fldChar w:fldCharType="separate"/>
    </w:r>
    <w:r>
      <w:rPr>
        <w:rFonts w:ascii="DejaVu Serif" w:hAnsi="DejaVu Serif" w:eastAsia="Noto Sans"/>
        <w:b/>
        <w:sz w:val="24"/>
      </w:rPr>
      <w:t>41</w:t>
    </w:r>
  </w:p>
  <w:p w14:paraId="5EBAC208">
    <w:pPr>
      <w:pStyle w:val="13"/>
      <w:rPr>
        <w:rFonts w:ascii="DejaVu Serif" w:hAnsi="DejaVu Serif" w:eastAsia="Noto Sans"/>
      </w:rPr>
    </w:pPr>
    <w: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7F7D754"/>
    <w:multiLevelType w:val="multilevel"/>
    <w:tmpl w:val="87F7D754"/>
    <w:lvl w:ilvl="0" w:tentative="0">
      <w:start w:val="2"/>
      <w:numFmt w:val="chineseCountingThousand"/>
      <w:pStyle w:val="76"/>
      <w:lvlText w:val="%1、"/>
      <w:lvlJc w:val="left"/>
      <w:pPr>
        <w:ind w:left="510" w:hanging="510"/>
      </w:pPr>
    </w:lvl>
    <w:lvl w:ilvl="1" w:tentative="0">
      <w:start w:val="1"/>
      <w:numFmt w:val="lowerLetter"/>
      <w:lvlText w:val="%2)"/>
      <w:lvlJc w:val="left"/>
      <w:pPr>
        <w:ind w:left="840" w:hanging="420"/>
      </w:pPr>
    </w:lvl>
    <w:lvl w:ilvl="2" w:tentative="0">
      <w:start w:val="1"/>
      <w:numFmt w:val="lowerRoman"/>
      <w:lvlText w:val="%3."/>
      <w:lvlJc w:val="lef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lef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left"/>
      <w:pPr>
        <w:ind w:left="3780" w:hanging="420"/>
      </w:pPr>
    </w:lvl>
  </w:abstractNum>
  <w:abstractNum w:abstractNumId="1">
    <w:nsid w:val="8C9FD5F6"/>
    <w:multiLevelType w:val="singleLevel"/>
    <w:tmpl w:val="8C9FD5F6"/>
    <w:lvl w:ilvl="0" w:tentative="0">
      <w:start w:val="1"/>
      <w:numFmt w:val="decimal"/>
      <w:lvlText w:val="%1."/>
      <w:lvlJc w:val="left"/>
      <w:pPr>
        <w:ind w:left="425" w:hanging="425"/>
      </w:pPr>
      <w:rPr>
        <w:rFonts w:hint="default"/>
      </w:rPr>
    </w:lvl>
  </w:abstractNum>
  <w:abstractNum w:abstractNumId="2">
    <w:nsid w:val="93879058"/>
    <w:multiLevelType w:val="singleLevel"/>
    <w:tmpl w:val="93879058"/>
    <w:lvl w:ilvl="0" w:tentative="0">
      <w:start w:val="1"/>
      <w:numFmt w:val="lowerLetter"/>
      <w:lvlText w:val="%1."/>
      <w:lvlJc w:val="left"/>
      <w:pPr>
        <w:ind w:left="1895" w:hanging="425"/>
      </w:pPr>
      <w:rPr>
        <w:rFonts w:hint="default"/>
      </w:rPr>
    </w:lvl>
  </w:abstractNum>
  <w:abstractNum w:abstractNumId="3">
    <w:nsid w:val="9D344189"/>
    <w:multiLevelType w:val="singleLevel"/>
    <w:tmpl w:val="9D344189"/>
    <w:lvl w:ilvl="0" w:tentative="0">
      <w:start w:val="1"/>
      <w:numFmt w:val="upperLetter"/>
      <w:lvlText w:val="%1."/>
      <w:lvlJc w:val="left"/>
      <w:pPr>
        <w:ind w:left="1685" w:hanging="425"/>
      </w:pPr>
      <w:rPr>
        <w:rFonts w:hint="default"/>
      </w:rPr>
    </w:lvl>
  </w:abstractNum>
  <w:abstractNum w:abstractNumId="4">
    <w:nsid w:val="AD7777F8"/>
    <w:multiLevelType w:val="multilevel"/>
    <w:tmpl w:val="AD7777F8"/>
    <w:lvl w:ilvl="0" w:tentative="0">
      <w:start w:val="1"/>
      <w:numFmt w:val="upperLetter"/>
      <w:lvlText w:val="%1."/>
      <w:lvlJc w:val="left"/>
      <w:pPr>
        <w:ind w:left="1271" w:hanging="420"/>
      </w:pPr>
    </w:lvl>
    <w:lvl w:ilvl="1" w:tentative="0">
      <w:start w:val="1"/>
      <w:numFmt w:val="lowerLetter"/>
      <w:lvlText w:val="%2)"/>
      <w:lvlJc w:val="left"/>
      <w:pPr>
        <w:ind w:left="1691" w:hanging="420"/>
      </w:pPr>
    </w:lvl>
    <w:lvl w:ilvl="2" w:tentative="0">
      <w:start w:val="1"/>
      <w:numFmt w:val="lowerRoman"/>
      <w:lvlText w:val="%3."/>
      <w:lvlJc w:val="left"/>
      <w:pPr>
        <w:ind w:left="2111" w:hanging="420"/>
      </w:pPr>
    </w:lvl>
    <w:lvl w:ilvl="3" w:tentative="0">
      <w:start w:val="1"/>
      <w:numFmt w:val="decimal"/>
      <w:lvlText w:val="%4."/>
      <w:lvlJc w:val="left"/>
      <w:pPr>
        <w:ind w:left="2531" w:hanging="420"/>
      </w:pPr>
    </w:lvl>
    <w:lvl w:ilvl="4" w:tentative="0">
      <w:start w:val="1"/>
      <w:numFmt w:val="lowerLetter"/>
      <w:lvlText w:val="%5)"/>
      <w:lvlJc w:val="left"/>
      <w:pPr>
        <w:ind w:left="2951" w:hanging="420"/>
      </w:pPr>
    </w:lvl>
    <w:lvl w:ilvl="5" w:tentative="0">
      <w:start w:val="1"/>
      <w:numFmt w:val="lowerRoman"/>
      <w:lvlText w:val="%6."/>
      <w:lvlJc w:val="left"/>
      <w:pPr>
        <w:ind w:left="3371" w:hanging="420"/>
      </w:pPr>
    </w:lvl>
    <w:lvl w:ilvl="6" w:tentative="0">
      <w:start w:val="1"/>
      <w:numFmt w:val="decimal"/>
      <w:lvlText w:val="%7."/>
      <w:lvlJc w:val="left"/>
      <w:pPr>
        <w:ind w:left="3791" w:hanging="420"/>
      </w:pPr>
    </w:lvl>
    <w:lvl w:ilvl="7" w:tentative="0">
      <w:start w:val="1"/>
      <w:numFmt w:val="lowerLetter"/>
      <w:lvlText w:val="%8)"/>
      <w:lvlJc w:val="left"/>
      <w:pPr>
        <w:ind w:left="4211" w:hanging="420"/>
      </w:pPr>
    </w:lvl>
    <w:lvl w:ilvl="8" w:tentative="0">
      <w:start w:val="1"/>
      <w:numFmt w:val="lowerRoman"/>
      <w:lvlText w:val="%9."/>
      <w:lvlJc w:val="left"/>
      <w:pPr>
        <w:ind w:left="4631" w:hanging="420"/>
      </w:pPr>
    </w:lvl>
  </w:abstractNum>
  <w:abstractNum w:abstractNumId="5">
    <w:nsid w:val="ADED6ADC"/>
    <w:multiLevelType w:val="singleLevel"/>
    <w:tmpl w:val="ADED6ADC"/>
    <w:lvl w:ilvl="0" w:tentative="0">
      <w:start w:val="1"/>
      <w:numFmt w:val="decimal"/>
      <w:suff w:val="nothing"/>
      <w:lvlText w:val="%1．"/>
      <w:lvlJc w:val="left"/>
      <w:pPr>
        <w:ind w:left="0" w:firstLine="400"/>
      </w:pPr>
      <w:rPr>
        <w:rFonts w:hint="default"/>
      </w:rPr>
    </w:lvl>
  </w:abstractNum>
  <w:abstractNum w:abstractNumId="6">
    <w:nsid w:val="AE89EF70"/>
    <w:multiLevelType w:val="singleLevel"/>
    <w:tmpl w:val="AE89EF70"/>
    <w:lvl w:ilvl="0" w:tentative="0">
      <w:start w:val="1"/>
      <w:numFmt w:val="decimal"/>
      <w:lvlText w:val="%1)"/>
      <w:lvlJc w:val="left"/>
      <w:pPr>
        <w:ind w:left="1265" w:hanging="425"/>
      </w:pPr>
      <w:rPr>
        <w:rFonts w:hint="default"/>
      </w:rPr>
    </w:lvl>
  </w:abstractNum>
  <w:abstractNum w:abstractNumId="7">
    <w:nsid w:val="B229166D"/>
    <w:multiLevelType w:val="singleLevel"/>
    <w:tmpl w:val="B229166D"/>
    <w:lvl w:ilvl="0" w:tentative="0">
      <w:start w:val="1"/>
      <w:numFmt w:val="upperLetter"/>
      <w:lvlText w:val="%1."/>
      <w:lvlJc w:val="left"/>
      <w:pPr>
        <w:ind w:left="1475" w:hanging="425"/>
      </w:pPr>
      <w:rPr>
        <w:rFonts w:hint="default"/>
      </w:rPr>
    </w:lvl>
  </w:abstractNum>
  <w:abstractNum w:abstractNumId="8">
    <w:nsid w:val="B8FAFD6E"/>
    <w:multiLevelType w:val="singleLevel"/>
    <w:tmpl w:val="B8FAFD6E"/>
    <w:lvl w:ilvl="0" w:tentative="0">
      <w:start w:val="1"/>
      <w:numFmt w:val="chineseCounting"/>
      <w:suff w:val="nothing"/>
      <w:lvlText w:val="（%1）"/>
      <w:lvlJc w:val="left"/>
      <w:pPr>
        <w:ind w:left="0" w:firstLine="420"/>
      </w:pPr>
      <w:rPr>
        <w:rFonts w:hint="eastAsia"/>
      </w:rPr>
    </w:lvl>
  </w:abstractNum>
  <w:abstractNum w:abstractNumId="9">
    <w:nsid w:val="BDF88E8E"/>
    <w:multiLevelType w:val="multilevel"/>
    <w:tmpl w:val="BDF88E8E"/>
    <w:lvl w:ilvl="0" w:tentative="0">
      <w:start w:val="1"/>
      <w:numFmt w:val="upperLetter"/>
      <w:lvlText w:val="%1."/>
      <w:lvlJc w:val="left"/>
      <w:pPr>
        <w:ind w:left="1271" w:hanging="420"/>
      </w:pPr>
    </w:lvl>
    <w:lvl w:ilvl="1" w:tentative="0">
      <w:start w:val="1"/>
      <w:numFmt w:val="lowerLetter"/>
      <w:lvlText w:val="%2)"/>
      <w:lvlJc w:val="left"/>
      <w:pPr>
        <w:ind w:left="1691" w:hanging="420"/>
      </w:pPr>
    </w:lvl>
    <w:lvl w:ilvl="2" w:tentative="0">
      <w:start w:val="1"/>
      <w:numFmt w:val="lowerRoman"/>
      <w:lvlText w:val="%3."/>
      <w:lvlJc w:val="left"/>
      <w:pPr>
        <w:ind w:left="2111" w:hanging="420"/>
      </w:pPr>
    </w:lvl>
    <w:lvl w:ilvl="3" w:tentative="0">
      <w:start w:val="1"/>
      <w:numFmt w:val="decimal"/>
      <w:lvlText w:val="%4."/>
      <w:lvlJc w:val="left"/>
      <w:pPr>
        <w:ind w:left="2531" w:hanging="420"/>
      </w:pPr>
    </w:lvl>
    <w:lvl w:ilvl="4" w:tentative="0">
      <w:start w:val="1"/>
      <w:numFmt w:val="lowerLetter"/>
      <w:lvlText w:val="%5)"/>
      <w:lvlJc w:val="left"/>
      <w:pPr>
        <w:ind w:left="2951" w:hanging="420"/>
      </w:pPr>
    </w:lvl>
    <w:lvl w:ilvl="5" w:tentative="0">
      <w:start w:val="1"/>
      <w:numFmt w:val="lowerRoman"/>
      <w:lvlText w:val="%6."/>
      <w:lvlJc w:val="left"/>
      <w:pPr>
        <w:ind w:left="3371" w:hanging="420"/>
      </w:pPr>
    </w:lvl>
    <w:lvl w:ilvl="6" w:tentative="0">
      <w:start w:val="1"/>
      <w:numFmt w:val="decimal"/>
      <w:lvlText w:val="%7."/>
      <w:lvlJc w:val="left"/>
      <w:pPr>
        <w:ind w:left="3791" w:hanging="420"/>
      </w:pPr>
    </w:lvl>
    <w:lvl w:ilvl="7" w:tentative="0">
      <w:start w:val="1"/>
      <w:numFmt w:val="lowerLetter"/>
      <w:lvlText w:val="%8)"/>
      <w:lvlJc w:val="left"/>
      <w:pPr>
        <w:ind w:left="4211" w:hanging="420"/>
      </w:pPr>
    </w:lvl>
    <w:lvl w:ilvl="8" w:tentative="0">
      <w:start w:val="1"/>
      <w:numFmt w:val="lowerRoman"/>
      <w:lvlText w:val="%9."/>
      <w:lvlJc w:val="left"/>
      <w:pPr>
        <w:ind w:left="4631" w:hanging="420"/>
      </w:pPr>
    </w:lvl>
  </w:abstractNum>
  <w:abstractNum w:abstractNumId="10">
    <w:nsid w:val="BF7E1C2A"/>
    <w:multiLevelType w:val="multilevel"/>
    <w:tmpl w:val="BF7E1C2A"/>
    <w:lvl w:ilvl="0" w:tentative="0">
      <w:start w:val="1"/>
      <w:numFmt w:val="none"/>
      <w:pStyle w:val="2"/>
      <w:suff w:val="nothing"/>
      <w:lvlText w:val=""/>
      <w:lvlJc w:val="left"/>
      <w:pPr>
        <w:ind w:left="0" w:firstLine="0"/>
      </w:pPr>
    </w:lvl>
    <w:lvl w:ilvl="1" w:tentative="0">
      <w:start w:val="1"/>
      <w:numFmt w:val="none"/>
      <w:pStyle w:val="3"/>
      <w:suff w:val="nothing"/>
      <w:lvlText w:val=""/>
      <w:lvlJc w:val="left"/>
      <w:pPr>
        <w:ind w:left="0" w:firstLine="0"/>
      </w:pPr>
    </w:lvl>
    <w:lvl w:ilvl="2" w:tentative="0">
      <w:start w:val="1"/>
      <w:numFmt w:val="none"/>
      <w:pStyle w:val="4"/>
      <w:suff w:val="nothing"/>
      <w:lvlText w:val=""/>
      <w:lvlJc w:val="left"/>
      <w:pPr>
        <w:ind w:left="0" w:firstLine="0"/>
      </w:pPr>
    </w:lvl>
    <w:lvl w:ilvl="3" w:tentative="0">
      <w:start w:val="1"/>
      <w:numFmt w:val="none"/>
      <w:suff w:val="nothing"/>
      <w:lvlText w:val=""/>
      <w:lvlJc w:val="left"/>
      <w:pPr>
        <w:ind w:left="0" w:firstLine="0"/>
      </w:pPr>
    </w:lvl>
    <w:lvl w:ilvl="4" w:tentative="0">
      <w:start w:val="1"/>
      <w:numFmt w:val="none"/>
      <w:suff w:val="nothing"/>
      <w:lvlText w:val=""/>
      <w:lvlJc w:val="left"/>
      <w:pPr>
        <w:ind w:left="0" w:firstLine="0"/>
      </w:pPr>
    </w:lvl>
    <w:lvl w:ilvl="5" w:tentative="0">
      <w:start w:val="1"/>
      <w:numFmt w:val="none"/>
      <w:suff w:val="nothing"/>
      <w:lvlText w:val=""/>
      <w:lvlJc w:val="left"/>
      <w:pPr>
        <w:ind w:left="0" w:firstLine="0"/>
      </w:pPr>
    </w:lvl>
    <w:lvl w:ilvl="6" w:tentative="0">
      <w:start w:val="1"/>
      <w:numFmt w:val="none"/>
      <w:pStyle w:val="6"/>
      <w:suff w:val="nothing"/>
      <w:lvlText w:val=""/>
      <w:lvlJc w:val="left"/>
      <w:pPr>
        <w:ind w:left="0" w:firstLine="0"/>
      </w:pPr>
    </w:lvl>
    <w:lvl w:ilvl="7" w:tentative="0">
      <w:start w:val="1"/>
      <w:numFmt w:val="none"/>
      <w:suff w:val="nothing"/>
      <w:lvlText w:val=""/>
      <w:lvlJc w:val="left"/>
      <w:pPr>
        <w:ind w:left="0" w:firstLine="0"/>
      </w:pPr>
    </w:lvl>
    <w:lvl w:ilvl="8" w:tentative="0">
      <w:start w:val="1"/>
      <w:numFmt w:val="none"/>
      <w:suff w:val="nothing"/>
      <w:lvlText w:val=""/>
      <w:lvlJc w:val="left"/>
      <w:pPr>
        <w:ind w:left="0" w:firstLine="0"/>
      </w:pPr>
    </w:lvl>
  </w:abstractNum>
  <w:abstractNum w:abstractNumId="11">
    <w:nsid w:val="C27FFD5B"/>
    <w:multiLevelType w:val="singleLevel"/>
    <w:tmpl w:val="C27FFD5B"/>
    <w:lvl w:ilvl="0" w:tentative="0">
      <w:start w:val="1"/>
      <w:numFmt w:val="upperLetter"/>
      <w:lvlText w:val="%1."/>
      <w:lvlJc w:val="left"/>
      <w:pPr>
        <w:ind w:left="1685" w:hanging="425"/>
      </w:pPr>
      <w:rPr>
        <w:rFonts w:hint="default"/>
      </w:rPr>
    </w:lvl>
  </w:abstractNum>
  <w:abstractNum w:abstractNumId="12">
    <w:nsid w:val="CD0368B8"/>
    <w:multiLevelType w:val="singleLevel"/>
    <w:tmpl w:val="CD0368B8"/>
    <w:lvl w:ilvl="0" w:tentative="0">
      <w:start w:val="1"/>
      <w:numFmt w:val="upperLetter"/>
      <w:lvlText w:val="%1."/>
      <w:lvlJc w:val="left"/>
      <w:pPr>
        <w:ind w:left="425" w:hanging="425"/>
      </w:pPr>
      <w:rPr>
        <w:rFonts w:hint="default"/>
      </w:rPr>
    </w:lvl>
  </w:abstractNum>
  <w:abstractNum w:abstractNumId="13">
    <w:nsid w:val="E793ED8B"/>
    <w:multiLevelType w:val="singleLevel"/>
    <w:tmpl w:val="E793ED8B"/>
    <w:lvl w:ilvl="0" w:tentative="0">
      <w:start w:val="1"/>
      <w:numFmt w:val="decimal"/>
      <w:lvlText w:val="%1."/>
      <w:lvlJc w:val="left"/>
      <w:pPr>
        <w:ind w:left="425" w:hanging="425"/>
      </w:pPr>
      <w:rPr>
        <w:rFonts w:hint="default"/>
      </w:rPr>
    </w:lvl>
  </w:abstractNum>
  <w:abstractNum w:abstractNumId="14">
    <w:nsid w:val="F319985E"/>
    <w:multiLevelType w:val="singleLevel"/>
    <w:tmpl w:val="F319985E"/>
    <w:lvl w:ilvl="0" w:tentative="0">
      <w:start w:val="1"/>
      <w:numFmt w:val="chineseCounting"/>
      <w:suff w:val="nothing"/>
      <w:lvlText w:val="（%1）"/>
      <w:lvlJc w:val="left"/>
      <w:pPr>
        <w:ind w:left="0" w:firstLine="420"/>
      </w:pPr>
      <w:rPr>
        <w:rFonts w:hint="eastAsia"/>
      </w:rPr>
    </w:lvl>
  </w:abstractNum>
  <w:abstractNum w:abstractNumId="15">
    <w:nsid w:val="F5FFE8D3"/>
    <w:multiLevelType w:val="multilevel"/>
    <w:tmpl w:val="F5FFE8D3"/>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lef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lef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left"/>
      <w:pPr>
        <w:ind w:left="4200" w:hanging="420"/>
      </w:pPr>
    </w:lvl>
  </w:abstractNum>
  <w:abstractNum w:abstractNumId="16">
    <w:nsid w:val="FBFF00AF"/>
    <w:multiLevelType w:val="multilevel"/>
    <w:tmpl w:val="FBFF00AF"/>
    <w:lvl w:ilvl="0" w:tentative="0">
      <w:start w:val="1"/>
      <w:numFmt w:val="decimal"/>
      <w:lvlText w:val="%1)"/>
      <w:lvlJc w:val="left"/>
      <w:pPr>
        <w:ind w:left="480" w:hanging="480"/>
      </w:pPr>
    </w:lvl>
    <w:lvl w:ilvl="1" w:tentative="0">
      <w:start w:val="1"/>
      <w:numFmt w:val="upperLetter"/>
      <w:lvlText w:val="%2."/>
      <w:lvlJc w:val="left"/>
      <w:pPr>
        <w:ind w:left="1331" w:hanging="480"/>
      </w:pPr>
    </w:lvl>
    <w:lvl w:ilvl="2" w:tentative="0">
      <w:start w:val="1"/>
      <w:numFmt w:val="lowerRoman"/>
      <w:lvlText w:val="%3."/>
      <w:lvlJc w:val="left"/>
      <w:pPr>
        <w:ind w:left="1440" w:hanging="480"/>
      </w:pPr>
    </w:lvl>
    <w:lvl w:ilvl="3" w:tentative="0">
      <w:start w:val="1"/>
      <w:numFmt w:val="decimal"/>
      <w:lvlText w:val="%4."/>
      <w:lvlJc w:val="left"/>
      <w:pPr>
        <w:ind w:left="1920" w:hanging="480"/>
      </w:pPr>
    </w:lvl>
    <w:lvl w:ilvl="4" w:tentative="0">
      <w:start w:val="1"/>
      <w:numFmt w:val="lowerLetter"/>
      <w:lvlText w:val="%5)"/>
      <w:lvlJc w:val="left"/>
      <w:pPr>
        <w:ind w:left="2400" w:hanging="480"/>
      </w:pPr>
    </w:lvl>
    <w:lvl w:ilvl="5" w:tentative="0">
      <w:start w:val="1"/>
      <w:numFmt w:val="lowerRoman"/>
      <w:lvlText w:val="%6."/>
      <w:lvlJc w:val="left"/>
      <w:pPr>
        <w:ind w:left="2880" w:hanging="480"/>
      </w:pPr>
    </w:lvl>
    <w:lvl w:ilvl="6" w:tentative="0">
      <w:start w:val="1"/>
      <w:numFmt w:val="decimal"/>
      <w:lvlText w:val="%7."/>
      <w:lvlJc w:val="left"/>
      <w:pPr>
        <w:ind w:left="3360" w:hanging="480"/>
      </w:pPr>
    </w:lvl>
    <w:lvl w:ilvl="7" w:tentative="0">
      <w:start w:val="1"/>
      <w:numFmt w:val="lowerLetter"/>
      <w:lvlText w:val="%8)"/>
      <w:lvlJc w:val="left"/>
      <w:pPr>
        <w:ind w:left="3840" w:hanging="480"/>
      </w:pPr>
    </w:lvl>
    <w:lvl w:ilvl="8" w:tentative="0">
      <w:start w:val="1"/>
      <w:numFmt w:val="lowerRoman"/>
      <w:lvlText w:val="%9."/>
      <w:lvlJc w:val="left"/>
      <w:pPr>
        <w:ind w:left="4320" w:hanging="480"/>
      </w:pPr>
    </w:lvl>
  </w:abstractNum>
  <w:abstractNum w:abstractNumId="17">
    <w:nsid w:val="FEFF86F0"/>
    <w:multiLevelType w:val="multilevel"/>
    <w:tmpl w:val="FEFF86F0"/>
    <w:lvl w:ilvl="0" w:tentative="0">
      <w:start w:val="3"/>
      <w:numFmt w:val="chineseCountingThousand"/>
      <w:lvlText w:val="%1、"/>
      <w:lvlJc w:val="left"/>
      <w:pPr>
        <w:ind w:left="510" w:hanging="510"/>
      </w:pPr>
    </w:lvl>
    <w:lvl w:ilvl="1" w:tentative="0">
      <w:start w:val="1"/>
      <w:numFmt w:val="lowerLetter"/>
      <w:lvlText w:val="%2)"/>
      <w:lvlJc w:val="left"/>
      <w:pPr>
        <w:ind w:left="840" w:hanging="420"/>
      </w:pPr>
    </w:lvl>
    <w:lvl w:ilvl="2" w:tentative="0">
      <w:start w:val="1"/>
      <w:numFmt w:val="lowerRoman"/>
      <w:lvlText w:val="%3."/>
      <w:lvlJc w:val="lef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lef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left"/>
      <w:pPr>
        <w:ind w:left="3780" w:hanging="420"/>
      </w:pPr>
    </w:lvl>
  </w:abstractNum>
  <w:abstractNum w:abstractNumId="18">
    <w:nsid w:val="01B0D394"/>
    <w:multiLevelType w:val="singleLevel"/>
    <w:tmpl w:val="01B0D394"/>
    <w:lvl w:ilvl="0" w:tentative="0">
      <w:start w:val="1"/>
      <w:numFmt w:val="chineseCounting"/>
      <w:suff w:val="nothing"/>
      <w:lvlText w:val="（%1）"/>
      <w:lvlJc w:val="left"/>
      <w:pPr>
        <w:ind w:left="0" w:firstLine="420"/>
      </w:pPr>
      <w:rPr>
        <w:rFonts w:hint="eastAsia"/>
      </w:rPr>
    </w:lvl>
  </w:abstractNum>
  <w:abstractNum w:abstractNumId="19">
    <w:nsid w:val="06D3FFB2"/>
    <w:multiLevelType w:val="singleLevel"/>
    <w:tmpl w:val="06D3FFB2"/>
    <w:lvl w:ilvl="0" w:tentative="0">
      <w:start w:val="1"/>
      <w:numFmt w:val="upperLetter"/>
      <w:lvlText w:val="%1."/>
      <w:lvlJc w:val="left"/>
      <w:pPr>
        <w:ind w:left="1685" w:hanging="425"/>
      </w:pPr>
      <w:rPr>
        <w:rFonts w:hint="default"/>
      </w:rPr>
    </w:lvl>
  </w:abstractNum>
  <w:abstractNum w:abstractNumId="20">
    <w:nsid w:val="14FADA13"/>
    <w:multiLevelType w:val="singleLevel"/>
    <w:tmpl w:val="14FADA13"/>
    <w:lvl w:ilvl="0" w:tentative="0">
      <w:start w:val="1"/>
      <w:numFmt w:val="decimal"/>
      <w:lvlText w:val="%1."/>
      <w:lvlJc w:val="left"/>
      <w:pPr>
        <w:ind w:left="845" w:hanging="425"/>
      </w:pPr>
      <w:rPr>
        <w:rFonts w:hint="default"/>
      </w:rPr>
    </w:lvl>
  </w:abstractNum>
  <w:abstractNum w:abstractNumId="21">
    <w:nsid w:val="16698B55"/>
    <w:multiLevelType w:val="singleLevel"/>
    <w:tmpl w:val="16698B55"/>
    <w:lvl w:ilvl="0" w:tentative="0">
      <w:start w:val="1"/>
      <w:numFmt w:val="decimal"/>
      <w:lvlText w:val="%1)"/>
      <w:lvlJc w:val="left"/>
      <w:pPr>
        <w:ind w:left="1265" w:hanging="425"/>
      </w:pPr>
      <w:rPr>
        <w:rFonts w:hint="default"/>
      </w:rPr>
    </w:lvl>
  </w:abstractNum>
  <w:abstractNum w:abstractNumId="22">
    <w:nsid w:val="196866BC"/>
    <w:multiLevelType w:val="singleLevel"/>
    <w:tmpl w:val="196866BC"/>
    <w:lvl w:ilvl="0" w:tentative="0">
      <w:start w:val="1"/>
      <w:numFmt w:val="upperLetter"/>
      <w:lvlText w:val="%1."/>
      <w:lvlJc w:val="left"/>
      <w:pPr>
        <w:ind w:left="1475" w:hanging="425"/>
      </w:pPr>
      <w:rPr>
        <w:rFonts w:hint="default"/>
      </w:rPr>
    </w:lvl>
  </w:abstractNum>
  <w:abstractNum w:abstractNumId="23">
    <w:nsid w:val="1E08423F"/>
    <w:multiLevelType w:val="multilevel"/>
    <w:tmpl w:val="1E08423F"/>
    <w:lvl w:ilvl="0" w:tentative="0">
      <w:start w:val="1"/>
      <w:numFmt w:val="japaneseCounting"/>
      <w:lvlText w:val="%1、"/>
      <w:lvlJc w:val="left"/>
      <w:pPr>
        <w:ind w:left="495" w:hanging="495"/>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24">
    <w:nsid w:val="34FC889F"/>
    <w:multiLevelType w:val="singleLevel"/>
    <w:tmpl w:val="34FC889F"/>
    <w:lvl w:ilvl="0" w:tentative="0">
      <w:start w:val="1"/>
      <w:numFmt w:val="decimal"/>
      <w:lvlText w:val="%1)"/>
      <w:lvlJc w:val="left"/>
      <w:pPr>
        <w:ind w:left="845" w:hanging="425"/>
      </w:pPr>
      <w:rPr>
        <w:rFonts w:hint="default"/>
      </w:rPr>
    </w:lvl>
  </w:abstractNum>
  <w:abstractNum w:abstractNumId="25">
    <w:nsid w:val="393CC8A8"/>
    <w:multiLevelType w:val="singleLevel"/>
    <w:tmpl w:val="393CC8A8"/>
    <w:lvl w:ilvl="0" w:tentative="0">
      <w:start w:val="1"/>
      <w:numFmt w:val="chineseCounting"/>
      <w:suff w:val="nothing"/>
      <w:lvlText w:val="（%1）"/>
      <w:lvlJc w:val="left"/>
      <w:pPr>
        <w:ind w:left="0" w:firstLine="420"/>
      </w:pPr>
      <w:rPr>
        <w:rFonts w:hint="eastAsia"/>
      </w:rPr>
    </w:lvl>
  </w:abstractNum>
  <w:abstractNum w:abstractNumId="26">
    <w:nsid w:val="5E7D2FFF"/>
    <w:multiLevelType w:val="singleLevel"/>
    <w:tmpl w:val="5E7D2FFF"/>
    <w:lvl w:ilvl="0" w:tentative="0">
      <w:start w:val="1"/>
      <w:numFmt w:val="decimal"/>
      <w:lvlText w:val="%1)"/>
      <w:lvlJc w:val="left"/>
      <w:pPr>
        <w:ind w:left="1265" w:hanging="425"/>
      </w:pPr>
      <w:rPr>
        <w:rFonts w:hint="default"/>
      </w:rPr>
    </w:lvl>
  </w:abstractNum>
  <w:abstractNum w:abstractNumId="27">
    <w:nsid w:val="685F3791"/>
    <w:multiLevelType w:val="singleLevel"/>
    <w:tmpl w:val="685F3791"/>
    <w:lvl w:ilvl="0" w:tentative="0">
      <w:start w:val="1"/>
      <w:numFmt w:val="decimal"/>
      <w:lvlText w:val="%1."/>
      <w:lvlJc w:val="left"/>
      <w:pPr>
        <w:ind w:left="1055" w:hanging="425"/>
      </w:pPr>
      <w:rPr>
        <w:rFonts w:hint="default"/>
      </w:rPr>
    </w:lvl>
  </w:abstractNum>
  <w:abstractNum w:abstractNumId="28">
    <w:nsid w:val="69213E2F"/>
    <w:multiLevelType w:val="singleLevel"/>
    <w:tmpl w:val="69213E2F"/>
    <w:lvl w:ilvl="0" w:tentative="0">
      <w:start w:val="1"/>
      <w:numFmt w:val="decimal"/>
      <w:lvlText w:val="%1)"/>
      <w:lvlJc w:val="left"/>
      <w:pPr>
        <w:ind w:left="845" w:hanging="425"/>
      </w:pPr>
      <w:rPr>
        <w:rFonts w:hint="default"/>
      </w:rPr>
    </w:lvl>
  </w:abstractNum>
  <w:num w:numId="1">
    <w:abstractNumId w:val="10"/>
  </w:num>
  <w:num w:numId="2">
    <w:abstractNumId w:val="0"/>
  </w:num>
  <w:num w:numId="3">
    <w:abstractNumId w:val="23"/>
  </w:num>
  <w:num w:numId="4">
    <w:abstractNumId w:val="18"/>
  </w:num>
  <w:num w:numId="5">
    <w:abstractNumId w:val="8"/>
  </w:num>
  <w:num w:numId="6">
    <w:abstractNumId w:val="14"/>
  </w:num>
  <w:num w:numId="7">
    <w:abstractNumId w:val="17"/>
  </w:num>
  <w:num w:numId="8">
    <w:abstractNumId w:val="25"/>
  </w:num>
  <w:num w:numId="9">
    <w:abstractNumId w:val="27"/>
  </w:num>
  <w:num w:numId="10">
    <w:abstractNumId w:val="5"/>
  </w:num>
  <w:num w:numId="11">
    <w:abstractNumId w:val="20"/>
  </w:num>
  <w:num w:numId="12">
    <w:abstractNumId w:val="21"/>
  </w:num>
  <w:num w:numId="13">
    <w:abstractNumId w:val="6"/>
  </w:num>
  <w:num w:numId="14">
    <w:abstractNumId w:val="12"/>
  </w:num>
  <w:num w:numId="15">
    <w:abstractNumId w:val="3"/>
  </w:num>
  <w:num w:numId="16">
    <w:abstractNumId w:val="11"/>
  </w:num>
  <w:num w:numId="17">
    <w:abstractNumId w:val="19"/>
  </w:num>
  <w:num w:numId="18">
    <w:abstractNumId w:val="26"/>
  </w:num>
  <w:num w:numId="19">
    <w:abstractNumId w:val="28"/>
  </w:num>
  <w:num w:numId="20">
    <w:abstractNumId w:val="7"/>
  </w:num>
  <w:num w:numId="21">
    <w:abstractNumId w:val="22"/>
  </w:num>
  <w:num w:numId="22">
    <w:abstractNumId w:val="2"/>
  </w:num>
  <w:num w:numId="23">
    <w:abstractNumId w:val="13"/>
  </w:num>
  <w:num w:numId="24">
    <w:abstractNumId w:val="24"/>
  </w:num>
  <w:num w:numId="25">
    <w:abstractNumId w:val="15"/>
    <w:lvlOverride w:ilvl="0">
      <w:startOverride w:val="1"/>
    </w:lvlOverride>
  </w:num>
  <w:num w:numId="26">
    <w:abstractNumId w:val="16"/>
    <w:lvlOverride w:ilvl="0">
      <w:startOverride w:val="1"/>
    </w:lvlOverride>
    <w:lvlOverride w:ilvl="1">
      <w:startOverride w:val="1"/>
    </w:lvlOverride>
  </w:num>
  <w:num w:numId="27">
    <w:abstractNumId w:val="16"/>
  </w:num>
  <w:num w:numId="28">
    <w:abstractNumId w:val="15"/>
  </w:num>
  <w:num w:numId="29">
    <w:abstractNumId w:val="4"/>
    <w:lvlOverride w:ilvl="0">
      <w:startOverride w:val="1"/>
    </w:lvlOverride>
  </w:num>
  <w:num w:numId="30">
    <w:abstractNumId w:val="4"/>
  </w:num>
  <w:num w:numId="31">
    <w:abstractNumId w:val="9"/>
    <w:lvlOverride w:ilvl="0">
      <w:startOverride w:val="1"/>
    </w:lvlOverride>
  </w:num>
  <w:num w:numId="32">
    <w:abstractNumId w:val="9"/>
  </w:num>
  <w:num w:numId="3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trackRevisions w:val="1"/>
  <w:documentProtection w:enforcement="0"/>
  <w:defaultTabStop w:val="420"/>
  <w:displayHorizontalDrawingGridEvery w:val="1"/>
  <w:displayVerticalDrawingGridEvery w:val="1"/>
  <w:noPunctuationKerning w:val="1"/>
  <w:characterSpacingControl w:val="doNotCompress"/>
  <w:compat>
    <w:doNotExpandShiftReturn/>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59D4"/>
    <w:rsid w:val="002159D4"/>
    <w:rsid w:val="004327D0"/>
    <w:rsid w:val="00490E2B"/>
    <w:rsid w:val="00544989"/>
    <w:rsid w:val="006524E4"/>
    <w:rsid w:val="0076444E"/>
    <w:rsid w:val="00771571"/>
    <w:rsid w:val="009060A1"/>
    <w:rsid w:val="009173D3"/>
    <w:rsid w:val="00B42B30"/>
    <w:rsid w:val="00B55938"/>
    <w:rsid w:val="00CB1CA5"/>
    <w:rsid w:val="00FA2113"/>
    <w:rsid w:val="0142677D"/>
    <w:rsid w:val="02040004"/>
    <w:rsid w:val="02644C49"/>
    <w:rsid w:val="02F50786"/>
    <w:rsid w:val="039446EB"/>
    <w:rsid w:val="041729AB"/>
    <w:rsid w:val="044F3419"/>
    <w:rsid w:val="04B16976"/>
    <w:rsid w:val="05184EC9"/>
    <w:rsid w:val="05B60088"/>
    <w:rsid w:val="06147755"/>
    <w:rsid w:val="073935E8"/>
    <w:rsid w:val="07F77C4D"/>
    <w:rsid w:val="08080399"/>
    <w:rsid w:val="087022F8"/>
    <w:rsid w:val="08C14368"/>
    <w:rsid w:val="09005085"/>
    <w:rsid w:val="095A6AE5"/>
    <w:rsid w:val="09D55DD5"/>
    <w:rsid w:val="0AEC5712"/>
    <w:rsid w:val="0BAF70CA"/>
    <w:rsid w:val="0C1D75EE"/>
    <w:rsid w:val="0D743CCE"/>
    <w:rsid w:val="0F124B54"/>
    <w:rsid w:val="0F1A3753"/>
    <w:rsid w:val="0F45369E"/>
    <w:rsid w:val="0F6F6EB0"/>
    <w:rsid w:val="10165F74"/>
    <w:rsid w:val="12750E0C"/>
    <w:rsid w:val="128E407F"/>
    <w:rsid w:val="133A38AE"/>
    <w:rsid w:val="134B2B0A"/>
    <w:rsid w:val="13966682"/>
    <w:rsid w:val="142C0628"/>
    <w:rsid w:val="158F7D7F"/>
    <w:rsid w:val="159C2AD3"/>
    <w:rsid w:val="16097961"/>
    <w:rsid w:val="171750B3"/>
    <w:rsid w:val="172F6697"/>
    <w:rsid w:val="17A92967"/>
    <w:rsid w:val="17FB2E4D"/>
    <w:rsid w:val="185D464F"/>
    <w:rsid w:val="1A7102ED"/>
    <w:rsid w:val="1BC21757"/>
    <w:rsid w:val="1BDC7327"/>
    <w:rsid w:val="1BE240CC"/>
    <w:rsid w:val="1CAD7BB3"/>
    <w:rsid w:val="1D95194F"/>
    <w:rsid w:val="1DCD3253"/>
    <w:rsid w:val="1E0116F3"/>
    <w:rsid w:val="1F487665"/>
    <w:rsid w:val="1FF02384"/>
    <w:rsid w:val="1FF51093"/>
    <w:rsid w:val="207573CE"/>
    <w:rsid w:val="209D0511"/>
    <w:rsid w:val="20A3676A"/>
    <w:rsid w:val="20F05E8F"/>
    <w:rsid w:val="20F46010"/>
    <w:rsid w:val="20FF3499"/>
    <w:rsid w:val="210A78C1"/>
    <w:rsid w:val="21B230BA"/>
    <w:rsid w:val="22CF3258"/>
    <w:rsid w:val="23CB5779"/>
    <w:rsid w:val="23E1027D"/>
    <w:rsid w:val="24873494"/>
    <w:rsid w:val="253E4DA8"/>
    <w:rsid w:val="25764F02"/>
    <w:rsid w:val="257F4E77"/>
    <w:rsid w:val="258C3C8F"/>
    <w:rsid w:val="25DD412F"/>
    <w:rsid w:val="25E705B3"/>
    <w:rsid w:val="2649397A"/>
    <w:rsid w:val="26FA6BD7"/>
    <w:rsid w:val="272C42DF"/>
    <w:rsid w:val="284445C5"/>
    <w:rsid w:val="289406A2"/>
    <w:rsid w:val="28AE5882"/>
    <w:rsid w:val="28D611C9"/>
    <w:rsid w:val="294770A4"/>
    <w:rsid w:val="294D3731"/>
    <w:rsid w:val="2A0C1B2E"/>
    <w:rsid w:val="2A924AAB"/>
    <w:rsid w:val="2AFA0E11"/>
    <w:rsid w:val="2B1266D1"/>
    <w:rsid w:val="2B1A088E"/>
    <w:rsid w:val="2B1F57CD"/>
    <w:rsid w:val="2BE74A05"/>
    <w:rsid w:val="2BF61D71"/>
    <w:rsid w:val="2C7217DF"/>
    <w:rsid w:val="2CF911C4"/>
    <w:rsid w:val="2D002460"/>
    <w:rsid w:val="2D495E97"/>
    <w:rsid w:val="2D7643E8"/>
    <w:rsid w:val="2DA61CF4"/>
    <w:rsid w:val="2DB626D5"/>
    <w:rsid w:val="2E881030"/>
    <w:rsid w:val="2F4479AE"/>
    <w:rsid w:val="2FC7196E"/>
    <w:rsid w:val="300417C6"/>
    <w:rsid w:val="30490EA7"/>
    <w:rsid w:val="30675015"/>
    <w:rsid w:val="316A59D2"/>
    <w:rsid w:val="324340F0"/>
    <w:rsid w:val="32612937"/>
    <w:rsid w:val="330A1ACB"/>
    <w:rsid w:val="342165E3"/>
    <w:rsid w:val="348D168C"/>
    <w:rsid w:val="357A2784"/>
    <w:rsid w:val="35901BF1"/>
    <w:rsid w:val="373060D2"/>
    <w:rsid w:val="37D529A9"/>
    <w:rsid w:val="38321B17"/>
    <w:rsid w:val="38870F0C"/>
    <w:rsid w:val="3A422AA2"/>
    <w:rsid w:val="3B0529F5"/>
    <w:rsid w:val="3BBB52CC"/>
    <w:rsid w:val="3CF15D03"/>
    <w:rsid w:val="3D251048"/>
    <w:rsid w:val="3F0F662C"/>
    <w:rsid w:val="402E21D5"/>
    <w:rsid w:val="42521F95"/>
    <w:rsid w:val="425752F7"/>
    <w:rsid w:val="427D3BAD"/>
    <w:rsid w:val="43593053"/>
    <w:rsid w:val="43D82B22"/>
    <w:rsid w:val="442F6DEA"/>
    <w:rsid w:val="44D03F55"/>
    <w:rsid w:val="44E16527"/>
    <w:rsid w:val="44ED30A1"/>
    <w:rsid w:val="45070800"/>
    <w:rsid w:val="462B02C8"/>
    <w:rsid w:val="46A36F76"/>
    <w:rsid w:val="482C7BCC"/>
    <w:rsid w:val="48365107"/>
    <w:rsid w:val="48A71804"/>
    <w:rsid w:val="495E56A5"/>
    <w:rsid w:val="49815F54"/>
    <w:rsid w:val="49B123F5"/>
    <w:rsid w:val="4A35264E"/>
    <w:rsid w:val="4AA32C82"/>
    <w:rsid w:val="4AE10568"/>
    <w:rsid w:val="4B593F71"/>
    <w:rsid w:val="4BB25B5A"/>
    <w:rsid w:val="4C0F0A3E"/>
    <w:rsid w:val="4C101148"/>
    <w:rsid w:val="4C441460"/>
    <w:rsid w:val="4C98593C"/>
    <w:rsid w:val="4CAC0AD9"/>
    <w:rsid w:val="4D9B667E"/>
    <w:rsid w:val="4DFF2684"/>
    <w:rsid w:val="4E6920B3"/>
    <w:rsid w:val="4E89246B"/>
    <w:rsid w:val="4EFA735F"/>
    <w:rsid w:val="4F2E1E52"/>
    <w:rsid w:val="501B1B7B"/>
    <w:rsid w:val="506A727A"/>
    <w:rsid w:val="50E365F2"/>
    <w:rsid w:val="51872039"/>
    <w:rsid w:val="51EC6B53"/>
    <w:rsid w:val="521A361E"/>
    <w:rsid w:val="531C7D89"/>
    <w:rsid w:val="53BE3F8F"/>
    <w:rsid w:val="53F77DC7"/>
    <w:rsid w:val="547C13F3"/>
    <w:rsid w:val="54EB0FDD"/>
    <w:rsid w:val="55454B7F"/>
    <w:rsid w:val="56094BBF"/>
    <w:rsid w:val="5680054C"/>
    <w:rsid w:val="56BD79B4"/>
    <w:rsid w:val="57245405"/>
    <w:rsid w:val="577B5E13"/>
    <w:rsid w:val="57BC6E34"/>
    <w:rsid w:val="583A48E5"/>
    <w:rsid w:val="595B17E6"/>
    <w:rsid w:val="5A933E27"/>
    <w:rsid w:val="5AD65E42"/>
    <w:rsid w:val="5AF42BC7"/>
    <w:rsid w:val="5B963047"/>
    <w:rsid w:val="5C3172FB"/>
    <w:rsid w:val="5C3D6C73"/>
    <w:rsid w:val="5D7A3423"/>
    <w:rsid w:val="5ED65A8D"/>
    <w:rsid w:val="60695812"/>
    <w:rsid w:val="60986577"/>
    <w:rsid w:val="61C3375E"/>
    <w:rsid w:val="6204026B"/>
    <w:rsid w:val="62EB5129"/>
    <w:rsid w:val="638D634E"/>
    <w:rsid w:val="64147116"/>
    <w:rsid w:val="64B17E13"/>
    <w:rsid w:val="65DA2F5A"/>
    <w:rsid w:val="667A3B57"/>
    <w:rsid w:val="67222BCE"/>
    <w:rsid w:val="67702ECD"/>
    <w:rsid w:val="686B6B5C"/>
    <w:rsid w:val="68980559"/>
    <w:rsid w:val="68C06C63"/>
    <w:rsid w:val="6A782F7D"/>
    <w:rsid w:val="6AD01849"/>
    <w:rsid w:val="6B5977AE"/>
    <w:rsid w:val="6D711D13"/>
    <w:rsid w:val="6E917B8B"/>
    <w:rsid w:val="6EC81378"/>
    <w:rsid w:val="6F39745E"/>
    <w:rsid w:val="6F6944D6"/>
    <w:rsid w:val="6F7DA830"/>
    <w:rsid w:val="6FAE771C"/>
    <w:rsid w:val="70061DD5"/>
    <w:rsid w:val="700F205E"/>
    <w:rsid w:val="7053197E"/>
    <w:rsid w:val="73A07DC5"/>
    <w:rsid w:val="73C14009"/>
    <w:rsid w:val="73CE3A04"/>
    <w:rsid w:val="74354DE7"/>
    <w:rsid w:val="747552BC"/>
    <w:rsid w:val="748610B8"/>
    <w:rsid w:val="74C97D26"/>
    <w:rsid w:val="74FE287D"/>
    <w:rsid w:val="76925D51"/>
    <w:rsid w:val="7694300E"/>
    <w:rsid w:val="76D101FA"/>
    <w:rsid w:val="77430769"/>
    <w:rsid w:val="79327481"/>
    <w:rsid w:val="79F65524"/>
    <w:rsid w:val="7A4558B7"/>
    <w:rsid w:val="7A673B06"/>
    <w:rsid w:val="7C5E15EC"/>
    <w:rsid w:val="7D1744CA"/>
    <w:rsid w:val="7D226339"/>
    <w:rsid w:val="7E0C068E"/>
    <w:rsid w:val="7F7207A3"/>
    <w:rsid w:val="7FB2748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nhideWhenUsed="0" w:uiPriority="0" w:semiHidden="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SimSun" w:cs="Times New Roman"/>
      <w:kern w:val="2"/>
      <w:sz w:val="21"/>
      <w:lang w:val="en-US" w:eastAsia="zh-CN" w:bidi="ar-SA"/>
    </w:rPr>
  </w:style>
  <w:style w:type="paragraph" w:styleId="2">
    <w:name w:val="heading 1"/>
    <w:basedOn w:val="1"/>
    <w:next w:val="1"/>
    <w:qFormat/>
    <w:uiPriority w:val="0"/>
    <w:pPr>
      <w:keepNext/>
      <w:keepLines/>
      <w:numPr>
        <w:ilvl w:val="0"/>
        <w:numId w:val="1"/>
      </w:numPr>
      <w:spacing w:before="340" w:after="330" w:line="576" w:lineRule="auto"/>
      <w:outlineLvl w:val="0"/>
    </w:pPr>
    <w:rPr>
      <w:b/>
      <w:bCs/>
      <w:sz w:val="44"/>
      <w:szCs w:val="44"/>
    </w:rPr>
  </w:style>
  <w:style w:type="paragraph" w:styleId="3">
    <w:name w:val="heading 2"/>
    <w:basedOn w:val="1"/>
    <w:next w:val="1"/>
    <w:qFormat/>
    <w:uiPriority w:val="0"/>
    <w:pPr>
      <w:keepNext/>
      <w:keepLines/>
      <w:numPr>
        <w:ilvl w:val="1"/>
        <w:numId w:val="1"/>
      </w:numPr>
      <w:spacing w:before="260" w:after="260" w:line="415" w:lineRule="auto"/>
      <w:outlineLvl w:val="1"/>
    </w:pPr>
    <w:rPr>
      <w:rFonts w:ascii="Arial" w:hAnsi="Arial" w:eastAsia="黑体;SimHei" w:cs="Arial"/>
      <w:b/>
      <w:kern w:val="0"/>
      <w:sz w:val="32"/>
    </w:rPr>
  </w:style>
  <w:style w:type="paragraph" w:styleId="4">
    <w:name w:val="heading 3"/>
    <w:basedOn w:val="1"/>
    <w:next w:val="5"/>
    <w:qFormat/>
    <w:uiPriority w:val="0"/>
    <w:pPr>
      <w:keepNext/>
      <w:numPr>
        <w:ilvl w:val="2"/>
        <w:numId w:val="1"/>
      </w:numPr>
      <w:spacing w:line="334" w:lineRule="atLeast"/>
      <w:ind w:firstLine="192"/>
      <w:outlineLvl w:val="2"/>
    </w:pPr>
    <w:rPr>
      <w:kern w:val="0"/>
      <w:sz w:val="28"/>
    </w:rPr>
  </w:style>
  <w:style w:type="paragraph" w:styleId="6">
    <w:name w:val="heading 7"/>
    <w:basedOn w:val="1"/>
    <w:next w:val="1"/>
    <w:qFormat/>
    <w:uiPriority w:val="0"/>
    <w:pPr>
      <w:keepNext/>
      <w:keepLines/>
      <w:numPr>
        <w:ilvl w:val="6"/>
        <w:numId w:val="1"/>
      </w:numPr>
      <w:spacing w:before="240" w:after="64" w:line="320" w:lineRule="atLeast"/>
      <w:textAlignment w:val="baseline"/>
      <w:outlineLvl w:val="6"/>
    </w:pPr>
    <w:rPr>
      <w:b/>
      <w:bCs/>
      <w:kern w:val="0"/>
      <w:sz w:val="24"/>
      <w:szCs w:val="24"/>
    </w:rPr>
  </w:style>
  <w:style w:type="character" w:default="1" w:styleId="20">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customStyle="1" w:styleId="5">
    <w:name w:val="正文缩进1"/>
    <w:basedOn w:val="1"/>
    <w:qFormat/>
    <w:uiPriority w:val="0"/>
    <w:pPr>
      <w:ind w:firstLine="420"/>
    </w:pPr>
  </w:style>
  <w:style w:type="paragraph" w:styleId="7">
    <w:name w:val="caption"/>
    <w:basedOn w:val="1"/>
    <w:next w:val="1"/>
    <w:qFormat/>
    <w:uiPriority w:val="0"/>
    <w:pPr>
      <w:suppressLineNumbers/>
      <w:spacing w:before="120" w:after="120"/>
    </w:pPr>
    <w:rPr>
      <w:i/>
      <w:iCs/>
      <w:sz w:val="24"/>
      <w:szCs w:val="24"/>
    </w:rPr>
  </w:style>
  <w:style w:type="paragraph" w:styleId="8">
    <w:name w:val="annotation text"/>
    <w:basedOn w:val="1"/>
    <w:qFormat/>
    <w:uiPriority w:val="0"/>
    <w:pPr>
      <w:jc w:val="left"/>
    </w:pPr>
  </w:style>
  <w:style w:type="paragraph" w:styleId="9">
    <w:name w:val="Body Text"/>
    <w:basedOn w:val="1"/>
    <w:qFormat/>
    <w:uiPriority w:val="0"/>
    <w:rPr>
      <w:kern w:val="0"/>
      <w:sz w:val="30"/>
    </w:rPr>
  </w:style>
  <w:style w:type="paragraph" w:styleId="10">
    <w:name w:val="Body Text Indent"/>
    <w:basedOn w:val="1"/>
    <w:qFormat/>
    <w:uiPriority w:val="0"/>
    <w:pPr>
      <w:spacing w:before="240" w:line="500" w:lineRule="exact"/>
      <w:ind w:firstLine="480"/>
    </w:pPr>
    <w:rPr>
      <w:rFonts w:ascii="宋体;SimSun" w:hAnsi="宋体;SimSun"/>
      <w:kern w:val="0"/>
      <w:sz w:val="28"/>
    </w:rPr>
  </w:style>
  <w:style w:type="paragraph" w:styleId="11">
    <w:name w:val="toc 3"/>
    <w:basedOn w:val="1"/>
    <w:next w:val="1"/>
    <w:qFormat/>
    <w:uiPriority w:val="0"/>
    <w:pPr>
      <w:ind w:left="840"/>
    </w:pPr>
  </w:style>
  <w:style w:type="paragraph" w:styleId="12">
    <w:name w:val="Body Text Indent 2"/>
    <w:basedOn w:val="1"/>
    <w:qFormat/>
    <w:uiPriority w:val="0"/>
    <w:pPr>
      <w:snapToGrid w:val="0"/>
      <w:spacing w:line="440" w:lineRule="atLeast"/>
      <w:ind w:left="510" w:firstLine="510"/>
    </w:pPr>
    <w:rPr>
      <w:sz w:val="24"/>
    </w:rPr>
  </w:style>
  <w:style w:type="paragraph" w:styleId="13">
    <w:name w:val="footer"/>
    <w:basedOn w:val="1"/>
    <w:qFormat/>
    <w:uiPriority w:val="0"/>
    <w:pPr>
      <w:tabs>
        <w:tab w:val="center" w:pos="4153"/>
        <w:tab w:val="right" w:pos="8306"/>
      </w:tabs>
      <w:snapToGrid w:val="0"/>
      <w:jc w:val="left"/>
    </w:pPr>
    <w:rPr>
      <w:kern w:val="0"/>
      <w:sz w:val="18"/>
    </w:rPr>
  </w:style>
  <w:style w:type="paragraph" w:styleId="14">
    <w:name w:val="header"/>
    <w:basedOn w:val="1"/>
    <w:qFormat/>
    <w:uiPriority w:val="0"/>
    <w:pPr>
      <w:pBdr>
        <w:bottom w:val="single" w:color="000000" w:sz="6" w:space="1"/>
      </w:pBdr>
      <w:tabs>
        <w:tab w:val="center" w:pos="4153"/>
        <w:tab w:val="right" w:pos="8306"/>
      </w:tabs>
      <w:snapToGrid w:val="0"/>
      <w:jc w:val="center"/>
    </w:pPr>
    <w:rPr>
      <w:kern w:val="0"/>
      <w:sz w:val="18"/>
    </w:rPr>
  </w:style>
  <w:style w:type="paragraph" w:styleId="15">
    <w:name w:val="toc 1"/>
    <w:basedOn w:val="1"/>
    <w:next w:val="1"/>
    <w:qFormat/>
    <w:uiPriority w:val="0"/>
    <w:pPr>
      <w:tabs>
        <w:tab w:val="right" w:leader="dot" w:pos="9515"/>
      </w:tabs>
    </w:pPr>
    <w:rPr>
      <w:rFonts w:ascii="宋体;SimSun" w:hAnsi="宋体;SimSun" w:eastAsia="仿宋_GB2312;仿宋" w:cs="宋体;SimSun"/>
      <w:szCs w:val="21"/>
      <w:lang w:eastAsia="en-US"/>
    </w:rPr>
  </w:style>
  <w:style w:type="paragraph" w:styleId="16">
    <w:name w:val="List"/>
    <w:basedOn w:val="9"/>
    <w:qFormat/>
    <w:uiPriority w:val="0"/>
  </w:style>
  <w:style w:type="paragraph" w:styleId="17">
    <w:name w:val="footnote text"/>
    <w:basedOn w:val="1"/>
    <w:qFormat/>
    <w:uiPriority w:val="0"/>
    <w:pPr>
      <w:snapToGrid w:val="0"/>
      <w:jc w:val="left"/>
    </w:pPr>
    <w:rPr>
      <w:kern w:val="0"/>
      <w:sz w:val="18"/>
    </w:rPr>
  </w:style>
  <w:style w:type="paragraph" w:styleId="18">
    <w:name w:val="toc 2"/>
    <w:basedOn w:val="1"/>
    <w:next w:val="1"/>
    <w:qFormat/>
    <w:uiPriority w:val="0"/>
    <w:pPr>
      <w:ind w:left="420"/>
    </w:pPr>
  </w:style>
  <w:style w:type="character" w:styleId="21">
    <w:name w:val="Strong"/>
    <w:qFormat/>
    <w:uiPriority w:val="0"/>
    <w:rPr>
      <w:b/>
    </w:rPr>
  </w:style>
  <w:style w:type="character" w:styleId="22">
    <w:name w:val="page number"/>
    <w:qFormat/>
    <w:uiPriority w:val="0"/>
  </w:style>
  <w:style w:type="character" w:styleId="23">
    <w:name w:val="Emphasis"/>
    <w:qFormat/>
    <w:uiPriority w:val="0"/>
    <w:rPr>
      <w:color w:val="CC0033"/>
    </w:rPr>
  </w:style>
  <w:style w:type="character" w:styleId="24">
    <w:name w:val="Hyperlink"/>
    <w:qFormat/>
    <w:uiPriority w:val="0"/>
    <w:rPr>
      <w:color w:val="0000FF"/>
      <w:u w:val="single"/>
    </w:rPr>
  </w:style>
  <w:style w:type="character" w:customStyle="1" w:styleId="25">
    <w:name w:val="WW8Num2z0"/>
    <w:qFormat/>
    <w:uiPriority w:val="0"/>
  </w:style>
  <w:style w:type="character" w:customStyle="1" w:styleId="26">
    <w:name w:val="WW8Num13z0"/>
    <w:qFormat/>
    <w:uiPriority w:val="0"/>
  </w:style>
  <w:style w:type="character" w:customStyle="1" w:styleId="27">
    <w:name w:val="WW8Num16z0"/>
    <w:qFormat/>
    <w:uiPriority w:val="0"/>
  </w:style>
  <w:style w:type="character" w:customStyle="1" w:styleId="28">
    <w:name w:val="WW8Num19z0"/>
    <w:qFormat/>
    <w:uiPriority w:val="0"/>
  </w:style>
  <w:style w:type="character" w:customStyle="1" w:styleId="29">
    <w:name w:val="WW8Num21z0"/>
    <w:qFormat/>
    <w:uiPriority w:val="0"/>
  </w:style>
  <w:style w:type="character" w:customStyle="1" w:styleId="30">
    <w:name w:val="WW8Num24z0"/>
    <w:qFormat/>
    <w:uiPriority w:val="0"/>
    <w:rPr>
      <w:rFonts w:ascii="宋体;SimSun" w:hAnsi="宋体;SimSun"/>
      <w:lang w:val="en-US"/>
    </w:rPr>
  </w:style>
  <w:style w:type="character" w:customStyle="1" w:styleId="31">
    <w:name w:val="WW8Num25z0"/>
    <w:qFormat/>
    <w:uiPriority w:val="0"/>
    <w:rPr>
      <w:rFonts w:cs="Times New Roman"/>
    </w:rPr>
  </w:style>
  <w:style w:type="character" w:customStyle="1" w:styleId="32">
    <w:name w:val="WW8Num25z1"/>
    <w:qFormat/>
    <w:uiPriority w:val="0"/>
    <w:rPr>
      <w:rFonts w:ascii="Times New Roman" w:hAnsi="Times New Roman" w:cs="Times New Roman"/>
    </w:rPr>
  </w:style>
  <w:style w:type="character" w:customStyle="1" w:styleId="33">
    <w:name w:val="WW8Num29z0"/>
    <w:qFormat/>
    <w:uiPriority w:val="0"/>
    <w:rPr>
      <w:b/>
    </w:rPr>
  </w:style>
  <w:style w:type="character" w:customStyle="1" w:styleId="34">
    <w:name w:val="WW8Num30z0"/>
    <w:qFormat/>
    <w:uiPriority w:val="0"/>
  </w:style>
  <w:style w:type="character" w:customStyle="1" w:styleId="35">
    <w:name w:val="WW8Num32z0"/>
    <w:qFormat/>
    <w:uiPriority w:val="0"/>
  </w:style>
  <w:style w:type="character" w:customStyle="1" w:styleId="36">
    <w:name w:val="默认段落字体1"/>
    <w:qFormat/>
    <w:uiPriority w:val="0"/>
  </w:style>
  <w:style w:type="character" w:customStyle="1" w:styleId="37">
    <w:name w:val="标题 1 Char"/>
    <w:qFormat/>
    <w:uiPriority w:val="0"/>
    <w:rPr>
      <w:rFonts w:ascii="Times New Roman" w:hAnsi="Times New Roman" w:eastAsia="宋体;SimSun" w:cs="Times New Roman"/>
      <w:b/>
      <w:bCs/>
      <w:kern w:val="2"/>
      <w:sz w:val="44"/>
      <w:szCs w:val="44"/>
    </w:rPr>
  </w:style>
  <w:style w:type="character" w:customStyle="1" w:styleId="38">
    <w:name w:val="标题 2 Char"/>
    <w:qFormat/>
    <w:uiPriority w:val="0"/>
    <w:rPr>
      <w:rFonts w:ascii="Arial" w:hAnsi="Arial" w:eastAsia="黑体;SimHei" w:cs="Times New Roman"/>
      <w:b/>
      <w:sz w:val="32"/>
      <w:szCs w:val="20"/>
    </w:rPr>
  </w:style>
  <w:style w:type="character" w:customStyle="1" w:styleId="39">
    <w:name w:val="标题 3 Char"/>
    <w:qFormat/>
    <w:uiPriority w:val="0"/>
    <w:rPr>
      <w:rFonts w:ascii="Times New Roman" w:hAnsi="Times New Roman" w:eastAsia="宋体;SimSun" w:cs="Times New Roman"/>
      <w:sz w:val="28"/>
      <w:szCs w:val="20"/>
    </w:rPr>
  </w:style>
  <w:style w:type="character" w:customStyle="1" w:styleId="40">
    <w:name w:val="标题 7 Char"/>
    <w:qFormat/>
    <w:uiPriority w:val="0"/>
    <w:rPr>
      <w:rFonts w:ascii="Times New Roman" w:hAnsi="Times New Roman" w:eastAsia="宋体;SimSun" w:cs="Times New Roman"/>
      <w:b/>
      <w:bCs/>
      <w:kern w:val="0"/>
      <w:sz w:val="24"/>
      <w:szCs w:val="24"/>
    </w:rPr>
  </w:style>
  <w:style w:type="character" w:customStyle="1" w:styleId="41">
    <w:name w:val="文档结构图 Char"/>
    <w:qFormat/>
    <w:uiPriority w:val="0"/>
    <w:rPr>
      <w:rFonts w:ascii="Times New Roman" w:hAnsi="Times New Roman" w:eastAsia="宋体;SimSun" w:cs="Times New Roman"/>
      <w:szCs w:val="20"/>
      <w:shd w:val="clear" w:color="auto" w:fill="000080"/>
    </w:rPr>
  </w:style>
  <w:style w:type="character" w:customStyle="1" w:styleId="42">
    <w:name w:val="批注框文本 Char"/>
    <w:qFormat/>
    <w:uiPriority w:val="0"/>
    <w:rPr>
      <w:rFonts w:ascii="Times New Roman" w:hAnsi="Times New Roman" w:eastAsia="宋体;SimSun" w:cs="Times New Roman"/>
      <w:sz w:val="18"/>
      <w:szCs w:val="18"/>
    </w:rPr>
  </w:style>
  <w:style w:type="character" w:customStyle="1" w:styleId="43">
    <w:name w:val="批注文字 Char"/>
    <w:qFormat/>
    <w:uiPriority w:val="0"/>
    <w:rPr>
      <w:rFonts w:ascii="Times New Roman" w:hAnsi="Times New Roman" w:cs="Times New Roman"/>
      <w:kern w:val="2"/>
      <w:sz w:val="21"/>
    </w:rPr>
  </w:style>
  <w:style w:type="character" w:customStyle="1" w:styleId="44">
    <w:name w:val="正文文本 Char"/>
    <w:qFormat/>
    <w:uiPriority w:val="0"/>
    <w:rPr>
      <w:rFonts w:ascii="Times New Roman" w:hAnsi="Times New Roman" w:eastAsia="宋体;SimSun" w:cs="Times New Roman"/>
      <w:sz w:val="30"/>
      <w:szCs w:val="20"/>
    </w:rPr>
  </w:style>
  <w:style w:type="character" w:customStyle="1" w:styleId="45">
    <w:name w:val="正文文本缩进 Char"/>
    <w:qFormat/>
    <w:uiPriority w:val="0"/>
    <w:rPr>
      <w:rFonts w:ascii="宋体;SimSun" w:hAnsi="宋体;SimSun" w:eastAsia="宋体;SimSun" w:cs="Times New Roman"/>
      <w:sz w:val="28"/>
      <w:szCs w:val="20"/>
    </w:rPr>
  </w:style>
  <w:style w:type="character" w:customStyle="1" w:styleId="46">
    <w:name w:val="纯文本 Char"/>
    <w:qFormat/>
    <w:uiPriority w:val="0"/>
    <w:rPr>
      <w:rFonts w:ascii="宋体;SimSun" w:hAnsi="宋体;SimSun" w:eastAsia="仿宋_GB2312;仿宋" w:cs="Times New Roman"/>
      <w:sz w:val="28"/>
      <w:szCs w:val="20"/>
    </w:rPr>
  </w:style>
  <w:style w:type="character" w:customStyle="1" w:styleId="47">
    <w:name w:val="日期 Char"/>
    <w:qFormat/>
    <w:uiPriority w:val="0"/>
    <w:rPr>
      <w:rFonts w:ascii="方正仿宋简体;宋体" w:hAnsi="方正仿宋简体;宋体" w:eastAsia="方正仿宋简体;宋体" w:cs="Times New Roman"/>
      <w:b/>
      <w:sz w:val="30"/>
      <w:szCs w:val="20"/>
    </w:rPr>
  </w:style>
  <w:style w:type="character" w:customStyle="1" w:styleId="48">
    <w:name w:val="正文文本缩进 2 Char"/>
    <w:qFormat/>
    <w:uiPriority w:val="0"/>
    <w:rPr>
      <w:rFonts w:ascii="Times New Roman" w:hAnsi="Times New Roman" w:eastAsia="宋体;SimSun" w:cs="Times New Roman"/>
      <w:sz w:val="28"/>
      <w:szCs w:val="20"/>
    </w:rPr>
  </w:style>
  <w:style w:type="character" w:customStyle="1" w:styleId="49">
    <w:name w:val="页脚 Char"/>
    <w:qFormat/>
    <w:uiPriority w:val="0"/>
    <w:rPr>
      <w:rFonts w:ascii="Times New Roman" w:hAnsi="Times New Roman" w:eastAsia="宋体;SimSun" w:cs="Times New Roman"/>
      <w:sz w:val="18"/>
      <w:szCs w:val="20"/>
    </w:rPr>
  </w:style>
  <w:style w:type="character" w:customStyle="1" w:styleId="50">
    <w:name w:val="页眉 Char"/>
    <w:qFormat/>
    <w:uiPriority w:val="0"/>
    <w:rPr>
      <w:rFonts w:ascii="Times New Roman" w:hAnsi="Times New Roman" w:eastAsia="宋体;SimSun" w:cs="Times New Roman"/>
      <w:sz w:val="18"/>
      <w:szCs w:val="20"/>
    </w:rPr>
  </w:style>
  <w:style w:type="character" w:customStyle="1" w:styleId="51">
    <w:name w:val="脚注文本 Char"/>
    <w:qFormat/>
    <w:uiPriority w:val="0"/>
    <w:rPr>
      <w:rFonts w:ascii="Times New Roman" w:hAnsi="Times New Roman" w:eastAsia="宋体;SimSun" w:cs="Times New Roman"/>
      <w:sz w:val="18"/>
      <w:szCs w:val="20"/>
    </w:rPr>
  </w:style>
  <w:style w:type="character" w:customStyle="1" w:styleId="52">
    <w:name w:val="正文文本缩进 3 Char"/>
    <w:qFormat/>
    <w:uiPriority w:val="0"/>
    <w:rPr>
      <w:rFonts w:ascii="Times New Roman" w:hAnsi="Times New Roman" w:eastAsia="宋体;SimSun" w:cs="Times New Roman"/>
      <w:sz w:val="24"/>
      <w:szCs w:val="20"/>
    </w:rPr>
  </w:style>
  <w:style w:type="character" w:customStyle="1" w:styleId="53">
    <w:name w:val="正文文本 2 Char"/>
    <w:qFormat/>
    <w:uiPriority w:val="0"/>
    <w:rPr>
      <w:rFonts w:ascii="Times New Roman" w:hAnsi="Times New Roman" w:eastAsia="宋体;SimSun" w:cs="Times New Roman"/>
      <w:b/>
      <w:bCs/>
      <w:color w:val="000000"/>
      <w:sz w:val="24"/>
      <w:szCs w:val="24"/>
      <w:u w:val="single"/>
    </w:rPr>
  </w:style>
  <w:style w:type="character" w:customStyle="1" w:styleId="54">
    <w:name w:val="标题 Char"/>
    <w:qFormat/>
    <w:uiPriority w:val="0"/>
    <w:rPr>
      <w:rFonts w:ascii="仿宋_GB2312;仿宋" w:hAnsi="仿宋_GB2312;仿宋" w:eastAsia="仿宋_GB2312;仿宋" w:cs="Arial"/>
      <w:bCs/>
      <w:sz w:val="28"/>
      <w:szCs w:val="28"/>
      <w:vertAlign w:val="superscript"/>
    </w:rPr>
  </w:style>
  <w:style w:type="character" w:customStyle="1" w:styleId="55">
    <w:name w:val="批注主题 Char"/>
    <w:qFormat/>
    <w:uiPriority w:val="0"/>
    <w:rPr>
      <w:rFonts w:ascii="Times New Roman" w:hAnsi="Times New Roman" w:cs="Times New Roman"/>
      <w:b/>
      <w:bCs/>
      <w:kern w:val="2"/>
      <w:sz w:val="21"/>
    </w:rPr>
  </w:style>
  <w:style w:type="character" w:customStyle="1" w:styleId="56">
    <w:name w:val="正文首行缩进 Char"/>
    <w:qFormat/>
    <w:uiPriority w:val="0"/>
  </w:style>
  <w:style w:type="character" w:customStyle="1" w:styleId="57">
    <w:name w:val="批注引用1"/>
    <w:qFormat/>
    <w:uiPriority w:val="0"/>
    <w:rPr>
      <w:sz w:val="21"/>
      <w:szCs w:val="21"/>
    </w:rPr>
  </w:style>
  <w:style w:type="character" w:customStyle="1" w:styleId="58">
    <w:name w:val="样式1 Char"/>
    <w:qFormat/>
    <w:uiPriority w:val="0"/>
    <w:rPr>
      <w:rFonts w:ascii="黑体;SimHei" w:hAnsi="黑体;SimHei" w:eastAsia="黑体;SimHei"/>
      <w:b/>
      <w:sz w:val="28"/>
      <w:szCs w:val="28"/>
    </w:rPr>
  </w:style>
  <w:style w:type="character" w:customStyle="1" w:styleId="59">
    <w:name w:val="批注文字 Char1"/>
    <w:qFormat/>
    <w:uiPriority w:val="0"/>
    <w:rPr>
      <w:rFonts w:ascii="Times New Roman" w:hAnsi="Times New Roman" w:eastAsia="宋体;SimSun" w:cs="Times New Roman"/>
      <w:szCs w:val="20"/>
    </w:rPr>
  </w:style>
  <w:style w:type="character" w:customStyle="1" w:styleId="60">
    <w:name w:val="样式1 Char Char"/>
    <w:qFormat/>
    <w:uiPriority w:val="0"/>
    <w:rPr>
      <w:rFonts w:ascii="黑体;SimHei" w:hAnsi="黑体;SimHei" w:eastAsia="黑体;SimHei" w:cs="Calibri"/>
      <w:b/>
      <w:kern w:val="2"/>
      <w:sz w:val="28"/>
      <w:szCs w:val="28"/>
    </w:rPr>
  </w:style>
  <w:style w:type="character" w:customStyle="1" w:styleId="61">
    <w:name w:val="批注文字 Char2"/>
    <w:qFormat/>
    <w:uiPriority w:val="0"/>
    <w:rPr>
      <w:rFonts w:ascii="Times New Roman" w:hAnsi="Times New Roman" w:cs="Times New Roman"/>
      <w:kern w:val="2"/>
      <w:sz w:val="21"/>
    </w:rPr>
  </w:style>
  <w:style w:type="paragraph" w:customStyle="1" w:styleId="62">
    <w:name w:val="Heading"/>
    <w:basedOn w:val="1"/>
    <w:next w:val="9"/>
    <w:qFormat/>
    <w:uiPriority w:val="0"/>
    <w:pPr>
      <w:pageBreakBefore/>
      <w:spacing w:before="100" w:after="100" w:line="360" w:lineRule="auto"/>
      <w:jc w:val="center"/>
      <w:outlineLvl w:val="0"/>
    </w:pPr>
    <w:rPr>
      <w:rFonts w:ascii="仿宋_GB2312;仿宋" w:hAnsi="仿宋_GB2312;仿宋" w:eastAsia="仿宋_GB2312;仿宋" w:cs="Arial"/>
      <w:bCs/>
      <w:kern w:val="0"/>
      <w:sz w:val="28"/>
      <w:szCs w:val="28"/>
      <w:vertAlign w:val="superscript"/>
    </w:rPr>
  </w:style>
  <w:style w:type="paragraph" w:customStyle="1" w:styleId="63">
    <w:name w:val="Index"/>
    <w:basedOn w:val="1"/>
    <w:qFormat/>
    <w:uiPriority w:val="0"/>
    <w:pPr>
      <w:suppressLineNumbers/>
    </w:pPr>
  </w:style>
  <w:style w:type="paragraph" w:customStyle="1" w:styleId="64">
    <w:name w:val="文档结构图1"/>
    <w:basedOn w:val="1"/>
    <w:qFormat/>
    <w:uiPriority w:val="0"/>
    <w:pPr>
      <w:shd w:val="clear" w:color="auto" w:fill="000080"/>
    </w:pPr>
    <w:rPr>
      <w:kern w:val="0"/>
      <w:sz w:val="20"/>
    </w:rPr>
  </w:style>
  <w:style w:type="paragraph" w:customStyle="1" w:styleId="65">
    <w:name w:val="批注框文本1"/>
    <w:basedOn w:val="1"/>
    <w:qFormat/>
    <w:uiPriority w:val="0"/>
    <w:rPr>
      <w:kern w:val="0"/>
      <w:sz w:val="18"/>
      <w:szCs w:val="18"/>
    </w:rPr>
  </w:style>
  <w:style w:type="paragraph" w:customStyle="1" w:styleId="66">
    <w:name w:val="批注文字1"/>
    <w:basedOn w:val="65"/>
    <w:next w:val="65"/>
    <w:qFormat/>
    <w:uiPriority w:val="0"/>
    <w:pPr>
      <w:jc w:val="left"/>
    </w:pPr>
  </w:style>
  <w:style w:type="paragraph" w:customStyle="1" w:styleId="67">
    <w:name w:val="纯文本1"/>
    <w:basedOn w:val="1"/>
    <w:qFormat/>
    <w:uiPriority w:val="0"/>
    <w:rPr>
      <w:rFonts w:ascii="宋体;SimSun" w:hAnsi="宋体;SimSun" w:eastAsia="仿宋_GB2312;仿宋" w:cs="Courier New"/>
      <w:kern w:val="0"/>
      <w:sz w:val="28"/>
    </w:rPr>
  </w:style>
  <w:style w:type="paragraph" w:customStyle="1" w:styleId="68">
    <w:name w:val="日期1"/>
    <w:basedOn w:val="1"/>
    <w:next w:val="1"/>
    <w:qFormat/>
    <w:uiPriority w:val="0"/>
    <w:pPr>
      <w:ind w:left="100"/>
    </w:pPr>
    <w:rPr>
      <w:rFonts w:ascii="方正仿宋简体;宋体" w:hAnsi="方正仿宋简体;宋体" w:eastAsia="方正仿宋简体;宋体"/>
      <w:b/>
      <w:kern w:val="0"/>
      <w:sz w:val="30"/>
    </w:rPr>
  </w:style>
  <w:style w:type="paragraph" w:customStyle="1" w:styleId="69">
    <w:name w:val="正文文本缩进 21"/>
    <w:basedOn w:val="1"/>
    <w:qFormat/>
    <w:uiPriority w:val="0"/>
    <w:pPr>
      <w:spacing w:line="400" w:lineRule="exact"/>
      <w:ind w:left="900"/>
    </w:pPr>
    <w:rPr>
      <w:kern w:val="0"/>
      <w:sz w:val="28"/>
    </w:rPr>
  </w:style>
  <w:style w:type="paragraph" w:customStyle="1" w:styleId="70">
    <w:name w:val="Header and Footer"/>
    <w:basedOn w:val="1"/>
    <w:qFormat/>
    <w:uiPriority w:val="0"/>
    <w:pPr>
      <w:suppressLineNumbers/>
      <w:tabs>
        <w:tab w:val="center" w:pos="4986"/>
        <w:tab w:val="right" w:pos="9972"/>
      </w:tabs>
    </w:pPr>
  </w:style>
  <w:style w:type="paragraph" w:customStyle="1" w:styleId="71">
    <w:name w:val="正文文本缩进 31"/>
    <w:basedOn w:val="1"/>
    <w:qFormat/>
    <w:uiPriority w:val="0"/>
    <w:pPr>
      <w:ind w:left="1276"/>
    </w:pPr>
    <w:rPr>
      <w:kern w:val="0"/>
      <w:sz w:val="24"/>
    </w:rPr>
  </w:style>
  <w:style w:type="paragraph" w:customStyle="1" w:styleId="72">
    <w:name w:val="正文文本 21"/>
    <w:basedOn w:val="1"/>
    <w:qFormat/>
    <w:uiPriority w:val="0"/>
    <w:pPr>
      <w:widowControl/>
      <w:spacing w:line="360" w:lineRule="auto"/>
    </w:pPr>
    <w:rPr>
      <w:b/>
      <w:bCs/>
      <w:color w:val="000000"/>
      <w:kern w:val="0"/>
      <w:sz w:val="24"/>
      <w:szCs w:val="24"/>
      <w:u w:val="single"/>
    </w:rPr>
  </w:style>
  <w:style w:type="paragraph" w:customStyle="1" w:styleId="73">
    <w:name w:val="普通(网站)1"/>
    <w:basedOn w:val="1"/>
    <w:qFormat/>
    <w:uiPriority w:val="0"/>
    <w:rPr>
      <w:sz w:val="24"/>
    </w:rPr>
  </w:style>
  <w:style w:type="paragraph" w:customStyle="1" w:styleId="74">
    <w:name w:val="批注主题1"/>
    <w:basedOn w:val="66"/>
    <w:next w:val="66"/>
    <w:qFormat/>
    <w:uiPriority w:val="0"/>
    <w:rPr>
      <w:b/>
      <w:bCs/>
    </w:rPr>
  </w:style>
  <w:style w:type="paragraph" w:customStyle="1" w:styleId="75">
    <w:name w:val="正文首行缩进1"/>
    <w:basedOn w:val="9"/>
    <w:qFormat/>
    <w:uiPriority w:val="0"/>
    <w:pPr>
      <w:spacing w:after="120"/>
      <w:ind w:firstLine="420"/>
    </w:pPr>
    <w:rPr>
      <w:sz w:val="21"/>
    </w:rPr>
  </w:style>
  <w:style w:type="paragraph" w:customStyle="1" w:styleId="76">
    <w:name w:val="样式1"/>
    <w:basedOn w:val="1"/>
    <w:qFormat/>
    <w:uiPriority w:val="0"/>
    <w:pPr>
      <w:numPr>
        <w:ilvl w:val="0"/>
        <w:numId w:val="2"/>
      </w:numPr>
      <w:tabs>
        <w:tab w:val="left" w:pos="0"/>
        <w:tab w:val="left" w:pos="855"/>
      </w:tabs>
      <w:spacing w:line="360" w:lineRule="auto"/>
    </w:pPr>
    <w:rPr>
      <w:rFonts w:ascii="黑体;SimHei" w:hAnsi="黑体;SimHei" w:eastAsia="黑体;SimHei" w:cs="Calibri"/>
      <w:b/>
      <w:sz w:val="28"/>
      <w:szCs w:val="28"/>
    </w:rPr>
  </w:style>
  <w:style w:type="paragraph" w:customStyle="1" w:styleId="77">
    <w:name w:val="正文文本缩进 211"/>
    <w:basedOn w:val="1"/>
    <w:qFormat/>
    <w:uiPriority w:val="0"/>
    <w:pPr>
      <w:snapToGrid w:val="0"/>
      <w:spacing w:line="440" w:lineRule="atLeast"/>
      <w:ind w:left="510" w:firstLine="510"/>
    </w:pPr>
    <w:rPr>
      <w:sz w:val="24"/>
    </w:rPr>
  </w:style>
  <w:style w:type="paragraph" w:customStyle="1" w:styleId="78">
    <w:name w:val="特殊格式"/>
    <w:basedOn w:val="5"/>
    <w:qFormat/>
    <w:uiPriority w:val="0"/>
    <w:pPr>
      <w:tabs>
        <w:tab w:val="left" w:pos="855"/>
        <w:tab w:val="left" w:pos="4695"/>
      </w:tabs>
      <w:snapToGrid w:val="0"/>
      <w:spacing w:line="500" w:lineRule="atLeast"/>
      <w:ind w:left="855" w:firstLine="0"/>
    </w:pPr>
    <w:rPr>
      <w:color w:val="000000"/>
      <w:sz w:val="24"/>
    </w:rPr>
  </w:style>
  <w:style w:type="paragraph" w:customStyle="1" w:styleId="79">
    <w:name w:val="_Style 2"/>
    <w:basedOn w:val="1"/>
    <w:qFormat/>
    <w:uiPriority w:val="0"/>
    <w:pPr>
      <w:ind w:firstLine="420"/>
    </w:pPr>
  </w:style>
  <w:style w:type="paragraph" w:customStyle="1" w:styleId="80">
    <w:name w:val="pa-1"/>
    <w:basedOn w:val="1"/>
    <w:qFormat/>
    <w:uiPriority w:val="0"/>
    <w:pPr>
      <w:widowControl/>
      <w:spacing w:line="880" w:lineRule="atLeast"/>
      <w:jc w:val="center"/>
    </w:pPr>
    <w:rPr>
      <w:rFonts w:ascii="宋体;SimSun" w:hAnsi="宋体;SimSun" w:cs="宋体;SimSun"/>
      <w:kern w:val="0"/>
      <w:sz w:val="24"/>
    </w:rPr>
  </w:style>
  <w:style w:type="paragraph" w:customStyle="1" w:styleId="81">
    <w:name w:val="_Style 1"/>
    <w:basedOn w:val="1"/>
    <w:qFormat/>
    <w:uiPriority w:val="0"/>
    <w:pPr>
      <w:ind w:firstLine="420"/>
    </w:pPr>
  </w:style>
  <w:style w:type="paragraph" w:customStyle="1" w:styleId="82">
    <w:name w:val="正文 + 宋体"/>
    <w:basedOn w:val="1"/>
    <w:qFormat/>
    <w:uiPriority w:val="0"/>
    <w:pPr>
      <w:spacing w:line="500" w:lineRule="exact"/>
      <w:ind w:firstLine="480"/>
    </w:pPr>
    <w:rPr>
      <w:rFonts w:ascii="宋体;SimSun" w:hAnsi="宋体;SimSun" w:cs="宋体;SimSun"/>
      <w:sz w:val="24"/>
      <w:szCs w:val="24"/>
    </w:rPr>
  </w:style>
  <w:style w:type="paragraph" w:customStyle="1" w:styleId="83">
    <w:name w:val="pa-37"/>
    <w:basedOn w:val="1"/>
    <w:qFormat/>
    <w:uiPriority w:val="0"/>
    <w:pPr>
      <w:widowControl/>
      <w:spacing w:line="320" w:lineRule="atLeast"/>
      <w:jc w:val="right"/>
    </w:pPr>
    <w:rPr>
      <w:rFonts w:ascii="宋体;SimSun" w:hAnsi="宋体;SimSun" w:cs="宋体;SimSun"/>
      <w:kern w:val="0"/>
      <w:sz w:val="24"/>
    </w:rPr>
  </w:style>
  <w:style w:type="paragraph" w:customStyle="1" w:styleId="84">
    <w:name w:val="普通 (Web)"/>
    <w:basedOn w:val="1"/>
    <w:qFormat/>
    <w:uiPriority w:val="0"/>
    <w:pPr>
      <w:widowControl/>
      <w:spacing w:before="100" w:after="100"/>
      <w:jc w:val="left"/>
    </w:pPr>
    <w:rPr>
      <w:rFonts w:ascii="宋体;SimSun" w:hAnsi="宋体;SimSun" w:cs="宋体;SimSun"/>
      <w:kern w:val="0"/>
      <w:sz w:val="24"/>
    </w:rPr>
  </w:style>
  <w:style w:type="paragraph" w:customStyle="1" w:styleId="85">
    <w:name w:val="列出段落"/>
    <w:basedOn w:val="1"/>
    <w:qFormat/>
    <w:uiPriority w:val="0"/>
    <w:pPr>
      <w:ind w:firstLine="420"/>
    </w:pPr>
  </w:style>
  <w:style w:type="paragraph" w:customStyle="1" w:styleId="86">
    <w:name w:val="列出段落1"/>
    <w:basedOn w:val="1"/>
    <w:qFormat/>
    <w:uiPriority w:val="0"/>
    <w:pPr>
      <w:ind w:firstLine="420"/>
    </w:pPr>
    <w:rPr>
      <w:rFonts w:ascii="Calibri" w:hAnsi="Calibri"/>
    </w:rPr>
  </w:style>
  <w:style w:type="paragraph" w:customStyle="1" w:styleId="87">
    <w:name w:val="xl24"/>
    <w:basedOn w:val="1"/>
    <w:qFormat/>
    <w:uiPriority w:val="0"/>
    <w:pPr>
      <w:widowControl/>
      <w:spacing w:before="100" w:after="100"/>
      <w:jc w:val="center"/>
      <w:textAlignment w:val="center"/>
    </w:pPr>
    <w:rPr>
      <w:rFonts w:ascii="宋体;SimSun" w:hAnsi="宋体;SimSun" w:cs="宋体;SimSun"/>
      <w:kern w:val="0"/>
      <w:sz w:val="24"/>
    </w:rPr>
  </w:style>
  <w:style w:type="paragraph" w:customStyle="1" w:styleId="88">
    <w:name w:val="无间隔1"/>
    <w:qFormat/>
    <w:uiPriority w:val="0"/>
    <w:rPr>
      <w:rFonts w:ascii="宋体;SimSun" w:hAnsi="宋体;SimSun" w:eastAsia="宋体;SimSun" w:cs="宋体;SimSun"/>
      <w:sz w:val="24"/>
      <w:szCs w:val="24"/>
      <w:lang w:val="en-US" w:eastAsia="zh-CN" w:bidi="ar-SA"/>
    </w:rPr>
  </w:style>
  <w:style w:type="paragraph" w:customStyle="1" w:styleId="89">
    <w:name w:val="flType"/>
    <w:basedOn w:val="1"/>
    <w:qFormat/>
    <w:uiPriority w:val="0"/>
    <w:pPr>
      <w:spacing w:before="560" w:after="120" w:line="360" w:lineRule="atLeast"/>
      <w:jc w:val="center"/>
      <w:textAlignment w:val="baseline"/>
    </w:pPr>
    <w:rPr>
      <w:rFonts w:ascii="Arial" w:hAnsi="Arial" w:eastAsia="黑体;SimHei"/>
      <w:kern w:val="0"/>
      <w:sz w:val="28"/>
    </w:rPr>
  </w:style>
  <w:style w:type="paragraph" w:customStyle="1" w:styleId="90">
    <w:name w:val="Char Char Char Char Char Char Char Char Char Char Char Char Char Char Char Char"/>
    <w:basedOn w:val="1"/>
    <w:qFormat/>
    <w:uiPriority w:val="0"/>
    <w:rPr>
      <w:rFonts w:ascii="Tahoma" w:hAnsi="Tahoma" w:cs="Tahoma"/>
      <w:sz w:val="24"/>
    </w:rPr>
  </w:style>
  <w:style w:type="paragraph" w:customStyle="1" w:styleId="91">
    <w:name w:val="修订1"/>
    <w:qFormat/>
    <w:uiPriority w:val="0"/>
    <w:rPr>
      <w:rFonts w:ascii="Times New Roman" w:hAnsi="Times New Roman" w:eastAsia="宋体;SimSun" w:cs="Times New Roman"/>
      <w:kern w:val="2"/>
      <w:sz w:val="21"/>
      <w:lang w:val="en-US" w:eastAsia="zh-CN" w:bidi="ar-SA"/>
    </w:rPr>
  </w:style>
  <w:style w:type="paragraph" w:customStyle="1" w:styleId="92">
    <w:name w:val="_Style 64"/>
    <w:qFormat/>
    <w:uiPriority w:val="0"/>
    <w:rPr>
      <w:rFonts w:ascii="Times New Roman" w:hAnsi="Times New Roman" w:eastAsia="宋体;SimSun" w:cs="Times New Roman"/>
      <w:kern w:val="2"/>
      <w:sz w:val="21"/>
      <w:lang w:val="en-US" w:eastAsia="zh-CN" w:bidi="ar-SA"/>
    </w:rPr>
  </w:style>
  <w:style w:type="paragraph" w:customStyle="1" w:styleId="93">
    <w:name w:val="无间隔11"/>
    <w:qFormat/>
    <w:uiPriority w:val="0"/>
    <w:rPr>
      <w:rFonts w:ascii="宋体;SimSun" w:hAnsi="宋体;SimSun" w:eastAsia="宋体;SimSun" w:cs="宋体;SimSun"/>
      <w:sz w:val="24"/>
      <w:szCs w:val="24"/>
      <w:lang w:val="en-US" w:eastAsia="zh-CN" w:bidi="ar-SA"/>
    </w:rPr>
  </w:style>
  <w:style w:type="paragraph" w:customStyle="1" w:styleId="94">
    <w:name w:val="Style1"/>
    <w:basedOn w:val="1"/>
    <w:qFormat/>
    <w:uiPriority w:val="0"/>
    <w:pPr>
      <w:widowControl/>
      <w:jc w:val="left"/>
    </w:pPr>
    <w:rPr>
      <w:kern w:val="0"/>
      <w:sz w:val="20"/>
    </w:rPr>
  </w:style>
  <w:style w:type="paragraph" w:customStyle="1" w:styleId="95">
    <w:name w:val="Table Contents"/>
    <w:basedOn w:val="1"/>
    <w:qFormat/>
    <w:uiPriority w:val="0"/>
    <w:pPr>
      <w:suppressLineNumbers/>
    </w:pPr>
  </w:style>
  <w:style w:type="paragraph" w:customStyle="1" w:styleId="96">
    <w:name w:val="Table Heading"/>
    <w:basedOn w:val="95"/>
    <w:qFormat/>
    <w:uiPriority w:val="0"/>
    <w:pPr>
      <w:jc w:val="center"/>
    </w:pPr>
    <w:rPr>
      <w:b/>
      <w:bCs/>
    </w:rPr>
  </w:style>
  <w:style w:type="paragraph" w:styleId="97">
    <w:name w:val="List Paragraph"/>
    <w:basedOn w:val="1"/>
    <w:unhideWhenUsed/>
    <w:qFormat/>
    <w:uiPriority w:val="99"/>
    <w:pPr>
      <w:ind w:firstLine="420" w:firstLineChars="200"/>
    </w:pPr>
  </w:style>
  <w:style w:type="character" w:customStyle="1" w:styleId="98">
    <w:name w:val="font21"/>
    <w:basedOn w:val="20"/>
    <w:uiPriority w:val="0"/>
    <w:rPr>
      <w:rFonts w:hint="default" w:ascii="等线" w:hAnsi="等线" w:eastAsia="等线" w:cs="等线"/>
      <w:b/>
      <w:bCs/>
      <w:color w:val="000000"/>
      <w:sz w:val="24"/>
      <w:szCs w:val="24"/>
      <w:u w:val="none"/>
    </w:rPr>
  </w:style>
  <w:style w:type="character" w:customStyle="1" w:styleId="99">
    <w:name w:val="font81"/>
    <w:basedOn w:val="20"/>
    <w:uiPriority w:val="0"/>
    <w:rPr>
      <w:rFonts w:hint="default" w:ascii="等线" w:hAnsi="等线" w:eastAsia="等线" w:cs="等线"/>
      <w:b/>
      <w:bCs/>
      <w:color w:val="000000"/>
      <w:sz w:val="24"/>
      <w:szCs w:val="24"/>
      <w:u w:val="none"/>
      <w:vertAlign w:val="superscript"/>
    </w:rPr>
  </w:style>
  <w:style w:type="character" w:customStyle="1" w:styleId="100">
    <w:name w:val="font61"/>
    <w:basedOn w:val="20"/>
    <w:uiPriority w:val="0"/>
    <w:rPr>
      <w:rFonts w:hint="default" w:ascii="等线" w:hAnsi="等线" w:eastAsia="等线" w:cs="等线"/>
      <w:b/>
      <w:bCs/>
      <w:color w:val="000000"/>
      <w:sz w:val="22"/>
      <w:szCs w:val="22"/>
      <w:u w:val="none"/>
    </w:rPr>
  </w:style>
  <w:style w:type="character" w:customStyle="1" w:styleId="101">
    <w:name w:val="font91"/>
    <w:basedOn w:val="20"/>
    <w:uiPriority w:val="0"/>
    <w:rPr>
      <w:rFonts w:hint="default" w:ascii="等线" w:hAnsi="等线" w:eastAsia="等线" w:cs="等线"/>
      <w:b/>
      <w:bCs/>
      <w:color w:val="000000"/>
      <w:sz w:val="22"/>
      <w:szCs w:val="22"/>
      <w:u w:val="none"/>
      <w:vertAlign w:val="superscript"/>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21</Pages>
  <Words>12813</Words>
  <Characters>13327</Characters>
  <Lines>216</Lines>
  <Paragraphs>60</Paragraphs>
  <TotalTime>18</TotalTime>
  <ScaleCrop>false</ScaleCrop>
  <LinksUpToDate>false</LinksUpToDate>
  <CharactersWithSpaces>13355</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2023-11-15T17:24:00Z</dcterms:created>
  <dc:creator>Data</dc:creator>
  <cp:lastModifiedBy>小灰灰</cp:lastModifiedBy>
  <dcterms:modified xsi:type="dcterms:W3CDTF">2025-09-30T09:08:51Z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1B47230600FF4737927307DD8CE9607C</vt:lpwstr>
  </property>
  <property fmtid="{D5CDD505-2E9C-101B-9397-08002B2CF9AE}" pid="4" name="KSOTemplateDocerSaveRecord">
    <vt:lpwstr>eyJoZGlkIjoiOGRiZDU5OGFhY2QzYWFmYzE0ZGRiNDdmYTUzYTk4ZmQiLCJ1c2VySWQiOiI3NDgzMjA0ODAifQ==</vt:lpwstr>
  </property>
</Properties>
</file>