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D9F09D">
      <w:pPr>
        <w:widowControl/>
        <w:spacing w:line="360" w:lineRule="auto"/>
        <w:jc w:val="center"/>
        <w:rPr>
          <w:rFonts w:hint="eastAsia" w:ascii="仿宋_GB2312" w:hAnsi="华文中宋" w:eastAsia="仿宋_GB2312" w:cs="宋体"/>
          <w:b/>
          <w:bCs/>
          <w:kern w:val="0"/>
          <w:sz w:val="72"/>
          <w:szCs w:val="72"/>
        </w:rPr>
      </w:pPr>
    </w:p>
    <w:p w14:paraId="5DD86044">
      <w:pPr>
        <w:widowControl/>
        <w:spacing w:line="360" w:lineRule="auto"/>
        <w:jc w:val="center"/>
        <w:rPr>
          <w:rFonts w:hint="eastAsia" w:ascii="仿宋_GB2312" w:hAnsi="华文中宋" w:eastAsia="仿宋_GB2312" w:cs="宋体"/>
          <w:b/>
          <w:bCs/>
          <w:kern w:val="0"/>
          <w:sz w:val="72"/>
          <w:szCs w:val="72"/>
        </w:rPr>
      </w:pPr>
    </w:p>
    <w:p w14:paraId="2E5E26AE">
      <w:pPr>
        <w:widowControl/>
        <w:spacing w:line="360" w:lineRule="auto"/>
        <w:jc w:val="center"/>
        <w:rPr>
          <w:rFonts w:hint="eastAsia" w:ascii="仿宋_GB2312" w:hAnsi="华文中宋" w:eastAsia="仿宋_GB2312" w:cs="宋体"/>
          <w:b/>
          <w:bCs/>
          <w:kern w:val="0"/>
          <w:sz w:val="72"/>
          <w:szCs w:val="72"/>
        </w:rPr>
      </w:pPr>
      <w:r>
        <w:rPr>
          <w:rFonts w:hint="eastAsia" w:ascii="仿宋_GB2312" w:hAnsi="华文中宋" w:eastAsia="仿宋_GB2312" w:cs="宋体"/>
          <w:b/>
          <w:bCs/>
          <w:kern w:val="0"/>
          <w:sz w:val="72"/>
          <w:szCs w:val="72"/>
        </w:rPr>
        <w:t>合 同 书</w:t>
      </w:r>
    </w:p>
    <w:p w14:paraId="33C9E2EF">
      <w:pPr>
        <w:widowControl/>
        <w:spacing w:line="360" w:lineRule="auto"/>
        <w:rPr>
          <w:rFonts w:hint="eastAsia" w:ascii="仿宋_GB2312" w:hAnsi="仿宋_GB2312" w:eastAsia="仿宋_GB2312" w:cs="宋体"/>
          <w:b/>
          <w:bCs/>
          <w:kern w:val="0"/>
          <w:sz w:val="28"/>
          <w:szCs w:val="28"/>
        </w:rPr>
      </w:pPr>
      <w:r>
        <w:rPr>
          <w:rFonts w:hint="eastAsia" w:ascii="仿宋_GB2312" w:hAnsi="仿宋_GB2312" w:eastAsia="仿宋_GB2312" w:cs="宋体"/>
          <w:b/>
          <w:bCs/>
          <w:kern w:val="0"/>
          <w:sz w:val="28"/>
          <w:szCs w:val="28"/>
        </w:rPr>
        <w:t xml:space="preserve"> </w:t>
      </w:r>
    </w:p>
    <w:p w14:paraId="12845738">
      <w:pPr>
        <w:widowControl/>
        <w:spacing w:line="360" w:lineRule="auto"/>
        <w:rPr>
          <w:rFonts w:hint="eastAsia" w:ascii="仿宋_GB2312" w:hAnsi="仿宋_GB2312" w:eastAsia="仿宋_GB2312" w:cs="宋体"/>
          <w:b/>
          <w:bCs/>
          <w:kern w:val="0"/>
          <w:sz w:val="28"/>
          <w:szCs w:val="28"/>
        </w:rPr>
      </w:pPr>
    </w:p>
    <w:p w14:paraId="7C0CB795">
      <w:pPr>
        <w:widowControl/>
        <w:spacing w:line="360" w:lineRule="auto"/>
        <w:rPr>
          <w:rFonts w:hint="eastAsia" w:ascii="仿宋_GB2312" w:hAnsi="仿宋_GB2312" w:eastAsia="仿宋_GB2312" w:cs="宋体"/>
          <w:b/>
          <w:bCs/>
          <w:kern w:val="0"/>
          <w:sz w:val="28"/>
          <w:szCs w:val="28"/>
        </w:rPr>
      </w:pPr>
    </w:p>
    <w:p w14:paraId="3D9C31B5">
      <w:pPr>
        <w:widowControl/>
        <w:spacing w:line="360" w:lineRule="auto"/>
        <w:rPr>
          <w:rFonts w:hint="eastAsia" w:ascii="仿宋_GB2312" w:hAnsi="仿宋_GB2312" w:eastAsia="仿宋_GB2312" w:cs="宋体"/>
          <w:b/>
          <w:bCs/>
          <w:kern w:val="0"/>
          <w:sz w:val="28"/>
          <w:szCs w:val="28"/>
        </w:rPr>
      </w:pPr>
    </w:p>
    <w:p w14:paraId="1B968049">
      <w:pPr>
        <w:ind w:left="1800" w:hanging="1800" w:hangingChars="500"/>
        <w:rPr>
          <w:rFonts w:hint="eastAsia" w:ascii="仿宋_GB2312" w:hAnsi="仿宋_GB2312" w:eastAsia="仿宋_GB2312" w:cs="宋体"/>
          <w:bCs/>
          <w:kern w:val="0"/>
          <w:sz w:val="36"/>
          <w:szCs w:val="36"/>
          <w:u w:val="single"/>
        </w:rPr>
      </w:pPr>
      <w:r>
        <w:rPr>
          <w:rFonts w:hint="eastAsia" w:ascii="仿宋_GB2312" w:hAnsi="仿宋_GB2312" w:eastAsia="仿宋_GB2312"/>
          <w:sz w:val="36"/>
          <w:szCs w:val="36"/>
        </w:rPr>
        <w:t>项目名称：</w:t>
      </w:r>
      <w:r>
        <w:rPr>
          <w:rFonts w:hint="eastAsia" w:ascii="仿宋_GB2312" w:hAnsi="仿宋_GB2312" w:eastAsia="仿宋_GB2312" w:cs="宋体"/>
          <w:bCs/>
          <w:kern w:val="0"/>
          <w:sz w:val="36"/>
          <w:szCs w:val="36"/>
          <w:u w:val="single"/>
        </w:rPr>
        <w:t>白云山何济公制药厂易地改造项目永久用电工程项目</w:t>
      </w:r>
    </w:p>
    <w:p w14:paraId="6DC54225">
      <w:pPr>
        <w:rPr>
          <w:rFonts w:hint="eastAsia" w:ascii="仿宋_GB2312" w:hAnsi="仿宋_GB2312" w:eastAsia="仿宋_GB2312" w:cs="宋体"/>
          <w:bCs/>
          <w:kern w:val="0"/>
          <w:sz w:val="36"/>
          <w:szCs w:val="36"/>
          <w:u w:val="single"/>
        </w:rPr>
      </w:pPr>
    </w:p>
    <w:p w14:paraId="35B14FB2">
      <w:pPr>
        <w:rPr>
          <w:rFonts w:hint="eastAsia" w:ascii="仿宋_GB2312" w:hAnsi="仿宋_GB2312" w:eastAsia="仿宋_GB2312" w:cs="宋体"/>
          <w:bCs/>
          <w:kern w:val="0"/>
          <w:sz w:val="36"/>
          <w:szCs w:val="36"/>
          <w:u w:val="single"/>
        </w:rPr>
      </w:pPr>
    </w:p>
    <w:p w14:paraId="26C80CB2">
      <w:pPr>
        <w:rPr>
          <w:rFonts w:hint="eastAsia" w:ascii="仿宋_GB2312" w:hAnsi="仿宋_GB2312" w:eastAsia="仿宋_GB2312" w:cs="宋体"/>
          <w:bCs/>
          <w:kern w:val="0"/>
          <w:sz w:val="36"/>
          <w:szCs w:val="36"/>
          <w:u w:val="single"/>
        </w:rPr>
      </w:pPr>
    </w:p>
    <w:p w14:paraId="401036B4">
      <w:pPr>
        <w:rPr>
          <w:rFonts w:hint="eastAsia" w:ascii="仿宋_GB2312" w:hAnsi="仿宋_GB2312" w:eastAsia="仿宋_GB2312" w:cs="宋体"/>
          <w:bCs/>
          <w:kern w:val="0"/>
          <w:sz w:val="36"/>
          <w:szCs w:val="36"/>
          <w:u w:val="single"/>
        </w:rPr>
      </w:pPr>
    </w:p>
    <w:p w14:paraId="3F85B625">
      <w:pPr>
        <w:rPr>
          <w:rFonts w:hint="eastAsia" w:ascii="仿宋_GB2312" w:hAnsi="仿宋_GB2312" w:eastAsia="仿宋_GB2312" w:cs="宋体"/>
          <w:bCs/>
          <w:kern w:val="0"/>
          <w:sz w:val="36"/>
          <w:szCs w:val="36"/>
          <w:u w:val="single"/>
        </w:rPr>
      </w:pPr>
    </w:p>
    <w:p w14:paraId="019C9411">
      <w:pPr>
        <w:rPr>
          <w:rFonts w:hint="eastAsia" w:ascii="仿宋_GB2312" w:hAnsi="仿宋_GB2312" w:eastAsia="仿宋_GB2312" w:cs="宋体"/>
          <w:bCs/>
          <w:kern w:val="0"/>
          <w:sz w:val="36"/>
          <w:szCs w:val="36"/>
          <w:u w:val="single"/>
        </w:rPr>
      </w:pPr>
    </w:p>
    <w:p w14:paraId="6A15175B">
      <w:pPr>
        <w:rPr>
          <w:rFonts w:hint="eastAsia" w:ascii="仿宋_GB2312" w:hAnsi="仿宋_GB2312" w:eastAsia="仿宋_GB2312" w:cs="宋体"/>
          <w:bCs/>
          <w:kern w:val="0"/>
          <w:sz w:val="36"/>
          <w:szCs w:val="36"/>
          <w:u w:val="single"/>
        </w:rPr>
      </w:pPr>
    </w:p>
    <w:p w14:paraId="3AA5367E">
      <w:pPr>
        <w:rPr>
          <w:rFonts w:hint="eastAsia" w:ascii="仿宋_GB2312" w:hAnsi="仿宋_GB2312" w:eastAsia="仿宋_GB2312" w:cs="宋体"/>
          <w:bCs/>
          <w:kern w:val="0"/>
          <w:sz w:val="36"/>
          <w:szCs w:val="36"/>
          <w:u w:val="single"/>
        </w:rPr>
      </w:pPr>
    </w:p>
    <w:p w14:paraId="361F4CBF">
      <w:pPr>
        <w:rPr>
          <w:rFonts w:hint="eastAsia" w:ascii="仿宋_GB2312" w:hAnsi="仿宋_GB2312" w:eastAsia="仿宋_GB2312" w:cs="宋体"/>
          <w:bCs/>
          <w:kern w:val="0"/>
          <w:sz w:val="36"/>
          <w:szCs w:val="36"/>
        </w:rPr>
      </w:pPr>
    </w:p>
    <w:p w14:paraId="6AB272E6">
      <w:pPr>
        <w:rPr>
          <w:rFonts w:hint="eastAsia" w:ascii="仿宋_GB2312" w:hAnsi="仿宋_GB2312" w:eastAsia="仿宋_GB2312" w:cs="宋体"/>
          <w:bCs/>
          <w:kern w:val="0"/>
          <w:sz w:val="36"/>
          <w:szCs w:val="36"/>
        </w:rPr>
      </w:pPr>
      <w:r>
        <w:rPr>
          <w:rFonts w:hint="eastAsia" w:ascii="仿宋_GB2312" w:hAnsi="仿宋_GB2312" w:eastAsia="仿宋_GB2312" w:cs="宋体"/>
          <w:bCs/>
          <w:kern w:val="0"/>
          <w:sz w:val="36"/>
          <w:szCs w:val="36"/>
        </w:rPr>
        <w:t>签约地点：广州市白云区</w:t>
      </w:r>
    </w:p>
    <w:p w14:paraId="3CA0BF42">
      <w:pPr>
        <w:rPr>
          <w:rFonts w:hint="eastAsia" w:ascii="仿宋_GB2312" w:hAnsi="仿宋_GB2312" w:eastAsia="仿宋_GB2312" w:cs="宋体"/>
          <w:bCs/>
          <w:kern w:val="0"/>
          <w:sz w:val="36"/>
          <w:szCs w:val="36"/>
        </w:rPr>
        <w:sectPr>
          <w:footerReference r:id="rId4" w:type="default"/>
          <w:headerReference r:id="rId3" w:type="even"/>
          <w:footerReference r:id="rId5" w:type="even"/>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宋体"/>
          <w:bCs/>
          <w:kern w:val="0"/>
          <w:sz w:val="36"/>
          <w:szCs w:val="36"/>
        </w:rPr>
        <w:t>日    期：2025年  月  日</w:t>
      </w:r>
    </w:p>
    <w:p w14:paraId="333E0F3B">
      <w:pPr>
        <w:widowControl/>
        <w:spacing w:line="360" w:lineRule="auto"/>
        <w:ind w:right="-1" w:firstLine="480" w:firstLineChars="20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发包人（甲方）：广州白云山医药集团股份有限公司白云山何济公制药厂</w:t>
      </w:r>
    </w:p>
    <w:p w14:paraId="110EFF05">
      <w:pPr>
        <w:widowControl/>
        <w:spacing w:line="360" w:lineRule="auto"/>
        <w:ind w:right="-1" w:firstLine="48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xml:space="preserve">企业负责人： </w:t>
      </w:r>
    </w:p>
    <w:p w14:paraId="2D26FAC5">
      <w:pPr>
        <w:widowControl/>
        <w:spacing w:line="360" w:lineRule="auto"/>
        <w:ind w:left="425"/>
        <w:rPr>
          <w:rFonts w:hint="eastAsia" w:ascii="仿宋_GB2312" w:hAnsi="仿宋_GB2312" w:eastAsia="仿宋_GB2312" w:cs="宋体"/>
          <w:bCs/>
          <w:kern w:val="0"/>
          <w:sz w:val="24"/>
          <w:szCs w:val="24"/>
          <w:u w:val="single"/>
        </w:rPr>
      </w:pPr>
      <w:r>
        <w:rPr>
          <w:rFonts w:hint="eastAsia" w:ascii="仿宋_GB2312" w:hAnsi="宋体" w:eastAsia="仿宋_GB2312" w:cs="宋体"/>
          <w:kern w:val="0"/>
          <w:sz w:val="24"/>
          <w:szCs w:val="24"/>
        </w:rPr>
        <w:t>发包人地址：</w:t>
      </w:r>
      <w:r>
        <w:rPr>
          <w:rFonts w:hint="eastAsia" w:ascii="仿宋_GB2312" w:hAnsi="宋体" w:eastAsia="仿宋_GB2312" w:cs="宋体"/>
          <w:kern w:val="0"/>
          <w:sz w:val="24"/>
          <w:szCs w:val="24"/>
          <w:lang w:eastAsia="zh-CN"/>
        </w:rPr>
        <w:t>广州市白云区钟落潭镇五龙岗</w:t>
      </w:r>
      <w:r>
        <w:rPr>
          <w:rFonts w:hint="eastAsia" w:ascii="仿宋_GB2312" w:hAnsi="宋体" w:eastAsia="仿宋_GB2312" w:cs="宋体"/>
          <w:kern w:val="0"/>
          <w:sz w:val="24"/>
          <w:szCs w:val="24"/>
        </w:rPr>
        <w:t xml:space="preserve"> </w:t>
      </w:r>
    </w:p>
    <w:p w14:paraId="5C966CB4">
      <w:pPr>
        <w:widowControl/>
        <w:spacing w:line="360" w:lineRule="auto"/>
        <w:ind w:right="-1" w:firstLine="48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联系方式：</w:t>
      </w:r>
    </w:p>
    <w:p w14:paraId="79304490">
      <w:pPr>
        <w:widowControl/>
        <w:spacing w:line="360" w:lineRule="auto"/>
        <w:ind w:right="-1" w:firstLine="480"/>
        <w:rPr>
          <w:rFonts w:hint="eastAsia" w:ascii="仿宋_GB2312" w:hAnsi="宋体" w:eastAsia="仿宋_GB2312" w:cs="宋体"/>
          <w:kern w:val="0"/>
          <w:sz w:val="24"/>
          <w:szCs w:val="24"/>
        </w:rPr>
      </w:pPr>
    </w:p>
    <w:p w14:paraId="716FD8C3">
      <w:pPr>
        <w:widowControl/>
        <w:spacing w:line="360" w:lineRule="auto"/>
        <w:ind w:right="-1" w:firstLine="48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xml:space="preserve">承包人（乙方）： </w:t>
      </w:r>
    </w:p>
    <w:p w14:paraId="6FAB4B2C">
      <w:pPr>
        <w:widowControl/>
        <w:spacing w:line="360" w:lineRule="auto"/>
        <w:ind w:right="-1" w:firstLine="48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xml:space="preserve">法定代表人：                    </w:t>
      </w:r>
    </w:p>
    <w:p w14:paraId="049527A1">
      <w:pPr>
        <w:widowControl/>
        <w:spacing w:line="360" w:lineRule="auto"/>
        <w:ind w:right="-1" w:firstLine="48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承包人地址：</w:t>
      </w:r>
    </w:p>
    <w:p w14:paraId="18944A1E">
      <w:pPr>
        <w:widowControl/>
        <w:spacing w:line="360" w:lineRule="auto"/>
        <w:ind w:right="-1" w:firstLine="480"/>
        <w:rPr>
          <w:rFonts w:ascii="仿宋_GB2312" w:hAnsi="宋体" w:eastAsia="仿宋_GB2312" w:cs="宋体"/>
          <w:kern w:val="0"/>
          <w:sz w:val="24"/>
          <w:szCs w:val="24"/>
        </w:rPr>
      </w:pPr>
      <w:r>
        <w:rPr>
          <w:rFonts w:hint="eastAsia" w:ascii="仿宋_GB2312" w:hAnsi="宋体" w:eastAsia="仿宋_GB2312" w:cs="宋体"/>
          <w:kern w:val="0"/>
          <w:sz w:val="24"/>
          <w:szCs w:val="24"/>
        </w:rPr>
        <w:t>联系方式：</w:t>
      </w:r>
    </w:p>
    <w:p w14:paraId="1E2185A0">
      <w:pPr>
        <w:widowControl/>
        <w:spacing w:line="360" w:lineRule="auto"/>
        <w:ind w:right="-1" w:firstLine="480"/>
        <w:rPr>
          <w:rFonts w:hint="eastAsia" w:ascii="仿宋_GB2312" w:hAnsi="宋体" w:eastAsia="仿宋_GB2312" w:cs="宋体"/>
          <w:kern w:val="0"/>
          <w:sz w:val="24"/>
          <w:szCs w:val="24"/>
        </w:rPr>
      </w:pPr>
    </w:p>
    <w:p w14:paraId="62C2D249">
      <w:pPr>
        <w:spacing w:line="360" w:lineRule="auto"/>
        <w:ind w:firstLine="520" w:firstLineChars="217"/>
        <w:rPr>
          <w:rFonts w:ascii="仿宋_GB2312" w:hAnsi="仿宋_GB2312" w:eastAsia="仿宋_GB2312" w:cs="宋体"/>
          <w:bCs/>
          <w:kern w:val="0"/>
          <w:sz w:val="24"/>
          <w:szCs w:val="24"/>
        </w:rPr>
      </w:pPr>
      <w:r>
        <w:rPr>
          <w:rFonts w:hint="eastAsia" w:ascii="仿宋_GB2312" w:hAnsi="仿宋_GB2312" w:eastAsia="仿宋_GB2312" w:cs="宋体"/>
          <w:bCs/>
          <w:kern w:val="0"/>
          <w:sz w:val="24"/>
          <w:szCs w:val="24"/>
        </w:rPr>
        <w:t>广州白云山医药集团股份有限公司白云山何济公制药厂（以下简称甲方）与</w:t>
      </w:r>
      <w:r>
        <w:rPr>
          <w:rFonts w:hint="eastAsia" w:ascii="仿宋_GB2312" w:hAnsi="仿宋_GB2312" w:eastAsia="仿宋_GB2312" w:cs="宋体"/>
          <w:bCs/>
          <w:kern w:val="0"/>
          <w:sz w:val="24"/>
          <w:szCs w:val="24"/>
          <w:u w:val="single"/>
        </w:rPr>
        <w:t xml:space="preserve">             (</w:t>
      </w:r>
      <w:r>
        <w:rPr>
          <w:rFonts w:hint="eastAsia" w:ascii="仿宋_GB2312" w:hAnsi="仿宋_GB2312" w:eastAsia="仿宋_GB2312" w:cs="宋体"/>
          <w:bCs/>
          <w:kern w:val="0"/>
          <w:sz w:val="24"/>
          <w:szCs w:val="24"/>
        </w:rPr>
        <w:t>以下简称乙方）就乙方向甲方提供白云山何济公制药厂易地改造项目永久用电工程项目的相关服务，经甲乙双方协商一致，签订本合同，共同遵守如下条款：</w:t>
      </w:r>
    </w:p>
    <w:p w14:paraId="1C238652">
      <w:pPr>
        <w:widowControl/>
        <w:spacing w:line="360" w:lineRule="auto"/>
        <w:ind w:firstLine="482" w:firstLineChars="200"/>
        <w:jc w:val="left"/>
        <w:outlineLvl w:val="1"/>
        <w:rPr>
          <w:rFonts w:hint="eastAsia" w:ascii="仿宋_GB2312" w:hAnsi="宋体" w:eastAsia="仿宋_GB2312" w:cs="Arial"/>
          <w:b/>
          <w:bCs/>
          <w:kern w:val="0"/>
          <w:sz w:val="24"/>
          <w:szCs w:val="24"/>
        </w:rPr>
      </w:pPr>
      <w:r>
        <w:rPr>
          <w:rFonts w:hint="eastAsia" w:ascii="仿宋_GB2312" w:hAnsi="黑体" w:eastAsia="仿宋_GB2312" w:cs="Arial"/>
          <w:b/>
          <w:bCs/>
          <w:kern w:val="0"/>
          <w:sz w:val="24"/>
          <w:szCs w:val="24"/>
        </w:rPr>
        <w:t>第一条 工程概况</w:t>
      </w:r>
    </w:p>
    <w:p w14:paraId="17339E8F">
      <w:pPr>
        <w:widowControl/>
        <w:numPr>
          <w:ilvl w:val="1"/>
          <w:numId w:val="1"/>
        </w:numPr>
        <w:spacing w:line="360" w:lineRule="auto"/>
        <w:rPr>
          <w:rFonts w:hint="eastAsia" w:ascii="仿宋_GB2312" w:hAnsi="仿宋_GB2312" w:eastAsia="仿宋_GB2312" w:cs="宋体"/>
          <w:bCs/>
          <w:kern w:val="0"/>
          <w:sz w:val="24"/>
          <w:szCs w:val="24"/>
          <w:u w:val="single"/>
        </w:rPr>
      </w:pPr>
      <w:r>
        <w:rPr>
          <w:rFonts w:hint="eastAsia" w:ascii="仿宋_GB2312" w:hAnsi="宋体" w:eastAsia="仿宋_GB2312" w:cs="宋体"/>
          <w:kern w:val="0"/>
          <w:sz w:val="24"/>
          <w:szCs w:val="24"/>
        </w:rPr>
        <w:t>工程名称：</w:t>
      </w:r>
      <w:r>
        <w:rPr>
          <w:rFonts w:hint="eastAsia" w:ascii="仿宋_GB2312" w:hAnsi="仿宋_GB2312" w:eastAsia="仿宋_GB2312" w:cs="宋体"/>
          <w:bCs/>
          <w:kern w:val="0"/>
          <w:sz w:val="24"/>
          <w:szCs w:val="24"/>
          <w:u w:val="single"/>
        </w:rPr>
        <w:t>白云山何济公制药厂易地改造项目永久用电工程项目</w:t>
      </w:r>
    </w:p>
    <w:p w14:paraId="31733469">
      <w:pPr>
        <w:widowControl/>
        <w:numPr>
          <w:ilvl w:val="1"/>
          <w:numId w:val="1"/>
        </w:numPr>
        <w:spacing w:line="360" w:lineRule="auto"/>
        <w:rPr>
          <w:rFonts w:hint="eastAsia" w:ascii="仿宋_GB2312" w:hAnsi="仿宋_GB2312" w:eastAsia="仿宋_GB2312" w:cs="宋体"/>
          <w:bCs/>
          <w:kern w:val="0"/>
          <w:sz w:val="24"/>
          <w:szCs w:val="24"/>
          <w:u w:val="single"/>
        </w:rPr>
      </w:pPr>
      <w:r>
        <w:rPr>
          <w:rFonts w:hint="eastAsia" w:ascii="仿宋_GB2312" w:hAnsi="宋体" w:eastAsia="仿宋_GB2312" w:cs="宋体"/>
          <w:kern w:val="0"/>
          <w:sz w:val="24"/>
          <w:szCs w:val="24"/>
        </w:rPr>
        <w:t>工程地点：</w:t>
      </w:r>
      <w:r>
        <w:rPr>
          <w:rFonts w:hint="eastAsia" w:ascii="仿宋_GB2312" w:hAnsi="宋体" w:eastAsia="仿宋_GB2312" w:cs="宋体"/>
          <w:kern w:val="0"/>
          <w:sz w:val="24"/>
          <w:szCs w:val="24"/>
          <w:u w:val="single"/>
          <w:lang w:eastAsia="zh-CN"/>
        </w:rPr>
        <w:t>广州市白云区钟落潭镇五龙岗</w:t>
      </w:r>
    </w:p>
    <w:p w14:paraId="311EA28C">
      <w:pPr>
        <w:widowControl/>
        <w:numPr>
          <w:ilvl w:val="1"/>
          <w:numId w:val="1"/>
        </w:numPr>
        <w:spacing w:line="360" w:lineRule="auto"/>
        <w:rPr>
          <w:rFonts w:hint="eastAsia" w:ascii="仿宋_GB2312" w:hAnsi="仿宋_GB2312" w:eastAsia="仿宋_GB2312" w:cs="宋体"/>
          <w:bCs/>
          <w:kern w:val="0"/>
          <w:sz w:val="24"/>
          <w:szCs w:val="24"/>
          <w:u w:val="single"/>
        </w:rPr>
      </w:pPr>
      <w:r>
        <w:rPr>
          <w:rFonts w:hint="eastAsia" w:ascii="仿宋_GB2312" w:hAnsi="仿宋_GB2312" w:eastAsia="仿宋_GB2312"/>
          <w:sz w:val="24"/>
          <w:szCs w:val="24"/>
        </w:rPr>
        <w:t>工程建设内容：</w:t>
      </w:r>
      <w:r>
        <w:rPr>
          <w:rFonts w:hint="eastAsia" w:ascii="仿宋_GB2312" w:hAnsi="宋体" w:eastAsia="仿宋_GB2312" w:cs="宋体"/>
          <w:kern w:val="0"/>
          <w:sz w:val="24"/>
          <w:szCs w:val="24"/>
        </w:rPr>
        <w:t xml:space="preserve"> </w:t>
      </w:r>
    </w:p>
    <w:p w14:paraId="7D629215">
      <w:pPr>
        <w:widowControl/>
        <w:spacing w:line="360" w:lineRule="auto"/>
        <w:ind w:firstLine="480" w:firstLineChars="200"/>
        <w:jc w:val="left"/>
        <w:rPr>
          <w:rFonts w:hint="eastAsia" w:ascii="仿宋_GB2312" w:hAnsi="仿宋_GB2312" w:eastAsia="仿宋_GB2312" w:cs="宋体"/>
          <w:bCs/>
          <w:kern w:val="0"/>
          <w:sz w:val="24"/>
          <w:szCs w:val="24"/>
        </w:rPr>
      </w:pPr>
      <w:r>
        <w:rPr>
          <w:rFonts w:hint="eastAsia" w:ascii="仿宋_GB2312" w:hAnsi="宋体" w:eastAsia="仿宋_GB2312" w:cs="宋体"/>
          <w:kern w:val="0"/>
          <w:sz w:val="24"/>
          <w:szCs w:val="24"/>
        </w:rPr>
        <w:t>1.3.1本合同标的</w:t>
      </w:r>
      <w:r>
        <w:rPr>
          <w:rFonts w:hint="eastAsia" w:ascii="仿宋_GB2312" w:hAnsi="仿宋_GB2312" w:eastAsia="仿宋_GB2312" w:cs="宋体"/>
          <w:bCs/>
          <w:kern w:val="0"/>
          <w:sz w:val="24"/>
          <w:szCs w:val="24"/>
        </w:rPr>
        <w:t>为白云山何济公制药厂永久用电工程，包括但不限于现有招标版图纸的深化</w:t>
      </w:r>
      <w:r>
        <w:rPr>
          <w:rFonts w:ascii="仿宋_GB2312" w:hAnsi="仿宋_GB2312" w:eastAsia="仿宋_GB2312" w:cs="宋体"/>
          <w:bCs/>
          <w:kern w:val="0"/>
          <w:sz w:val="24"/>
          <w:szCs w:val="24"/>
        </w:rPr>
        <w:t>(</w:t>
      </w:r>
      <w:r>
        <w:rPr>
          <w:rFonts w:hint="eastAsia" w:ascii="仿宋_GB2312" w:hAnsi="仿宋_GB2312" w:eastAsia="仿宋_GB2312" w:cs="宋体"/>
          <w:bCs/>
          <w:kern w:val="0"/>
          <w:sz w:val="24"/>
          <w:szCs w:val="24"/>
        </w:rPr>
        <w:t>按已通过供电局审核为准</w:t>
      </w:r>
      <w:r>
        <w:rPr>
          <w:rFonts w:ascii="仿宋_GB2312" w:hAnsi="仿宋_GB2312" w:eastAsia="仿宋_GB2312" w:cs="宋体"/>
          <w:bCs/>
          <w:kern w:val="0"/>
          <w:sz w:val="24"/>
          <w:szCs w:val="24"/>
        </w:rPr>
        <w:t>)</w:t>
      </w:r>
      <w:r>
        <w:rPr>
          <w:rFonts w:hint="eastAsia" w:ascii="仿宋_GB2312" w:hAnsi="仿宋_GB2312" w:eastAsia="仿宋_GB2312" w:cs="宋体"/>
          <w:bCs/>
          <w:kern w:val="0"/>
          <w:sz w:val="24"/>
          <w:szCs w:val="24"/>
        </w:rPr>
        <w:t>、生产大楼</w:t>
      </w:r>
      <w:r>
        <w:rPr>
          <w:rFonts w:ascii="仿宋_GB2312" w:hAnsi="仿宋_GB2312" w:eastAsia="仿宋_GB2312" w:cs="宋体"/>
          <w:bCs/>
          <w:kern w:val="0"/>
          <w:sz w:val="24"/>
          <w:szCs w:val="24"/>
        </w:rPr>
        <w:t>10kV</w:t>
      </w:r>
      <w:r>
        <w:rPr>
          <w:rFonts w:hint="eastAsia" w:ascii="仿宋_GB2312" w:hAnsi="仿宋_GB2312" w:eastAsia="仿宋_GB2312" w:cs="宋体"/>
          <w:bCs/>
          <w:kern w:val="0"/>
          <w:sz w:val="24"/>
          <w:szCs w:val="24"/>
        </w:rPr>
        <w:t>高压配电系统、柴油发电机组、低压配电系统等成套配电柜（盘）及动力开关柜系统、智能配电运维系统等设备的采购（制造或集成和运输、装卸）、安装、调试、培训、验收、技术服务（包括</w:t>
      </w:r>
      <w:r>
        <w:rPr>
          <w:rFonts w:hint="eastAsia" w:ascii="仿宋_GB2312" w:hAnsi="仿宋_GB2312" w:eastAsia="仿宋_GB2312" w:cs="宋体"/>
          <w:bCs/>
          <w:kern w:val="0"/>
          <w:sz w:val="24"/>
          <w:szCs w:val="24"/>
          <w:lang w:val="en-US" w:eastAsia="zh-CN"/>
        </w:rPr>
        <w:t>但不限于</w:t>
      </w:r>
      <w:r>
        <w:rPr>
          <w:rFonts w:hint="eastAsia" w:ascii="仿宋_GB2312" w:hAnsi="仿宋_GB2312" w:eastAsia="仿宋_GB2312" w:cs="宋体"/>
          <w:bCs/>
          <w:kern w:val="0"/>
          <w:sz w:val="24"/>
          <w:szCs w:val="24"/>
        </w:rPr>
        <w:t>技术资料）、室内外管、沟、井的施工、高压室、专变房、低压房、发电机房、顶管等工程内容，保修期保障，竣工图的编制等为完成本项目工程所需的全部工作。代理招标人办理相关手续等工作，以及招标文件涉及的所有本项目的相关要求，包括但不限于清单、图纸、说明。</w:t>
      </w:r>
    </w:p>
    <w:p w14:paraId="6C1710B6">
      <w:pPr>
        <w:widowControl/>
        <w:spacing w:line="360" w:lineRule="auto"/>
        <w:ind w:firstLine="482" w:firstLineChars="200"/>
        <w:jc w:val="left"/>
        <w:rPr>
          <w:rFonts w:hint="eastAsia" w:ascii="仿宋_GB2312" w:hAnsi="黑体" w:eastAsia="仿宋_GB2312" w:cs="Arial"/>
          <w:b/>
          <w:bCs/>
          <w:kern w:val="0"/>
          <w:sz w:val="24"/>
          <w:szCs w:val="24"/>
        </w:rPr>
      </w:pPr>
      <w:r>
        <w:rPr>
          <w:rFonts w:hint="eastAsia" w:ascii="仿宋_GB2312" w:hAnsi="黑体" w:eastAsia="仿宋_GB2312" w:cs="Arial"/>
          <w:b/>
          <w:bCs/>
          <w:kern w:val="0"/>
          <w:sz w:val="24"/>
          <w:szCs w:val="24"/>
        </w:rPr>
        <w:t>第二条 工程承包范围、方式</w:t>
      </w:r>
    </w:p>
    <w:p w14:paraId="4D4FC834">
      <w:pPr>
        <w:spacing w:line="360" w:lineRule="auto"/>
        <w:ind w:firstLine="480" w:firstLineChars="200"/>
        <w:rPr>
          <w:rFonts w:hint="eastAsia" w:ascii="仿宋_GB2312" w:hAnsi="仿宋" w:eastAsia="仿宋_GB2312"/>
          <w:sz w:val="24"/>
          <w:szCs w:val="24"/>
        </w:rPr>
      </w:pPr>
      <w:r>
        <w:rPr>
          <w:rFonts w:hint="eastAsia" w:ascii="仿宋_GB2312" w:hAnsi="仿宋_GB2312" w:eastAsia="仿宋_GB2312"/>
          <w:sz w:val="24"/>
          <w:szCs w:val="24"/>
        </w:rPr>
        <w:t>2.1</w:t>
      </w:r>
      <w:r>
        <w:rPr>
          <w:rFonts w:hint="eastAsia" w:ascii="仿宋_GB2312" w:hAnsi="仿宋" w:eastAsia="仿宋_GB2312"/>
          <w:sz w:val="24"/>
          <w:szCs w:val="24"/>
        </w:rPr>
        <w:t xml:space="preserve"> 承包范围</w:t>
      </w:r>
    </w:p>
    <w:p w14:paraId="468B4EA1">
      <w:pPr>
        <w:spacing w:line="360"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t>2.1.1按招标文件要求，及甲方提供全套施工图纸、设计说明及补充说明、工程量清单完成本项目的包括但不限于</w:t>
      </w:r>
      <w:r>
        <w:rPr>
          <w:rFonts w:hint="eastAsia"/>
        </w:rPr>
        <w:t>土</w:t>
      </w:r>
      <w:r>
        <w:rPr>
          <w:rFonts w:hint="eastAsia" w:ascii="仿宋_GB2312" w:hAnsi="仿宋" w:eastAsia="仿宋_GB2312"/>
          <w:sz w:val="24"/>
          <w:szCs w:val="24"/>
        </w:rPr>
        <w:t>建、设备、运输、保险以及乙方进行的安装、调试、试运行、验收、培训、技术服务（包括技术资料）、室内外管、沟、井的施工、顶管等工程内容，保修期保障服务、竣工图的编制等，详见施工图纸和工程量清单。</w:t>
      </w:r>
    </w:p>
    <w:p w14:paraId="4767DDF9">
      <w:pPr>
        <w:spacing w:line="360" w:lineRule="auto"/>
        <w:ind w:firstLine="523" w:firstLineChars="218"/>
        <w:rPr>
          <w:rFonts w:hint="eastAsia" w:ascii="仿宋_GB2312" w:hAnsi="宋体" w:eastAsia="仿宋_GB2312" w:cs="宋体"/>
          <w:sz w:val="24"/>
          <w:szCs w:val="24"/>
        </w:rPr>
      </w:pPr>
      <w:r>
        <w:rPr>
          <w:rFonts w:hint="eastAsia" w:ascii="仿宋_GB2312" w:hAnsi="仿宋" w:eastAsia="仿宋_GB2312"/>
          <w:sz w:val="24"/>
          <w:szCs w:val="24"/>
        </w:rPr>
        <w:t>2.1.2施工及竣工验收过程中相关报建及验收报批工作。</w:t>
      </w:r>
      <w:r>
        <w:rPr>
          <w:rFonts w:hint="eastAsia" w:ascii="仿宋_GB2312" w:hAnsi="宋体" w:eastAsia="仿宋_GB2312" w:cs="宋体"/>
          <w:sz w:val="24"/>
          <w:szCs w:val="24"/>
        </w:rPr>
        <w:t>合同范围内工程竣工验收通过并送电（含不能通过需整改发生的一切费用）、竣工送电后到移交前的运行维护管理、移交、结算的组织实施工作和资料整理。</w:t>
      </w:r>
    </w:p>
    <w:p w14:paraId="0F912DBF">
      <w:pPr>
        <w:spacing w:line="360" w:lineRule="auto"/>
        <w:ind w:firstLine="523" w:firstLineChars="218"/>
        <w:rPr>
          <w:rFonts w:hint="eastAsia" w:ascii="仿宋_GB2312" w:hAnsi="宋体" w:eastAsia="仿宋_GB2312" w:cs="宋体"/>
          <w:sz w:val="24"/>
          <w:szCs w:val="24"/>
        </w:rPr>
      </w:pPr>
      <w:r>
        <w:rPr>
          <w:rFonts w:hint="eastAsia" w:ascii="仿宋_GB2312" w:hAnsi="宋体" w:eastAsia="仿宋_GB2312" w:cs="宋体"/>
          <w:sz w:val="24"/>
          <w:szCs w:val="24"/>
        </w:rPr>
        <w:t>2.1.3施工过程中的用电由乙方自行解决，甲方不承担费用及相关义务。</w:t>
      </w:r>
    </w:p>
    <w:p w14:paraId="1855C21C">
      <w:pPr>
        <w:spacing w:line="360" w:lineRule="auto"/>
        <w:ind w:firstLine="480" w:firstLineChars="200"/>
        <w:rPr>
          <w:rFonts w:hint="eastAsia" w:ascii="仿宋_GB2312" w:hAnsi="仿宋" w:eastAsia="仿宋_GB2312"/>
          <w:sz w:val="24"/>
          <w:szCs w:val="20"/>
        </w:rPr>
      </w:pPr>
      <w:r>
        <w:rPr>
          <w:rFonts w:hint="eastAsia" w:ascii="仿宋_GB2312" w:hAnsi="仿宋" w:eastAsia="仿宋_GB2312"/>
          <w:sz w:val="24"/>
          <w:szCs w:val="20"/>
        </w:rPr>
        <w:t>2.2 合同承包方式：</w:t>
      </w:r>
      <w:r>
        <w:rPr>
          <w:rFonts w:hint="eastAsia" w:ascii="仿宋_GB2312" w:hAnsi="仿宋_GB2312" w:eastAsia="仿宋_GB2312"/>
          <w:sz w:val="24"/>
          <w:szCs w:val="20"/>
        </w:rPr>
        <w:t>合同价款采用固定单价合同的方式。</w:t>
      </w:r>
      <w:r>
        <w:rPr>
          <w:rFonts w:hint="eastAsia" w:ascii="仿宋_GB2312" w:hAnsi="仿宋" w:eastAsia="仿宋_GB2312"/>
          <w:sz w:val="24"/>
          <w:szCs w:val="20"/>
        </w:rPr>
        <w:t>乙方按照国家规范、技术规格书、招标文件、工程量清单、招标图纸所述或所示进行。</w:t>
      </w:r>
      <w:r>
        <w:rPr>
          <w:rFonts w:ascii="仿宋_GB2312" w:hAnsi="仿宋" w:eastAsia="仿宋_GB2312"/>
          <w:sz w:val="24"/>
          <w:szCs w:val="20"/>
        </w:rPr>
        <w:t>要求包工、包料、包机械、包安装、包试验、包工期、包质量、包安全生产、包文明施工、包劳保、包现有招标版图纸的深化(按已通过供电局审核为准)、包报建（图纸送审及中间检查、竣工验收、供电局内部GIS报建、继电试验、送电检查、市政电源点停送电申请等一切手续的资料整理及办理，</w:t>
      </w:r>
      <w:r>
        <w:rPr>
          <w:rFonts w:hint="eastAsia" w:ascii="仿宋_GB2312" w:hAnsi="仿宋" w:eastAsia="仿宋_GB2312"/>
          <w:sz w:val="24"/>
          <w:szCs w:val="20"/>
        </w:rPr>
        <w:t>甲方</w:t>
      </w:r>
      <w:r>
        <w:rPr>
          <w:rFonts w:ascii="仿宋_GB2312" w:hAnsi="仿宋" w:eastAsia="仿宋_GB2312"/>
          <w:sz w:val="24"/>
          <w:szCs w:val="20"/>
        </w:rPr>
        <w:t>与供电局供用电合同的办理、并由</w:t>
      </w:r>
      <w:r>
        <w:rPr>
          <w:rFonts w:hint="eastAsia" w:ascii="仿宋_GB2312" w:hAnsi="仿宋" w:eastAsia="仿宋_GB2312"/>
          <w:sz w:val="24"/>
          <w:szCs w:val="20"/>
        </w:rPr>
        <w:t>乙方</w:t>
      </w:r>
      <w:r>
        <w:rPr>
          <w:rFonts w:ascii="仿宋_GB2312" w:hAnsi="仿宋" w:eastAsia="仿宋_GB2312"/>
          <w:sz w:val="24"/>
          <w:szCs w:val="20"/>
        </w:rPr>
        <w:t>安排专人上门负责）、包验收、包正式送电(含高低压)、包综合治理、包保修、包培训等的承包方式。</w:t>
      </w:r>
      <w:r>
        <w:rPr>
          <w:rFonts w:hint="eastAsia" w:ascii="仿宋_GB2312" w:hAnsi="仿宋" w:eastAsia="仿宋_GB2312"/>
          <w:sz w:val="24"/>
          <w:szCs w:val="20"/>
        </w:rPr>
        <w:t>以固定综合单价包干，按实际工程量进行结算。</w:t>
      </w:r>
      <w:r>
        <w:rPr>
          <w:rFonts w:hint="eastAsia" w:ascii="仿宋_GB2312" w:hAnsi="宋体" w:eastAsia="仿宋_GB2312" w:cs="宋体"/>
          <w:sz w:val="24"/>
          <w:szCs w:val="20"/>
        </w:rPr>
        <w:t>项目措施费包干、其他项目费包干。</w:t>
      </w:r>
      <w:r>
        <w:rPr>
          <w:rFonts w:hint="eastAsia" w:ascii="仿宋_GB2312" w:hAnsi="仿宋" w:eastAsia="仿宋_GB2312"/>
          <w:sz w:val="24"/>
          <w:szCs w:val="20"/>
        </w:rPr>
        <w:t>甲方根据工程实施情况或政府相关部门对该工程的相关建设要求，若对乙方的承包范围进行局部适当调整，乙方必须执行，否则承担违约责任。</w:t>
      </w:r>
    </w:p>
    <w:p w14:paraId="60232A14">
      <w:pPr>
        <w:widowControl/>
        <w:spacing w:line="360" w:lineRule="auto"/>
        <w:ind w:firstLine="482" w:firstLineChars="200"/>
        <w:jc w:val="left"/>
        <w:outlineLvl w:val="1"/>
        <w:rPr>
          <w:rFonts w:hint="eastAsia" w:ascii="仿宋_GB2312" w:hAnsi="黑体" w:eastAsia="仿宋_GB2312" w:cs="Arial"/>
          <w:b/>
          <w:bCs/>
          <w:kern w:val="0"/>
          <w:sz w:val="24"/>
          <w:szCs w:val="24"/>
        </w:rPr>
      </w:pPr>
    </w:p>
    <w:p w14:paraId="3E562620">
      <w:pPr>
        <w:widowControl/>
        <w:spacing w:line="360" w:lineRule="auto"/>
        <w:ind w:firstLine="482" w:firstLineChars="200"/>
        <w:jc w:val="left"/>
        <w:outlineLvl w:val="1"/>
        <w:rPr>
          <w:rFonts w:hint="eastAsia" w:ascii="仿宋_GB2312" w:hAnsi="宋体" w:eastAsia="仿宋_GB2312" w:cs="Arial"/>
          <w:b/>
          <w:bCs/>
          <w:kern w:val="0"/>
          <w:sz w:val="24"/>
          <w:szCs w:val="24"/>
        </w:rPr>
      </w:pPr>
      <w:r>
        <w:rPr>
          <w:rFonts w:hint="eastAsia" w:ascii="仿宋_GB2312" w:hAnsi="黑体" w:eastAsia="仿宋_GB2312" w:cs="Arial"/>
          <w:b/>
          <w:bCs/>
          <w:kern w:val="0"/>
          <w:sz w:val="24"/>
          <w:szCs w:val="24"/>
        </w:rPr>
        <w:t>第三条 工程期限</w:t>
      </w:r>
    </w:p>
    <w:p w14:paraId="57386F5F">
      <w:pPr>
        <w:widowControl/>
        <w:spacing w:line="360" w:lineRule="auto"/>
        <w:ind w:firstLine="480" w:firstLineChars="200"/>
        <w:rPr>
          <w:rFonts w:hint="eastAsia" w:ascii="仿宋_GB2312" w:hAnsi="宋体" w:eastAsia="仿宋_GB2312" w:cs="宋体"/>
          <w:kern w:val="0"/>
          <w:sz w:val="24"/>
          <w:szCs w:val="24"/>
          <w:u w:val="single"/>
        </w:rPr>
      </w:pPr>
      <w:r>
        <w:rPr>
          <w:rFonts w:hint="eastAsia" w:ascii="仿宋_GB2312" w:hAnsi="宋体" w:eastAsia="仿宋_GB2312" w:cs="宋体"/>
          <w:kern w:val="0"/>
          <w:sz w:val="24"/>
          <w:szCs w:val="24"/>
        </w:rPr>
        <w:t>3.1合同工期：</w:t>
      </w:r>
      <w:r>
        <w:rPr>
          <w:rFonts w:hint="eastAsia" w:ascii="仿宋_GB2312" w:hAnsi="宋体" w:eastAsia="仿宋_GB2312"/>
          <w:sz w:val="24"/>
          <w:szCs w:val="24"/>
        </w:rPr>
        <w:t>签定合同后</w:t>
      </w:r>
      <w:r>
        <w:rPr>
          <w:rFonts w:hint="eastAsia" w:ascii="仿宋_GB2312" w:hAnsi="宋体" w:eastAsia="仿宋_GB2312"/>
          <w:sz w:val="24"/>
          <w:szCs w:val="24"/>
          <w:u w:val="single"/>
        </w:rPr>
        <w:t xml:space="preserve">    </w:t>
      </w:r>
      <w:r>
        <w:rPr>
          <w:rFonts w:hint="eastAsia" w:ascii="仿宋_GB2312" w:hAnsi="宋体" w:eastAsia="仿宋_GB2312"/>
          <w:sz w:val="24"/>
          <w:szCs w:val="24"/>
        </w:rPr>
        <w:t>个日历天内完成本工程并交付使用（含竣工报验、装表送电时间）。具体工期：</w:t>
      </w:r>
      <w:r>
        <w:rPr>
          <w:rFonts w:hint="eastAsia" w:ascii="仿宋_GB2312" w:hAnsi="宋体" w:eastAsia="仿宋_GB2312"/>
          <w:sz w:val="24"/>
          <w:szCs w:val="24"/>
          <w:u w:val="single"/>
        </w:rPr>
        <w:t>2025</w:t>
      </w:r>
      <w:r>
        <w:rPr>
          <w:rFonts w:hint="eastAsia" w:ascii="仿宋_GB2312" w:hAnsi="宋体" w:eastAsia="仿宋_GB2312"/>
          <w:sz w:val="24"/>
          <w:szCs w:val="24"/>
        </w:rPr>
        <w:t>年</w:t>
      </w:r>
      <w:r>
        <w:rPr>
          <w:rFonts w:hint="eastAsia" w:ascii="仿宋_GB2312" w:hAnsi="宋体" w:eastAsia="仿宋_GB2312"/>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日至</w:t>
      </w:r>
      <w:r>
        <w:rPr>
          <w:rFonts w:hint="eastAsia" w:ascii="仿宋_GB2312" w:hAnsi="宋体" w:eastAsia="仿宋_GB2312"/>
          <w:sz w:val="24"/>
          <w:szCs w:val="24"/>
          <w:u w:val="single"/>
        </w:rPr>
        <w:t>2025</w:t>
      </w:r>
      <w:r>
        <w:rPr>
          <w:rFonts w:hint="eastAsia" w:ascii="仿宋_GB2312" w:hAnsi="宋体" w:eastAsia="仿宋_GB2312"/>
          <w:sz w:val="24"/>
          <w:szCs w:val="24"/>
        </w:rPr>
        <w:t>年</w:t>
      </w:r>
      <w:r>
        <w:rPr>
          <w:rFonts w:hint="eastAsia" w:ascii="仿宋_GB2312" w:hAnsi="宋体" w:eastAsia="仿宋_GB2312"/>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w:t>
      </w:r>
    </w:p>
    <w:p w14:paraId="77C2C70B">
      <w:pPr>
        <w:widowControl/>
        <w:spacing w:line="360" w:lineRule="auto"/>
        <w:ind w:firstLine="480" w:firstLineChars="20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3.2如遇下列情况，经甲方项目负责人审查确认，并签证后，工期作相应顺延，并用书面形式确定顺延期限：</w:t>
      </w:r>
    </w:p>
    <w:p w14:paraId="3F1A6A98">
      <w:pPr>
        <w:widowControl/>
        <w:spacing w:line="360" w:lineRule="auto"/>
        <w:ind w:firstLine="480" w:firstLineChars="20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3.2.1甲方在合同规定开工日期前3天，不能交乙方施工场地、进场道路，影响乙方进场施工。</w:t>
      </w:r>
    </w:p>
    <w:p w14:paraId="3CB0D3E6">
      <w:pPr>
        <w:widowControl/>
        <w:spacing w:line="360" w:lineRule="auto"/>
        <w:ind w:firstLine="480" w:firstLineChars="200"/>
        <w:rPr>
          <w:rFonts w:hint="eastAsia" w:ascii="仿宋_GB2312" w:hAnsi="宋体" w:eastAsia="仿宋_GB2312" w:cs="宋体"/>
          <w:kern w:val="0"/>
          <w:sz w:val="24"/>
          <w:szCs w:val="24"/>
        </w:rPr>
      </w:pPr>
    </w:p>
    <w:p w14:paraId="217A84AB">
      <w:pPr>
        <w:widowControl/>
        <w:spacing w:line="360" w:lineRule="auto"/>
        <w:ind w:firstLine="480" w:firstLineChars="20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3.2.2因遇人力不可抗拒的自然灾害（如台风、火灾、自然原因发生的火灾、地震等）对工程进度产生直接影响。</w:t>
      </w:r>
    </w:p>
    <w:p w14:paraId="2F5575D4">
      <w:pPr>
        <w:widowControl/>
        <w:spacing w:line="360" w:lineRule="auto"/>
        <w:ind w:firstLine="480" w:firstLineChars="20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若前述约定中的3.2.1、3.2.2情形，是因乙方原因造成，则甲方有权不予签证，工期将不顺延。</w:t>
      </w:r>
    </w:p>
    <w:p w14:paraId="01965B78">
      <w:pPr>
        <w:widowControl/>
        <w:spacing w:line="360" w:lineRule="auto"/>
        <w:ind w:firstLine="480" w:firstLineChars="200"/>
        <w:rPr>
          <w:rFonts w:ascii="仿宋_GB2312" w:hAnsi="宋体" w:eastAsia="仿宋_GB2312" w:cs="宋体"/>
          <w:kern w:val="0"/>
          <w:sz w:val="24"/>
          <w:szCs w:val="24"/>
        </w:rPr>
      </w:pPr>
      <w:r>
        <w:rPr>
          <w:rFonts w:hint="eastAsia" w:ascii="仿宋_GB2312" w:hAnsi="宋体" w:eastAsia="仿宋_GB2312" w:cs="宋体"/>
          <w:kern w:val="0"/>
          <w:sz w:val="24"/>
          <w:szCs w:val="24"/>
        </w:rPr>
        <w:t>3.3乙方应严格按照约定工期及要求完成相关工程内容，除3.2列明情形外，乙方以其他任何理由请求工期顺延或延后的，甲方均有权拒绝，并由乙方自行承担因工期延误所产生的违约及损失赔偿等一切责任。</w:t>
      </w:r>
    </w:p>
    <w:p w14:paraId="5F00591C">
      <w:pPr>
        <w:widowControl/>
        <w:spacing w:line="360" w:lineRule="auto"/>
        <w:ind w:firstLine="482" w:firstLineChars="200"/>
        <w:jc w:val="left"/>
        <w:outlineLvl w:val="1"/>
        <w:rPr>
          <w:rFonts w:hint="eastAsia" w:ascii="仿宋_GB2312" w:hAnsi="宋体" w:eastAsia="仿宋_GB2312" w:cs="Arial"/>
          <w:b/>
          <w:bCs/>
          <w:kern w:val="0"/>
          <w:sz w:val="24"/>
          <w:szCs w:val="24"/>
        </w:rPr>
      </w:pPr>
      <w:r>
        <w:rPr>
          <w:rFonts w:hint="eastAsia" w:ascii="仿宋_GB2312" w:hAnsi="黑体" w:eastAsia="仿宋_GB2312" w:cs="Arial"/>
          <w:b/>
          <w:bCs/>
          <w:kern w:val="0"/>
          <w:sz w:val="24"/>
          <w:szCs w:val="24"/>
        </w:rPr>
        <w:t>第四条 工程合同价款</w:t>
      </w:r>
    </w:p>
    <w:p w14:paraId="78ACDB5D">
      <w:pPr>
        <w:widowControl/>
        <w:spacing w:line="360" w:lineRule="auto"/>
        <w:ind w:firstLine="480" w:firstLineChars="20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4.1本工程合同总价（含税）暂定为人民币（大写）：</w:t>
      </w:r>
      <w:r>
        <w:rPr>
          <w:rFonts w:hint="eastAsia" w:ascii="仿宋_GB2312" w:hAnsi="宋体" w:eastAsia="仿宋_GB2312" w:cs="宋体"/>
          <w:b/>
          <w:bCs/>
          <w:kern w:val="0"/>
          <w:sz w:val="24"/>
          <w:szCs w:val="24"/>
          <w:u w:val="single"/>
        </w:rPr>
        <w:t xml:space="preserve">             </w:t>
      </w:r>
      <w:r>
        <w:rPr>
          <w:rFonts w:hint="eastAsia" w:ascii="仿宋_GB2312" w:hAnsi="宋体" w:eastAsia="仿宋_GB2312" w:cs="宋体"/>
          <w:kern w:val="0"/>
          <w:sz w:val="24"/>
          <w:szCs w:val="24"/>
        </w:rPr>
        <w:t>；（小写）</w:t>
      </w:r>
      <w:r>
        <w:rPr>
          <w:rFonts w:hint="eastAsia" w:ascii="仿宋_GB2312" w:hAnsi="Arial" w:eastAsia="仿宋_GB2312" w:cs="Arial"/>
          <w:sz w:val="24"/>
          <w:szCs w:val="24"/>
          <w:u w:val="single"/>
          <w:shd w:val="clear" w:color="auto" w:fill="FFFFFF"/>
        </w:rPr>
        <w:t xml:space="preserve">¥            </w:t>
      </w:r>
      <w:r>
        <w:rPr>
          <w:rFonts w:hint="eastAsia" w:ascii="仿宋_GB2312" w:hAnsi="宋体" w:eastAsia="仿宋_GB2312" w:cs="宋体"/>
          <w:kern w:val="0"/>
          <w:sz w:val="24"/>
          <w:szCs w:val="24"/>
        </w:rPr>
        <w:t>元。</w:t>
      </w:r>
    </w:p>
    <w:p w14:paraId="2A8E493E">
      <w:pPr>
        <w:widowControl/>
        <w:spacing w:line="360" w:lineRule="auto"/>
        <w:ind w:firstLine="480" w:firstLineChars="200"/>
        <w:rPr>
          <w:rFonts w:hint="eastAsia" w:ascii="仿宋_GB2312" w:hAnsi="宋体" w:eastAsia="仿宋_GB2312" w:cs="宋体"/>
          <w:kern w:val="0"/>
          <w:sz w:val="24"/>
          <w:szCs w:val="24"/>
          <w:highlight w:val="none"/>
        </w:rPr>
      </w:pPr>
      <w:r>
        <w:rPr>
          <w:rFonts w:hint="eastAsia" w:ascii="仿宋_GB2312" w:hAnsi="宋体" w:eastAsia="仿宋_GB2312" w:cs="宋体"/>
          <w:kern w:val="0"/>
          <w:sz w:val="24"/>
          <w:szCs w:val="24"/>
        </w:rPr>
        <w:t>4.2本工程采用按招标文件和工程量清单报价，以经甲方确认的实际施工内容</w:t>
      </w:r>
      <w:r>
        <w:rPr>
          <w:rFonts w:hint="eastAsia" w:ascii="仿宋_GB2312" w:hAnsi="宋体" w:eastAsia="仿宋_GB2312" w:cs="宋体"/>
          <w:kern w:val="0"/>
          <w:sz w:val="24"/>
          <w:szCs w:val="24"/>
          <w:highlight w:val="none"/>
        </w:rPr>
        <w:t>及工程量结算，即按实结算，并以甲方指定造价咨询部门审核结果为准。</w:t>
      </w:r>
    </w:p>
    <w:p w14:paraId="3EF04A59">
      <w:pPr>
        <w:spacing w:line="360" w:lineRule="auto"/>
        <w:ind w:firstLine="480" w:firstLineChars="200"/>
        <w:rPr>
          <w:rFonts w:hint="eastAsia" w:ascii="仿宋_GB2312" w:hAnsi="宋体" w:eastAsia="仿宋_GB2312" w:cs="宋体"/>
          <w:sz w:val="24"/>
          <w:szCs w:val="20"/>
          <w:highlight w:val="none"/>
        </w:rPr>
      </w:pPr>
      <w:r>
        <w:rPr>
          <w:rFonts w:hint="eastAsia" w:ascii="仿宋_GB2312" w:hAnsi="宋体" w:eastAsia="仿宋_GB2312" w:cs="宋体"/>
          <w:sz w:val="24"/>
          <w:szCs w:val="20"/>
          <w:highlight w:val="none"/>
        </w:rPr>
        <w:t>4.3 10kV部分送电后，低压房原有各组出线回路需要相应的接通新装低压出线柜，并送电到每个用电终端电源点。并符合供电部门的验收标准。甲方将不另行支付任何费用。</w:t>
      </w:r>
    </w:p>
    <w:p w14:paraId="0B9101EC">
      <w:pPr>
        <w:widowControl/>
        <w:spacing w:line="360" w:lineRule="auto"/>
        <w:ind w:firstLine="480" w:firstLineChars="200"/>
        <w:rPr>
          <w:rFonts w:hint="eastAsia" w:ascii="仿宋_GB2312" w:hAnsi="宋体" w:eastAsia="仿宋_GB2312" w:cs="宋体"/>
          <w:sz w:val="24"/>
          <w:szCs w:val="24"/>
        </w:rPr>
      </w:pPr>
      <w:r>
        <w:rPr>
          <w:rFonts w:hint="eastAsia" w:ascii="仿宋_GB2312" w:hAnsi="宋体" w:eastAsia="仿宋_GB2312" w:cs="宋体"/>
          <w:sz w:val="24"/>
        </w:rPr>
        <w:t>4.4</w:t>
      </w:r>
      <w:r>
        <w:rPr>
          <w:rFonts w:hint="eastAsia" w:ascii="仿宋_GB2312" w:hAnsi="宋体" w:eastAsia="仿宋_GB2312" w:cs="宋体"/>
          <w:sz w:val="24"/>
          <w:szCs w:val="24"/>
        </w:rPr>
        <w:t>合同总价中包括招标文件中《用户需求书》中列明所需的备品备件，乙方提供设备正常运行所需的备品备件，以及备件参数表。</w:t>
      </w:r>
    </w:p>
    <w:p w14:paraId="37F3EC94">
      <w:pPr>
        <w:widowControl/>
        <w:spacing w:line="360" w:lineRule="auto"/>
        <w:ind w:firstLine="480" w:firstLineChars="20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4.5因施工内容发生增减时，甲乙双方仅就工程量变化部分计算出因此引起的工程造价增（减）金额，以原中标价为标准，加上（或减去）</w:t>
      </w:r>
      <w:r>
        <w:rPr>
          <w:rFonts w:hint="eastAsia" w:ascii="仿宋_GB2312" w:hAnsi="宋体" w:eastAsia="仿宋_GB2312" w:cs="宋体"/>
          <w:kern w:val="0"/>
          <w:sz w:val="24"/>
          <w:szCs w:val="24"/>
          <w:lang w:val="en-US" w:eastAsia="zh-CN"/>
        </w:rPr>
        <w:t>由甲方或甲方指定的机构最终书面确认的</w:t>
      </w:r>
      <w:r>
        <w:rPr>
          <w:rFonts w:hint="eastAsia" w:ascii="仿宋_GB2312" w:hAnsi="宋体" w:eastAsia="仿宋_GB2312" w:cs="宋体"/>
          <w:kern w:val="0"/>
          <w:sz w:val="24"/>
          <w:szCs w:val="24"/>
        </w:rPr>
        <w:t>该工程造价增（减）金额，作为最终结算造价。</w:t>
      </w:r>
    </w:p>
    <w:p w14:paraId="643F19D9">
      <w:pPr>
        <w:widowControl/>
        <w:spacing w:line="360" w:lineRule="auto"/>
        <w:ind w:firstLine="480" w:firstLineChars="20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4.6签证工程项目：施工期间原则上不作现场签证，若工程量清单上没有的内容确需签证的，由乙方单位书面提出，甲方单位书面确认。工程量按实确认，综合单价参照本条“4.8合同价款计算”内容执行。</w:t>
      </w:r>
    </w:p>
    <w:p w14:paraId="763C62B1">
      <w:pPr>
        <w:widowControl/>
        <w:spacing w:line="360" w:lineRule="auto"/>
        <w:ind w:firstLine="480" w:firstLineChars="20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4.7工程结算：工程结算造价由乙方单位书面上报后，经甲方指定造价咨询单位初审，双方根据甲方指定造价咨询部门的审核结果初步确定相关工程造价，并由双方签字确认后，再由甲方审计部门复核后结算。</w:t>
      </w:r>
    </w:p>
    <w:p w14:paraId="31620C09">
      <w:pPr>
        <w:widowControl/>
        <w:spacing w:line="360" w:lineRule="auto"/>
        <w:ind w:firstLine="480" w:firstLineChars="20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4.8合同价款计算：</w:t>
      </w:r>
    </w:p>
    <w:p w14:paraId="7AAECCED">
      <w:pPr>
        <w:spacing w:line="360" w:lineRule="auto"/>
        <w:ind w:firstLine="480" w:firstLineChars="200"/>
        <w:rPr>
          <w:rFonts w:hint="eastAsia" w:ascii="仿宋_GB2312" w:hAnsi="仿宋_GB2312" w:eastAsia="仿宋_GB2312"/>
          <w:sz w:val="24"/>
          <w:szCs w:val="20"/>
        </w:rPr>
      </w:pPr>
      <w:r>
        <w:rPr>
          <w:rFonts w:hint="eastAsia" w:ascii="仿宋_GB2312" w:hAnsi="宋体" w:eastAsia="仿宋_GB2312" w:cs="宋体"/>
          <w:kern w:val="0"/>
          <w:sz w:val="24"/>
          <w:szCs w:val="20"/>
        </w:rPr>
        <w:t>4.8.1</w:t>
      </w:r>
      <w:r>
        <w:rPr>
          <w:rFonts w:hint="eastAsia" w:ascii="仿宋_GB2312" w:hAnsi="仿宋_GB2312" w:eastAsia="仿宋_GB2312"/>
          <w:sz w:val="24"/>
          <w:szCs w:val="20"/>
        </w:rPr>
        <w:t>采用固定单价合同的方式。本工程在合同执行期内，综合单价均不作任何调整。</w:t>
      </w:r>
    </w:p>
    <w:p w14:paraId="28D704B8">
      <w:pPr>
        <w:widowControl/>
        <w:spacing w:line="360" w:lineRule="auto"/>
        <w:ind w:firstLine="480" w:firstLineChars="20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4.8.2</w:t>
      </w:r>
      <w:r>
        <w:rPr>
          <w:rFonts w:hint="eastAsia" w:ascii="仿宋_GB2312" w:hAnsi="仿宋_GB2312" w:eastAsia="仿宋_GB2312"/>
          <w:sz w:val="24"/>
          <w:szCs w:val="24"/>
        </w:rPr>
        <w:t>合同价款中包括的风险范围：乙方根据甲方提供的图纸、有关资料，结合工程现场实际情况、工程特点等要求，采取包材料、包施工、包质量、包工期及包施工安全的方式，以工程量清单项目综合单价包干的形式承包本工程，按实际工程量进行结算。乙方需充分考虑工程现场实际情况，露天作业，市政道路开挖，施工阶段对周边交通、环保及周边居民影响，材料设备保管、周转、吊装，安装，地下管线及现有设备、设施保护等施工中可能发生的一切情况。上述情况均包含在合同价款内。合同价款在风险范围内不再调整。</w:t>
      </w:r>
    </w:p>
    <w:p w14:paraId="0B37B6EC">
      <w:pPr>
        <w:widowControl/>
        <w:spacing w:line="360" w:lineRule="auto"/>
        <w:ind w:firstLine="480" w:firstLineChars="20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4.8.3合同价计算时其他考虑因素；</w:t>
      </w:r>
    </w:p>
    <w:p w14:paraId="28751FBA">
      <w:pPr>
        <w:widowControl/>
        <w:spacing w:line="360" w:lineRule="auto"/>
        <w:ind w:firstLine="480" w:firstLineChars="20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A、质监费用及乙方负责的所有材料及设备的检验试验费用由乙方单位负责；</w:t>
      </w:r>
    </w:p>
    <w:p w14:paraId="74F5D8F9">
      <w:pPr>
        <w:widowControl/>
        <w:spacing w:line="360" w:lineRule="auto"/>
        <w:ind w:firstLine="480" w:firstLineChars="20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B、建筑垃圾处置费由乙方单位自行缴交；</w:t>
      </w:r>
    </w:p>
    <w:p w14:paraId="4D036ADF">
      <w:pPr>
        <w:widowControl/>
        <w:spacing w:line="360" w:lineRule="auto"/>
        <w:ind w:firstLine="480" w:firstLineChars="20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C、甲方不提供施工现场住宿、吃饭、现场办公、乙方材料仓库等场地，若因前述情况所产生的费用由乙方承担；</w:t>
      </w:r>
    </w:p>
    <w:p w14:paraId="368C35CC">
      <w:pPr>
        <w:tabs>
          <w:tab w:val="left" w:pos="1620"/>
        </w:tabs>
        <w:spacing w:line="360" w:lineRule="auto"/>
        <w:ind w:firstLine="360" w:firstLineChars="150"/>
        <w:jc w:val="left"/>
        <w:rPr>
          <w:rFonts w:hint="eastAsia" w:ascii="仿宋_GB2312" w:hAnsi="宋体" w:eastAsia="仿宋_GB2312"/>
          <w:sz w:val="24"/>
          <w:szCs w:val="24"/>
        </w:rPr>
      </w:pPr>
      <w:r>
        <w:rPr>
          <w:rFonts w:hint="eastAsia" w:ascii="仿宋_GB2312" w:hAnsi="宋体" w:eastAsia="仿宋_GB2312" w:cs="宋体"/>
          <w:kern w:val="0"/>
          <w:sz w:val="24"/>
          <w:szCs w:val="24"/>
        </w:rPr>
        <w:t>4.8.4</w:t>
      </w:r>
      <w:r>
        <w:rPr>
          <w:rFonts w:hint="eastAsia" w:ascii="仿宋_GB2312" w:hAnsi="宋体" w:eastAsia="仿宋_GB2312" w:cs="宋体"/>
          <w:sz w:val="24"/>
          <w:szCs w:val="24"/>
        </w:rPr>
        <w:t>工程变更的调整办法规定如下：</w:t>
      </w:r>
    </w:p>
    <w:p w14:paraId="275F43EC">
      <w:pPr>
        <w:autoSpaceDE w:val="0"/>
        <w:autoSpaceDN w:val="0"/>
        <w:spacing w:line="360" w:lineRule="auto"/>
        <w:ind w:right="-53" w:rightChars="-25"/>
        <w:jc w:val="left"/>
        <w:textAlignment w:val="bottom"/>
        <w:rPr>
          <w:rFonts w:hint="eastAsia" w:ascii="仿宋_GB2312" w:hAnsi="宋体" w:eastAsia="仿宋_GB2312"/>
          <w:sz w:val="24"/>
          <w:szCs w:val="24"/>
        </w:rPr>
      </w:pPr>
      <w:r>
        <w:rPr>
          <w:rFonts w:hint="eastAsia" w:ascii="仿宋_GB2312" w:hAnsi="宋体" w:eastAsia="仿宋_GB2312"/>
          <w:sz w:val="24"/>
          <w:szCs w:val="24"/>
        </w:rPr>
        <w:t>a．合同中已有适用于变更工程的单价或总价，按合同已有的价格进行调整；</w:t>
      </w:r>
    </w:p>
    <w:p w14:paraId="19DF631D">
      <w:pPr>
        <w:autoSpaceDE w:val="0"/>
        <w:autoSpaceDN w:val="0"/>
        <w:spacing w:line="360" w:lineRule="auto"/>
        <w:ind w:right="-53" w:rightChars="-25"/>
        <w:jc w:val="left"/>
        <w:textAlignment w:val="bottom"/>
        <w:rPr>
          <w:rFonts w:hint="eastAsia" w:ascii="仿宋_GB2312" w:hAnsi="宋体" w:eastAsia="仿宋_GB2312"/>
          <w:sz w:val="24"/>
          <w:szCs w:val="24"/>
        </w:rPr>
      </w:pPr>
      <w:r>
        <w:rPr>
          <w:rFonts w:hint="eastAsia" w:ascii="仿宋_GB2312" w:hAnsi="宋体" w:eastAsia="仿宋_GB2312"/>
          <w:sz w:val="24"/>
          <w:szCs w:val="24"/>
        </w:rPr>
        <w:t>b．合同中只有类似于变更工程的单价或总价，可以参照类似价格进行调整；</w:t>
      </w:r>
      <w:r>
        <w:rPr>
          <w:rFonts w:hint="eastAsia" w:ascii="仿宋_GB2312" w:hAnsi="仿宋_GB2312" w:eastAsia="仿宋_GB2312"/>
          <w:sz w:val="24"/>
          <w:szCs w:val="24"/>
        </w:rPr>
        <w:t>当实际施工发生主材用料变更,则只能调整综合单价中的主材费,其余一切费用不得调整。变更的主材单价由乙方书面提出报价申请，报甲方审核</w:t>
      </w:r>
      <w:r>
        <w:rPr>
          <w:rFonts w:hint="eastAsia" w:ascii="仿宋_GB2312" w:hAnsi="仿宋_GB2312" w:eastAsia="仿宋_GB2312"/>
          <w:sz w:val="24"/>
          <w:szCs w:val="24"/>
          <w:lang w:val="en-US" w:eastAsia="zh-CN"/>
        </w:rPr>
        <w:t>并书面</w:t>
      </w:r>
      <w:r>
        <w:rPr>
          <w:rFonts w:hint="eastAsia" w:ascii="仿宋_GB2312" w:hAnsi="仿宋_GB2312" w:eastAsia="仿宋_GB2312"/>
          <w:sz w:val="24"/>
          <w:szCs w:val="24"/>
        </w:rPr>
        <w:t>确认后执行。</w:t>
      </w:r>
    </w:p>
    <w:p w14:paraId="6D36CD80">
      <w:pPr>
        <w:autoSpaceDE w:val="0"/>
        <w:autoSpaceDN w:val="0"/>
        <w:spacing w:line="360" w:lineRule="auto"/>
        <w:ind w:right="-53" w:rightChars="-25"/>
        <w:jc w:val="left"/>
        <w:textAlignment w:val="bottom"/>
        <w:rPr>
          <w:rFonts w:hint="eastAsia" w:ascii="仿宋_GB2312" w:hAnsi="宋体" w:eastAsia="仿宋_GB2312"/>
          <w:sz w:val="24"/>
          <w:szCs w:val="24"/>
        </w:rPr>
      </w:pPr>
      <w:r>
        <w:rPr>
          <w:rFonts w:hint="eastAsia" w:ascii="仿宋_GB2312" w:hAnsi="宋体" w:eastAsia="仿宋_GB2312"/>
          <w:sz w:val="24"/>
          <w:szCs w:val="24"/>
        </w:rPr>
        <w:t>c．合同中没有适用或类似于变更工程的单价或总价，由乙方依据变更工程资料、计量规则和计价办法，工程造价管理机构发布的参考价格和乙方报价浮动率提出变更工程单价或总价</w:t>
      </w:r>
      <w:r>
        <w:rPr>
          <w:rFonts w:hint="eastAsia" w:ascii="仿宋_GB2312" w:hAnsi="宋体" w:eastAsia="仿宋_GB2312"/>
          <w:sz w:val="24"/>
          <w:szCs w:val="24"/>
          <w:lang w:eastAsia="zh-CN"/>
        </w:rPr>
        <w:t>，</w:t>
      </w:r>
      <w:r>
        <w:rPr>
          <w:rFonts w:hint="eastAsia" w:ascii="仿宋_GB2312" w:hAnsi="仿宋_GB2312" w:eastAsia="仿宋_GB2312"/>
          <w:sz w:val="24"/>
          <w:szCs w:val="24"/>
        </w:rPr>
        <w:t>报甲方审核</w:t>
      </w:r>
      <w:r>
        <w:rPr>
          <w:rFonts w:hint="eastAsia" w:ascii="仿宋_GB2312" w:hAnsi="仿宋_GB2312" w:eastAsia="仿宋_GB2312"/>
          <w:sz w:val="24"/>
          <w:szCs w:val="24"/>
          <w:lang w:val="en-US" w:eastAsia="zh-CN"/>
        </w:rPr>
        <w:t>并书面</w:t>
      </w:r>
      <w:r>
        <w:rPr>
          <w:rFonts w:hint="eastAsia" w:ascii="仿宋_GB2312" w:hAnsi="仿宋_GB2312" w:eastAsia="仿宋_GB2312"/>
          <w:sz w:val="24"/>
          <w:szCs w:val="24"/>
        </w:rPr>
        <w:t>确认后执行</w:t>
      </w:r>
      <w:r>
        <w:rPr>
          <w:rFonts w:hint="eastAsia" w:ascii="仿宋_GB2312" w:hAnsi="宋体" w:eastAsia="仿宋_GB2312"/>
          <w:sz w:val="24"/>
          <w:szCs w:val="24"/>
        </w:rPr>
        <w:t>。其中，乙方报价浮动率=(中标价格/招标控制价)×100%。</w:t>
      </w:r>
    </w:p>
    <w:p w14:paraId="5D2B2633">
      <w:pPr>
        <w:autoSpaceDE w:val="0"/>
        <w:autoSpaceDN w:val="0"/>
        <w:spacing w:line="360" w:lineRule="auto"/>
        <w:ind w:right="-53" w:rightChars="-25"/>
        <w:jc w:val="left"/>
        <w:textAlignment w:val="bottom"/>
        <w:rPr>
          <w:rFonts w:hint="eastAsia" w:ascii="仿宋_GB2312" w:hAnsi="宋体" w:eastAsia="仿宋_GB2312"/>
          <w:sz w:val="24"/>
          <w:szCs w:val="24"/>
        </w:rPr>
      </w:pPr>
      <w:r>
        <w:rPr>
          <w:rFonts w:hint="eastAsia" w:ascii="仿宋_GB2312" w:hAnsi="宋体" w:eastAsia="仿宋_GB2312"/>
          <w:sz w:val="24"/>
          <w:szCs w:val="24"/>
        </w:rPr>
        <w:t>d.</w:t>
      </w:r>
      <w:r>
        <w:rPr>
          <w:rFonts w:hint="eastAsia" w:ascii="仿宋_GB2312" w:hAnsi="仿宋_GB2312" w:eastAsia="仿宋_GB2312"/>
          <w:sz w:val="24"/>
          <w:szCs w:val="24"/>
        </w:rPr>
        <w:t xml:space="preserve"> 变更后的主材单价原则上不得高于同期《广州地区建设工程常用材料税前综合价格》。</w:t>
      </w:r>
    </w:p>
    <w:p w14:paraId="010B8AE0">
      <w:pPr>
        <w:autoSpaceDE w:val="0"/>
        <w:autoSpaceDN w:val="0"/>
        <w:spacing w:line="360" w:lineRule="auto"/>
        <w:ind w:right="-53" w:rightChars="-25" w:firstLine="480" w:firstLineChars="200"/>
        <w:jc w:val="left"/>
        <w:textAlignment w:val="bottom"/>
        <w:rPr>
          <w:rFonts w:hint="eastAsia" w:ascii="仿宋_GB2312" w:hAnsi="宋体" w:eastAsia="仿宋_GB2312"/>
          <w:sz w:val="24"/>
          <w:szCs w:val="24"/>
        </w:rPr>
      </w:pPr>
      <w:r>
        <w:rPr>
          <w:rFonts w:hint="eastAsia" w:ascii="仿宋_GB2312" w:hAnsi="宋体" w:eastAsia="仿宋_GB2312"/>
          <w:sz w:val="24"/>
          <w:szCs w:val="24"/>
        </w:rPr>
        <w:t>4.8.5主要计价依据</w:t>
      </w:r>
    </w:p>
    <w:p w14:paraId="48D77805">
      <w:pPr>
        <w:spacing w:line="360" w:lineRule="auto"/>
        <w:rPr>
          <w:rFonts w:hint="eastAsia" w:ascii="仿宋_GB2312" w:hAnsi="仿宋" w:eastAsia="仿宋_GB2312"/>
          <w:sz w:val="24"/>
          <w:szCs w:val="24"/>
        </w:rPr>
      </w:pPr>
      <w:r>
        <w:rPr>
          <w:rFonts w:hint="eastAsia" w:ascii="仿宋_GB2312" w:hAnsi="仿宋" w:eastAsia="仿宋_GB2312"/>
          <w:sz w:val="24"/>
          <w:szCs w:val="24"/>
        </w:rPr>
        <w:t>1.《建设工程工程量清单计价</w:t>
      </w:r>
      <w:r>
        <w:rPr>
          <w:rFonts w:hint="default" w:ascii="仿宋_GB2312" w:hAnsi="仿宋" w:eastAsia="仿宋_GB2312"/>
          <w:sz w:val="24"/>
          <w:szCs w:val="24"/>
          <w:lang w:val="en-US"/>
        </w:rPr>
        <w:t>规范</w:t>
      </w:r>
      <w:r>
        <w:rPr>
          <w:rFonts w:hint="eastAsia" w:ascii="仿宋_GB2312" w:hAnsi="仿宋" w:eastAsia="仿宋_GB2312"/>
          <w:sz w:val="24"/>
          <w:szCs w:val="24"/>
        </w:rPr>
        <w:t>》（GB50500-20</w:t>
      </w:r>
      <w:r>
        <w:rPr>
          <w:rFonts w:hint="default" w:ascii="仿宋_GB2312" w:hAnsi="仿宋" w:eastAsia="仿宋_GB2312"/>
          <w:sz w:val="24"/>
          <w:szCs w:val="24"/>
          <w:lang w:val="en-US"/>
        </w:rPr>
        <w:t>13</w:t>
      </w:r>
      <w:r>
        <w:rPr>
          <w:rFonts w:hint="eastAsia" w:ascii="仿宋_GB2312" w:hAnsi="仿宋" w:eastAsia="仿宋_GB2312"/>
          <w:sz w:val="24"/>
          <w:szCs w:val="24"/>
        </w:rPr>
        <w:t>）。</w:t>
      </w:r>
    </w:p>
    <w:p w14:paraId="2500874C">
      <w:pPr>
        <w:spacing w:line="360" w:lineRule="auto"/>
        <w:rPr>
          <w:rFonts w:hint="eastAsia" w:ascii="仿宋_GB2312" w:hAnsi="仿宋" w:eastAsia="仿宋_GB2312"/>
          <w:sz w:val="24"/>
          <w:szCs w:val="24"/>
        </w:rPr>
      </w:pPr>
      <w:r>
        <w:rPr>
          <w:rFonts w:hint="eastAsia" w:ascii="仿宋_GB2312" w:hAnsi="仿宋" w:eastAsia="仿宋_GB2312"/>
          <w:sz w:val="24"/>
          <w:szCs w:val="24"/>
        </w:rPr>
        <w:t>2.《广东省通用安装工程综合定额》（2018）。</w:t>
      </w:r>
    </w:p>
    <w:p w14:paraId="622BA2E3">
      <w:pPr>
        <w:spacing w:line="360" w:lineRule="auto"/>
        <w:rPr>
          <w:rFonts w:hint="eastAsia" w:ascii="仿宋_GB2312" w:hAnsi="仿宋" w:eastAsia="仿宋_GB2312"/>
          <w:sz w:val="24"/>
          <w:szCs w:val="24"/>
        </w:rPr>
      </w:pPr>
      <w:r>
        <w:rPr>
          <w:rFonts w:hint="eastAsia" w:ascii="仿宋_GB2312" w:hAnsi="仿宋" w:eastAsia="仿宋_GB2312"/>
          <w:sz w:val="24"/>
          <w:szCs w:val="24"/>
        </w:rPr>
        <w:t>3.《广东省房屋建筑与装饰工程综合定额》（2018）。</w:t>
      </w:r>
    </w:p>
    <w:p w14:paraId="5C8F8815">
      <w:pPr>
        <w:spacing w:line="360" w:lineRule="auto"/>
        <w:rPr>
          <w:rFonts w:hint="eastAsia" w:ascii="仿宋_GB2312" w:hAnsi="仿宋" w:eastAsia="仿宋_GB2312"/>
          <w:sz w:val="24"/>
          <w:szCs w:val="24"/>
        </w:rPr>
      </w:pPr>
      <w:r>
        <w:rPr>
          <w:rFonts w:hint="eastAsia" w:ascii="仿宋_GB2312" w:hAnsi="仿宋" w:eastAsia="仿宋_GB2312"/>
          <w:sz w:val="24"/>
          <w:szCs w:val="24"/>
        </w:rPr>
        <w:t>4.《广东省市政工程综合定额》（2018）。</w:t>
      </w:r>
    </w:p>
    <w:p w14:paraId="758963AC">
      <w:pPr>
        <w:widowControl/>
        <w:spacing w:line="360" w:lineRule="auto"/>
        <w:rPr>
          <w:rFonts w:hint="eastAsia" w:ascii="仿宋_GB2312" w:hAnsi="宋体" w:eastAsia="仿宋_GB2312" w:cs="宋体"/>
          <w:kern w:val="0"/>
          <w:sz w:val="24"/>
          <w:szCs w:val="24"/>
        </w:rPr>
      </w:pPr>
    </w:p>
    <w:p w14:paraId="1C81510E">
      <w:pPr>
        <w:widowControl/>
        <w:spacing w:line="360" w:lineRule="auto"/>
        <w:ind w:firstLine="482" w:firstLineChars="200"/>
        <w:rPr>
          <w:rFonts w:hint="eastAsia" w:ascii="仿宋_GB2312" w:hAnsi="宋体" w:eastAsia="仿宋_GB2312" w:cs="Arial"/>
          <w:b/>
          <w:bCs/>
          <w:kern w:val="0"/>
          <w:sz w:val="24"/>
          <w:szCs w:val="24"/>
        </w:rPr>
      </w:pPr>
      <w:r>
        <w:rPr>
          <w:rFonts w:hint="eastAsia" w:ascii="仿宋_GB2312" w:hAnsi="黑体" w:eastAsia="仿宋_GB2312" w:cs="Arial"/>
          <w:b/>
          <w:bCs/>
          <w:kern w:val="0"/>
          <w:sz w:val="24"/>
          <w:szCs w:val="24"/>
        </w:rPr>
        <w:t>第五条 材料、设备供应</w:t>
      </w:r>
    </w:p>
    <w:p w14:paraId="6D48C27D">
      <w:pPr>
        <w:widowControl/>
        <w:spacing w:line="360" w:lineRule="auto"/>
        <w:ind w:firstLine="480" w:firstLineChars="20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5.1本工程所需要的全部设备材料、配件、设备等物资的供应，应符合国家强制性规定、招标文件及本合同要求。本工程所使用的材料、设备的品牌和技术参数如工程量清单、招投标文件、图纸已明确的按工程量清单、招投标文件、图纸执行。未明确的材料、设备的品牌及技术参数的，应符合中华人民共和国现行的国家标准或行业标准，并由乙方提交《材料、设备确认书》，甲方项目负责人签定</w:t>
      </w:r>
      <w:r>
        <w:rPr>
          <w:rFonts w:hint="eastAsia" w:ascii="仿宋_GB2312" w:hAnsi="宋体" w:eastAsia="仿宋_GB2312" w:cs="宋体"/>
          <w:kern w:val="0"/>
          <w:sz w:val="24"/>
          <w:szCs w:val="24"/>
          <w:lang w:val="en-US" w:eastAsia="zh-CN"/>
        </w:rPr>
        <w:t>书面</w:t>
      </w:r>
      <w:r>
        <w:rPr>
          <w:rFonts w:hint="eastAsia" w:ascii="仿宋_GB2312" w:hAnsi="宋体" w:eastAsia="仿宋_GB2312" w:cs="宋体"/>
          <w:kern w:val="0"/>
          <w:sz w:val="24"/>
          <w:szCs w:val="24"/>
        </w:rPr>
        <w:t>确认书后使用。乙方购买安装前均必须向甲方提供产品合格证及有关检验报告，得到甲方书面认可方可使用。如使用的材料、设备未经甲方书面同意，或采购的材料、设备品牌、型号规格、技术参数与工程量清单、招投标文件、图纸或甲方所指定的不一致的，甲方有权拒绝使用或要求拆除后更换，因此造成的费用及损失由乙方负责，若导致工期延误的，由乙方自行承担责任。</w:t>
      </w:r>
    </w:p>
    <w:p w14:paraId="4853D174">
      <w:pPr>
        <w:widowControl/>
        <w:spacing w:line="360" w:lineRule="auto"/>
        <w:ind w:firstLine="480" w:firstLineChars="200"/>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rPr>
        <w:t>但甲方的</w:t>
      </w:r>
      <w:r>
        <w:rPr>
          <w:rFonts w:hint="eastAsia" w:ascii="仿宋_GB2312" w:hAnsi="宋体" w:eastAsia="仿宋_GB2312" w:cs="宋体"/>
          <w:kern w:val="0"/>
          <w:sz w:val="24"/>
          <w:szCs w:val="24"/>
          <w:lang w:val="en-US" w:eastAsia="zh-CN"/>
        </w:rPr>
        <w:t>书面审核确认</w:t>
      </w:r>
      <w:r>
        <w:rPr>
          <w:rFonts w:hint="eastAsia" w:ascii="仿宋_GB2312" w:hAnsi="宋体" w:eastAsia="仿宋_GB2312" w:cs="宋体"/>
          <w:kern w:val="0"/>
          <w:sz w:val="24"/>
          <w:szCs w:val="24"/>
        </w:rPr>
        <w:t>仅仅是形式性审查，并不免除乙方因违反国家或地方相关法律法规等法律规范性文件所实施的违法违规行为而须依法依约向甲方承担违约赔偿的责任，也不意味着甲方放弃向乙方追究其承担相关违约赔偿责任的权利</w:t>
      </w:r>
      <w:r>
        <w:rPr>
          <w:rFonts w:hint="eastAsia" w:ascii="仿宋_GB2312" w:hAnsi="宋体" w:eastAsia="仿宋_GB2312" w:cs="宋体"/>
          <w:kern w:val="0"/>
          <w:sz w:val="24"/>
          <w:szCs w:val="24"/>
          <w:lang w:eastAsia="zh-CN"/>
        </w:rPr>
        <w:t>，</w:t>
      </w:r>
      <w:r>
        <w:rPr>
          <w:rFonts w:hint="eastAsia" w:ascii="仿宋_GB2312" w:hAnsi="宋体" w:eastAsia="仿宋_GB2312" w:cs="宋体"/>
          <w:kern w:val="0"/>
          <w:sz w:val="24"/>
          <w:szCs w:val="24"/>
          <w:lang w:val="en-US" w:eastAsia="zh-CN"/>
        </w:rPr>
        <w:t>乙方须就其向甲方交付的工程质量和材料设备承担质量瑕疵担保责任和权利瑕疵担保责任（下同）。</w:t>
      </w:r>
    </w:p>
    <w:p w14:paraId="55122335">
      <w:pPr>
        <w:widowControl/>
        <w:spacing w:line="360" w:lineRule="auto"/>
        <w:ind w:firstLine="480" w:firstLineChars="20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5.2材料、设备供应范围的划分和检验：</w:t>
      </w:r>
    </w:p>
    <w:p w14:paraId="35703A90">
      <w:pPr>
        <w:widowControl/>
        <w:spacing w:line="360" w:lineRule="auto"/>
        <w:ind w:firstLine="480" w:firstLineChars="20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具有合格证书的材料、设备，任何一方如有异议要求检验时，可以重新检验，检验后如属合格产品，其检验费用由要求检验的一方承担；如属不合格产品，检验费用由供料一方负担。</w:t>
      </w:r>
    </w:p>
    <w:p w14:paraId="7291918E">
      <w:pPr>
        <w:widowControl/>
        <w:spacing w:line="360" w:lineRule="auto"/>
        <w:ind w:firstLine="480" w:firstLineChars="20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5.3由乙方负责将工程所需材料、设备运至施工场地，乙方负责工程材料、设备的保管、保护及防盗等，相关材料、设备的毁损、灭失等风险责任由乙方承担，因运输、装卸、保管材料、设备所产生的费用，由乙方承担。</w:t>
      </w:r>
    </w:p>
    <w:p w14:paraId="75BC2740">
      <w:pPr>
        <w:widowControl/>
        <w:spacing w:line="360" w:lineRule="auto"/>
        <w:ind w:firstLine="480" w:firstLineChars="20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5.4主要材料、设备品牌、规格表</w:t>
      </w:r>
    </w:p>
    <w:tbl>
      <w:tblPr>
        <w:tblStyle w:val="7"/>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2074"/>
        <w:gridCol w:w="1559"/>
        <w:gridCol w:w="1984"/>
        <w:gridCol w:w="3306"/>
      </w:tblGrid>
      <w:tr w14:paraId="1B7E8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noWrap w:val="0"/>
            <w:vAlign w:val="top"/>
          </w:tcPr>
          <w:p w14:paraId="5BD8B5BD">
            <w:pPr>
              <w:keepNext w:val="0"/>
              <w:keepLines w:val="0"/>
              <w:suppressLineNumbers w:val="0"/>
              <w:spacing w:before="0" w:beforeAutospacing="0" w:after="0" w:afterAutospacing="0" w:line="360" w:lineRule="auto"/>
              <w:ind w:left="0" w:right="0"/>
              <w:jc w:val="center"/>
              <w:rPr>
                <w:rFonts w:hint="default" w:ascii="仿宋_GB2312" w:hAnsi="ˎ̥" w:eastAsia="仿宋_GB2312" w:cs="宋体"/>
                <w:sz w:val="24"/>
                <w:szCs w:val="24"/>
              </w:rPr>
            </w:pPr>
            <w:r>
              <w:rPr>
                <w:rFonts w:hint="eastAsia" w:ascii="仿宋_GB2312" w:hAnsi="ˎ̥" w:eastAsia="仿宋_GB2312" w:cs="宋体"/>
                <w:sz w:val="24"/>
                <w:szCs w:val="24"/>
              </w:rPr>
              <w:t>序号</w:t>
            </w:r>
          </w:p>
        </w:tc>
        <w:tc>
          <w:tcPr>
            <w:tcW w:w="2074" w:type="dxa"/>
            <w:noWrap w:val="0"/>
            <w:vAlign w:val="top"/>
          </w:tcPr>
          <w:p w14:paraId="2317756E">
            <w:pPr>
              <w:keepNext w:val="0"/>
              <w:keepLines w:val="0"/>
              <w:suppressLineNumbers w:val="0"/>
              <w:spacing w:before="0" w:beforeAutospacing="0" w:after="0" w:afterAutospacing="0" w:line="360" w:lineRule="auto"/>
              <w:ind w:left="0" w:right="0"/>
              <w:jc w:val="center"/>
              <w:rPr>
                <w:rFonts w:hint="default" w:ascii="仿宋_GB2312" w:hAnsi="ˎ̥" w:eastAsia="仿宋_GB2312" w:cs="宋体"/>
                <w:sz w:val="24"/>
                <w:szCs w:val="24"/>
              </w:rPr>
            </w:pPr>
            <w:r>
              <w:rPr>
                <w:rFonts w:hint="eastAsia" w:ascii="仿宋_GB2312" w:hAnsi="ˎ̥" w:eastAsia="仿宋_GB2312" w:cs="宋体"/>
                <w:sz w:val="24"/>
                <w:szCs w:val="24"/>
              </w:rPr>
              <w:t>部件名称</w:t>
            </w:r>
          </w:p>
        </w:tc>
        <w:tc>
          <w:tcPr>
            <w:tcW w:w="1559" w:type="dxa"/>
            <w:noWrap w:val="0"/>
            <w:vAlign w:val="top"/>
          </w:tcPr>
          <w:p w14:paraId="328F23FB">
            <w:pPr>
              <w:keepNext w:val="0"/>
              <w:keepLines w:val="0"/>
              <w:suppressLineNumbers w:val="0"/>
              <w:spacing w:before="0" w:beforeAutospacing="0" w:after="0" w:afterAutospacing="0" w:line="360" w:lineRule="auto"/>
              <w:ind w:left="0" w:right="0"/>
              <w:jc w:val="center"/>
              <w:rPr>
                <w:rFonts w:hint="default" w:ascii="仿宋_GB2312" w:hAnsi="ˎ̥" w:eastAsia="仿宋_GB2312" w:cs="宋体"/>
                <w:sz w:val="24"/>
                <w:szCs w:val="24"/>
              </w:rPr>
            </w:pPr>
            <w:r>
              <w:rPr>
                <w:rFonts w:hint="eastAsia" w:ascii="仿宋_GB2312" w:hAnsi="ˎ̥" w:eastAsia="仿宋_GB2312" w:cs="宋体"/>
                <w:sz w:val="24"/>
                <w:szCs w:val="24"/>
              </w:rPr>
              <w:t>产地、厂家</w:t>
            </w:r>
          </w:p>
        </w:tc>
        <w:tc>
          <w:tcPr>
            <w:tcW w:w="1984" w:type="dxa"/>
            <w:noWrap w:val="0"/>
            <w:vAlign w:val="top"/>
          </w:tcPr>
          <w:p w14:paraId="698C15C6">
            <w:pPr>
              <w:keepNext w:val="0"/>
              <w:keepLines w:val="0"/>
              <w:suppressLineNumbers w:val="0"/>
              <w:spacing w:before="0" w:beforeAutospacing="0" w:after="0" w:afterAutospacing="0" w:line="360" w:lineRule="auto"/>
              <w:ind w:left="0" w:right="0"/>
              <w:jc w:val="center"/>
              <w:rPr>
                <w:rFonts w:hint="default" w:ascii="仿宋_GB2312" w:hAnsi="ˎ̥" w:eastAsia="仿宋_GB2312" w:cs="宋体"/>
                <w:sz w:val="24"/>
                <w:szCs w:val="24"/>
              </w:rPr>
            </w:pPr>
            <w:r>
              <w:rPr>
                <w:rFonts w:hint="eastAsia" w:ascii="仿宋_GB2312" w:hAnsi="ˎ̥" w:eastAsia="仿宋_GB2312" w:cs="宋体"/>
                <w:sz w:val="24"/>
                <w:szCs w:val="24"/>
              </w:rPr>
              <w:t>型号及规范</w:t>
            </w:r>
          </w:p>
        </w:tc>
        <w:tc>
          <w:tcPr>
            <w:tcW w:w="3306" w:type="dxa"/>
            <w:noWrap w:val="0"/>
            <w:vAlign w:val="top"/>
          </w:tcPr>
          <w:p w14:paraId="2F861347">
            <w:pPr>
              <w:keepNext w:val="0"/>
              <w:keepLines w:val="0"/>
              <w:suppressLineNumbers w:val="0"/>
              <w:spacing w:before="0" w:beforeAutospacing="0" w:after="0" w:afterAutospacing="0" w:line="360" w:lineRule="auto"/>
              <w:ind w:left="0" w:right="0"/>
              <w:jc w:val="center"/>
              <w:rPr>
                <w:rFonts w:hint="default" w:ascii="仿宋_GB2312" w:hAnsi="ˎ̥" w:eastAsia="仿宋_GB2312" w:cs="宋体"/>
                <w:sz w:val="24"/>
                <w:szCs w:val="24"/>
              </w:rPr>
            </w:pPr>
            <w:r>
              <w:rPr>
                <w:rFonts w:hint="eastAsia" w:ascii="仿宋_GB2312" w:hAnsi="ˎ̥" w:eastAsia="仿宋_GB2312" w:cs="宋体"/>
                <w:sz w:val="24"/>
                <w:szCs w:val="24"/>
              </w:rPr>
              <w:t>备注</w:t>
            </w:r>
          </w:p>
        </w:tc>
      </w:tr>
      <w:tr w14:paraId="4E768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noWrap w:val="0"/>
            <w:vAlign w:val="top"/>
          </w:tcPr>
          <w:p w14:paraId="2A0403E4">
            <w:pPr>
              <w:keepNext w:val="0"/>
              <w:keepLines w:val="0"/>
              <w:suppressLineNumbers w:val="0"/>
              <w:spacing w:before="0" w:beforeAutospacing="0" w:after="0" w:afterAutospacing="0" w:line="360" w:lineRule="auto"/>
              <w:ind w:left="0" w:right="0"/>
              <w:jc w:val="center"/>
              <w:rPr>
                <w:rFonts w:hint="default" w:ascii="仿宋_GB2312" w:hAnsi="宋体" w:eastAsia="仿宋_GB2312" w:cs="宋体"/>
                <w:kern w:val="0"/>
                <w:sz w:val="24"/>
                <w:szCs w:val="24"/>
              </w:rPr>
            </w:pPr>
            <w:r>
              <w:rPr>
                <w:rFonts w:hint="eastAsia" w:ascii="仿宋_GB2312" w:hAnsi="宋体" w:eastAsia="仿宋_GB2312" w:cs="宋体"/>
                <w:kern w:val="0"/>
                <w:sz w:val="24"/>
                <w:szCs w:val="24"/>
              </w:rPr>
              <w:t>1</w:t>
            </w:r>
          </w:p>
        </w:tc>
        <w:tc>
          <w:tcPr>
            <w:tcW w:w="2074" w:type="dxa"/>
            <w:noWrap w:val="0"/>
            <w:vAlign w:val="top"/>
          </w:tcPr>
          <w:p w14:paraId="2967F963">
            <w:pPr>
              <w:keepNext w:val="0"/>
              <w:keepLines w:val="0"/>
              <w:suppressLineNumbers w:val="0"/>
              <w:spacing w:before="0" w:beforeAutospacing="0" w:after="0" w:afterAutospacing="0" w:line="360" w:lineRule="auto"/>
              <w:ind w:left="0" w:right="0"/>
              <w:jc w:val="center"/>
              <w:rPr>
                <w:rFonts w:hint="default" w:ascii="仿宋_GB2312" w:hAnsi="宋体" w:eastAsia="仿宋_GB2312" w:cs="宋体"/>
                <w:kern w:val="0"/>
                <w:sz w:val="24"/>
                <w:szCs w:val="24"/>
              </w:rPr>
            </w:pPr>
            <w:r>
              <w:rPr>
                <w:rFonts w:hint="eastAsia" w:ascii="仿宋_GB2312" w:hAnsi="宋体" w:eastAsia="仿宋_GB2312" w:cs="宋体"/>
                <w:kern w:val="0"/>
                <w:sz w:val="24"/>
                <w:szCs w:val="24"/>
              </w:rPr>
              <w:t>变压器</w:t>
            </w:r>
          </w:p>
        </w:tc>
        <w:tc>
          <w:tcPr>
            <w:tcW w:w="1559" w:type="dxa"/>
            <w:noWrap w:val="0"/>
            <w:vAlign w:val="top"/>
          </w:tcPr>
          <w:p w14:paraId="4BA06459">
            <w:pPr>
              <w:keepNext w:val="0"/>
              <w:keepLines w:val="0"/>
              <w:suppressLineNumbers w:val="0"/>
              <w:spacing w:before="0" w:beforeAutospacing="0" w:after="0" w:afterAutospacing="0" w:line="360" w:lineRule="auto"/>
              <w:ind w:left="0" w:right="0"/>
              <w:jc w:val="center"/>
              <w:rPr>
                <w:rFonts w:hint="default" w:ascii="仿宋_GB2312" w:hAnsi="宋体" w:eastAsia="仿宋_GB2312" w:cs="宋体"/>
                <w:kern w:val="0"/>
                <w:sz w:val="24"/>
                <w:szCs w:val="24"/>
              </w:rPr>
            </w:pPr>
          </w:p>
        </w:tc>
        <w:tc>
          <w:tcPr>
            <w:tcW w:w="1984" w:type="dxa"/>
            <w:noWrap w:val="0"/>
            <w:vAlign w:val="top"/>
          </w:tcPr>
          <w:p w14:paraId="4EFF2F42">
            <w:pPr>
              <w:keepNext w:val="0"/>
              <w:keepLines w:val="0"/>
              <w:suppressLineNumbers w:val="0"/>
              <w:spacing w:before="0" w:beforeAutospacing="0" w:after="0" w:afterAutospacing="0" w:line="360" w:lineRule="auto"/>
              <w:ind w:left="0" w:right="0"/>
              <w:jc w:val="center"/>
              <w:rPr>
                <w:rFonts w:hint="default" w:ascii="仿宋_GB2312" w:hAnsi="宋体" w:eastAsia="仿宋_GB2312" w:cs="宋体"/>
                <w:kern w:val="0"/>
                <w:sz w:val="24"/>
                <w:szCs w:val="24"/>
              </w:rPr>
            </w:pPr>
          </w:p>
        </w:tc>
        <w:tc>
          <w:tcPr>
            <w:tcW w:w="3306" w:type="dxa"/>
            <w:noWrap w:val="0"/>
            <w:vAlign w:val="center"/>
          </w:tcPr>
          <w:p w14:paraId="53664106">
            <w:pPr>
              <w:keepNext w:val="0"/>
              <w:keepLines w:val="0"/>
              <w:suppressLineNumbers w:val="0"/>
              <w:tabs>
                <w:tab w:val="left" w:pos="7920"/>
              </w:tabs>
              <w:snapToGrid w:val="0"/>
              <w:spacing w:before="0" w:beforeAutospacing="0" w:after="0" w:afterAutospacing="0" w:line="360" w:lineRule="auto"/>
              <w:ind w:left="0" w:right="0"/>
              <w:rPr>
                <w:rFonts w:hint="default" w:ascii="仿宋_GB2312" w:hAnsi="宋体" w:eastAsia="仿宋_GB2312" w:cs="宋体"/>
                <w:kern w:val="0"/>
                <w:sz w:val="24"/>
                <w:szCs w:val="24"/>
              </w:rPr>
            </w:pPr>
            <w:r>
              <w:rPr>
                <w:rFonts w:hint="eastAsia" w:ascii="仿宋_GB2312" w:hAnsi="宋体" w:eastAsia="仿宋_GB2312" w:cs="宋体"/>
                <w:kern w:val="0"/>
                <w:sz w:val="24"/>
                <w:szCs w:val="24"/>
              </w:rPr>
              <w:t>配RS485网络接口，采用MODBUS协议</w:t>
            </w:r>
          </w:p>
        </w:tc>
      </w:tr>
      <w:tr w14:paraId="0736A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noWrap w:val="0"/>
            <w:vAlign w:val="center"/>
          </w:tcPr>
          <w:p w14:paraId="03BB9A0D">
            <w:pPr>
              <w:keepNext w:val="0"/>
              <w:keepLines w:val="0"/>
              <w:suppressLineNumbers w:val="0"/>
              <w:spacing w:before="0" w:beforeAutospacing="0" w:after="0" w:afterAutospacing="0" w:line="360" w:lineRule="auto"/>
              <w:ind w:left="0" w:right="0"/>
              <w:jc w:val="center"/>
              <w:rPr>
                <w:rFonts w:hint="default" w:ascii="仿宋_GB2312" w:hAnsi="宋体" w:eastAsia="仿宋_GB2312" w:cs="宋体"/>
                <w:kern w:val="0"/>
                <w:sz w:val="24"/>
                <w:szCs w:val="24"/>
              </w:rPr>
            </w:pPr>
            <w:r>
              <w:rPr>
                <w:rFonts w:hint="eastAsia" w:ascii="仿宋_GB2312" w:hAnsi="宋体" w:eastAsia="仿宋_GB2312" w:cs="宋体"/>
                <w:kern w:val="0"/>
                <w:sz w:val="24"/>
                <w:szCs w:val="24"/>
              </w:rPr>
              <w:t>2</w:t>
            </w:r>
          </w:p>
        </w:tc>
        <w:tc>
          <w:tcPr>
            <w:tcW w:w="2074" w:type="dxa"/>
            <w:noWrap w:val="0"/>
            <w:vAlign w:val="center"/>
          </w:tcPr>
          <w:p w14:paraId="7E5E14ED">
            <w:pPr>
              <w:keepNext w:val="0"/>
              <w:keepLines w:val="0"/>
              <w:suppressLineNumbers w:val="0"/>
              <w:spacing w:before="0" w:beforeAutospacing="0" w:after="0" w:afterAutospacing="0" w:line="360" w:lineRule="auto"/>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柴油发电机</w:t>
            </w:r>
          </w:p>
        </w:tc>
        <w:tc>
          <w:tcPr>
            <w:tcW w:w="1559" w:type="dxa"/>
            <w:noWrap w:val="0"/>
            <w:vAlign w:val="center"/>
          </w:tcPr>
          <w:p w14:paraId="7250C7E5">
            <w:pPr>
              <w:keepNext w:val="0"/>
              <w:keepLines w:val="0"/>
              <w:suppressLineNumbers w:val="0"/>
              <w:spacing w:before="0" w:beforeAutospacing="0" w:after="0" w:afterAutospacing="0" w:line="360" w:lineRule="auto"/>
              <w:ind w:left="0" w:right="0"/>
              <w:jc w:val="center"/>
              <w:rPr>
                <w:rFonts w:hint="eastAsia" w:ascii="仿宋_GB2312" w:hAnsi="宋体" w:eastAsia="仿宋_GB2312" w:cs="宋体"/>
                <w:kern w:val="0"/>
                <w:sz w:val="24"/>
                <w:szCs w:val="24"/>
              </w:rPr>
            </w:pPr>
          </w:p>
        </w:tc>
        <w:tc>
          <w:tcPr>
            <w:tcW w:w="1984" w:type="dxa"/>
            <w:noWrap w:val="0"/>
            <w:vAlign w:val="center"/>
          </w:tcPr>
          <w:p w14:paraId="57C15278">
            <w:pPr>
              <w:keepNext w:val="0"/>
              <w:keepLines w:val="0"/>
              <w:suppressLineNumbers w:val="0"/>
              <w:spacing w:before="0" w:beforeAutospacing="0" w:after="0" w:afterAutospacing="0" w:line="360" w:lineRule="auto"/>
              <w:ind w:left="0" w:right="0"/>
              <w:jc w:val="center"/>
              <w:rPr>
                <w:rFonts w:hint="default" w:ascii="仿宋_GB2312" w:hAnsi="宋体" w:eastAsia="仿宋_GB2312" w:cs="宋体"/>
                <w:kern w:val="0"/>
                <w:sz w:val="24"/>
                <w:szCs w:val="24"/>
              </w:rPr>
            </w:pPr>
          </w:p>
        </w:tc>
        <w:tc>
          <w:tcPr>
            <w:tcW w:w="3306" w:type="dxa"/>
            <w:noWrap w:val="0"/>
            <w:vAlign w:val="center"/>
          </w:tcPr>
          <w:p w14:paraId="2D535D56">
            <w:pPr>
              <w:keepNext w:val="0"/>
              <w:keepLines w:val="0"/>
              <w:suppressLineNumbers w:val="0"/>
              <w:tabs>
                <w:tab w:val="left" w:pos="7920"/>
              </w:tabs>
              <w:snapToGrid w:val="0"/>
              <w:spacing w:before="0" w:beforeAutospacing="0" w:after="0" w:afterAutospacing="0" w:line="360" w:lineRule="auto"/>
              <w:ind w:left="0" w:right="0"/>
              <w:rPr>
                <w:rFonts w:hint="default" w:ascii="仿宋_GB2312" w:hAnsi="宋体" w:eastAsia="仿宋_GB2312" w:cs="宋体"/>
                <w:kern w:val="0"/>
                <w:sz w:val="24"/>
                <w:szCs w:val="24"/>
              </w:rPr>
            </w:pPr>
            <w:r>
              <w:rPr>
                <w:rFonts w:hint="eastAsia" w:ascii="仿宋_GB2312" w:hAnsi="宋体" w:eastAsia="仿宋_GB2312" w:cs="宋体"/>
                <w:kern w:val="0"/>
                <w:sz w:val="24"/>
                <w:szCs w:val="24"/>
              </w:rPr>
              <w:t>配RS485网络接口，采用MODBUS协议</w:t>
            </w:r>
          </w:p>
        </w:tc>
      </w:tr>
      <w:tr w14:paraId="73B40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noWrap w:val="0"/>
            <w:vAlign w:val="center"/>
          </w:tcPr>
          <w:p w14:paraId="3A2628A8">
            <w:pPr>
              <w:keepNext w:val="0"/>
              <w:keepLines w:val="0"/>
              <w:suppressLineNumbers w:val="0"/>
              <w:spacing w:before="0" w:beforeAutospacing="0" w:after="0" w:afterAutospacing="0" w:line="360" w:lineRule="auto"/>
              <w:ind w:left="0" w:right="0"/>
              <w:jc w:val="center"/>
              <w:rPr>
                <w:rFonts w:hint="default" w:ascii="仿宋_GB2312" w:hAnsi="宋体" w:eastAsia="仿宋_GB2312" w:cs="宋体"/>
                <w:kern w:val="0"/>
                <w:sz w:val="24"/>
                <w:szCs w:val="24"/>
              </w:rPr>
            </w:pPr>
            <w:r>
              <w:rPr>
                <w:rFonts w:hint="eastAsia" w:ascii="仿宋_GB2312" w:hAnsi="宋体" w:eastAsia="仿宋_GB2312" w:cs="宋体"/>
                <w:kern w:val="0"/>
                <w:sz w:val="24"/>
                <w:szCs w:val="24"/>
              </w:rPr>
              <w:t>3</w:t>
            </w:r>
          </w:p>
        </w:tc>
        <w:tc>
          <w:tcPr>
            <w:tcW w:w="2074" w:type="dxa"/>
            <w:noWrap w:val="0"/>
            <w:vAlign w:val="center"/>
          </w:tcPr>
          <w:p w14:paraId="07FA31A5">
            <w:pPr>
              <w:keepNext w:val="0"/>
              <w:keepLines w:val="0"/>
              <w:suppressLineNumbers w:val="0"/>
              <w:spacing w:before="0" w:beforeAutospacing="0" w:after="0" w:afterAutospacing="0" w:line="360" w:lineRule="auto"/>
              <w:ind w:left="0" w:right="0"/>
              <w:jc w:val="center"/>
              <w:rPr>
                <w:rFonts w:hint="default" w:ascii="仿宋_GB2312" w:hAnsi="宋体" w:eastAsia="仿宋_GB2312" w:cs="宋体"/>
                <w:kern w:val="0"/>
                <w:sz w:val="24"/>
                <w:szCs w:val="24"/>
              </w:rPr>
            </w:pPr>
            <w:r>
              <w:rPr>
                <w:rFonts w:hint="eastAsia" w:ascii="仿宋_GB2312" w:hAnsi="宋体" w:eastAsia="仿宋_GB2312" w:cs="宋体"/>
                <w:kern w:val="0"/>
                <w:sz w:val="24"/>
                <w:szCs w:val="24"/>
              </w:rPr>
              <w:t>高压</w:t>
            </w:r>
            <w:r>
              <w:rPr>
                <w:rFonts w:hint="eastAsia" w:ascii="仿宋_GB2312" w:hAnsi="宋体" w:eastAsia="仿宋_GB2312" w:cs="宋体"/>
                <w:kern w:val="0"/>
                <w:sz w:val="24"/>
                <w:szCs w:val="24"/>
                <w:lang w:val="en-US" w:eastAsia="zh-CN"/>
              </w:rPr>
              <w:t>开关</w:t>
            </w:r>
            <w:r>
              <w:rPr>
                <w:rFonts w:hint="eastAsia" w:ascii="仿宋_GB2312" w:hAnsi="宋体" w:eastAsia="仿宋_GB2312" w:cs="宋体"/>
                <w:kern w:val="0"/>
                <w:sz w:val="24"/>
                <w:szCs w:val="24"/>
              </w:rPr>
              <w:t>柜柜体</w:t>
            </w:r>
          </w:p>
        </w:tc>
        <w:tc>
          <w:tcPr>
            <w:tcW w:w="1559" w:type="dxa"/>
            <w:noWrap w:val="0"/>
            <w:vAlign w:val="center"/>
          </w:tcPr>
          <w:p w14:paraId="670157B3">
            <w:pPr>
              <w:keepNext w:val="0"/>
              <w:keepLines w:val="0"/>
              <w:suppressLineNumbers w:val="0"/>
              <w:spacing w:before="0" w:beforeAutospacing="0" w:after="0" w:afterAutospacing="0" w:line="360" w:lineRule="auto"/>
              <w:ind w:left="0" w:right="0"/>
              <w:jc w:val="center"/>
              <w:rPr>
                <w:rFonts w:hint="eastAsia" w:ascii="仿宋_GB2312" w:hAnsi="宋体" w:eastAsia="仿宋_GB2312" w:cs="宋体"/>
                <w:kern w:val="0"/>
                <w:sz w:val="24"/>
                <w:szCs w:val="24"/>
              </w:rPr>
            </w:pPr>
          </w:p>
        </w:tc>
        <w:tc>
          <w:tcPr>
            <w:tcW w:w="1984" w:type="dxa"/>
            <w:noWrap w:val="0"/>
            <w:vAlign w:val="center"/>
          </w:tcPr>
          <w:p w14:paraId="33C69CE8">
            <w:pPr>
              <w:keepNext w:val="0"/>
              <w:keepLines w:val="0"/>
              <w:suppressLineNumbers w:val="0"/>
              <w:spacing w:before="0" w:beforeAutospacing="0" w:after="0" w:afterAutospacing="0" w:line="360" w:lineRule="auto"/>
              <w:ind w:left="0" w:right="0"/>
              <w:jc w:val="center"/>
              <w:rPr>
                <w:rFonts w:hint="default" w:ascii="仿宋_GB2312" w:hAnsi="宋体" w:eastAsia="仿宋_GB2312" w:cs="宋体"/>
                <w:kern w:val="0"/>
                <w:sz w:val="24"/>
                <w:szCs w:val="24"/>
              </w:rPr>
            </w:pPr>
          </w:p>
        </w:tc>
        <w:tc>
          <w:tcPr>
            <w:tcW w:w="3306" w:type="dxa"/>
            <w:noWrap w:val="0"/>
            <w:vAlign w:val="center"/>
          </w:tcPr>
          <w:p w14:paraId="5E92038A">
            <w:pPr>
              <w:keepNext w:val="0"/>
              <w:keepLines w:val="0"/>
              <w:suppressLineNumbers w:val="0"/>
              <w:spacing w:before="0" w:beforeAutospacing="0" w:after="0" w:afterAutospacing="0" w:line="360" w:lineRule="auto"/>
              <w:ind w:left="0" w:right="0"/>
              <w:rPr>
                <w:rFonts w:hint="default" w:ascii="仿宋_GB2312" w:hAnsi="宋体" w:eastAsia="仿宋_GB2312" w:cs="宋体"/>
                <w:kern w:val="0"/>
                <w:sz w:val="24"/>
                <w:szCs w:val="24"/>
              </w:rPr>
            </w:pPr>
            <w:r>
              <w:rPr>
                <w:rFonts w:hint="default" w:ascii="仿宋_GB2312" w:hAnsi="宋体" w:eastAsia="仿宋_GB2312" w:cs="宋体"/>
                <w:kern w:val="0"/>
                <w:sz w:val="24"/>
                <w:szCs w:val="24"/>
              </w:rPr>
              <w:t>按图设计</w:t>
            </w:r>
          </w:p>
        </w:tc>
      </w:tr>
      <w:tr w14:paraId="32E44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noWrap w:val="0"/>
            <w:vAlign w:val="center"/>
          </w:tcPr>
          <w:p w14:paraId="2B5FCB34">
            <w:pPr>
              <w:keepNext w:val="0"/>
              <w:keepLines w:val="0"/>
              <w:suppressLineNumbers w:val="0"/>
              <w:spacing w:before="0" w:beforeAutospacing="0" w:after="0" w:afterAutospacing="0" w:line="360" w:lineRule="auto"/>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4</w:t>
            </w:r>
          </w:p>
        </w:tc>
        <w:tc>
          <w:tcPr>
            <w:tcW w:w="2074" w:type="dxa"/>
            <w:noWrap w:val="0"/>
            <w:vAlign w:val="center"/>
          </w:tcPr>
          <w:p w14:paraId="18E68896">
            <w:pPr>
              <w:keepNext w:val="0"/>
              <w:keepLines w:val="0"/>
              <w:suppressLineNumbers w:val="0"/>
              <w:spacing w:before="0" w:beforeAutospacing="0" w:after="0" w:afterAutospacing="0" w:line="360" w:lineRule="auto"/>
              <w:ind w:left="0" w:right="0"/>
              <w:jc w:val="center"/>
              <w:rPr>
                <w:rFonts w:hint="default" w:ascii="仿宋_GB2312" w:hAnsi="宋体" w:eastAsia="仿宋_GB2312" w:cs="宋体"/>
                <w:kern w:val="0"/>
                <w:sz w:val="24"/>
                <w:szCs w:val="24"/>
              </w:rPr>
            </w:pPr>
            <w:r>
              <w:rPr>
                <w:rFonts w:hint="eastAsia" w:ascii="仿宋_GB2312" w:hAnsi="宋体" w:eastAsia="仿宋_GB2312" w:cs="宋体"/>
                <w:kern w:val="0"/>
                <w:sz w:val="24"/>
                <w:szCs w:val="24"/>
              </w:rPr>
              <w:t>手车式</w:t>
            </w:r>
            <w:r>
              <w:rPr>
                <w:rFonts w:hint="default" w:ascii="仿宋_GB2312" w:hAnsi="宋体" w:eastAsia="仿宋_GB2312" w:cs="宋体"/>
                <w:kern w:val="0"/>
                <w:sz w:val="24"/>
                <w:szCs w:val="24"/>
              </w:rPr>
              <w:t>真空</w:t>
            </w:r>
            <w:r>
              <w:rPr>
                <w:rFonts w:hint="eastAsia" w:ascii="仿宋_GB2312" w:hAnsi="宋体" w:eastAsia="仿宋_GB2312" w:cs="宋体"/>
                <w:kern w:val="0"/>
                <w:sz w:val="24"/>
                <w:szCs w:val="24"/>
              </w:rPr>
              <w:t>断路器</w:t>
            </w:r>
          </w:p>
        </w:tc>
        <w:tc>
          <w:tcPr>
            <w:tcW w:w="1559" w:type="dxa"/>
            <w:noWrap w:val="0"/>
            <w:vAlign w:val="center"/>
          </w:tcPr>
          <w:p w14:paraId="61BA3062">
            <w:pPr>
              <w:keepNext w:val="0"/>
              <w:keepLines w:val="0"/>
              <w:suppressLineNumbers w:val="0"/>
              <w:spacing w:before="0" w:beforeAutospacing="0" w:after="0" w:afterAutospacing="0" w:line="360" w:lineRule="auto"/>
              <w:ind w:left="0" w:right="0"/>
              <w:jc w:val="center"/>
              <w:rPr>
                <w:rFonts w:hint="default" w:ascii="仿宋_GB2312" w:hAnsi="宋体" w:eastAsia="仿宋_GB2312" w:cs="宋体"/>
                <w:kern w:val="0"/>
                <w:sz w:val="24"/>
                <w:szCs w:val="24"/>
              </w:rPr>
            </w:pPr>
          </w:p>
        </w:tc>
        <w:tc>
          <w:tcPr>
            <w:tcW w:w="1984" w:type="dxa"/>
            <w:noWrap w:val="0"/>
            <w:vAlign w:val="center"/>
          </w:tcPr>
          <w:p w14:paraId="6F8AF8F6">
            <w:pPr>
              <w:keepNext w:val="0"/>
              <w:keepLines w:val="0"/>
              <w:suppressLineNumbers w:val="0"/>
              <w:spacing w:before="0" w:beforeAutospacing="0" w:after="0" w:afterAutospacing="0" w:line="360" w:lineRule="auto"/>
              <w:ind w:left="0" w:right="0"/>
              <w:jc w:val="center"/>
              <w:rPr>
                <w:rFonts w:hint="default" w:ascii="仿宋_GB2312" w:hAnsi="宋体" w:eastAsia="仿宋_GB2312" w:cs="宋体"/>
                <w:kern w:val="0"/>
                <w:sz w:val="24"/>
                <w:szCs w:val="24"/>
              </w:rPr>
            </w:pPr>
          </w:p>
        </w:tc>
        <w:tc>
          <w:tcPr>
            <w:tcW w:w="3306" w:type="dxa"/>
            <w:noWrap w:val="0"/>
            <w:vAlign w:val="center"/>
          </w:tcPr>
          <w:p w14:paraId="44C52CDD">
            <w:pPr>
              <w:keepNext w:val="0"/>
              <w:keepLines w:val="0"/>
              <w:suppressLineNumbers w:val="0"/>
              <w:tabs>
                <w:tab w:val="left" w:pos="7920"/>
              </w:tabs>
              <w:snapToGrid w:val="0"/>
              <w:spacing w:before="0" w:beforeAutospacing="0" w:after="0" w:afterAutospacing="0" w:line="360" w:lineRule="auto"/>
              <w:ind w:left="0" w:right="0"/>
              <w:rPr>
                <w:rFonts w:hint="default" w:ascii="仿宋_GB2312" w:hAnsi="宋体" w:eastAsia="仿宋_GB2312" w:cs="宋体"/>
                <w:kern w:val="0"/>
                <w:sz w:val="24"/>
                <w:szCs w:val="24"/>
              </w:rPr>
            </w:pPr>
          </w:p>
        </w:tc>
      </w:tr>
      <w:tr w14:paraId="07A36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noWrap w:val="0"/>
            <w:vAlign w:val="center"/>
          </w:tcPr>
          <w:p w14:paraId="1BF153BD">
            <w:pPr>
              <w:keepNext w:val="0"/>
              <w:keepLines w:val="0"/>
              <w:suppressLineNumbers w:val="0"/>
              <w:spacing w:before="0" w:beforeAutospacing="0" w:after="0" w:afterAutospacing="0" w:line="360" w:lineRule="auto"/>
              <w:ind w:left="0" w:right="0"/>
              <w:jc w:val="center"/>
              <w:rPr>
                <w:rFonts w:hint="eastAsia" w:ascii="仿宋_GB2312" w:hAnsi="宋体" w:eastAsia="仿宋_GB2312" w:cs="宋体"/>
                <w:kern w:val="0"/>
                <w:sz w:val="24"/>
                <w:szCs w:val="24"/>
              </w:rPr>
            </w:pPr>
            <w:bookmarkStart w:id="0" w:name="OLE_LINK4" w:colFirst="4" w:colLast="68"/>
            <w:bookmarkStart w:id="1" w:name="OLE_LINK5" w:colFirst="4" w:colLast="68"/>
            <w:bookmarkStart w:id="2" w:name="_Hlk199259237"/>
            <w:r>
              <w:rPr>
                <w:rFonts w:hint="eastAsia" w:ascii="仿宋_GB2312" w:hAnsi="宋体" w:eastAsia="仿宋_GB2312" w:cs="宋体"/>
                <w:kern w:val="0"/>
                <w:sz w:val="24"/>
                <w:szCs w:val="24"/>
              </w:rPr>
              <w:t>5</w:t>
            </w:r>
          </w:p>
        </w:tc>
        <w:tc>
          <w:tcPr>
            <w:tcW w:w="2074" w:type="dxa"/>
            <w:noWrap w:val="0"/>
            <w:vAlign w:val="center"/>
          </w:tcPr>
          <w:p w14:paraId="0C8171EA">
            <w:pPr>
              <w:keepNext w:val="0"/>
              <w:keepLines w:val="0"/>
              <w:suppressLineNumbers w:val="0"/>
              <w:spacing w:before="0" w:beforeAutospacing="0" w:after="0" w:afterAutospacing="0" w:line="360" w:lineRule="auto"/>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综合继电保护装置</w:t>
            </w:r>
          </w:p>
        </w:tc>
        <w:tc>
          <w:tcPr>
            <w:tcW w:w="1559" w:type="dxa"/>
            <w:noWrap w:val="0"/>
            <w:vAlign w:val="center"/>
          </w:tcPr>
          <w:p w14:paraId="5A85C98B">
            <w:pPr>
              <w:keepNext w:val="0"/>
              <w:keepLines w:val="0"/>
              <w:suppressLineNumbers w:val="0"/>
              <w:spacing w:before="0" w:beforeAutospacing="0" w:after="0" w:afterAutospacing="0" w:line="360" w:lineRule="auto"/>
              <w:ind w:left="0" w:right="0"/>
              <w:jc w:val="center"/>
              <w:rPr>
                <w:rFonts w:hint="eastAsia" w:ascii="仿宋_GB2312" w:hAnsi="宋体" w:eastAsia="仿宋_GB2312" w:cs="宋体"/>
                <w:kern w:val="0"/>
                <w:sz w:val="24"/>
                <w:szCs w:val="24"/>
              </w:rPr>
            </w:pPr>
          </w:p>
        </w:tc>
        <w:tc>
          <w:tcPr>
            <w:tcW w:w="1984" w:type="dxa"/>
            <w:noWrap w:val="0"/>
            <w:vAlign w:val="center"/>
          </w:tcPr>
          <w:p w14:paraId="6A7A5683">
            <w:pPr>
              <w:keepNext w:val="0"/>
              <w:keepLines w:val="0"/>
              <w:suppressLineNumbers w:val="0"/>
              <w:spacing w:before="0" w:beforeAutospacing="0" w:after="0" w:afterAutospacing="0" w:line="360" w:lineRule="auto"/>
              <w:ind w:left="0" w:right="0"/>
              <w:jc w:val="center"/>
              <w:rPr>
                <w:rFonts w:hint="eastAsia" w:ascii="仿宋_GB2312" w:hAnsi="宋体" w:eastAsia="仿宋_GB2312" w:cs="宋体"/>
                <w:kern w:val="0"/>
                <w:sz w:val="24"/>
                <w:szCs w:val="24"/>
              </w:rPr>
            </w:pPr>
          </w:p>
        </w:tc>
        <w:tc>
          <w:tcPr>
            <w:tcW w:w="3306" w:type="dxa"/>
            <w:noWrap w:val="0"/>
            <w:vAlign w:val="center"/>
          </w:tcPr>
          <w:p w14:paraId="3F5B5FA4">
            <w:pPr>
              <w:keepNext w:val="0"/>
              <w:keepLines w:val="0"/>
              <w:suppressLineNumbers w:val="0"/>
              <w:tabs>
                <w:tab w:val="left" w:pos="7920"/>
              </w:tabs>
              <w:snapToGrid w:val="0"/>
              <w:spacing w:before="0" w:beforeAutospacing="0" w:after="0" w:afterAutospacing="0" w:line="360" w:lineRule="auto"/>
              <w:ind w:left="0" w:right="0"/>
              <w:rPr>
                <w:rFonts w:hint="default" w:ascii="仿宋_GB2312" w:hAnsi="宋体" w:eastAsia="仿宋_GB2312" w:cs="宋体"/>
                <w:kern w:val="0"/>
                <w:sz w:val="24"/>
                <w:szCs w:val="24"/>
              </w:rPr>
            </w:pPr>
            <w:bookmarkStart w:id="3" w:name="OLE_LINK1"/>
            <w:bookmarkStart w:id="4" w:name="OLE_LINK7"/>
            <w:bookmarkStart w:id="5" w:name="OLE_LINK6"/>
            <w:r>
              <w:rPr>
                <w:rFonts w:hint="eastAsia" w:ascii="仿宋_GB2312" w:hAnsi="宋体" w:eastAsia="仿宋_GB2312" w:cs="宋体"/>
                <w:kern w:val="0"/>
                <w:sz w:val="24"/>
                <w:szCs w:val="24"/>
              </w:rPr>
              <w:t>配RS485网络接口</w:t>
            </w:r>
            <w:bookmarkEnd w:id="3"/>
            <w:r>
              <w:rPr>
                <w:rFonts w:hint="eastAsia" w:ascii="仿宋_GB2312" w:hAnsi="宋体" w:eastAsia="仿宋_GB2312" w:cs="宋体"/>
                <w:kern w:val="0"/>
                <w:sz w:val="24"/>
                <w:szCs w:val="24"/>
              </w:rPr>
              <w:t>，采用MODBUS协议</w:t>
            </w:r>
            <w:bookmarkEnd w:id="4"/>
            <w:bookmarkEnd w:id="5"/>
          </w:p>
        </w:tc>
      </w:tr>
      <w:bookmarkEnd w:id="0"/>
      <w:bookmarkEnd w:id="1"/>
      <w:bookmarkEnd w:id="2"/>
      <w:tr w14:paraId="469F8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noWrap w:val="0"/>
            <w:vAlign w:val="center"/>
          </w:tcPr>
          <w:p w14:paraId="26470652">
            <w:pPr>
              <w:keepNext w:val="0"/>
              <w:keepLines w:val="0"/>
              <w:suppressLineNumbers w:val="0"/>
              <w:spacing w:before="0" w:beforeAutospacing="0" w:after="0" w:afterAutospacing="0" w:line="360" w:lineRule="auto"/>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6</w:t>
            </w:r>
          </w:p>
        </w:tc>
        <w:tc>
          <w:tcPr>
            <w:tcW w:w="2074" w:type="dxa"/>
            <w:noWrap w:val="0"/>
            <w:vAlign w:val="center"/>
          </w:tcPr>
          <w:p w14:paraId="1A0EF3CB">
            <w:pPr>
              <w:keepNext w:val="0"/>
              <w:keepLines w:val="0"/>
              <w:suppressLineNumbers w:val="0"/>
              <w:spacing w:before="0" w:beforeAutospacing="0" w:after="0" w:afterAutospacing="0" w:line="360" w:lineRule="auto"/>
              <w:ind w:left="0" w:right="0"/>
              <w:jc w:val="center"/>
              <w:rPr>
                <w:rFonts w:hint="default" w:ascii="仿宋_GB2312" w:hAnsi="宋体" w:eastAsia="仿宋_GB2312" w:cs="宋体"/>
                <w:kern w:val="0"/>
                <w:sz w:val="24"/>
                <w:szCs w:val="24"/>
              </w:rPr>
            </w:pPr>
            <w:r>
              <w:rPr>
                <w:rFonts w:hint="default" w:ascii="仿宋_GB2312" w:hAnsi="宋体" w:eastAsia="仿宋_GB2312" w:cs="宋体"/>
                <w:kern w:val="0"/>
                <w:sz w:val="24"/>
                <w:szCs w:val="24"/>
              </w:rPr>
              <w:t>智能仪表</w:t>
            </w:r>
          </w:p>
        </w:tc>
        <w:tc>
          <w:tcPr>
            <w:tcW w:w="1559" w:type="dxa"/>
            <w:noWrap w:val="0"/>
            <w:vAlign w:val="center"/>
          </w:tcPr>
          <w:p w14:paraId="4015C914">
            <w:pPr>
              <w:keepNext w:val="0"/>
              <w:keepLines w:val="0"/>
              <w:suppressLineNumbers w:val="0"/>
              <w:spacing w:before="0" w:beforeAutospacing="0" w:after="0" w:afterAutospacing="0" w:line="360" w:lineRule="auto"/>
              <w:ind w:left="0" w:right="0"/>
              <w:jc w:val="center"/>
              <w:rPr>
                <w:rFonts w:hint="eastAsia" w:ascii="仿宋_GB2312" w:hAnsi="宋体" w:eastAsia="仿宋_GB2312" w:cs="宋体"/>
                <w:kern w:val="0"/>
                <w:sz w:val="24"/>
                <w:szCs w:val="24"/>
              </w:rPr>
            </w:pPr>
          </w:p>
        </w:tc>
        <w:tc>
          <w:tcPr>
            <w:tcW w:w="1984" w:type="dxa"/>
            <w:noWrap w:val="0"/>
            <w:vAlign w:val="center"/>
          </w:tcPr>
          <w:p w14:paraId="1422B3A6">
            <w:pPr>
              <w:keepNext w:val="0"/>
              <w:keepLines w:val="0"/>
              <w:suppressLineNumbers w:val="0"/>
              <w:spacing w:before="0" w:beforeAutospacing="0" w:after="0" w:afterAutospacing="0" w:line="360" w:lineRule="auto"/>
              <w:ind w:left="0" w:right="0"/>
              <w:jc w:val="center"/>
              <w:rPr>
                <w:rFonts w:hint="eastAsia" w:ascii="仿宋_GB2312" w:hAnsi="宋体" w:eastAsia="仿宋_GB2312" w:cs="宋体"/>
                <w:kern w:val="0"/>
                <w:sz w:val="24"/>
                <w:szCs w:val="24"/>
              </w:rPr>
            </w:pPr>
          </w:p>
        </w:tc>
        <w:tc>
          <w:tcPr>
            <w:tcW w:w="3306" w:type="dxa"/>
            <w:noWrap w:val="0"/>
            <w:vAlign w:val="center"/>
          </w:tcPr>
          <w:p w14:paraId="5BC5B208">
            <w:pPr>
              <w:keepNext w:val="0"/>
              <w:keepLines w:val="0"/>
              <w:suppressLineNumbers w:val="0"/>
              <w:tabs>
                <w:tab w:val="left" w:pos="7920"/>
              </w:tabs>
              <w:snapToGrid w:val="0"/>
              <w:spacing w:before="0" w:beforeAutospacing="0" w:after="0" w:afterAutospacing="0" w:line="360" w:lineRule="auto"/>
              <w:ind w:left="0" w:right="0"/>
              <w:rPr>
                <w:rFonts w:hint="eastAsia" w:ascii="仿宋_GB2312" w:hAnsi="宋体" w:eastAsia="仿宋_GB2312" w:cs="宋体"/>
                <w:kern w:val="0"/>
                <w:sz w:val="24"/>
                <w:szCs w:val="24"/>
              </w:rPr>
            </w:pPr>
            <w:bookmarkStart w:id="6" w:name="OLE_LINK8"/>
            <w:r>
              <w:rPr>
                <w:rFonts w:hint="eastAsia" w:ascii="仿宋_GB2312" w:hAnsi="宋体" w:eastAsia="仿宋_GB2312" w:cs="宋体"/>
                <w:kern w:val="0"/>
                <w:sz w:val="24"/>
                <w:szCs w:val="24"/>
              </w:rPr>
              <w:t>配RS485网络接口，采用MODBUS协议</w:t>
            </w:r>
            <w:bookmarkEnd w:id="6"/>
          </w:p>
        </w:tc>
      </w:tr>
      <w:tr w14:paraId="4598A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noWrap w:val="0"/>
            <w:vAlign w:val="center"/>
          </w:tcPr>
          <w:p w14:paraId="2CC06762">
            <w:pPr>
              <w:keepNext w:val="0"/>
              <w:keepLines w:val="0"/>
              <w:suppressLineNumbers w:val="0"/>
              <w:spacing w:before="0" w:beforeAutospacing="0" w:after="0" w:afterAutospacing="0" w:line="360" w:lineRule="auto"/>
              <w:ind w:left="0" w:right="0"/>
              <w:jc w:val="center"/>
              <w:rPr>
                <w:rFonts w:hint="default" w:ascii="仿宋_GB2312" w:hAnsi="宋体" w:eastAsia="仿宋_GB2312" w:cs="宋体"/>
                <w:kern w:val="0"/>
                <w:sz w:val="24"/>
                <w:szCs w:val="24"/>
              </w:rPr>
            </w:pPr>
            <w:r>
              <w:rPr>
                <w:rFonts w:hint="eastAsia" w:ascii="仿宋_GB2312" w:hAnsi="宋体" w:eastAsia="仿宋_GB2312" w:cs="宋体"/>
                <w:kern w:val="0"/>
                <w:sz w:val="24"/>
                <w:szCs w:val="24"/>
              </w:rPr>
              <w:t>7</w:t>
            </w:r>
          </w:p>
        </w:tc>
        <w:tc>
          <w:tcPr>
            <w:tcW w:w="2074" w:type="dxa"/>
            <w:noWrap w:val="0"/>
            <w:vAlign w:val="center"/>
          </w:tcPr>
          <w:p w14:paraId="1C6ADBB5">
            <w:pPr>
              <w:keepNext w:val="0"/>
              <w:keepLines w:val="0"/>
              <w:suppressLineNumbers w:val="0"/>
              <w:spacing w:before="0" w:beforeAutospacing="0" w:after="0" w:afterAutospacing="0" w:line="360" w:lineRule="auto"/>
              <w:ind w:left="0" w:right="0"/>
              <w:jc w:val="center"/>
              <w:rPr>
                <w:rFonts w:hint="default" w:ascii="仿宋_GB2312" w:hAnsi="宋体" w:eastAsia="仿宋_GB2312" w:cs="宋体"/>
                <w:kern w:val="0"/>
                <w:sz w:val="24"/>
                <w:szCs w:val="24"/>
              </w:rPr>
            </w:pPr>
            <w:r>
              <w:rPr>
                <w:rFonts w:hint="default" w:ascii="仿宋_GB2312" w:hAnsi="宋体" w:eastAsia="仿宋_GB2312" w:cs="宋体"/>
                <w:kern w:val="0"/>
                <w:sz w:val="24"/>
                <w:szCs w:val="24"/>
              </w:rPr>
              <w:t>电流互感器</w:t>
            </w:r>
          </w:p>
        </w:tc>
        <w:tc>
          <w:tcPr>
            <w:tcW w:w="1559" w:type="dxa"/>
            <w:noWrap w:val="0"/>
            <w:vAlign w:val="center"/>
          </w:tcPr>
          <w:p w14:paraId="7B39C08E">
            <w:pPr>
              <w:keepNext w:val="0"/>
              <w:keepLines w:val="0"/>
              <w:suppressLineNumbers w:val="0"/>
              <w:spacing w:before="0" w:beforeAutospacing="0" w:after="0" w:afterAutospacing="0" w:line="360" w:lineRule="auto"/>
              <w:ind w:left="0" w:right="0"/>
              <w:jc w:val="center"/>
              <w:rPr>
                <w:rFonts w:hint="eastAsia" w:ascii="仿宋_GB2312" w:hAnsi="宋体" w:eastAsia="仿宋_GB2312" w:cs="宋体"/>
                <w:kern w:val="0"/>
                <w:sz w:val="24"/>
                <w:szCs w:val="24"/>
              </w:rPr>
            </w:pPr>
          </w:p>
        </w:tc>
        <w:tc>
          <w:tcPr>
            <w:tcW w:w="1984" w:type="dxa"/>
            <w:noWrap w:val="0"/>
            <w:vAlign w:val="center"/>
          </w:tcPr>
          <w:p w14:paraId="6218DB8A">
            <w:pPr>
              <w:keepNext w:val="0"/>
              <w:keepLines w:val="0"/>
              <w:suppressLineNumbers w:val="0"/>
              <w:spacing w:before="0" w:beforeAutospacing="0" w:after="0" w:afterAutospacing="0" w:line="360" w:lineRule="auto"/>
              <w:ind w:left="0" w:right="0"/>
              <w:jc w:val="center"/>
              <w:rPr>
                <w:rFonts w:hint="eastAsia" w:ascii="仿宋_GB2312" w:hAnsi="宋体" w:eastAsia="仿宋_GB2312" w:cs="宋体"/>
                <w:kern w:val="0"/>
                <w:sz w:val="24"/>
                <w:szCs w:val="24"/>
              </w:rPr>
            </w:pPr>
          </w:p>
        </w:tc>
        <w:tc>
          <w:tcPr>
            <w:tcW w:w="3306" w:type="dxa"/>
            <w:vMerge w:val="restart"/>
            <w:noWrap w:val="0"/>
            <w:vAlign w:val="center"/>
          </w:tcPr>
          <w:p w14:paraId="03A189B9">
            <w:pPr>
              <w:keepNext w:val="0"/>
              <w:keepLines w:val="0"/>
              <w:suppressLineNumbers w:val="0"/>
              <w:tabs>
                <w:tab w:val="left" w:pos="7920"/>
              </w:tabs>
              <w:snapToGrid w:val="0"/>
              <w:spacing w:before="0" w:beforeAutospacing="0" w:after="0" w:afterAutospacing="0" w:line="360" w:lineRule="auto"/>
              <w:ind w:left="0" w:right="0"/>
              <w:jc w:val="center"/>
              <w:rPr>
                <w:rFonts w:hint="default" w:ascii="仿宋_GB2312" w:hAnsi="宋体" w:eastAsia="仿宋_GB2312" w:cs="宋体"/>
                <w:kern w:val="0"/>
                <w:sz w:val="24"/>
                <w:szCs w:val="24"/>
              </w:rPr>
            </w:pPr>
            <w:r>
              <w:rPr>
                <w:rFonts w:hint="eastAsia" w:ascii="仿宋_GB2312" w:hAnsi="宋体" w:eastAsia="仿宋_GB2312" w:cs="宋体"/>
                <w:kern w:val="0"/>
                <w:sz w:val="24"/>
                <w:szCs w:val="24"/>
              </w:rPr>
              <w:t>按图纸要求选用</w:t>
            </w:r>
          </w:p>
        </w:tc>
      </w:tr>
      <w:tr w14:paraId="5735E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noWrap w:val="0"/>
            <w:vAlign w:val="center"/>
          </w:tcPr>
          <w:p w14:paraId="5CC4A1C8">
            <w:pPr>
              <w:keepNext w:val="0"/>
              <w:keepLines w:val="0"/>
              <w:suppressLineNumbers w:val="0"/>
              <w:spacing w:before="0" w:beforeAutospacing="0" w:after="0" w:afterAutospacing="0" w:line="360" w:lineRule="auto"/>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8</w:t>
            </w:r>
          </w:p>
        </w:tc>
        <w:tc>
          <w:tcPr>
            <w:tcW w:w="2074" w:type="dxa"/>
            <w:noWrap w:val="0"/>
            <w:vAlign w:val="center"/>
          </w:tcPr>
          <w:p w14:paraId="57ABF8E5">
            <w:pPr>
              <w:keepNext w:val="0"/>
              <w:keepLines w:val="0"/>
              <w:suppressLineNumbers w:val="0"/>
              <w:spacing w:before="0" w:beforeAutospacing="0" w:after="0" w:afterAutospacing="0" w:line="360" w:lineRule="auto"/>
              <w:ind w:left="0" w:right="0"/>
              <w:jc w:val="center"/>
              <w:rPr>
                <w:rFonts w:hint="default" w:ascii="仿宋_GB2312" w:hAnsi="宋体" w:eastAsia="仿宋_GB2312" w:cs="宋体"/>
                <w:kern w:val="0"/>
                <w:sz w:val="24"/>
                <w:szCs w:val="24"/>
              </w:rPr>
            </w:pPr>
            <w:r>
              <w:rPr>
                <w:rFonts w:hint="default" w:ascii="仿宋_GB2312" w:hAnsi="宋体" w:eastAsia="仿宋_GB2312" w:cs="宋体"/>
                <w:kern w:val="0"/>
                <w:sz w:val="24"/>
                <w:szCs w:val="24"/>
              </w:rPr>
              <w:t>电压互感器</w:t>
            </w:r>
          </w:p>
        </w:tc>
        <w:tc>
          <w:tcPr>
            <w:tcW w:w="1559" w:type="dxa"/>
            <w:noWrap w:val="0"/>
            <w:vAlign w:val="center"/>
          </w:tcPr>
          <w:p w14:paraId="28DFF785">
            <w:pPr>
              <w:keepNext w:val="0"/>
              <w:keepLines w:val="0"/>
              <w:suppressLineNumbers w:val="0"/>
              <w:spacing w:before="0" w:beforeAutospacing="0" w:after="0" w:afterAutospacing="0" w:line="360" w:lineRule="auto"/>
              <w:ind w:left="0" w:right="0"/>
              <w:jc w:val="center"/>
              <w:rPr>
                <w:rFonts w:hint="eastAsia" w:ascii="仿宋_GB2312" w:hAnsi="宋体" w:eastAsia="仿宋_GB2312" w:cs="宋体"/>
                <w:kern w:val="0"/>
                <w:sz w:val="24"/>
                <w:szCs w:val="24"/>
              </w:rPr>
            </w:pPr>
          </w:p>
        </w:tc>
        <w:tc>
          <w:tcPr>
            <w:tcW w:w="1984" w:type="dxa"/>
            <w:noWrap w:val="0"/>
            <w:vAlign w:val="center"/>
          </w:tcPr>
          <w:p w14:paraId="69403426">
            <w:pPr>
              <w:keepNext w:val="0"/>
              <w:keepLines w:val="0"/>
              <w:suppressLineNumbers w:val="0"/>
              <w:spacing w:before="0" w:beforeAutospacing="0" w:after="0" w:afterAutospacing="0" w:line="360" w:lineRule="auto"/>
              <w:ind w:left="0" w:right="0"/>
              <w:jc w:val="center"/>
              <w:rPr>
                <w:rFonts w:hint="eastAsia" w:ascii="仿宋_GB2312" w:hAnsi="宋体" w:eastAsia="仿宋_GB2312" w:cs="宋体"/>
                <w:kern w:val="0"/>
                <w:sz w:val="24"/>
                <w:szCs w:val="24"/>
              </w:rPr>
            </w:pPr>
          </w:p>
        </w:tc>
        <w:tc>
          <w:tcPr>
            <w:tcW w:w="3306" w:type="dxa"/>
            <w:vMerge w:val="continue"/>
            <w:noWrap w:val="0"/>
            <w:vAlign w:val="center"/>
          </w:tcPr>
          <w:p w14:paraId="5BFBBE08">
            <w:pPr>
              <w:keepNext w:val="0"/>
              <w:keepLines w:val="0"/>
              <w:suppressLineNumbers w:val="0"/>
              <w:tabs>
                <w:tab w:val="left" w:pos="7920"/>
              </w:tabs>
              <w:snapToGrid w:val="0"/>
              <w:spacing w:before="0" w:beforeAutospacing="0" w:after="0" w:afterAutospacing="0" w:line="360" w:lineRule="auto"/>
              <w:ind w:left="0" w:right="0"/>
              <w:rPr>
                <w:rFonts w:hint="default" w:ascii="仿宋_GB2312" w:hAnsi="宋体" w:eastAsia="仿宋_GB2312" w:cs="宋体"/>
                <w:kern w:val="0"/>
                <w:sz w:val="24"/>
                <w:szCs w:val="24"/>
              </w:rPr>
            </w:pPr>
          </w:p>
        </w:tc>
      </w:tr>
      <w:tr w14:paraId="4DD12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noWrap w:val="0"/>
            <w:vAlign w:val="center"/>
          </w:tcPr>
          <w:p w14:paraId="16B8EADD">
            <w:pPr>
              <w:keepNext w:val="0"/>
              <w:keepLines w:val="0"/>
              <w:suppressLineNumbers w:val="0"/>
              <w:spacing w:before="0" w:beforeAutospacing="0" w:after="0" w:afterAutospacing="0" w:line="360" w:lineRule="auto"/>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9</w:t>
            </w:r>
          </w:p>
        </w:tc>
        <w:tc>
          <w:tcPr>
            <w:tcW w:w="2074" w:type="dxa"/>
            <w:noWrap w:val="0"/>
            <w:vAlign w:val="center"/>
          </w:tcPr>
          <w:p w14:paraId="3FABC754">
            <w:pPr>
              <w:keepNext w:val="0"/>
              <w:keepLines w:val="0"/>
              <w:suppressLineNumbers w:val="0"/>
              <w:spacing w:before="0" w:beforeAutospacing="0" w:after="0" w:afterAutospacing="0" w:line="360" w:lineRule="auto"/>
              <w:ind w:left="0" w:right="0"/>
              <w:jc w:val="center"/>
              <w:rPr>
                <w:rFonts w:hint="default" w:ascii="仿宋_GB2312" w:hAnsi="宋体" w:eastAsia="仿宋_GB2312" w:cs="宋体"/>
                <w:kern w:val="0"/>
                <w:sz w:val="24"/>
                <w:szCs w:val="24"/>
              </w:rPr>
            </w:pPr>
            <w:r>
              <w:rPr>
                <w:rFonts w:hint="eastAsia" w:ascii="仿宋_GB2312" w:hAnsi="宋体" w:eastAsia="仿宋_GB2312" w:cs="宋体"/>
                <w:kern w:val="0"/>
                <w:sz w:val="24"/>
                <w:szCs w:val="24"/>
              </w:rPr>
              <w:t>直流屏</w:t>
            </w:r>
          </w:p>
        </w:tc>
        <w:tc>
          <w:tcPr>
            <w:tcW w:w="1559" w:type="dxa"/>
            <w:noWrap w:val="0"/>
            <w:vAlign w:val="center"/>
          </w:tcPr>
          <w:p w14:paraId="300B5C2C">
            <w:pPr>
              <w:keepNext w:val="0"/>
              <w:keepLines w:val="0"/>
              <w:suppressLineNumbers w:val="0"/>
              <w:spacing w:before="0" w:beforeAutospacing="0" w:after="0" w:afterAutospacing="0" w:line="360" w:lineRule="auto"/>
              <w:ind w:left="0" w:right="0"/>
              <w:jc w:val="center"/>
              <w:rPr>
                <w:rFonts w:hint="default" w:ascii="仿宋_GB2312" w:hAnsi="宋体" w:eastAsia="仿宋_GB2312" w:cs="宋体"/>
                <w:kern w:val="0"/>
                <w:sz w:val="24"/>
                <w:szCs w:val="24"/>
              </w:rPr>
            </w:pPr>
          </w:p>
        </w:tc>
        <w:tc>
          <w:tcPr>
            <w:tcW w:w="1984" w:type="dxa"/>
            <w:noWrap w:val="0"/>
            <w:vAlign w:val="center"/>
          </w:tcPr>
          <w:p w14:paraId="779B471D">
            <w:pPr>
              <w:keepNext w:val="0"/>
              <w:keepLines w:val="0"/>
              <w:suppressLineNumbers w:val="0"/>
              <w:spacing w:before="0" w:beforeAutospacing="0" w:after="0" w:afterAutospacing="0" w:line="360" w:lineRule="auto"/>
              <w:ind w:left="0" w:right="0"/>
              <w:jc w:val="center"/>
              <w:rPr>
                <w:rFonts w:hint="default" w:ascii="仿宋_GB2312" w:hAnsi="宋体" w:eastAsia="仿宋_GB2312" w:cs="宋体"/>
                <w:kern w:val="0"/>
                <w:sz w:val="24"/>
                <w:szCs w:val="24"/>
              </w:rPr>
            </w:pPr>
          </w:p>
        </w:tc>
        <w:tc>
          <w:tcPr>
            <w:tcW w:w="3306" w:type="dxa"/>
            <w:noWrap w:val="0"/>
            <w:vAlign w:val="center"/>
          </w:tcPr>
          <w:p w14:paraId="0BF02FA5">
            <w:pPr>
              <w:keepNext w:val="0"/>
              <w:keepLines w:val="0"/>
              <w:suppressLineNumbers w:val="0"/>
              <w:spacing w:before="0" w:beforeAutospacing="0" w:after="0" w:afterAutospacing="0" w:line="360" w:lineRule="auto"/>
              <w:ind w:left="0" w:right="0"/>
              <w:rPr>
                <w:rFonts w:hint="default" w:ascii="仿宋_GB2312" w:hAnsi="宋体" w:eastAsia="仿宋_GB2312" w:cs="宋体"/>
                <w:kern w:val="0"/>
                <w:sz w:val="24"/>
                <w:szCs w:val="24"/>
              </w:rPr>
            </w:pPr>
            <w:r>
              <w:rPr>
                <w:rFonts w:hint="eastAsia" w:ascii="仿宋_GB2312" w:hAnsi="宋体" w:eastAsia="仿宋_GB2312" w:cs="宋体"/>
                <w:kern w:val="0"/>
                <w:sz w:val="24"/>
                <w:szCs w:val="24"/>
              </w:rPr>
              <w:t>配RS485网络接口，采用MODBUS协议</w:t>
            </w:r>
          </w:p>
        </w:tc>
      </w:tr>
      <w:tr w14:paraId="12231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noWrap w:val="0"/>
            <w:vAlign w:val="center"/>
          </w:tcPr>
          <w:p w14:paraId="4589ACD7">
            <w:pPr>
              <w:keepNext w:val="0"/>
              <w:keepLines w:val="0"/>
              <w:suppressLineNumbers w:val="0"/>
              <w:spacing w:before="0" w:beforeAutospacing="0" w:after="0" w:afterAutospacing="0" w:line="360" w:lineRule="auto"/>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10</w:t>
            </w:r>
          </w:p>
        </w:tc>
        <w:tc>
          <w:tcPr>
            <w:tcW w:w="2074" w:type="dxa"/>
            <w:noWrap w:val="0"/>
            <w:vAlign w:val="center"/>
          </w:tcPr>
          <w:p w14:paraId="61B96FDC">
            <w:pPr>
              <w:keepNext w:val="0"/>
              <w:keepLines w:val="0"/>
              <w:suppressLineNumbers w:val="0"/>
              <w:spacing w:before="0" w:beforeAutospacing="0" w:after="0" w:afterAutospacing="0" w:line="360" w:lineRule="auto"/>
              <w:ind w:left="0" w:right="0"/>
              <w:jc w:val="center"/>
              <w:rPr>
                <w:rFonts w:hint="default" w:ascii="仿宋_GB2312" w:hAnsi="宋体" w:eastAsia="仿宋_GB2312" w:cs="宋体"/>
                <w:kern w:val="0"/>
                <w:sz w:val="24"/>
                <w:szCs w:val="24"/>
              </w:rPr>
            </w:pPr>
            <w:r>
              <w:rPr>
                <w:rFonts w:hint="eastAsia" w:ascii="仿宋_GB2312" w:hAnsi="宋体" w:eastAsia="仿宋_GB2312" w:cs="宋体"/>
                <w:kern w:val="0"/>
                <w:sz w:val="24"/>
                <w:szCs w:val="24"/>
              </w:rPr>
              <w:t>低压</w:t>
            </w:r>
            <w:r>
              <w:rPr>
                <w:rFonts w:hint="eastAsia" w:ascii="仿宋_GB2312" w:hAnsi="宋体" w:eastAsia="仿宋_GB2312" w:cs="宋体"/>
                <w:kern w:val="0"/>
                <w:sz w:val="24"/>
                <w:szCs w:val="24"/>
                <w:lang w:val="en-US" w:eastAsia="zh-CN"/>
              </w:rPr>
              <w:t>开关</w:t>
            </w:r>
            <w:r>
              <w:rPr>
                <w:rFonts w:hint="eastAsia" w:ascii="仿宋_GB2312" w:hAnsi="宋体" w:eastAsia="仿宋_GB2312" w:cs="宋体"/>
                <w:kern w:val="0"/>
                <w:sz w:val="24"/>
                <w:szCs w:val="24"/>
              </w:rPr>
              <w:t>柜柜体</w:t>
            </w:r>
          </w:p>
        </w:tc>
        <w:tc>
          <w:tcPr>
            <w:tcW w:w="1559" w:type="dxa"/>
            <w:noWrap w:val="0"/>
            <w:vAlign w:val="center"/>
          </w:tcPr>
          <w:p w14:paraId="5618D3CD">
            <w:pPr>
              <w:keepNext w:val="0"/>
              <w:keepLines w:val="0"/>
              <w:suppressLineNumbers w:val="0"/>
              <w:spacing w:before="0" w:beforeAutospacing="0" w:after="0" w:afterAutospacing="0" w:line="360" w:lineRule="auto"/>
              <w:ind w:left="0" w:right="0"/>
              <w:jc w:val="center"/>
              <w:rPr>
                <w:rFonts w:hint="default" w:ascii="仿宋_GB2312" w:hAnsi="宋体" w:eastAsia="仿宋_GB2312" w:cs="宋体"/>
                <w:kern w:val="0"/>
                <w:sz w:val="24"/>
                <w:szCs w:val="24"/>
              </w:rPr>
            </w:pPr>
          </w:p>
        </w:tc>
        <w:tc>
          <w:tcPr>
            <w:tcW w:w="1984" w:type="dxa"/>
            <w:noWrap w:val="0"/>
            <w:vAlign w:val="center"/>
          </w:tcPr>
          <w:p w14:paraId="5ED6CBB8">
            <w:pPr>
              <w:keepNext w:val="0"/>
              <w:keepLines w:val="0"/>
              <w:suppressLineNumbers w:val="0"/>
              <w:spacing w:before="0" w:beforeAutospacing="0" w:after="0" w:afterAutospacing="0" w:line="360" w:lineRule="auto"/>
              <w:ind w:left="0" w:right="0"/>
              <w:jc w:val="center"/>
              <w:rPr>
                <w:rFonts w:hint="default" w:ascii="仿宋_GB2312" w:hAnsi="宋体" w:eastAsia="仿宋_GB2312" w:cs="宋体"/>
                <w:kern w:val="0"/>
                <w:sz w:val="24"/>
                <w:szCs w:val="24"/>
              </w:rPr>
            </w:pPr>
          </w:p>
        </w:tc>
        <w:tc>
          <w:tcPr>
            <w:tcW w:w="3306" w:type="dxa"/>
            <w:noWrap w:val="0"/>
            <w:vAlign w:val="center"/>
          </w:tcPr>
          <w:p w14:paraId="69359486">
            <w:pPr>
              <w:keepNext w:val="0"/>
              <w:keepLines w:val="0"/>
              <w:suppressLineNumbers w:val="0"/>
              <w:tabs>
                <w:tab w:val="left" w:pos="7920"/>
              </w:tabs>
              <w:snapToGrid w:val="0"/>
              <w:spacing w:before="0" w:beforeAutospacing="0" w:after="0" w:afterAutospacing="0" w:line="360" w:lineRule="auto"/>
              <w:ind w:left="0" w:right="0"/>
              <w:rPr>
                <w:rFonts w:hint="default" w:ascii="仿宋_GB2312" w:hAnsi="宋体" w:eastAsia="仿宋_GB2312" w:cs="宋体"/>
                <w:kern w:val="0"/>
                <w:sz w:val="24"/>
                <w:szCs w:val="24"/>
              </w:rPr>
            </w:pPr>
            <w:r>
              <w:rPr>
                <w:rFonts w:hint="eastAsia" w:ascii="仿宋_GB2312" w:hAnsi="宋体" w:eastAsia="仿宋_GB2312" w:cs="宋体"/>
                <w:kern w:val="0"/>
                <w:sz w:val="24"/>
                <w:szCs w:val="24"/>
              </w:rPr>
              <w:t>按图设计,抽出式,低压柜门前后都采用门板形式，方便检修</w:t>
            </w:r>
          </w:p>
        </w:tc>
      </w:tr>
      <w:tr w14:paraId="29536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28" w:type="dxa"/>
            <w:noWrap w:val="0"/>
            <w:vAlign w:val="center"/>
          </w:tcPr>
          <w:p w14:paraId="0AF079BE">
            <w:pPr>
              <w:keepNext w:val="0"/>
              <w:keepLines w:val="0"/>
              <w:suppressLineNumbers w:val="0"/>
              <w:spacing w:before="0" w:beforeAutospacing="0" w:after="0" w:afterAutospacing="0" w:line="360" w:lineRule="auto"/>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11</w:t>
            </w:r>
          </w:p>
        </w:tc>
        <w:tc>
          <w:tcPr>
            <w:tcW w:w="2074" w:type="dxa"/>
            <w:noWrap w:val="0"/>
            <w:vAlign w:val="center"/>
          </w:tcPr>
          <w:p w14:paraId="1C0D91B9">
            <w:pPr>
              <w:keepNext w:val="0"/>
              <w:keepLines w:val="0"/>
              <w:suppressLineNumbers w:val="0"/>
              <w:spacing w:before="0" w:beforeAutospacing="0" w:after="0" w:afterAutospacing="0" w:line="360" w:lineRule="auto"/>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框架断路器</w:t>
            </w:r>
          </w:p>
        </w:tc>
        <w:tc>
          <w:tcPr>
            <w:tcW w:w="1559" w:type="dxa"/>
            <w:noWrap w:val="0"/>
            <w:vAlign w:val="center"/>
          </w:tcPr>
          <w:p w14:paraId="3DBE89E0">
            <w:pPr>
              <w:keepNext w:val="0"/>
              <w:keepLines w:val="0"/>
              <w:suppressLineNumbers w:val="0"/>
              <w:spacing w:before="0" w:beforeAutospacing="0" w:after="0" w:afterAutospacing="0" w:line="360" w:lineRule="auto"/>
              <w:ind w:left="0" w:right="0"/>
              <w:jc w:val="center"/>
              <w:rPr>
                <w:rFonts w:hint="eastAsia" w:ascii="仿宋_GB2312" w:hAnsi="宋体" w:eastAsia="仿宋_GB2312" w:cs="宋体"/>
                <w:kern w:val="0"/>
                <w:sz w:val="24"/>
                <w:szCs w:val="24"/>
              </w:rPr>
            </w:pPr>
          </w:p>
        </w:tc>
        <w:tc>
          <w:tcPr>
            <w:tcW w:w="1984" w:type="dxa"/>
            <w:noWrap w:val="0"/>
            <w:vAlign w:val="center"/>
          </w:tcPr>
          <w:p w14:paraId="7CF3116C">
            <w:pPr>
              <w:keepNext w:val="0"/>
              <w:keepLines w:val="0"/>
              <w:suppressLineNumbers w:val="0"/>
              <w:spacing w:before="0" w:beforeAutospacing="0" w:after="0" w:afterAutospacing="0" w:line="360" w:lineRule="auto"/>
              <w:ind w:left="0" w:right="0"/>
              <w:jc w:val="center"/>
              <w:rPr>
                <w:rFonts w:hint="eastAsia" w:ascii="仿宋_GB2312" w:hAnsi="宋体" w:eastAsia="仿宋_GB2312" w:cs="宋体"/>
                <w:kern w:val="0"/>
                <w:sz w:val="24"/>
                <w:szCs w:val="24"/>
              </w:rPr>
            </w:pPr>
          </w:p>
        </w:tc>
        <w:tc>
          <w:tcPr>
            <w:tcW w:w="3306" w:type="dxa"/>
            <w:noWrap w:val="0"/>
            <w:vAlign w:val="center"/>
          </w:tcPr>
          <w:p w14:paraId="19C174C8">
            <w:pPr>
              <w:keepNext w:val="0"/>
              <w:keepLines w:val="0"/>
              <w:suppressLineNumbers w:val="0"/>
              <w:spacing w:before="0" w:beforeAutospacing="0" w:after="0" w:afterAutospacing="0" w:line="360" w:lineRule="auto"/>
              <w:ind w:left="0" w:right="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配</w:t>
            </w:r>
            <w:r>
              <w:rPr>
                <w:rFonts w:hint="default" w:ascii="仿宋_GB2312" w:hAnsi="宋体" w:eastAsia="仿宋_GB2312" w:cs="宋体"/>
                <w:kern w:val="0"/>
                <w:sz w:val="24"/>
                <w:szCs w:val="24"/>
              </w:rPr>
              <w:t>RS485</w:t>
            </w:r>
            <w:r>
              <w:rPr>
                <w:rFonts w:hint="eastAsia" w:ascii="仿宋_GB2312" w:hAnsi="宋体" w:eastAsia="仿宋_GB2312" w:cs="宋体"/>
                <w:kern w:val="0"/>
                <w:sz w:val="24"/>
                <w:szCs w:val="24"/>
              </w:rPr>
              <w:t>网络接口，采用</w:t>
            </w:r>
            <w:r>
              <w:rPr>
                <w:rFonts w:hint="default" w:ascii="仿宋_GB2312" w:hAnsi="宋体" w:eastAsia="仿宋_GB2312" w:cs="宋体"/>
                <w:kern w:val="0"/>
                <w:sz w:val="24"/>
                <w:szCs w:val="24"/>
              </w:rPr>
              <w:t>MODBUS</w:t>
            </w:r>
            <w:r>
              <w:rPr>
                <w:rFonts w:hint="eastAsia" w:ascii="仿宋_GB2312" w:hAnsi="宋体" w:eastAsia="仿宋_GB2312" w:cs="宋体"/>
                <w:kern w:val="0"/>
                <w:sz w:val="24"/>
                <w:szCs w:val="24"/>
              </w:rPr>
              <w:t>协议</w:t>
            </w:r>
          </w:p>
        </w:tc>
      </w:tr>
      <w:tr w14:paraId="5F5D1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728" w:type="dxa"/>
            <w:noWrap w:val="0"/>
            <w:vAlign w:val="center"/>
          </w:tcPr>
          <w:p w14:paraId="560CDCBC">
            <w:pPr>
              <w:keepNext w:val="0"/>
              <w:keepLines w:val="0"/>
              <w:suppressLineNumbers w:val="0"/>
              <w:spacing w:before="0" w:beforeAutospacing="0" w:after="0" w:afterAutospacing="0" w:line="360" w:lineRule="auto"/>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xml:space="preserve"> 12</w:t>
            </w:r>
          </w:p>
        </w:tc>
        <w:tc>
          <w:tcPr>
            <w:tcW w:w="2074" w:type="dxa"/>
            <w:noWrap w:val="0"/>
            <w:vAlign w:val="center"/>
          </w:tcPr>
          <w:p w14:paraId="5439C0DB">
            <w:pPr>
              <w:keepNext w:val="0"/>
              <w:keepLines w:val="0"/>
              <w:suppressLineNumbers w:val="0"/>
              <w:spacing w:before="0" w:beforeAutospacing="0" w:after="0" w:afterAutospacing="0" w:line="360" w:lineRule="auto"/>
              <w:ind w:left="0" w:right="0"/>
              <w:jc w:val="center"/>
              <w:rPr>
                <w:rFonts w:hint="default" w:ascii="仿宋_GB2312" w:hAnsi="宋体" w:eastAsia="仿宋_GB2312" w:cs="宋体"/>
                <w:kern w:val="0"/>
                <w:sz w:val="24"/>
                <w:szCs w:val="24"/>
              </w:rPr>
            </w:pPr>
            <w:r>
              <w:rPr>
                <w:rFonts w:hint="eastAsia" w:ascii="仿宋_GB2312" w:hAnsi="宋体" w:eastAsia="仿宋_GB2312" w:cs="宋体"/>
                <w:kern w:val="0"/>
                <w:sz w:val="24"/>
                <w:szCs w:val="24"/>
              </w:rPr>
              <w:t>塑壳断路器</w:t>
            </w:r>
          </w:p>
        </w:tc>
        <w:tc>
          <w:tcPr>
            <w:tcW w:w="1559" w:type="dxa"/>
            <w:noWrap w:val="0"/>
            <w:vAlign w:val="center"/>
          </w:tcPr>
          <w:p w14:paraId="4D17A238">
            <w:pPr>
              <w:keepNext w:val="0"/>
              <w:keepLines w:val="0"/>
              <w:suppressLineNumbers w:val="0"/>
              <w:spacing w:before="0" w:beforeAutospacing="0" w:after="0" w:afterAutospacing="0" w:line="360" w:lineRule="auto"/>
              <w:ind w:left="0" w:right="0"/>
              <w:jc w:val="center"/>
              <w:rPr>
                <w:rFonts w:hint="default" w:ascii="仿宋_GB2312" w:hAnsi="宋体" w:eastAsia="仿宋_GB2312" w:cs="宋体"/>
                <w:kern w:val="0"/>
                <w:sz w:val="24"/>
                <w:szCs w:val="24"/>
              </w:rPr>
            </w:pPr>
          </w:p>
        </w:tc>
        <w:tc>
          <w:tcPr>
            <w:tcW w:w="1984" w:type="dxa"/>
            <w:noWrap w:val="0"/>
            <w:vAlign w:val="center"/>
          </w:tcPr>
          <w:p w14:paraId="545A4C0A">
            <w:pPr>
              <w:keepNext w:val="0"/>
              <w:keepLines w:val="0"/>
              <w:suppressLineNumbers w:val="0"/>
              <w:spacing w:before="0" w:beforeAutospacing="0" w:after="0" w:afterAutospacing="0" w:line="360" w:lineRule="auto"/>
              <w:ind w:left="0" w:right="0"/>
              <w:jc w:val="center"/>
              <w:rPr>
                <w:rFonts w:hint="default" w:ascii="仿宋_GB2312" w:hAnsi="宋体" w:eastAsia="仿宋_GB2312" w:cs="宋体"/>
                <w:kern w:val="0"/>
                <w:sz w:val="24"/>
                <w:szCs w:val="24"/>
              </w:rPr>
            </w:pPr>
          </w:p>
        </w:tc>
        <w:tc>
          <w:tcPr>
            <w:tcW w:w="3306" w:type="dxa"/>
            <w:noWrap w:val="0"/>
            <w:vAlign w:val="center"/>
          </w:tcPr>
          <w:p w14:paraId="09509B9E">
            <w:pPr>
              <w:keepNext w:val="0"/>
              <w:keepLines w:val="0"/>
              <w:suppressLineNumbers w:val="0"/>
              <w:spacing w:before="0" w:beforeAutospacing="0" w:after="0" w:afterAutospacing="0" w:line="360" w:lineRule="auto"/>
              <w:ind w:left="0" w:right="0"/>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rPr>
              <w:t>按图纸要求选用</w:t>
            </w:r>
          </w:p>
        </w:tc>
      </w:tr>
      <w:tr w14:paraId="2CC42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728" w:type="dxa"/>
            <w:noWrap w:val="0"/>
            <w:vAlign w:val="center"/>
          </w:tcPr>
          <w:p w14:paraId="234BE4A6">
            <w:pPr>
              <w:keepNext w:val="0"/>
              <w:keepLines w:val="0"/>
              <w:suppressLineNumbers w:val="0"/>
              <w:spacing w:before="0" w:beforeAutospacing="0" w:after="0" w:afterAutospacing="0" w:line="360" w:lineRule="auto"/>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w:t>
            </w:r>
          </w:p>
        </w:tc>
        <w:tc>
          <w:tcPr>
            <w:tcW w:w="2074" w:type="dxa"/>
            <w:noWrap w:val="0"/>
            <w:vAlign w:val="center"/>
          </w:tcPr>
          <w:p w14:paraId="655D0871">
            <w:pPr>
              <w:keepNext w:val="0"/>
              <w:keepLines w:val="0"/>
              <w:suppressLineNumbers w:val="0"/>
              <w:spacing w:before="0" w:beforeAutospacing="0" w:after="0" w:afterAutospacing="0" w:line="360" w:lineRule="auto"/>
              <w:ind w:left="0" w:right="0"/>
              <w:jc w:val="center"/>
              <w:rPr>
                <w:rFonts w:hint="default" w:ascii="仿宋_GB2312" w:hAnsi="宋体" w:eastAsia="仿宋_GB2312" w:cs="宋体"/>
                <w:kern w:val="0"/>
                <w:sz w:val="24"/>
                <w:szCs w:val="24"/>
              </w:rPr>
            </w:pPr>
            <w:r>
              <w:rPr>
                <w:rFonts w:hint="default" w:ascii="仿宋_GB2312" w:hAnsi="宋体" w:eastAsia="仿宋_GB2312" w:cs="宋体"/>
                <w:kern w:val="0"/>
                <w:sz w:val="24"/>
                <w:szCs w:val="24"/>
              </w:rPr>
              <w:t>APF有源滤波器、SVG无功</w:t>
            </w:r>
            <w:r>
              <w:rPr>
                <w:rFonts w:hint="eastAsia" w:ascii="仿宋_GB2312" w:hAnsi="宋体" w:eastAsia="仿宋_GB2312" w:cs="宋体"/>
                <w:kern w:val="0"/>
                <w:sz w:val="24"/>
                <w:szCs w:val="24"/>
                <w:lang w:val="en-US" w:eastAsia="zh-CN"/>
              </w:rPr>
              <w:t>发生</w:t>
            </w:r>
            <w:r>
              <w:rPr>
                <w:rFonts w:hint="default" w:ascii="仿宋_GB2312" w:hAnsi="宋体" w:eastAsia="仿宋_GB2312" w:cs="宋体"/>
                <w:kern w:val="0"/>
                <w:sz w:val="24"/>
                <w:szCs w:val="24"/>
              </w:rPr>
              <w:t>器</w:t>
            </w:r>
          </w:p>
        </w:tc>
        <w:tc>
          <w:tcPr>
            <w:tcW w:w="1559" w:type="dxa"/>
            <w:noWrap w:val="0"/>
            <w:vAlign w:val="center"/>
          </w:tcPr>
          <w:p w14:paraId="0468B2AB">
            <w:pPr>
              <w:keepNext w:val="0"/>
              <w:keepLines w:val="0"/>
              <w:suppressLineNumbers w:val="0"/>
              <w:spacing w:before="0" w:beforeAutospacing="0" w:after="0" w:afterAutospacing="0" w:line="360" w:lineRule="auto"/>
              <w:ind w:left="0" w:right="0"/>
              <w:jc w:val="center"/>
              <w:rPr>
                <w:rFonts w:hint="eastAsia" w:ascii="仿宋_GB2312" w:hAnsi="宋体" w:eastAsia="仿宋_GB2312" w:cs="宋体"/>
                <w:kern w:val="0"/>
                <w:sz w:val="24"/>
                <w:szCs w:val="24"/>
              </w:rPr>
            </w:pPr>
          </w:p>
        </w:tc>
        <w:tc>
          <w:tcPr>
            <w:tcW w:w="1984" w:type="dxa"/>
            <w:noWrap w:val="0"/>
            <w:vAlign w:val="center"/>
          </w:tcPr>
          <w:p w14:paraId="57B0B84D">
            <w:pPr>
              <w:keepNext w:val="0"/>
              <w:keepLines w:val="0"/>
              <w:suppressLineNumbers w:val="0"/>
              <w:spacing w:before="0" w:beforeAutospacing="0" w:after="0" w:afterAutospacing="0" w:line="360" w:lineRule="auto"/>
              <w:ind w:left="0" w:right="0"/>
              <w:jc w:val="center"/>
              <w:rPr>
                <w:rFonts w:hint="default" w:ascii="仿宋_GB2312" w:hAnsi="宋体" w:eastAsia="仿宋_GB2312" w:cs="宋体"/>
                <w:kern w:val="0"/>
                <w:sz w:val="24"/>
                <w:szCs w:val="24"/>
              </w:rPr>
            </w:pPr>
          </w:p>
        </w:tc>
        <w:tc>
          <w:tcPr>
            <w:tcW w:w="3306" w:type="dxa"/>
            <w:noWrap w:val="0"/>
            <w:vAlign w:val="center"/>
          </w:tcPr>
          <w:p w14:paraId="327CB730">
            <w:pPr>
              <w:keepNext w:val="0"/>
              <w:keepLines w:val="0"/>
              <w:suppressLineNumbers w:val="0"/>
              <w:spacing w:before="0" w:beforeAutospacing="0" w:after="0" w:afterAutospacing="0" w:line="360" w:lineRule="auto"/>
              <w:ind w:left="0" w:right="0"/>
              <w:rPr>
                <w:rFonts w:hint="default" w:ascii="仿宋_GB2312" w:hAnsi="宋体" w:eastAsia="仿宋_GB2312" w:cs="宋体"/>
                <w:kern w:val="0"/>
                <w:sz w:val="24"/>
                <w:szCs w:val="24"/>
              </w:rPr>
            </w:pPr>
            <w:r>
              <w:rPr>
                <w:rFonts w:hint="eastAsia" w:ascii="仿宋_GB2312" w:hAnsi="宋体" w:eastAsia="仿宋_GB2312" w:cs="宋体"/>
                <w:kern w:val="0"/>
                <w:sz w:val="24"/>
                <w:szCs w:val="24"/>
              </w:rPr>
              <w:t>按图纸要求选用</w:t>
            </w:r>
            <w:r>
              <w:rPr>
                <w:rFonts w:hint="default" w:ascii="仿宋_GB2312" w:hAnsi="宋体" w:eastAsia="仿宋_GB2312" w:cs="宋体"/>
                <w:kern w:val="0"/>
                <w:sz w:val="24"/>
                <w:szCs w:val="24"/>
              </w:rPr>
              <w:t>，</w:t>
            </w:r>
            <w:r>
              <w:rPr>
                <w:rFonts w:hint="eastAsia" w:ascii="仿宋_GB2312" w:hAnsi="宋体" w:eastAsia="仿宋_GB2312" w:cs="宋体"/>
                <w:kern w:val="0"/>
                <w:sz w:val="24"/>
                <w:szCs w:val="24"/>
              </w:rPr>
              <w:t>配</w:t>
            </w:r>
            <w:r>
              <w:rPr>
                <w:rFonts w:hint="default" w:ascii="仿宋_GB2312" w:hAnsi="宋体" w:eastAsia="仿宋_GB2312" w:cs="宋体"/>
                <w:kern w:val="0"/>
                <w:sz w:val="24"/>
                <w:szCs w:val="24"/>
              </w:rPr>
              <w:t>RS485</w:t>
            </w:r>
            <w:r>
              <w:rPr>
                <w:rFonts w:hint="eastAsia" w:ascii="仿宋_GB2312" w:hAnsi="宋体" w:eastAsia="仿宋_GB2312" w:cs="宋体"/>
                <w:kern w:val="0"/>
                <w:sz w:val="24"/>
                <w:szCs w:val="24"/>
              </w:rPr>
              <w:t>网络接口，采用</w:t>
            </w:r>
            <w:r>
              <w:rPr>
                <w:rFonts w:hint="default" w:ascii="仿宋_GB2312" w:hAnsi="宋体" w:eastAsia="仿宋_GB2312" w:cs="宋体"/>
                <w:kern w:val="0"/>
                <w:sz w:val="24"/>
                <w:szCs w:val="24"/>
              </w:rPr>
              <w:t>MODBUS</w:t>
            </w:r>
            <w:r>
              <w:rPr>
                <w:rFonts w:hint="eastAsia" w:ascii="仿宋_GB2312" w:hAnsi="宋体" w:eastAsia="仿宋_GB2312" w:cs="宋体"/>
                <w:kern w:val="0"/>
                <w:sz w:val="24"/>
                <w:szCs w:val="24"/>
              </w:rPr>
              <w:t>协议</w:t>
            </w:r>
            <w:r>
              <w:rPr>
                <w:rFonts w:hint="default" w:ascii="仿宋_GB2312" w:hAnsi="宋体" w:eastAsia="仿宋_GB2312" w:cs="宋体"/>
                <w:kern w:val="0"/>
                <w:sz w:val="24"/>
                <w:szCs w:val="24"/>
              </w:rPr>
              <w:t xml:space="preserve"> </w:t>
            </w:r>
          </w:p>
        </w:tc>
      </w:tr>
      <w:tr w14:paraId="217AB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728" w:type="dxa"/>
            <w:noWrap w:val="0"/>
            <w:vAlign w:val="center"/>
          </w:tcPr>
          <w:p w14:paraId="2AE5039C">
            <w:pPr>
              <w:keepNext w:val="0"/>
              <w:keepLines w:val="0"/>
              <w:suppressLineNumbers w:val="0"/>
              <w:spacing w:before="0" w:beforeAutospacing="0" w:after="0" w:afterAutospacing="0" w:line="360" w:lineRule="auto"/>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14</w:t>
            </w:r>
          </w:p>
        </w:tc>
        <w:tc>
          <w:tcPr>
            <w:tcW w:w="2074" w:type="dxa"/>
            <w:noWrap w:val="0"/>
            <w:vAlign w:val="center"/>
          </w:tcPr>
          <w:p w14:paraId="4BEF0A61">
            <w:pPr>
              <w:keepNext w:val="0"/>
              <w:keepLines w:val="0"/>
              <w:suppressLineNumbers w:val="0"/>
              <w:spacing w:before="0" w:beforeAutospacing="0" w:after="0" w:afterAutospacing="0" w:line="360" w:lineRule="auto"/>
              <w:ind w:left="0" w:right="0"/>
              <w:jc w:val="center"/>
              <w:rPr>
                <w:rFonts w:hint="default" w:ascii="仿宋_GB2312" w:hAnsi="宋体" w:eastAsia="仿宋_GB2312" w:cs="宋体"/>
                <w:kern w:val="0"/>
                <w:sz w:val="24"/>
                <w:szCs w:val="24"/>
              </w:rPr>
            </w:pPr>
            <w:r>
              <w:rPr>
                <w:rFonts w:hint="eastAsia" w:ascii="仿宋_GB2312" w:hAnsi="宋体" w:eastAsia="仿宋_GB2312" w:cs="宋体"/>
                <w:kern w:val="0"/>
                <w:sz w:val="24"/>
                <w:szCs w:val="24"/>
              </w:rPr>
              <w:t>低压母线槽</w:t>
            </w:r>
          </w:p>
        </w:tc>
        <w:tc>
          <w:tcPr>
            <w:tcW w:w="1559" w:type="dxa"/>
            <w:noWrap w:val="0"/>
            <w:vAlign w:val="center"/>
          </w:tcPr>
          <w:p w14:paraId="7D68E229">
            <w:pPr>
              <w:keepNext w:val="0"/>
              <w:keepLines w:val="0"/>
              <w:suppressLineNumbers w:val="0"/>
              <w:spacing w:before="0" w:beforeAutospacing="0" w:after="0" w:afterAutospacing="0" w:line="360" w:lineRule="auto"/>
              <w:ind w:left="0" w:right="0"/>
              <w:jc w:val="center"/>
              <w:rPr>
                <w:rFonts w:hint="eastAsia" w:ascii="仿宋_GB2312" w:hAnsi="宋体" w:eastAsia="仿宋_GB2312" w:cs="宋体"/>
                <w:kern w:val="0"/>
                <w:sz w:val="24"/>
                <w:szCs w:val="24"/>
              </w:rPr>
            </w:pPr>
          </w:p>
        </w:tc>
        <w:tc>
          <w:tcPr>
            <w:tcW w:w="1984" w:type="dxa"/>
            <w:noWrap w:val="0"/>
            <w:vAlign w:val="center"/>
          </w:tcPr>
          <w:p w14:paraId="31EDA277">
            <w:pPr>
              <w:keepNext w:val="0"/>
              <w:keepLines w:val="0"/>
              <w:suppressLineNumbers w:val="0"/>
              <w:spacing w:before="0" w:beforeAutospacing="0" w:after="0" w:afterAutospacing="0" w:line="360" w:lineRule="auto"/>
              <w:ind w:left="0" w:right="0"/>
              <w:jc w:val="center"/>
              <w:rPr>
                <w:rFonts w:hint="default" w:ascii="仿宋_GB2312" w:hAnsi="宋体" w:eastAsia="仿宋_GB2312" w:cs="宋体"/>
                <w:kern w:val="0"/>
                <w:sz w:val="24"/>
                <w:szCs w:val="24"/>
              </w:rPr>
            </w:pPr>
          </w:p>
        </w:tc>
        <w:tc>
          <w:tcPr>
            <w:tcW w:w="3306" w:type="dxa"/>
            <w:noWrap w:val="0"/>
            <w:vAlign w:val="center"/>
          </w:tcPr>
          <w:p w14:paraId="1775F19F">
            <w:pPr>
              <w:keepNext w:val="0"/>
              <w:keepLines w:val="0"/>
              <w:suppressLineNumbers w:val="0"/>
              <w:spacing w:before="0" w:beforeAutospacing="0" w:after="0" w:afterAutospacing="0" w:line="360" w:lineRule="auto"/>
              <w:ind w:left="0" w:right="0"/>
              <w:rPr>
                <w:rFonts w:hint="default" w:ascii="仿宋_GB2312" w:hAnsi="宋体" w:eastAsia="仿宋_GB2312" w:cs="宋体"/>
                <w:kern w:val="0"/>
                <w:sz w:val="24"/>
                <w:szCs w:val="24"/>
              </w:rPr>
            </w:pPr>
          </w:p>
        </w:tc>
      </w:tr>
      <w:tr w14:paraId="04A5F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728" w:type="dxa"/>
            <w:noWrap w:val="0"/>
            <w:vAlign w:val="center"/>
          </w:tcPr>
          <w:p w14:paraId="0A38AD10">
            <w:pPr>
              <w:keepNext w:val="0"/>
              <w:keepLines w:val="0"/>
              <w:suppressLineNumbers w:val="0"/>
              <w:spacing w:before="0" w:beforeAutospacing="0" w:after="0" w:afterAutospacing="0" w:line="360" w:lineRule="auto"/>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15</w:t>
            </w:r>
          </w:p>
        </w:tc>
        <w:tc>
          <w:tcPr>
            <w:tcW w:w="2074" w:type="dxa"/>
            <w:noWrap w:val="0"/>
            <w:vAlign w:val="center"/>
          </w:tcPr>
          <w:p w14:paraId="4D22AFB9">
            <w:pPr>
              <w:keepNext w:val="0"/>
              <w:keepLines w:val="0"/>
              <w:suppressLineNumbers w:val="0"/>
              <w:spacing w:before="0" w:beforeAutospacing="0" w:after="0" w:afterAutospacing="0" w:line="360" w:lineRule="auto"/>
              <w:ind w:left="0" w:right="0"/>
              <w:jc w:val="center"/>
              <w:rPr>
                <w:rFonts w:hint="default" w:ascii="仿宋_GB2312" w:hAnsi="宋体" w:eastAsia="仿宋_GB2312" w:cs="宋体"/>
                <w:kern w:val="0"/>
                <w:sz w:val="24"/>
                <w:szCs w:val="24"/>
              </w:rPr>
            </w:pPr>
            <w:r>
              <w:rPr>
                <w:rFonts w:hint="eastAsia" w:ascii="仿宋_GB2312" w:hAnsi="宋体" w:eastAsia="仿宋_GB2312" w:cs="宋体"/>
                <w:kern w:val="0"/>
                <w:sz w:val="24"/>
                <w:szCs w:val="24"/>
              </w:rPr>
              <w:t>电线、电力电缆、控制电缆</w:t>
            </w:r>
          </w:p>
        </w:tc>
        <w:tc>
          <w:tcPr>
            <w:tcW w:w="1559" w:type="dxa"/>
            <w:noWrap w:val="0"/>
            <w:vAlign w:val="center"/>
          </w:tcPr>
          <w:p w14:paraId="1D6EAB55">
            <w:pPr>
              <w:keepNext w:val="0"/>
              <w:keepLines w:val="0"/>
              <w:widowControl/>
              <w:suppressLineNumbers w:val="0"/>
              <w:spacing w:before="0" w:beforeAutospacing="0" w:after="0" w:afterAutospacing="0"/>
              <w:ind w:left="0" w:right="0"/>
              <w:rPr>
                <w:rFonts w:hint="default" w:ascii="仿宋_GB2312" w:hAnsi="宋体" w:eastAsia="仿宋_GB2312" w:cs="宋体"/>
                <w:kern w:val="0"/>
                <w:sz w:val="24"/>
                <w:szCs w:val="24"/>
              </w:rPr>
            </w:pPr>
          </w:p>
        </w:tc>
        <w:tc>
          <w:tcPr>
            <w:tcW w:w="1984" w:type="dxa"/>
            <w:noWrap w:val="0"/>
            <w:vAlign w:val="center"/>
          </w:tcPr>
          <w:p w14:paraId="65C9E3F4">
            <w:pPr>
              <w:keepNext w:val="0"/>
              <w:keepLines w:val="0"/>
              <w:suppressLineNumbers w:val="0"/>
              <w:spacing w:before="0" w:beforeAutospacing="0" w:after="0" w:afterAutospacing="0" w:line="360" w:lineRule="auto"/>
              <w:ind w:left="0" w:right="0"/>
              <w:jc w:val="center"/>
              <w:rPr>
                <w:rFonts w:hint="default" w:ascii="仿宋_GB2312" w:hAnsi="宋体" w:eastAsia="仿宋_GB2312" w:cs="宋体"/>
                <w:kern w:val="0"/>
                <w:sz w:val="24"/>
                <w:szCs w:val="24"/>
              </w:rPr>
            </w:pPr>
          </w:p>
        </w:tc>
        <w:tc>
          <w:tcPr>
            <w:tcW w:w="3306" w:type="dxa"/>
            <w:noWrap w:val="0"/>
            <w:vAlign w:val="center"/>
          </w:tcPr>
          <w:p w14:paraId="05B1599B">
            <w:pPr>
              <w:keepNext w:val="0"/>
              <w:keepLines w:val="0"/>
              <w:suppressLineNumbers w:val="0"/>
              <w:spacing w:before="0" w:beforeAutospacing="0" w:after="0" w:afterAutospacing="0" w:line="360" w:lineRule="auto"/>
              <w:ind w:left="0" w:right="0"/>
              <w:rPr>
                <w:rFonts w:hint="default" w:ascii="仿宋_GB2312" w:hAnsi="宋体" w:eastAsia="仿宋_GB2312" w:cs="宋体"/>
                <w:kern w:val="0"/>
                <w:sz w:val="24"/>
                <w:szCs w:val="24"/>
              </w:rPr>
            </w:pPr>
            <w:r>
              <w:rPr>
                <w:rFonts w:hint="default" w:ascii="仿宋_GB2312" w:hAnsi="宋体" w:eastAsia="仿宋_GB2312" w:cs="宋体"/>
                <w:kern w:val="0"/>
                <w:sz w:val="24"/>
                <w:szCs w:val="24"/>
              </w:rPr>
              <w:t>按图纸</w:t>
            </w:r>
          </w:p>
        </w:tc>
      </w:tr>
      <w:tr w14:paraId="46B66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728" w:type="dxa"/>
            <w:noWrap w:val="0"/>
            <w:vAlign w:val="center"/>
          </w:tcPr>
          <w:p w14:paraId="5AA794AC">
            <w:pPr>
              <w:keepNext w:val="0"/>
              <w:keepLines w:val="0"/>
              <w:suppressLineNumbers w:val="0"/>
              <w:spacing w:before="0" w:beforeAutospacing="0" w:after="0" w:afterAutospacing="0" w:line="360" w:lineRule="auto"/>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16</w:t>
            </w:r>
          </w:p>
        </w:tc>
        <w:tc>
          <w:tcPr>
            <w:tcW w:w="2074" w:type="dxa"/>
            <w:noWrap w:val="0"/>
            <w:vAlign w:val="center"/>
          </w:tcPr>
          <w:p w14:paraId="50EECEFD">
            <w:pPr>
              <w:keepNext w:val="0"/>
              <w:keepLines w:val="0"/>
              <w:suppressLineNumbers w:val="0"/>
              <w:spacing w:before="0" w:beforeAutospacing="0" w:after="0" w:afterAutospacing="0" w:line="360" w:lineRule="auto"/>
              <w:ind w:left="0" w:right="0"/>
              <w:jc w:val="center"/>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rPr>
              <w:t>电缆桥架</w:t>
            </w:r>
            <w:r>
              <w:rPr>
                <w:rFonts w:hint="eastAsia" w:ascii="仿宋_GB2312" w:hAnsi="宋体" w:eastAsia="仿宋_GB2312" w:cs="宋体"/>
                <w:kern w:val="0"/>
                <w:sz w:val="24"/>
                <w:szCs w:val="24"/>
                <w:lang w:eastAsia="zh-CN"/>
              </w:rPr>
              <w:t>、</w:t>
            </w:r>
            <w:r>
              <w:rPr>
                <w:rFonts w:hint="eastAsia" w:ascii="仿宋_GB2312" w:hAnsi="宋体" w:eastAsia="仿宋_GB2312" w:cs="宋体"/>
                <w:kern w:val="0"/>
                <w:sz w:val="24"/>
                <w:szCs w:val="24"/>
                <w:lang w:val="en-US" w:eastAsia="zh-CN"/>
              </w:rPr>
              <w:t>线槽</w:t>
            </w:r>
          </w:p>
        </w:tc>
        <w:tc>
          <w:tcPr>
            <w:tcW w:w="1559" w:type="dxa"/>
            <w:noWrap w:val="0"/>
            <w:vAlign w:val="center"/>
          </w:tcPr>
          <w:p w14:paraId="11FD703D">
            <w:pPr>
              <w:keepNext w:val="0"/>
              <w:keepLines w:val="0"/>
              <w:widowControl/>
              <w:suppressLineNumbers w:val="0"/>
              <w:spacing w:before="0" w:beforeAutospacing="0" w:after="0" w:afterAutospacing="0"/>
              <w:ind w:left="0" w:right="0"/>
              <w:rPr>
                <w:rFonts w:hint="default" w:ascii="仿宋_GB2312" w:hAnsi="宋体" w:eastAsia="仿宋_GB2312" w:cs="宋体"/>
                <w:kern w:val="0"/>
                <w:sz w:val="24"/>
                <w:szCs w:val="24"/>
              </w:rPr>
            </w:pPr>
          </w:p>
        </w:tc>
        <w:tc>
          <w:tcPr>
            <w:tcW w:w="1984" w:type="dxa"/>
            <w:noWrap w:val="0"/>
            <w:vAlign w:val="center"/>
          </w:tcPr>
          <w:p w14:paraId="0B0C92CC">
            <w:pPr>
              <w:keepNext w:val="0"/>
              <w:keepLines w:val="0"/>
              <w:suppressLineNumbers w:val="0"/>
              <w:spacing w:before="0" w:beforeAutospacing="0" w:after="0" w:afterAutospacing="0" w:line="360" w:lineRule="auto"/>
              <w:ind w:left="0" w:right="0"/>
              <w:jc w:val="center"/>
              <w:rPr>
                <w:rFonts w:hint="default" w:ascii="仿宋_GB2312" w:hAnsi="宋体" w:eastAsia="仿宋_GB2312" w:cs="宋体"/>
                <w:kern w:val="0"/>
                <w:sz w:val="24"/>
                <w:szCs w:val="24"/>
              </w:rPr>
            </w:pPr>
          </w:p>
        </w:tc>
        <w:tc>
          <w:tcPr>
            <w:tcW w:w="3306" w:type="dxa"/>
            <w:noWrap w:val="0"/>
            <w:vAlign w:val="center"/>
          </w:tcPr>
          <w:p w14:paraId="3DC8A9EC">
            <w:pPr>
              <w:keepNext w:val="0"/>
              <w:keepLines w:val="0"/>
              <w:suppressLineNumbers w:val="0"/>
              <w:spacing w:before="0" w:beforeAutospacing="0" w:after="0" w:afterAutospacing="0" w:line="360" w:lineRule="auto"/>
              <w:ind w:left="0" w:right="0"/>
              <w:rPr>
                <w:rFonts w:hint="default" w:ascii="仿宋_GB2312" w:hAnsi="宋体" w:eastAsia="仿宋_GB2312" w:cs="宋体"/>
                <w:kern w:val="0"/>
                <w:sz w:val="24"/>
                <w:szCs w:val="24"/>
              </w:rPr>
            </w:pPr>
            <w:r>
              <w:rPr>
                <w:rFonts w:hint="default" w:ascii="仿宋_GB2312" w:hAnsi="宋体" w:eastAsia="仿宋_GB2312" w:cs="宋体"/>
                <w:kern w:val="0"/>
                <w:sz w:val="24"/>
                <w:szCs w:val="24"/>
              </w:rPr>
              <w:t>按图纸</w:t>
            </w:r>
          </w:p>
        </w:tc>
      </w:tr>
      <w:tr w14:paraId="1C1CE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728" w:type="dxa"/>
            <w:noWrap w:val="0"/>
            <w:vAlign w:val="center"/>
          </w:tcPr>
          <w:p w14:paraId="624C2CBB">
            <w:pPr>
              <w:keepNext w:val="0"/>
              <w:keepLines w:val="0"/>
              <w:suppressLineNumbers w:val="0"/>
              <w:spacing w:before="0" w:beforeAutospacing="0" w:after="0" w:afterAutospacing="0" w:line="360" w:lineRule="auto"/>
              <w:ind w:left="0" w:right="0"/>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17</w:t>
            </w:r>
          </w:p>
        </w:tc>
        <w:tc>
          <w:tcPr>
            <w:tcW w:w="2074" w:type="dxa"/>
            <w:noWrap w:val="0"/>
            <w:vAlign w:val="center"/>
          </w:tcPr>
          <w:p w14:paraId="14819AF6">
            <w:pPr>
              <w:keepNext w:val="0"/>
              <w:keepLines w:val="0"/>
              <w:suppressLineNumbers w:val="0"/>
              <w:spacing w:before="0" w:beforeAutospacing="0" w:after="0" w:afterAutospacing="0" w:line="360" w:lineRule="auto"/>
              <w:ind w:left="0" w:right="0"/>
              <w:jc w:val="center"/>
              <w:rPr>
                <w:rFonts w:hint="default" w:ascii="仿宋_GB2312" w:hAnsi="宋体" w:eastAsia="仿宋_GB2312" w:cs="宋体"/>
                <w:kern w:val="0"/>
                <w:sz w:val="24"/>
                <w:szCs w:val="24"/>
              </w:rPr>
            </w:pPr>
            <w:r>
              <w:rPr>
                <w:rFonts w:hint="default" w:ascii="仿宋_GB2312" w:hAnsi="宋体" w:eastAsia="仿宋_GB2312" w:cs="宋体"/>
                <w:kern w:val="0"/>
                <w:sz w:val="24"/>
                <w:szCs w:val="24"/>
              </w:rPr>
              <w:t>电力监控系统</w:t>
            </w:r>
          </w:p>
        </w:tc>
        <w:tc>
          <w:tcPr>
            <w:tcW w:w="1559" w:type="dxa"/>
            <w:noWrap w:val="0"/>
            <w:vAlign w:val="center"/>
          </w:tcPr>
          <w:p w14:paraId="4B1974FF">
            <w:pPr>
              <w:keepNext w:val="0"/>
              <w:keepLines w:val="0"/>
              <w:widowControl/>
              <w:suppressLineNumbers w:val="0"/>
              <w:spacing w:before="0" w:beforeAutospacing="0" w:after="0" w:afterAutospacing="0"/>
              <w:ind w:left="0" w:right="0"/>
              <w:rPr>
                <w:rFonts w:hint="default" w:ascii="仿宋_GB2312" w:hAnsi="宋体" w:eastAsia="仿宋_GB2312" w:cs="宋体"/>
                <w:kern w:val="0"/>
                <w:sz w:val="24"/>
                <w:szCs w:val="24"/>
              </w:rPr>
            </w:pPr>
          </w:p>
        </w:tc>
        <w:tc>
          <w:tcPr>
            <w:tcW w:w="1984" w:type="dxa"/>
            <w:noWrap w:val="0"/>
            <w:vAlign w:val="center"/>
          </w:tcPr>
          <w:p w14:paraId="44BDD6F0">
            <w:pPr>
              <w:keepNext w:val="0"/>
              <w:keepLines w:val="0"/>
              <w:suppressLineNumbers w:val="0"/>
              <w:spacing w:before="0" w:beforeAutospacing="0" w:after="0" w:afterAutospacing="0" w:line="360" w:lineRule="auto"/>
              <w:ind w:left="0" w:right="0"/>
              <w:jc w:val="center"/>
              <w:rPr>
                <w:rFonts w:hint="default" w:ascii="仿宋_GB2312" w:hAnsi="宋体" w:eastAsia="仿宋_GB2312" w:cs="宋体"/>
                <w:kern w:val="0"/>
                <w:sz w:val="24"/>
                <w:szCs w:val="24"/>
              </w:rPr>
            </w:pPr>
          </w:p>
        </w:tc>
        <w:tc>
          <w:tcPr>
            <w:tcW w:w="3306" w:type="dxa"/>
            <w:noWrap w:val="0"/>
            <w:vAlign w:val="center"/>
          </w:tcPr>
          <w:p w14:paraId="6303824F">
            <w:pPr>
              <w:keepNext w:val="0"/>
              <w:keepLines w:val="0"/>
              <w:suppressLineNumbers w:val="0"/>
              <w:spacing w:before="0" w:beforeAutospacing="0" w:after="0" w:afterAutospacing="0" w:line="360" w:lineRule="auto"/>
              <w:ind w:left="0" w:right="0"/>
              <w:rPr>
                <w:rFonts w:hint="default" w:ascii="仿宋_GB2312" w:hAnsi="宋体" w:eastAsia="仿宋_GB2312" w:cs="宋体"/>
                <w:kern w:val="0"/>
                <w:sz w:val="24"/>
                <w:szCs w:val="24"/>
              </w:rPr>
            </w:pPr>
          </w:p>
        </w:tc>
      </w:tr>
    </w:tbl>
    <w:p w14:paraId="38A5A1C2">
      <w:pPr>
        <w:spacing w:before="60" w:line="360" w:lineRule="auto"/>
        <w:rPr>
          <w:rFonts w:hint="eastAsia" w:ascii="仿宋_GB2312" w:hAnsi="黑体" w:eastAsia="仿宋_GB2312" w:cs="Arial"/>
          <w:b/>
          <w:bCs/>
          <w:sz w:val="24"/>
          <w:szCs w:val="24"/>
        </w:rPr>
      </w:pPr>
      <w:r>
        <w:rPr>
          <w:rFonts w:hint="eastAsia" w:ascii="仿宋_GB2312" w:hAnsi="黑体" w:eastAsia="仿宋_GB2312" w:cs="Arial"/>
          <w:b/>
          <w:bCs/>
          <w:sz w:val="24"/>
          <w:szCs w:val="24"/>
        </w:rPr>
        <w:t>注：具体的范围、技术规格及技术图纸详见合同附件。</w:t>
      </w:r>
    </w:p>
    <w:p w14:paraId="0876F181">
      <w:pPr>
        <w:widowControl/>
        <w:spacing w:line="360" w:lineRule="auto"/>
        <w:ind w:firstLine="480" w:firstLineChars="200"/>
        <w:rPr>
          <w:rFonts w:hint="eastAsia" w:ascii="仿宋_GB2312" w:hAnsi="宋体" w:eastAsia="仿宋_GB2312" w:cs="宋体"/>
          <w:kern w:val="0"/>
          <w:sz w:val="24"/>
          <w:szCs w:val="24"/>
        </w:rPr>
      </w:pPr>
    </w:p>
    <w:p w14:paraId="1E601038">
      <w:pPr>
        <w:widowControl/>
        <w:spacing w:line="360" w:lineRule="auto"/>
        <w:ind w:firstLine="482" w:firstLineChars="200"/>
        <w:jc w:val="left"/>
        <w:outlineLvl w:val="1"/>
        <w:rPr>
          <w:rFonts w:hint="eastAsia" w:ascii="仿宋_GB2312" w:hAnsi="宋体" w:eastAsia="仿宋_GB2312" w:cs="Arial"/>
          <w:b/>
          <w:bCs/>
          <w:kern w:val="0"/>
          <w:sz w:val="24"/>
          <w:szCs w:val="24"/>
        </w:rPr>
      </w:pPr>
      <w:r>
        <w:rPr>
          <w:rFonts w:hint="eastAsia" w:ascii="仿宋_GB2312" w:hAnsi="黑体" w:eastAsia="仿宋_GB2312" w:cs="Arial"/>
          <w:b/>
          <w:bCs/>
          <w:kern w:val="0"/>
          <w:sz w:val="24"/>
          <w:szCs w:val="24"/>
        </w:rPr>
        <w:t>第六条 工程质量和检查验收</w:t>
      </w:r>
    </w:p>
    <w:p w14:paraId="3B3C90F1">
      <w:pPr>
        <w:spacing w:line="360" w:lineRule="auto"/>
        <w:ind w:firstLine="480" w:firstLineChars="200"/>
        <w:rPr>
          <w:rFonts w:hint="eastAsia" w:ascii="仿宋_GB2312" w:hAnsi="仿宋_GB2312" w:eastAsia="仿宋_GB2312"/>
          <w:sz w:val="24"/>
          <w:szCs w:val="20"/>
        </w:rPr>
      </w:pPr>
      <w:r>
        <w:rPr>
          <w:rFonts w:hint="eastAsia" w:ascii="仿宋_GB2312" w:hAnsi="仿宋_GB2312" w:eastAsia="仿宋_GB2312"/>
          <w:sz w:val="24"/>
          <w:szCs w:val="20"/>
        </w:rPr>
        <w:t>6.1工程质量</w:t>
      </w:r>
    </w:p>
    <w:p w14:paraId="5C598BB9">
      <w:pPr>
        <w:spacing w:line="360" w:lineRule="auto"/>
        <w:ind w:firstLine="480" w:firstLineChars="200"/>
        <w:rPr>
          <w:rFonts w:hint="eastAsia" w:ascii="仿宋_GB2312" w:hAnsi="宋体" w:eastAsia="仿宋_GB2312" w:cs="宋体"/>
          <w:kern w:val="0"/>
          <w:sz w:val="24"/>
          <w:szCs w:val="20"/>
        </w:rPr>
      </w:pPr>
      <w:r>
        <w:rPr>
          <w:rFonts w:hint="eastAsia" w:ascii="仿宋_GB2312" w:hAnsi="宋体" w:eastAsia="仿宋_GB2312" w:cs="宋体"/>
          <w:kern w:val="0"/>
          <w:sz w:val="24"/>
          <w:szCs w:val="20"/>
        </w:rPr>
        <w:t>6.1.1 项目竣工验收达合格工程，并符合供电部门的验收标准。工程质量应当达到国家、行业及供电部门的质量标准，质量标准的评定以国家或行业的质量检验评定标准为依据。因乙方原因工程质量达不到约定的质量标准，乙方承担违约责任。</w:t>
      </w:r>
    </w:p>
    <w:p w14:paraId="004441F0">
      <w:pPr>
        <w:spacing w:line="360" w:lineRule="auto"/>
        <w:ind w:firstLine="480" w:firstLineChars="200"/>
        <w:rPr>
          <w:rFonts w:hint="eastAsia" w:ascii="仿宋_GB2312" w:hAnsi="宋体" w:eastAsia="仿宋_GB2312" w:cs="宋体"/>
          <w:kern w:val="0"/>
          <w:sz w:val="24"/>
          <w:szCs w:val="20"/>
        </w:rPr>
      </w:pPr>
      <w:r>
        <w:rPr>
          <w:rFonts w:hint="eastAsia" w:ascii="仿宋_GB2312" w:hAnsi="宋体" w:eastAsia="仿宋_GB2312" w:cs="宋体"/>
          <w:kern w:val="0"/>
          <w:sz w:val="24"/>
          <w:szCs w:val="20"/>
        </w:rPr>
        <w:t>6.1.2双方对工程质量有争议，由双方同意的工程质量检测机构鉴定，所需费用及由此造成的损失，由责任方承担。双方均有责任，由双方根据其责任分别承担。</w:t>
      </w:r>
    </w:p>
    <w:p w14:paraId="08971737">
      <w:pPr>
        <w:spacing w:line="360" w:lineRule="auto"/>
        <w:ind w:firstLine="480" w:firstLineChars="200"/>
        <w:rPr>
          <w:rFonts w:hint="eastAsia" w:ascii="仿宋_GB2312" w:hAnsi="宋体" w:eastAsia="仿宋_GB2312" w:cs="宋体"/>
          <w:kern w:val="0"/>
          <w:sz w:val="24"/>
          <w:szCs w:val="20"/>
        </w:rPr>
      </w:pPr>
      <w:r>
        <w:rPr>
          <w:rFonts w:hint="eastAsia" w:ascii="仿宋_GB2312" w:hAnsi="宋体" w:eastAsia="仿宋_GB2312" w:cs="宋体"/>
          <w:kern w:val="0"/>
          <w:sz w:val="24"/>
          <w:szCs w:val="20"/>
        </w:rPr>
        <w:t>6.1.3</w:t>
      </w:r>
      <w:r>
        <w:rPr>
          <w:rFonts w:hint="eastAsia" w:ascii="仿宋_GB2312" w:hAnsi="仿宋_GB2312" w:eastAsia="仿宋_GB2312"/>
          <w:sz w:val="24"/>
          <w:szCs w:val="20"/>
        </w:rPr>
        <w:t>工程质量达不到约定标准的，甲方要求乙方拆除和重新施工，乙方必须按要求拆除和重新施工，直到符合约定标准。因乙方原因达不到约定标准，由乙方承担拆除和重新施工的费用，工期不予顺延，若因此导致甲方损失的，甲方有权要求乙方赔偿。</w:t>
      </w:r>
    </w:p>
    <w:p w14:paraId="0B8AF372">
      <w:pPr>
        <w:widowControl/>
        <w:spacing w:after="200" w:line="360" w:lineRule="auto"/>
        <w:ind w:firstLine="480" w:firstLineChars="200"/>
        <w:contextualSpacing/>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6.2</w:t>
      </w:r>
      <w:r>
        <w:rPr>
          <w:rFonts w:hint="eastAsia" w:ascii="仿宋_GB2312" w:hAnsi="仿宋_GB2312" w:eastAsia="仿宋_GB2312"/>
          <w:kern w:val="0"/>
          <w:sz w:val="24"/>
          <w:szCs w:val="24"/>
        </w:rPr>
        <w:t>隐蔽工程和中间验收</w:t>
      </w:r>
    </w:p>
    <w:p w14:paraId="19FD9584">
      <w:pPr>
        <w:widowControl/>
        <w:spacing w:after="200" w:line="360" w:lineRule="auto"/>
        <w:ind w:firstLine="480" w:firstLineChars="200"/>
        <w:contextualSpacing/>
        <w:jc w:val="left"/>
        <w:rPr>
          <w:rFonts w:ascii="仿宋_GB2312" w:hAnsi="宋体" w:eastAsia="仿宋_GB2312" w:cs="宋体"/>
          <w:kern w:val="0"/>
          <w:sz w:val="24"/>
          <w:szCs w:val="24"/>
        </w:rPr>
      </w:pPr>
      <w:r>
        <w:rPr>
          <w:rFonts w:hint="eastAsia" w:ascii="仿宋_GB2312" w:hAnsi="宋体" w:eastAsia="仿宋_GB2312" w:cs="宋体"/>
          <w:kern w:val="0"/>
          <w:sz w:val="24"/>
          <w:szCs w:val="24"/>
        </w:rPr>
        <w:t>6.2.1工程具备覆盖、掩盖条件或达到中间验收部位以前，</w:t>
      </w:r>
      <w:bookmarkStart w:id="7" w:name="_Hlk510951039"/>
      <w:r>
        <w:rPr>
          <w:rFonts w:hint="eastAsia" w:ascii="仿宋_GB2312" w:hAnsi="宋体" w:eastAsia="仿宋_GB2312" w:cs="宋体"/>
          <w:kern w:val="0"/>
          <w:sz w:val="24"/>
          <w:szCs w:val="24"/>
        </w:rPr>
        <w:t>乙方</w:t>
      </w:r>
      <w:bookmarkEnd w:id="7"/>
      <w:r>
        <w:rPr>
          <w:rFonts w:hint="eastAsia" w:ascii="仿宋_GB2312" w:hAnsi="宋体" w:eastAsia="仿宋_GB2312" w:cs="宋体"/>
          <w:kern w:val="0"/>
          <w:sz w:val="24"/>
          <w:szCs w:val="24"/>
        </w:rPr>
        <w:t>自检合格，并提前24小时提交覆盖、掩盖工程或中间验收资料，并书面通知甲方参加检查（通知应包括但不限于拟隐蔽的内容、检查时间和地点、乙方自检记录），经甲方验收合格，并在验收记录上签字后，方可进行隐蔽和继续施工。工程质量符合国家规范要求，甲方</w:t>
      </w:r>
      <w:r>
        <w:rPr>
          <w:rFonts w:hint="eastAsia" w:ascii="仿宋_GB2312" w:hAnsi="宋体" w:eastAsia="仿宋_GB2312" w:cs="宋体"/>
          <w:kern w:val="0"/>
          <w:sz w:val="24"/>
          <w:szCs w:val="24"/>
          <w:lang w:val="en-US" w:eastAsia="zh-CN"/>
        </w:rPr>
        <w:t>和监理、行政主管机关</w:t>
      </w:r>
      <w:r>
        <w:rPr>
          <w:rFonts w:hint="eastAsia" w:ascii="仿宋_GB2312" w:hAnsi="宋体" w:eastAsia="仿宋_GB2312" w:cs="宋体"/>
          <w:kern w:val="0"/>
          <w:sz w:val="24"/>
          <w:szCs w:val="24"/>
        </w:rPr>
        <w:t>已参加验收且验收合格。验收不合格，乙方在限定时间内修改后重新验收，工期不予顺延。检验不应影响施工正常进行。检验不合格的，影响正常施工的费用以及所产生的一切责任由乙方承担。若乙方未通知甲方验收检查，擅自进行隐蔽和继续施工的，甲方有权要求乙方重新将覆盖、掩盖部分打开，并接受甲方验收检查，因此产生的费用由乙方自行承担，且工期不予顺延。</w:t>
      </w:r>
    </w:p>
    <w:p w14:paraId="1A15C83A">
      <w:pPr>
        <w:widowControl/>
        <w:tabs>
          <w:tab w:val="left" w:pos="540"/>
        </w:tabs>
        <w:spacing w:line="360" w:lineRule="auto"/>
        <w:ind w:firstLine="600" w:firstLineChars="250"/>
        <w:rPr>
          <w:rFonts w:ascii="仿宋_GB2312" w:hAnsi="宋体" w:eastAsia="仿宋_GB2312" w:cs="宋体"/>
          <w:kern w:val="0"/>
          <w:sz w:val="24"/>
          <w:szCs w:val="24"/>
        </w:rPr>
      </w:pPr>
      <w:r>
        <w:rPr>
          <w:rFonts w:hint="eastAsia" w:ascii="仿宋_GB2312" w:hAnsi="宋体" w:eastAsia="仿宋_GB2312" w:cs="宋体"/>
          <w:kern w:val="0"/>
          <w:sz w:val="24"/>
          <w:szCs w:val="24"/>
        </w:rPr>
        <w:t>6.2.2甲方或其代表有权检验和测试货物，以确认货物是否符合合同规格的要求，并且不承担额外的费用，乙方应无条件提供相应配合。甲方将及时以书面形式把进行检验和甲方测试代表的身份通知乙方。</w:t>
      </w:r>
    </w:p>
    <w:p w14:paraId="3FB581C3">
      <w:pPr>
        <w:widowControl/>
        <w:tabs>
          <w:tab w:val="left" w:pos="540"/>
        </w:tabs>
        <w:spacing w:line="360" w:lineRule="auto"/>
        <w:ind w:firstLine="480" w:firstLineChars="200"/>
        <w:rPr>
          <w:rFonts w:ascii="仿宋_GB2312" w:hAnsi="宋体" w:eastAsia="仿宋_GB2312" w:cs="宋体"/>
          <w:kern w:val="0"/>
          <w:sz w:val="24"/>
          <w:szCs w:val="24"/>
        </w:rPr>
      </w:pPr>
      <w:r>
        <w:rPr>
          <w:rFonts w:hint="eastAsia" w:ascii="仿宋_GB2312" w:hAnsi="宋体" w:eastAsia="仿宋_GB2312" w:cs="宋体"/>
          <w:kern w:val="0"/>
          <w:sz w:val="24"/>
          <w:szCs w:val="24"/>
        </w:rPr>
        <w:t>6.2.3检验和测试可以在乙方的驻地、交货地和货物的最终目的地进行，实际以甲方书面通知为准。如果在乙方的驻地进行，检测人员应能得全部合理的设施和协助，甲方不应承担任何费用。</w:t>
      </w:r>
    </w:p>
    <w:p w14:paraId="5AE57007">
      <w:pPr>
        <w:widowControl/>
        <w:tabs>
          <w:tab w:val="left" w:pos="540"/>
        </w:tabs>
        <w:spacing w:line="360" w:lineRule="auto"/>
        <w:ind w:firstLine="480" w:firstLineChars="200"/>
        <w:rPr>
          <w:rFonts w:ascii="仿宋_GB2312" w:hAnsi="宋体" w:eastAsia="仿宋_GB2312" w:cs="宋体"/>
          <w:kern w:val="0"/>
          <w:sz w:val="24"/>
          <w:szCs w:val="24"/>
        </w:rPr>
      </w:pPr>
      <w:r>
        <w:rPr>
          <w:rFonts w:hint="eastAsia" w:ascii="仿宋_GB2312" w:hAnsi="宋体" w:eastAsia="仿宋_GB2312" w:cs="宋体"/>
          <w:kern w:val="0"/>
          <w:sz w:val="24"/>
          <w:szCs w:val="24"/>
        </w:rPr>
        <w:t>6.2.4如果任何被检验或测试的货物不能满足规格、招标文件及其他技术的要求，甲方可以拒绝接受该货物，乙方应限期更换被拒绝的货物，或者免费进行必要的修改以满足规格、招标文件及其他技术的要求，因此导致相应施工期限延误的，责任由乙方承担。</w:t>
      </w:r>
    </w:p>
    <w:p w14:paraId="79981199">
      <w:pPr>
        <w:widowControl/>
        <w:tabs>
          <w:tab w:val="left" w:pos="540"/>
        </w:tabs>
        <w:spacing w:line="360" w:lineRule="auto"/>
        <w:ind w:firstLine="480" w:firstLineChars="200"/>
        <w:rPr>
          <w:rFonts w:ascii="仿宋_GB2312" w:hAnsi="宋体" w:eastAsia="仿宋_GB2312" w:cs="宋体"/>
          <w:kern w:val="0"/>
          <w:sz w:val="24"/>
          <w:szCs w:val="24"/>
        </w:rPr>
      </w:pPr>
      <w:r>
        <w:rPr>
          <w:rFonts w:hint="eastAsia" w:ascii="仿宋_GB2312" w:hAnsi="宋体" w:eastAsia="仿宋_GB2312" w:cs="宋体"/>
          <w:kern w:val="0"/>
          <w:sz w:val="24"/>
          <w:szCs w:val="24"/>
        </w:rPr>
        <w:t>6.2.5甲方在货物到达的目的地后对货物进行检验、测试及必要时拒绝接受货物的权利，不会因为货物在乙方已通过了甲方或其代表的检验、测试和认可而受到限制或放弃。</w:t>
      </w:r>
    </w:p>
    <w:p w14:paraId="12FEB078">
      <w:pPr>
        <w:widowControl/>
        <w:tabs>
          <w:tab w:val="left" w:pos="540"/>
        </w:tabs>
        <w:spacing w:line="360" w:lineRule="auto"/>
        <w:ind w:firstLine="480" w:firstLineChars="200"/>
        <w:rPr>
          <w:rFonts w:ascii="仿宋_GB2312" w:hAnsi="宋体" w:eastAsia="仿宋_GB2312" w:cs="宋体"/>
          <w:kern w:val="0"/>
          <w:sz w:val="24"/>
          <w:szCs w:val="24"/>
        </w:rPr>
      </w:pPr>
      <w:r>
        <w:rPr>
          <w:rFonts w:hint="eastAsia" w:ascii="仿宋_GB2312" w:hAnsi="宋体" w:eastAsia="仿宋_GB2312" w:cs="宋体"/>
          <w:kern w:val="0"/>
          <w:sz w:val="24"/>
          <w:szCs w:val="24"/>
        </w:rPr>
        <w:t>6.2.6乙方应将制造商对货物的质量、规格、性能、数量和重量等进行详细而全面检验、并出具证明货物符合合同规定的检验证书随同货物提交甲方。检验证书是付款的文件依据之一，但不能作为有关质量、规格、性能、数量或重量的最终检验。制造商检验的结果和细节应附在质量检验证书后面。</w:t>
      </w:r>
    </w:p>
    <w:p w14:paraId="78773E4A">
      <w:pPr>
        <w:widowControl/>
        <w:tabs>
          <w:tab w:val="left" w:pos="540"/>
        </w:tabs>
        <w:spacing w:line="360" w:lineRule="auto"/>
        <w:ind w:firstLine="480" w:firstLineChars="200"/>
        <w:rPr>
          <w:rFonts w:ascii="仿宋_GB2312" w:hAnsi="宋体" w:eastAsia="仿宋_GB2312" w:cs="宋体"/>
          <w:kern w:val="0"/>
          <w:sz w:val="24"/>
          <w:szCs w:val="24"/>
        </w:rPr>
      </w:pPr>
      <w:r>
        <w:rPr>
          <w:rFonts w:hint="eastAsia" w:ascii="仿宋_GB2312" w:hAnsi="宋体" w:eastAsia="仿宋_GB2312" w:cs="宋体"/>
          <w:kern w:val="0"/>
          <w:sz w:val="24"/>
          <w:szCs w:val="24"/>
        </w:rPr>
        <w:t>6.2.7如果货物是进口产品，且属于强制检验商品，乙方应附上经中国国家商检部门对货物的质量、规格、数量和重量进行检验并合格的检验证书。</w:t>
      </w:r>
    </w:p>
    <w:p w14:paraId="69735CAC">
      <w:pPr>
        <w:widowControl/>
        <w:tabs>
          <w:tab w:val="left" w:pos="540"/>
        </w:tabs>
        <w:spacing w:line="360" w:lineRule="auto"/>
        <w:ind w:firstLine="480" w:firstLineChars="20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6.2.8本合同中与“检验与测试”有关的条款不能免除乙方在本合同项下的保证义务或其它义务。</w:t>
      </w:r>
    </w:p>
    <w:p w14:paraId="24BD1D9B">
      <w:pPr>
        <w:widowControl/>
        <w:spacing w:after="200" w:line="360" w:lineRule="auto"/>
        <w:ind w:firstLine="480" w:firstLineChars="200"/>
        <w:contextualSpacing/>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6.3竣工验收</w:t>
      </w:r>
    </w:p>
    <w:p w14:paraId="6E089315">
      <w:pPr>
        <w:widowControl/>
        <w:spacing w:line="360" w:lineRule="auto"/>
        <w:ind w:firstLine="480" w:firstLineChars="20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6.3.1工程具备竣工验收条件，乙方按国家和广州市工程竣工等有关规定，首先通过供电部门的验收并实现通电后，向甲方提供一式四份完整的竣工资料和竣工验收报告、竣工图</w:t>
      </w:r>
      <w:r>
        <w:rPr>
          <w:rFonts w:hint="eastAsia" w:ascii="仿宋_GB2312" w:hAnsi="宋体" w:eastAsia="仿宋_GB2312" w:cs="宋体"/>
          <w:sz w:val="24"/>
          <w:szCs w:val="24"/>
        </w:rPr>
        <w:t>及设备技术文件，竣工资料编制符合《广州市城乡建设管理档案办法》的要求。</w:t>
      </w:r>
      <w:r>
        <w:rPr>
          <w:rFonts w:hint="eastAsia" w:ascii="仿宋_GB2312" w:hAnsi="宋体" w:eastAsia="仿宋_GB2312" w:cs="宋体"/>
          <w:kern w:val="0"/>
          <w:sz w:val="24"/>
          <w:szCs w:val="24"/>
        </w:rPr>
        <w:t>甲方在乙方提出书面验收请求之日起15个工作日内组织验收。</w:t>
      </w:r>
    </w:p>
    <w:p w14:paraId="24446735">
      <w:pPr>
        <w:widowControl/>
        <w:spacing w:line="360" w:lineRule="auto"/>
        <w:ind w:firstLine="480" w:firstLineChars="200"/>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rPr>
        <w:t>6.3.2、乙方须配合甲方完成工程的验收工作并按相关法律、行政法规或国家关于工程质量保修的有关规定，对交付甲方使用的工程在质量保修期内承担质量保修责任。</w:t>
      </w:r>
    </w:p>
    <w:p w14:paraId="118FF7CC">
      <w:pPr>
        <w:widowControl/>
        <w:spacing w:line="360" w:lineRule="auto"/>
        <w:ind w:firstLine="480" w:firstLineChars="20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6.3.3因乙方原因未能按时提供完整的竣工资料、竣工验收报告、竣工图及设备技术文件等相关材料所生的全部经济损失由乙方自行承担。</w:t>
      </w:r>
    </w:p>
    <w:p w14:paraId="7F11CCE3">
      <w:pPr>
        <w:widowControl/>
        <w:spacing w:line="360" w:lineRule="auto"/>
        <w:ind w:firstLine="482" w:firstLineChars="200"/>
        <w:jc w:val="left"/>
        <w:outlineLvl w:val="1"/>
        <w:rPr>
          <w:rFonts w:hint="eastAsia" w:ascii="仿宋_GB2312" w:hAnsi="宋体" w:eastAsia="仿宋_GB2312" w:cs="Arial"/>
          <w:b/>
          <w:bCs/>
          <w:kern w:val="0"/>
          <w:sz w:val="24"/>
          <w:szCs w:val="24"/>
        </w:rPr>
      </w:pPr>
      <w:r>
        <w:rPr>
          <w:rFonts w:hint="eastAsia" w:ascii="仿宋_GB2312" w:hAnsi="黑体" w:eastAsia="仿宋_GB2312" w:cs="Arial"/>
          <w:b/>
          <w:bCs/>
          <w:kern w:val="0"/>
          <w:sz w:val="24"/>
          <w:szCs w:val="24"/>
        </w:rPr>
        <w:t>第七条 施工设计变更</w:t>
      </w:r>
    </w:p>
    <w:p w14:paraId="31571C0F">
      <w:pPr>
        <w:widowControl/>
        <w:spacing w:line="360" w:lineRule="auto"/>
        <w:ind w:firstLine="480" w:firstLineChars="20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7.1本工程的设计图纸、说明和有关技术资料，均为施工的有效依据。</w:t>
      </w:r>
    </w:p>
    <w:p w14:paraId="24952314">
      <w:pPr>
        <w:widowControl/>
        <w:spacing w:line="360" w:lineRule="auto"/>
        <w:ind w:firstLine="480" w:firstLineChars="20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7.2 乙方在保证工程质量和不降低设计标准的前提下，提出修改设计的合理化建议，或施工图的修改变更，必须经甲方书面同意，且设计变更经甲方签证后，乙方才能实施，否则甲方有权要求乙方拆除、调整，按原约定要求施工，因此造成的费用及损失由乙方承担，且工期不予顺延。</w:t>
      </w:r>
    </w:p>
    <w:p w14:paraId="5152583D">
      <w:pPr>
        <w:widowControl/>
        <w:spacing w:line="360" w:lineRule="auto"/>
        <w:ind w:firstLine="480" w:firstLineChars="20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7.3在工程施工中发生下列各项情况之一时，乙方必须立即以书面通知甲方，要求甲方确认：</w:t>
      </w:r>
    </w:p>
    <w:p w14:paraId="3AED178B">
      <w:pPr>
        <w:widowControl/>
        <w:spacing w:line="360" w:lineRule="auto"/>
        <w:ind w:firstLine="480" w:firstLineChars="20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（1）设计图纸和说明文件与工程现场状况不一致；</w:t>
      </w:r>
    </w:p>
    <w:p w14:paraId="3D5BC59C">
      <w:pPr>
        <w:widowControl/>
        <w:spacing w:line="360" w:lineRule="auto"/>
        <w:ind w:firstLine="480" w:firstLineChars="20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（2）设计图纸和设计文件表示不明确或有错误及遗漏，图纸与说明不符；</w:t>
      </w:r>
    </w:p>
    <w:p w14:paraId="159FA89B">
      <w:pPr>
        <w:widowControl/>
        <w:spacing w:line="360" w:lineRule="auto"/>
        <w:ind w:firstLine="480" w:firstLineChars="20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（3） 设计图纸和说明文件中未标明的施工条件发生了预料不到的特殊困难等。</w:t>
      </w:r>
    </w:p>
    <w:p w14:paraId="3D21A7A8">
      <w:pPr>
        <w:widowControl/>
        <w:spacing w:line="360" w:lineRule="auto"/>
        <w:ind w:firstLine="480" w:firstLineChars="200"/>
        <w:rPr>
          <w:rFonts w:ascii="仿宋_GB2312" w:hAnsi="宋体" w:eastAsia="仿宋_GB2312" w:cs="宋体"/>
          <w:kern w:val="0"/>
          <w:sz w:val="24"/>
          <w:szCs w:val="24"/>
        </w:rPr>
      </w:pPr>
      <w:r>
        <w:rPr>
          <w:rFonts w:hint="eastAsia" w:ascii="仿宋_GB2312" w:hAnsi="宋体" w:eastAsia="仿宋_GB2312" w:cs="宋体"/>
          <w:kern w:val="0"/>
          <w:sz w:val="24"/>
          <w:szCs w:val="24"/>
        </w:rPr>
        <w:t>若乙方未书面通知甲方确认，擅自处理的，甲方有权要求采取一切有效措施进行补救、调整，因此造成的一切责任及损失均由乙方承担，且工期不予顺延。</w:t>
      </w:r>
    </w:p>
    <w:p w14:paraId="1ED6AED4">
      <w:pPr>
        <w:widowControl/>
        <w:spacing w:line="360" w:lineRule="auto"/>
        <w:ind w:firstLine="480" w:firstLineChars="20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5、其他变更</w:t>
      </w:r>
    </w:p>
    <w:p w14:paraId="778D071C">
      <w:pPr>
        <w:widowControl/>
        <w:spacing w:line="360" w:lineRule="auto"/>
        <w:ind w:firstLine="480" w:firstLineChars="20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合同履行中甲方要求变更工程质量标准及发生其他实质性变更，由双方协商解决。</w:t>
      </w:r>
    </w:p>
    <w:p w14:paraId="40F97FD1">
      <w:pPr>
        <w:widowControl/>
        <w:spacing w:line="360" w:lineRule="auto"/>
        <w:jc w:val="left"/>
        <w:outlineLvl w:val="1"/>
        <w:rPr>
          <w:rFonts w:hint="eastAsia" w:ascii="仿宋_GB2312" w:hAnsi="宋体" w:eastAsia="仿宋_GB2312" w:cs="Arial"/>
          <w:b/>
          <w:bCs/>
          <w:kern w:val="0"/>
          <w:sz w:val="24"/>
          <w:szCs w:val="24"/>
        </w:rPr>
      </w:pPr>
      <w:r>
        <w:rPr>
          <w:rFonts w:hint="eastAsia" w:ascii="仿宋_GB2312" w:hAnsi="黑体" w:eastAsia="仿宋_GB2312" w:cs="Arial"/>
          <w:b/>
          <w:bCs/>
          <w:kern w:val="0"/>
          <w:sz w:val="24"/>
          <w:szCs w:val="24"/>
        </w:rPr>
        <w:t>第七条 双方负责事项</w:t>
      </w:r>
    </w:p>
    <w:p w14:paraId="6E579D45">
      <w:pPr>
        <w:widowControl/>
        <w:spacing w:line="360" w:lineRule="auto"/>
        <w:ind w:firstLine="480" w:firstLineChars="20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7.1甲方</w:t>
      </w:r>
    </w:p>
    <w:p w14:paraId="07846105">
      <w:pPr>
        <w:widowControl/>
        <w:spacing w:line="360" w:lineRule="auto"/>
        <w:ind w:right="-1" w:firstLine="480" w:firstLineChars="200"/>
        <w:rPr>
          <w:rFonts w:ascii="仿宋_GB2312" w:hAnsi="宋体" w:eastAsia="仿宋_GB2312" w:cs="宋体"/>
          <w:kern w:val="0"/>
          <w:sz w:val="24"/>
          <w:szCs w:val="24"/>
        </w:rPr>
      </w:pPr>
      <w:r>
        <w:rPr>
          <w:rFonts w:hint="eastAsia" w:ascii="仿宋_GB2312" w:hAnsi="宋体" w:eastAsia="仿宋_GB2312" w:cs="宋体"/>
          <w:kern w:val="0"/>
          <w:sz w:val="24"/>
          <w:szCs w:val="24"/>
        </w:rPr>
        <w:t>7.1.1在合同规定开工日期前3天，向乙方移交施工场地，进场道路。但不能免除乙方使用进场道路所需向市政部门及当地管理部门的申报及协调工作。</w:t>
      </w:r>
    </w:p>
    <w:p w14:paraId="60537468">
      <w:pPr>
        <w:widowControl/>
        <w:spacing w:line="360" w:lineRule="auto"/>
        <w:ind w:right="-1" w:firstLine="480" w:firstLineChars="20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7.1.2开工前组织甲、乙、设计单位参加施工图纸交底；向乙方提供施工图两套。</w:t>
      </w:r>
    </w:p>
    <w:p w14:paraId="7CB10DA3">
      <w:pPr>
        <w:widowControl/>
        <w:spacing w:line="360" w:lineRule="auto"/>
        <w:ind w:right="-1" w:firstLine="480" w:firstLineChars="20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7.1.3派驻施工项目负责人（姓名：</w:t>
      </w:r>
      <w:r>
        <w:rPr>
          <w:rFonts w:hint="eastAsia" w:ascii="仿宋_GB2312" w:hAnsi="宋体" w:eastAsia="仿宋_GB2312" w:cs="宋体"/>
          <w:kern w:val="0"/>
          <w:sz w:val="24"/>
          <w:szCs w:val="24"/>
          <w:u w:val="single"/>
        </w:rPr>
        <w:t xml:space="preserve">        </w:t>
      </w:r>
      <w:r>
        <w:rPr>
          <w:rFonts w:hint="eastAsia" w:ascii="仿宋_GB2312" w:hAnsi="宋体" w:eastAsia="仿宋_GB2312" w:cs="宋体"/>
          <w:kern w:val="0"/>
          <w:sz w:val="24"/>
          <w:szCs w:val="24"/>
        </w:rPr>
        <w:t>，电话</w:t>
      </w:r>
      <w:r>
        <w:rPr>
          <w:rFonts w:hint="eastAsia" w:ascii="仿宋_GB2312" w:hAnsi="宋体" w:eastAsia="仿宋_GB2312" w:cs="宋体"/>
          <w:kern w:val="0"/>
          <w:sz w:val="24"/>
          <w:szCs w:val="24"/>
          <w:u w:val="single"/>
        </w:rPr>
        <w:t xml:space="preserve">：       </w:t>
      </w:r>
      <w:r>
        <w:rPr>
          <w:rFonts w:hint="eastAsia" w:ascii="仿宋_GB2312" w:hAnsi="宋体" w:eastAsia="仿宋_GB2312" w:cs="宋体"/>
          <w:kern w:val="0"/>
          <w:sz w:val="24"/>
          <w:szCs w:val="24"/>
        </w:rPr>
        <w:t>），对工程进度、工程质量、隐蔽工程和合同执行进行监督检查，负责设计图纸问题的处理，设计变更的签证，工程中间验收、工程进度拨款签证和其它必须的签证；</w:t>
      </w:r>
    </w:p>
    <w:p w14:paraId="46E02992">
      <w:pPr>
        <w:widowControl/>
        <w:spacing w:line="360" w:lineRule="auto"/>
        <w:ind w:right="283" w:firstLine="480" w:firstLineChars="20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7.1.4按合同规定日期配合乙方办好结算工作，及时了结工程财务和工程尾款。</w:t>
      </w:r>
    </w:p>
    <w:p w14:paraId="01A85BDC">
      <w:pPr>
        <w:widowControl/>
        <w:spacing w:line="360" w:lineRule="auto"/>
        <w:ind w:firstLine="480" w:firstLineChars="20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7.2</w:t>
      </w:r>
      <w:r>
        <w:rPr>
          <w:rFonts w:hint="eastAsia" w:ascii="仿宋_GB2312" w:hAnsi="宋体" w:eastAsia="仿宋_GB2312" w:cs="宋体"/>
          <w:kern w:val="0"/>
          <w:sz w:val="24"/>
          <w:szCs w:val="24"/>
          <w:lang w:val="en-US" w:eastAsia="zh-CN"/>
        </w:rPr>
        <w:t xml:space="preserve"> </w:t>
      </w:r>
      <w:r>
        <w:rPr>
          <w:rFonts w:hint="eastAsia" w:ascii="仿宋_GB2312" w:hAnsi="宋体" w:eastAsia="仿宋_GB2312" w:cs="宋体"/>
          <w:kern w:val="0"/>
          <w:sz w:val="24"/>
          <w:szCs w:val="24"/>
        </w:rPr>
        <w:t>乙方</w:t>
      </w:r>
    </w:p>
    <w:p w14:paraId="09E25CCF">
      <w:pPr>
        <w:widowControl/>
        <w:spacing w:line="360" w:lineRule="auto"/>
        <w:ind w:right="-1" w:firstLine="480" w:firstLineChars="200"/>
        <w:rPr>
          <w:rFonts w:hint="eastAsia" w:ascii="仿宋_GB2312" w:hAnsi="宋体" w:eastAsia="仿宋_GB2312" w:cs="宋体"/>
          <w:kern w:val="0"/>
          <w:sz w:val="24"/>
          <w:szCs w:val="24"/>
          <w:u w:val="single"/>
        </w:rPr>
      </w:pPr>
      <w:r>
        <w:rPr>
          <w:rFonts w:hint="eastAsia" w:ascii="仿宋_GB2312" w:hAnsi="宋体" w:eastAsia="仿宋_GB2312" w:cs="宋体"/>
          <w:kern w:val="0"/>
          <w:sz w:val="24"/>
          <w:szCs w:val="24"/>
        </w:rPr>
        <w:t>7.2.1乙方委派</w:t>
      </w:r>
      <w:r>
        <w:rPr>
          <w:rFonts w:hint="eastAsia" w:ascii="仿宋_GB2312" w:hAnsi="宋体" w:eastAsia="仿宋_GB2312" w:cs="宋体"/>
          <w:kern w:val="0"/>
          <w:sz w:val="24"/>
          <w:szCs w:val="24"/>
          <w:u w:val="single"/>
        </w:rPr>
        <w:t>姓名：      ，身份证信息：         ，联系电话：    为项目负责人，全面负责本合同及本工程的各项事宜。</w:t>
      </w:r>
    </w:p>
    <w:p w14:paraId="015AD6D5">
      <w:pPr>
        <w:widowControl/>
        <w:spacing w:line="360" w:lineRule="auto"/>
        <w:ind w:right="-1" w:firstLine="480" w:firstLineChars="200"/>
        <w:rPr>
          <w:rFonts w:hint="eastAsia" w:ascii="仿宋_GB2312" w:hAnsi="宋体" w:eastAsia="仿宋_GB2312" w:cs="宋体"/>
          <w:kern w:val="0"/>
          <w:sz w:val="24"/>
          <w:szCs w:val="24"/>
          <w:u w:val="single"/>
        </w:rPr>
      </w:pPr>
      <w:r>
        <w:rPr>
          <w:rFonts w:hint="eastAsia" w:ascii="仿宋_GB2312" w:hAnsi="宋体" w:eastAsia="仿宋_GB2312" w:cs="宋体"/>
          <w:kern w:val="0"/>
          <w:sz w:val="24"/>
          <w:szCs w:val="24"/>
        </w:rPr>
        <w:t>7.2.2乙方委派</w:t>
      </w:r>
      <w:r>
        <w:rPr>
          <w:rFonts w:hint="eastAsia" w:ascii="仿宋_GB2312" w:hAnsi="宋体" w:eastAsia="仿宋_GB2312" w:cs="宋体"/>
          <w:kern w:val="0"/>
          <w:sz w:val="24"/>
          <w:szCs w:val="24"/>
          <w:u w:val="single"/>
        </w:rPr>
        <w:t>姓名：      ，身份证信息：        ，联系电话：    为项目安全负责人。全面负责本项目的有关安全文明施工的事宜。</w:t>
      </w:r>
    </w:p>
    <w:p w14:paraId="38B6BED5">
      <w:pPr>
        <w:widowControl/>
        <w:spacing w:line="360" w:lineRule="auto"/>
        <w:ind w:right="-1" w:firstLine="480" w:firstLineChars="20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7.2.3编制施工组织设计（或施工方案），施工进度计划、材料设备等进场计划，用水、用电计划、送电计划、开竣工通知书、隐蔽工程验收单等，</w:t>
      </w:r>
      <w:r>
        <w:rPr>
          <w:rFonts w:hint="eastAsia" w:ascii="仿宋_GB2312" w:hAnsi="宋体" w:eastAsia="仿宋_GB2312" w:cs="宋体"/>
          <w:kern w:val="0"/>
          <w:sz w:val="24"/>
          <w:szCs w:val="24"/>
          <w:lang w:val="en-US" w:eastAsia="zh-CN"/>
        </w:rPr>
        <w:t>自本合同生效之日起    个自然日内</w:t>
      </w:r>
      <w:r>
        <w:rPr>
          <w:rFonts w:hint="eastAsia" w:ascii="仿宋_GB2312" w:hAnsi="宋体" w:eastAsia="仿宋_GB2312" w:cs="宋体"/>
          <w:kern w:val="0"/>
          <w:sz w:val="24"/>
          <w:szCs w:val="24"/>
        </w:rPr>
        <w:t>送达甲方；</w:t>
      </w:r>
    </w:p>
    <w:p w14:paraId="109EBBE2">
      <w:pPr>
        <w:widowControl/>
        <w:spacing w:line="360" w:lineRule="auto"/>
        <w:ind w:right="283" w:firstLine="480" w:firstLineChars="20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7.2.4按双方商定的分工范围，做好材料和设备的采购、供应和管理；</w:t>
      </w:r>
    </w:p>
    <w:p w14:paraId="12B0D137">
      <w:pPr>
        <w:widowControl/>
        <w:tabs>
          <w:tab w:val="left" w:pos="540"/>
        </w:tabs>
        <w:spacing w:line="360" w:lineRule="auto"/>
        <w:ind w:firstLine="480" w:firstLineChars="20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7.2.5乙方负责的材料、设备等，在通过竣工验收交付使用前，由乙方对负责保管责任。乙方未尽到保管责任的，造成自身及甲方损失的，由乙方负责。</w:t>
      </w:r>
    </w:p>
    <w:p w14:paraId="7FDD2A22">
      <w:pPr>
        <w:widowControl/>
        <w:spacing w:line="360" w:lineRule="auto"/>
        <w:ind w:right="-1" w:firstLine="480" w:firstLineChars="20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7.2.6严格按照施工图与说明进行施工，并提出合理化建议确保工程质量，按合同规定的时间如期完工和交付；</w:t>
      </w:r>
    </w:p>
    <w:p w14:paraId="685AE570">
      <w:pPr>
        <w:widowControl/>
        <w:spacing w:line="360" w:lineRule="auto"/>
        <w:ind w:right="-1" w:firstLine="480" w:firstLineChars="20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7.2.7施工期间按地方政府和甲方</w:t>
      </w:r>
      <w:r>
        <w:rPr>
          <w:rFonts w:hint="eastAsia" w:ascii="仿宋_GB2312" w:hAnsi="宋体" w:eastAsia="仿宋_GB2312" w:cs="宋体"/>
          <w:kern w:val="0"/>
          <w:sz w:val="24"/>
          <w:szCs w:val="24"/>
          <w:highlight w:val="none"/>
        </w:rPr>
        <w:t>及施工现场总承包方</w:t>
      </w:r>
      <w:r>
        <w:rPr>
          <w:rFonts w:hint="eastAsia" w:ascii="仿宋_GB2312" w:hAnsi="宋体" w:eastAsia="仿宋_GB2312" w:cs="宋体"/>
          <w:kern w:val="0"/>
          <w:sz w:val="24"/>
          <w:szCs w:val="24"/>
        </w:rPr>
        <w:t>有关建筑工程文明施工的法规或制度制定本工程的文明施工规定。</w:t>
      </w:r>
    </w:p>
    <w:p w14:paraId="3CBF69F7">
      <w:pPr>
        <w:widowControl/>
        <w:spacing w:line="360" w:lineRule="auto"/>
        <w:ind w:right="283" w:firstLine="480" w:firstLineChars="20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7.2.8已完工的安装设备，在交工前应负责保管，并清理好场地；</w:t>
      </w:r>
    </w:p>
    <w:p w14:paraId="2997FEBA">
      <w:pPr>
        <w:widowControl/>
        <w:spacing w:line="360" w:lineRule="auto"/>
        <w:ind w:right="283" w:firstLine="480" w:firstLineChars="20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7.2.9提供竣工验收技术资料，办理工程竣工结算，参加竣工验收；</w:t>
      </w:r>
    </w:p>
    <w:p w14:paraId="264DEC72">
      <w:pPr>
        <w:widowControl/>
        <w:spacing w:line="360" w:lineRule="auto"/>
        <w:ind w:right="283" w:firstLine="480" w:firstLineChars="20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7.2.10在合同规定的保修期内，负责对工程无偿修理。</w:t>
      </w:r>
    </w:p>
    <w:p w14:paraId="318C82B9">
      <w:pPr>
        <w:widowControl/>
        <w:spacing w:line="360" w:lineRule="auto"/>
        <w:ind w:right="283" w:firstLine="480" w:firstLineChars="20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7.2.11本工程不得转包或肢解后以分包名义转包，一经发现，甲方有权书面通知乙方解除合同，要求乙方返还全部已支付费用，并按合同总价款的20%的标准向甲方支付违约金。</w:t>
      </w:r>
    </w:p>
    <w:p w14:paraId="52234398">
      <w:pPr>
        <w:widowControl/>
        <w:spacing w:line="360" w:lineRule="auto"/>
        <w:ind w:right="283" w:firstLine="480" w:firstLineChars="20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7.2.12乙方应确保施工不会影响甲方的正常生产经营活动，若确因施工需要可能发生断电、封闭道路、噪音等可能影响甲方正常生产经营活动的情况时，乙方应提前书面通知甲方，否则乙方应承担由此造成的损失赔偿责任。</w:t>
      </w:r>
    </w:p>
    <w:p w14:paraId="76C715C8">
      <w:pPr>
        <w:widowControl/>
        <w:spacing w:line="360" w:lineRule="auto"/>
        <w:ind w:right="283" w:firstLine="480" w:firstLineChars="200"/>
        <w:rPr>
          <w:rFonts w:ascii="仿宋_GB2312" w:hAnsi="宋体" w:eastAsia="仿宋_GB2312" w:cs="宋体"/>
          <w:kern w:val="0"/>
          <w:sz w:val="24"/>
          <w:szCs w:val="24"/>
        </w:rPr>
      </w:pPr>
      <w:r>
        <w:rPr>
          <w:rFonts w:hint="eastAsia" w:ascii="仿宋_GB2312" w:hAnsi="宋体" w:eastAsia="仿宋_GB2312" w:cs="宋体"/>
          <w:kern w:val="0"/>
          <w:sz w:val="24"/>
          <w:szCs w:val="24"/>
        </w:rPr>
        <w:t>7.2.13.乙方保证，在履行本合同过程中所提供、交付、使用的相关设备、部件、材料等均权属清晰明确，合法有效，符合甲方相关要求，未侵犯任何第三人的合法权益，否则由乙方负责妥善处理并承担因此产生的一切责任，同时因此导致的甲方损失及支出的一切合理费用，应由乙方承担赔偿责任。</w:t>
      </w:r>
    </w:p>
    <w:p w14:paraId="5B7998C3">
      <w:pPr>
        <w:widowControl/>
        <w:spacing w:line="360" w:lineRule="auto"/>
        <w:ind w:right="283" w:firstLine="480" w:firstLineChars="200"/>
        <w:rPr>
          <w:rFonts w:hint="eastAsia" w:ascii="仿宋_GB2312" w:hAnsi="宋体" w:eastAsia="仿宋_GB2312" w:cs="宋体"/>
          <w:b w:val="0"/>
          <w:kern w:val="0"/>
          <w:sz w:val="24"/>
          <w:szCs w:val="24"/>
          <w:lang w:val="en-US" w:eastAsia="zh-CN"/>
        </w:rPr>
      </w:pPr>
      <w:r>
        <w:rPr>
          <w:rFonts w:hint="eastAsia" w:ascii="仿宋_GB2312" w:hAnsi="宋体" w:eastAsia="仿宋_GB2312" w:cs="宋体"/>
          <w:b w:val="0"/>
          <w:kern w:val="0"/>
          <w:sz w:val="24"/>
          <w:szCs w:val="24"/>
          <w:lang w:val="en-US" w:eastAsia="zh-CN"/>
        </w:rPr>
        <w:t>7.2.14 乙方保证向甲方交付的全部工程质量符合国家和地方相关法律法规等法律规范性文件、招标文件、技术要求、投标文件和甲方的实际需求，不存在违法违规或任何质量问题，否则由乙方承担一切法律责任；若导致甲方遭受相关损失（包括但不限于甲方直接经济损失、委托他方重新施工的支出费用、第三方索赔、行政处罚和甲方实现债权的诉讼费、仲裁费、律师费、公证费、评估费、鉴定费、担保费、保全费、交通费、差旅费等）的，乙方应向甲方承担全部赔偿责任。</w:t>
      </w:r>
    </w:p>
    <w:p w14:paraId="00CE5813">
      <w:pPr>
        <w:tabs>
          <w:tab w:val="left" w:pos="900"/>
        </w:tabs>
        <w:spacing w:line="360" w:lineRule="auto"/>
        <w:ind w:firstLine="482" w:firstLineChars="200"/>
        <w:rPr>
          <w:rFonts w:hint="eastAsia" w:ascii="仿宋_GB2312" w:hAnsi="黑体" w:eastAsia="仿宋_GB2312"/>
          <w:b/>
          <w:sz w:val="24"/>
          <w:szCs w:val="24"/>
        </w:rPr>
      </w:pPr>
      <w:r>
        <w:rPr>
          <w:rFonts w:hint="eastAsia" w:ascii="仿宋_GB2312" w:hAnsi="黑体" w:eastAsia="仿宋_GB2312"/>
          <w:b/>
          <w:sz w:val="24"/>
          <w:szCs w:val="24"/>
        </w:rPr>
        <w:t>第八条安全文明施工</w:t>
      </w:r>
    </w:p>
    <w:p w14:paraId="67919EAE">
      <w:pPr>
        <w:widowControl/>
        <w:spacing w:line="360" w:lineRule="auto"/>
        <w:ind w:right="-1" w:firstLine="480" w:firstLineChars="20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8.1．安全施工与检查</w:t>
      </w:r>
    </w:p>
    <w:p w14:paraId="4B4D5C06">
      <w:pPr>
        <w:widowControl/>
        <w:spacing w:line="360" w:lineRule="auto"/>
        <w:ind w:right="-1" w:firstLine="480" w:firstLineChars="20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8.1.1 乙方应严格遵守国家、省、市有关防火、爆破和施工安全以及文明施工、深夜施工、环卫、施工噪音和城管等规定，建立规章制度和防护措施，严格按安全标准组织施工。否则，由此造成的损失或被有关部门处罚，均由乙方负责。遵守甲方</w:t>
      </w:r>
      <w:r>
        <w:rPr>
          <w:rFonts w:hint="eastAsia" w:ascii="仿宋_GB2312" w:hAnsi="宋体" w:eastAsia="仿宋_GB2312" w:cs="宋体"/>
          <w:color w:val="auto"/>
          <w:kern w:val="0"/>
          <w:sz w:val="24"/>
          <w:szCs w:val="24"/>
        </w:rPr>
        <w:t>及施工现场总承包方</w:t>
      </w:r>
      <w:r>
        <w:rPr>
          <w:rFonts w:hint="eastAsia" w:ascii="仿宋_GB2312" w:hAnsi="宋体" w:eastAsia="仿宋_GB2312" w:cs="宋体"/>
          <w:kern w:val="0"/>
          <w:sz w:val="24"/>
          <w:szCs w:val="24"/>
        </w:rPr>
        <w:t>安全生产制度的有关管理规定，并随时接受安全检查人员的监督检查，采取必要的安全防护措施，做好施工安全保护工作，消除事故隐患，确保施工安全和第三者的安全。由于乙方安全措施不力、违法违规施工等造成安全事故或其他人身、财产安全损害的责任和因此发生的费用，由乙方承担，因此造成甲方损失的，由乙方承担损失赔偿责任。</w:t>
      </w:r>
    </w:p>
    <w:p w14:paraId="135E4290">
      <w:pPr>
        <w:widowControl/>
        <w:spacing w:line="360" w:lineRule="auto"/>
        <w:ind w:right="-1" w:firstLine="600" w:firstLineChars="250"/>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rPr>
        <w:t>8.1.2乙方进场前，必须与</w:t>
      </w:r>
      <w:r>
        <w:rPr>
          <w:rFonts w:hint="eastAsia" w:ascii="仿宋_GB2312" w:hAnsi="宋体" w:eastAsia="仿宋_GB2312" w:cs="宋体"/>
          <w:kern w:val="0"/>
          <w:sz w:val="24"/>
          <w:szCs w:val="24"/>
          <w:lang w:val="en-US" w:eastAsia="zh-CN"/>
        </w:rPr>
        <w:t>甲方及</w:t>
      </w:r>
      <w:r>
        <w:rPr>
          <w:rFonts w:hint="eastAsia" w:ascii="仿宋_GB2312" w:hAnsi="宋体" w:eastAsia="仿宋_GB2312" w:cs="宋体"/>
          <w:color w:val="auto"/>
          <w:kern w:val="0"/>
          <w:sz w:val="24"/>
          <w:szCs w:val="24"/>
        </w:rPr>
        <w:t>施工现场总承包方</w:t>
      </w:r>
      <w:r>
        <w:rPr>
          <w:rFonts w:hint="eastAsia" w:ascii="仿宋_GB2312" w:hAnsi="宋体" w:eastAsia="仿宋_GB2312" w:cs="宋体"/>
          <w:kern w:val="0"/>
          <w:sz w:val="24"/>
          <w:szCs w:val="24"/>
        </w:rPr>
        <w:t>签订安全协议</w:t>
      </w:r>
      <w:r>
        <w:rPr>
          <w:rFonts w:hint="eastAsia" w:ascii="仿宋_GB2312" w:hAnsi="宋体" w:eastAsia="仿宋_GB2312" w:cs="宋体"/>
          <w:kern w:val="0"/>
          <w:sz w:val="24"/>
          <w:szCs w:val="24"/>
          <w:lang w:eastAsia="zh-CN"/>
        </w:rPr>
        <w:t>（</w:t>
      </w:r>
      <w:r>
        <w:rPr>
          <w:rFonts w:hint="eastAsia" w:ascii="仿宋_GB2312" w:hAnsi="宋体" w:eastAsia="仿宋_GB2312" w:cs="宋体"/>
          <w:kern w:val="0"/>
          <w:sz w:val="24"/>
          <w:szCs w:val="24"/>
          <w:lang w:val="en-US" w:eastAsia="zh-CN"/>
        </w:rPr>
        <w:t>附件二</w:t>
      </w:r>
      <w:r>
        <w:rPr>
          <w:rFonts w:hint="eastAsia" w:ascii="仿宋_GB2312" w:hAnsi="宋体" w:eastAsia="仿宋_GB2312" w:cs="宋体"/>
          <w:kern w:val="0"/>
          <w:sz w:val="24"/>
          <w:szCs w:val="24"/>
          <w:lang w:eastAsia="zh-CN"/>
        </w:rPr>
        <w:t>）</w:t>
      </w:r>
      <w:r>
        <w:rPr>
          <w:rFonts w:hint="eastAsia" w:ascii="仿宋_GB2312" w:hAnsi="宋体" w:eastAsia="仿宋_GB2312" w:cs="宋体"/>
          <w:kern w:val="0"/>
          <w:sz w:val="24"/>
          <w:szCs w:val="24"/>
        </w:rPr>
        <w:t>，乙方工作人员接受甲方安全管理部门</w:t>
      </w:r>
      <w:r>
        <w:rPr>
          <w:rFonts w:hint="eastAsia" w:ascii="仿宋_GB2312" w:hAnsi="宋体" w:eastAsia="仿宋_GB2312" w:cs="宋体"/>
          <w:color w:val="auto"/>
          <w:kern w:val="0"/>
          <w:sz w:val="24"/>
          <w:szCs w:val="24"/>
        </w:rPr>
        <w:t>及施工现场总承包方</w:t>
      </w:r>
      <w:r>
        <w:rPr>
          <w:rFonts w:hint="eastAsia" w:ascii="仿宋_GB2312" w:hAnsi="宋体" w:eastAsia="仿宋_GB2312" w:cs="宋体"/>
          <w:kern w:val="0"/>
          <w:sz w:val="24"/>
          <w:szCs w:val="24"/>
        </w:rPr>
        <w:t>的安全制度的教育并应遵守执行，并办理出入证件。</w:t>
      </w:r>
      <w:r>
        <w:rPr>
          <w:rFonts w:hint="eastAsia" w:ascii="仿宋_GB2312" w:hAnsi="宋体" w:eastAsia="仿宋_GB2312" w:cs="宋体"/>
          <w:kern w:val="0"/>
          <w:sz w:val="24"/>
          <w:szCs w:val="24"/>
          <w:lang w:val="en-US" w:eastAsia="zh-CN"/>
        </w:rPr>
        <w:t xml:space="preserve">                   </w:t>
      </w:r>
    </w:p>
    <w:p w14:paraId="588FC019">
      <w:pPr>
        <w:widowControl/>
        <w:spacing w:line="360" w:lineRule="auto"/>
        <w:ind w:right="-1" w:firstLine="600" w:firstLineChars="25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8.1.3 乙方应对其在施工场地的工作人员进行安全教育，做好施工人员的安全管理工作，承担施工人员的安全责任。如因发生安全事故或其他人身、财产损害的，乙方应当及时处理解决，并承担所产生的相关责任，且保证不得延误工期或影响相关工程项目质量。甲方不得要求乙方违反安全管理的规定进行施工。</w:t>
      </w:r>
    </w:p>
    <w:p w14:paraId="1160CC81">
      <w:pPr>
        <w:widowControl/>
        <w:spacing w:line="360" w:lineRule="auto"/>
        <w:ind w:right="-1" w:firstLine="600" w:firstLineChars="25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8.1.4施工期间，甲方</w:t>
      </w:r>
      <w:r>
        <w:rPr>
          <w:rFonts w:hint="eastAsia" w:ascii="仿宋_GB2312" w:hAnsi="宋体" w:eastAsia="仿宋_GB2312" w:cs="宋体"/>
          <w:color w:val="auto"/>
          <w:kern w:val="0"/>
          <w:sz w:val="24"/>
          <w:szCs w:val="24"/>
        </w:rPr>
        <w:t>及施工现场总承包方有</w:t>
      </w:r>
      <w:r>
        <w:rPr>
          <w:rFonts w:hint="eastAsia" w:ascii="仿宋_GB2312" w:hAnsi="宋体" w:eastAsia="仿宋_GB2312" w:cs="宋体"/>
          <w:kern w:val="0"/>
          <w:sz w:val="24"/>
          <w:szCs w:val="24"/>
        </w:rPr>
        <w:t>权对乙方违反安全生产和文明施工的操作可提出限时整改要求，乙方必须无条件立即停止违规作业，整改至合格为止。如经检查不合格达两次，或未按限期要求整改或整改达两次扔不符合要求的，甲方有权责令其停工（工期不予顺延）、更换现场负责人直至合同终止。</w:t>
      </w:r>
    </w:p>
    <w:p w14:paraId="2D7C1AE6">
      <w:pPr>
        <w:widowControl/>
        <w:spacing w:line="360" w:lineRule="auto"/>
        <w:ind w:right="-1" w:firstLine="600" w:firstLineChars="25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8.2．安全防护</w:t>
      </w:r>
    </w:p>
    <w:p w14:paraId="3E6216D3">
      <w:pPr>
        <w:widowControl/>
        <w:spacing w:line="360" w:lineRule="auto"/>
        <w:ind w:right="-1" w:firstLine="600" w:firstLineChars="250"/>
        <w:rPr>
          <w:rFonts w:hint="eastAsia" w:ascii="仿宋_GB2312" w:hAnsi="宋体" w:eastAsia="仿宋_GB2312" w:cs="宋体"/>
          <w:color w:val="auto"/>
          <w:kern w:val="0"/>
          <w:sz w:val="24"/>
          <w:szCs w:val="24"/>
        </w:rPr>
      </w:pPr>
      <w:r>
        <w:rPr>
          <w:rFonts w:hint="eastAsia" w:ascii="仿宋_GB2312" w:hAnsi="宋体" w:eastAsia="仿宋_GB2312" w:cs="宋体"/>
          <w:kern w:val="0"/>
          <w:sz w:val="24"/>
          <w:szCs w:val="24"/>
        </w:rPr>
        <w:t>8.2.1 乙方在土方开挖、设备吊装、动火作业、动力设备、输电线路、地下管道、密闭空间、易燃易爆地段以及临街交通要道附近施工时，施工开始前应</w:t>
      </w:r>
      <w:r>
        <w:rPr>
          <w:rFonts w:hint="eastAsia" w:ascii="仿宋_GB2312" w:hAnsi="宋体" w:eastAsia="仿宋_GB2312" w:cs="宋体"/>
          <w:color w:val="auto"/>
          <w:kern w:val="0"/>
          <w:sz w:val="24"/>
          <w:szCs w:val="24"/>
        </w:rPr>
        <w:t>编制施工方案，并向工作人员进行安全交底。经甲方及施工现场总承包方</w:t>
      </w:r>
      <w:r>
        <w:rPr>
          <w:rFonts w:hint="eastAsia" w:ascii="仿宋_GB2312" w:hAnsi="宋体" w:eastAsia="仿宋_GB2312" w:cs="宋体"/>
          <w:color w:val="auto"/>
          <w:kern w:val="0"/>
          <w:sz w:val="24"/>
          <w:szCs w:val="24"/>
          <w:lang w:val="en-US" w:eastAsia="zh-CN"/>
        </w:rPr>
        <w:t>和相关行政主管机关</w:t>
      </w:r>
      <w:r>
        <w:rPr>
          <w:rFonts w:hint="eastAsia" w:ascii="仿宋_GB2312" w:hAnsi="宋体" w:eastAsia="仿宋_GB2312" w:cs="宋体"/>
          <w:color w:val="auto"/>
          <w:kern w:val="0"/>
          <w:sz w:val="24"/>
          <w:szCs w:val="24"/>
        </w:rPr>
        <w:t>有书面认可后方可实施，安全防护措施费用由乙方承担。若乙方在未取得</w:t>
      </w:r>
      <w:r>
        <w:rPr>
          <w:rFonts w:hint="eastAsia" w:ascii="仿宋_GB2312" w:hAnsi="宋体" w:eastAsia="仿宋_GB2312" w:cs="宋体"/>
          <w:color w:val="auto"/>
          <w:kern w:val="0"/>
          <w:sz w:val="24"/>
          <w:szCs w:val="24"/>
          <w:highlight w:val="none"/>
        </w:rPr>
        <w:t>甲方及</w:t>
      </w:r>
      <w:r>
        <w:rPr>
          <w:rFonts w:hint="eastAsia" w:ascii="仿宋_GB2312" w:hAnsi="宋体" w:eastAsia="仿宋_GB2312" w:cs="宋体"/>
          <w:color w:val="auto"/>
          <w:kern w:val="0"/>
          <w:sz w:val="24"/>
          <w:szCs w:val="24"/>
        </w:rPr>
        <w:t>施工现场总承包方</w:t>
      </w:r>
      <w:r>
        <w:rPr>
          <w:rFonts w:hint="eastAsia" w:ascii="仿宋_GB2312" w:hAnsi="宋体" w:eastAsia="仿宋_GB2312" w:cs="宋体"/>
          <w:color w:val="auto"/>
          <w:kern w:val="0"/>
          <w:sz w:val="24"/>
          <w:szCs w:val="24"/>
          <w:lang w:val="en-US" w:eastAsia="zh-CN"/>
        </w:rPr>
        <w:t>和相关行政主管机关</w:t>
      </w:r>
      <w:r>
        <w:rPr>
          <w:rFonts w:hint="eastAsia" w:ascii="仿宋_GB2312" w:hAnsi="宋体" w:eastAsia="仿宋_GB2312" w:cs="宋体"/>
          <w:color w:val="auto"/>
          <w:kern w:val="0"/>
          <w:sz w:val="24"/>
          <w:szCs w:val="24"/>
        </w:rPr>
        <w:t>有书面同意的情况下擅自动火作业、使用有毒害性、腐蚀性物品或进行前述相关施工的，造成不良后果的，由乙方承担，并承担由此而造成的损失及相应的赔偿责任。</w:t>
      </w:r>
    </w:p>
    <w:p w14:paraId="3E0509BF">
      <w:pPr>
        <w:widowControl/>
        <w:spacing w:line="360" w:lineRule="auto"/>
        <w:ind w:right="-1" w:firstLine="600" w:firstLineChars="250"/>
        <w:rPr>
          <w:rFonts w:ascii="仿宋_GB2312" w:hAnsi="宋体" w:eastAsia="仿宋_GB2312" w:cs="宋体"/>
          <w:kern w:val="0"/>
          <w:sz w:val="24"/>
          <w:szCs w:val="24"/>
        </w:rPr>
      </w:pPr>
      <w:r>
        <w:rPr>
          <w:rFonts w:hint="eastAsia" w:ascii="仿宋_GB2312" w:hAnsi="宋体" w:eastAsia="仿宋_GB2312" w:cs="宋体"/>
          <w:color w:val="auto"/>
          <w:kern w:val="0"/>
          <w:sz w:val="24"/>
          <w:szCs w:val="24"/>
        </w:rPr>
        <w:t>8.2.2乙方应按照相关法律法规规定及施工实际需要，给其在场工作人员配备足够的安全防护用品，费用由乙方承担。如发现乙方工作人员未配备安全防护用品时，甲方及施工现场总承包方有权制止其进入施工现场。如因未配备符合</w:t>
      </w:r>
      <w:r>
        <w:rPr>
          <w:rFonts w:hint="eastAsia" w:ascii="仿宋_GB2312" w:hAnsi="宋体" w:eastAsia="仿宋_GB2312" w:cs="宋体"/>
          <w:kern w:val="0"/>
          <w:sz w:val="24"/>
          <w:szCs w:val="24"/>
        </w:rPr>
        <w:t>要求的安全防护用品导致的工作人员发生伤亡等事故的，由乙方承担责任。</w:t>
      </w:r>
    </w:p>
    <w:p w14:paraId="0E486B8D">
      <w:pPr>
        <w:widowControl/>
        <w:spacing w:line="360" w:lineRule="auto"/>
        <w:ind w:right="-1" w:firstLine="600" w:firstLineChars="25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8.3．事故处理</w:t>
      </w:r>
    </w:p>
    <w:p w14:paraId="6BC03BD6">
      <w:pPr>
        <w:widowControl/>
        <w:spacing w:line="360" w:lineRule="auto"/>
        <w:ind w:right="-1" w:firstLine="600" w:firstLineChars="250"/>
        <w:rPr>
          <w:rFonts w:hint="eastAsia" w:ascii="仿宋_GB2312" w:hAnsi="宋体" w:eastAsia="仿宋_GB2312" w:cs="宋体"/>
          <w:kern w:val="0"/>
          <w:sz w:val="24"/>
          <w:szCs w:val="24"/>
        </w:rPr>
      </w:pPr>
      <w:r>
        <w:rPr>
          <w:rFonts w:hint="eastAsia" w:ascii="仿宋_GB2312" w:hAnsi="宋体" w:eastAsia="仿宋_GB2312" w:cs="宋体"/>
          <w:color w:val="auto"/>
          <w:kern w:val="0"/>
          <w:sz w:val="24"/>
          <w:szCs w:val="24"/>
        </w:rPr>
        <w:t>8.3.1 发生安全事故，乙方应按有关规定立即上报有关部门并通知甲方及施工现场总承包方，同时按政府有关部门要求处理，</w:t>
      </w:r>
      <w:r>
        <w:rPr>
          <w:rFonts w:hint="eastAsia" w:ascii="仿宋_GB2312" w:hAnsi="宋体" w:eastAsia="仿宋_GB2312" w:cs="宋体"/>
          <w:color w:val="auto"/>
          <w:kern w:val="0"/>
          <w:sz w:val="24"/>
          <w:szCs w:val="24"/>
          <w:lang w:val="en-US" w:eastAsia="zh-CN"/>
        </w:rPr>
        <w:t>因乙方原因导致的</w:t>
      </w:r>
      <w:r>
        <w:rPr>
          <w:rFonts w:hint="eastAsia" w:ascii="仿宋_GB2312" w:hAnsi="宋体" w:eastAsia="仿宋_GB2312" w:cs="宋体"/>
          <w:color w:val="auto"/>
          <w:kern w:val="0"/>
          <w:sz w:val="24"/>
          <w:szCs w:val="24"/>
        </w:rPr>
        <w:t>由</w:t>
      </w:r>
      <w:r>
        <w:rPr>
          <w:rFonts w:hint="eastAsia" w:ascii="仿宋_GB2312" w:hAnsi="宋体" w:eastAsia="仿宋_GB2312" w:cs="宋体"/>
          <w:color w:val="auto"/>
          <w:kern w:val="0"/>
          <w:sz w:val="24"/>
          <w:szCs w:val="24"/>
          <w:lang w:val="en-US" w:eastAsia="zh-CN"/>
        </w:rPr>
        <w:t>乙</w:t>
      </w:r>
      <w:r>
        <w:rPr>
          <w:rFonts w:hint="eastAsia" w:ascii="仿宋_GB2312" w:hAnsi="宋体" w:eastAsia="仿宋_GB2312" w:cs="宋体"/>
          <w:color w:val="auto"/>
          <w:kern w:val="0"/>
          <w:sz w:val="24"/>
          <w:szCs w:val="24"/>
        </w:rPr>
        <w:t>方承担发生的费</w:t>
      </w:r>
      <w:r>
        <w:rPr>
          <w:rFonts w:hint="eastAsia" w:ascii="仿宋_GB2312" w:hAnsi="宋体" w:eastAsia="仿宋_GB2312" w:cs="宋体"/>
          <w:kern w:val="0"/>
          <w:sz w:val="24"/>
          <w:szCs w:val="24"/>
        </w:rPr>
        <w:t>用。</w:t>
      </w:r>
    </w:p>
    <w:p w14:paraId="40C354FD">
      <w:pPr>
        <w:widowControl/>
        <w:spacing w:line="360" w:lineRule="auto"/>
        <w:ind w:right="-1" w:firstLine="600" w:firstLineChars="25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8.3.2 甲乙双方对事故责任有争议时，按政府有关部门的认定处理。</w:t>
      </w:r>
    </w:p>
    <w:p w14:paraId="1D1E8A04">
      <w:pPr>
        <w:spacing w:line="360" w:lineRule="auto"/>
        <w:ind w:firstLine="600" w:firstLineChars="250"/>
        <w:rPr>
          <w:rFonts w:hint="eastAsia" w:ascii="仿宋_GB2312" w:hAnsi="宋体" w:eastAsia="仿宋_GB2312" w:cs="宋体"/>
          <w:kern w:val="0"/>
          <w:sz w:val="24"/>
          <w:szCs w:val="24"/>
          <w:u w:val="none"/>
        </w:rPr>
      </w:pPr>
      <w:r>
        <w:rPr>
          <w:rFonts w:hint="eastAsia" w:ascii="仿宋_GB2312" w:hAnsi="宋体" w:eastAsia="仿宋_GB2312" w:cs="宋体"/>
          <w:kern w:val="0"/>
          <w:sz w:val="24"/>
          <w:szCs w:val="24"/>
          <w:u w:val="none"/>
        </w:rPr>
        <w:t>8.4现场工程安全文明施工规定：</w:t>
      </w:r>
    </w:p>
    <w:p w14:paraId="41517EB7">
      <w:pPr>
        <w:widowControl/>
        <w:wordWrap/>
        <w:spacing w:line="360" w:lineRule="auto"/>
        <w:ind w:right="-1" w:firstLine="600" w:firstLineChars="250"/>
        <w:rPr>
          <w:rFonts w:hint="eastAsia" w:ascii="仿宋_GB2312" w:hAnsi="宋体" w:eastAsia="仿宋_GB2312" w:cs="宋体"/>
          <w:color w:val="auto"/>
          <w:kern w:val="0"/>
          <w:sz w:val="24"/>
          <w:szCs w:val="24"/>
          <w:u w:val="none"/>
        </w:rPr>
      </w:pPr>
      <w:r>
        <w:rPr>
          <w:rFonts w:hint="eastAsia" w:ascii="仿宋_GB2312" w:hAnsi="宋体" w:eastAsia="仿宋_GB2312" w:cs="宋体"/>
          <w:color w:val="auto"/>
          <w:kern w:val="0"/>
          <w:sz w:val="24"/>
          <w:szCs w:val="24"/>
          <w:u w:val="none"/>
          <w:lang w:val="en-US" w:eastAsia="zh-CN"/>
        </w:rPr>
        <w:t>8.4.1乙方</w:t>
      </w:r>
      <w:r>
        <w:rPr>
          <w:rFonts w:hint="eastAsia" w:ascii="仿宋_GB2312" w:hAnsi="宋体" w:eastAsia="仿宋_GB2312" w:cs="宋体"/>
          <w:color w:val="auto"/>
          <w:kern w:val="0"/>
          <w:sz w:val="24"/>
          <w:szCs w:val="24"/>
          <w:u w:val="none"/>
        </w:rPr>
        <w:t>应建立健全建筑施工安全生产组织机构和安全保证体系，落实安全生产责任制，按照工程建设安全生产的有关管理规定，采取相应措施，负责现场全部作业</w:t>
      </w:r>
      <w:r>
        <w:rPr>
          <w:rFonts w:hint="eastAsia" w:ascii="仿宋_GB2312" w:hAnsi="宋体" w:eastAsia="仿宋_GB2312" w:cs="宋体"/>
          <w:color w:val="auto"/>
          <w:kern w:val="0"/>
          <w:sz w:val="24"/>
          <w:szCs w:val="24"/>
          <w:u w:val="none"/>
          <w:lang w:val="en-US" w:eastAsia="zh-CN"/>
        </w:rPr>
        <w:t>和人员（包括但不限于甲方人员、乙方人员和路人等）</w:t>
      </w:r>
      <w:r>
        <w:rPr>
          <w:rFonts w:hint="eastAsia" w:ascii="仿宋_GB2312" w:hAnsi="宋体" w:eastAsia="仿宋_GB2312" w:cs="宋体"/>
          <w:color w:val="auto"/>
          <w:kern w:val="0"/>
          <w:sz w:val="24"/>
          <w:szCs w:val="24"/>
          <w:u w:val="none"/>
        </w:rPr>
        <w:t>的安全，并对此承担全部责任。</w:t>
      </w:r>
    </w:p>
    <w:p w14:paraId="5C6F9F51">
      <w:pPr>
        <w:widowControl/>
        <w:wordWrap/>
        <w:spacing w:line="360" w:lineRule="auto"/>
        <w:ind w:right="-1" w:firstLine="600" w:firstLineChars="250"/>
        <w:rPr>
          <w:rFonts w:hint="eastAsia" w:ascii="仿宋_GB2312" w:hAnsi="宋体" w:eastAsia="仿宋_GB2312" w:cs="宋体"/>
          <w:color w:val="auto"/>
          <w:kern w:val="0"/>
          <w:sz w:val="24"/>
          <w:szCs w:val="24"/>
          <w:u w:val="none"/>
        </w:rPr>
      </w:pPr>
      <w:r>
        <w:rPr>
          <w:rFonts w:hint="eastAsia" w:ascii="仿宋_GB2312" w:hAnsi="宋体" w:eastAsia="仿宋_GB2312" w:cs="宋体"/>
          <w:color w:val="auto"/>
          <w:kern w:val="0"/>
          <w:sz w:val="24"/>
          <w:szCs w:val="24"/>
          <w:u w:val="none"/>
          <w:lang w:val="en-US" w:eastAsia="zh-CN"/>
        </w:rPr>
        <w:t>8.4.2乙方</w:t>
      </w:r>
      <w:r>
        <w:rPr>
          <w:rFonts w:hint="eastAsia" w:ascii="仿宋_GB2312" w:hAnsi="宋体" w:eastAsia="仿宋_GB2312" w:cs="宋体"/>
          <w:color w:val="auto"/>
          <w:kern w:val="0"/>
          <w:sz w:val="24"/>
          <w:szCs w:val="24"/>
          <w:u w:val="none"/>
        </w:rPr>
        <w:t>在施工中必须制定定期检查制度，加强对自身及其承包管理范围内各专业单位在安全施工方面的检查、监督</w:t>
      </w:r>
      <w:r>
        <w:rPr>
          <w:rFonts w:hint="eastAsia" w:ascii="仿宋_GB2312" w:hAnsi="宋体" w:eastAsia="仿宋_GB2312" w:cs="宋体"/>
          <w:color w:val="auto"/>
          <w:kern w:val="0"/>
          <w:sz w:val="24"/>
          <w:szCs w:val="24"/>
          <w:highlight w:val="none"/>
          <w:u w:val="none"/>
        </w:rPr>
        <w:t>管理；若被</w:t>
      </w:r>
      <w:r>
        <w:rPr>
          <w:rFonts w:hint="eastAsia" w:ascii="仿宋_GB2312" w:hAnsi="宋体" w:eastAsia="仿宋_GB2312" w:cs="宋体"/>
          <w:color w:val="auto"/>
          <w:kern w:val="0"/>
          <w:sz w:val="24"/>
          <w:szCs w:val="24"/>
          <w:highlight w:val="none"/>
          <w:u w:val="none"/>
          <w:lang w:val="en-US" w:eastAsia="zh-CN"/>
        </w:rPr>
        <w:t>甲方或施工总承包方或监理方巡查</w:t>
      </w:r>
      <w:r>
        <w:rPr>
          <w:rFonts w:hint="eastAsia" w:ascii="仿宋_GB2312" w:hAnsi="宋体" w:eastAsia="仿宋_GB2312" w:cs="宋体"/>
          <w:color w:val="auto"/>
          <w:kern w:val="0"/>
          <w:sz w:val="24"/>
          <w:szCs w:val="24"/>
          <w:highlight w:val="none"/>
          <w:u w:val="none"/>
        </w:rPr>
        <w:t>发现</w:t>
      </w:r>
      <w:r>
        <w:rPr>
          <w:rFonts w:hint="eastAsia" w:ascii="仿宋_GB2312" w:hAnsi="宋体" w:eastAsia="仿宋_GB2312" w:cs="宋体"/>
          <w:color w:val="auto"/>
          <w:kern w:val="0"/>
          <w:sz w:val="24"/>
          <w:szCs w:val="24"/>
          <w:highlight w:val="none"/>
          <w:u w:val="none"/>
          <w:lang w:val="en-US" w:eastAsia="zh-CN"/>
        </w:rPr>
        <w:t>经评定</w:t>
      </w:r>
      <w:r>
        <w:rPr>
          <w:rFonts w:hint="eastAsia" w:ascii="仿宋_GB2312" w:hAnsi="宋体" w:eastAsia="仿宋_GB2312" w:cs="宋体"/>
          <w:color w:val="auto"/>
          <w:kern w:val="0"/>
          <w:sz w:val="24"/>
          <w:szCs w:val="24"/>
          <w:highlight w:val="none"/>
          <w:u w:val="none"/>
        </w:rPr>
        <w:t>存在严重安全隐患的，</w:t>
      </w:r>
      <w:r>
        <w:rPr>
          <w:rFonts w:hint="eastAsia" w:ascii="仿宋_GB2312" w:hAnsi="宋体" w:eastAsia="仿宋_GB2312" w:cs="宋体"/>
          <w:color w:val="auto"/>
          <w:kern w:val="0"/>
          <w:sz w:val="24"/>
          <w:szCs w:val="24"/>
          <w:u w:val="none"/>
        </w:rPr>
        <w:t>应按照合同的约定承担违约责任。</w:t>
      </w:r>
    </w:p>
    <w:p w14:paraId="2D2C54A6">
      <w:pPr>
        <w:widowControl/>
        <w:wordWrap/>
        <w:spacing w:line="360" w:lineRule="auto"/>
        <w:ind w:right="-1" w:firstLine="600" w:firstLineChars="250"/>
        <w:rPr>
          <w:rFonts w:hint="eastAsia" w:ascii="仿宋_GB2312" w:hAnsi="宋体" w:eastAsia="仿宋_GB2312" w:cs="宋体"/>
          <w:color w:val="auto"/>
          <w:kern w:val="0"/>
          <w:sz w:val="24"/>
          <w:szCs w:val="24"/>
          <w:u w:val="none"/>
          <w:lang w:val="en-US" w:eastAsia="zh-CN"/>
        </w:rPr>
      </w:pPr>
      <w:r>
        <w:rPr>
          <w:rFonts w:hint="eastAsia" w:ascii="仿宋_GB2312" w:hAnsi="宋体" w:eastAsia="仿宋_GB2312" w:cs="宋体"/>
          <w:color w:val="auto"/>
          <w:kern w:val="0"/>
          <w:sz w:val="24"/>
          <w:szCs w:val="24"/>
          <w:u w:val="none"/>
          <w:lang w:val="en-US" w:eastAsia="zh-CN"/>
        </w:rPr>
        <w:t>8.4.3 本合同乙方为</w:t>
      </w:r>
      <w:r>
        <w:rPr>
          <w:rFonts w:hint="eastAsia" w:ascii="仿宋_GB2312" w:hAnsi="宋体" w:eastAsia="仿宋_GB2312" w:cs="宋体"/>
          <w:color w:val="auto"/>
          <w:kern w:val="0"/>
          <w:sz w:val="24"/>
          <w:szCs w:val="24"/>
          <w:u w:val="none"/>
        </w:rPr>
        <w:t>广州白云山何济公制药厂易地改造项目一期调整及二期项目</w:t>
      </w:r>
      <w:r>
        <w:rPr>
          <w:rFonts w:hint="eastAsia" w:ascii="仿宋_GB2312" w:hAnsi="宋体" w:eastAsia="仿宋_GB2312" w:cs="宋体"/>
          <w:color w:val="auto"/>
          <w:kern w:val="0"/>
          <w:sz w:val="24"/>
          <w:szCs w:val="24"/>
          <w:u w:val="none"/>
          <w:lang w:val="en-US" w:eastAsia="zh-CN"/>
        </w:rPr>
        <w:t>中甲方指定的专业分包单位。在实施过程中，乙方需接受甲方及总承包方的管理。进场施工前，需与甲方、总承包单位签订三方安全协议（附件二）。如乙方在施工过程中有违反本合同及三方安全协议中约定的条款，甲方及总承包方有权要求乙方承担违约责任，并按合同约定进行违约处罚。</w:t>
      </w:r>
    </w:p>
    <w:p w14:paraId="6B7C5B52">
      <w:pPr>
        <w:wordWrap w:val="0"/>
        <w:ind w:firstLine="720" w:firstLineChars="300"/>
        <w:rPr>
          <w:rFonts w:hint="default" w:ascii="仿宋" w:hAnsi="仿宋" w:eastAsia="仿宋" w:cs="仿宋"/>
          <w:sz w:val="24"/>
          <w:szCs w:val="24"/>
          <w:u w:val="none"/>
          <w:lang w:val="en-US" w:eastAsia="zh-CN"/>
        </w:rPr>
      </w:pPr>
    </w:p>
    <w:p w14:paraId="268F3ECB">
      <w:pPr>
        <w:tabs>
          <w:tab w:val="left" w:pos="900"/>
        </w:tabs>
        <w:spacing w:line="360" w:lineRule="auto"/>
        <w:ind w:firstLine="482" w:firstLineChars="200"/>
        <w:rPr>
          <w:rFonts w:hint="eastAsia" w:ascii="仿宋_GB2312" w:hAnsi="黑体" w:eastAsia="仿宋_GB2312"/>
          <w:b/>
          <w:sz w:val="24"/>
          <w:szCs w:val="24"/>
        </w:rPr>
      </w:pPr>
      <w:r>
        <w:rPr>
          <w:rFonts w:hint="eastAsia" w:ascii="仿宋_GB2312" w:hAnsi="黑体" w:eastAsia="仿宋_GB2312"/>
          <w:b/>
          <w:sz w:val="24"/>
          <w:szCs w:val="24"/>
        </w:rPr>
        <w:t>第九条 违约责任与赔偿损失</w:t>
      </w:r>
    </w:p>
    <w:p w14:paraId="5670E2EB">
      <w:pPr>
        <w:tabs>
          <w:tab w:val="left" w:pos="900"/>
        </w:tabs>
        <w:spacing w:line="360" w:lineRule="auto"/>
        <w:ind w:firstLine="480" w:firstLineChars="200"/>
        <w:rPr>
          <w:rFonts w:hint="eastAsia" w:ascii="仿宋_GB2312" w:eastAsia="仿宋_GB2312"/>
          <w:sz w:val="24"/>
          <w:szCs w:val="24"/>
        </w:rPr>
      </w:pPr>
      <w:r>
        <w:rPr>
          <w:rFonts w:hint="eastAsia" w:ascii="仿宋_GB2312" w:eastAsia="仿宋_GB2312"/>
          <w:sz w:val="24"/>
          <w:szCs w:val="24"/>
        </w:rPr>
        <w:t>9.1乙方交付的货物、工程或提供的服务不符合招标文件或本合同规定的，甲方有权拒收、退货。乙方将退货前甲方已付的所有款项退还甲方，并且乙方须向甲方支付本合同总额</w:t>
      </w:r>
      <w:r>
        <w:rPr>
          <w:rFonts w:hint="eastAsia" w:ascii="仿宋_GB2312" w:eastAsia="仿宋_GB2312"/>
          <w:b/>
          <w:sz w:val="24"/>
          <w:szCs w:val="24"/>
        </w:rPr>
        <w:t>20%</w:t>
      </w:r>
      <w:r>
        <w:rPr>
          <w:rFonts w:hint="eastAsia" w:ascii="仿宋_GB2312" w:eastAsia="仿宋_GB2312"/>
          <w:sz w:val="24"/>
          <w:szCs w:val="24"/>
        </w:rPr>
        <w:t>的违约金。</w:t>
      </w:r>
    </w:p>
    <w:p w14:paraId="794345F4">
      <w:pPr>
        <w:tabs>
          <w:tab w:val="left" w:pos="900"/>
        </w:tabs>
        <w:spacing w:line="360" w:lineRule="auto"/>
        <w:ind w:firstLine="480" w:firstLineChars="200"/>
        <w:rPr>
          <w:rFonts w:hint="eastAsia" w:ascii="仿宋_GB2312" w:eastAsia="仿宋_GB2312"/>
          <w:sz w:val="24"/>
          <w:szCs w:val="24"/>
        </w:rPr>
      </w:pPr>
      <w:r>
        <w:rPr>
          <w:rFonts w:hint="eastAsia" w:ascii="仿宋_GB2312" w:eastAsia="仿宋_GB2312"/>
          <w:sz w:val="24"/>
          <w:szCs w:val="24"/>
        </w:rPr>
        <w:t>9.2</w:t>
      </w:r>
      <w:r>
        <w:rPr>
          <w:rFonts w:hint="eastAsia" w:ascii="仿宋_GB2312" w:hAnsi="宋体" w:eastAsia="仿宋_GB2312" w:cs="宋体"/>
          <w:kern w:val="0"/>
          <w:sz w:val="24"/>
          <w:szCs w:val="24"/>
        </w:rPr>
        <w:t>乙方每拖延一天工期</w:t>
      </w:r>
      <w:r>
        <w:rPr>
          <w:rFonts w:hint="eastAsia" w:ascii="仿宋_GB2312" w:eastAsia="仿宋_GB2312"/>
          <w:sz w:val="24"/>
          <w:szCs w:val="24"/>
        </w:rPr>
        <w:t>，从</w:t>
      </w:r>
      <w:bookmarkStart w:id="8" w:name="_Hlk511028331"/>
      <w:r>
        <w:rPr>
          <w:rFonts w:hint="eastAsia" w:ascii="仿宋_GB2312" w:eastAsia="仿宋_GB2312"/>
          <w:sz w:val="24"/>
          <w:szCs w:val="24"/>
        </w:rPr>
        <w:t>逾期</w:t>
      </w:r>
      <w:bookmarkEnd w:id="8"/>
      <w:r>
        <w:rPr>
          <w:rFonts w:hint="eastAsia" w:ascii="仿宋_GB2312" w:eastAsia="仿宋_GB2312"/>
          <w:sz w:val="24"/>
          <w:szCs w:val="24"/>
        </w:rPr>
        <w:t>之日起每日按本合同总额</w:t>
      </w:r>
      <w:r>
        <w:rPr>
          <w:rFonts w:hint="eastAsia" w:ascii="仿宋_GB2312" w:eastAsia="仿宋_GB2312"/>
          <w:b/>
          <w:sz w:val="24"/>
          <w:szCs w:val="24"/>
        </w:rPr>
        <w:t>3‰</w:t>
      </w:r>
      <w:r>
        <w:rPr>
          <w:rFonts w:hint="eastAsia" w:ascii="仿宋_GB2312" w:eastAsia="仿宋_GB2312"/>
          <w:sz w:val="24"/>
          <w:szCs w:val="24"/>
        </w:rPr>
        <w:t>的数额向甲方支付违约金并承担相关经济损失；逾期15个日历天以上的，甲方有权单方终止合同，乙方须向甲方支付本合同总额</w:t>
      </w:r>
      <w:r>
        <w:rPr>
          <w:rFonts w:hint="eastAsia" w:ascii="仿宋_GB2312" w:eastAsia="仿宋_GB2312"/>
          <w:b/>
          <w:sz w:val="24"/>
          <w:szCs w:val="24"/>
        </w:rPr>
        <w:t>20%</w:t>
      </w:r>
      <w:r>
        <w:rPr>
          <w:rFonts w:hint="eastAsia" w:ascii="仿宋_GB2312" w:eastAsia="仿宋_GB2312"/>
          <w:sz w:val="24"/>
          <w:szCs w:val="24"/>
        </w:rPr>
        <w:t>的违约金，以及甲方由此遭受的经济损失</w:t>
      </w:r>
      <w:r>
        <w:rPr>
          <w:rFonts w:hint="eastAsia" w:ascii="仿宋_GB2312" w:hAnsi="宋体" w:eastAsia="仿宋_GB2312" w:cs="宋体"/>
          <w:b w:val="0"/>
          <w:kern w:val="0"/>
          <w:sz w:val="24"/>
          <w:szCs w:val="24"/>
          <w:lang w:val="en-US" w:eastAsia="zh-CN"/>
        </w:rPr>
        <w:t>（包括但不限于甲方直接经济损失、委托他方重新施工的支出费用、第三方索赔、行政处罚和甲方实现债权的诉讼费、仲裁费、律师费、公证费、评估费、鉴定费、担保费、保全费、交通费、差旅费等，下同）</w:t>
      </w:r>
      <w:r>
        <w:rPr>
          <w:rFonts w:hint="eastAsia" w:ascii="仿宋_GB2312" w:eastAsia="仿宋_GB2312"/>
          <w:sz w:val="24"/>
          <w:szCs w:val="24"/>
        </w:rPr>
        <w:t>。同时甲方将保留进一步要求继续承担赔偿损失的权利。</w:t>
      </w:r>
    </w:p>
    <w:p w14:paraId="7FB6DBBF">
      <w:pPr>
        <w:tabs>
          <w:tab w:val="left" w:pos="900"/>
        </w:tabs>
        <w:spacing w:line="360" w:lineRule="auto"/>
        <w:ind w:firstLine="480" w:firstLineChars="200"/>
        <w:rPr>
          <w:rFonts w:hint="eastAsia" w:ascii="仿宋_GB2312" w:eastAsia="仿宋_GB2312"/>
          <w:sz w:val="24"/>
          <w:szCs w:val="24"/>
        </w:rPr>
      </w:pPr>
      <w:r>
        <w:rPr>
          <w:rFonts w:hint="eastAsia" w:ascii="仿宋_GB2312" w:hAnsi="宋体" w:eastAsia="仿宋_GB2312" w:cs="宋体"/>
          <w:kern w:val="0"/>
          <w:sz w:val="24"/>
          <w:szCs w:val="24"/>
        </w:rPr>
        <w:t>9.3</w:t>
      </w:r>
      <w:bookmarkStart w:id="9" w:name="_Hlk511141051"/>
      <w:r>
        <w:rPr>
          <w:rFonts w:hint="eastAsia" w:ascii="仿宋_GB2312" w:hAnsi="宋体" w:eastAsia="仿宋_GB2312" w:cs="宋体"/>
          <w:kern w:val="0"/>
          <w:sz w:val="24"/>
          <w:szCs w:val="24"/>
        </w:rPr>
        <w:t>因乙方原因，造成本工程停工累计达十天的，甲方有权单方书面通知乙方立即解除合同</w:t>
      </w:r>
      <w:bookmarkEnd w:id="9"/>
      <w:r>
        <w:rPr>
          <w:rFonts w:hint="eastAsia" w:ascii="仿宋_GB2312" w:hAnsi="宋体" w:eastAsia="仿宋_GB2312" w:cs="宋体"/>
          <w:kern w:val="0"/>
          <w:sz w:val="24"/>
          <w:szCs w:val="24"/>
        </w:rPr>
        <w:t>；乙方应将</w:t>
      </w:r>
      <w:r>
        <w:rPr>
          <w:rFonts w:hint="eastAsia" w:ascii="仿宋_GB2312" w:eastAsia="仿宋_GB2312"/>
          <w:sz w:val="24"/>
          <w:szCs w:val="24"/>
        </w:rPr>
        <w:t>甲方已付的所有款项退还甲方，并且乙方须向甲方支付本合同总额</w:t>
      </w:r>
      <w:r>
        <w:rPr>
          <w:rFonts w:hint="eastAsia" w:ascii="仿宋_GB2312" w:eastAsia="仿宋_GB2312"/>
          <w:b/>
          <w:sz w:val="24"/>
          <w:szCs w:val="24"/>
        </w:rPr>
        <w:t>20%</w:t>
      </w:r>
      <w:r>
        <w:rPr>
          <w:rFonts w:hint="eastAsia" w:ascii="仿宋_GB2312" w:eastAsia="仿宋_GB2312"/>
          <w:sz w:val="24"/>
          <w:szCs w:val="24"/>
        </w:rPr>
        <w:t>的违约金。同时甲方将保留进一步要求继续承担赔偿损失的权利。</w:t>
      </w:r>
    </w:p>
    <w:p w14:paraId="2F60CAD4">
      <w:pPr>
        <w:widowControl/>
        <w:spacing w:line="360" w:lineRule="auto"/>
        <w:ind w:firstLine="480" w:firstLineChars="200"/>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9.4因乙方拖延工期造成甲方的损失所产生的一切责任，由乙方负责。</w:t>
      </w:r>
    </w:p>
    <w:p w14:paraId="6F2E4886">
      <w:pPr>
        <w:widowControl/>
        <w:tabs>
          <w:tab w:val="left" w:pos="540"/>
        </w:tabs>
        <w:spacing w:line="360" w:lineRule="auto"/>
        <w:ind w:firstLine="480" w:firstLineChars="200"/>
        <w:rPr>
          <w:rFonts w:hint="eastAsia" w:ascii="宋体" w:hAnsi="宋体"/>
        </w:rPr>
      </w:pPr>
      <w:r>
        <w:rPr>
          <w:rFonts w:hint="eastAsia" w:ascii="仿宋_GB2312" w:hAnsi="宋体" w:eastAsia="仿宋_GB2312" w:cs="宋体"/>
          <w:kern w:val="0"/>
          <w:sz w:val="24"/>
          <w:szCs w:val="24"/>
        </w:rPr>
        <w:t>9.5因乙方原因，导致项目最终无法满足供电部门验收的，甲方有权解除本合同，由乙方退还全部已收款项并按照合同总价款的20％支付违约金给甲方。同时保留进一步要求继续承担违约责任和赔偿甲方损失的权利</w:t>
      </w:r>
      <w:r>
        <w:rPr>
          <w:rFonts w:hint="eastAsia" w:ascii="宋体" w:hAnsi="宋体"/>
        </w:rPr>
        <w:t>。</w:t>
      </w:r>
    </w:p>
    <w:p w14:paraId="34775B76">
      <w:pPr>
        <w:spacing w:line="360" w:lineRule="auto"/>
        <w:ind w:firstLine="480" w:firstLineChars="200"/>
        <w:rPr>
          <w:rFonts w:hint="default" w:ascii="仿宋_GB2312" w:eastAsia="仿宋_GB2312"/>
          <w:sz w:val="24"/>
          <w:szCs w:val="24"/>
          <w:lang w:val="en-US" w:eastAsia="zh-CN"/>
        </w:rPr>
      </w:pPr>
      <w:r>
        <w:rPr>
          <w:rFonts w:hint="eastAsia" w:ascii="仿宋_GB2312" w:eastAsia="仿宋_GB2312"/>
          <w:sz w:val="24"/>
          <w:szCs w:val="24"/>
        </w:rPr>
        <w:t>9.6甲方无正当理由拒收货物/接受服务，到期拒付货物/服务款项的，甲方须向乙方偿付本合同总额的</w:t>
      </w:r>
      <w:r>
        <w:rPr>
          <w:rFonts w:hint="eastAsia" w:ascii="仿宋_GB2312" w:eastAsia="仿宋_GB2312"/>
          <w:b/>
          <w:sz w:val="24"/>
          <w:szCs w:val="24"/>
        </w:rPr>
        <w:t>5%</w:t>
      </w:r>
      <w:r>
        <w:rPr>
          <w:rFonts w:hint="eastAsia" w:ascii="仿宋_GB2312" w:eastAsia="仿宋_GB2312"/>
          <w:sz w:val="24"/>
          <w:szCs w:val="24"/>
        </w:rPr>
        <w:t>的违约金。</w:t>
      </w:r>
      <w:r>
        <w:rPr>
          <w:rFonts w:hint="eastAsia" w:ascii="仿宋_GB2312" w:eastAsia="仿宋_GB2312"/>
          <w:sz w:val="24"/>
          <w:szCs w:val="24"/>
          <w:lang w:val="en-US" w:eastAsia="zh-CN"/>
        </w:rPr>
        <w:t>但因乙方原因（包括但不限于交货数量、质量、单据等错漏、缺失等）导致的情形除外，须由乙方承担全部损失。</w:t>
      </w:r>
    </w:p>
    <w:p w14:paraId="3E68669C">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9.7</w:t>
      </w:r>
      <w:r>
        <w:rPr>
          <w:rFonts w:hint="eastAsia" w:ascii="仿宋_GB2312" w:eastAsia="仿宋_GB2312"/>
          <w:sz w:val="24"/>
          <w:szCs w:val="24"/>
          <w:lang w:val="en-US" w:eastAsia="zh-CN"/>
        </w:rPr>
        <w:t>若未经甲方书面同意乙方擅自单方将本合同的全部或部分义务转由任何第三方履行或完成，或乙方存在侵权或工程质量问题或甲方遭受任何第三方索赔或行政处罚，或乙方不具备履行和完成本合同项下约定义务的合法有效资质条件，或乙方违反本合同及其附件、补充协议、招标文件、投标文件、技术文件和与本项目相关的其他文件与甲方要求的任何约定义务或承诺，或乙方存在违法违约行为的，均属于乙方违约。甲方有权单方解除本合同，</w:t>
      </w:r>
      <w:r>
        <w:rPr>
          <w:rFonts w:hint="eastAsia" w:ascii="仿宋_GB2312" w:hAnsi="宋体" w:eastAsia="仿宋_GB2312" w:cs="宋体"/>
          <w:kern w:val="0"/>
          <w:sz w:val="24"/>
          <w:szCs w:val="24"/>
        </w:rPr>
        <w:t>由乙方退还全部已收款项并按照合同总价款的20％支付违约金给甲方。同时</w:t>
      </w:r>
      <w:r>
        <w:rPr>
          <w:rFonts w:hint="eastAsia" w:ascii="仿宋_GB2312" w:hAnsi="宋体" w:eastAsia="仿宋_GB2312" w:cs="宋体"/>
          <w:kern w:val="0"/>
          <w:sz w:val="24"/>
          <w:szCs w:val="24"/>
          <w:lang w:val="en-US" w:eastAsia="zh-CN"/>
        </w:rPr>
        <w:t>甲方</w:t>
      </w:r>
      <w:r>
        <w:rPr>
          <w:rFonts w:hint="eastAsia" w:ascii="仿宋_GB2312" w:hAnsi="宋体" w:eastAsia="仿宋_GB2312" w:cs="宋体"/>
          <w:kern w:val="0"/>
          <w:sz w:val="24"/>
          <w:szCs w:val="24"/>
        </w:rPr>
        <w:t>保留进一步要求</w:t>
      </w:r>
      <w:r>
        <w:rPr>
          <w:rFonts w:hint="eastAsia" w:ascii="仿宋_GB2312" w:hAnsi="宋体" w:eastAsia="仿宋_GB2312" w:cs="宋体"/>
          <w:kern w:val="0"/>
          <w:sz w:val="24"/>
          <w:szCs w:val="24"/>
          <w:lang w:val="en-US" w:eastAsia="zh-CN"/>
        </w:rPr>
        <w:t>乙方</w:t>
      </w:r>
      <w:r>
        <w:rPr>
          <w:rFonts w:hint="eastAsia" w:ascii="仿宋_GB2312" w:hAnsi="宋体" w:eastAsia="仿宋_GB2312" w:cs="宋体"/>
          <w:kern w:val="0"/>
          <w:sz w:val="24"/>
          <w:szCs w:val="24"/>
        </w:rPr>
        <w:t>继续承担违约责任和赔偿甲方损失的权利</w:t>
      </w:r>
      <w:r>
        <w:rPr>
          <w:rFonts w:hint="eastAsia" w:ascii="仿宋_GB2312" w:eastAsia="仿宋_GB2312"/>
          <w:sz w:val="24"/>
          <w:szCs w:val="24"/>
        </w:rPr>
        <w:t>。</w:t>
      </w:r>
    </w:p>
    <w:p w14:paraId="1275E1E6">
      <w:pPr>
        <w:spacing w:line="360" w:lineRule="auto"/>
        <w:ind w:firstLine="480" w:firstLineChars="200"/>
        <w:rPr>
          <w:rFonts w:ascii="仿宋_GB2312" w:eastAsia="仿宋_GB2312"/>
          <w:sz w:val="24"/>
          <w:szCs w:val="24"/>
        </w:rPr>
      </w:pPr>
      <w:r>
        <w:rPr>
          <w:rFonts w:hint="eastAsia" w:ascii="仿宋_GB2312" w:eastAsia="仿宋_GB2312"/>
          <w:sz w:val="24"/>
          <w:szCs w:val="24"/>
        </w:rPr>
        <w:t>9.8本合同签订后，除双方另有约定外，均应遵照执行，否则即为违约，违约方除应承担相应的违约责任外，还应赔偿守约方因此遭受的损失，同时承担守约方因此支出的一切合理费用（包括但不限于律师费、评估鉴定费、保全费、诉讼费、公证费、调查取证费、差旅费等）。</w:t>
      </w:r>
    </w:p>
    <w:p w14:paraId="0BA219D2">
      <w:pPr>
        <w:spacing w:line="360" w:lineRule="auto"/>
        <w:rPr>
          <w:rFonts w:hint="eastAsia" w:ascii="仿宋_GB2312" w:eastAsia="仿宋_GB2312"/>
          <w:sz w:val="24"/>
          <w:szCs w:val="24"/>
        </w:rPr>
      </w:pPr>
    </w:p>
    <w:p w14:paraId="6513AB83">
      <w:pPr>
        <w:widowControl/>
        <w:spacing w:line="360" w:lineRule="auto"/>
        <w:ind w:firstLine="482" w:firstLineChars="200"/>
        <w:jc w:val="left"/>
        <w:outlineLvl w:val="1"/>
        <w:rPr>
          <w:rFonts w:hint="eastAsia" w:ascii="仿宋_GB2312" w:hAnsi="宋体" w:eastAsia="仿宋_GB2312" w:cs="Arial"/>
          <w:b/>
          <w:bCs/>
          <w:kern w:val="0"/>
          <w:sz w:val="24"/>
          <w:szCs w:val="24"/>
        </w:rPr>
      </w:pPr>
      <w:r>
        <w:rPr>
          <w:rFonts w:hint="eastAsia" w:ascii="仿宋_GB2312" w:hAnsi="黑体" w:eastAsia="仿宋_GB2312" w:cs="Arial"/>
          <w:b/>
          <w:bCs/>
          <w:kern w:val="0"/>
          <w:sz w:val="24"/>
          <w:szCs w:val="24"/>
        </w:rPr>
        <w:t>第十条 工程价款的支付与结算</w:t>
      </w:r>
    </w:p>
    <w:p w14:paraId="351BC7EF">
      <w:pPr>
        <w:widowControl/>
        <w:spacing w:line="360" w:lineRule="auto"/>
        <w:ind w:left="48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10.1付款方式：</w:t>
      </w:r>
    </w:p>
    <w:p w14:paraId="07DD683E">
      <w:pPr>
        <w:widowControl/>
        <w:spacing w:after="200" w:line="360" w:lineRule="auto"/>
        <w:ind w:firstLine="480" w:firstLineChars="200"/>
        <w:contextualSpacing/>
        <w:jc w:val="left"/>
        <w:rPr>
          <w:rFonts w:hint="eastAsia" w:ascii="仿宋_GB2312" w:eastAsia="仿宋_GB2312"/>
          <w:kern w:val="0"/>
          <w:sz w:val="24"/>
          <w:szCs w:val="24"/>
        </w:rPr>
      </w:pPr>
      <w:r>
        <w:rPr>
          <w:rFonts w:hint="eastAsia" w:ascii="仿宋_GB2312" w:eastAsia="仿宋_GB2312"/>
          <w:kern w:val="0"/>
          <w:sz w:val="24"/>
          <w:szCs w:val="24"/>
        </w:rPr>
        <w:t>本工程按进度拨付工程经费，并按以下顺序依次拨付：</w:t>
      </w:r>
    </w:p>
    <w:p w14:paraId="0F32B7EA">
      <w:pPr>
        <w:spacing w:line="360" w:lineRule="auto"/>
        <w:ind w:firstLine="360" w:firstLineChars="150"/>
        <w:rPr>
          <w:rFonts w:ascii="仿宋_GB2312" w:eastAsia="仿宋_GB2312"/>
          <w:sz w:val="24"/>
          <w:szCs w:val="24"/>
        </w:rPr>
      </w:pPr>
      <w:r>
        <w:rPr>
          <w:rFonts w:hint="eastAsia" w:ascii="仿宋_GB2312" w:eastAsia="仿宋_GB2312"/>
          <w:sz w:val="24"/>
          <w:szCs w:val="24"/>
        </w:rPr>
        <w:t>（1）在签订工程施工合同后十个工作日内，按合同价的30%支付工程预付款；</w:t>
      </w:r>
    </w:p>
    <w:p w14:paraId="1F02A194">
      <w:pPr>
        <w:spacing w:line="360" w:lineRule="auto"/>
        <w:ind w:firstLine="360" w:firstLineChars="150"/>
        <w:rPr>
          <w:rFonts w:ascii="仿宋_GB2312" w:eastAsia="仿宋_GB2312"/>
          <w:sz w:val="24"/>
          <w:szCs w:val="24"/>
        </w:rPr>
      </w:pPr>
      <w:r>
        <w:rPr>
          <w:rFonts w:hint="eastAsia" w:ascii="仿宋_GB2312" w:eastAsia="仿宋_GB2312"/>
          <w:sz w:val="24"/>
          <w:szCs w:val="24"/>
        </w:rPr>
        <w:t>（2）工程主要设备（主要设备指：变压器、发电机、高低压配电柜，主电缆铺设完成）到场且经验收通过，并就位安装并经甲方验收确认后，甲方在十个工作日内，按合同价的</w:t>
      </w:r>
      <w:r>
        <w:rPr>
          <w:rFonts w:hint="eastAsia" w:ascii="仿宋_GB2312" w:eastAsia="仿宋_GB2312"/>
          <w:sz w:val="24"/>
          <w:szCs w:val="24"/>
          <w:lang w:val="en-US" w:eastAsia="zh-CN"/>
        </w:rPr>
        <w:t>3</w:t>
      </w:r>
      <w:r>
        <w:rPr>
          <w:rFonts w:hint="eastAsia" w:ascii="仿宋_GB2312" w:eastAsia="仿宋_GB2312"/>
          <w:sz w:val="24"/>
          <w:szCs w:val="24"/>
        </w:rPr>
        <w:t>0%支付工程进度款；</w:t>
      </w:r>
    </w:p>
    <w:p w14:paraId="4583C1AC">
      <w:pPr>
        <w:spacing w:line="360" w:lineRule="auto"/>
        <w:ind w:firstLine="360" w:firstLineChars="150"/>
        <w:rPr>
          <w:rFonts w:ascii="仿宋_GB2312" w:eastAsia="仿宋_GB2312"/>
          <w:sz w:val="24"/>
          <w:szCs w:val="24"/>
        </w:rPr>
      </w:pPr>
      <w:r>
        <w:rPr>
          <w:rFonts w:hint="eastAsia" w:ascii="仿宋_GB2312" w:eastAsia="仿宋_GB2312"/>
          <w:sz w:val="24"/>
          <w:szCs w:val="24"/>
        </w:rPr>
        <w:t>（3）工程竣工验收，出具竣工图、经甲方验收合格，并获得供电部门验收并成功送电后，甲方在十个工作日内，按合同价的</w:t>
      </w:r>
      <w:r>
        <w:rPr>
          <w:rFonts w:hint="eastAsia" w:ascii="仿宋_GB2312" w:eastAsia="仿宋_GB2312"/>
          <w:sz w:val="24"/>
          <w:szCs w:val="24"/>
          <w:lang w:val="en-US" w:eastAsia="zh-CN"/>
        </w:rPr>
        <w:t>2</w:t>
      </w:r>
      <w:r>
        <w:rPr>
          <w:rFonts w:hint="eastAsia" w:ascii="仿宋_GB2312" w:eastAsia="仿宋_GB2312"/>
          <w:sz w:val="24"/>
          <w:szCs w:val="24"/>
        </w:rPr>
        <w:t>0%支付工程进度款；</w:t>
      </w:r>
    </w:p>
    <w:p w14:paraId="009454CF">
      <w:pPr>
        <w:spacing w:line="360" w:lineRule="auto"/>
        <w:ind w:firstLine="360" w:firstLineChars="150"/>
        <w:rPr>
          <w:rFonts w:ascii="仿宋_GB2312" w:eastAsia="仿宋_GB2312"/>
          <w:sz w:val="24"/>
          <w:szCs w:val="24"/>
        </w:rPr>
      </w:pPr>
      <w:r>
        <w:rPr>
          <w:rFonts w:hint="eastAsia" w:ascii="仿宋_GB2312" w:eastAsia="仿宋_GB2312"/>
          <w:sz w:val="24"/>
          <w:szCs w:val="24"/>
        </w:rPr>
        <w:t>（4）工程竣工结算经甲方指定造价咨询单位审核完毕后，甲方在十个工作日内，支付工程进度款至工程结算造价的9</w:t>
      </w:r>
      <w:r>
        <w:rPr>
          <w:rFonts w:hint="eastAsia" w:ascii="仿宋_GB2312" w:eastAsia="仿宋_GB2312"/>
          <w:sz w:val="24"/>
          <w:szCs w:val="24"/>
          <w:lang w:val="en-US" w:eastAsia="zh-CN"/>
        </w:rPr>
        <w:t>7</w:t>
      </w:r>
      <w:r>
        <w:rPr>
          <w:rFonts w:hint="eastAsia" w:ascii="仿宋_GB2312" w:eastAsia="仿宋_GB2312"/>
          <w:sz w:val="24"/>
          <w:szCs w:val="24"/>
        </w:rPr>
        <w:t>％；</w:t>
      </w:r>
    </w:p>
    <w:p w14:paraId="082D9577">
      <w:pPr>
        <w:spacing w:line="360" w:lineRule="auto"/>
        <w:ind w:firstLine="360" w:firstLineChars="150"/>
        <w:rPr>
          <w:rFonts w:hint="eastAsia" w:ascii="仿宋_GB2312" w:eastAsia="仿宋_GB2312"/>
          <w:sz w:val="24"/>
          <w:szCs w:val="24"/>
        </w:rPr>
      </w:pPr>
      <w:r>
        <w:rPr>
          <w:rFonts w:hint="eastAsia" w:ascii="仿宋_GB2312" w:eastAsia="仿宋_GB2312"/>
          <w:sz w:val="24"/>
          <w:szCs w:val="24"/>
        </w:rPr>
        <w:t>（5）本招标工程保留结算造价的</w:t>
      </w:r>
      <w:r>
        <w:rPr>
          <w:rFonts w:hint="eastAsia" w:ascii="仿宋_GB2312" w:eastAsia="仿宋_GB2312"/>
          <w:sz w:val="24"/>
          <w:szCs w:val="24"/>
          <w:lang w:val="en-US" w:eastAsia="zh-CN"/>
        </w:rPr>
        <w:t>3</w:t>
      </w:r>
      <w:r>
        <w:rPr>
          <w:rFonts w:hint="eastAsia" w:ascii="仿宋_GB2312" w:eastAsia="仿宋_GB2312"/>
          <w:sz w:val="24"/>
          <w:szCs w:val="24"/>
        </w:rPr>
        <w:t>%作为保修金，在工程竣工验收合格满一年且经双方根据实际保修情况结算确认后，甲方十个工作日内无息付清。</w:t>
      </w:r>
    </w:p>
    <w:p w14:paraId="013086C8">
      <w:pPr>
        <w:spacing w:line="360" w:lineRule="auto"/>
        <w:ind w:firstLine="360" w:firstLineChars="150"/>
        <w:rPr>
          <w:rFonts w:hint="eastAsia" w:ascii="仿宋_GB2312" w:eastAsia="仿宋_GB2312"/>
          <w:sz w:val="24"/>
          <w:szCs w:val="24"/>
        </w:rPr>
      </w:pPr>
      <w:r>
        <w:rPr>
          <w:rFonts w:hint="eastAsia" w:ascii="仿宋_GB2312" w:eastAsia="仿宋_GB2312"/>
          <w:sz w:val="24"/>
          <w:szCs w:val="24"/>
        </w:rPr>
        <w:t>（6）乙方须</w:t>
      </w:r>
      <w:r>
        <w:rPr>
          <w:rFonts w:hint="eastAsia" w:ascii="仿宋_GB2312" w:eastAsia="仿宋_GB2312"/>
          <w:sz w:val="24"/>
          <w:szCs w:val="24"/>
          <w:lang w:val="en-US" w:eastAsia="zh-CN"/>
        </w:rPr>
        <w:t>遵循</w:t>
      </w:r>
      <w:r>
        <w:rPr>
          <w:rFonts w:hint="eastAsia" w:ascii="仿宋_GB2312" w:eastAsia="仿宋_GB2312"/>
          <w:sz w:val="24"/>
          <w:szCs w:val="24"/>
        </w:rPr>
        <w:t>甲方的请款制度，积极配合甲方提供必要材料（包括但不限于发票、工程进度证明等</w:t>
      </w:r>
      <w:r>
        <w:rPr>
          <w:rFonts w:hint="eastAsia" w:ascii="仿宋_GB2312" w:eastAsia="仿宋_GB2312"/>
          <w:sz w:val="24"/>
          <w:szCs w:val="24"/>
          <w:highlight w:val="none"/>
        </w:rPr>
        <w:t>）。</w:t>
      </w:r>
      <w:r>
        <w:rPr>
          <w:rFonts w:hint="eastAsia" w:ascii="仿宋_GB2312" w:eastAsia="仿宋_GB2312"/>
          <w:sz w:val="24"/>
          <w:szCs w:val="24"/>
          <w:highlight w:val="none"/>
          <w:lang w:val="en-US" w:eastAsia="zh-CN"/>
        </w:rPr>
        <w:t>每笔进度款及验收款的支付须由监理单位审批和甲方指定的造价咨询单位审核。</w:t>
      </w:r>
      <w:r>
        <w:rPr>
          <w:rFonts w:hint="eastAsia" w:ascii="仿宋_GB2312" w:eastAsia="仿宋_GB2312"/>
          <w:sz w:val="24"/>
          <w:szCs w:val="24"/>
          <w:highlight w:val="none"/>
        </w:rPr>
        <w:t>每笔</w:t>
      </w:r>
      <w:r>
        <w:rPr>
          <w:rFonts w:hint="eastAsia" w:ascii="仿宋_GB2312" w:eastAsia="仿宋_GB2312"/>
          <w:sz w:val="24"/>
          <w:szCs w:val="24"/>
        </w:rPr>
        <w:t>款项支付前，乙方应向甲方提供符合甲方要求且相应金额的正式有效的建筑安装发票（9%增值税专用发票），乙方未提供或迟延提供发票的，甲方有权相应顺延支付款项，无需承担违约责任。</w:t>
      </w:r>
    </w:p>
    <w:p w14:paraId="4B5C188C">
      <w:pPr>
        <w:widowControl/>
        <w:spacing w:after="200" w:line="360" w:lineRule="auto"/>
        <w:ind w:firstLine="480" w:firstLineChars="200"/>
        <w:contextualSpacing/>
        <w:rPr>
          <w:rFonts w:hint="eastAsia" w:ascii="仿宋_GB2312" w:eastAsia="仿宋_GB2312"/>
          <w:kern w:val="0"/>
          <w:sz w:val="24"/>
          <w:szCs w:val="24"/>
        </w:rPr>
      </w:pPr>
      <w:r>
        <w:rPr>
          <w:rFonts w:hint="eastAsia" w:ascii="仿宋_GB2312" w:hAnsi="宋体" w:eastAsia="仿宋_GB2312" w:cs="宋体"/>
          <w:kern w:val="0"/>
          <w:sz w:val="24"/>
          <w:szCs w:val="24"/>
        </w:rPr>
        <w:t>10.2支付</w:t>
      </w:r>
      <w:r>
        <w:rPr>
          <w:rFonts w:hint="eastAsia" w:ascii="仿宋_GB2312" w:eastAsia="仿宋_GB2312"/>
          <w:kern w:val="0"/>
          <w:sz w:val="24"/>
          <w:szCs w:val="24"/>
        </w:rPr>
        <w:t>方式：采用银行汇付（含电汇）。</w:t>
      </w:r>
    </w:p>
    <w:p w14:paraId="41A4EF91">
      <w:pPr>
        <w:tabs>
          <w:tab w:val="left" w:pos="1905"/>
        </w:tabs>
        <w:spacing w:line="360" w:lineRule="auto"/>
        <w:ind w:firstLine="480" w:firstLineChars="200"/>
        <w:rPr>
          <w:rFonts w:hint="eastAsia" w:ascii="仿宋_GB2312" w:eastAsia="仿宋_GB2312"/>
          <w:sz w:val="24"/>
          <w:szCs w:val="24"/>
        </w:rPr>
      </w:pPr>
      <w:r>
        <w:rPr>
          <w:rFonts w:hint="eastAsia" w:ascii="仿宋_GB2312" w:hAnsi="宋体" w:eastAsia="仿宋_GB2312" w:cs="宋体"/>
          <w:kern w:val="0"/>
          <w:sz w:val="24"/>
          <w:szCs w:val="24"/>
        </w:rPr>
        <w:t>10.3</w:t>
      </w:r>
      <w:r>
        <w:rPr>
          <w:rFonts w:hint="eastAsia" w:ascii="仿宋_GB2312" w:hAnsi="宋体" w:eastAsia="仿宋_GB2312"/>
          <w:sz w:val="24"/>
          <w:szCs w:val="24"/>
        </w:rPr>
        <w:t>本合同中涉及款项的支付、接受由合同签字栏注明的银行账户、</w:t>
      </w:r>
      <w:r>
        <w:rPr>
          <w:rFonts w:hint="eastAsia" w:ascii="仿宋_GB2312" w:hAnsi="宋体" w:eastAsia="仿宋_GB2312"/>
          <w:sz w:val="24"/>
          <w:szCs w:val="24"/>
          <w:lang w:val="en-US" w:eastAsia="zh-CN"/>
        </w:rPr>
        <w:t>账</w:t>
      </w:r>
      <w:r>
        <w:rPr>
          <w:rFonts w:hint="eastAsia" w:ascii="仿宋_GB2312" w:hAnsi="宋体" w:eastAsia="仿宋_GB2312"/>
          <w:sz w:val="24"/>
          <w:szCs w:val="24"/>
        </w:rPr>
        <w:t>号为准，双方对其提供的账号信息的真实性、完整性、准确性承担完全责任。</w:t>
      </w:r>
      <w:r>
        <w:rPr>
          <w:rFonts w:hint="eastAsia" w:ascii="仿宋_GB2312" w:eastAsia="仿宋_GB2312"/>
          <w:sz w:val="24"/>
          <w:szCs w:val="24"/>
        </w:rPr>
        <w:t>若乙方变更相关收款信息的，应当提前3日书面通知甲方并确保甲方收悉，否则因此产生的一切责任及费用均由乙方自行承担。相关书面通知送达甲方前，原约定信息仍然有效。</w:t>
      </w:r>
    </w:p>
    <w:p w14:paraId="50CCD8F4">
      <w:pPr>
        <w:tabs>
          <w:tab w:val="left" w:pos="1905"/>
        </w:tabs>
        <w:spacing w:line="360" w:lineRule="auto"/>
        <w:ind w:firstLine="482" w:firstLineChars="200"/>
        <w:rPr>
          <w:rFonts w:hint="eastAsia" w:ascii="仿宋_GB2312" w:hAnsi="仿宋" w:eastAsia="仿宋_GB2312"/>
          <w:b/>
          <w:sz w:val="24"/>
          <w:szCs w:val="24"/>
        </w:rPr>
      </w:pPr>
      <w:r>
        <w:rPr>
          <w:rFonts w:hint="eastAsia" w:ascii="仿宋_GB2312" w:hAnsi="仿宋" w:eastAsia="仿宋_GB2312"/>
          <w:b/>
          <w:sz w:val="24"/>
          <w:szCs w:val="24"/>
        </w:rPr>
        <w:t>第十一条 保修事项</w:t>
      </w:r>
    </w:p>
    <w:p w14:paraId="30EE64DC">
      <w:pPr>
        <w:widowControl/>
        <w:spacing w:line="360" w:lineRule="auto"/>
        <w:ind w:firstLine="480" w:firstLineChars="200"/>
        <w:rPr>
          <w:rFonts w:ascii="仿宋_GB2312" w:hAnsi="仿宋" w:eastAsia="仿宋_GB2312"/>
          <w:sz w:val="24"/>
          <w:szCs w:val="24"/>
        </w:rPr>
      </w:pPr>
      <w:r>
        <w:rPr>
          <w:rFonts w:hint="eastAsia" w:ascii="仿宋_GB2312" w:hAnsi="仿宋" w:eastAsia="仿宋_GB2312"/>
          <w:sz w:val="24"/>
          <w:szCs w:val="24"/>
        </w:rPr>
        <w:t>11.1质量保证</w:t>
      </w:r>
    </w:p>
    <w:p w14:paraId="4004EC9D">
      <w:pPr>
        <w:widowControl/>
        <w:spacing w:line="360" w:lineRule="auto"/>
        <w:ind w:firstLine="480" w:firstLineChars="200"/>
        <w:rPr>
          <w:rFonts w:ascii="仿宋_GB2312" w:hAnsi="仿宋" w:eastAsia="仿宋_GB2312"/>
          <w:sz w:val="24"/>
          <w:szCs w:val="24"/>
        </w:rPr>
      </w:pPr>
      <w:r>
        <w:rPr>
          <w:rFonts w:hint="eastAsia" w:ascii="仿宋_GB2312" w:hAnsi="仿宋" w:eastAsia="仿宋_GB2312"/>
          <w:sz w:val="24"/>
          <w:szCs w:val="24"/>
        </w:rPr>
        <w:t>11.1.1乙方保证合同项下所供货物是全新的、未使用过的，是符合合同规定的型号及质量标准的。乙方进一步保证，合同项下提供的全部货物没有设计、材料或工艺上的缺陷，或者没有因乙方的行为或疏忽而产生的缺陷，这些缺陷是所供货物在我国现行条件下正常使用可能产生的。</w:t>
      </w:r>
    </w:p>
    <w:p w14:paraId="0E9AA598">
      <w:pPr>
        <w:widowControl/>
        <w:spacing w:line="360" w:lineRule="auto"/>
        <w:ind w:firstLine="588" w:firstLineChars="245"/>
        <w:rPr>
          <w:rFonts w:ascii="仿宋_GB2312" w:hAnsi="仿宋" w:eastAsia="仿宋_GB2312"/>
          <w:sz w:val="24"/>
          <w:szCs w:val="24"/>
        </w:rPr>
      </w:pPr>
      <w:r>
        <w:rPr>
          <w:rFonts w:hint="eastAsia" w:ascii="仿宋_GB2312" w:hAnsi="仿宋" w:eastAsia="仿宋_GB2312"/>
          <w:sz w:val="24"/>
          <w:szCs w:val="24"/>
        </w:rPr>
        <w:t>11.1.2保修期按照《建设工程质量管理条例》规定，在保修期内乙方免费提供货物正常使用情况下发生故障的维修服务，整体配套建设工程的保修期为</w:t>
      </w:r>
      <w:r>
        <w:rPr>
          <w:rFonts w:hint="eastAsia" w:ascii="仿宋_GB2312" w:hAnsi="仿宋" w:eastAsia="仿宋_GB2312"/>
          <w:sz w:val="24"/>
          <w:szCs w:val="24"/>
          <w:lang w:val="en-US" w:eastAsia="zh-CN"/>
        </w:rPr>
        <w:t>两</w:t>
      </w:r>
      <w:r>
        <w:rPr>
          <w:rFonts w:hint="eastAsia" w:ascii="仿宋_GB2312" w:hAnsi="仿宋" w:eastAsia="仿宋_GB2312"/>
          <w:sz w:val="24"/>
          <w:szCs w:val="24"/>
        </w:rPr>
        <w:t>年，自竣工验收合格之日起起算，设备部分的保修期则按生产厂家行业正常约定时间保修，但应不低于一年。</w:t>
      </w:r>
    </w:p>
    <w:p w14:paraId="0DCD0D2C">
      <w:pPr>
        <w:widowControl/>
        <w:spacing w:line="360" w:lineRule="auto"/>
        <w:ind w:firstLine="600" w:firstLineChars="250"/>
        <w:rPr>
          <w:rFonts w:ascii="仿宋_GB2312" w:hAnsi="仿宋" w:eastAsia="仿宋_GB2312"/>
          <w:sz w:val="24"/>
          <w:szCs w:val="24"/>
        </w:rPr>
      </w:pPr>
      <w:r>
        <w:rPr>
          <w:rFonts w:hint="eastAsia" w:ascii="仿宋_GB2312" w:hAnsi="仿宋" w:eastAsia="仿宋_GB2312"/>
          <w:sz w:val="24"/>
          <w:szCs w:val="24"/>
        </w:rPr>
        <w:t>1.1.3甲方在质量保修期内发现缺陷应尽快通知乙方。乙方应保证具有售后维修服务机构，有专业的售后服务力量。对保修期内的故障报修，乙方保修服务热线：</w:t>
      </w:r>
      <w:r>
        <w:rPr>
          <w:rFonts w:hint="eastAsia" w:ascii="仿宋_GB2312" w:hAnsi="仿宋" w:eastAsia="仿宋_GB2312"/>
          <w:sz w:val="24"/>
          <w:szCs w:val="24"/>
          <w:u w:val="single"/>
        </w:rPr>
        <w:t xml:space="preserve">        </w:t>
      </w:r>
      <w:r>
        <w:rPr>
          <w:rFonts w:hint="eastAsia" w:ascii="仿宋_GB2312" w:hAnsi="仿宋" w:eastAsia="仿宋_GB2312"/>
          <w:sz w:val="24"/>
          <w:szCs w:val="24"/>
        </w:rPr>
        <w:t>，联系人</w:t>
      </w:r>
      <w:r>
        <w:rPr>
          <w:rFonts w:hint="eastAsia" w:ascii="仿宋_GB2312" w:hAnsi="仿宋" w:eastAsia="仿宋_GB2312"/>
          <w:sz w:val="24"/>
          <w:szCs w:val="24"/>
          <w:u w:val="single"/>
        </w:rPr>
        <w:t xml:space="preserve">         </w:t>
      </w:r>
      <w:r>
        <w:rPr>
          <w:rFonts w:hint="eastAsia" w:ascii="仿宋_GB2312" w:hAnsi="仿宋" w:eastAsia="仿宋_GB2312"/>
          <w:sz w:val="24"/>
          <w:szCs w:val="24"/>
        </w:rPr>
        <w:t>。售后维修服务机构提供每天24小时电话报障服务，一旦设备出现问题，甲方不能自行解决的，维修人员需在报障24小时内到达现场。乙方不能在24小时内排除故障时，应提供备用设备给甲方维持工作，否则应赔偿因此而给甲方造成的损失。</w:t>
      </w:r>
    </w:p>
    <w:p w14:paraId="2B8166EA">
      <w:pPr>
        <w:widowControl/>
        <w:spacing w:line="360" w:lineRule="auto"/>
        <w:ind w:firstLine="600" w:firstLineChars="250"/>
        <w:rPr>
          <w:rFonts w:ascii="仿宋_GB2312" w:hAnsi="仿宋" w:eastAsia="仿宋_GB2312"/>
          <w:sz w:val="24"/>
          <w:szCs w:val="24"/>
        </w:rPr>
      </w:pPr>
      <w:r>
        <w:rPr>
          <w:rFonts w:hint="eastAsia" w:ascii="仿宋_GB2312" w:hAnsi="仿宋" w:eastAsia="仿宋_GB2312"/>
          <w:sz w:val="24"/>
          <w:szCs w:val="24"/>
        </w:rPr>
        <w:t>11.1.4对保修期内的故障报修，如乙方未能做到上款的服务承诺，甲方可采取必要的补救措施，但其风险和费用由乙方承担，甲方有权在预留的保修金中据实扣除，甲方根据合同规定对乙方行使的其它权</w:t>
      </w:r>
      <w:r>
        <w:rPr>
          <w:rFonts w:hint="eastAsia" w:ascii="仿宋_GB2312" w:hAnsi="仿宋" w:eastAsia="仿宋_GB2312"/>
          <w:sz w:val="24"/>
          <w:szCs w:val="24"/>
          <w:lang w:val="en-US" w:eastAsia="zh-CN"/>
        </w:rPr>
        <w:t>利</w:t>
      </w:r>
      <w:r>
        <w:rPr>
          <w:rFonts w:hint="eastAsia" w:ascii="仿宋_GB2312" w:hAnsi="仿宋" w:eastAsia="仿宋_GB2312"/>
          <w:sz w:val="24"/>
          <w:szCs w:val="24"/>
        </w:rPr>
        <w:t>不受影响。由于乙方的保证服务不到位，保修期的到期时间将顺延。</w:t>
      </w:r>
    </w:p>
    <w:p w14:paraId="0CD03BBC">
      <w:pPr>
        <w:widowControl/>
        <w:spacing w:line="360" w:lineRule="auto"/>
        <w:ind w:firstLine="600" w:firstLineChars="250"/>
        <w:rPr>
          <w:rFonts w:ascii="仿宋_GB2312" w:hAnsi="仿宋" w:eastAsia="仿宋_GB2312"/>
          <w:sz w:val="24"/>
          <w:szCs w:val="24"/>
        </w:rPr>
      </w:pPr>
      <w:r>
        <w:rPr>
          <w:rFonts w:hint="eastAsia" w:ascii="仿宋_GB2312" w:hAnsi="仿宋" w:eastAsia="仿宋_GB2312"/>
          <w:sz w:val="24"/>
          <w:szCs w:val="24"/>
        </w:rPr>
        <w:t>11.1.5保修期内因用户使用、管理不当所造成的损失由甲方承担，乙方提供有偿服务。</w:t>
      </w:r>
    </w:p>
    <w:p w14:paraId="0AF8F4B8">
      <w:pPr>
        <w:widowControl/>
        <w:spacing w:line="360" w:lineRule="auto"/>
        <w:rPr>
          <w:rFonts w:ascii="仿宋_GB2312" w:hAnsi="仿宋" w:eastAsia="仿宋_GB2312"/>
          <w:sz w:val="24"/>
          <w:szCs w:val="24"/>
        </w:rPr>
      </w:pPr>
      <w:r>
        <w:rPr>
          <w:rFonts w:hint="eastAsia" w:ascii="仿宋_GB2312" w:hAnsi="仿宋" w:eastAsia="仿宋_GB2312"/>
          <w:sz w:val="24"/>
          <w:szCs w:val="24"/>
        </w:rPr>
        <w:t>11.2质量保</w:t>
      </w:r>
      <w:r>
        <w:rPr>
          <w:rFonts w:hint="eastAsia" w:ascii="仿宋_GB2312" w:hAnsi="仿宋" w:eastAsia="仿宋_GB2312"/>
          <w:sz w:val="24"/>
          <w:szCs w:val="24"/>
          <w:lang w:val="en-US" w:eastAsia="zh-CN"/>
        </w:rPr>
        <w:t>修</w:t>
      </w:r>
      <w:r>
        <w:rPr>
          <w:rFonts w:hint="eastAsia" w:ascii="仿宋_GB2312" w:hAnsi="仿宋" w:eastAsia="仿宋_GB2312"/>
          <w:sz w:val="24"/>
          <w:szCs w:val="24"/>
        </w:rPr>
        <w:t>期后服务</w:t>
      </w:r>
    </w:p>
    <w:p w14:paraId="067EEF44">
      <w:pPr>
        <w:widowControl/>
        <w:spacing w:line="360" w:lineRule="auto"/>
        <w:ind w:firstLine="600" w:firstLineChars="250"/>
        <w:rPr>
          <w:rFonts w:ascii="仿宋_GB2312" w:hAnsi="仿宋" w:eastAsia="仿宋_GB2312"/>
          <w:sz w:val="24"/>
          <w:szCs w:val="24"/>
        </w:rPr>
      </w:pPr>
      <w:r>
        <w:rPr>
          <w:rFonts w:hint="eastAsia" w:ascii="仿宋_GB2312" w:hAnsi="仿宋" w:eastAsia="仿宋_GB2312"/>
          <w:sz w:val="24"/>
          <w:szCs w:val="24"/>
        </w:rPr>
        <w:t>11.2.1保修期满后，若有零部件出现故障，属于寿命异常问题（明显短于该零部件正常寿命）时，则由乙方负责免费更换及维修。</w:t>
      </w:r>
    </w:p>
    <w:p w14:paraId="5EC4CECB">
      <w:pPr>
        <w:widowControl/>
        <w:spacing w:line="360" w:lineRule="auto"/>
        <w:ind w:firstLine="600" w:firstLineChars="250"/>
        <w:rPr>
          <w:rFonts w:ascii="仿宋_GB2312" w:hAnsi="仿宋" w:eastAsia="仿宋_GB2312"/>
          <w:sz w:val="24"/>
          <w:szCs w:val="24"/>
        </w:rPr>
      </w:pPr>
      <w:r>
        <w:rPr>
          <w:rFonts w:hint="eastAsia" w:ascii="仿宋_GB2312" w:hAnsi="仿宋" w:eastAsia="仿宋_GB2312"/>
          <w:sz w:val="24"/>
          <w:szCs w:val="24"/>
        </w:rPr>
        <w:t>11.2.2保修期满后，应甲方要求，乙方应（参考当时的市场价格）按备品备件报价表的单价与甲方签订定期维修保养合同及提供甲方所需零配件。</w:t>
      </w:r>
    </w:p>
    <w:p w14:paraId="59008F81">
      <w:pPr>
        <w:widowControl/>
        <w:spacing w:line="360" w:lineRule="auto"/>
        <w:ind w:firstLine="600" w:firstLineChars="250"/>
        <w:rPr>
          <w:rFonts w:ascii="仿宋_GB2312" w:hAnsi="仿宋" w:eastAsia="仿宋_GB2312"/>
          <w:sz w:val="24"/>
          <w:szCs w:val="24"/>
        </w:rPr>
      </w:pPr>
      <w:r>
        <w:rPr>
          <w:rFonts w:hint="eastAsia" w:ascii="仿宋_GB2312" w:hAnsi="仿宋" w:eastAsia="仿宋_GB2312"/>
          <w:sz w:val="24"/>
          <w:szCs w:val="24"/>
        </w:rPr>
        <w:t>11.2.3在备件停止生产的情况下，乙方应事先将要停止生产的计划通知甲方，使甲方有足够的时间采购所需备件；在备件停止生产后，乙方应免费向甲方提供备件的图纸、资料。</w:t>
      </w:r>
    </w:p>
    <w:p w14:paraId="095089CA">
      <w:pPr>
        <w:spacing w:line="360" w:lineRule="auto"/>
        <w:ind w:firstLine="482" w:firstLineChars="200"/>
        <w:rPr>
          <w:rFonts w:hint="default" w:ascii="仿宋_GB2312" w:hAnsi="黑体" w:eastAsia="仿宋_GB2312"/>
          <w:b/>
          <w:sz w:val="24"/>
          <w:szCs w:val="24"/>
          <w:lang w:val="en-US" w:eastAsia="zh-CN"/>
        </w:rPr>
      </w:pPr>
      <w:r>
        <w:rPr>
          <w:rFonts w:hint="eastAsia" w:ascii="仿宋_GB2312" w:hAnsi="黑体" w:eastAsia="仿宋_GB2312"/>
          <w:b/>
          <w:sz w:val="24"/>
          <w:szCs w:val="24"/>
        </w:rPr>
        <w:t>第十二条</w:t>
      </w:r>
      <w:r>
        <w:rPr>
          <w:rFonts w:hint="eastAsia" w:eastAsia="仿宋_GB2312" w:cs="Calibri"/>
          <w:b/>
          <w:sz w:val="24"/>
          <w:szCs w:val="24"/>
        </w:rPr>
        <w:t> </w:t>
      </w:r>
      <w:r>
        <w:rPr>
          <w:rFonts w:hint="eastAsia" w:ascii="仿宋_GB2312" w:hAnsi="黑体" w:eastAsia="仿宋_GB2312"/>
          <w:b/>
          <w:sz w:val="24"/>
          <w:szCs w:val="24"/>
          <w:lang w:val="en-US" w:eastAsia="zh-CN"/>
        </w:rPr>
        <w:t>履约担保</w:t>
      </w:r>
    </w:p>
    <w:p w14:paraId="66AE732E">
      <w:pPr>
        <w:widowControl/>
        <w:spacing w:line="360" w:lineRule="auto"/>
        <w:ind w:firstLine="600" w:firstLineChars="250"/>
        <w:rPr>
          <w:rFonts w:hint="eastAsia" w:ascii="仿宋_GB2312" w:hAnsi="仿宋" w:eastAsia="仿宋_GB2312" w:cs="Times New Roman"/>
          <w:sz w:val="24"/>
          <w:szCs w:val="24"/>
        </w:rPr>
      </w:pPr>
      <w:r>
        <w:rPr>
          <w:rFonts w:hint="eastAsia" w:ascii="仿宋_GB2312" w:hAnsi="仿宋" w:eastAsia="仿宋_GB2312" w:cs="Times New Roman"/>
          <w:sz w:val="24"/>
          <w:szCs w:val="24"/>
          <w:lang w:val="en-US" w:eastAsia="zh-CN"/>
        </w:rPr>
        <w:t>12.1</w:t>
      </w:r>
      <w:r>
        <w:rPr>
          <w:rFonts w:hint="eastAsia" w:ascii="仿宋_GB2312" w:hAnsi="仿宋" w:eastAsia="仿宋_GB2312" w:cs="Times New Roman"/>
          <w:sz w:val="24"/>
          <w:szCs w:val="24"/>
        </w:rPr>
        <w:t>提交履约担保的格式、金额和时间：</w:t>
      </w:r>
      <w:r>
        <w:rPr>
          <w:rFonts w:hint="eastAsia" w:ascii="仿宋_GB2312" w:hAnsi="仿宋" w:eastAsia="仿宋_GB2312" w:cs="Times New Roman"/>
          <w:sz w:val="24"/>
          <w:szCs w:val="24"/>
          <w:lang w:val="en-US" w:eastAsia="zh-CN"/>
        </w:rPr>
        <w:t>乙方</w:t>
      </w:r>
      <w:r>
        <w:rPr>
          <w:rFonts w:hint="eastAsia" w:ascii="仿宋_GB2312" w:hAnsi="仿宋" w:eastAsia="仿宋_GB2312" w:cs="Times New Roman"/>
          <w:sz w:val="24"/>
          <w:szCs w:val="24"/>
        </w:rPr>
        <w:t>须在支付预付款之日起30个工作日之内，按照</w:t>
      </w:r>
      <w:r>
        <w:rPr>
          <w:rFonts w:hint="eastAsia" w:ascii="仿宋_GB2312" w:hAnsi="仿宋" w:eastAsia="仿宋_GB2312" w:cs="Times New Roman"/>
          <w:sz w:val="24"/>
          <w:szCs w:val="24"/>
          <w:lang w:val="en-US" w:eastAsia="zh-CN"/>
        </w:rPr>
        <w:t>甲方</w:t>
      </w:r>
      <w:r>
        <w:rPr>
          <w:rFonts w:hint="eastAsia" w:ascii="仿宋_GB2312" w:hAnsi="仿宋" w:eastAsia="仿宋_GB2312" w:cs="Times New Roman"/>
          <w:sz w:val="24"/>
          <w:szCs w:val="24"/>
        </w:rPr>
        <w:t>在招标文件中规定的格式或者其他经过</w:t>
      </w:r>
      <w:r>
        <w:rPr>
          <w:rFonts w:hint="eastAsia" w:ascii="仿宋_GB2312" w:hAnsi="仿宋" w:eastAsia="仿宋_GB2312" w:cs="Times New Roman"/>
          <w:sz w:val="24"/>
          <w:szCs w:val="24"/>
          <w:lang w:val="en-US" w:eastAsia="zh-CN"/>
        </w:rPr>
        <w:t>甲方</w:t>
      </w:r>
      <w:r>
        <w:rPr>
          <w:rFonts w:hint="eastAsia" w:ascii="仿宋_GB2312" w:hAnsi="仿宋" w:eastAsia="仿宋_GB2312" w:cs="Times New Roman"/>
          <w:sz w:val="24"/>
          <w:szCs w:val="24"/>
        </w:rPr>
        <w:t>认可的格式向</w:t>
      </w:r>
      <w:r>
        <w:rPr>
          <w:rFonts w:hint="eastAsia" w:ascii="仿宋_GB2312" w:hAnsi="仿宋" w:eastAsia="仿宋_GB2312" w:cs="Times New Roman"/>
          <w:sz w:val="24"/>
          <w:szCs w:val="24"/>
          <w:lang w:val="en-US" w:eastAsia="zh-CN"/>
        </w:rPr>
        <w:t>甲方</w:t>
      </w:r>
      <w:r>
        <w:rPr>
          <w:rFonts w:hint="eastAsia" w:ascii="仿宋_GB2312" w:hAnsi="仿宋" w:eastAsia="仿宋_GB2312" w:cs="Times New Roman"/>
          <w:sz w:val="24"/>
          <w:szCs w:val="24"/>
        </w:rPr>
        <w:t>递交一份履约担保</w:t>
      </w:r>
      <w:r>
        <w:rPr>
          <w:rFonts w:hint="eastAsia" w:ascii="仿宋_GB2312" w:hAnsi="仿宋" w:eastAsia="仿宋_GB2312" w:cs="Times New Roman"/>
          <w:sz w:val="24"/>
          <w:szCs w:val="24"/>
          <w:lang w:eastAsia="zh-CN"/>
        </w:rPr>
        <w:t>（见索即付履约保函）</w:t>
      </w:r>
      <w:r>
        <w:rPr>
          <w:rFonts w:hint="eastAsia" w:ascii="仿宋_GB2312" w:hAnsi="仿宋" w:eastAsia="仿宋_GB2312" w:cs="Times New Roman"/>
          <w:sz w:val="24"/>
          <w:szCs w:val="24"/>
        </w:rPr>
        <w:t>。经过</w:t>
      </w:r>
      <w:r>
        <w:rPr>
          <w:rFonts w:hint="eastAsia" w:ascii="仿宋_GB2312" w:hAnsi="仿宋" w:eastAsia="仿宋_GB2312" w:cs="Times New Roman"/>
          <w:sz w:val="24"/>
          <w:szCs w:val="24"/>
          <w:lang w:val="en-US" w:eastAsia="zh-CN"/>
        </w:rPr>
        <w:t>甲方</w:t>
      </w:r>
      <w:r>
        <w:rPr>
          <w:rFonts w:hint="eastAsia" w:ascii="仿宋_GB2312" w:hAnsi="仿宋" w:eastAsia="仿宋_GB2312" w:cs="Times New Roman"/>
          <w:sz w:val="24"/>
          <w:szCs w:val="24"/>
        </w:rPr>
        <w:t>事先书面认可的其他格式的履约担保，其担保条款的实质性内容应当与</w:t>
      </w:r>
      <w:r>
        <w:rPr>
          <w:rFonts w:hint="eastAsia" w:ascii="仿宋_GB2312" w:hAnsi="仿宋" w:eastAsia="仿宋_GB2312" w:cs="Times New Roman"/>
          <w:sz w:val="24"/>
          <w:szCs w:val="24"/>
          <w:lang w:val="en-US" w:eastAsia="zh-CN"/>
        </w:rPr>
        <w:t>甲方</w:t>
      </w:r>
      <w:r>
        <w:rPr>
          <w:rFonts w:hint="eastAsia" w:ascii="仿宋_GB2312" w:hAnsi="仿宋" w:eastAsia="仿宋_GB2312" w:cs="Times New Roman"/>
          <w:sz w:val="24"/>
          <w:szCs w:val="24"/>
        </w:rPr>
        <w:t>在招标文件中规定的格式内容保持一致。履约担保金额为中标价格的</w:t>
      </w:r>
      <w:r>
        <w:rPr>
          <w:rFonts w:hint="eastAsia" w:ascii="仿宋_GB2312" w:hAnsi="仿宋" w:eastAsia="仿宋_GB2312" w:cs="Times New Roman"/>
          <w:sz w:val="24"/>
          <w:szCs w:val="24"/>
          <w:lang w:val="en-US" w:eastAsia="zh-CN"/>
        </w:rPr>
        <w:t>10</w:t>
      </w:r>
      <w:r>
        <w:rPr>
          <w:rFonts w:hint="eastAsia" w:ascii="仿宋_GB2312" w:hAnsi="仿宋" w:eastAsia="仿宋_GB2312" w:cs="Times New Roman"/>
          <w:sz w:val="24"/>
          <w:szCs w:val="24"/>
        </w:rPr>
        <w:t>%，采用银行保函形式。</w:t>
      </w:r>
    </w:p>
    <w:p w14:paraId="17C7D204">
      <w:pPr>
        <w:widowControl/>
        <w:spacing w:line="360" w:lineRule="auto"/>
        <w:ind w:firstLine="600" w:firstLineChars="250"/>
        <w:rPr>
          <w:rFonts w:hint="eastAsia" w:ascii="仿宋_GB2312" w:hAnsi="仿宋" w:eastAsia="仿宋_GB2312" w:cs="Times New Roman"/>
          <w:sz w:val="24"/>
          <w:szCs w:val="24"/>
        </w:rPr>
      </w:pPr>
      <w:r>
        <w:rPr>
          <w:rFonts w:hint="eastAsia" w:ascii="仿宋_GB2312" w:hAnsi="仿宋" w:eastAsia="仿宋_GB2312" w:cs="Times New Roman"/>
          <w:sz w:val="24"/>
          <w:szCs w:val="24"/>
          <w:lang w:val="en-US" w:eastAsia="zh-CN"/>
        </w:rPr>
        <w:t>12.2</w:t>
      </w:r>
      <w:r>
        <w:rPr>
          <w:rFonts w:hint="eastAsia" w:ascii="仿宋_GB2312" w:hAnsi="仿宋" w:eastAsia="仿宋_GB2312" w:cs="Times New Roman"/>
          <w:sz w:val="24"/>
          <w:szCs w:val="24"/>
        </w:rPr>
        <w:t>履约担保的有效期应当自本合同生效之日起至</w:t>
      </w:r>
      <w:r>
        <w:rPr>
          <w:rFonts w:hint="eastAsia" w:ascii="仿宋_GB2312" w:hAnsi="仿宋" w:eastAsia="仿宋_GB2312" w:cs="Times New Roman"/>
          <w:sz w:val="24"/>
          <w:szCs w:val="24"/>
          <w:lang w:val="en-US" w:eastAsia="zh-CN"/>
        </w:rPr>
        <w:t>甲方</w:t>
      </w:r>
      <w:r>
        <w:rPr>
          <w:rFonts w:hint="eastAsia" w:ascii="仿宋_GB2312" w:hAnsi="仿宋" w:eastAsia="仿宋_GB2312" w:cs="Times New Roman"/>
          <w:sz w:val="24"/>
          <w:szCs w:val="24"/>
        </w:rPr>
        <w:t>或监理人向</w:t>
      </w:r>
      <w:r>
        <w:rPr>
          <w:rFonts w:hint="eastAsia" w:ascii="仿宋_GB2312" w:hAnsi="仿宋" w:eastAsia="仿宋_GB2312" w:cs="Times New Roman"/>
          <w:sz w:val="24"/>
          <w:szCs w:val="24"/>
          <w:lang w:val="en-US" w:eastAsia="zh-CN"/>
        </w:rPr>
        <w:t>乙方</w:t>
      </w:r>
      <w:r>
        <w:rPr>
          <w:rFonts w:hint="eastAsia" w:ascii="仿宋_GB2312" w:hAnsi="仿宋" w:eastAsia="仿宋_GB2312" w:cs="Times New Roman"/>
          <w:sz w:val="24"/>
          <w:szCs w:val="24"/>
        </w:rPr>
        <w:t>出具工程接收证书之日止。如果</w:t>
      </w:r>
      <w:r>
        <w:rPr>
          <w:rFonts w:hint="eastAsia" w:ascii="仿宋_GB2312" w:hAnsi="仿宋" w:eastAsia="仿宋_GB2312" w:cs="Times New Roman"/>
          <w:sz w:val="24"/>
          <w:szCs w:val="24"/>
          <w:lang w:val="en-US" w:eastAsia="zh-CN"/>
        </w:rPr>
        <w:t>乙方</w:t>
      </w:r>
      <w:r>
        <w:rPr>
          <w:rFonts w:hint="eastAsia" w:ascii="仿宋_GB2312" w:hAnsi="仿宋" w:eastAsia="仿宋_GB2312" w:cs="Times New Roman"/>
          <w:sz w:val="24"/>
          <w:szCs w:val="24"/>
        </w:rPr>
        <w:t>无法获得一份不带具体截止日期的担保，履约担保中应当有“如果</w:t>
      </w:r>
      <w:r>
        <w:rPr>
          <w:rFonts w:hint="eastAsia" w:ascii="仿宋_GB2312" w:hAnsi="仿宋" w:eastAsia="仿宋_GB2312" w:cs="Times New Roman"/>
          <w:sz w:val="24"/>
          <w:szCs w:val="24"/>
          <w:lang w:val="en-US" w:eastAsia="zh-CN"/>
        </w:rPr>
        <w:t>乙方</w:t>
      </w:r>
      <w:r>
        <w:rPr>
          <w:rFonts w:hint="eastAsia" w:ascii="仿宋_GB2312" w:hAnsi="仿宋" w:eastAsia="仿宋_GB2312" w:cs="Times New Roman"/>
          <w:sz w:val="24"/>
          <w:szCs w:val="24"/>
        </w:rPr>
        <w:t>无法获得一份不带具体截止日期的担保，</w:t>
      </w:r>
      <w:r>
        <w:rPr>
          <w:rFonts w:hint="eastAsia" w:ascii="仿宋_GB2312" w:hAnsi="仿宋" w:eastAsia="仿宋_GB2312" w:cs="Times New Roman"/>
          <w:sz w:val="24"/>
          <w:szCs w:val="24"/>
          <w:lang w:val="en-US" w:eastAsia="zh-CN"/>
        </w:rPr>
        <w:t>乙方</w:t>
      </w:r>
      <w:r>
        <w:rPr>
          <w:rFonts w:hint="eastAsia" w:ascii="仿宋_GB2312" w:hAnsi="仿宋" w:eastAsia="仿宋_GB2312" w:cs="Times New Roman"/>
          <w:sz w:val="24"/>
          <w:szCs w:val="24"/>
        </w:rPr>
        <w:t>应承诺保函到期时，若工程尚未竣工，</w:t>
      </w:r>
      <w:r>
        <w:rPr>
          <w:rFonts w:hint="eastAsia" w:ascii="仿宋_GB2312" w:hAnsi="仿宋" w:eastAsia="仿宋_GB2312" w:cs="Times New Roman"/>
          <w:sz w:val="24"/>
          <w:szCs w:val="24"/>
          <w:lang w:val="en-US" w:eastAsia="zh-CN"/>
        </w:rPr>
        <w:t>乙方</w:t>
      </w:r>
      <w:r>
        <w:rPr>
          <w:rFonts w:hint="eastAsia" w:ascii="仿宋_GB2312" w:hAnsi="仿宋" w:eastAsia="仿宋_GB2312" w:cs="Times New Roman"/>
          <w:sz w:val="24"/>
          <w:szCs w:val="24"/>
        </w:rPr>
        <w:t>无条件办理保函顺延”或类似约定的条款。</w:t>
      </w:r>
    </w:p>
    <w:p w14:paraId="3CB76FD3">
      <w:pPr>
        <w:widowControl/>
        <w:spacing w:line="360" w:lineRule="auto"/>
        <w:ind w:firstLine="600" w:firstLineChars="250"/>
        <w:rPr>
          <w:rFonts w:hint="eastAsia" w:ascii="仿宋_GB2312" w:hAnsi="仿宋" w:eastAsia="仿宋_GB2312" w:cs="Times New Roman"/>
          <w:sz w:val="24"/>
          <w:szCs w:val="24"/>
        </w:rPr>
      </w:pPr>
      <w:r>
        <w:rPr>
          <w:rFonts w:hint="eastAsia" w:ascii="仿宋_GB2312" w:hAnsi="仿宋" w:eastAsia="仿宋_GB2312" w:cs="Times New Roman"/>
          <w:sz w:val="24"/>
          <w:szCs w:val="24"/>
          <w:lang w:val="en-US" w:eastAsia="zh-CN"/>
        </w:rPr>
        <w:t>12.3</w:t>
      </w:r>
      <w:r>
        <w:rPr>
          <w:rFonts w:hint="eastAsia" w:ascii="仿宋_GB2312" w:hAnsi="仿宋" w:eastAsia="仿宋_GB2312" w:cs="Times New Roman"/>
          <w:sz w:val="24"/>
          <w:szCs w:val="24"/>
        </w:rPr>
        <w:t>如果工程延期，</w:t>
      </w:r>
      <w:r>
        <w:rPr>
          <w:rFonts w:hint="eastAsia" w:ascii="仿宋_GB2312" w:hAnsi="仿宋" w:eastAsia="仿宋_GB2312" w:cs="Times New Roman"/>
          <w:sz w:val="24"/>
          <w:szCs w:val="24"/>
          <w:lang w:val="en-US" w:eastAsia="zh-CN"/>
        </w:rPr>
        <w:t>乙方</w:t>
      </w:r>
      <w:r>
        <w:rPr>
          <w:rFonts w:hint="eastAsia" w:ascii="仿宋_GB2312" w:hAnsi="仿宋" w:eastAsia="仿宋_GB2312" w:cs="Times New Roman"/>
          <w:sz w:val="24"/>
          <w:szCs w:val="24"/>
        </w:rPr>
        <w:t>应办理履约保函延期手续。截止至履约保函到期前2个星期，</w:t>
      </w:r>
      <w:r>
        <w:rPr>
          <w:rFonts w:hint="eastAsia" w:ascii="仿宋_GB2312" w:hAnsi="仿宋" w:eastAsia="仿宋_GB2312" w:cs="Times New Roman"/>
          <w:sz w:val="24"/>
          <w:szCs w:val="24"/>
          <w:lang w:val="en-US" w:eastAsia="zh-CN"/>
        </w:rPr>
        <w:t>乙方</w:t>
      </w:r>
      <w:r>
        <w:rPr>
          <w:rFonts w:hint="eastAsia" w:ascii="仿宋_GB2312" w:hAnsi="仿宋" w:eastAsia="仿宋_GB2312" w:cs="Times New Roman"/>
          <w:sz w:val="24"/>
          <w:szCs w:val="24"/>
        </w:rPr>
        <w:t>未提交履约保函的延期手续，</w:t>
      </w:r>
      <w:r>
        <w:rPr>
          <w:rFonts w:hint="eastAsia" w:ascii="仿宋_GB2312" w:hAnsi="仿宋" w:eastAsia="仿宋_GB2312" w:cs="Times New Roman"/>
          <w:sz w:val="24"/>
          <w:szCs w:val="24"/>
          <w:lang w:val="en-US" w:eastAsia="zh-CN"/>
        </w:rPr>
        <w:t>甲方</w:t>
      </w:r>
      <w:r>
        <w:rPr>
          <w:rFonts w:hint="eastAsia" w:ascii="仿宋_GB2312" w:hAnsi="仿宋" w:eastAsia="仿宋_GB2312" w:cs="Times New Roman"/>
          <w:sz w:val="24"/>
          <w:szCs w:val="24"/>
        </w:rPr>
        <w:t>可在最近一次进度款中一次性扣留履约保证金，待工程完工验收合格后退还。</w:t>
      </w:r>
    </w:p>
    <w:p w14:paraId="5B68A228">
      <w:pPr>
        <w:spacing w:line="360" w:lineRule="auto"/>
        <w:ind w:firstLine="482" w:firstLineChars="200"/>
        <w:rPr>
          <w:rFonts w:hint="eastAsia" w:ascii="仿宋_GB2312" w:hAnsi="黑体" w:eastAsia="仿宋_GB2312"/>
          <w:b/>
          <w:sz w:val="24"/>
          <w:szCs w:val="24"/>
        </w:rPr>
      </w:pPr>
      <w:r>
        <w:rPr>
          <w:rFonts w:hint="eastAsia" w:ascii="仿宋_GB2312" w:hAnsi="黑体" w:eastAsia="仿宋_GB2312"/>
          <w:b/>
          <w:sz w:val="24"/>
          <w:szCs w:val="24"/>
        </w:rPr>
        <w:t>第十</w:t>
      </w:r>
      <w:r>
        <w:rPr>
          <w:rFonts w:hint="eastAsia" w:ascii="仿宋_GB2312" w:hAnsi="黑体" w:eastAsia="仿宋_GB2312"/>
          <w:b/>
          <w:sz w:val="24"/>
          <w:szCs w:val="24"/>
          <w:lang w:val="en-US" w:eastAsia="zh-CN"/>
        </w:rPr>
        <w:t>三</w:t>
      </w:r>
      <w:r>
        <w:rPr>
          <w:rFonts w:hint="eastAsia" w:ascii="仿宋_GB2312" w:hAnsi="黑体" w:eastAsia="仿宋_GB2312"/>
          <w:b/>
          <w:sz w:val="24"/>
          <w:szCs w:val="24"/>
        </w:rPr>
        <w:t>条</w:t>
      </w:r>
      <w:r>
        <w:rPr>
          <w:rFonts w:hint="eastAsia" w:eastAsia="仿宋_GB2312" w:cs="Calibri"/>
          <w:b/>
          <w:sz w:val="24"/>
          <w:szCs w:val="24"/>
        </w:rPr>
        <w:t> </w:t>
      </w:r>
      <w:r>
        <w:rPr>
          <w:rFonts w:hint="eastAsia" w:ascii="仿宋_GB2312" w:hAnsi="黑体" w:eastAsia="仿宋_GB2312"/>
          <w:b/>
          <w:sz w:val="24"/>
          <w:szCs w:val="24"/>
        </w:rPr>
        <w:t>不可抗力</w:t>
      </w:r>
    </w:p>
    <w:p w14:paraId="0F013909">
      <w:pPr>
        <w:spacing w:line="360"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t>合同期间，如因不可抗力原因，如自然灾害、拆迁安置、政府征收（用）、相关职能部门发文等不可预测、不可避免</w:t>
      </w:r>
      <w:r>
        <w:rPr>
          <w:rFonts w:hint="eastAsia" w:ascii="仿宋_GB2312" w:hAnsi="仿宋" w:eastAsia="仿宋_GB2312"/>
          <w:sz w:val="24"/>
          <w:szCs w:val="24"/>
          <w:lang w:eastAsia="zh-CN"/>
        </w:rPr>
        <w:t>、</w:t>
      </w:r>
      <w:r>
        <w:rPr>
          <w:rFonts w:hint="eastAsia" w:ascii="仿宋_GB2312" w:hAnsi="仿宋" w:eastAsia="仿宋_GB2312"/>
          <w:sz w:val="24"/>
          <w:szCs w:val="24"/>
          <w:lang w:val="en-US" w:eastAsia="zh-CN"/>
        </w:rPr>
        <w:t>不可克服</w:t>
      </w:r>
      <w:r>
        <w:rPr>
          <w:rFonts w:hint="eastAsia" w:ascii="仿宋_GB2312" w:hAnsi="仿宋" w:eastAsia="仿宋_GB2312"/>
          <w:sz w:val="24"/>
          <w:szCs w:val="24"/>
        </w:rPr>
        <w:t>的事由发生，造成无法继续履行本合同约定时，本合同终止事宜由双方协商确定，双方互免承担责任。</w:t>
      </w:r>
    </w:p>
    <w:p w14:paraId="32667B6F">
      <w:pPr>
        <w:spacing w:line="360" w:lineRule="auto"/>
        <w:ind w:firstLine="480" w:firstLineChars="200"/>
        <w:rPr>
          <w:rFonts w:hint="eastAsia" w:ascii="仿宋_GB2312" w:hAnsi="仿宋" w:eastAsia="仿宋_GB2312"/>
          <w:sz w:val="24"/>
          <w:szCs w:val="24"/>
          <w:lang w:val="en-US" w:eastAsia="zh-CN"/>
        </w:rPr>
      </w:pPr>
      <w:r>
        <w:rPr>
          <w:rFonts w:hint="eastAsia" w:ascii="仿宋_GB2312" w:hAnsi="仿宋" w:eastAsia="仿宋_GB2312"/>
          <w:sz w:val="24"/>
          <w:szCs w:val="24"/>
        </w:rPr>
        <w:t>受不可抗力影响一方应在不可抗力事件发生后，尽快用电报、传真或电传等一切可行方式书面通知对方，并于事件发生后15天内将有关部门出具的证明文件用特快专递或挂号信寄给对方审阅确认。一旦不可抗力事件的影响持续60天以上，双方应通过友好协商在合理的时间内达成进一步履行合同的协议或解除合同。</w:t>
      </w:r>
      <w:r>
        <w:rPr>
          <w:rFonts w:hint="eastAsia" w:ascii="仿宋_GB2312" w:hAnsi="仿宋" w:eastAsia="仿宋_GB2312"/>
          <w:sz w:val="24"/>
          <w:szCs w:val="24"/>
          <w:lang w:val="en-US" w:eastAsia="zh-CN"/>
        </w:rPr>
        <w:t>协商不一致或无法协商的，甲方有权单方解除本合同，并有权要求乙方自收到甲方书面解除通知之日起    个自然日内据实一次性退还已支付但未执行的合同款项（如有）；乙方逾期不退款的，须按照</w:t>
      </w:r>
      <w:r>
        <w:rPr>
          <w:rFonts w:hint="eastAsia" w:ascii="仿宋_GB2312" w:eastAsia="仿宋_GB2312"/>
          <w:sz w:val="24"/>
          <w:szCs w:val="24"/>
        </w:rPr>
        <w:t>每日按</w:t>
      </w:r>
      <w:r>
        <w:rPr>
          <w:rFonts w:hint="eastAsia" w:ascii="仿宋_GB2312" w:eastAsia="仿宋_GB2312"/>
          <w:sz w:val="24"/>
          <w:szCs w:val="24"/>
          <w:lang w:val="en-US" w:eastAsia="zh-CN"/>
        </w:rPr>
        <w:t>应退未退</w:t>
      </w:r>
      <w:r>
        <w:rPr>
          <w:rFonts w:hint="eastAsia" w:ascii="仿宋_GB2312" w:eastAsia="仿宋_GB2312"/>
          <w:sz w:val="24"/>
          <w:szCs w:val="24"/>
        </w:rPr>
        <w:t>总额</w:t>
      </w:r>
      <w:r>
        <w:rPr>
          <w:rFonts w:hint="eastAsia" w:ascii="仿宋_GB2312" w:eastAsia="仿宋_GB2312"/>
          <w:b/>
          <w:sz w:val="24"/>
          <w:szCs w:val="24"/>
        </w:rPr>
        <w:t>3‰</w:t>
      </w:r>
      <w:r>
        <w:rPr>
          <w:rFonts w:hint="eastAsia" w:ascii="仿宋_GB2312" w:eastAsia="仿宋_GB2312"/>
          <w:sz w:val="24"/>
          <w:szCs w:val="24"/>
        </w:rPr>
        <w:t>的数额向甲方支付违约金并承担相关经济损失；逾期15个日历天以上的，乙方须向甲方支付</w:t>
      </w:r>
      <w:r>
        <w:rPr>
          <w:rFonts w:hint="eastAsia" w:ascii="仿宋_GB2312" w:eastAsia="仿宋_GB2312"/>
          <w:sz w:val="24"/>
          <w:szCs w:val="24"/>
          <w:lang w:val="en-US" w:eastAsia="zh-CN"/>
        </w:rPr>
        <w:t>应退未退</w:t>
      </w:r>
      <w:r>
        <w:rPr>
          <w:rFonts w:hint="eastAsia" w:ascii="仿宋_GB2312" w:eastAsia="仿宋_GB2312"/>
          <w:sz w:val="24"/>
          <w:szCs w:val="24"/>
        </w:rPr>
        <w:t>总额</w:t>
      </w:r>
      <w:r>
        <w:rPr>
          <w:rFonts w:hint="eastAsia" w:ascii="仿宋_GB2312" w:eastAsia="仿宋_GB2312"/>
          <w:b/>
          <w:sz w:val="24"/>
          <w:szCs w:val="24"/>
        </w:rPr>
        <w:t>20%</w:t>
      </w:r>
      <w:r>
        <w:rPr>
          <w:rFonts w:hint="eastAsia" w:ascii="仿宋_GB2312" w:eastAsia="仿宋_GB2312"/>
          <w:sz w:val="24"/>
          <w:szCs w:val="24"/>
        </w:rPr>
        <w:t>的违约金</w:t>
      </w:r>
      <w:r>
        <w:rPr>
          <w:rFonts w:hint="eastAsia" w:ascii="仿宋_GB2312" w:eastAsia="仿宋_GB2312"/>
          <w:sz w:val="24"/>
          <w:szCs w:val="24"/>
          <w:lang w:eastAsia="zh-CN"/>
        </w:rPr>
        <w:t>。</w:t>
      </w:r>
    </w:p>
    <w:p w14:paraId="2E3BCA88">
      <w:pPr>
        <w:spacing w:line="360" w:lineRule="auto"/>
        <w:ind w:firstLine="482" w:firstLineChars="200"/>
        <w:rPr>
          <w:rFonts w:hint="eastAsia" w:ascii="仿宋_GB2312" w:hAnsi="黑体" w:eastAsia="仿宋_GB2312"/>
          <w:sz w:val="24"/>
          <w:szCs w:val="24"/>
        </w:rPr>
      </w:pPr>
      <w:r>
        <w:rPr>
          <w:rFonts w:hint="eastAsia" w:ascii="仿宋_GB2312" w:hAnsi="黑体" w:eastAsia="仿宋_GB2312"/>
          <w:b/>
          <w:sz w:val="24"/>
          <w:szCs w:val="24"/>
        </w:rPr>
        <w:t>第十</w:t>
      </w:r>
      <w:r>
        <w:rPr>
          <w:rFonts w:hint="eastAsia" w:ascii="仿宋_GB2312" w:hAnsi="黑体" w:eastAsia="仿宋_GB2312"/>
          <w:b/>
          <w:sz w:val="24"/>
          <w:szCs w:val="24"/>
          <w:lang w:val="en-US" w:eastAsia="zh-CN"/>
        </w:rPr>
        <w:t>四</w:t>
      </w:r>
      <w:r>
        <w:rPr>
          <w:rFonts w:hint="eastAsia" w:ascii="仿宋_GB2312" w:hAnsi="黑体" w:eastAsia="仿宋_GB2312"/>
          <w:b/>
          <w:sz w:val="24"/>
          <w:szCs w:val="24"/>
        </w:rPr>
        <w:t>条</w:t>
      </w:r>
      <w:r>
        <w:rPr>
          <w:rFonts w:hint="eastAsia" w:ascii="仿宋_GB2312" w:eastAsia="仿宋_GB2312" w:cs="Calibri"/>
          <w:sz w:val="24"/>
          <w:szCs w:val="24"/>
        </w:rPr>
        <w:t> </w:t>
      </w:r>
      <w:r>
        <w:rPr>
          <w:rFonts w:hint="eastAsia" w:ascii="仿宋_GB2312" w:hAnsi="黑体" w:eastAsia="仿宋_GB2312"/>
          <w:sz w:val="24"/>
          <w:szCs w:val="24"/>
        </w:rPr>
        <w:t>本合同如有未尽事宜，经双方协商可做出补充规定，补充规定与本合同具有同等效力。</w:t>
      </w:r>
    </w:p>
    <w:p w14:paraId="44EB76FB">
      <w:pPr>
        <w:spacing w:line="360" w:lineRule="auto"/>
        <w:ind w:firstLine="482" w:firstLineChars="200"/>
        <w:rPr>
          <w:rFonts w:hint="eastAsia" w:ascii="仿宋_GB2312" w:hAnsi="黑体" w:eastAsia="仿宋_GB2312"/>
          <w:sz w:val="24"/>
          <w:szCs w:val="24"/>
        </w:rPr>
      </w:pPr>
      <w:r>
        <w:rPr>
          <w:rFonts w:hint="eastAsia" w:ascii="仿宋_GB2312" w:hAnsi="黑体" w:eastAsia="仿宋_GB2312"/>
          <w:b/>
          <w:sz w:val="24"/>
          <w:szCs w:val="24"/>
        </w:rPr>
        <w:t>第十</w:t>
      </w:r>
      <w:r>
        <w:rPr>
          <w:rFonts w:hint="eastAsia" w:ascii="仿宋_GB2312" w:hAnsi="黑体" w:eastAsia="仿宋_GB2312"/>
          <w:b/>
          <w:sz w:val="24"/>
          <w:szCs w:val="24"/>
          <w:lang w:val="en-US" w:eastAsia="zh-CN"/>
        </w:rPr>
        <w:t>五</w:t>
      </w:r>
      <w:r>
        <w:rPr>
          <w:rFonts w:hint="eastAsia" w:ascii="仿宋_GB2312" w:hAnsi="黑体" w:eastAsia="仿宋_GB2312"/>
          <w:b/>
          <w:sz w:val="24"/>
          <w:szCs w:val="24"/>
        </w:rPr>
        <w:t>条</w:t>
      </w:r>
      <w:r>
        <w:rPr>
          <w:rFonts w:hint="eastAsia" w:ascii="仿宋_GB2312" w:eastAsia="仿宋_GB2312" w:cs="Calibri"/>
          <w:sz w:val="24"/>
          <w:szCs w:val="24"/>
        </w:rPr>
        <w:t> </w:t>
      </w:r>
      <w:r>
        <w:rPr>
          <w:rFonts w:hint="eastAsia" w:ascii="仿宋_GB2312" w:hAnsi="黑体" w:eastAsia="仿宋_GB2312"/>
          <w:sz w:val="24"/>
          <w:szCs w:val="24"/>
        </w:rPr>
        <w:t>本合同执行中如发生纠纷，应通过双方协商解决。协商不成，双方同意向工程所在地法院提起诉讼解决。</w:t>
      </w:r>
    </w:p>
    <w:p w14:paraId="51617787">
      <w:pPr>
        <w:spacing w:line="360" w:lineRule="auto"/>
        <w:ind w:firstLine="482" w:firstLineChars="200"/>
        <w:rPr>
          <w:rFonts w:hint="eastAsia" w:ascii="仿宋_GB2312" w:hAnsi="黑体" w:eastAsia="仿宋_GB2312"/>
          <w:sz w:val="24"/>
          <w:szCs w:val="24"/>
        </w:rPr>
      </w:pPr>
      <w:r>
        <w:rPr>
          <w:rFonts w:hint="eastAsia" w:ascii="仿宋_GB2312" w:hAnsi="黑体" w:eastAsia="仿宋_GB2312"/>
          <w:b/>
          <w:sz w:val="24"/>
          <w:szCs w:val="24"/>
        </w:rPr>
        <w:t>第十</w:t>
      </w:r>
      <w:r>
        <w:rPr>
          <w:rFonts w:hint="eastAsia" w:ascii="仿宋_GB2312" w:hAnsi="黑体" w:eastAsia="仿宋_GB2312"/>
          <w:b/>
          <w:sz w:val="24"/>
          <w:szCs w:val="24"/>
          <w:lang w:val="en-US" w:eastAsia="zh-CN"/>
        </w:rPr>
        <w:t>六</w:t>
      </w:r>
      <w:r>
        <w:rPr>
          <w:rFonts w:hint="eastAsia" w:ascii="仿宋_GB2312" w:hAnsi="黑体" w:eastAsia="仿宋_GB2312"/>
          <w:b/>
          <w:sz w:val="24"/>
          <w:szCs w:val="24"/>
        </w:rPr>
        <w:t>条</w:t>
      </w:r>
      <w:r>
        <w:rPr>
          <w:rFonts w:hint="eastAsia" w:ascii="仿宋_GB2312" w:eastAsia="仿宋_GB2312" w:cs="Calibri"/>
          <w:sz w:val="24"/>
          <w:szCs w:val="24"/>
        </w:rPr>
        <w:t> </w:t>
      </w:r>
      <w:r>
        <w:rPr>
          <w:rFonts w:hint="eastAsia" w:ascii="仿宋_GB2312" w:hAnsi="黑体" w:eastAsia="仿宋_GB2312"/>
          <w:sz w:val="24"/>
          <w:szCs w:val="24"/>
        </w:rPr>
        <w:t>本合同经双方</w:t>
      </w:r>
      <w:r>
        <w:rPr>
          <w:rFonts w:hint="eastAsia" w:ascii="仿宋_GB2312" w:hAnsi="黑体" w:eastAsia="仿宋_GB2312"/>
          <w:sz w:val="24"/>
          <w:szCs w:val="24"/>
          <w:lang w:val="en-US" w:eastAsia="zh-CN"/>
        </w:rPr>
        <w:t>法定代表人或授权代表</w:t>
      </w:r>
      <w:r>
        <w:rPr>
          <w:rFonts w:hint="eastAsia" w:ascii="仿宋_GB2312" w:hAnsi="黑体" w:eastAsia="仿宋_GB2312"/>
          <w:sz w:val="24"/>
          <w:szCs w:val="24"/>
        </w:rPr>
        <w:t>签</w:t>
      </w:r>
      <w:r>
        <w:rPr>
          <w:rFonts w:hint="eastAsia" w:ascii="仿宋_GB2312" w:hAnsi="黑体" w:eastAsia="仿宋_GB2312"/>
          <w:sz w:val="24"/>
          <w:szCs w:val="24"/>
          <w:lang w:val="en-US" w:eastAsia="zh-CN"/>
        </w:rPr>
        <w:t>字并加盖公</w:t>
      </w:r>
      <w:r>
        <w:rPr>
          <w:rFonts w:hint="eastAsia" w:ascii="仿宋_GB2312" w:hAnsi="黑体" w:eastAsia="仿宋_GB2312"/>
          <w:sz w:val="24"/>
          <w:szCs w:val="24"/>
        </w:rPr>
        <w:t>章之日起生效。</w:t>
      </w:r>
    </w:p>
    <w:p w14:paraId="54E56205">
      <w:pPr>
        <w:spacing w:line="360" w:lineRule="auto"/>
        <w:ind w:firstLine="482" w:firstLineChars="200"/>
        <w:rPr>
          <w:rFonts w:ascii="仿宋_GB2312" w:hAnsi="黑体" w:eastAsia="仿宋_GB2312"/>
          <w:sz w:val="24"/>
          <w:szCs w:val="24"/>
        </w:rPr>
      </w:pPr>
      <w:r>
        <w:rPr>
          <w:rFonts w:hint="eastAsia" w:ascii="仿宋_GB2312" w:hAnsi="黑体" w:eastAsia="仿宋_GB2312"/>
          <w:b/>
          <w:sz w:val="24"/>
          <w:szCs w:val="24"/>
        </w:rPr>
        <w:t>第十</w:t>
      </w:r>
      <w:r>
        <w:rPr>
          <w:rFonts w:hint="eastAsia" w:ascii="仿宋_GB2312" w:hAnsi="黑体" w:eastAsia="仿宋_GB2312"/>
          <w:b/>
          <w:sz w:val="24"/>
          <w:szCs w:val="24"/>
          <w:lang w:val="en-US" w:eastAsia="zh-CN"/>
        </w:rPr>
        <w:t>七</w:t>
      </w:r>
      <w:r>
        <w:rPr>
          <w:rFonts w:hint="eastAsia" w:ascii="仿宋_GB2312" w:hAnsi="黑体" w:eastAsia="仿宋_GB2312"/>
          <w:b/>
          <w:sz w:val="24"/>
          <w:szCs w:val="24"/>
        </w:rPr>
        <w:t>条</w:t>
      </w:r>
      <w:r>
        <w:rPr>
          <w:rFonts w:hint="eastAsia" w:ascii="仿宋_GB2312" w:eastAsia="仿宋_GB2312" w:cs="Calibri"/>
          <w:sz w:val="24"/>
          <w:szCs w:val="24"/>
        </w:rPr>
        <w:t> </w:t>
      </w:r>
      <w:r>
        <w:rPr>
          <w:rFonts w:hint="eastAsia" w:ascii="仿宋_GB2312" w:hAnsi="黑体" w:eastAsia="仿宋_GB2312"/>
          <w:sz w:val="24"/>
          <w:szCs w:val="24"/>
        </w:rPr>
        <w:t>乙方所留联系地址确定为收取甲方通知之确切地址，如有变更，乙方须以书面方式告知，否则甲方向该地址送达即视为乙方收到。相关变更</w:t>
      </w:r>
      <w:r>
        <w:rPr>
          <w:rFonts w:hint="eastAsia" w:ascii="仿宋_GB2312" w:hAnsi="黑体" w:eastAsia="仿宋_GB2312"/>
          <w:sz w:val="24"/>
          <w:szCs w:val="24"/>
          <w:lang w:val="en-US" w:eastAsia="zh-CN"/>
        </w:rPr>
        <w:t>书面</w:t>
      </w:r>
      <w:r>
        <w:rPr>
          <w:rFonts w:hint="eastAsia" w:ascii="仿宋_GB2312" w:hAnsi="黑体" w:eastAsia="仿宋_GB2312"/>
          <w:sz w:val="24"/>
          <w:szCs w:val="24"/>
        </w:rPr>
        <w:t>通知送达甲方前，原约定地址信息仍有效。</w:t>
      </w:r>
    </w:p>
    <w:p w14:paraId="2E20731E">
      <w:pPr>
        <w:widowControl/>
        <w:spacing w:line="360" w:lineRule="auto"/>
        <w:ind w:right="-1" w:firstLine="480"/>
        <w:rPr>
          <w:rFonts w:hint="eastAsia" w:ascii="仿宋_GB2312" w:hAnsi="黑体" w:eastAsia="仿宋_GB2312"/>
          <w:sz w:val="24"/>
          <w:szCs w:val="24"/>
        </w:rPr>
      </w:pPr>
      <w:r>
        <w:rPr>
          <w:rFonts w:hint="eastAsia" w:ascii="仿宋_GB2312" w:hAnsi="黑体" w:eastAsia="仿宋_GB2312"/>
          <w:b/>
          <w:sz w:val="24"/>
          <w:szCs w:val="24"/>
        </w:rPr>
        <w:t>第十</w:t>
      </w:r>
      <w:r>
        <w:rPr>
          <w:rFonts w:hint="eastAsia" w:ascii="仿宋_GB2312" w:hAnsi="黑体" w:eastAsia="仿宋_GB2312"/>
          <w:b/>
          <w:sz w:val="24"/>
          <w:szCs w:val="24"/>
          <w:lang w:val="en-US" w:eastAsia="zh-CN"/>
        </w:rPr>
        <w:t>八</w:t>
      </w:r>
      <w:r>
        <w:rPr>
          <w:rFonts w:hint="eastAsia" w:ascii="仿宋_GB2312" w:hAnsi="黑体" w:eastAsia="仿宋_GB2312"/>
          <w:b/>
          <w:sz w:val="24"/>
          <w:szCs w:val="24"/>
        </w:rPr>
        <w:t>条</w:t>
      </w:r>
      <w:r>
        <w:rPr>
          <w:rFonts w:hint="eastAsia" w:ascii="仿宋_GB2312" w:eastAsia="仿宋_GB2312" w:cs="Calibri"/>
          <w:sz w:val="24"/>
          <w:szCs w:val="24"/>
        </w:rPr>
        <w:t> </w:t>
      </w:r>
      <w:r>
        <w:rPr>
          <w:rFonts w:hint="eastAsia" w:ascii="仿宋_GB2312" w:hAnsi="黑体" w:eastAsia="仿宋_GB2312" w:cs="宋体"/>
          <w:kern w:val="0"/>
          <w:sz w:val="24"/>
          <w:szCs w:val="24"/>
        </w:rPr>
        <w:t>本合同一式陆份，其中甲方执肆份，</w:t>
      </w:r>
      <w:bookmarkStart w:id="10" w:name="_Hlk510941689"/>
      <w:r>
        <w:rPr>
          <w:rFonts w:hint="eastAsia" w:ascii="仿宋_GB2312" w:hAnsi="黑体" w:eastAsia="仿宋_GB2312" w:cs="宋体"/>
          <w:kern w:val="0"/>
          <w:sz w:val="24"/>
          <w:szCs w:val="24"/>
        </w:rPr>
        <w:t>乙</w:t>
      </w:r>
      <w:bookmarkEnd w:id="10"/>
      <w:r>
        <w:rPr>
          <w:rFonts w:hint="eastAsia" w:ascii="仿宋_GB2312" w:hAnsi="黑体" w:eastAsia="仿宋_GB2312" w:cs="宋体"/>
          <w:kern w:val="0"/>
          <w:sz w:val="24"/>
          <w:szCs w:val="24"/>
        </w:rPr>
        <w:t>方执贰份，</w:t>
      </w:r>
      <w:r>
        <w:rPr>
          <w:rFonts w:hint="eastAsia" w:ascii="仿宋_GB2312" w:hAnsi="黑体" w:eastAsia="仿宋_GB2312"/>
          <w:sz w:val="24"/>
          <w:szCs w:val="24"/>
        </w:rPr>
        <w:t>每份均具同等法律效力。</w:t>
      </w:r>
    </w:p>
    <w:p w14:paraId="4FDC11C3">
      <w:pPr>
        <w:spacing w:line="360" w:lineRule="auto"/>
        <w:ind w:firstLine="482" w:firstLineChars="200"/>
        <w:rPr>
          <w:rFonts w:hint="eastAsia" w:ascii="仿宋_GB2312" w:hAnsi="黑体" w:eastAsia="仿宋_GB2312"/>
          <w:b/>
          <w:sz w:val="24"/>
          <w:szCs w:val="24"/>
        </w:rPr>
      </w:pPr>
      <w:r>
        <w:rPr>
          <w:rFonts w:hint="eastAsia" w:ascii="仿宋_GB2312" w:hAnsi="黑体" w:eastAsia="仿宋_GB2312"/>
          <w:b/>
          <w:sz w:val="24"/>
          <w:szCs w:val="24"/>
        </w:rPr>
        <w:t>第十</w:t>
      </w:r>
      <w:r>
        <w:rPr>
          <w:rFonts w:hint="eastAsia" w:ascii="仿宋_GB2312" w:hAnsi="黑体" w:eastAsia="仿宋_GB2312"/>
          <w:b/>
          <w:sz w:val="24"/>
          <w:szCs w:val="24"/>
          <w:lang w:val="en-US" w:eastAsia="zh-CN"/>
        </w:rPr>
        <w:t>九</w:t>
      </w:r>
      <w:r>
        <w:rPr>
          <w:rFonts w:hint="eastAsia" w:ascii="仿宋_GB2312" w:hAnsi="黑体" w:eastAsia="仿宋_GB2312"/>
          <w:b/>
          <w:sz w:val="24"/>
          <w:szCs w:val="24"/>
        </w:rPr>
        <w:t>条 合同附件</w:t>
      </w:r>
    </w:p>
    <w:p w14:paraId="4EB0C198">
      <w:pPr>
        <w:numPr>
          <w:ilvl w:val="0"/>
          <w:numId w:val="2"/>
        </w:numPr>
        <w:spacing w:line="360" w:lineRule="auto"/>
        <w:rPr>
          <w:rFonts w:hint="eastAsia" w:ascii="仿宋_GB2312" w:hAnsi="黑体" w:eastAsia="仿宋_GB2312"/>
          <w:sz w:val="24"/>
          <w:szCs w:val="24"/>
        </w:rPr>
      </w:pPr>
      <w:r>
        <w:rPr>
          <w:rFonts w:hint="eastAsia" w:ascii="仿宋_GB2312" w:hAnsi="黑体" w:eastAsia="仿宋_GB2312"/>
          <w:sz w:val="24"/>
          <w:szCs w:val="24"/>
        </w:rPr>
        <w:t>《工程质量保修书》</w:t>
      </w:r>
    </w:p>
    <w:p w14:paraId="671663EB">
      <w:pPr>
        <w:numPr>
          <w:ilvl w:val="0"/>
          <w:numId w:val="2"/>
        </w:numPr>
        <w:spacing w:line="360" w:lineRule="auto"/>
        <w:rPr>
          <w:rFonts w:hint="eastAsia" w:ascii="仿宋_GB2312" w:hAnsi="黑体" w:eastAsia="仿宋_GB2312"/>
          <w:sz w:val="24"/>
          <w:szCs w:val="24"/>
        </w:rPr>
      </w:pPr>
      <w:r>
        <w:rPr>
          <w:rFonts w:hint="eastAsia" w:ascii="仿宋_GB2312" w:hAnsi="黑体" w:eastAsia="仿宋_GB2312"/>
          <w:sz w:val="24"/>
          <w:szCs w:val="24"/>
        </w:rPr>
        <w:t>技术文件（包括图纸、手册等）</w:t>
      </w:r>
    </w:p>
    <w:p w14:paraId="7043D1E2">
      <w:pPr>
        <w:numPr>
          <w:ilvl w:val="0"/>
          <w:numId w:val="2"/>
        </w:numPr>
        <w:spacing w:line="360" w:lineRule="auto"/>
        <w:rPr>
          <w:rFonts w:ascii="仿宋_GB2312" w:hAnsi="黑体" w:eastAsia="仿宋_GB2312"/>
          <w:sz w:val="24"/>
          <w:szCs w:val="24"/>
        </w:rPr>
      </w:pPr>
      <w:r>
        <w:rPr>
          <w:rFonts w:hint="eastAsia" w:ascii="仿宋_GB2312" w:hAnsi="黑体" w:eastAsia="仿宋_GB2312"/>
          <w:sz w:val="24"/>
          <w:szCs w:val="24"/>
        </w:rPr>
        <w:t>本项目招标文件</w:t>
      </w:r>
    </w:p>
    <w:p w14:paraId="110F1890">
      <w:pPr>
        <w:numPr>
          <w:ilvl w:val="0"/>
          <w:numId w:val="2"/>
        </w:numPr>
        <w:spacing w:line="360" w:lineRule="auto"/>
        <w:rPr>
          <w:rFonts w:ascii="仿宋_GB2312" w:hAnsi="黑体" w:eastAsia="仿宋_GB2312"/>
          <w:sz w:val="24"/>
          <w:szCs w:val="24"/>
        </w:rPr>
      </w:pPr>
      <w:r>
        <w:rPr>
          <w:rFonts w:hint="eastAsia" w:ascii="仿宋_GB2312" w:hAnsi="黑体" w:eastAsia="仿宋_GB2312"/>
          <w:sz w:val="24"/>
          <w:szCs w:val="24"/>
        </w:rPr>
        <w:t>本项目投标文件</w:t>
      </w:r>
    </w:p>
    <w:p w14:paraId="0CF76FDC">
      <w:pPr>
        <w:widowControl/>
        <w:tabs>
          <w:tab w:val="left" w:pos="0"/>
        </w:tabs>
        <w:spacing w:line="360" w:lineRule="auto"/>
        <w:ind w:firstLine="360" w:firstLineChars="150"/>
        <w:rPr>
          <w:rFonts w:ascii="仿宋_GB2312" w:hAnsi="黑体" w:eastAsia="仿宋_GB2312"/>
          <w:sz w:val="24"/>
          <w:szCs w:val="24"/>
        </w:rPr>
      </w:pPr>
      <w:r>
        <w:rPr>
          <w:rFonts w:hint="eastAsia" w:ascii="仿宋_GB2312" w:hAnsi="黑体" w:eastAsia="仿宋_GB2312"/>
          <w:sz w:val="24"/>
          <w:szCs w:val="24"/>
        </w:rPr>
        <w:t>本合同之所有附件均为本合同的有效组成部份，与本合同具有同样法律效力。</w:t>
      </w:r>
    </w:p>
    <w:p w14:paraId="6B946979">
      <w:pPr>
        <w:spacing w:line="360" w:lineRule="auto"/>
        <w:ind w:firstLine="480" w:firstLineChars="200"/>
        <w:rPr>
          <w:rFonts w:hint="eastAsia" w:ascii="仿宋_GB2312" w:hAnsi="黑体" w:eastAsia="仿宋_GB2312"/>
          <w:sz w:val="24"/>
          <w:szCs w:val="24"/>
        </w:rPr>
      </w:pPr>
    </w:p>
    <w:p w14:paraId="19948BFB">
      <w:pPr>
        <w:spacing w:line="360" w:lineRule="auto"/>
        <w:ind w:left="6480" w:hanging="6480" w:hangingChars="2700"/>
        <w:rPr>
          <w:rFonts w:hint="eastAsia" w:ascii="仿宋_GB2312" w:hAnsi="仿宋_GB2312" w:eastAsia="仿宋_GB2312"/>
          <w:sz w:val="24"/>
          <w:szCs w:val="24"/>
        </w:rPr>
      </w:pPr>
      <w:r>
        <w:rPr>
          <w:rFonts w:hint="eastAsia" w:ascii="仿宋_GB2312" w:hAnsi="仿宋_GB2312" w:eastAsia="仿宋_GB2312"/>
          <w:sz w:val="24"/>
          <w:szCs w:val="24"/>
        </w:rPr>
        <w:t xml:space="preserve">   甲方：（公章）广州白云山医药集团    乙方：（公章）</w:t>
      </w:r>
    </w:p>
    <w:p w14:paraId="6465D52C">
      <w:pPr>
        <w:spacing w:line="360" w:lineRule="auto"/>
        <w:rPr>
          <w:rFonts w:hint="eastAsia" w:ascii="仿宋_GB2312" w:hAnsi="仿宋_GB2312" w:eastAsia="仿宋_GB2312"/>
          <w:spacing w:val="-20"/>
          <w:sz w:val="24"/>
          <w:szCs w:val="24"/>
        </w:rPr>
      </w:pPr>
      <w:r>
        <w:rPr>
          <w:rFonts w:hint="eastAsia" w:ascii="仿宋_GB2312" w:hAnsi="仿宋_GB2312" w:eastAsia="仿宋_GB2312"/>
          <w:sz w:val="24"/>
          <w:szCs w:val="24"/>
        </w:rPr>
        <w:t xml:space="preserve">      </w:t>
      </w:r>
      <w:r>
        <w:rPr>
          <w:rFonts w:hint="eastAsia" w:ascii="仿宋_GB2312" w:hAnsi="仿宋_GB2312" w:eastAsia="仿宋_GB2312"/>
          <w:spacing w:val="-20"/>
          <w:sz w:val="24"/>
          <w:szCs w:val="24"/>
        </w:rPr>
        <w:t xml:space="preserve">    股份有限公司白云山何济公制药厂</w:t>
      </w:r>
    </w:p>
    <w:p w14:paraId="391E7802">
      <w:pPr>
        <w:spacing w:before="240" w:line="360" w:lineRule="auto"/>
        <w:rPr>
          <w:rFonts w:hint="eastAsia" w:ascii="仿宋_GB2312" w:hAnsi="仿宋_GB2312" w:eastAsia="仿宋_GB2312"/>
          <w:sz w:val="24"/>
          <w:szCs w:val="24"/>
        </w:rPr>
      </w:pPr>
      <w:r>
        <w:rPr>
          <w:rFonts w:hint="eastAsia" w:ascii="仿宋_GB2312" w:hAnsi="仿宋_GB2312" w:eastAsia="仿宋_GB2312"/>
          <w:sz w:val="24"/>
          <w:szCs w:val="24"/>
        </w:rPr>
        <w:t xml:space="preserve">   企业负责人</w:t>
      </w:r>
      <w:r>
        <w:rPr>
          <w:rFonts w:hint="eastAsia" w:ascii="仿宋_GB2312" w:hAnsi="仿宋_GB2312" w:eastAsia="仿宋_GB2312"/>
          <w:sz w:val="24"/>
          <w:szCs w:val="24"/>
          <w:lang w:val="en-US" w:eastAsia="zh-CN"/>
        </w:rPr>
        <w:t>或委托代理人</w:t>
      </w:r>
      <w:r>
        <w:rPr>
          <w:rFonts w:hint="eastAsia" w:ascii="仿宋_GB2312" w:hAnsi="仿宋_GB2312" w:eastAsia="仿宋_GB2312"/>
          <w:sz w:val="24"/>
          <w:szCs w:val="24"/>
        </w:rPr>
        <w:t>：（签字）   法定代表人</w:t>
      </w:r>
      <w:r>
        <w:rPr>
          <w:rFonts w:hint="eastAsia" w:ascii="仿宋_GB2312" w:hAnsi="仿宋_GB2312" w:eastAsia="仿宋_GB2312"/>
          <w:sz w:val="24"/>
          <w:szCs w:val="24"/>
          <w:lang w:val="en-US" w:eastAsia="zh-CN"/>
        </w:rPr>
        <w:t>或委托代理人</w:t>
      </w:r>
      <w:r>
        <w:rPr>
          <w:rFonts w:hint="eastAsia" w:ascii="仿宋_GB2312" w:hAnsi="仿宋_GB2312" w:eastAsia="仿宋_GB2312"/>
          <w:sz w:val="24"/>
          <w:szCs w:val="24"/>
        </w:rPr>
        <w:t>：（签字）</w:t>
      </w:r>
    </w:p>
    <w:p w14:paraId="745607A1">
      <w:pPr>
        <w:spacing w:before="240" w:line="360" w:lineRule="auto"/>
        <w:rPr>
          <w:rFonts w:hint="eastAsia" w:ascii="仿宋_GB2312" w:hAnsi="仿宋_GB2312" w:eastAsia="仿宋_GB2312"/>
          <w:sz w:val="24"/>
          <w:szCs w:val="24"/>
        </w:rPr>
      </w:pPr>
    </w:p>
    <w:p w14:paraId="0E751E34">
      <w:pPr>
        <w:spacing w:line="360" w:lineRule="auto"/>
        <w:ind w:left="6599" w:leftChars="171" w:right="720" w:hanging="6240" w:hangingChars="2600"/>
        <w:rPr>
          <w:rFonts w:hint="eastAsia" w:ascii="仿宋_GB2312" w:hAnsi="仿宋_GB2312" w:eastAsia="仿宋_GB2312"/>
          <w:sz w:val="24"/>
          <w:szCs w:val="24"/>
        </w:rPr>
      </w:pPr>
      <w:r>
        <w:rPr>
          <w:rFonts w:hint="eastAsia" w:ascii="仿宋_GB2312" w:hAnsi="仿宋_GB2312" w:eastAsia="仿宋_GB2312"/>
          <w:sz w:val="24"/>
          <w:szCs w:val="24"/>
        </w:rPr>
        <w:t xml:space="preserve">地址：广州市白云区新市街          地址： </w:t>
      </w:r>
    </w:p>
    <w:p w14:paraId="48F2658E">
      <w:pPr>
        <w:spacing w:line="360" w:lineRule="auto"/>
        <w:ind w:left="6597" w:leftChars="570" w:right="720" w:hanging="5400" w:hangingChars="2250"/>
        <w:rPr>
          <w:rFonts w:hint="eastAsia" w:ascii="仿宋_GB2312" w:hAnsi="仿宋_GB2312" w:eastAsia="仿宋_GB2312"/>
          <w:sz w:val="24"/>
          <w:szCs w:val="24"/>
        </w:rPr>
      </w:pPr>
      <w:r>
        <w:rPr>
          <w:rFonts w:hint="eastAsia" w:ascii="仿宋_GB2312" w:hAnsi="仿宋_GB2312" w:eastAsia="仿宋_GB2312"/>
          <w:sz w:val="24"/>
          <w:szCs w:val="24"/>
        </w:rPr>
        <w:t xml:space="preserve">萧岗大马路52号                                                              </w:t>
      </w:r>
    </w:p>
    <w:p w14:paraId="42C616E0">
      <w:pPr>
        <w:spacing w:line="360" w:lineRule="auto"/>
        <w:ind w:firstLine="360" w:firstLineChars="150"/>
        <w:rPr>
          <w:rFonts w:hint="eastAsia" w:ascii="仿宋_GB2312" w:hAnsi="仿宋_GB2312" w:eastAsia="仿宋_GB2312"/>
          <w:sz w:val="24"/>
          <w:szCs w:val="24"/>
        </w:rPr>
      </w:pPr>
    </w:p>
    <w:p w14:paraId="266F2B0A">
      <w:pPr>
        <w:spacing w:line="360" w:lineRule="auto"/>
        <w:ind w:left="36" w:leftChars="17" w:firstLine="240" w:firstLineChars="100"/>
        <w:jc w:val="left"/>
        <w:rPr>
          <w:rFonts w:hint="eastAsia" w:ascii="仿宋_GB2312" w:hAnsi="仿宋_GB2312" w:eastAsia="仿宋_GB2312"/>
          <w:sz w:val="24"/>
          <w:szCs w:val="24"/>
        </w:rPr>
      </w:pPr>
      <w:r>
        <w:rPr>
          <w:rFonts w:hint="eastAsia" w:ascii="仿宋_GB2312" w:hAnsi="仿宋_GB2312" w:eastAsia="仿宋_GB2312"/>
          <w:sz w:val="24"/>
          <w:szCs w:val="24"/>
        </w:rPr>
        <w:t xml:space="preserve">开户银行：广州市工商银行白         开户银行： </w:t>
      </w:r>
    </w:p>
    <w:p w14:paraId="217616E0">
      <w:pPr>
        <w:spacing w:line="360" w:lineRule="auto"/>
        <w:ind w:left="36" w:leftChars="17" w:firstLine="240" w:firstLineChars="100"/>
        <w:jc w:val="left"/>
        <w:rPr>
          <w:rFonts w:ascii="仿宋_GB2312" w:hAnsi="仿宋_GB2312" w:eastAsia="仿宋_GB2312"/>
          <w:sz w:val="24"/>
          <w:szCs w:val="24"/>
        </w:rPr>
      </w:pPr>
      <w:r>
        <w:rPr>
          <w:rFonts w:hint="eastAsia" w:ascii="仿宋_GB2312" w:hAnsi="仿宋_GB2312" w:eastAsia="仿宋_GB2312"/>
          <w:sz w:val="24"/>
          <w:szCs w:val="24"/>
        </w:rPr>
        <w:t xml:space="preserve">          云路支行</w:t>
      </w:r>
    </w:p>
    <w:p w14:paraId="6DB153FC">
      <w:pPr>
        <w:spacing w:line="360" w:lineRule="auto"/>
        <w:rPr>
          <w:rFonts w:hint="eastAsia" w:ascii="仿宋_GB2312" w:hAnsi="仿宋_GB2312" w:eastAsia="仿宋_GB2312"/>
          <w:sz w:val="24"/>
          <w:szCs w:val="24"/>
        </w:rPr>
      </w:pPr>
      <w:r>
        <w:rPr>
          <w:rFonts w:hint="eastAsia" w:ascii="仿宋_GB2312" w:hAnsi="仿宋_GB2312" w:eastAsia="仿宋_GB2312"/>
          <w:sz w:val="24"/>
          <w:szCs w:val="24"/>
        </w:rPr>
        <w:t xml:space="preserve">    </w:t>
      </w:r>
    </w:p>
    <w:p w14:paraId="584A728C">
      <w:pPr>
        <w:spacing w:line="360" w:lineRule="auto"/>
        <w:ind w:left="6240" w:hanging="6240" w:hangingChars="2600"/>
        <w:rPr>
          <w:rFonts w:ascii="仿宋_GB2312" w:hAnsi="仿宋_GB2312" w:eastAsia="仿宋_GB2312"/>
          <w:sz w:val="24"/>
          <w:szCs w:val="24"/>
        </w:rPr>
      </w:pPr>
      <w:r>
        <w:rPr>
          <w:rFonts w:hint="eastAsia" w:ascii="仿宋_GB2312" w:hAnsi="仿宋_GB2312" w:eastAsia="仿宋_GB2312"/>
          <w:sz w:val="24"/>
          <w:szCs w:val="24"/>
        </w:rPr>
        <w:t xml:space="preserve">   开户银行账号：3602004409200169955 开户银行账号：</w:t>
      </w:r>
    </w:p>
    <w:p w14:paraId="0BDF54A1">
      <w:pPr>
        <w:spacing w:line="360" w:lineRule="auto"/>
        <w:rPr>
          <w:rFonts w:hint="eastAsia" w:ascii="仿宋_GB2312" w:hAnsi="仿宋_GB2312" w:eastAsia="仿宋_GB2312"/>
          <w:sz w:val="24"/>
          <w:szCs w:val="24"/>
        </w:rPr>
      </w:pPr>
      <w:r>
        <w:rPr>
          <w:rFonts w:hint="eastAsia" w:ascii="仿宋_GB2312" w:hAnsi="仿宋_GB2312" w:eastAsia="仿宋_GB2312"/>
          <w:sz w:val="24"/>
          <w:szCs w:val="24"/>
        </w:rPr>
        <w:t xml:space="preserve"> </w:t>
      </w:r>
    </w:p>
    <w:p w14:paraId="624609D1">
      <w:pPr>
        <w:spacing w:line="360" w:lineRule="auto"/>
        <w:ind w:firstLine="360" w:firstLineChars="150"/>
        <w:rPr>
          <w:rFonts w:hint="eastAsia" w:ascii="仿宋_GB2312" w:hAnsi="仿宋_GB2312" w:eastAsia="仿宋_GB2312"/>
          <w:sz w:val="24"/>
          <w:szCs w:val="24"/>
        </w:rPr>
      </w:pPr>
      <w:r>
        <w:rPr>
          <w:rFonts w:hint="eastAsia" w:ascii="仿宋_GB2312" w:hAnsi="仿宋_GB2312" w:eastAsia="仿宋_GB2312"/>
          <w:sz w:val="24"/>
          <w:szCs w:val="24"/>
        </w:rPr>
        <w:t xml:space="preserve">联系电话：020-86648048            联系电话： </w:t>
      </w:r>
    </w:p>
    <w:p w14:paraId="1510A5BA">
      <w:pPr>
        <w:spacing w:line="360" w:lineRule="auto"/>
        <w:ind w:firstLine="360" w:firstLineChars="150"/>
        <w:rPr>
          <w:rFonts w:hint="eastAsia" w:ascii="仿宋_GB2312" w:hAnsi="仿宋_GB2312" w:eastAsia="仿宋_GB2312"/>
          <w:sz w:val="24"/>
          <w:szCs w:val="24"/>
        </w:rPr>
      </w:pPr>
    </w:p>
    <w:p w14:paraId="3B483394">
      <w:pPr>
        <w:spacing w:line="360" w:lineRule="auto"/>
        <w:ind w:firstLine="360" w:firstLineChars="150"/>
        <w:rPr>
          <w:rFonts w:hint="eastAsia" w:ascii="仿宋_GB2312" w:hAnsi="仿宋_GB2312" w:eastAsia="仿宋_GB2312"/>
          <w:sz w:val="24"/>
          <w:szCs w:val="24"/>
        </w:rPr>
      </w:pPr>
      <w:r>
        <w:rPr>
          <w:rFonts w:hint="eastAsia" w:ascii="仿宋_GB2312" w:hAnsi="仿宋_GB2312" w:eastAsia="仿宋_GB2312"/>
          <w:sz w:val="24"/>
          <w:szCs w:val="24"/>
        </w:rPr>
        <w:t>年     月     日             年     月     日</w:t>
      </w:r>
    </w:p>
    <w:p w14:paraId="6AC4A544">
      <w:pPr>
        <w:widowControl/>
        <w:spacing w:line="360" w:lineRule="auto"/>
        <w:jc w:val="left"/>
        <w:rPr>
          <w:rFonts w:hint="eastAsia" w:ascii="仿宋_GB2312" w:hAnsi="宋体" w:eastAsia="仿宋_GB2312"/>
          <w:sz w:val="24"/>
          <w:szCs w:val="24"/>
        </w:rPr>
      </w:pPr>
      <w:r>
        <w:rPr>
          <w:rFonts w:hint="eastAsia" w:ascii="仿宋_GB2312" w:hAnsi="宋体" w:eastAsia="仿宋_GB2312"/>
          <w:sz w:val="24"/>
          <w:szCs w:val="24"/>
        </w:rPr>
        <w:br w:type="page"/>
      </w:r>
    </w:p>
    <w:p w14:paraId="6756DBC1">
      <w:pPr>
        <w:adjustRightInd w:val="0"/>
        <w:snapToGrid w:val="0"/>
        <w:spacing w:line="360" w:lineRule="auto"/>
        <w:rPr>
          <w:rFonts w:hint="eastAsia" w:ascii="仿宋_GB2312" w:hAnsi="宋体" w:eastAsia="仿宋_GB2312"/>
          <w:sz w:val="24"/>
          <w:szCs w:val="24"/>
        </w:rPr>
      </w:pPr>
      <w:r>
        <w:rPr>
          <w:rFonts w:hint="eastAsia" w:ascii="仿宋_GB2312" w:hAnsi="宋体" w:eastAsia="仿宋_GB2312"/>
          <w:sz w:val="24"/>
          <w:szCs w:val="24"/>
        </w:rPr>
        <w:t>附件一</w:t>
      </w:r>
    </w:p>
    <w:p w14:paraId="4A9EAF00">
      <w:pPr>
        <w:spacing w:line="360" w:lineRule="auto"/>
        <w:jc w:val="center"/>
        <w:rPr>
          <w:rFonts w:hint="eastAsia" w:ascii="仿宋_GB2312" w:hAnsi="宋体" w:eastAsia="仿宋_GB2312"/>
          <w:b/>
          <w:sz w:val="24"/>
          <w:szCs w:val="24"/>
        </w:rPr>
      </w:pPr>
      <w:r>
        <w:rPr>
          <w:rFonts w:hint="eastAsia" w:ascii="仿宋_GB2312" w:hAnsi="宋体" w:eastAsia="仿宋_GB2312"/>
          <w:b/>
          <w:sz w:val="24"/>
          <w:szCs w:val="24"/>
        </w:rPr>
        <w:t>工程质量保修书</w:t>
      </w:r>
    </w:p>
    <w:p w14:paraId="06E8C687">
      <w:pPr>
        <w:adjustRightInd w:val="0"/>
        <w:snapToGrid w:val="0"/>
        <w:spacing w:line="360" w:lineRule="auto"/>
        <w:ind w:firstLine="480" w:firstLineChars="200"/>
        <w:rPr>
          <w:rFonts w:hint="eastAsia" w:ascii="仿宋_GB2312" w:hAnsi="宋体" w:eastAsia="仿宋_GB2312"/>
          <w:sz w:val="24"/>
          <w:szCs w:val="24"/>
        </w:rPr>
      </w:pPr>
    </w:p>
    <w:p w14:paraId="277A5D25">
      <w:pPr>
        <w:widowControl/>
        <w:spacing w:line="360" w:lineRule="auto"/>
        <w:jc w:val="left"/>
        <w:rPr>
          <w:rFonts w:hint="eastAsia"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cs="宋体"/>
          <w:kern w:val="0"/>
          <w:sz w:val="24"/>
          <w:szCs w:val="24"/>
          <w:u w:val="single"/>
        </w:rPr>
        <w:t>广州白云山医药集团股份有限公司白云山何济公制药厂</w:t>
      </w:r>
    </w:p>
    <w:p w14:paraId="3DD6BC70">
      <w:pPr>
        <w:widowControl/>
        <w:spacing w:line="360" w:lineRule="auto"/>
        <w:jc w:val="left"/>
        <w:rPr>
          <w:rFonts w:hint="eastAsia" w:ascii="仿宋_GB2312" w:hAnsi="宋体" w:eastAsia="仿宋_GB2312"/>
          <w:sz w:val="24"/>
          <w:szCs w:val="24"/>
        </w:rPr>
      </w:pPr>
      <w:r>
        <w:rPr>
          <w:rFonts w:hint="eastAsia" w:ascii="仿宋_GB2312" w:hAnsi="宋体" w:eastAsia="仿宋_GB2312"/>
          <w:sz w:val="24"/>
          <w:szCs w:val="24"/>
        </w:rPr>
        <w:t>乙方：</w:t>
      </w:r>
      <w:r>
        <w:rPr>
          <w:rFonts w:hint="eastAsia" w:ascii="仿宋_GB2312" w:hAnsi="宋体" w:eastAsia="仿宋_GB2312" w:cs="宋体"/>
          <w:kern w:val="0"/>
          <w:sz w:val="24"/>
          <w:szCs w:val="24"/>
          <w:u w:val="single"/>
        </w:rPr>
        <w:t xml:space="preserve">                                                </w:t>
      </w:r>
    </w:p>
    <w:p w14:paraId="6E5D46F9">
      <w:pPr>
        <w:adjustRightInd w:val="0"/>
        <w:snapToGrid w:val="0"/>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为保证</w:t>
      </w:r>
      <w:r>
        <w:rPr>
          <w:rFonts w:hint="eastAsia" w:ascii="仿宋_GB2312" w:hAnsi="仿宋_GB2312" w:eastAsia="仿宋_GB2312" w:cs="宋体"/>
          <w:bCs/>
          <w:kern w:val="0"/>
          <w:sz w:val="24"/>
          <w:szCs w:val="24"/>
          <w:u w:val="single"/>
        </w:rPr>
        <w:t>白云山何济公制药厂易地改造项目永久用电工程项目</w:t>
      </w:r>
      <w:r>
        <w:rPr>
          <w:rFonts w:hint="eastAsia" w:ascii="仿宋_GB2312" w:hAnsi="宋体" w:eastAsia="仿宋_GB2312"/>
          <w:sz w:val="24"/>
          <w:szCs w:val="24"/>
        </w:rPr>
        <w:t>在合理使用期限内正常使用，发包人和承包人根据《中华人民共和国建筑法》、《建设工程质量管理条例》和《房屋建筑工程质量保修办法》等，经协商一致，签订工程质量保修书。承包人在质量保修期内应按照有关规定及双方约定承担工程质量保修责任。</w:t>
      </w:r>
    </w:p>
    <w:p w14:paraId="35C9D99D">
      <w:pPr>
        <w:numPr>
          <w:ilvl w:val="0"/>
          <w:numId w:val="3"/>
        </w:numPr>
        <w:adjustRightInd w:val="0"/>
        <w:snapToGrid w:val="0"/>
        <w:spacing w:line="360" w:lineRule="auto"/>
        <w:ind w:left="0" w:firstLine="480" w:firstLineChars="200"/>
        <w:rPr>
          <w:rFonts w:hint="eastAsia" w:ascii="仿宋_GB2312" w:hAnsi="宋体" w:eastAsia="仿宋_GB2312"/>
          <w:sz w:val="24"/>
          <w:szCs w:val="24"/>
        </w:rPr>
      </w:pPr>
      <w:r>
        <w:rPr>
          <w:rFonts w:hint="eastAsia" w:ascii="仿宋_GB2312" w:hAnsi="宋体" w:eastAsia="仿宋_GB2312"/>
          <w:sz w:val="24"/>
          <w:szCs w:val="24"/>
        </w:rPr>
        <w:t>质量保修范围</w:t>
      </w:r>
    </w:p>
    <w:p w14:paraId="4B655BA3">
      <w:pPr>
        <w:adjustRightInd w:val="0"/>
        <w:snapToGrid w:val="0"/>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质量保修范围包括双方约定全部施工项目内容。</w:t>
      </w:r>
    </w:p>
    <w:p w14:paraId="299810AD">
      <w:pPr>
        <w:numPr>
          <w:ilvl w:val="0"/>
          <w:numId w:val="3"/>
        </w:numPr>
        <w:adjustRightInd w:val="0"/>
        <w:snapToGrid w:val="0"/>
        <w:spacing w:line="360" w:lineRule="auto"/>
        <w:ind w:left="0" w:firstLine="480" w:firstLineChars="200"/>
        <w:rPr>
          <w:rFonts w:hint="eastAsia" w:ascii="仿宋_GB2312" w:hAnsi="宋体" w:eastAsia="仿宋_GB2312"/>
          <w:sz w:val="24"/>
          <w:szCs w:val="24"/>
        </w:rPr>
      </w:pPr>
      <w:r>
        <w:rPr>
          <w:rFonts w:hint="eastAsia" w:ascii="仿宋_GB2312" w:hAnsi="宋体" w:eastAsia="仿宋_GB2312"/>
          <w:sz w:val="24"/>
          <w:szCs w:val="24"/>
        </w:rPr>
        <w:t>质量保修期</w:t>
      </w:r>
    </w:p>
    <w:p w14:paraId="5BF3C7C1">
      <w:pPr>
        <w:adjustRightInd w:val="0"/>
        <w:snapToGrid w:val="0"/>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2.1 质量保修期从工程实际竣工验收合格之日算起。单项竣工验收的工程，按单项工程分别计算质量保修期。</w:t>
      </w:r>
    </w:p>
    <w:p w14:paraId="0779701B">
      <w:pPr>
        <w:adjustRightInd w:val="0"/>
        <w:snapToGrid w:val="0"/>
        <w:spacing w:line="360" w:lineRule="auto"/>
        <w:ind w:firstLine="480" w:firstLineChars="200"/>
        <w:rPr>
          <w:rFonts w:hint="eastAsia" w:ascii="仿宋_GB2312" w:hAnsi="宋体" w:eastAsia="仿宋_GB2312"/>
          <w:sz w:val="24"/>
          <w:szCs w:val="24"/>
          <w:highlight w:val="none"/>
        </w:rPr>
      </w:pPr>
      <w:r>
        <w:rPr>
          <w:rFonts w:hint="eastAsia" w:ascii="仿宋_GB2312" w:hAnsi="宋体" w:eastAsia="仿宋_GB2312"/>
          <w:sz w:val="24"/>
          <w:szCs w:val="24"/>
        </w:rPr>
        <w:t>2.2 双方约定本工程质量保修期如下：</w:t>
      </w:r>
    </w:p>
    <w:p w14:paraId="6E7CBC09">
      <w:pPr>
        <w:adjustRightInd w:val="0"/>
        <w:snapToGrid w:val="0"/>
        <w:spacing w:line="360" w:lineRule="auto"/>
        <w:ind w:firstLine="480" w:firstLineChars="200"/>
        <w:rPr>
          <w:rFonts w:hint="eastAsia" w:ascii="仿宋_GB2312" w:hAnsi="宋体" w:eastAsia="仿宋_GB2312"/>
          <w:sz w:val="24"/>
          <w:szCs w:val="24"/>
          <w:highlight w:val="none"/>
        </w:rPr>
      </w:pPr>
      <w:r>
        <w:rPr>
          <w:rFonts w:hint="eastAsia" w:ascii="仿宋_GB2312" w:hAnsi="宋体" w:eastAsia="仿宋_GB2312"/>
          <w:sz w:val="24"/>
          <w:szCs w:val="24"/>
          <w:highlight w:val="none"/>
        </w:rPr>
        <w:t>（1）地基基础和主体结构工程，终身负责。</w:t>
      </w:r>
    </w:p>
    <w:p w14:paraId="54884827">
      <w:pPr>
        <w:adjustRightInd w:val="0"/>
        <w:snapToGrid w:val="0"/>
        <w:spacing w:line="360" w:lineRule="auto"/>
        <w:ind w:firstLine="480" w:firstLineChars="200"/>
        <w:rPr>
          <w:rFonts w:hint="eastAsia" w:ascii="仿宋_GB2312" w:hAnsi="宋体" w:eastAsia="仿宋_GB2312"/>
          <w:sz w:val="24"/>
          <w:szCs w:val="24"/>
          <w:highlight w:val="none"/>
        </w:rPr>
      </w:pPr>
      <w:r>
        <w:rPr>
          <w:rFonts w:hint="eastAsia" w:ascii="仿宋_GB2312" w:hAnsi="宋体" w:eastAsia="仿宋_GB2312"/>
          <w:sz w:val="24"/>
          <w:szCs w:val="24"/>
          <w:highlight w:val="none"/>
        </w:rPr>
        <w:t>（2）</w:t>
      </w:r>
      <w:r>
        <w:rPr>
          <w:rFonts w:hint="eastAsia" w:ascii="仿宋_GB2312" w:eastAsia="仿宋_GB2312" w:cs="黑体"/>
          <w:sz w:val="24"/>
          <w:szCs w:val="24"/>
          <w:highlight w:val="none"/>
        </w:rPr>
        <w:t>电力线路、设施、设备</w:t>
      </w:r>
      <w:r>
        <w:rPr>
          <w:rFonts w:hint="eastAsia" w:ascii="仿宋_GB2312" w:eastAsia="仿宋_GB2312" w:cs="黑体"/>
          <w:sz w:val="24"/>
          <w:szCs w:val="24"/>
          <w:highlight w:val="none"/>
          <w:lang w:val="en-US" w:eastAsia="zh-CN"/>
        </w:rPr>
        <w:t>安装</w:t>
      </w:r>
      <w:r>
        <w:rPr>
          <w:rFonts w:hint="eastAsia" w:ascii="仿宋_GB2312" w:eastAsia="仿宋_GB2312" w:cs="黑体"/>
          <w:sz w:val="24"/>
          <w:szCs w:val="24"/>
          <w:highlight w:val="none"/>
        </w:rPr>
        <w:t>保修期</w:t>
      </w:r>
      <w:r>
        <w:rPr>
          <w:rFonts w:hint="eastAsia" w:ascii="仿宋_GB2312" w:eastAsia="仿宋_GB2312" w:cs="黑体"/>
          <w:sz w:val="24"/>
          <w:szCs w:val="24"/>
          <w:highlight w:val="none"/>
          <w:lang w:val="en-US" w:eastAsia="zh-CN"/>
        </w:rPr>
        <w:t>2</w:t>
      </w:r>
      <w:r>
        <w:rPr>
          <w:rFonts w:hint="eastAsia" w:ascii="仿宋_GB2312" w:eastAsia="仿宋_GB2312" w:cs="黑体"/>
          <w:sz w:val="24"/>
          <w:szCs w:val="24"/>
          <w:highlight w:val="none"/>
        </w:rPr>
        <w:t>年</w:t>
      </w:r>
      <w:r>
        <w:rPr>
          <w:rFonts w:hint="eastAsia" w:ascii="仿宋_GB2312" w:hAnsi="宋体" w:eastAsia="仿宋_GB2312"/>
          <w:sz w:val="24"/>
          <w:szCs w:val="24"/>
          <w:highlight w:val="none"/>
        </w:rPr>
        <w:t>。</w:t>
      </w:r>
    </w:p>
    <w:p w14:paraId="75F48DCC">
      <w:pPr>
        <w:adjustRightInd w:val="0"/>
        <w:snapToGrid w:val="0"/>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（3）</w:t>
      </w:r>
      <w:r>
        <w:rPr>
          <w:rFonts w:hint="eastAsia" w:ascii="仿宋_GB2312" w:eastAsia="仿宋_GB2312" w:cs="黑体"/>
          <w:sz w:val="24"/>
          <w:szCs w:val="24"/>
        </w:rPr>
        <w:t>土建工程保修期1年</w:t>
      </w:r>
      <w:r>
        <w:rPr>
          <w:rFonts w:hint="eastAsia" w:ascii="仿宋_GB2312" w:hAnsi="宋体" w:eastAsia="仿宋_GB2312"/>
          <w:sz w:val="24"/>
          <w:szCs w:val="24"/>
        </w:rPr>
        <w:t>。</w:t>
      </w:r>
    </w:p>
    <w:p w14:paraId="746A9E7E">
      <w:pPr>
        <w:adjustRightInd w:val="0"/>
        <w:snapToGrid w:val="0"/>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（4）其余未明确的工程项目保修期为1年。</w:t>
      </w:r>
    </w:p>
    <w:p w14:paraId="6D8EDF96">
      <w:pPr>
        <w:adjustRightInd w:val="0"/>
        <w:snapToGrid w:val="0"/>
        <w:spacing w:line="360" w:lineRule="auto"/>
        <w:ind w:firstLine="480" w:firstLineChars="200"/>
        <w:rPr>
          <w:rFonts w:hint="eastAsia" w:ascii="仿宋_GB2312" w:hAnsi="宋体" w:eastAsia="仿宋_GB2312"/>
          <w:sz w:val="24"/>
          <w:szCs w:val="24"/>
        </w:rPr>
      </w:pPr>
      <w:r>
        <w:rPr>
          <w:rFonts w:hint="eastAsia" w:ascii="仿宋_GB2312" w:eastAsia="仿宋_GB2312" w:cs="黑体"/>
          <w:sz w:val="24"/>
          <w:szCs w:val="24"/>
        </w:rPr>
        <w:t>保修期自竣工验收合格签字之日起计，在保修期内，凡因施工质量造成工程实体损坏，由乙方单位无条件返修，其费用由乙方单位负责。</w:t>
      </w:r>
    </w:p>
    <w:p w14:paraId="62A0470A">
      <w:pPr>
        <w:adjustRightInd w:val="0"/>
        <w:snapToGrid w:val="0"/>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3． 质量保修责任</w:t>
      </w:r>
    </w:p>
    <w:p w14:paraId="20BC05C7">
      <w:pPr>
        <w:snapToGrid w:val="0"/>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3.1属于保修范围的项目，乙方应在接到通知后的1天内派人保修。乙方不在约定期限内派人保修，甲方可自行或指派第三方保修，保修费用及保修期间造成的其他损失由乙方承担。</w:t>
      </w:r>
    </w:p>
    <w:p w14:paraId="2172FEAD">
      <w:pPr>
        <w:adjustRightInd w:val="0"/>
        <w:snapToGrid w:val="0"/>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3.2发生紧急抢修事故的，乙方在接到通知后，应立即到达事故现场抢修。</w:t>
      </w:r>
    </w:p>
    <w:p w14:paraId="752DF457">
      <w:pPr>
        <w:adjustRightInd w:val="0"/>
        <w:snapToGrid w:val="0"/>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3.3在国家规定的工程合理使用期限内，乙方应确保施工完成项目的安全和质量。凡出现其质量问题，乙方应立即实施保修。</w:t>
      </w:r>
    </w:p>
    <w:p w14:paraId="3B2E3ECD">
      <w:pPr>
        <w:adjustRightInd w:val="0"/>
        <w:snapToGrid w:val="0"/>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3.4质量保修完成后，由甲方组织验收。如存在问题，乙方应及时整改；整改、验收完毕办理保修金结算。</w:t>
      </w:r>
    </w:p>
    <w:p w14:paraId="32A0B5F0">
      <w:pPr>
        <w:snapToGrid w:val="0"/>
        <w:spacing w:line="360" w:lineRule="auto"/>
        <w:ind w:firstLine="480" w:firstLineChars="200"/>
        <w:rPr>
          <w:rFonts w:hint="eastAsia" w:ascii="仿宋_GB2312" w:hAnsi="宋体" w:eastAsia="仿宋_GB2312"/>
          <w:bCs/>
          <w:sz w:val="24"/>
          <w:szCs w:val="24"/>
        </w:rPr>
      </w:pPr>
      <w:r>
        <w:rPr>
          <w:rFonts w:hint="eastAsia" w:ascii="仿宋_GB2312" w:hAnsi="宋体" w:eastAsia="仿宋_GB2312"/>
          <w:sz w:val="24"/>
          <w:szCs w:val="24"/>
        </w:rPr>
        <w:t>3.5</w:t>
      </w:r>
      <w:r>
        <w:rPr>
          <w:rFonts w:hint="eastAsia" w:ascii="仿宋_GB2312" w:hAnsi="宋体" w:eastAsia="仿宋_GB2312"/>
          <w:bCs/>
          <w:sz w:val="24"/>
          <w:szCs w:val="24"/>
        </w:rPr>
        <w:t>在国家规定的工程合理使用期限内，因承包人原因致使工程在合理使用期限内造成人身和财产损害的，乙方应承担损害赔偿责任。</w:t>
      </w:r>
    </w:p>
    <w:p w14:paraId="045764DF">
      <w:pPr>
        <w:adjustRightInd w:val="0"/>
        <w:snapToGrid w:val="0"/>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4． 质量保修费用</w:t>
      </w:r>
    </w:p>
    <w:p w14:paraId="64ACC5A9">
      <w:pPr>
        <w:adjustRightInd w:val="0"/>
        <w:snapToGrid w:val="0"/>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质量保修费用及相关的损害赔偿费，由造成质量缺陷的责任方承担。</w:t>
      </w:r>
    </w:p>
    <w:p w14:paraId="00F61573">
      <w:pPr>
        <w:tabs>
          <w:tab w:val="left" w:pos="2580"/>
          <w:tab w:val="left" w:pos="2940"/>
          <w:tab w:val="left" w:pos="3360"/>
          <w:tab w:val="left" w:pos="3780"/>
          <w:tab w:val="left" w:pos="4200"/>
          <w:tab w:val="left" w:pos="4620"/>
          <w:tab w:val="left" w:pos="5040"/>
          <w:tab w:val="left" w:pos="5460"/>
          <w:tab w:val="left" w:pos="5880"/>
          <w:tab w:val="left" w:pos="6300"/>
          <w:tab w:val="left" w:pos="6720"/>
          <w:tab w:val="right" w:pos="8313"/>
        </w:tabs>
        <w:snapToGrid w:val="0"/>
        <w:spacing w:line="360" w:lineRule="auto"/>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5.  其他约定</w:t>
      </w:r>
    </w:p>
    <w:p w14:paraId="320504EB">
      <w:pPr>
        <w:tabs>
          <w:tab w:val="left" w:pos="2580"/>
          <w:tab w:val="left" w:pos="2940"/>
          <w:tab w:val="left" w:pos="3360"/>
          <w:tab w:val="left" w:pos="3780"/>
          <w:tab w:val="left" w:pos="4200"/>
          <w:tab w:val="left" w:pos="4620"/>
          <w:tab w:val="left" w:pos="5040"/>
          <w:tab w:val="left" w:pos="5460"/>
          <w:tab w:val="left" w:pos="5880"/>
          <w:tab w:val="left" w:pos="6300"/>
          <w:tab w:val="left" w:pos="6720"/>
          <w:tab w:val="right" w:pos="8313"/>
        </w:tabs>
        <w:snapToGrid w:val="0"/>
        <w:spacing w:line="360" w:lineRule="auto"/>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 xml:space="preserve">5.1如乙方在质保期内拒绝或拖延履行保修责任，则甲方有权自行或指派第三方维修，费用由乙方承担，同时乙方应额外支付该部分保修金给甲方作为违约金。 </w:t>
      </w:r>
    </w:p>
    <w:p w14:paraId="737E86FE">
      <w:pPr>
        <w:snapToGrid w:val="0"/>
        <w:spacing w:line="360" w:lineRule="auto"/>
        <w:ind w:firstLine="480" w:firstLineChars="200"/>
        <w:rPr>
          <w:rFonts w:hint="eastAsia" w:ascii="仿宋_GB2312" w:hAnsi="宋体" w:eastAsia="仿宋_GB2312"/>
          <w:sz w:val="24"/>
          <w:szCs w:val="24"/>
        </w:rPr>
      </w:pPr>
      <w:r>
        <w:rPr>
          <w:rFonts w:hint="eastAsia" w:ascii="仿宋_GB2312" w:hAnsi="宋体" w:eastAsia="仿宋_GB2312"/>
          <w:bCs/>
          <w:sz w:val="24"/>
          <w:szCs w:val="24"/>
        </w:rPr>
        <w:t>5.2</w:t>
      </w:r>
      <w:r>
        <w:rPr>
          <w:rFonts w:hint="eastAsia" w:ascii="仿宋_GB2312" w:hAnsi="宋体" w:eastAsia="仿宋_GB2312"/>
          <w:sz w:val="24"/>
          <w:szCs w:val="24"/>
        </w:rPr>
        <w:t>本工程质量保修书，由甲乙双方在合同签订时签署，作为合同附件，其有效期限至保修期满。</w:t>
      </w:r>
    </w:p>
    <w:p w14:paraId="49F13F5A">
      <w:pPr>
        <w:tabs>
          <w:tab w:val="left" w:pos="0"/>
        </w:tabs>
        <w:spacing w:line="360" w:lineRule="auto"/>
        <w:ind w:firstLine="480" w:firstLineChars="200"/>
        <w:rPr>
          <w:rFonts w:hint="eastAsia" w:ascii="仿宋_GB2312" w:hAnsi="宋体" w:eastAsia="仿宋_GB2312"/>
          <w:sz w:val="24"/>
          <w:szCs w:val="24"/>
        </w:rPr>
      </w:pPr>
    </w:p>
    <w:p w14:paraId="449D838C">
      <w:pPr>
        <w:tabs>
          <w:tab w:val="left" w:pos="0"/>
        </w:tabs>
        <w:spacing w:line="360" w:lineRule="auto"/>
        <w:ind w:firstLine="480" w:firstLineChars="200"/>
        <w:rPr>
          <w:rFonts w:hint="eastAsia" w:ascii="仿宋_GB2312" w:hAnsi="宋体" w:eastAsia="仿宋_GB2312"/>
          <w:sz w:val="24"/>
          <w:szCs w:val="24"/>
        </w:rPr>
      </w:pPr>
    </w:p>
    <w:p w14:paraId="128EB2D7">
      <w:pPr>
        <w:tabs>
          <w:tab w:val="left" w:pos="0"/>
        </w:tabs>
        <w:spacing w:line="360" w:lineRule="auto"/>
        <w:ind w:firstLine="480" w:firstLineChars="200"/>
        <w:rPr>
          <w:rFonts w:hint="eastAsia" w:ascii="仿宋_GB2312" w:hAnsi="宋体" w:eastAsia="仿宋_GB2312"/>
          <w:sz w:val="24"/>
          <w:szCs w:val="24"/>
        </w:rPr>
      </w:pPr>
    </w:p>
    <w:p w14:paraId="4EE01BA5">
      <w:pPr>
        <w:tabs>
          <w:tab w:val="left" w:pos="0"/>
        </w:tabs>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甲      方：（公章）</w:t>
      </w:r>
      <w:r>
        <w:rPr>
          <w:rFonts w:hint="eastAsia" w:ascii="仿宋_GB2312" w:hAnsi="宋体" w:eastAsia="仿宋_GB2312"/>
          <w:sz w:val="24"/>
          <w:szCs w:val="24"/>
        </w:rPr>
        <w:tab/>
      </w:r>
      <w:r>
        <w:rPr>
          <w:rFonts w:hint="eastAsia" w:ascii="仿宋_GB2312" w:hAnsi="宋体" w:eastAsia="仿宋_GB2312"/>
          <w:sz w:val="24"/>
          <w:szCs w:val="24"/>
        </w:rPr>
        <w:t xml:space="preserve">                  乙      方：（公章）</w:t>
      </w:r>
    </w:p>
    <w:p w14:paraId="2BC0F2C6">
      <w:pPr>
        <w:tabs>
          <w:tab w:val="left" w:pos="0"/>
        </w:tabs>
        <w:spacing w:line="360" w:lineRule="auto"/>
        <w:ind w:firstLine="480" w:firstLineChars="200"/>
        <w:rPr>
          <w:rFonts w:hint="eastAsia" w:ascii="仿宋_GB2312" w:hAnsi="宋体" w:eastAsia="仿宋_GB2312"/>
          <w:sz w:val="24"/>
          <w:szCs w:val="24"/>
        </w:rPr>
      </w:pPr>
    </w:p>
    <w:p w14:paraId="63A9C381">
      <w:pPr>
        <w:tabs>
          <w:tab w:val="left" w:pos="0"/>
        </w:tabs>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企业负责人：（签字）</w:t>
      </w:r>
      <w:r>
        <w:rPr>
          <w:rFonts w:hint="eastAsia" w:ascii="仿宋_GB2312" w:hAnsi="宋体" w:eastAsia="仿宋_GB2312"/>
          <w:sz w:val="24"/>
          <w:szCs w:val="24"/>
        </w:rPr>
        <w:tab/>
      </w:r>
      <w:r>
        <w:rPr>
          <w:rFonts w:hint="eastAsia" w:ascii="仿宋_GB2312" w:hAnsi="宋体" w:eastAsia="仿宋_GB2312"/>
          <w:sz w:val="24"/>
          <w:szCs w:val="24"/>
        </w:rPr>
        <w:tab/>
      </w:r>
      <w:r>
        <w:rPr>
          <w:rFonts w:hint="eastAsia" w:ascii="仿宋_GB2312" w:hAnsi="宋体" w:eastAsia="仿宋_GB2312"/>
          <w:sz w:val="24"/>
          <w:szCs w:val="24"/>
        </w:rPr>
        <w:t xml:space="preserve">              法定代表人：（签字）</w:t>
      </w:r>
    </w:p>
    <w:p w14:paraId="0C3A4072">
      <w:pPr>
        <w:tabs>
          <w:tab w:val="left" w:pos="0"/>
        </w:tabs>
        <w:spacing w:line="360" w:lineRule="auto"/>
        <w:ind w:firstLine="480" w:firstLineChars="200"/>
        <w:rPr>
          <w:rFonts w:hint="eastAsia" w:ascii="仿宋_GB2312" w:hAnsi="宋体" w:eastAsia="仿宋_GB2312"/>
          <w:sz w:val="24"/>
          <w:szCs w:val="24"/>
        </w:rPr>
      </w:pPr>
    </w:p>
    <w:p w14:paraId="1DE93519">
      <w:pPr>
        <w:tabs>
          <w:tab w:val="left" w:pos="0"/>
        </w:tabs>
        <w:spacing w:line="360" w:lineRule="auto"/>
        <w:ind w:firstLine="960" w:firstLineChars="400"/>
        <w:rPr>
          <w:rFonts w:hint="eastAsia" w:ascii="仿宋_GB2312" w:hAnsi="宋体" w:eastAsia="仿宋_GB2312"/>
          <w:sz w:val="24"/>
          <w:szCs w:val="24"/>
        </w:rPr>
      </w:pPr>
      <w:r>
        <w:rPr>
          <w:rFonts w:hint="eastAsia" w:ascii="仿宋_GB2312" w:hAnsi="宋体" w:eastAsia="仿宋_GB2312"/>
          <w:sz w:val="24"/>
          <w:szCs w:val="24"/>
        </w:rPr>
        <w:t>年    月    日                        年    月    日</w:t>
      </w:r>
    </w:p>
    <w:p w14:paraId="2E2E51CD"/>
    <w:p w14:paraId="2E41094D"/>
    <w:p w14:paraId="09E2F2BD"/>
    <w:p w14:paraId="2570746F"/>
    <w:p w14:paraId="3168D5AC"/>
    <w:p w14:paraId="5E377C26"/>
    <w:p w14:paraId="2A88A290"/>
    <w:p w14:paraId="58135E55"/>
    <w:p w14:paraId="4AE81B62"/>
    <w:p w14:paraId="2104BCE9"/>
    <w:p w14:paraId="3BDA6F92"/>
    <w:p w14:paraId="3BCE1F01"/>
    <w:p w14:paraId="36E56963"/>
    <w:p w14:paraId="3E3AD029"/>
    <w:p w14:paraId="1586005E">
      <w:pPr>
        <w:rPr>
          <w:rFonts w:hint="default" w:eastAsia="宋体"/>
          <w:lang w:val="en-US" w:eastAsia="zh-CN"/>
        </w:rPr>
      </w:pPr>
      <w:r>
        <w:rPr>
          <w:rFonts w:hint="eastAsia"/>
          <w:lang w:val="en-US" w:eastAsia="zh-CN"/>
        </w:rPr>
        <w:t>附件二</w:t>
      </w:r>
    </w:p>
    <w:p w14:paraId="6B6BDBD4">
      <w:pPr>
        <w:jc w:val="center"/>
        <w:rPr>
          <w:sz w:val="44"/>
          <w:szCs w:val="44"/>
        </w:rPr>
      </w:pPr>
      <w:bookmarkStart w:id="11" w:name="OLE_LINK2"/>
      <w:r>
        <w:rPr>
          <w:rFonts w:hint="eastAsia"/>
          <w:sz w:val="44"/>
          <w:szCs w:val="44"/>
        </w:rPr>
        <w:t>安全协议</w:t>
      </w:r>
    </w:p>
    <w:p w14:paraId="3D430000">
      <w:pPr>
        <w:spacing w:line="360" w:lineRule="auto"/>
        <w:jc w:val="left"/>
        <w:rPr>
          <w:rFonts w:ascii="仿宋" w:hAnsi="仿宋" w:eastAsia="仿宋" w:cs="仿宋"/>
          <w:kern w:val="0"/>
          <w:sz w:val="24"/>
        </w:rPr>
      </w:pPr>
    </w:p>
    <w:p w14:paraId="7BA6BCF3">
      <w:pPr>
        <w:spacing w:line="360" w:lineRule="auto"/>
        <w:jc w:val="left"/>
        <w:rPr>
          <w:rFonts w:ascii="仿宋" w:hAnsi="仿宋" w:eastAsia="仿宋" w:cs="仿宋"/>
          <w:kern w:val="0"/>
          <w:sz w:val="24"/>
        </w:rPr>
      </w:pPr>
      <w:r>
        <w:rPr>
          <w:rFonts w:hint="eastAsia" w:ascii="仿宋" w:hAnsi="仿宋" w:eastAsia="仿宋" w:cs="仿宋"/>
          <w:kern w:val="0"/>
          <w:sz w:val="24"/>
        </w:rPr>
        <w:t xml:space="preserve">建设单位:（以下简称甲方）                                                         </w:t>
      </w:r>
    </w:p>
    <w:p w14:paraId="74404966">
      <w:pPr>
        <w:spacing w:line="360" w:lineRule="auto"/>
        <w:rPr>
          <w:rFonts w:ascii="仿宋" w:hAnsi="仿宋" w:eastAsia="仿宋" w:cs="仿宋"/>
          <w:kern w:val="0"/>
          <w:sz w:val="24"/>
        </w:rPr>
      </w:pPr>
      <w:r>
        <w:rPr>
          <w:rFonts w:hint="eastAsia" w:ascii="仿宋" w:hAnsi="仿宋" w:eastAsia="仿宋" w:cs="仿宋"/>
          <w:kern w:val="0"/>
          <w:sz w:val="24"/>
        </w:rPr>
        <w:t>总承包单位:（以下简称乙方）</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 xml:space="preserve"> </w:t>
      </w:r>
    </w:p>
    <w:p w14:paraId="368F8801">
      <w:pPr>
        <w:spacing w:line="360" w:lineRule="auto"/>
        <w:rPr>
          <w:rFonts w:hint="eastAsia" w:ascii="仿宋" w:hAnsi="仿宋" w:eastAsia="仿宋" w:cs="仿宋"/>
          <w:kern w:val="0"/>
          <w:sz w:val="24"/>
          <w:lang w:val="en-US" w:eastAsia="zh-CN"/>
        </w:rPr>
      </w:pPr>
      <w:r>
        <w:rPr>
          <w:rFonts w:hint="eastAsia" w:ascii="仿宋" w:hAnsi="仿宋" w:eastAsia="仿宋" w:cs="仿宋"/>
          <w:kern w:val="0"/>
          <w:sz w:val="24"/>
        </w:rPr>
        <w:t>专业分包单位：（以下简称丙方）</w:t>
      </w:r>
    </w:p>
    <w:p w14:paraId="45C8D895">
      <w:pPr>
        <w:pStyle w:val="3"/>
        <w:spacing w:line="360" w:lineRule="auto"/>
        <w:rPr>
          <w:rFonts w:ascii="仿宋" w:hAnsi="仿宋" w:eastAsia="仿宋" w:cs="仿宋"/>
          <w:sz w:val="24"/>
          <w:szCs w:val="24"/>
        </w:rPr>
      </w:pPr>
      <w:r>
        <w:rPr>
          <w:rFonts w:hint="eastAsia" w:ascii="仿宋" w:hAnsi="仿宋" w:eastAsia="仿宋" w:cs="仿宋"/>
          <w:sz w:val="24"/>
          <w:szCs w:val="24"/>
          <w:u w:val="single"/>
        </w:rPr>
        <w:t>鉴于在广州白云山何济公制药厂易地改造项目一期调整及二期项目中</w:t>
      </w:r>
      <w:r>
        <w:rPr>
          <w:rFonts w:hint="eastAsia" w:ascii="仿宋" w:hAnsi="仿宋" w:eastAsia="仿宋" w:cs="仿宋"/>
          <w:sz w:val="24"/>
          <w:szCs w:val="24"/>
        </w:rPr>
        <w:t>甲方为建设单位，乙方为总承包单位，丙方为甲方依法分包的专业分包单位。为贯彻“安全第一，预防为主，综合治理”的安全生产方针，明确参建甲乙丙三方的安全责任，落实“各负其责，各施其职”的原则，确保项目作业的安全生产秩序能够顺利进行，经双方友好协商，特订立本安全协议。</w:t>
      </w:r>
    </w:p>
    <w:p w14:paraId="5B7F6F12">
      <w:pPr>
        <w:adjustRightInd w:val="0"/>
        <w:snapToGrid w:val="0"/>
        <w:spacing w:line="360" w:lineRule="auto"/>
        <w:ind w:left="239" w:leftChars="114" w:firstLine="218" w:firstLineChars="91"/>
        <w:rPr>
          <w:rFonts w:ascii="仿宋" w:hAnsi="仿宋" w:eastAsia="仿宋" w:cs="仿宋"/>
          <w:kern w:val="0"/>
          <w:sz w:val="24"/>
        </w:rPr>
      </w:pPr>
      <w:r>
        <w:rPr>
          <w:rFonts w:hint="eastAsia" w:ascii="仿宋" w:hAnsi="仿宋" w:eastAsia="仿宋" w:cs="仿宋"/>
          <w:kern w:val="0"/>
          <w:sz w:val="24"/>
        </w:rPr>
        <w:t>一、作业范围：</w:t>
      </w:r>
      <w:r>
        <w:rPr>
          <w:rFonts w:hint="eastAsia" w:ascii="仿宋" w:hAnsi="仿宋" w:eastAsia="仿宋" w:cs="仿宋"/>
          <w:sz w:val="24"/>
          <w:u w:val="single"/>
        </w:rPr>
        <w:t>广州白云山何济公制药厂易地改造项目一期调整及二期项目</w:t>
      </w:r>
      <w:r>
        <w:rPr>
          <w:rFonts w:hint="eastAsia" w:ascii="仿宋" w:hAnsi="仿宋" w:eastAsia="仿宋" w:cs="仿宋"/>
          <w:sz w:val="24"/>
          <w:u w:val="single"/>
          <w:lang w:val="en-US" w:eastAsia="zh-CN"/>
        </w:rPr>
        <w:t>永久用电</w:t>
      </w:r>
      <w:r>
        <w:rPr>
          <w:rFonts w:hint="eastAsia" w:ascii="仿宋" w:hAnsi="仿宋" w:eastAsia="仿宋" w:cs="仿宋"/>
          <w:sz w:val="24"/>
          <w:u w:val="single"/>
        </w:rPr>
        <w:t>专业分包</w:t>
      </w:r>
      <w:r>
        <w:rPr>
          <w:rFonts w:hint="eastAsia" w:ascii="仿宋" w:hAnsi="仿宋" w:eastAsia="仿宋" w:cs="仿宋"/>
          <w:kern w:val="0"/>
          <w:sz w:val="24"/>
        </w:rPr>
        <w:t>。</w:t>
      </w:r>
    </w:p>
    <w:p w14:paraId="70C262BB">
      <w:pPr>
        <w:adjustRightInd w:val="0"/>
        <w:snapToGrid w:val="0"/>
        <w:spacing w:line="360" w:lineRule="auto"/>
        <w:ind w:firstLine="460" w:firstLineChars="192"/>
        <w:rPr>
          <w:rFonts w:ascii="仿宋" w:hAnsi="仿宋" w:eastAsia="仿宋" w:cs="仿宋"/>
          <w:kern w:val="0"/>
          <w:sz w:val="24"/>
        </w:rPr>
      </w:pPr>
      <w:r>
        <w:rPr>
          <w:rFonts w:hint="eastAsia" w:ascii="仿宋" w:hAnsi="仿宋" w:eastAsia="仿宋" w:cs="仿宋"/>
          <w:kern w:val="0"/>
          <w:sz w:val="24"/>
        </w:rPr>
        <w:t>二、项目作业期限：具体期限按实际开工日期及竣工验收日期为准。</w:t>
      </w:r>
    </w:p>
    <w:p w14:paraId="101D7F84">
      <w:pPr>
        <w:adjustRightInd w:val="0"/>
        <w:snapToGrid w:val="0"/>
        <w:spacing w:line="360" w:lineRule="auto"/>
        <w:ind w:firstLine="460" w:firstLineChars="192"/>
        <w:rPr>
          <w:rFonts w:ascii="仿宋" w:hAnsi="仿宋" w:eastAsia="仿宋" w:cs="仿宋"/>
          <w:kern w:val="0"/>
          <w:sz w:val="24"/>
        </w:rPr>
      </w:pPr>
      <w:r>
        <w:rPr>
          <w:rFonts w:hint="eastAsia" w:ascii="仿宋" w:hAnsi="仿宋" w:eastAsia="仿宋" w:cs="仿宋"/>
          <w:kern w:val="0"/>
          <w:sz w:val="24"/>
        </w:rPr>
        <w:t>三、安全生产及文明施工目标</w:t>
      </w:r>
    </w:p>
    <w:p w14:paraId="62EFC8E7">
      <w:pPr>
        <w:adjustRightInd w:val="0"/>
        <w:snapToGrid w:val="0"/>
        <w:spacing w:line="360" w:lineRule="auto"/>
        <w:ind w:firstLine="460" w:firstLineChars="192"/>
        <w:rPr>
          <w:rFonts w:ascii="仿宋" w:hAnsi="仿宋" w:eastAsia="仿宋" w:cs="仿宋"/>
          <w:kern w:val="0"/>
          <w:sz w:val="24"/>
        </w:rPr>
      </w:pPr>
      <w:r>
        <w:rPr>
          <w:rFonts w:hint="eastAsia" w:ascii="仿宋" w:hAnsi="仿宋" w:eastAsia="仿宋" w:cs="仿宋"/>
          <w:kern w:val="0"/>
          <w:sz w:val="24"/>
        </w:rPr>
        <w:t>（一）无生产死亡事故、中毒事故、重伤事故。</w:t>
      </w:r>
    </w:p>
    <w:p w14:paraId="07AC90E9">
      <w:pPr>
        <w:adjustRightInd w:val="0"/>
        <w:snapToGrid w:val="0"/>
        <w:spacing w:line="360" w:lineRule="auto"/>
        <w:ind w:firstLine="460" w:firstLineChars="192"/>
        <w:rPr>
          <w:rFonts w:ascii="仿宋" w:hAnsi="仿宋" w:eastAsia="仿宋" w:cs="仿宋"/>
          <w:kern w:val="0"/>
          <w:sz w:val="24"/>
        </w:rPr>
      </w:pPr>
      <w:r>
        <w:rPr>
          <w:rFonts w:hint="eastAsia" w:ascii="仿宋" w:hAnsi="仿宋" w:eastAsia="仿宋" w:cs="仿宋"/>
          <w:kern w:val="0"/>
          <w:sz w:val="24"/>
        </w:rPr>
        <w:t>（二）安全达标：优良（以《建筑施工安全检查标准》（JGJ59-2011）中的评分标准划分）</w:t>
      </w:r>
    </w:p>
    <w:p w14:paraId="00B0C042">
      <w:pPr>
        <w:adjustRightInd w:val="0"/>
        <w:snapToGrid w:val="0"/>
        <w:spacing w:line="360" w:lineRule="auto"/>
        <w:ind w:firstLine="460" w:firstLineChars="192"/>
        <w:rPr>
          <w:rFonts w:ascii="仿宋" w:hAnsi="仿宋" w:eastAsia="仿宋" w:cs="仿宋"/>
          <w:kern w:val="0"/>
          <w:sz w:val="24"/>
        </w:rPr>
      </w:pPr>
      <w:r>
        <w:rPr>
          <w:rFonts w:hint="eastAsia" w:ascii="仿宋" w:hAnsi="仿宋" w:eastAsia="仿宋" w:cs="仿宋"/>
          <w:kern w:val="0"/>
          <w:sz w:val="24"/>
        </w:rPr>
        <w:t>（三）文明施工目标：按总承包相关制度执行</w:t>
      </w:r>
    </w:p>
    <w:p w14:paraId="21271FC9">
      <w:pPr>
        <w:adjustRightInd w:val="0"/>
        <w:snapToGrid w:val="0"/>
        <w:spacing w:line="360" w:lineRule="auto"/>
        <w:ind w:firstLine="460" w:firstLineChars="192"/>
        <w:rPr>
          <w:rFonts w:ascii="仿宋" w:hAnsi="仿宋" w:eastAsia="仿宋" w:cs="仿宋"/>
          <w:kern w:val="0"/>
          <w:sz w:val="24"/>
        </w:rPr>
      </w:pPr>
      <w:r>
        <w:rPr>
          <w:rFonts w:hint="eastAsia" w:ascii="仿宋" w:hAnsi="仿宋" w:eastAsia="仿宋" w:cs="仿宋"/>
          <w:kern w:val="0"/>
          <w:sz w:val="24"/>
        </w:rPr>
        <w:t>（四）隐患治理目标：安全生产隐患治理率100%。</w:t>
      </w:r>
    </w:p>
    <w:p w14:paraId="3CDF7EDD">
      <w:pPr>
        <w:adjustRightInd w:val="0"/>
        <w:snapToGrid w:val="0"/>
        <w:spacing w:line="360" w:lineRule="auto"/>
        <w:ind w:firstLine="460" w:firstLineChars="192"/>
        <w:rPr>
          <w:rFonts w:ascii="仿宋" w:hAnsi="仿宋" w:eastAsia="仿宋" w:cs="仿宋"/>
          <w:kern w:val="0"/>
          <w:sz w:val="24"/>
        </w:rPr>
      </w:pPr>
      <w:r>
        <w:rPr>
          <w:rFonts w:hint="eastAsia" w:ascii="仿宋" w:hAnsi="仿宋" w:eastAsia="仿宋" w:cs="仿宋"/>
          <w:kern w:val="0"/>
          <w:sz w:val="24"/>
        </w:rPr>
        <w:t>四、甲乙丙三方共同责任</w:t>
      </w:r>
    </w:p>
    <w:p w14:paraId="6BC23BB0">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1、甲、乙、丙三方共同遵守国家和本地政府有关安全生产的法律、法规规定，认真执行国家、行业、安全技术标准。</w:t>
      </w:r>
    </w:p>
    <w:p w14:paraId="0B50E976">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2、组成施工现场安全生产领导机构，定期召开安全工作会议，建立健全安全生产责任制和综治维稳制度，形成一体化的安全生产监督管理体系和保证体系，并按照职责分工抓好落实；甲方指定</w:t>
      </w:r>
      <w:r>
        <w:rPr>
          <w:rFonts w:hint="eastAsia" w:ascii="仿宋" w:hAnsi="仿宋" w:eastAsia="仿宋" w:cs="仿宋"/>
          <w:sz w:val="24"/>
          <w:lang w:val="en-US" w:eastAsia="zh-CN"/>
        </w:rPr>
        <w:t xml:space="preserve">     </w:t>
      </w:r>
      <w:r>
        <w:rPr>
          <w:rFonts w:hint="eastAsia" w:ascii="仿宋" w:hAnsi="仿宋" w:eastAsia="仿宋" w:cs="仿宋"/>
          <w:sz w:val="24"/>
        </w:rPr>
        <w:t>、乙方指定    、丙方     指定作为安全生产协调人，负责安全检查与协调工作。</w:t>
      </w:r>
    </w:p>
    <w:p w14:paraId="20F2343F">
      <w:pPr>
        <w:adjustRightInd w:val="0"/>
        <w:snapToGrid w:val="0"/>
        <w:spacing w:line="360" w:lineRule="auto"/>
        <w:ind w:firstLine="460" w:firstLineChars="192"/>
        <w:rPr>
          <w:rFonts w:ascii="仿宋" w:hAnsi="仿宋" w:eastAsia="仿宋" w:cs="仿宋"/>
          <w:sz w:val="24"/>
        </w:rPr>
      </w:pPr>
      <w:r>
        <w:rPr>
          <w:rFonts w:hint="eastAsia" w:ascii="仿宋" w:hAnsi="仿宋" w:eastAsia="仿宋" w:cs="仿宋"/>
          <w:sz w:val="24"/>
        </w:rPr>
        <w:t>3、坚持“安全第一，预防为主，综合治理”的方针，不得违规指挥和违章作业。在组织施工生产同时首先落实安全保护措施，防止事故发生。</w:t>
      </w:r>
    </w:p>
    <w:p w14:paraId="205A4B7B">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4、抓好安全教育，严肃安全纪律，规范安全行为，净化作业环境，禁止野蛮施工，防止施工扰民。</w:t>
      </w:r>
    </w:p>
    <w:p w14:paraId="6CCB8553">
      <w:pPr>
        <w:numPr>
          <w:ilvl w:val="0"/>
          <w:numId w:val="4"/>
        </w:num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szCs w:val="24"/>
        </w:rPr>
        <w:t>丙方在施工中因自身原因导致的安全事故，由丙方承担主要责任；乙方因管理失职导致的，由乙方承担相应责任；甲方因未履行监督义务或提供资料错误导致的，承担相应责任</w:t>
      </w:r>
      <w:r>
        <w:rPr>
          <w:rFonts w:hint="eastAsia" w:ascii="仿宋" w:hAnsi="仿宋" w:eastAsia="仿宋" w:cs="仿宋"/>
          <w:color w:val="auto"/>
          <w:sz w:val="24"/>
        </w:rPr>
        <w:t>。</w:t>
      </w:r>
      <w:r>
        <w:rPr>
          <w:rFonts w:hint="eastAsia" w:ascii="仿宋" w:hAnsi="仿宋" w:eastAsia="仿宋" w:cs="仿宋"/>
          <w:sz w:val="24"/>
        </w:rPr>
        <w:t>一旦发生事故立即采取措施保护现场，抢救伤员，防止事故扩大，组织事故调查小组，查清事故原因，确定事故责任。一方发生安全事故可能影响另一人身、财产安全、必须立即报告告知对方，并由责任者承担相应责任和经济损失。</w:t>
      </w:r>
    </w:p>
    <w:p w14:paraId="2875FF8A">
      <w:pPr>
        <w:numPr>
          <w:ilvl w:val="0"/>
          <w:numId w:val="4"/>
        </w:num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因丙方原因造成相关管理部门对乙方进行扣分、处罚、及停工的情况，</w:t>
      </w:r>
      <w:r>
        <w:rPr>
          <w:rFonts w:hint="eastAsia" w:ascii="仿宋" w:hAnsi="仿宋" w:eastAsia="仿宋" w:cs="仿宋"/>
          <w:sz w:val="24"/>
          <w:lang w:val="en-US" w:eastAsia="zh-CN"/>
        </w:rPr>
        <w:t>乙方</w:t>
      </w:r>
      <w:r>
        <w:rPr>
          <w:rFonts w:hint="eastAsia" w:ascii="仿宋" w:hAnsi="仿宋" w:eastAsia="仿宋" w:cs="仿宋"/>
          <w:sz w:val="24"/>
        </w:rPr>
        <w:t>有权向</w:t>
      </w:r>
      <w:r>
        <w:rPr>
          <w:rFonts w:hint="eastAsia" w:ascii="仿宋" w:hAnsi="仿宋" w:eastAsia="仿宋" w:cs="仿宋"/>
          <w:sz w:val="24"/>
          <w:lang w:val="en-US" w:eastAsia="zh-CN"/>
        </w:rPr>
        <w:t>丙方</w:t>
      </w:r>
      <w:r>
        <w:rPr>
          <w:rFonts w:hint="eastAsia" w:ascii="仿宋" w:hAnsi="仿宋" w:eastAsia="仿宋" w:cs="仿宋"/>
          <w:sz w:val="24"/>
        </w:rPr>
        <w:t>予以罚款，甲方予以支持。</w:t>
      </w:r>
    </w:p>
    <w:p w14:paraId="43B55F6A">
      <w:pPr>
        <w:numPr>
          <w:ilvl w:val="0"/>
          <w:numId w:val="4"/>
        </w:num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color w:val="auto"/>
          <w:sz w:val="24"/>
          <w:szCs w:val="24"/>
        </w:rPr>
        <w:t>共同组建安全生产委员会，由甲方项目负责人担任主任，乙方项目经理、丙方项目负责人担任副主任，每</w:t>
      </w:r>
      <w:r>
        <w:rPr>
          <w:rFonts w:hint="eastAsia" w:ascii="仿宋" w:hAnsi="仿宋" w:eastAsia="仿宋" w:cs="仿宋"/>
          <w:sz w:val="24"/>
          <w:szCs w:val="24"/>
          <w:lang w:val="en-US" w:eastAsia="zh-CN"/>
        </w:rPr>
        <w:t>周</w:t>
      </w:r>
      <w:r>
        <w:rPr>
          <w:rFonts w:hint="eastAsia" w:ascii="仿宋" w:hAnsi="仿宋" w:eastAsia="仿宋" w:cs="仿宋"/>
          <w:color w:val="auto"/>
          <w:sz w:val="24"/>
          <w:szCs w:val="24"/>
        </w:rPr>
        <w:t>召开安全例会，会议纪要三方签字确认</w:t>
      </w:r>
      <w:r>
        <w:rPr>
          <w:rFonts w:hint="eastAsia" w:ascii="仿宋" w:hAnsi="仿宋" w:eastAsia="仿宋" w:cs="仿宋"/>
          <w:sz w:val="24"/>
          <w:szCs w:val="24"/>
          <w:lang w:eastAsia="zh-CN"/>
        </w:rPr>
        <w:t>。</w:t>
      </w:r>
    </w:p>
    <w:p w14:paraId="68D3773A">
      <w:pPr>
        <w:numPr>
          <w:ilvl w:val="0"/>
          <w:numId w:val="5"/>
        </w:numPr>
        <w:adjustRightInd w:val="0"/>
        <w:snapToGrid w:val="0"/>
        <w:spacing w:line="360" w:lineRule="auto"/>
        <w:rPr>
          <w:rFonts w:ascii="仿宋" w:hAnsi="仿宋" w:eastAsia="仿宋" w:cs="仿宋"/>
          <w:sz w:val="24"/>
        </w:rPr>
      </w:pPr>
      <w:r>
        <w:rPr>
          <w:rFonts w:hint="eastAsia" w:ascii="仿宋" w:hAnsi="仿宋" w:eastAsia="仿宋" w:cs="仿宋"/>
          <w:sz w:val="24"/>
        </w:rPr>
        <w:t>甲方职责</w:t>
      </w:r>
    </w:p>
    <w:p w14:paraId="0AA0902F">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1、</w:t>
      </w:r>
      <w:r>
        <w:rPr>
          <w:rFonts w:ascii="仿宋" w:hAnsi="仿宋" w:eastAsia="仿宋" w:cs="仿宋"/>
          <w:sz w:val="24"/>
        </w:rPr>
        <w:t>对</w:t>
      </w:r>
      <w:r>
        <w:rPr>
          <w:rFonts w:hint="eastAsia" w:ascii="仿宋" w:hAnsi="仿宋" w:eastAsia="仿宋" w:cs="仿宋"/>
          <w:sz w:val="24"/>
        </w:rPr>
        <w:t>乙方、丙</w:t>
      </w:r>
      <w:r>
        <w:rPr>
          <w:rFonts w:ascii="仿宋" w:hAnsi="仿宋" w:eastAsia="仿宋" w:cs="仿宋"/>
          <w:sz w:val="24"/>
        </w:rPr>
        <w:t>方的安全管理进行监督，确保</w:t>
      </w:r>
      <w:r>
        <w:rPr>
          <w:rFonts w:hint="eastAsia" w:ascii="仿宋" w:hAnsi="仿宋" w:eastAsia="仿宋" w:cs="仿宋"/>
          <w:sz w:val="24"/>
        </w:rPr>
        <w:t>乙方及丙方履行相应的</w:t>
      </w:r>
      <w:r>
        <w:rPr>
          <w:rFonts w:ascii="仿宋" w:hAnsi="仿宋" w:eastAsia="仿宋" w:cs="仿宋"/>
          <w:sz w:val="24"/>
        </w:rPr>
        <w:t xml:space="preserve">安全职责。  </w:t>
      </w:r>
    </w:p>
    <w:p w14:paraId="2777FEED">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2、</w:t>
      </w:r>
      <w:r>
        <w:rPr>
          <w:rFonts w:ascii="仿宋" w:hAnsi="仿宋" w:eastAsia="仿宋" w:cs="仿宋"/>
          <w:sz w:val="24"/>
        </w:rPr>
        <w:t>协调乙方</w:t>
      </w:r>
      <w:r>
        <w:rPr>
          <w:rFonts w:hint="eastAsia" w:ascii="仿宋" w:hAnsi="仿宋" w:eastAsia="仿宋" w:cs="仿宋"/>
          <w:sz w:val="24"/>
        </w:rPr>
        <w:t>和丙方</w:t>
      </w:r>
      <w:r>
        <w:rPr>
          <w:rFonts w:ascii="仿宋" w:hAnsi="仿宋" w:eastAsia="仿宋" w:cs="仿宋"/>
          <w:sz w:val="24"/>
        </w:rPr>
        <w:t xml:space="preserve">之间的安全管理事宜，确保施工安全。  </w:t>
      </w:r>
    </w:p>
    <w:p w14:paraId="747C5DA5">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w:t>
      </w:r>
      <w:r>
        <w:rPr>
          <w:rFonts w:ascii="仿宋" w:hAnsi="仿宋" w:eastAsia="仿宋" w:cs="仿宋"/>
          <w:sz w:val="24"/>
        </w:rPr>
        <w:t>发生安全事故时，协助乙方</w:t>
      </w:r>
      <w:r>
        <w:rPr>
          <w:rFonts w:hint="eastAsia" w:ascii="仿宋" w:hAnsi="仿宋" w:eastAsia="仿宋" w:cs="仿宋"/>
          <w:sz w:val="24"/>
        </w:rPr>
        <w:t>和丙方</w:t>
      </w:r>
      <w:r>
        <w:rPr>
          <w:rFonts w:ascii="仿宋" w:hAnsi="仿宋" w:eastAsia="仿宋" w:cs="仿宋"/>
          <w:sz w:val="24"/>
        </w:rPr>
        <w:t>进行事故处理。</w:t>
      </w:r>
    </w:p>
    <w:p w14:paraId="1B4E174F">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、组织安全检查，对乙方、丙方的安全隐患提出整改要求。</w:t>
      </w:r>
    </w:p>
    <w:p w14:paraId="6C405770">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六、乙方职责</w:t>
      </w:r>
    </w:p>
    <w:p w14:paraId="728264C5">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1、负责对丙方的施工资质、安全生产许可证、特种作业人员资格证等证照文件和施工方案进行审查，未经总承包单位审核，不得进场作业。</w:t>
      </w:r>
    </w:p>
    <w:p w14:paraId="066B2FDA">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2、有权</w:t>
      </w:r>
      <w:r>
        <w:rPr>
          <w:rFonts w:hint="eastAsia" w:ascii="仿宋" w:hAnsi="仿宋" w:eastAsia="仿宋" w:cs="仿宋"/>
          <w:sz w:val="24"/>
          <w:lang w:val="en-US" w:eastAsia="zh-CN"/>
        </w:rPr>
        <w:t>利</w:t>
      </w:r>
      <w:r>
        <w:rPr>
          <w:rFonts w:hint="eastAsia" w:ascii="仿宋" w:hAnsi="仿宋" w:eastAsia="仿宋" w:cs="仿宋"/>
          <w:sz w:val="24"/>
        </w:rPr>
        <w:t>对丙方的人员资质、设备进行审查，不符</w:t>
      </w:r>
      <w:r>
        <w:rPr>
          <w:rFonts w:hint="eastAsia" w:ascii="仿宋" w:hAnsi="仿宋" w:eastAsia="仿宋" w:cs="仿宋"/>
          <w:sz w:val="24"/>
          <w:lang w:val="en-US" w:eastAsia="zh-CN"/>
        </w:rPr>
        <w:t>合</w:t>
      </w:r>
      <w:r>
        <w:rPr>
          <w:rFonts w:hint="eastAsia" w:ascii="仿宋" w:hAnsi="仿宋" w:eastAsia="仿宋" w:cs="仿宋"/>
          <w:sz w:val="24"/>
        </w:rPr>
        <w:t>相关要求和未经总承包同意，不得进场施工。</w:t>
      </w:r>
    </w:p>
    <w:p w14:paraId="6A0F0412">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3、负责对丙方作业进行有关安全及项目总承包规章制度的交底。</w:t>
      </w:r>
    </w:p>
    <w:p w14:paraId="16E44386">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4、派出安全管理人员，对丙方的安全生产及文明施工工作进行指导管理和监督，并对丙方的安全管理及文明施工的实施效果负责。</w:t>
      </w:r>
    </w:p>
    <w:p w14:paraId="116DE1FE">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5、组织定期和不定期的安全检查，发现问题及时督促丙方整改。乙方有权对丙方作业过程中的安全隐患提出整改措施及停工，确保丙方遵守安全操作规程及文明施工要求。</w:t>
      </w:r>
    </w:p>
    <w:p w14:paraId="61DF0236">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6、提供必要的施工现场的安全条件</w:t>
      </w:r>
      <w:r>
        <w:rPr>
          <w:rFonts w:hint="eastAsia" w:ascii="仿宋" w:hAnsi="仿宋" w:eastAsia="仿宋" w:cs="仿宋"/>
          <w:sz w:val="24"/>
          <w:lang w:eastAsia="zh-CN"/>
        </w:rPr>
        <w:t>：</w:t>
      </w:r>
      <w:r>
        <w:rPr>
          <w:rFonts w:hint="eastAsia" w:ascii="仿宋" w:hAnsi="仿宋" w:eastAsia="仿宋" w:cs="仿宋"/>
          <w:sz w:val="24"/>
        </w:rPr>
        <w:t>提供材料及设备的运输通道，共享乙方已有的脚手架，指定建筑垃圾存放处（丙方产生的垃圾处理费由丙方支付）。提供临时排污点。提供高程基准点和施工轴线。</w:t>
      </w:r>
    </w:p>
    <w:p w14:paraId="0BF84B34">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7、发生安全事故时，及时组织救援并报告相关部门。</w:t>
      </w:r>
    </w:p>
    <w:p w14:paraId="5ECD4CC4">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8、有权对丙方的违规行为进行处罚，处罚标准按附件执行。</w:t>
      </w:r>
    </w:p>
    <w:p w14:paraId="01750ECE">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9、对施工现场安全生产负总责，将丙方纳入统一管理体系。</w:t>
      </w:r>
    </w:p>
    <w:p w14:paraId="558A643B">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10、协调甲方、丙方之间的交叉作业，明确安全责任划分。</w:t>
      </w:r>
    </w:p>
    <w:p w14:paraId="3FB7A199">
      <w:pPr>
        <w:adjustRightInd w:val="0"/>
        <w:snapToGrid w:val="0"/>
        <w:spacing w:line="360" w:lineRule="auto"/>
        <w:ind w:firstLine="480" w:firstLineChars="200"/>
        <w:rPr>
          <w:rFonts w:hint="default" w:ascii="仿宋" w:hAnsi="仿宋" w:eastAsia="仿宋" w:cs="仿宋"/>
          <w:sz w:val="24"/>
          <w:lang w:val="en-US" w:eastAsia="zh-CN"/>
        </w:rPr>
      </w:pPr>
      <w:r>
        <w:rPr>
          <w:rFonts w:hint="eastAsia" w:ascii="仿宋" w:hAnsi="仿宋" w:eastAsia="仿宋" w:cs="仿宋"/>
          <w:sz w:val="24"/>
          <w:lang w:val="en-US" w:eastAsia="zh-CN"/>
        </w:rPr>
        <w:t>11、乙方对监管不力发生的问题与丙方共同向甲方承担连带责任，但乙方已经至少两次书面通知丙方整改但丙方未及时整改、未完全整改或整改不到位等导致的情形除外。</w:t>
      </w:r>
    </w:p>
    <w:p w14:paraId="33BBD40C">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七、丙方职责</w:t>
      </w:r>
    </w:p>
    <w:p w14:paraId="1EFB1FCA">
      <w:pPr>
        <w:tabs>
          <w:tab w:val="left" w:pos="-180"/>
        </w:tabs>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1、必须建立、健全安全生产管理规章制度、劳动安全卫生制度，严格执行国家省、市、及乙方制定的制度和标准。落实对每个作业人员进行上岗前劳动安全卫生、施工安全注意事项等方面的安全教育和</w:t>
      </w:r>
      <w:r>
        <w:rPr>
          <w:rFonts w:ascii="仿宋" w:hAnsi="仿宋" w:eastAsia="仿宋" w:cs="仿宋"/>
          <w:kern w:val="0"/>
          <w:sz w:val="24"/>
        </w:rPr>
        <w:t>安全技术交底，</w:t>
      </w:r>
      <w:r>
        <w:rPr>
          <w:rFonts w:hint="eastAsia" w:ascii="仿宋" w:hAnsi="仿宋" w:eastAsia="仿宋" w:cs="仿宋"/>
          <w:kern w:val="0"/>
          <w:sz w:val="24"/>
        </w:rPr>
        <w:t>经其本人签名确认后才允许上岗。丙方将</w:t>
      </w:r>
      <w:r>
        <w:rPr>
          <w:rFonts w:ascii="仿宋" w:hAnsi="仿宋" w:eastAsia="仿宋" w:cs="仿宋"/>
          <w:kern w:val="0"/>
          <w:sz w:val="24"/>
        </w:rPr>
        <w:t>参加安全教育人员（包括临时增补或调换人员）</w:t>
      </w:r>
      <w:r>
        <w:rPr>
          <w:rFonts w:hint="eastAsia" w:ascii="仿宋" w:hAnsi="仿宋" w:eastAsia="仿宋" w:cs="仿宋"/>
          <w:kern w:val="0"/>
          <w:sz w:val="24"/>
        </w:rPr>
        <w:t>、特种作业人员报乙方安全管理部门</w:t>
      </w:r>
      <w:r>
        <w:rPr>
          <w:rFonts w:ascii="仿宋" w:hAnsi="仿宋" w:eastAsia="仿宋" w:cs="仿宋"/>
          <w:kern w:val="0"/>
          <w:sz w:val="24"/>
        </w:rPr>
        <w:t>备案。</w:t>
      </w:r>
    </w:p>
    <w:p w14:paraId="0CE3973F">
      <w:pPr>
        <w:tabs>
          <w:tab w:val="left" w:pos="-180"/>
        </w:tabs>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2、丙方必须设立项目安全责任人，指定专人负责日常安全管理工作，监督和指导作业人员在作业过程中必须严格遵守安全操作规程，做好安全、文明施工作业。</w:t>
      </w:r>
    </w:p>
    <w:p w14:paraId="1CC75186">
      <w:pPr>
        <w:tabs>
          <w:tab w:val="left" w:pos="-180"/>
        </w:tabs>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3、丙方</w:t>
      </w:r>
      <w:r>
        <w:rPr>
          <w:rFonts w:ascii="仿宋" w:hAnsi="仿宋" w:eastAsia="仿宋" w:cs="仿宋"/>
          <w:kern w:val="0"/>
          <w:sz w:val="24"/>
        </w:rPr>
        <w:t>必须编制安全施工措施，</w:t>
      </w:r>
      <w:r>
        <w:rPr>
          <w:rFonts w:hint="eastAsia" w:ascii="仿宋" w:hAnsi="仿宋" w:eastAsia="仿宋" w:cs="仿宋"/>
          <w:kern w:val="0"/>
          <w:sz w:val="24"/>
        </w:rPr>
        <w:t>并报乙方安全管理部门审核备案。在确保作业人员安全与健康的前提下才组织施工</w:t>
      </w:r>
      <w:r>
        <w:rPr>
          <w:rFonts w:ascii="仿宋" w:hAnsi="仿宋" w:eastAsia="仿宋" w:cs="仿宋"/>
          <w:kern w:val="0"/>
          <w:sz w:val="24"/>
        </w:rPr>
        <w:t>。</w:t>
      </w:r>
      <w:r>
        <w:rPr>
          <w:rFonts w:hint="eastAsia" w:ascii="仿宋" w:hAnsi="仿宋" w:eastAsia="仿宋" w:cs="仿宋"/>
          <w:kern w:val="0"/>
          <w:sz w:val="24"/>
        </w:rPr>
        <w:t>需要使用乙方的水、电、气等设备设施，必须经发包方主管部门书面同意，且对设备设施的使用过程承担安全责任。</w:t>
      </w:r>
    </w:p>
    <w:p w14:paraId="059A2511">
      <w:pPr>
        <w:tabs>
          <w:tab w:val="left" w:pos="-180"/>
        </w:tabs>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4、丙方</w:t>
      </w:r>
      <w:r>
        <w:rPr>
          <w:rFonts w:ascii="仿宋" w:hAnsi="仿宋" w:eastAsia="仿宋" w:cs="仿宋"/>
          <w:kern w:val="0"/>
          <w:sz w:val="24"/>
        </w:rPr>
        <w:t>应在施工范围装设临时围栏或警告标志，不得超越指定的施工范围进行施工，禁止无关人员进入施工现场。未经</w:t>
      </w:r>
      <w:r>
        <w:rPr>
          <w:rFonts w:hint="eastAsia" w:ascii="仿宋" w:hAnsi="仿宋" w:eastAsia="仿宋" w:cs="仿宋"/>
          <w:kern w:val="0"/>
          <w:sz w:val="24"/>
        </w:rPr>
        <w:t>乙方</w:t>
      </w:r>
      <w:r>
        <w:rPr>
          <w:rFonts w:ascii="仿宋" w:hAnsi="仿宋" w:eastAsia="仿宋" w:cs="仿宋"/>
          <w:kern w:val="0"/>
          <w:sz w:val="24"/>
        </w:rPr>
        <w:t>同意，</w:t>
      </w:r>
      <w:r>
        <w:rPr>
          <w:rFonts w:hint="eastAsia" w:ascii="仿宋" w:hAnsi="仿宋" w:eastAsia="仿宋" w:cs="仿宋"/>
          <w:kern w:val="0"/>
          <w:sz w:val="24"/>
        </w:rPr>
        <w:t>丙方</w:t>
      </w:r>
      <w:r>
        <w:rPr>
          <w:rFonts w:ascii="仿宋" w:hAnsi="仿宋" w:eastAsia="仿宋" w:cs="仿宋"/>
          <w:kern w:val="0"/>
          <w:sz w:val="24"/>
        </w:rPr>
        <w:t>不得擅自使用与施工无关的</w:t>
      </w:r>
      <w:r>
        <w:rPr>
          <w:rFonts w:hint="eastAsia" w:ascii="仿宋" w:hAnsi="仿宋" w:eastAsia="仿宋" w:cs="仿宋"/>
          <w:kern w:val="0"/>
          <w:sz w:val="24"/>
        </w:rPr>
        <w:t>乙方</w:t>
      </w:r>
      <w:r>
        <w:rPr>
          <w:rFonts w:ascii="仿宋" w:hAnsi="仿宋" w:eastAsia="仿宋" w:cs="仿宋"/>
          <w:kern w:val="0"/>
          <w:sz w:val="24"/>
        </w:rPr>
        <w:t>设施设备；不得擅自拆除、变更</w:t>
      </w:r>
      <w:r>
        <w:rPr>
          <w:rFonts w:hint="eastAsia" w:ascii="仿宋" w:hAnsi="仿宋" w:eastAsia="仿宋" w:cs="仿宋"/>
          <w:kern w:val="0"/>
          <w:sz w:val="24"/>
        </w:rPr>
        <w:t>乙方</w:t>
      </w:r>
      <w:r>
        <w:rPr>
          <w:rFonts w:ascii="仿宋" w:hAnsi="仿宋" w:eastAsia="仿宋" w:cs="仿宋"/>
          <w:kern w:val="0"/>
          <w:sz w:val="24"/>
        </w:rPr>
        <w:t>防护设施及标示。</w:t>
      </w:r>
      <w:r>
        <w:rPr>
          <w:rFonts w:hint="eastAsia" w:ascii="仿宋" w:hAnsi="仿宋" w:eastAsia="仿宋" w:cs="仿宋"/>
          <w:kern w:val="0"/>
          <w:sz w:val="24"/>
        </w:rPr>
        <w:t>教育和监管所属作业人员在未经乙方同意的情况下，严禁随意进入与作业无关的区域，严禁触摸、启动与作业无关的设备设施。</w:t>
      </w:r>
    </w:p>
    <w:p w14:paraId="7180AF99">
      <w:pPr>
        <w:tabs>
          <w:tab w:val="left" w:pos="-180"/>
        </w:tabs>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5、丙方必须为作业人员提供符合国家规定的劳动安全卫生条件和必须的劳动保护用品、防护器具，使用的特种设备必须具有有效的准用证件。施工所用的</w:t>
      </w:r>
      <w:r>
        <w:rPr>
          <w:rFonts w:ascii="仿宋" w:hAnsi="仿宋" w:eastAsia="仿宋" w:cs="仿宋"/>
          <w:kern w:val="0"/>
          <w:sz w:val="24"/>
        </w:rPr>
        <w:t>机械、</w:t>
      </w:r>
      <w:r>
        <w:rPr>
          <w:rFonts w:hint="eastAsia" w:ascii="仿宋" w:hAnsi="仿宋" w:eastAsia="仿宋" w:cs="仿宋"/>
          <w:kern w:val="0"/>
          <w:sz w:val="24"/>
        </w:rPr>
        <w:t>电气设备、防护用品、</w:t>
      </w:r>
      <w:r>
        <w:rPr>
          <w:rFonts w:ascii="仿宋" w:hAnsi="仿宋" w:eastAsia="仿宋" w:cs="仿宋"/>
          <w:kern w:val="0"/>
          <w:sz w:val="24"/>
        </w:rPr>
        <w:t>工器具</w:t>
      </w:r>
      <w:r>
        <w:rPr>
          <w:rFonts w:hint="eastAsia" w:ascii="仿宋" w:hAnsi="仿宋" w:eastAsia="仿宋" w:cs="仿宋"/>
          <w:kern w:val="0"/>
          <w:sz w:val="24"/>
        </w:rPr>
        <w:t>的质量和数量必须符合安全规定和施工要求</w:t>
      </w:r>
      <w:r>
        <w:rPr>
          <w:rFonts w:ascii="仿宋" w:hAnsi="仿宋" w:eastAsia="仿宋" w:cs="仿宋"/>
          <w:kern w:val="0"/>
          <w:sz w:val="24"/>
        </w:rPr>
        <w:t>，</w:t>
      </w:r>
      <w:r>
        <w:rPr>
          <w:rFonts w:hint="eastAsia" w:ascii="仿宋" w:hAnsi="仿宋" w:eastAsia="仿宋" w:cs="仿宋"/>
          <w:kern w:val="0"/>
          <w:sz w:val="24"/>
        </w:rPr>
        <w:t>丙方</w:t>
      </w:r>
      <w:r>
        <w:rPr>
          <w:rFonts w:ascii="仿宋" w:hAnsi="仿宋" w:eastAsia="仿宋" w:cs="仿宋"/>
          <w:kern w:val="0"/>
          <w:sz w:val="24"/>
        </w:rPr>
        <w:t>对因使用工器具不当所造成的人员伤害及设备损坏负责。</w:t>
      </w:r>
    </w:p>
    <w:p w14:paraId="1DA4D9E5">
      <w:pPr>
        <w:tabs>
          <w:tab w:val="left" w:pos="-180"/>
        </w:tabs>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6、丙方必须</w:t>
      </w:r>
      <w:r>
        <w:rPr>
          <w:rFonts w:ascii="仿宋" w:hAnsi="仿宋" w:eastAsia="仿宋" w:cs="仿宋"/>
          <w:kern w:val="0"/>
          <w:sz w:val="24"/>
        </w:rPr>
        <w:t>办理临时出入证</w:t>
      </w:r>
      <w:r>
        <w:rPr>
          <w:rFonts w:hint="eastAsia" w:ascii="仿宋" w:hAnsi="仿宋" w:eastAsia="仿宋" w:cs="仿宋"/>
          <w:kern w:val="0"/>
          <w:sz w:val="24"/>
        </w:rPr>
        <w:t>并</w:t>
      </w:r>
      <w:r>
        <w:rPr>
          <w:rFonts w:ascii="仿宋" w:hAnsi="仿宋" w:eastAsia="仿宋" w:cs="仿宋"/>
          <w:kern w:val="0"/>
          <w:sz w:val="24"/>
        </w:rPr>
        <w:t xml:space="preserve">佩戴进入施工现场，出入证严禁转借他人。 </w:t>
      </w:r>
    </w:p>
    <w:p w14:paraId="69AA3532">
      <w:pPr>
        <w:tabs>
          <w:tab w:val="left" w:pos="-180"/>
        </w:tabs>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7、</w:t>
      </w:r>
      <w:r>
        <w:rPr>
          <w:rFonts w:ascii="仿宋" w:hAnsi="仿宋" w:eastAsia="仿宋" w:cs="仿宋"/>
          <w:kern w:val="0"/>
          <w:sz w:val="24"/>
        </w:rPr>
        <w:t>开工前，</w:t>
      </w:r>
      <w:r>
        <w:rPr>
          <w:rFonts w:hint="eastAsia" w:ascii="仿宋" w:hAnsi="仿宋" w:eastAsia="仿宋" w:cs="仿宋"/>
          <w:kern w:val="0"/>
          <w:sz w:val="24"/>
        </w:rPr>
        <w:t>丙方</w:t>
      </w:r>
      <w:r>
        <w:rPr>
          <w:rFonts w:ascii="仿宋" w:hAnsi="仿宋" w:eastAsia="仿宋" w:cs="仿宋"/>
          <w:kern w:val="0"/>
          <w:sz w:val="24"/>
        </w:rPr>
        <w:t>应组织人员对施工区域、作业环境及使用</w:t>
      </w:r>
      <w:r>
        <w:rPr>
          <w:rFonts w:hint="eastAsia" w:ascii="仿宋" w:hAnsi="仿宋" w:eastAsia="仿宋" w:cs="仿宋"/>
          <w:kern w:val="0"/>
          <w:sz w:val="24"/>
        </w:rPr>
        <w:t>乙方</w:t>
      </w:r>
      <w:r>
        <w:rPr>
          <w:rFonts w:ascii="仿宋" w:hAnsi="仿宋" w:eastAsia="仿宋" w:cs="仿宋"/>
          <w:kern w:val="0"/>
          <w:sz w:val="24"/>
        </w:rPr>
        <w:t>提供的设施设备、工器具等进行检查，确认符合安全要求，一经开工，就表示</w:t>
      </w:r>
      <w:r>
        <w:rPr>
          <w:rFonts w:hint="eastAsia" w:ascii="仿宋" w:hAnsi="仿宋" w:eastAsia="仿宋" w:cs="仿宋"/>
          <w:kern w:val="0"/>
          <w:sz w:val="24"/>
        </w:rPr>
        <w:t>丙方</w:t>
      </w:r>
      <w:r>
        <w:rPr>
          <w:rFonts w:ascii="仿宋" w:hAnsi="仿宋" w:eastAsia="仿宋" w:cs="仿宋"/>
          <w:kern w:val="0"/>
          <w:sz w:val="24"/>
        </w:rPr>
        <w:t>已确认</w:t>
      </w:r>
      <w:r>
        <w:rPr>
          <w:rFonts w:hint="eastAsia" w:ascii="仿宋" w:hAnsi="仿宋" w:eastAsia="仿宋" w:cs="仿宋"/>
          <w:kern w:val="0"/>
          <w:sz w:val="24"/>
        </w:rPr>
        <w:t>乙方所提供的</w:t>
      </w:r>
      <w:r>
        <w:rPr>
          <w:rFonts w:ascii="仿宋" w:hAnsi="仿宋" w:eastAsia="仿宋" w:cs="仿宋"/>
          <w:kern w:val="0"/>
          <w:sz w:val="24"/>
        </w:rPr>
        <w:t>施工现场、作业环境、设施设备、工器具符合安全要求并处于安全状态。</w:t>
      </w:r>
    </w:p>
    <w:p w14:paraId="25E4415F">
      <w:pPr>
        <w:tabs>
          <w:tab w:val="left" w:pos="-180"/>
        </w:tabs>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8、丙方</w:t>
      </w:r>
      <w:r>
        <w:rPr>
          <w:rFonts w:ascii="仿宋" w:hAnsi="仿宋" w:eastAsia="仿宋" w:cs="仿宋"/>
          <w:kern w:val="0"/>
          <w:sz w:val="24"/>
        </w:rPr>
        <w:t xml:space="preserve">施工过程中应做到工完、料尽、场地清，确保安全文明施工。 </w:t>
      </w:r>
    </w:p>
    <w:p w14:paraId="1F268A18">
      <w:pPr>
        <w:tabs>
          <w:tab w:val="left" w:pos="-180"/>
        </w:tabs>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9、丙方</w:t>
      </w:r>
      <w:r>
        <w:rPr>
          <w:rFonts w:ascii="仿宋" w:hAnsi="仿宋" w:eastAsia="仿宋" w:cs="仿宋"/>
          <w:kern w:val="0"/>
          <w:sz w:val="24"/>
        </w:rPr>
        <w:t>必须接受</w:t>
      </w:r>
      <w:r>
        <w:rPr>
          <w:rFonts w:hint="eastAsia" w:ascii="仿宋" w:hAnsi="仿宋" w:eastAsia="仿宋" w:cs="仿宋"/>
          <w:kern w:val="0"/>
          <w:sz w:val="24"/>
        </w:rPr>
        <w:t>乙方</w:t>
      </w:r>
      <w:r>
        <w:rPr>
          <w:rFonts w:ascii="仿宋" w:hAnsi="仿宋" w:eastAsia="仿宋" w:cs="仿宋"/>
          <w:kern w:val="0"/>
          <w:sz w:val="24"/>
        </w:rPr>
        <w:t>的监督、检查，对</w:t>
      </w:r>
      <w:r>
        <w:rPr>
          <w:rFonts w:hint="eastAsia" w:ascii="仿宋" w:hAnsi="仿宋" w:eastAsia="仿宋" w:cs="仿宋"/>
          <w:kern w:val="0"/>
          <w:sz w:val="24"/>
        </w:rPr>
        <w:t>乙方</w:t>
      </w:r>
      <w:r>
        <w:rPr>
          <w:rFonts w:ascii="仿宋" w:hAnsi="仿宋" w:eastAsia="仿宋" w:cs="仿宋"/>
          <w:kern w:val="0"/>
          <w:sz w:val="24"/>
        </w:rPr>
        <w:t xml:space="preserve">提出的安全整改意见必须及时整改。 </w:t>
      </w:r>
    </w:p>
    <w:p w14:paraId="72DA7158">
      <w:pPr>
        <w:tabs>
          <w:tab w:val="left" w:pos="-180"/>
        </w:tabs>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10、丙方</w:t>
      </w:r>
      <w:r>
        <w:rPr>
          <w:rFonts w:ascii="仿宋" w:hAnsi="仿宋" w:eastAsia="仿宋" w:cs="仿宋"/>
          <w:kern w:val="0"/>
          <w:sz w:val="24"/>
        </w:rPr>
        <w:t>施工过程中发生人</w:t>
      </w:r>
      <w:r>
        <w:rPr>
          <w:rFonts w:hint="eastAsia" w:ascii="仿宋" w:hAnsi="仿宋" w:eastAsia="仿宋" w:cs="仿宋"/>
          <w:kern w:val="0"/>
          <w:sz w:val="24"/>
        </w:rPr>
        <w:t>身</w:t>
      </w:r>
      <w:r>
        <w:rPr>
          <w:rFonts w:ascii="仿宋" w:hAnsi="仿宋" w:eastAsia="仿宋" w:cs="仿宋"/>
          <w:kern w:val="0"/>
          <w:sz w:val="24"/>
        </w:rPr>
        <w:t>伤亡、</w:t>
      </w:r>
      <w:r>
        <w:rPr>
          <w:rFonts w:hint="eastAsia" w:ascii="仿宋" w:hAnsi="仿宋" w:eastAsia="仿宋" w:cs="仿宋"/>
          <w:kern w:val="0"/>
          <w:sz w:val="24"/>
        </w:rPr>
        <w:t>触电</w:t>
      </w:r>
      <w:r>
        <w:rPr>
          <w:rFonts w:ascii="仿宋" w:hAnsi="仿宋" w:eastAsia="仿宋" w:cs="仿宋"/>
          <w:kern w:val="0"/>
          <w:sz w:val="24"/>
        </w:rPr>
        <w:t>和设备事故或危及生产运行的不安全情况，应立即报告</w:t>
      </w:r>
      <w:r>
        <w:rPr>
          <w:rFonts w:hint="eastAsia" w:ascii="仿宋" w:hAnsi="仿宋" w:eastAsia="仿宋" w:cs="仿宋"/>
          <w:kern w:val="0"/>
          <w:sz w:val="24"/>
        </w:rPr>
        <w:t>乙方</w:t>
      </w:r>
      <w:r>
        <w:rPr>
          <w:rFonts w:ascii="仿宋" w:hAnsi="仿宋" w:eastAsia="仿宋" w:cs="仿宋"/>
          <w:kern w:val="0"/>
          <w:sz w:val="24"/>
        </w:rPr>
        <w:t>，</w:t>
      </w:r>
      <w:r>
        <w:rPr>
          <w:rFonts w:hint="eastAsia" w:ascii="仿宋" w:hAnsi="仿宋" w:eastAsia="仿宋" w:cs="仿宋"/>
          <w:kern w:val="0"/>
          <w:sz w:val="24"/>
        </w:rPr>
        <w:t>并按规定的程序向属地安监主管部门报告。因丙方安全管理不善或施工人员违章作业等造成安全责任事故的，除承担相应的安全责任外，造成甲方及乙方损失的，丙方应承担赔偿责任。</w:t>
      </w:r>
    </w:p>
    <w:p w14:paraId="182D4172">
      <w:pPr>
        <w:tabs>
          <w:tab w:val="left" w:pos="-180"/>
        </w:tabs>
        <w:adjustRightInd w:val="0"/>
        <w:snapToGrid w:val="0"/>
        <w:spacing w:line="360" w:lineRule="auto"/>
        <w:ind w:firstLine="480" w:firstLineChars="200"/>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11、</w:t>
      </w:r>
      <w:r>
        <w:rPr>
          <w:rFonts w:hint="eastAsia" w:ascii="仿宋" w:hAnsi="仿宋" w:eastAsia="仿宋" w:cs="仿宋"/>
          <w:color w:val="auto"/>
          <w:kern w:val="0"/>
          <w:sz w:val="24"/>
          <w:szCs w:val="24"/>
        </w:rPr>
        <w:t>丙方应为施工人员办理工伤保险和意</w:t>
      </w:r>
      <w:bookmarkStart w:id="12" w:name="_GoBack"/>
      <w:bookmarkEnd w:id="12"/>
      <w:r>
        <w:rPr>
          <w:rFonts w:hint="eastAsia" w:ascii="仿宋" w:hAnsi="仿宋" w:eastAsia="仿宋" w:cs="仿宋"/>
          <w:color w:val="auto"/>
          <w:kern w:val="0"/>
          <w:sz w:val="24"/>
          <w:szCs w:val="24"/>
        </w:rPr>
        <w:t>外伤害保险</w:t>
      </w: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以及</w:t>
      </w:r>
      <w:r>
        <w:rPr>
          <w:rFonts w:hint="eastAsia" w:ascii="仿宋" w:hAnsi="仿宋" w:eastAsia="仿宋" w:cs="仿宋"/>
          <w:color w:val="auto"/>
          <w:kern w:val="0"/>
          <w:sz w:val="24"/>
          <w:szCs w:val="24"/>
        </w:rPr>
        <w:t>应投保安全生产责任险</w:t>
      </w: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丙方投保的保险保额应足以覆盖本项目的人身、财产等损害金额，不足部分由丙方承担相关责任。</w:t>
      </w:r>
    </w:p>
    <w:p w14:paraId="4261F933">
      <w:pPr>
        <w:pStyle w:val="6"/>
        <w:numPr>
          <w:ilvl w:val="0"/>
          <w:numId w:val="0"/>
        </w:numPr>
        <w:adjustRightInd w:val="0"/>
        <w:snapToGrid w:val="0"/>
        <w:spacing w:line="360" w:lineRule="auto"/>
        <w:ind w:left="0" w:firstLine="480" w:firstLineChars="200"/>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八、在甲方或乙方的安全生产检查中，丙方违反安全生产、文明施工等行为的，丙方同意按《</w:t>
      </w:r>
      <w:r>
        <w:rPr>
          <w:rFonts w:hint="eastAsia" w:ascii="仿宋" w:hAnsi="仿宋" w:eastAsia="仿宋" w:cs="仿宋"/>
          <w:color w:val="auto"/>
          <w:sz w:val="24"/>
          <w:szCs w:val="24"/>
        </w:rPr>
        <w:t>安全生产违规处罚细则</w:t>
      </w:r>
      <w:r>
        <w:rPr>
          <w:rFonts w:hint="eastAsia" w:ascii="仿宋" w:hAnsi="仿宋" w:eastAsia="仿宋" w:cs="仿宋"/>
          <w:kern w:val="0"/>
          <w:sz w:val="24"/>
          <w:lang w:val="en-US" w:eastAsia="zh-CN"/>
        </w:rPr>
        <w:t>》中的规定接受违约处罚，并对甲方、乙方的相关损失承担全部责任。</w:t>
      </w:r>
    </w:p>
    <w:p w14:paraId="4AB348AA">
      <w:pPr>
        <w:adjustRightInd w:val="0"/>
        <w:snapToGrid w:val="0"/>
        <w:spacing w:line="360" w:lineRule="auto"/>
        <w:ind w:left="0" w:firstLine="480" w:firstLineChars="200"/>
        <w:rPr>
          <w:rFonts w:ascii="仿宋" w:hAnsi="仿宋" w:eastAsia="仿宋" w:cs="仿宋"/>
          <w:sz w:val="24"/>
        </w:rPr>
      </w:pPr>
      <w:r>
        <w:rPr>
          <w:rFonts w:hint="eastAsia" w:ascii="仿宋" w:hAnsi="仿宋" w:eastAsia="仿宋" w:cs="仿宋"/>
          <w:sz w:val="24"/>
          <w:lang w:val="en-US" w:eastAsia="zh-CN"/>
        </w:rPr>
        <w:t>九</w:t>
      </w:r>
      <w:r>
        <w:rPr>
          <w:rFonts w:hint="eastAsia" w:ascii="仿宋" w:hAnsi="仿宋" w:eastAsia="仿宋" w:cs="仿宋"/>
          <w:sz w:val="24"/>
        </w:rPr>
        <w:t>、如有未见事宜或在施工过程中出现的矛盾，乙丙双方无法解决是则由甲方</w:t>
      </w:r>
      <w:r>
        <w:rPr>
          <w:rFonts w:hint="eastAsia" w:ascii="仿宋" w:hAnsi="仿宋" w:eastAsia="仿宋" w:cs="仿宋"/>
          <w:sz w:val="24"/>
          <w:lang w:val="en-US" w:eastAsia="zh-CN"/>
        </w:rPr>
        <w:t>同一</w:t>
      </w:r>
      <w:r>
        <w:rPr>
          <w:rFonts w:hint="eastAsia" w:ascii="仿宋" w:hAnsi="仿宋" w:eastAsia="仿宋" w:cs="仿宋"/>
          <w:sz w:val="24"/>
        </w:rPr>
        <w:t>协调处理。</w:t>
      </w:r>
    </w:p>
    <w:p w14:paraId="2B769631">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十</w:t>
      </w:r>
      <w:r>
        <w:rPr>
          <w:rFonts w:hint="eastAsia" w:ascii="仿宋" w:hAnsi="仿宋" w:eastAsia="仿宋" w:cs="仿宋"/>
          <w:sz w:val="24"/>
        </w:rPr>
        <w:t>、</w:t>
      </w:r>
      <w:r>
        <w:rPr>
          <w:rFonts w:hint="eastAsia" w:ascii="仿宋" w:hAnsi="仿宋" w:eastAsia="仿宋" w:cs="仿宋"/>
          <w:color w:val="auto"/>
          <w:kern w:val="0"/>
          <w:sz w:val="24"/>
          <w:szCs w:val="24"/>
        </w:rPr>
        <w:t>因本协议产生的争议，三方协商解决；协商不成的，向工程所在地人民法院提起诉讼。</w:t>
      </w:r>
    </w:p>
    <w:p w14:paraId="73908DC8">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十一</w:t>
      </w:r>
      <w:r>
        <w:rPr>
          <w:rFonts w:hint="eastAsia" w:ascii="仿宋" w:hAnsi="仿宋" w:eastAsia="仿宋" w:cs="仿宋"/>
          <w:sz w:val="24"/>
        </w:rPr>
        <w:t>、本协议一式陆份，</w:t>
      </w:r>
      <w:r>
        <w:rPr>
          <w:rFonts w:hint="eastAsia" w:ascii="仿宋" w:hAnsi="仿宋" w:eastAsia="仿宋" w:cs="仿宋"/>
          <w:sz w:val="24"/>
          <w:lang w:val="en-US" w:eastAsia="zh-CN"/>
        </w:rPr>
        <w:t>三方法定代表人或授权代表</w:t>
      </w:r>
      <w:r>
        <w:rPr>
          <w:rFonts w:hint="eastAsia" w:ascii="仿宋" w:hAnsi="仿宋" w:eastAsia="仿宋" w:cs="仿宋"/>
          <w:sz w:val="24"/>
        </w:rPr>
        <w:t>签字</w:t>
      </w:r>
      <w:r>
        <w:rPr>
          <w:rFonts w:hint="eastAsia" w:ascii="仿宋" w:hAnsi="仿宋" w:eastAsia="仿宋" w:cs="仿宋"/>
          <w:sz w:val="24"/>
          <w:lang w:val="en-US" w:eastAsia="zh-CN"/>
        </w:rPr>
        <w:t>并加</w:t>
      </w:r>
      <w:r>
        <w:rPr>
          <w:rFonts w:hint="eastAsia" w:ascii="仿宋" w:hAnsi="仿宋" w:eastAsia="仿宋" w:cs="仿宋"/>
          <w:sz w:val="24"/>
        </w:rPr>
        <w:t>盖</w:t>
      </w:r>
      <w:r>
        <w:rPr>
          <w:rFonts w:hint="eastAsia" w:ascii="仿宋" w:hAnsi="仿宋" w:eastAsia="仿宋" w:cs="仿宋"/>
          <w:sz w:val="24"/>
          <w:lang w:val="en-US" w:eastAsia="zh-CN"/>
        </w:rPr>
        <w:t>公</w:t>
      </w:r>
      <w:r>
        <w:rPr>
          <w:rFonts w:hint="eastAsia" w:ascii="仿宋" w:hAnsi="仿宋" w:eastAsia="仿宋" w:cs="仿宋"/>
          <w:sz w:val="24"/>
        </w:rPr>
        <w:t>章后生效，三方各执贰份。</w:t>
      </w:r>
    </w:p>
    <w:p w14:paraId="0B9F6BC8">
      <w:pPr>
        <w:adjustRightInd w:val="0"/>
        <w:snapToGrid w:val="0"/>
        <w:spacing w:line="360" w:lineRule="auto"/>
        <w:ind w:firstLine="480" w:firstLineChars="200"/>
        <w:rPr>
          <w:rFonts w:hint="eastAsia" w:ascii="仿宋" w:hAnsi="仿宋" w:eastAsia="仿宋" w:cs="仿宋"/>
          <w:sz w:val="24"/>
          <w:szCs w:val="22"/>
        </w:rPr>
      </w:pPr>
      <w:r>
        <w:rPr>
          <w:rFonts w:hint="eastAsia" w:ascii="仿宋" w:hAnsi="仿宋" w:eastAsia="仿宋" w:cs="仿宋"/>
          <w:sz w:val="24"/>
          <w:szCs w:val="22"/>
        </w:rPr>
        <w:t>甲方（盖章）：</w:t>
      </w:r>
      <w:r>
        <w:rPr>
          <w:rFonts w:hint="eastAsia" w:ascii="仿宋" w:hAnsi="仿宋" w:eastAsia="仿宋" w:cs="仿宋"/>
          <w:sz w:val="24"/>
          <w:szCs w:val="22"/>
        </w:rPr>
        <w:br w:type="textWrapping"/>
      </w:r>
      <w:r>
        <w:rPr>
          <w:rFonts w:hint="eastAsia" w:ascii="仿宋" w:hAnsi="仿宋" w:eastAsia="仿宋" w:cs="仿宋"/>
          <w:sz w:val="24"/>
          <w:szCs w:val="22"/>
        </w:rPr>
        <w:t>法定代表人/授权代表：</w:t>
      </w:r>
      <w:r>
        <w:rPr>
          <w:rFonts w:hint="eastAsia" w:ascii="仿宋" w:hAnsi="仿宋" w:eastAsia="仿宋" w:cs="仿宋"/>
          <w:sz w:val="24"/>
          <w:szCs w:val="22"/>
        </w:rPr>
        <w:br w:type="textWrapping"/>
      </w:r>
      <w:r>
        <w:rPr>
          <w:rFonts w:hint="eastAsia" w:ascii="仿宋" w:hAnsi="仿宋" w:eastAsia="仿宋" w:cs="仿宋"/>
          <w:sz w:val="24"/>
          <w:szCs w:val="22"/>
        </w:rPr>
        <w:t>日期：</w:t>
      </w:r>
    </w:p>
    <w:p w14:paraId="67AF1F12">
      <w:pPr>
        <w:adjustRightInd w:val="0"/>
        <w:snapToGrid w:val="0"/>
        <w:spacing w:line="360" w:lineRule="auto"/>
        <w:ind w:firstLine="480" w:firstLineChars="200"/>
        <w:rPr>
          <w:rFonts w:hint="eastAsia" w:ascii="仿宋" w:hAnsi="仿宋" w:eastAsia="仿宋" w:cs="仿宋"/>
          <w:sz w:val="24"/>
          <w:szCs w:val="22"/>
        </w:rPr>
      </w:pPr>
      <w:r>
        <w:rPr>
          <w:rFonts w:hint="eastAsia" w:ascii="仿宋" w:hAnsi="仿宋" w:eastAsia="仿宋" w:cs="仿宋"/>
          <w:sz w:val="24"/>
          <w:szCs w:val="22"/>
        </w:rPr>
        <w:t>乙方（盖章）：</w:t>
      </w:r>
      <w:r>
        <w:rPr>
          <w:rFonts w:hint="eastAsia" w:ascii="仿宋" w:hAnsi="仿宋" w:eastAsia="仿宋" w:cs="仿宋"/>
          <w:sz w:val="24"/>
          <w:szCs w:val="22"/>
        </w:rPr>
        <w:br w:type="textWrapping"/>
      </w:r>
      <w:r>
        <w:rPr>
          <w:rFonts w:hint="eastAsia" w:ascii="仿宋" w:hAnsi="仿宋" w:eastAsia="仿宋" w:cs="仿宋"/>
          <w:sz w:val="24"/>
          <w:szCs w:val="22"/>
        </w:rPr>
        <w:t>法定代表人/授权代表：</w:t>
      </w:r>
      <w:r>
        <w:rPr>
          <w:rFonts w:hint="eastAsia" w:ascii="仿宋" w:hAnsi="仿宋" w:eastAsia="仿宋" w:cs="仿宋"/>
          <w:sz w:val="24"/>
          <w:szCs w:val="22"/>
        </w:rPr>
        <w:br w:type="textWrapping"/>
      </w:r>
      <w:r>
        <w:rPr>
          <w:rFonts w:hint="eastAsia" w:ascii="仿宋" w:hAnsi="仿宋" w:eastAsia="仿宋" w:cs="仿宋"/>
          <w:sz w:val="24"/>
          <w:szCs w:val="22"/>
        </w:rPr>
        <w:t>日期：</w:t>
      </w:r>
    </w:p>
    <w:p w14:paraId="36454CD6">
      <w:pPr>
        <w:adjustRightInd w:val="0"/>
        <w:snapToGrid w:val="0"/>
        <w:spacing w:line="360" w:lineRule="auto"/>
        <w:ind w:firstLine="480" w:firstLineChars="200"/>
        <w:rPr>
          <w:rFonts w:hint="eastAsia" w:ascii="仿宋" w:hAnsi="仿宋" w:eastAsia="仿宋" w:cs="仿宋"/>
          <w:sz w:val="24"/>
          <w:szCs w:val="22"/>
        </w:rPr>
      </w:pPr>
      <w:r>
        <w:rPr>
          <w:rFonts w:hint="eastAsia" w:ascii="仿宋" w:hAnsi="仿宋" w:eastAsia="仿宋" w:cs="仿宋"/>
          <w:sz w:val="24"/>
          <w:szCs w:val="22"/>
        </w:rPr>
        <w:t>丙方（盖章）：</w:t>
      </w:r>
      <w:r>
        <w:rPr>
          <w:rFonts w:hint="eastAsia" w:ascii="仿宋" w:hAnsi="仿宋" w:eastAsia="仿宋" w:cs="仿宋"/>
          <w:sz w:val="24"/>
          <w:szCs w:val="22"/>
        </w:rPr>
        <w:br w:type="textWrapping"/>
      </w:r>
      <w:r>
        <w:rPr>
          <w:rFonts w:hint="eastAsia" w:ascii="仿宋" w:hAnsi="仿宋" w:eastAsia="仿宋" w:cs="仿宋"/>
          <w:sz w:val="24"/>
          <w:szCs w:val="22"/>
        </w:rPr>
        <w:t>法定代表人/授权代表：</w:t>
      </w:r>
      <w:r>
        <w:rPr>
          <w:rFonts w:hint="eastAsia" w:ascii="仿宋" w:hAnsi="仿宋" w:eastAsia="仿宋" w:cs="仿宋"/>
          <w:sz w:val="24"/>
          <w:szCs w:val="22"/>
        </w:rPr>
        <w:br w:type="textWrapping"/>
      </w:r>
      <w:r>
        <w:rPr>
          <w:rFonts w:hint="eastAsia" w:ascii="仿宋" w:hAnsi="仿宋" w:eastAsia="仿宋" w:cs="仿宋"/>
          <w:sz w:val="24"/>
          <w:szCs w:val="22"/>
        </w:rPr>
        <w:t>日期：</w:t>
      </w:r>
    </w:p>
    <w:p w14:paraId="0449A6CD">
      <w:pPr>
        <w:adjustRightInd w:val="0"/>
        <w:snapToGrid w:val="0"/>
        <w:spacing w:line="360" w:lineRule="auto"/>
        <w:ind w:firstLine="480" w:firstLineChars="200"/>
        <w:rPr>
          <w:rFonts w:hint="eastAsia" w:ascii="仿宋" w:hAnsi="仿宋" w:eastAsia="仿宋" w:cs="仿宋"/>
          <w:sz w:val="24"/>
        </w:rPr>
      </w:pPr>
    </w:p>
    <w:p w14:paraId="5B741962">
      <w:pPr>
        <w:adjustRightInd w:val="0"/>
        <w:snapToGrid w:val="0"/>
        <w:spacing w:line="360" w:lineRule="auto"/>
        <w:ind w:firstLine="480" w:firstLineChars="200"/>
        <w:rPr>
          <w:rFonts w:hint="eastAsia" w:ascii="仿宋" w:hAnsi="仿宋" w:eastAsia="仿宋" w:cs="仿宋"/>
          <w:sz w:val="24"/>
          <w:lang w:val="en-US" w:eastAsia="zh-CN"/>
        </w:rPr>
      </w:pPr>
    </w:p>
    <w:p w14:paraId="7A39BFCF">
      <w:pPr>
        <w:adjustRightInd w:val="0"/>
        <w:snapToGrid w:val="0"/>
        <w:spacing w:line="360" w:lineRule="auto"/>
        <w:ind w:firstLine="880" w:firstLineChars="200"/>
        <w:jc w:val="center"/>
        <w:rPr>
          <w:rFonts w:hint="default" w:ascii="仿宋" w:hAnsi="仿宋" w:eastAsia="仿宋" w:cs="仿宋"/>
          <w:sz w:val="44"/>
          <w:szCs w:val="44"/>
          <w:lang w:val="en-US" w:eastAsia="zh-CN"/>
        </w:rPr>
      </w:pPr>
      <w:r>
        <w:rPr>
          <w:rFonts w:hint="eastAsia" w:ascii="仿宋" w:hAnsi="仿宋" w:eastAsia="仿宋" w:cs="仿宋"/>
          <w:kern w:val="0"/>
          <w:sz w:val="44"/>
          <w:szCs w:val="44"/>
          <w:lang w:val="en-US" w:eastAsia="zh-CN"/>
        </w:rPr>
        <w:t>《</w:t>
      </w:r>
      <w:r>
        <w:rPr>
          <w:rFonts w:hint="eastAsia" w:ascii="仿宋" w:hAnsi="仿宋" w:eastAsia="仿宋" w:cs="仿宋"/>
          <w:sz w:val="44"/>
          <w:szCs w:val="44"/>
        </w:rPr>
        <w:t>安全生产违规处罚细则</w:t>
      </w:r>
      <w:r>
        <w:rPr>
          <w:rFonts w:hint="eastAsia" w:ascii="仿宋" w:hAnsi="仿宋" w:eastAsia="仿宋" w:cs="仿宋"/>
          <w:kern w:val="0"/>
          <w:sz w:val="44"/>
          <w:szCs w:val="44"/>
          <w:lang w:val="en-US" w:eastAsia="zh-CN"/>
        </w:rPr>
        <w:t>》</w:t>
      </w:r>
    </w:p>
    <w:bookmarkEnd w:id="11"/>
    <w:tbl>
      <w:tblPr>
        <w:tblStyle w:val="7"/>
        <w:tblW w:w="81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
        <w:gridCol w:w="5400"/>
        <w:gridCol w:w="1753"/>
      </w:tblGrid>
      <w:tr w14:paraId="4C3EE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blHeader/>
          <w:jc w:val="center"/>
        </w:trPr>
        <w:tc>
          <w:tcPr>
            <w:tcW w:w="976" w:type="dxa"/>
            <w:noWrap w:val="0"/>
            <w:vAlign w:val="center"/>
          </w:tcPr>
          <w:p w14:paraId="5FE975E9">
            <w:pPr>
              <w:keepNext w:val="0"/>
              <w:keepLines w:val="0"/>
              <w:suppressLineNumbers w:val="0"/>
              <w:spacing w:before="0" w:beforeAutospacing="0" w:after="0" w:afterAutospacing="0"/>
              <w:ind w:left="0" w:right="0"/>
              <w:jc w:val="center"/>
              <w:rPr>
                <w:rFonts w:hint="default" w:ascii="宋体" w:hAnsi="宋体" w:cs="Times New Roman"/>
                <w:b/>
                <w:sz w:val="24"/>
                <w:szCs w:val="24"/>
              </w:rPr>
            </w:pPr>
            <w:r>
              <w:rPr>
                <w:rFonts w:hint="eastAsia" w:ascii="宋体" w:hAnsi="宋体" w:cs="Times New Roman"/>
                <w:b/>
                <w:sz w:val="24"/>
                <w:szCs w:val="24"/>
              </w:rPr>
              <w:t>序号</w:t>
            </w:r>
          </w:p>
        </w:tc>
        <w:tc>
          <w:tcPr>
            <w:tcW w:w="5400" w:type="dxa"/>
            <w:noWrap w:val="0"/>
            <w:vAlign w:val="center"/>
          </w:tcPr>
          <w:p w14:paraId="2289ACF3">
            <w:pPr>
              <w:keepNext w:val="0"/>
              <w:keepLines w:val="0"/>
              <w:suppressLineNumbers w:val="0"/>
              <w:spacing w:before="0" w:beforeAutospacing="0" w:after="0" w:afterAutospacing="0"/>
              <w:ind w:left="0" w:right="0"/>
              <w:jc w:val="center"/>
              <w:rPr>
                <w:rFonts w:hint="default" w:ascii="宋体" w:hAnsi="宋体" w:cs="Times New Roman"/>
                <w:b/>
                <w:sz w:val="24"/>
                <w:szCs w:val="24"/>
              </w:rPr>
            </w:pPr>
            <w:r>
              <w:rPr>
                <w:rFonts w:hint="eastAsia" w:ascii="宋体" w:hAnsi="宋体" w:cs="Times New Roman"/>
                <w:b/>
                <w:sz w:val="24"/>
                <w:szCs w:val="24"/>
              </w:rPr>
              <w:t>违章罚款标准</w:t>
            </w:r>
          </w:p>
        </w:tc>
        <w:tc>
          <w:tcPr>
            <w:tcW w:w="1753" w:type="dxa"/>
            <w:noWrap w:val="0"/>
            <w:vAlign w:val="center"/>
          </w:tcPr>
          <w:p w14:paraId="6EA81052">
            <w:pPr>
              <w:keepNext w:val="0"/>
              <w:keepLines w:val="0"/>
              <w:suppressLineNumbers w:val="0"/>
              <w:spacing w:before="0" w:beforeAutospacing="0" w:after="0" w:afterAutospacing="0"/>
              <w:ind w:left="0" w:right="0"/>
              <w:jc w:val="center"/>
              <w:rPr>
                <w:rFonts w:hint="default" w:ascii="宋体" w:hAnsi="宋体" w:cs="Times New Roman"/>
                <w:b/>
                <w:sz w:val="24"/>
                <w:szCs w:val="24"/>
              </w:rPr>
            </w:pPr>
            <w:r>
              <w:rPr>
                <w:rFonts w:hint="eastAsia" w:ascii="宋体" w:hAnsi="宋体" w:cs="Times New Roman"/>
                <w:b/>
                <w:sz w:val="24"/>
                <w:szCs w:val="24"/>
              </w:rPr>
              <w:t>处罚金额</w:t>
            </w:r>
          </w:p>
        </w:tc>
      </w:tr>
      <w:tr w14:paraId="2532A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976" w:type="dxa"/>
            <w:noWrap w:val="0"/>
            <w:vAlign w:val="center"/>
          </w:tcPr>
          <w:p w14:paraId="05987EB0">
            <w:pPr>
              <w:keepNext w:val="0"/>
              <w:keepLines w:val="0"/>
              <w:suppressLineNumbers w:val="0"/>
              <w:spacing w:before="0" w:beforeAutospacing="0" w:after="0" w:afterAutospacing="0"/>
              <w:ind w:left="0" w:right="0"/>
              <w:jc w:val="center"/>
              <w:rPr>
                <w:rFonts w:hint="eastAsia" w:ascii="宋体" w:hAnsi="宋体" w:cs="Times New Roman"/>
                <w:sz w:val="24"/>
                <w:szCs w:val="24"/>
              </w:rPr>
            </w:pPr>
            <w:r>
              <w:rPr>
                <w:rFonts w:hint="eastAsia" w:ascii="宋体" w:hAnsi="宋体" w:cs="Times New Roman"/>
                <w:sz w:val="24"/>
                <w:szCs w:val="24"/>
              </w:rPr>
              <w:t>1</w:t>
            </w:r>
          </w:p>
        </w:tc>
        <w:tc>
          <w:tcPr>
            <w:tcW w:w="5400" w:type="dxa"/>
            <w:noWrap w:val="0"/>
            <w:vAlign w:val="center"/>
          </w:tcPr>
          <w:p w14:paraId="4EB3304D">
            <w:pPr>
              <w:keepNext w:val="0"/>
              <w:keepLines w:val="0"/>
              <w:suppressLineNumbers w:val="0"/>
              <w:spacing w:before="0" w:beforeAutospacing="0" w:after="0" w:afterAutospacing="0"/>
              <w:ind w:left="0" w:right="0"/>
              <w:rPr>
                <w:rFonts w:hint="eastAsia" w:ascii="宋体" w:hAnsi="宋体" w:cs="Times New Roman"/>
                <w:sz w:val="24"/>
                <w:szCs w:val="24"/>
              </w:rPr>
            </w:pPr>
            <w:r>
              <w:rPr>
                <w:rFonts w:hint="eastAsia" w:ascii="宋体" w:hAnsi="宋体" w:cs="Times New Roman"/>
                <w:sz w:val="24"/>
                <w:szCs w:val="24"/>
              </w:rPr>
              <w:t>未设立安全管理机构</w:t>
            </w:r>
          </w:p>
        </w:tc>
        <w:tc>
          <w:tcPr>
            <w:tcW w:w="1753" w:type="dxa"/>
            <w:noWrap w:val="0"/>
            <w:vAlign w:val="center"/>
          </w:tcPr>
          <w:p w14:paraId="7A0E7E28">
            <w:pPr>
              <w:keepNext w:val="0"/>
              <w:keepLines w:val="0"/>
              <w:suppressLineNumbers w:val="0"/>
              <w:spacing w:before="0" w:beforeAutospacing="0" w:after="0" w:afterAutospacing="0"/>
              <w:ind w:left="0" w:right="0"/>
              <w:jc w:val="center"/>
              <w:rPr>
                <w:rFonts w:hint="eastAsia" w:ascii="宋体" w:hAnsi="宋体" w:cs="Times New Roman"/>
                <w:sz w:val="24"/>
                <w:szCs w:val="24"/>
              </w:rPr>
            </w:pPr>
            <w:r>
              <w:rPr>
                <w:rFonts w:hint="eastAsia" w:ascii="宋体" w:hAnsi="宋体" w:cs="Times New Roman"/>
                <w:sz w:val="24"/>
                <w:szCs w:val="24"/>
              </w:rPr>
              <w:t>10000元.次</w:t>
            </w:r>
          </w:p>
        </w:tc>
      </w:tr>
      <w:tr w14:paraId="2F5DF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976" w:type="dxa"/>
            <w:noWrap w:val="0"/>
            <w:vAlign w:val="center"/>
          </w:tcPr>
          <w:p w14:paraId="1640AD72">
            <w:pPr>
              <w:keepNext w:val="0"/>
              <w:keepLines w:val="0"/>
              <w:suppressLineNumbers w:val="0"/>
              <w:spacing w:before="0" w:beforeAutospacing="0" w:after="0" w:afterAutospacing="0"/>
              <w:ind w:left="0" w:right="0"/>
              <w:jc w:val="center"/>
              <w:rPr>
                <w:rFonts w:hint="eastAsia" w:ascii="宋体" w:hAnsi="宋体" w:cs="Times New Roman"/>
                <w:sz w:val="24"/>
                <w:szCs w:val="24"/>
              </w:rPr>
            </w:pPr>
            <w:r>
              <w:rPr>
                <w:rFonts w:hint="eastAsia" w:ascii="宋体" w:hAnsi="宋体" w:cs="Times New Roman"/>
                <w:sz w:val="24"/>
                <w:szCs w:val="24"/>
              </w:rPr>
              <w:t>2</w:t>
            </w:r>
          </w:p>
        </w:tc>
        <w:tc>
          <w:tcPr>
            <w:tcW w:w="5400" w:type="dxa"/>
            <w:noWrap w:val="0"/>
            <w:vAlign w:val="center"/>
          </w:tcPr>
          <w:p w14:paraId="1C714290">
            <w:pPr>
              <w:keepNext w:val="0"/>
              <w:keepLines w:val="0"/>
              <w:suppressLineNumbers w:val="0"/>
              <w:spacing w:before="0" w:beforeAutospacing="0" w:after="0" w:afterAutospacing="0"/>
              <w:ind w:left="0" w:right="0"/>
              <w:rPr>
                <w:rFonts w:hint="eastAsia" w:ascii="宋体" w:hAnsi="宋体" w:cs="Times New Roman"/>
                <w:sz w:val="24"/>
                <w:szCs w:val="24"/>
              </w:rPr>
            </w:pPr>
            <w:r>
              <w:rPr>
                <w:rFonts w:hint="eastAsia" w:ascii="宋体" w:hAnsi="宋体" w:cs="Times New Roman"/>
                <w:sz w:val="24"/>
                <w:szCs w:val="24"/>
              </w:rPr>
              <w:t>未制定安全生产规章制度</w:t>
            </w:r>
          </w:p>
        </w:tc>
        <w:tc>
          <w:tcPr>
            <w:tcW w:w="1753" w:type="dxa"/>
            <w:noWrap w:val="0"/>
            <w:vAlign w:val="center"/>
          </w:tcPr>
          <w:p w14:paraId="50685E53">
            <w:pPr>
              <w:keepNext w:val="0"/>
              <w:keepLines w:val="0"/>
              <w:suppressLineNumbers w:val="0"/>
              <w:spacing w:before="0" w:beforeAutospacing="0" w:after="0" w:afterAutospacing="0"/>
              <w:ind w:left="0" w:right="0"/>
              <w:jc w:val="center"/>
              <w:rPr>
                <w:rFonts w:hint="eastAsia" w:ascii="宋体" w:hAnsi="宋体" w:cs="Times New Roman"/>
                <w:sz w:val="24"/>
                <w:szCs w:val="24"/>
              </w:rPr>
            </w:pPr>
            <w:r>
              <w:rPr>
                <w:rFonts w:hint="eastAsia" w:ascii="宋体" w:hAnsi="宋体" w:cs="Times New Roman"/>
                <w:sz w:val="24"/>
                <w:szCs w:val="24"/>
              </w:rPr>
              <w:t>10000元.次</w:t>
            </w:r>
          </w:p>
        </w:tc>
      </w:tr>
      <w:tr w14:paraId="54DD6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976" w:type="dxa"/>
            <w:noWrap w:val="0"/>
            <w:vAlign w:val="center"/>
          </w:tcPr>
          <w:p w14:paraId="5BE14EFB">
            <w:pPr>
              <w:keepNext w:val="0"/>
              <w:keepLines w:val="0"/>
              <w:suppressLineNumbers w:val="0"/>
              <w:spacing w:before="0" w:beforeAutospacing="0" w:after="0" w:afterAutospacing="0"/>
              <w:ind w:left="0" w:right="0"/>
              <w:jc w:val="center"/>
              <w:rPr>
                <w:rFonts w:hint="eastAsia" w:ascii="宋体" w:hAnsi="宋体" w:cs="Times New Roman"/>
                <w:sz w:val="24"/>
                <w:szCs w:val="24"/>
              </w:rPr>
            </w:pPr>
            <w:r>
              <w:rPr>
                <w:rFonts w:hint="eastAsia" w:ascii="宋体" w:hAnsi="宋体" w:cs="Times New Roman"/>
                <w:sz w:val="24"/>
                <w:szCs w:val="24"/>
              </w:rPr>
              <w:t>3</w:t>
            </w:r>
          </w:p>
        </w:tc>
        <w:tc>
          <w:tcPr>
            <w:tcW w:w="5400" w:type="dxa"/>
            <w:noWrap w:val="0"/>
            <w:vAlign w:val="center"/>
          </w:tcPr>
          <w:p w14:paraId="731C5E7D">
            <w:pPr>
              <w:keepNext w:val="0"/>
              <w:keepLines w:val="0"/>
              <w:suppressLineNumbers w:val="0"/>
              <w:spacing w:before="0" w:beforeAutospacing="0" w:after="0" w:afterAutospacing="0"/>
              <w:ind w:left="0" w:right="0"/>
              <w:rPr>
                <w:rFonts w:hint="eastAsia" w:ascii="宋体" w:hAnsi="宋体" w:cs="Times New Roman"/>
                <w:sz w:val="24"/>
                <w:szCs w:val="24"/>
              </w:rPr>
            </w:pPr>
            <w:r>
              <w:rPr>
                <w:rFonts w:hint="eastAsia" w:ascii="宋体" w:hAnsi="宋体" w:cs="Times New Roman"/>
                <w:sz w:val="24"/>
                <w:szCs w:val="24"/>
              </w:rPr>
              <w:t>未配备足够数量的专职安全管理人员</w:t>
            </w:r>
          </w:p>
        </w:tc>
        <w:tc>
          <w:tcPr>
            <w:tcW w:w="1753" w:type="dxa"/>
            <w:noWrap w:val="0"/>
            <w:vAlign w:val="center"/>
          </w:tcPr>
          <w:p w14:paraId="7E325F87">
            <w:pPr>
              <w:keepNext w:val="0"/>
              <w:keepLines w:val="0"/>
              <w:suppressLineNumbers w:val="0"/>
              <w:spacing w:before="0" w:beforeAutospacing="0" w:after="0" w:afterAutospacing="0"/>
              <w:ind w:left="0" w:right="0"/>
              <w:jc w:val="center"/>
              <w:rPr>
                <w:rFonts w:hint="eastAsia" w:ascii="宋体" w:hAnsi="宋体" w:cs="Times New Roman"/>
                <w:sz w:val="24"/>
                <w:szCs w:val="24"/>
              </w:rPr>
            </w:pPr>
            <w:r>
              <w:rPr>
                <w:rFonts w:hint="eastAsia" w:ascii="宋体" w:hAnsi="宋体" w:cs="Times New Roman"/>
                <w:sz w:val="24"/>
                <w:szCs w:val="24"/>
              </w:rPr>
              <w:t>10000元.次</w:t>
            </w:r>
          </w:p>
        </w:tc>
      </w:tr>
      <w:tr w14:paraId="07647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976" w:type="dxa"/>
            <w:noWrap w:val="0"/>
            <w:vAlign w:val="center"/>
          </w:tcPr>
          <w:p w14:paraId="1BC348FE">
            <w:pPr>
              <w:keepNext w:val="0"/>
              <w:keepLines w:val="0"/>
              <w:suppressLineNumbers w:val="0"/>
              <w:spacing w:before="0" w:beforeAutospacing="0" w:after="0" w:afterAutospacing="0"/>
              <w:ind w:left="0" w:right="0"/>
              <w:jc w:val="center"/>
              <w:rPr>
                <w:rFonts w:hint="eastAsia" w:ascii="宋体" w:hAnsi="宋体" w:cs="Times New Roman"/>
                <w:sz w:val="24"/>
                <w:szCs w:val="24"/>
              </w:rPr>
            </w:pPr>
            <w:r>
              <w:rPr>
                <w:rFonts w:hint="eastAsia" w:ascii="宋体" w:hAnsi="宋体" w:cs="Times New Roman"/>
                <w:sz w:val="24"/>
                <w:szCs w:val="24"/>
              </w:rPr>
              <w:t>4</w:t>
            </w:r>
          </w:p>
        </w:tc>
        <w:tc>
          <w:tcPr>
            <w:tcW w:w="5400" w:type="dxa"/>
            <w:noWrap w:val="0"/>
            <w:vAlign w:val="center"/>
          </w:tcPr>
          <w:p w14:paraId="2E5FFE88">
            <w:pPr>
              <w:keepNext w:val="0"/>
              <w:keepLines w:val="0"/>
              <w:suppressLineNumbers w:val="0"/>
              <w:spacing w:before="0" w:beforeAutospacing="0" w:after="0" w:afterAutospacing="0"/>
              <w:ind w:left="0" w:right="0"/>
              <w:rPr>
                <w:rFonts w:hint="eastAsia" w:ascii="宋体" w:hAnsi="宋体" w:cs="Times New Roman"/>
                <w:sz w:val="24"/>
                <w:szCs w:val="24"/>
              </w:rPr>
            </w:pPr>
            <w:r>
              <w:rPr>
                <w:rFonts w:hint="eastAsia" w:ascii="宋体" w:hAnsi="宋体" w:cs="Times New Roman"/>
                <w:sz w:val="24"/>
                <w:szCs w:val="24"/>
              </w:rPr>
              <w:t>未对作业者进行定期的安全教育</w:t>
            </w:r>
          </w:p>
        </w:tc>
        <w:tc>
          <w:tcPr>
            <w:tcW w:w="1753" w:type="dxa"/>
            <w:noWrap w:val="0"/>
            <w:vAlign w:val="center"/>
          </w:tcPr>
          <w:p w14:paraId="73802347">
            <w:pPr>
              <w:keepNext w:val="0"/>
              <w:keepLines w:val="0"/>
              <w:suppressLineNumbers w:val="0"/>
              <w:spacing w:before="0" w:beforeAutospacing="0" w:after="0" w:afterAutospacing="0"/>
              <w:ind w:left="0" w:right="0"/>
              <w:jc w:val="center"/>
              <w:rPr>
                <w:rFonts w:hint="eastAsia" w:ascii="宋体" w:hAnsi="宋体" w:cs="Times New Roman"/>
                <w:sz w:val="24"/>
                <w:szCs w:val="24"/>
              </w:rPr>
            </w:pPr>
            <w:r>
              <w:rPr>
                <w:rFonts w:hint="eastAsia" w:ascii="宋体" w:hAnsi="宋体" w:cs="Times New Roman"/>
                <w:sz w:val="24"/>
                <w:szCs w:val="24"/>
              </w:rPr>
              <w:t>10000元.次</w:t>
            </w:r>
          </w:p>
        </w:tc>
      </w:tr>
      <w:tr w14:paraId="6640E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976" w:type="dxa"/>
            <w:noWrap w:val="0"/>
            <w:vAlign w:val="center"/>
          </w:tcPr>
          <w:p w14:paraId="5215A364">
            <w:pPr>
              <w:keepNext w:val="0"/>
              <w:keepLines w:val="0"/>
              <w:suppressLineNumbers w:val="0"/>
              <w:spacing w:before="0" w:beforeAutospacing="0" w:after="0" w:afterAutospacing="0"/>
              <w:ind w:left="0" w:right="0"/>
              <w:jc w:val="center"/>
              <w:rPr>
                <w:rFonts w:hint="eastAsia" w:ascii="宋体" w:hAnsi="宋体" w:cs="Times New Roman"/>
                <w:sz w:val="24"/>
                <w:szCs w:val="24"/>
              </w:rPr>
            </w:pPr>
            <w:r>
              <w:rPr>
                <w:rFonts w:hint="eastAsia" w:ascii="宋体" w:hAnsi="宋体" w:cs="Times New Roman"/>
                <w:sz w:val="24"/>
                <w:szCs w:val="24"/>
              </w:rPr>
              <w:t>5</w:t>
            </w:r>
          </w:p>
        </w:tc>
        <w:tc>
          <w:tcPr>
            <w:tcW w:w="5400" w:type="dxa"/>
            <w:noWrap w:val="0"/>
            <w:vAlign w:val="center"/>
          </w:tcPr>
          <w:p w14:paraId="0D5AB06C">
            <w:pPr>
              <w:keepNext w:val="0"/>
              <w:keepLines w:val="0"/>
              <w:suppressLineNumbers w:val="0"/>
              <w:spacing w:before="0" w:beforeAutospacing="0" w:after="0" w:afterAutospacing="0"/>
              <w:ind w:left="0" w:right="0"/>
              <w:rPr>
                <w:rFonts w:hint="eastAsia" w:ascii="宋体" w:hAnsi="宋体" w:cs="Times New Roman"/>
                <w:sz w:val="24"/>
                <w:szCs w:val="24"/>
              </w:rPr>
            </w:pPr>
            <w:r>
              <w:rPr>
                <w:rFonts w:hint="eastAsia" w:ascii="宋体" w:hAnsi="宋体" w:cs="Times New Roman"/>
                <w:sz w:val="24"/>
                <w:szCs w:val="24"/>
              </w:rPr>
              <w:t>未对新入场者实施岗前安全教育</w:t>
            </w:r>
          </w:p>
        </w:tc>
        <w:tc>
          <w:tcPr>
            <w:tcW w:w="1753" w:type="dxa"/>
            <w:noWrap w:val="0"/>
            <w:vAlign w:val="center"/>
          </w:tcPr>
          <w:p w14:paraId="71810DA6">
            <w:pPr>
              <w:keepNext w:val="0"/>
              <w:keepLines w:val="0"/>
              <w:suppressLineNumbers w:val="0"/>
              <w:spacing w:before="0" w:beforeAutospacing="0" w:after="0" w:afterAutospacing="0"/>
              <w:ind w:left="0" w:right="0"/>
              <w:jc w:val="center"/>
              <w:rPr>
                <w:rFonts w:hint="eastAsia" w:ascii="宋体" w:hAnsi="宋体" w:cs="Times New Roman"/>
                <w:sz w:val="24"/>
                <w:szCs w:val="24"/>
              </w:rPr>
            </w:pPr>
            <w:r>
              <w:rPr>
                <w:rFonts w:hint="eastAsia" w:ascii="宋体" w:hAnsi="宋体" w:cs="Times New Roman"/>
                <w:sz w:val="24"/>
                <w:szCs w:val="24"/>
              </w:rPr>
              <w:t>200人.次</w:t>
            </w:r>
          </w:p>
        </w:tc>
      </w:tr>
      <w:tr w14:paraId="22294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976" w:type="dxa"/>
            <w:noWrap w:val="0"/>
            <w:vAlign w:val="center"/>
          </w:tcPr>
          <w:p w14:paraId="2D94C23D">
            <w:pPr>
              <w:keepNext w:val="0"/>
              <w:keepLines w:val="0"/>
              <w:suppressLineNumbers w:val="0"/>
              <w:spacing w:before="0" w:beforeAutospacing="0" w:after="0" w:afterAutospacing="0"/>
              <w:ind w:left="0" w:right="0"/>
              <w:jc w:val="center"/>
              <w:rPr>
                <w:rFonts w:hint="eastAsia" w:ascii="宋体" w:hAnsi="宋体" w:cs="Times New Roman"/>
                <w:sz w:val="24"/>
                <w:szCs w:val="24"/>
              </w:rPr>
            </w:pPr>
            <w:r>
              <w:rPr>
                <w:rFonts w:hint="eastAsia" w:ascii="宋体" w:hAnsi="宋体" w:cs="Times New Roman"/>
                <w:sz w:val="24"/>
                <w:szCs w:val="24"/>
              </w:rPr>
              <w:t>6</w:t>
            </w:r>
          </w:p>
        </w:tc>
        <w:tc>
          <w:tcPr>
            <w:tcW w:w="5400" w:type="dxa"/>
            <w:noWrap w:val="0"/>
            <w:vAlign w:val="center"/>
          </w:tcPr>
          <w:p w14:paraId="597F8380">
            <w:pPr>
              <w:keepNext w:val="0"/>
              <w:keepLines w:val="0"/>
              <w:suppressLineNumbers w:val="0"/>
              <w:spacing w:before="0" w:beforeAutospacing="0" w:after="0" w:afterAutospacing="0"/>
              <w:ind w:left="0" w:right="0"/>
              <w:rPr>
                <w:rFonts w:hint="eastAsia" w:ascii="宋体" w:hAnsi="宋体" w:cs="Times New Roman"/>
                <w:sz w:val="24"/>
                <w:szCs w:val="24"/>
              </w:rPr>
            </w:pPr>
            <w:r>
              <w:rPr>
                <w:rFonts w:hint="eastAsia" w:ascii="宋体" w:hAnsi="宋体" w:cs="Times New Roman"/>
                <w:sz w:val="24"/>
                <w:szCs w:val="24"/>
              </w:rPr>
              <w:t>未与分包单位签订安全管理协议</w:t>
            </w:r>
          </w:p>
        </w:tc>
        <w:tc>
          <w:tcPr>
            <w:tcW w:w="1753" w:type="dxa"/>
            <w:noWrap w:val="0"/>
            <w:vAlign w:val="center"/>
          </w:tcPr>
          <w:p w14:paraId="7D127872">
            <w:pPr>
              <w:keepNext w:val="0"/>
              <w:keepLines w:val="0"/>
              <w:suppressLineNumbers w:val="0"/>
              <w:spacing w:before="0" w:beforeAutospacing="0" w:after="0" w:afterAutospacing="0"/>
              <w:ind w:left="0" w:right="0"/>
              <w:jc w:val="center"/>
              <w:rPr>
                <w:rFonts w:hint="eastAsia" w:ascii="宋体" w:hAnsi="宋体" w:cs="Times New Roman"/>
                <w:sz w:val="24"/>
                <w:szCs w:val="24"/>
              </w:rPr>
            </w:pPr>
            <w:r>
              <w:rPr>
                <w:rFonts w:hint="eastAsia" w:ascii="宋体" w:hAnsi="宋体" w:cs="Times New Roman"/>
                <w:sz w:val="24"/>
                <w:szCs w:val="24"/>
              </w:rPr>
              <w:t>10000元.次</w:t>
            </w:r>
          </w:p>
        </w:tc>
      </w:tr>
      <w:tr w14:paraId="4C14B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976" w:type="dxa"/>
            <w:noWrap w:val="0"/>
            <w:vAlign w:val="center"/>
          </w:tcPr>
          <w:p w14:paraId="2ACA4E83">
            <w:pPr>
              <w:keepNext w:val="0"/>
              <w:keepLines w:val="0"/>
              <w:suppressLineNumbers w:val="0"/>
              <w:spacing w:before="0" w:beforeAutospacing="0" w:after="0" w:afterAutospacing="0"/>
              <w:ind w:left="0" w:right="0"/>
              <w:jc w:val="center"/>
              <w:rPr>
                <w:rFonts w:hint="eastAsia" w:ascii="宋体" w:hAnsi="宋体" w:cs="Times New Roman"/>
                <w:sz w:val="24"/>
                <w:szCs w:val="24"/>
              </w:rPr>
            </w:pPr>
            <w:r>
              <w:rPr>
                <w:rFonts w:hint="eastAsia" w:ascii="宋体" w:hAnsi="宋体" w:cs="Times New Roman"/>
                <w:sz w:val="24"/>
                <w:szCs w:val="24"/>
              </w:rPr>
              <w:t>7</w:t>
            </w:r>
          </w:p>
        </w:tc>
        <w:tc>
          <w:tcPr>
            <w:tcW w:w="5400" w:type="dxa"/>
            <w:noWrap w:val="0"/>
            <w:vAlign w:val="center"/>
          </w:tcPr>
          <w:p w14:paraId="01595D08">
            <w:pPr>
              <w:keepNext w:val="0"/>
              <w:keepLines w:val="0"/>
              <w:suppressLineNumbers w:val="0"/>
              <w:spacing w:before="0" w:beforeAutospacing="0" w:after="0" w:afterAutospacing="0"/>
              <w:ind w:left="0" w:right="0"/>
              <w:rPr>
                <w:rFonts w:hint="eastAsia" w:ascii="宋体" w:hAnsi="宋体" w:cs="Times New Roman"/>
                <w:sz w:val="24"/>
                <w:szCs w:val="24"/>
              </w:rPr>
            </w:pPr>
            <w:r>
              <w:rPr>
                <w:rFonts w:hint="eastAsia" w:ascii="宋体" w:hAnsi="宋体" w:cs="Times New Roman"/>
                <w:sz w:val="24"/>
                <w:szCs w:val="24"/>
              </w:rPr>
              <w:t>未进行书面安全技术交底</w:t>
            </w:r>
          </w:p>
        </w:tc>
        <w:tc>
          <w:tcPr>
            <w:tcW w:w="1753" w:type="dxa"/>
            <w:noWrap w:val="0"/>
            <w:vAlign w:val="center"/>
          </w:tcPr>
          <w:p w14:paraId="31685C8F">
            <w:pPr>
              <w:keepNext w:val="0"/>
              <w:keepLines w:val="0"/>
              <w:suppressLineNumbers w:val="0"/>
              <w:spacing w:before="0" w:beforeAutospacing="0" w:after="0" w:afterAutospacing="0"/>
              <w:ind w:left="0" w:right="0"/>
              <w:jc w:val="center"/>
              <w:rPr>
                <w:rFonts w:hint="eastAsia" w:ascii="宋体" w:hAnsi="宋体" w:cs="Times New Roman"/>
                <w:sz w:val="24"/>
                <w:szCs w:val="24"/>
              </w:rPr>
            </w:pPr>
            <w:r>
              <w:rPr>
                <w:rFonts w:hint="eastAsia" w:ascii="宋体" w:hAnsi="宋体" w:cs="Times New Roman"/>
                <w:sz w:val="24"/>
                <w:szCs w:val="24"/>
              </w:rPr>
              <w:t>200人.次</w:t>
            </w:r>
          </w:p>
        </w:tc>
      </w:tr>
      <w:tr w14:paraId="47CEE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976" w:type="dxa"/>
            <w:noWrap w:val="0"/>
            <w:vAlign w:val="center"/>
          </w:tcPr>
          <w:p w14:paraId="549B93F3">
            <w:pPr>
              <w:keepNext w:val="0"/>
              <w:keepLines w:val="0"/>
              <w:suppressLineNumbers w:val="0"/>
              <w:spacing w:before="0" w:beforeAutospacing="0" w:after="0" w:afterAutospacing="0"/>
              <w:ind w:left="0" w:right="0"/>
              <w:jc w:val="center"/>
              <w:rPr>
                <w:rFonts w:hint="eastAsia" w:ascii="宋体" w:hAnsi="宋体" w:cs="Times New Roman"/>
                <w:sz w:val="24"/>
                <w:szCs w:val="24"/>
              </w:rPr>
            </w:pPr>
            <w:r>
              <w:rPr>
                <w:rFonts w:hint="eastAsia" w:ascii="宋体" w:hAnsi="宋体" w:cs="Times New Roman"/>
                <w:sz w:val="24"/>
                <w:szCs w:val="24"/>
              </w:rPr>
              <w:t>8</w:t>
            </w:r>
          </w:p>
        </w:tc>
        <w:tc>
          <w:tcPr>
            <w:tcW w:w="5400" w:type="dxa"/>
            <w:noWrap w:val="0"/>
            <w:vAlign w:val="center"/>
          </w:tcPr>
          <w:p w14:paraId="0873296F">
            <w:pPr>
              <w:keepNext w:val="0"/>
              <w:keepLines w:val="0"/>
              <w:suppressLineNumbers w:val="0"/>
              <w:spacing w:before="0" w:beforeAutospacing="0" w:after="0" w:afterAutospacing="0"/>
              <w:ind w:left="0" w:right="0"/>
              <w:rPr>
                <w:rFonts w:hint="eastAsia" w:ascii="宋体" w:hAnsi="宋体" w:cs="Times New Roman"/>
                <w:sz w:val="24"/>
                <w:szCs w:val="24"/>
              </w:rPr>
            </w:pPr>
            <w:r>
              <w:rPr>
                <w:rFonts w:hint="eastAsia" w:ascii="宋体" w:hAnsi="宋体" w:cs="Times New Roman"/>
                <w:sz w:val="24"/>
                <w:szCs w:val="24"/>
              </w:rPr>
              <w:t>应进行日常检查但未有检查记录的，例如：配电箱、消防器材</w:t>
            </w:r>
          </w:p>
        </w:tc>
        <w:tc>
          <w:tcPr>
            <w:tcW w:w="1753" w:type="dxa"/>
            <w:noWrap w:val="0"/>
            <w:vAlign w:val="center"/>
          </w:tcPr>
          <w:p w14:paraId="1EAA74DB">
            <w:pPr>
              <w:keepNext w:val="0"/>
              <w:keepLines w:val="0"/>
              <w:suppressLineNumbers w:val="0"/>
              <w:spacing w:before="0" w:beforeAutospacing="0" w:after="0" w:afterAutospacing="0"/>
              <w:ind w:left="0" w:right="0"/>
              <w:jc w:val="center"/>
              <w:rPr>
                <w:rFonts w:hint="eastAsia" w:ascii="宋体" w:hAnsi="宋体" w:cs="Times New Roman"/>
                <w:sz w:val="24"/>
                <w:szCs w:val="24"/>
              </w:rPr>
            </w:pPr>
            <w:r>
              <w:rPr>
                <w:rFonts w:hint="eastAsia" w:ascii="宋体" w:hAnsi="宋体" w:cs="Times New Roman"/>
                <w:sz w:val="24"/>
                <w:szCs w:val="24"/>
              </w:rPr>
              <w:t>200个.次</w:t>
            </w:r>
          </w:p>
        </w:tc>
      </w:tr>
      <w:tr w14:paraId="15C04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976" w:type="dxa"/>
            <w:noWrap w:val="0"/>
            <w:vAlign w:val="center"/>
          </w:tcPr>
          <w:p w14:paraId="711AB94B">
            <w:pPr>
              <w:keepNext w:val="0"/>
              <w:keepLines w:val="0"/>
              <w:suppressLineNumbers w:val="0"/>
              <w:spacing w:before="0" w:beforeAutospacing="0" w:after="0" w:afterAutospacing="0"/>
              <w:ind w:left="0" w:right="0"/>
              <w:jc w:val="center"/>
              <w:rPr>
                <w:rFonts w:hint="eastAsia" w:ascii="宋体" w:hAnsi="宋体" w:cs="Times New Roman"/>
                <w:sz w:val="24"/>
                <w:szCs w:val="24"/>
              </w:rPr>
            </w:pPr>
            <w:r>
              <w:rPr>
                <w:rFonts w:hint="eastAsia" w:ascii="宋体" w:hAnsi="宋体" w:cs="Times New Roman"/>
                <w:sz w:val="24"/>
                <w:szCs w:val="24"/>
              </w:rPr>
              <w:t>9</w:t>
            </w:r>
          </w:p>
        </w:tc>
        <w:tc>
          <w:tcPr>
            <w:tcW w:w="5400" w:type="dxa"/>
            <w:noWrap w:val="0"/>
            <w:vAlign w:val="center"/>
          </w:tcPr>
          <w:p w14:paraId="06167790">
            <w:pPr>
              <w:keepNext w:val="0"/>
              <w:keepLines w:val="0"/>
              <w:suppressLineNumbers w:val="0"/>
              <w:spacing w:before="0" w:beforeAutospacing="0" w:after="0" w:afterAutospacing="0"/>
              <w:ind w:left="0" w:right="0"/>
              <w:rPr>
                <w:rFonts w:hint="eastAsia" w:ascii="宋体" w:hAnsi="宋体" w:cs="Times New Roman"/>
                <w:sz w:val="24"/>
                <w:szCs w:val="24"/>
              </w:rPr>
            </w:pPr>
            <w:r>
              <w:rPr>
                <w:rFonts w:hint="eastAsia" w:ascii="宋体" w:hAnsi="宋体" w:cs="Times New Roman"/>
                <w:sz w:val="24"/>
                <w:szCs w:val="24"/>
              </w:rPr>
              <w:t>施工前，未组织全员召开班前会，提出作业中可能存在的危险因素并制定对策</w:t>
            </w:r>
          </w:p>
        </w:tc>
        <w:tc>
          <w:tcPr>
            <w:tcW w:w="1753" w:type="dxa"/>
            <w:noWrap w:val="0"/>
            <w:vAlign w:val="center"/>
          </w:tcPr>
          <w:p w14:paraId="1CBD0736">
            <w:pPr>
              <w:keepNext w:val="0"/>
              <w:keepLines w:val="0"/>
              <w:suppressLineNumbers w:val="0"/>
              <w:spacing w:before="0" w:beforeAutospacing="0" w:after="0" w:afterAutospacing="0"/>
              <w:ind w:left="0" w:right="0"/>
              <w:jc w:val="center"/>
              <w:rPr>
                <w:rFonts w:hint="eastAsia" w:ascii="宋体" w:hAnsi="宋体" w:cs="Times New Roman"/>
                <w:sz w:val="24"/>
                <w:szCs w:val="24"/>
              </w:rPr>
            </w:pPr>
            <w:r>
              <w:rPr>
                <w:rFonts w:hint="eastAsia" w:ascii="宋体" w:hAnsi="宋体" w:cs="Times New Roman"/>
                <w:sz w:val="24"/>
                <w:szCs w:val="24"/>
              </w:rPr>
              <w:t>500元.次</w:t>
            </w:r>
          </w:p>
        </w:tc>
      </w:tr>
      <w:tr w14:paraId="3A08F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blHeader/>
          <w:jc w:val="center"/>
        </w:trPr>
        <w:tc>
          <w:tcPr>
            <w:tcW w:w="976" w:type="dxa"/>
            <w:noWrap w:val="0"/>
            <w:vAlign w:val="center"/>
          </w:tcPr>
          <w:p w14:paraId="2A8FFFC6">
            <w:pPr>
              <w:keepNext w:val="0"/>
              <w:keepLines w:val="0"/>
              <w:suppressLineNumbers w:val="0"/>
              <w:spacing w:before="0" w:beforeAutospacing="0" w:after="0" w:afterAutospacing="0"/>
              <w:ind w:left="0" w:right="0"/>
              <w:jc w:val="center"/>
              <w:rPr>
                <w:rFonts w:hint="eastAsia" w:ascii="宋体" w:hAnsi="宋体" w:cs="Times New Roman"/>
                <w:sz w:val="24"/>
                <w:szCs w:val="24"/>
              </w:rPr>
            </w:pPr>
            <w:r>
              <w:rPr>
                <w:rFonts w:hint="eastAsia" w:ascii="宋体" w:hAnsi="宋体" w:cs="Times New Roman"/>
                <w:sz w:val="24"/>
                <w:szCs w:val="24"/>
              </w:rPr>
              <w:t>10</w:t>
            </w:r>
          </w:p>
        </w:tc>
        <w:tc>
          <w:tcPr>
            <w:tcW w:w="5400" w:type="dxa"/>
            <w:noWrap w:val="0"/>
            <w:vAlign w:val="center"/>
          </w:tcPr>
          <w:p w14:paraId="2CC278A3">
            <w:pPr>
              <w:keepNext w:val="0"/>
              <w:keepLines w:val="0"/>
              <w:suppressLineNumbers w:val="0"/>
              <w:spacing w:before="0" w:beforeAutospacing="0" w:after="0" w:afterAutospacing="0"/>
              <w:ind w:left="0" w:right="0"/>
              <w:rPr>
                <w:rFonts w:hint="eastAsia" w:ascii="宋体" w:hAnsi="宋体" w:cs="Times New Roman"/>
                <w:sz w:val="24"/>
                <w:szCs w:val="24"/>
              </w:rPr>
            </w:pPr>
            <w:r>
              <w:rPr>
                <w:rFonts w:hint="eastAsia" w:ascii="宋体" w:hAnsi="宋体" w:cs="Times New Roman"/>
                <w:sz w:val="24"/>
                <w:szCs w:val="24"/>
              </w:rPr>
              <w:t>现场材料堆放不合理、凌乱、未分类堆放。生活区、施工区、加工区、材料堆放区未采用隔离措施</w:t>
            </w:r>
          </w:p>
        </w:tc>
        <w:tc>
          <w:tcPr>
            <w:tcW w:w="1753" w:type="dxa"/>
            <w:noWrap w:val="0"/>
            <w:vAlign w:val="center"/>
          </w:tcPr>
          <w:p w14:paraId="74396F82">
            <w:pPr>
              <w:keepNext w:val="0"/>
              <w:keepLines w:val="0"/>
              <w:suppressLineNumbers w:val="0"/>
              <w:spacing w:before="0" w:beforeAutospacing="0" w:after="0" w:afterAutospacing="0"/>
              <w:ind w:left="0" w:right="0"/>
              <w:jc w:val="center"/>
              <w:rPr>
                <w:rFonts w:hint="eastAsia" w:ascii="宋体" w:hAnsi="宋体" w:cs="Times New Roman"/>
                <w:sz w:val="24"/>
                <w:szCs w:val="24"/>
              </w:rPr>
            </w:pPr>
            <w:r>
              <w:rPr>
                <w:rFonts w:hint="eastAsia" w:ascii="宋体" w:hAnsi="宋体" w:cs="Times New Roman"/>
                <w:sz w:val="24"/>
                <w:szCs w:val="24"/>
              </w:rPr>
              <w:t>500元.次</w:t>
            </w:r>
          </w:p>
        </w:tc>
      </w:tr>
      <w:tr w14:paraId="0FE8C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blHeader/>
          <w:jc w:val="center"/>
        </w:trPr>
        <w:tc>
          <w:tcPr>
            <w:tcW w:w="976" w:type="dxa"/>
            <w:noWrap w:val="0"/>
            <w:vAlign w:val="center"/>
          </w:tcPr>
          <w:p w14:paraId="42AD5DCC">
            <w:pPr>
              <w:keepNext w:val="0"/>
              <w:keepLines w:val="0"/>
              <w:suppressLineNumbers w:val="0"/>
              <w:spacing w:before="0" w:beforeAutospacing="0" w:after="0" w:afterAutospacing="0"/>
              <w:ind w:left="0" w:right="0"/>
              <w:jc w:val="center"/>
              <w:rPr>
                <w:rFonts w:hint="eastAsia" w:ascii="宋体" w:hAnsi="宋体" w:cs="Times New Roman"/>
                <w:sz w:val="24"/>
                <w:szCs w:val="24"/>
              </w:rPr>
            </w:pPr>
            <w:r>
              <w:rPr>
                <w:rFonts w:hint="eastAsia" w:ascii="宋体" w:hAnsi="宋体" w:cs="Times New Roman"/>
                <w:sz w:val="24"/>
                <w:szCs w:val="24"/>
              </w:rPr>
              <w:t>11</w:t>
            </w:r>
          </w:p>
        </w:tc>
        <w:tc>
          <w:tcPr>
            <w:tcW w:w="5400" w:type="dxa"/>
            <w:noWrap w:val="0"/>
            <w:vAlign w:val="center"/>
          </w:tcPr>
          <w:p w14:paraId="3580A0AE">
            <w:pPr>
              <w:keepNext w:val="0"/>
              <w:keepLines w:val="0"/>
              <w:suppressLineNumbers w:val="0"/>
              <w:spacing w:before="0" w:beforeAutospacing="0" w:after="0" w:afterAutospacing="0"/>
              <w:ind w:left="0" w:right="0"/>
              <w:rPr>
                <w:rFonts w:hint="eastAsia" w:ascii="宋体" w:hAnsi="宋体" w:cs="Times New Roman"/>
                <w:sz w:val="24"/>
                <w:szCs w:val="24"/>
              </w:rPr>
            </w:pPr>
            <w:r>
              <w:rPr>
                <w:rFonts w:hint="eastAsia" w:ascii="宋体" w:hAnsi="宋体" w:cs="Times New Roman"/>
                <w:sz w:val="24"/>
                <w:szCs w:val="24"/>
              </w:rPr>
              <w:t>现场未设置足够的安全警示标志及警示性标志的</w:t>
            </w:r>
          </w:p>
        </w:tc>
        <w:tc>
          <w:tcPr>
            <w:tcW w:w="1753" w:type="dxa"/>
            <w:noWrap w:val="0"/>
            <w:vAlign w:val="center"/>
          </w:tcPr>
          <w:p w14:paraId="342141FF">
            <w:pPr>
              <w:keepNext w:val="0"/>
              <w:keepLines w:val="0"/>
              <w:suppressLineNumbers w:val="0"/>
              <w:spacing w:before="0" w:beforeAutospacing="0" w:after="0" w:afterAutospacing="0"/>
              <w:ind w:left="0" w:right="0"/>
              <w:jc w:val="center"/>
              <w:rPr>
                <w:rFonts w:hint="eastAsia" w:ascii="宋体" w:hAnsi="宋体" w:cs="Times New Roman"/>
                <w:sz w:val="24"/>
                <w:szCs w:val="24"/>
              </w:rPr>
            </w:pPr>
            <w:r>
              <w:rPr>
                <w:rFonts w:hint="eastAsia" w:ascii="宋体" w:hAnsi="宋体" w:cs="Times New Roman"/>
                <w:sz w:val="24"/>
                <w:szCs w:val="24"/>
              </w:rPr>
              <w:t>200元.次</w:t>
            </w:r>
          </w:p>
        </w:tc>
      </w:tr>
      <w:tr w14:paraId="0D100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976" w:type="dxa"/>
            <w:noWrap w:val="0"/>
            <w:vAlign w:val="center"/>
          </w:tcPr>
          <w:p w14:paraId="4FA27370">
            <w:pPr>
              <w:keepNext w:val="0"/>
              <w:keepLines w:val="0"/>
              <w:suppressLineNumbers w:val="0"/>
              <w:spacing w:before="0" w:beforeAutospacing="0" w:after="0" w:afterAutospacing="0"/>
              <w:ind w:left="0" w:right="0"/>
              <w:jc w:val="center"/>
              <w:rPr>
                <w:rFonts w:hint="eastAsia" w:ascii="宋体" w:hAnsi="宋体" w:cs="Times New Roman"/>
                <w:sz w:val="24"/>
                <w:szCs w:val="24"/>
              </w:rPr>
            </w:pPr>
            <w:r>
              <w:rPr>
                <w:rFonts w:hint="eastAsia" w:ascii="宋体" w:hAnsi="宋体" w:cs="Times New Roman"/>
                <w:sz w:val="24"/>
                <w:szCs w:val="24"/>
              </w:rPr>
              <w:t>12</w:t>
            </w:r>
          </w:p>
        </w:tc>
        <w:tc>
          <w:tcPr>
            <w:tcW w:w="5400" w:type="dxa"/>
            <w:noWrap w:val="0"/>
            <w:vAlign w:val="center"/>
          </w:tcPr>
          <w:p w14:paraId="4AFCB085">
            <w:pPr>
              <w:keepNext w:val="0"/>
              <w:keepLines w:val="0"/>
              <w:suppressLineNumbers w:val="0"/>
              <w:spacing w:before="0" w:beforeAutospacing="0" w:after="0" w:afterAutospacing="0"/>
              <w:ind w:left="0" w:right="0"/>
              <w:rPr>
                <w:rFonts w:hint="eastAsia" w:ascii="宋体" w:hAnsi="宋体" w:cs="Times New Roman"/>
                <w:sz w:val="24"/>
                <w:szCs w:val="24"/>
              </w:rPr>
            </w:pPr>
            <w:r>
              <w:rPr>
                <w:rFonts w:hint="eastAsia" w:ascii="宋体" w:hAnsi="宋体" w:cs="Times New Roman"/>
                <w:sz w:val="24"/>
                <w:szCs w:val="24"/>
              </w:rPr>
              <w:t>现场围挡破损未及时修复的</w:t>
            </w:r>
          </w:p>
        </w:tc>
        <w:tc>
          <w:tcPr>
            <w:tcW w:w="1753" w:type="dxa"/>
            <w:noWrap w:val="0"/>
            <w:vAlign w:val="center"/>
          </w:tcPr>
          <w:p w14:paraId="766EF3A9">
            <w:pPr>
              <w:keepNext w:val="0"/>
              <w:keepLines w:val="0"/>
              <w:suppressLineNumbers w:val="0"/>
              <w:spacing w:before="0" w:beforeAutospacing="0" w:after="0" w:afterAutospacing="0"/>
              <w:ind w:left="0" w:right="0"/>
              <w:jc w:val="center"/>
              <w:rPr>
                <w:rFonts w:hint="eastAsia" w:ascii="宋体" w:hAnsi="宋体" w:cs="Times New Roman"/>
                <w:sz w:val="24"/>
                <w:szCs w:val="24"/>
              </w:rPr>
            </w:pPr>
            <w:r>
              <w:rPr>
                <w:rFonts w:hint="eastAsia" w:ascii="宋体" w:hAnsi="宋体" w:cs="Times New Roman"/>
                <w:sz w:val="24"/>
                <w:szCs w:val="24"/>
              </w:rPr>
              <w:t>1000元.次</w:t>
            </w:r>
          </w:p>
        </w:tc>
      </w:tr>
      <w:tr w14:paraId="2F172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976" w:type="dxa"/>
            <w:noWrap w:val="0"/>
            <w:vAlign w:val="center"/>
          </w:tcPr>
          <w:p w14:paraId="58D2F9F7">
            <w:pPr>
              <w:keepNext w:val="0"/>
              <w:keepLines w:val="0"/>
              <w:suppressLineNumbers w:val="0"/>
              <w:spacing w:before="0" w:beforeAutospacing="0" w:after="0" w:afterAutospacing="0"/>
              <w:ind w:left="0" w:right="0"/>
              <w:jc w:val="center"/>
              <w:rPr>
                <w:rFonts w:hint="eastAsia" w:ascii="宋体" w:hAnsi="宋体" w:cs="Times New Roman"/>
                <w:sz w:val="24"/>
                <w:szCs w:val="24"/>
              </w:rPr>
            </w:pPr>
            <w:r>
              <w:rPr>
                <w:rFonts w:hint="eastAsia" w:ascii="宋体" w:hAnsi="宋体" w:cs="Times New Roman"/>
                <w:sz w:val="24"/>
                <w:szCs w:val="24"/>
              </w:rPr>
              <w:t>13</w:t>
            </w:r>
          </w:p>
        </w:tc>
        <w:tc>
          <w:tcPr>
            <w:tcW w:w="5400" w:type="dxa"/>
            <w:noWrap w:val="0"/>
            <w:vAlign w:val="center"/>
          </w:tcPr>
          <w:p w14:paraId="0EED0258">
            <w:pPr>
              <w:keepNext w:val="0"/>
              <w:keepLines w:val="0"/>
              <w:suppressLineNumbers w:val="0"/>
              <w:spacing w:before="0" w:beforeAutospacing="0" w:after="0" w:afterAutospacing="0"/>
              <w:ind w:left="0" w:right="0"/>
              <w:rPr>
                <w:rFonts w:hint="eastAsia" w:ascii="宋体" w:hAnsi="宋体" w:cs="Times New Roman"/>
                <w:sz w:val="24"/>
                <w:szCs w:val="24"/>
              </w:rPr>
            </w:pPr>
            <w:r>
              <w:rPr>
                <w:rFonts w:hint="eastAsia" w:ascii="宋体" w:hAnsi="宋体" w:cs="Times New Roman"/>
                <w:sz w:val="24"/>
                <w:szCs w:val="24"/>
              </w:rPr>
              <w:t>消防器材失效或数量不满足要求</w:t>
            </w:r>
          </w:p>
        </w:tc>
        <w:tc>
          <w:tcPr>
            <w:tcW w:w="1753" w:type="dxa"/>
            <w:noWrap w:val="0"/>
            <w:vAlign w:val="center"/>
          </w:tcPr>
          <w:p w14:paraId="6EE6ADB9">
            <w:pPr>
              <w:keepNext w:val="0"/>
              <w:keepLines w:val="0"/>
              <w:suppressLineNumbers w:val="0"/>
              <w:spacing w:before="0" w:beforeAutospacing="0" w:after="0" w:afterAutospacing="0"/>
              <w:ind w:left="0" w:right="0"/>
              <w:jc w:val="center"/>
              <w:rPr>
                <w:rFonts w:hint="eastAsia" w:ascii="宋体" w:hAnsi="宋体" w:cs="Times New Roman"/>
                <w:sz w:val="24"/>
                <w:szCs w:val="24"/>
              </w:rPr>
            </w:pPr>
            <w:r>
              <w:rPr>
                <w:rFonts w:hint="eastAsia" w:ascii="宋体" w:hAnsi="宋体" w:cs="Times New Roman"/>
                <w:sz w:val="24"/>
                <w:szCs w:val="24"/>
              </w:rPr>
              <w:t>500元.次</w:t>
            </w:r>
          </w:p>
        </w:tc>
      </w:tr>
      <w:tr w14:paraId="66620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976" w:type="dxa"/>
            <w:noWrap w:val="0"/>
            <w:vAlign w:val="center"/>
          </w:tcPr>
          <w:p w14:paraId="3C156A65">
            <w:pPr>
              <w:keepNext w:val="0"/>
              <w:keepLines w:val="0"/>
              <w:suppressLineNumbers w:val="0"/>
              <w:spacing w:before="0" w:beforeAutospacing="0" w:after="0" w:afterAutospacing="0"/>
              <w:ind w:left="0" w:right="0"/>
              <w:jc w:val="center"/>
              <w:rPr>
                <w:rFonts w:hint="eastAsia" w:ascii="宋体" w:hAnsi="宋体" w:cs="Times New Roman"/>
                <w:sz w:val="24"/>
                <w:szCs w:val="24"/>
              </w:rPr>
            </w:pPr>
            <w:r>
              <w:rPr>
                <w:rFonts w:hint="eastAsia" w:ascii="宋体" w:hAnsi="宋体" w:cs="Times New Roman"/>
                <w:sz w:val="24"/>
                <w:szCs w:val="24"/>
              </w:rPr>
              <w:t>14</w:t>
            </w:r>
          </w:p>
        </w:tc>
        <w:tc>
          <w:tcPr>
            <w:tcW w:w="5400" w:type="dxa"/>
            <w:noWrap w:val="0"/>
            <w:vAlign w:val="center"/>
          </w:tcPr>
          <w:p w14:paraId="1D5E88A3">
            <w:pPr>
              <w:keepNext w:val="0"/>
              <w:keepLines w:val="0"/>
              <w:suppressLineNumbers w:val="0"/>
              <w:spacing w:before="0" w:beforeAutospacing="0" w:after="0" w:afterAutospacing="0"/>
              <w:ind w:left="0" w:right="0"/>
              <w:rPr>
                <w:rFonts w:hint="eastAsia" w:ascii="宋体" w:hAnsi="宋体" w:cs="Times New Roman"/>
                <w:sz w:val="24"/>
                <w:szCs w:val="24"/>
              </w:rPr>
            </w:pPr>
            <w:r>
              <w:rPr>
                <w:rFonts w:hint="eastAsia" w:ascii="宋体" w:hAnsi="宋体" w:cs="Times New Roman"/>
                <w:sz w:val="24"/>
                <w:szCs w:val="24"/>
              </w:rPr>
              <w:t>动火作业、有限空间作业、高处作业未进行交底，制定专项措施、未采取有效的保护措施的</w:t>
            </w:r>
          </w:p>
        </w:tc>
        <w:tc>
          <w:tcPr>
            <w:tcW w:w="1753" w:type="dxa"/>
            <w:noWrap w:val="0"/>
            <w:vAlign w:val="center"/>
          </w:tcPr>
          <w:p w14:paraId="0F62CC37">
            <w:pPr>
              <w:keepNext w:val="0"/>
              <w:keepLines w:val="0"/>
              <w:suppressLineNumbers w:val="0"/>
              <w:spacing w:before="0" w:beforeAutospacing="0" w:after="0" w:afterAutospacing="0"/>
              <w:ind w:left="0" w:right="0"/>
              <w:jc w:val="center"/>
              <w:rPr>
                <w:rFonts w:hint="eastAsia" w:ascii="宋体" w:hAnsi="宋体" w:cs="Times New Roman"/>
                <w:sz w:val="24"/>
                <w:szCs w:val="24"/>
              </w:rPr>
            </w:pPr>
            <w:r>
              <w:rPr>
                <w:rFonts w:hint="eastAsia" w:ascii="宋体" w:hAnsi="宋体" w:cs="Times New Roman"/>
                <w:sz w:val="24"/>
                <w:szCs w:val="24"/>
              </w:rPr>
              <w:t>1000元.次</w:t>
            </w:r>
          </w:p>
        </w:tc>
      </w:tr>
      <w:tr w14:paraId="71A9F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976" w:type="dxa"/>
            <w:noWrap w:val="0"/>
            <w:vAlign w:val="center"/>
          </w:tcPr>
          <w:p w14:paraId="5713D66E">
            <w:pPr>
              <w:keepNext w:val="0"/>
              <w:keepLines w:val="0"/>
              <w:suppressLineNumbers w:val="0"/>
              <w:spacing w:before="0" w:beforeAutospacing="0" w:after="0" w:afterAutospacing="0"/>
              <w:ind w:left="0" w:right="0"/>
              <w:jc w:val="center"/>
              <w:rPr>
                <w:rFonts w:hint="eastAsia" w:ascii="宋体" w:hAnsi="宋体" w:cs="Times New Roman"/>
                <w:sz w:val="24"/>
                <w:szCs w:val="24"/>
              </w:rPr>
            </w:pPr>
            <w:r>
              <w:rPr>
                <w:rFonts w:hint="eastAsia" w:ascii="宋体" w:hAnsi="宋体" w:cs="Times New Roman"/>
                <w:sz w:val="24"/>
                <w:szCs w:val="24"/>
              </w:rPr>
              <w:t>15</w:t>
            </w:r>
          </w:p>
        </w:tc>
        <w:tc>
          <w:tcPr>
            <w:tcW w:w="5400" w:type="dxa"/>
            <w:noWrap w:val="0"/>
            <w:vAlign w:val="center"/>
          </w:tcPr>
          <w:p w14:paraId="2C2E5200">
            <w:pPr>
              <w:keepNext w:val="0"/>
              <w:keepLines w:val="0"/>
              <w:suppressLineNumbers w:val="0"/>
              <w:spacing w:before="0" w:beforeAutospacing="0" w:after="0" w:afterAutospacing="0"/>
              <w:ind w:left="0" w:right="0"/>
              <w:rPr>
                <w:rFonts w:hint="eastAsia" w:ascii="宋体" w:hAnsi="宋体" w:cs="Times New Roman"/>
                <w:sz w:val="24"/>
                <w:szCs w:val="24"/>
              </w:rPr>
            </w:pPr>
            <w:r>
              <w:rPr>
                <w:rFonts w:hint="eastAsia" w:ascii="宋体" w:hAnsi="宋体" w:cs="Times New Roman"/>
                <w:sz w:val="24"/>
                <w:szCs w:val="24"/>
              </w:rPr>
              <w:t>未在指定区域吸烟的</w:t>
            </w:r>
          </w:p>
        </w:tc>
        <w:tc>
          <w:tcPr>
            <w:tcW w:w="1753" w:type="dxa"/>
            <w:noWrap w:val="0"/>
            <w:vAlign w:val="center"/>
          </w:tcPr>
          <w:p w14:paraId="21F472BE">
            <w:pPr>
              <w:keepNext w:val="0"/>
              <w:keepLines w:val="0"/>
              <w:suppressLineNumbers w:val="0"/>
              <w:spacing w:before="0" w:beforeAutospacing="0" w:after="0" w:afterAutospacing="0"/>
              <w:ind w:left="0" w:right="0"/>
              <w:jc w:val="center"/>
              <w:rPr>
                <w:rFonts w:hint="eastAsia" w:ascii="宋体" w:hAnsi="宋体" w:cs="Times New Roman"/>
                <w:sz w:val="24"/>
                <w:szCs w:val="24"/>
              </w:rPr>
            </w:pPr>
            <w:r>
              <w:rPr>
                <w:rFonts w:hint="eastAsia" w:ascii="宋体" w:hAnsi="宋体" w:cs="Times New Roman"/>
                <w:sz w:val="24"/>
                <w:szCs w:val="24"/>
              </w:rPr>
              <w:t>500元.人</w:t>
            </w:r>
          </w:p>
        </w:tc>
      </w:tr>
      <w:tr w14:paraId="678DB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976" w:type="dxa"/>
            <w:noWrap w:val="0"/>
            <w:vAlign w:val="center"/>
          </w:tcPr>
          <w:p w14:paraId="6C5A249F">
            <w:pPr>
              <w:keepNext w:val="0"/>
              <w:keepLines w:val="0"/>
              <w:suppressLineNumbers w:val="0"/>
              <w:spacing w:before="0" w:beforeAutospacing="0" w:after="0" w:afterAutospacing="0"/>
              <w:ind w:left="0" w:right="0"/>
              <w:jc w:val="center"/>
              <w:rPr>
                <w:rFonts w:hint="eastAsia" w:ascii="宋体" w:hAnsi="宋体" w:cs="Times New Roman"/>
                <w:sz w:val="24"/>
                <w:szCs w:val="24"/>
              </w:rPr>
            </w:pPr>
            <w:r>
              <w:rPr>
                <w:rFonts w:hint="eastAsia" w:ascii="宋体" w:hAnsi="宋体" w:cs="Times New Roman"/>
                <w:sz w:val="24"/>
                <w:szCs w:val="24"/>
              </w:rPr>
              <w:t>16</w:t>
            </w:r>
          </w:p>
        </w:tc>
        <w:tc>
          <w:tcPr>
            <w:tcW w:w="5400" w:type="dxa"/>
            <w:noWrap w:val="0"/>
            <w:vAlign w:val="center"/>
          </w:tcPr>
          <w:p w14:paraId="61F6275A">
            <w:pPr>
              <w:keepNext w:val="0"/>
              <w:keepLines w:val="0"/>
              <w:suppressLineNumbers w:val="0"/>
              <w:spacing w:before="0" w:beforeAutospacing="0" w:after="0" w:afterAutospacing="0"/>
              <w:ind w:left="0" w:right="0"/>
              <w:rPr>
                <w:rFonts w:hint="eastAsia" w:ascii="宋体" w:hAnsi="宋体" w:cs="Times New Roman"/>
                <w:sz w:val="24"/>
                <w:szCs w:val="24"/>
              </w:rPr>
            </w:pPr>
            <w:r>
              <w:rPr>
                <w:rFonts w:hint="eastAsia" w:ascii="宋体" w:hAnsi="宋体" w:cs="Times New Roman"/>
                <w:sz w:val="24"/>
                <w:szCs w:val="24"/>
              </w:rPr>
              <w:t>施工现场在条件满足情况下，无设置消防通道；消防通道不畅通；消防通道无明显指示及标识。</w:t>
            </w:r>
          </w:p>
        </w:tc>
        <w:tc>
          <w:tcPr>
            <w:tcW w:w="1753" w:type="dxa"/>
            <w:noWrap w:val="0"/>
            <w:vAlign w:val="center"/>
          </w:tcPr>
          <w:p w14:paraId="4071AB55">
            <w:pPr>
              <w:keepNext w:val="0"/>
              <w:keepLines w:val="0"/>
              <w:suppressLineNumbers w:val="0"/>
              <w:spacing w:before="0" w:beforeAutospacing="0" w:after="0" w:afterAutospacing="0"/>
              <w:ind w:left="0" w:right="0"/>
              <w:jc w:val="center"/>
              <w:rPr>
                <w:rFonts w:hint="eastAsia" w:ascii="宋体" w:hAnsi="宋体" w:cs="Times New Roman"/>
                <w:sz w:val="24"/>
                <w:szCs w:val="24"/>
              </w:rPr>
            </w:pPr>
            <w:r>
              <w:rPr>
                <w:rFonts w:hint="eastAsia" w:ascii="宋体" w:hAnsi="宋体" w:cs="Times New Roman"/>
                <w:sz w:val="24"/>
                <w:szCs w:val="24"/>
              </w:rPr>
              <w:t>1000元.次</w:t>
            </w:r>
          </w:p>
        </w:tc>
      </w:tr>
      <w:tr w14:paraId="40CBC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976" w:type="dxa"/>
            <w:noWrap w:val="0"/>
            <w:vAlign w:val="center"/>
          </w:tcPr>
          <w:p w14:paraId="7621D864">
            <w:pPr>
              <w:keepNext w:val="0"/>
              <w:keepLines w:val="0"/>
              <w:suppressLineNumbers w:val="0"/>
              <w:spacing w:before="0" w:beforeAutospacing="0" w:after="0" w:afterAutospacing="0"/>
              <w:ind w:left="0" w:right="0"/>
              <w:jc w:val="center"/>
              <w:rPr>
                <w:rFonts w:hint="eastAsia" w:ascii="宋体" w:hAnsi="宋体" w:cs="Times New Roman"/>
                <w:sz w:val="24"/>
                <w:szCs w:val="24"/>
              </w:rPr>
            </w:pPr>
            <w:r>
              <w:rPr>
                <w:rFonts w:hint="eastAsia" w:ascii="宋体" w:hAnsi="宋体" w:cs="Times New Roman"/>
                <w:sz w:val="24"/>
                <w:szCs w:val="24"/>
              </w:rPr>
              <w:t>17</w:t>
            </w:r>
          </w:p>
        </w:tc>
        <w:tc>
          <w:tcPr>
            <w:tcW w:w="5400" w:type="dxa"/>
            <w:noWrap w:val="0"/>
            <w:vAlign w:val="center"/>
          </w:tcPr>
          <w:p w14:paraId="51575DEA">
            <w:pPr>
              <w:keepNext w:val="0"/>
              <w:keepLines w:val="0"/>
              <w:suppressLineNumbers w:val="0"/>
              <w:spacing w:before="0" w:beforeAutospacing="0" w:after="0" w:afterAutospacing="0"/>
              <w:ind w:left="0" w:right="0"/>
              <w:rPr>
                <w:rFonts w:hint="eastAsia" w:ascii="宋体" w:hAnsi="宋体" w:cs="Times New Roman"/>
                <w:sz w:val="24"/>
                <w:szCs w:val="24"/>
              </w:rPr>
            </w:pPr>
            <w:r>
              <w:rPr>
                <w:rFonts w:hint="eastAsia" w:ascii="宋体" w:hAnsi="宋体" w:cs="Times New Roman"/>
                <w:sz w:val="24"/>
                <w:szCs w:val="24"/>
              </w:rPr>
              <w:t>易燃、易爆、剧毒等物品存放条件或使用不符合规范要求的</w:t>
            </w:r>
          </w:p>
        </w:tc>
        <w:tc>
          <w:tcPr>
            <w:tcW w:w="1753" w:type="dxa"/>
            <w:noWrap w:val="0"/>
            <w:vAlign w:val="center"/>
          </w:tcPr>
          <w:p w14:paraId="1141CA12">
            <w:pPr>
              <w:keepNext w:val="0"/>
              <w:keepLines w:val="0"/>
              <w:suppressLineNumbers w:val="0"/>
              <w:spacing w:before="0" w:beforeAutospacing="0" w:after="0" w:afterAutospacing="0"/>
              <w:ind w:left="0" w:right="0"/>
              <w:jc w:val="center"/>
              <w:rPr>
                <w:rFonts w:hint="eastAsia" w:ascii="宋体" w:hAnsi="宋体" w:cs="Times New Roman"/>
                <w:sz w:val="24"/>
                <w:szCs w:val="24"/>
              </w:rPr>
            </w:pPr>
            <w:r>
              <w:rPr>
                <w:rFonts w:hint="eastAsia" w:ascii="宋体" w:hAnsi="宋体" w:cs="Times New Roman"/>
                <w:sz w:val="24"/>
                <w:szCs w:val="24"/>
              </w:rPr>
              <w:t>1000元.次</w:t>
            </w:r>
          </w:p>
        </w:tc>
      </w:tr>
      <w:tr w14:paraId="5503F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blHeader/>
          <w:jc w:val="center"/>
        </w:trPr>
        <w:tc>
          <w:tcPr>
            <w:tcW w:w="976" w:type="dxa"/>
            <w:noWrap w:val="0"/>
            <w:vAlign w:val="center"/>
          </w:tcPr>
          <w:p w14:paraId="1B153C2E">
            <w:pPr>
              <w:keepNext w:val="0"/>
              <w:keepLines w:val="0"/>
              <w:suppressLineNumbers w:val="0"/>
              <w:spacing w:before="0" w:beforeAutospacing="0" w:after="0" w:afterAutospacing="0"/>
              <w:ind w:left="0" w:right="0"/>
              <w:jc w:val="center"/>
              <w:rPr>
                <w:rFonts w:hint="eastAsia" w:ascii="宋体" w:hAnsi="宋体" w:cs="Times New Roman"/>
                <w:sz w:val="24"/>
                <w:szCs w:val="24"/>
              </w:rPr>
            </w:pPr>
            <w:r>
              <w:rPr>
                <w:rFonts w:hint="eastAsia" w:ascii="宋体" w:hAnsi="宋体" w:cs="Times New Roman"/>
                <w:sz w:val="24"/>
                <w:szCs w:val="24"/>
              </w:rPr>
              <w:t>18</w:t>
            </w:r>
          </w:p>
        </w:tc>
        <w:tc>
          <w:tcPr>
            <w:tcW w:w="5400" w:type="dxa"/>
            <w:noWrap w:val="0"/>
            <w:vAlign w:val="center"/>
          </w:tcPr>
          <w:p w14:paraId="4B4EB09D">
            <w:pPr>
              <w:keepNext w:val="0"/>
              <w:keepLines w:val="0"/>
              <w:suppressLineNumbers w:val="0"/>
              <w:spacing w:before="0" w:beforeAutospacing="0" w:after="0" w:afterAutospacing="0"/>
              <w:ind w:left="0" w:right="0"/>
              <w:rPr>
                <w:rFonts w:hint="eastAsia" w:ascii="宋体" w:hAnsi="宋体" w:cs="Times New Roman"/>
                <w:sz w:val="24"/>
                <w:szCs w:val="24"/>
              </w:rPr>
            </w:pPr>
            <w:r>
              <w:rPr>
                <w:rFonts w:hint="eastAsia" w:ascii="宋体" w:hAnsi="宋体" w:cs="Times New Roman"/>
                <w:sz w:val="24"/>
                <w:szCs w:val="24"/>
              </w:rPr>
              <w:t>有防火等级要求的材料未按要求使用的</w:t>
            </w:r>
          </w:p>
        </w:tc>
        <w:tc>
          <w:tcPr>
            <w:tcW w:w="1753" w:type="dxa"/>
            <w:noWrap w:val="0"/>
            <w:vAlign w:val="center"/>
          </w:tcPr>
          <w:p w14:paraId="00E28857">
            <w:pPr>
              <w:keepNext w:val="0"/>
              <w:keepLines w:val="0"/>
              <w:suppressLineNumbers w:val="0"/>
              <w:spacing w:before="0" w:beforeAutospacing="0" w:after="0" w:afterAutospacing="0"/>
              <w:ind w:left="0" w:right="0"/>
              <w:jc w:val="center"/>
              <w:rPr>
                <w:rFonts w:hint="eastAsia" w:ascii="宋体" w:hAnsi="宋体" w:cs="Times New Roman"/>
                <w:sz w:val="24"/>
                <w:szCs w:val="24"/>
              </w:rPr>
            </w:pPr>
            <w:r>
              <w:rPr>
                <w:rFonts w:hint="eastAsia" w:ascii="宋体" w:hAnsi="宋体" w:cs="Times New Roman"/>
                <w:sz w:val="24"/>
                <w:szCs w:val="24"/>
              </w:rPr>
              <w:t>2000元.次</w:t>
            </w:r>
          </w:p>
        </w:tc>
      </w:tr>
      <w:tr w14:paraId="2AFFC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976" w:type="dxa"/>
            <w:noWrap w:val="0"/>
            <w:vAlign w:val="center"/>
          </w:tcPr>
          <w:p w14:paraId="41740013">
            <w:pPr>
              <w:keepNext w:val="0"/>
              <w:keepLines w:val="0"/>
              <w:suppressLineNumbers w:val="0"/>
              <w:spacing w:before="0" w:beforeAutospacing="0" w:after="0" w:afterAutospacing="0"/>
              <w:ind w:left="0" w:right="0"/>
              <w:jc w:val="center"/>
              <w:rPr>
                <w:rFonts w:hint="eastAsia" w:ascii="宋体" w:hAnsi="宋体" w:cs="Times New Roman"/>
                <w:sz w:val="24"/>
                <w:szCs w:val="24"/>
              </w:rPr>
            </w:pPr>
            <w:r>
              <w:rPr>
                <w:rFonts w:hint="eastAsia" w:ascii="宋体" w:hAnsi="宋体" w:cs="Times New Roman"/>
                <w:sz w:val="24"/>
                <w:szCs w:val="24"/>
              </w:rPr>
              <w:t>19</w:t>
            </w:r>
          </w:p>
        </w:tc>
        <w:tc>
          <w:tcPr>
            <w:tcW w:w="5400" w:type="dxa"/>
            <w:noWrap w:val="0"/>
            <w:vAlign w:val="center"/>
          </w:tcPr>
          <w:p w14:paraId="49DCE5C5">
            <w:pPr>
              <w:keepNext w:val="0"/>
              <w:keepLines w:val="0"/>
              <w:suppressLineNumbers w:val="0"/>
              <w:spacing w:before="0" w:beforeAutospacing="0" w:after="0" w:afterAutospacing="0"/>
              <w:ind w:left="0" w:right="0"/>
              <w:rPr>
                <w:rFonts w:hint="eastAsia" w:ascii="宋体" w:hAnsi="宋体" w:cs="Times New Roman"/>
                <w:sz w:val="24"/>
                <w:szCs w:val="24"/>
              </w:rPr>
            </w:pPr>
            <w:r>
              <w:rPr>
                <w:rFonts w:hint="eastAsia" w:ascii="宋体" w:hAnsi="宋体" w:cs="Times New Roman"/>
                <w:sz w:val="24"/>
                <w:szCs w:val="24"/>
              </w:rPr>
              <w:t>气瓶使用时，减压阀、回火阀等相关配置不齐全或损坏，使用时气瓶间距小于5米，距明火小于10米又无间隔措施的</w:t>
            </w:r>
          </w:p>
        </w:tc>
        <w:tc>
          <w:tcPr>
            <w:tcW w:w="1753" w:type="dxa"/>
            <w:noWrap w:val="0"/>
            <w:vAlign w:val="center"/>
          </w:tcPr>
          <w:p w14:paraId="55EEE16D">
            <w:pPr>
              <w:keepNext w:val="0"/>
              <w:keepLines w:val="0"/>
              <w:suppressLineNumbers w:val="0"/>
              <w:spacing w:before="0" w:beforeAutospacing="0" w:after="0" w:afterAutospacing="0"/>
              <w:ind w:left="0" w:right="0"/>
              <w:jc w:val="center"/>
              <w:rPr>
                <w:rFonts w:hint="eastAsia" w:ascii="宋体" w:hAnsi="宋体" w:cs="Times New Roman"/>
                <w:sz w:val="24"/>
                <w:szCs w:val="24"/>
              </w:rPr>
            </w:pPr>
            <w:r>
              <w:rPr>
                <w:rFonts w:hint="eastAsia" w:ascii="宋体" w:hAnsi="宋体" w:cs="Times New Roman"/>
                <w:sz w:val="24"/>
                <w:szCs w:val="24"/>
              </w:rPr>
              <w:t>500元.次</w:t>
            </w:r>
          </w:p>
        </w:tc>
      </w:tr>
      <w:tr w14:paraId="68213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976" w:type="dxa"/>
            <w:noWrap w:val="0"/>
            <w:vAlign w:val="center"/>
          </w:tcPr>
          <w:p w14:paraId="705F8499">
            <w:pPr>
              <w:keepNext w:val="0"/>
              <w:keepLines w:val="0"/>
              <w:suppressLineNumbers w:val="0"/>
              <w:spacing w:before="0" w:beforeAutospacing="0" w:after="0" w:afterAutospacing="0"/>
              <w:ind w:left="0" w:right="0"/>
              <w:jc w:val="center"/>
              <w:rPr>
                <w:rFonts w:hint="eastAsia" w:ascii="宋体" w:hAnsi="宋体" w:cs="Times New Roman"/>
                <w:sz w:val="24"/>
                <w:szCs w:val="24"/>
              </w:rPr>
            </w:pPr>
            <w:r>
              <w:rPr>
                <w:rFonts w:hint="eastAsia" w:ascii="宋体" w:hAnsi="宋体" w:cs="Times New Roman"/>
                <w:sz w:val="24"/>
                <w:szCs w:val="24"/>
              </w:rPr>
              <w:t>20</w:t>
            </w:r>
          </w:p>
        </w:tc>
        <w:tc>
          <w:tcPr>
            <w:tcW w:w="5400" w:type="dxa"/>
            <w:noWrap w:val="0"/>
            <w:vAlign w:val="center"/>
          </w:tcPr>
          <w:p w14:paraId="66CE47A9">
            <w:pPr>
              <w:keepNext w:val="0"/>
              <w:keepLines w:val="0"/>
              <w:suppressLineNumbers w:val="0"/>
              <w:spacing w:before="0" w:beforeAutospacing="0" w:after="0" w:afterAutospacing="0"/>
              <w:ind w:left="0" w:right="0"/>
              <w:rPr>
                <w:rFonts w:hint="eastAsia" w:ascii="宋体" w:hAnsi="宋体" w:cs="Times New Roman"/>
                <w:sz w:val="24"/>
                <w:szCs w:val="24"/>
              </w:rPr>
            </w:pPr>
            <w:r>
              <w:rPr>
                <w:rFonts w:hint="eastAsia" w:ascii="宋体" w:hAnsi="宋体" w:cs="Times New Roman"/>
                <w:sz w:val="24"/>
                <w:szCs w:val="24"/>
              </w:rPr>
              <w:t>脚手架护栏或安全网缺失的</w:t>
            </w:r>
          </w:p>
        </w:tc>
        <w:tc>
          <w:tcPr>
            <w:tcW w:w="1753" w:type="dxa"/>
            <w:noWrap w:val="0"/>
            <w:vAlign w:val="center"/>
          </w:tcPr>
          <w:p w14:paraId="111EFA9E">
            <w:pPr>
              <w:keepNext w:val="0"/>
              <w:keepLines w:val="0"/>
              <w:suppressLineNumbers w:val="0"/>
              <w:spacing w:before="0" w:beforeAutospacing="0" w:after="0" w:afterAutospacing="0"/>
              <w:ind w:left="0" w:right="0"/>
              <w:jc w:val="center"/>
              <w:rPr>
                <w:rFonts w:hint="eastAsia" w:ascii="宋体" w:hAnsi="宋体" w:cs="Times New Roman"/>
                <w:sz w:val="24"/>
                <w:szCs w:val="24"/>
              </w:rPr>
            </w:pPr>
            <w:r>
              <w:rPr>
                <w:rFonts w:hint="eastAsia" w:ascii="宋体" w:hAnsi="宋体" w:cs="Times New Roman"/>
                <w:sz w:val="24"/>
                <w:szCs w:val="24"/>
              </w:rPr>
              <w:t>500元.处</w:t>
            </w:r>
          </w:p>
        </w:tc>
      </w:tr>
      <w:tr w14:paraId="5D33C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976" w:type="dxa"/>
            <w:noWrap w:val="0"/>
            <w:vAlign w:val="center"/>
          </w:tcPr>
          <w:p w14:paraId="02C793E8">
            <w:pPr>
              <w:keepNext w:val="0"/>
              <w:keepLines w:val="0"/>
              <w:suppressLineNumbers w:val="0"/>
              <w:spacing w:before="0" w:beforeAutospacing="0" w:after="0" w:afterAutospacing="0"/>
              <w:ind w:left="0" w:right="0"/>
              <w:jc w:val="center"/>
              <w:rPr>
                <w:rFonts w:hint="eastAsia" w:ascii="宋体" w:hAnsi="宋体" w:cs="Times New Roman"/>
                <w:sz w:val="24"/>
                <w:szCs w:val="24"/>
              </w:rPr>
            </w:pPr>
            <w:r>
              <w:rPr>
                <w:rFonts w:hint="eastAsia" w:ascii="宋体" w:hAnsi="宋体" w:cs="Times New Roman"/>
                <w:sz w:val="24"/>
                <w:szCs w:val="24"/>
              </w:rPr>
              <w:t>21</w:t>
            </w:r>
          </w:p>
        </w:tc>
        <w:tc>
          <w:tcPr>
            <w:tcW w:w="5400" w:type="dxa"/>
            <w:noWrap w:val="0"/>
            <w:vAlign w:val="center"/>
          </w:tcPr>
          <w:p w14:paraId="6B9414F9">
            <w:pPr>
              <w:keepNext w:val="0"/>
              <w:keepLines w:val="0"/>
              <w:suppressLineNumbers w:val="0"/>
              <w:spacing w:before="0" w:beforeAutospacing="0" w:after="0" w:afterAutospacing="0"/>
              <w:ind w:left="0" w:right="0"/>
              <w:rPr>
                <w:rFonts w:hint="default" w:ascii="宋体" w:hAnsi="宋体" w:eastAsia="宋体" w:cs="Times New Roman"/>
                <w:sz w:val="24"/>
                <w:szCs w:val="24"/>
                <w:lang w:val="en-US" w:eastAsia="zh-CN"/>
              </w:rPr>
            </w:pPr>
            <w:r>
              <w:rPr>
                <w:rFonts w:hint="eastAsia" w:ascii="宋体" w:hAnsi="宋体" w:cs="Times New Roman"/>
                <w:sz w:val="24"/>
                <w:szCs w:val="24"/>
                <w:lang w:val="en-US" w:eastAsia="zh-CN"/>
              </w:rPr>
              <w:t>作业未按规定正确佩戴安全防护用品的</w:t>
            </w:r>
          </w:p>
        </w:tc>
        <w:tc>
          <w:tcPr>
            <w:tcW w:w="1753" w:type="dxa"/>
            <w:noWrap w:val="0"/>
            <w:vAlign w:val="center"/>
          </w:tcPr>
          <w:p w14:paraId="321A07BB">
            <w:pPr>
              <w:keepNext w:val="0"/>
              <w:keepLines w:val="0"/>
              <w:suppressLineNumbers w:val="0"/>
              <w:spacing w:before="0" w:beforeAutospacing="0" w:after="0" w:afterAutospacing="0"/>
              <w:ind w:left="0" w:right="0"/>
              <w:jc w:val="center"/>
              <w:rPr>
                <w:rFonts w:hint="eastAsia" w:ascii="宋体" w:hAnsi="宋体" w:eastAsia="宋体" w:cs="Times New Roman"/>
                <w:sz w:val="24"/>
                <w:szCs w:val="24"/>
                <w:lang w:val="en-US" w:eastAsia="zh-CN"/>
              </w:rPr>
            </w:pPr>
            <w:r>
              <w:rPr>
                <w:rFonts w:hint="eastAsia" w:ascii="宋体" w:hAnsi="宋体" w:cs="Times New Roman"/>
                <w:sz w:val="24"/>
                <w:szCs w:val="24"/>
              </w:rPr>
              <w:t>500元.</w:t>
            </w:r>
            <w:r>
              <w:rPr>
                <w:rFonts w:hint="eastAsia" w:ascii="宋体" w:hAnsi="宋体" w:cs="Times New Roman"/>
                <w:sz w:val="24"/>
                <w:szCs w:val="24"/>
                <w:lang w:val="en-US" w:eastAsia="zh-CN"/>
              </w:rPr>
              <w:t>次</w:t>
            </w:r>
          </w:p>
        </w:tc>
      </w:tr>
      <w:tr w14:paraId="3CB7E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976" w:type="dxa"/>
            <w:noWrap w:val="0"/>
            <w:vAlign w:val="center"/>
          </w:tcPr>
          <w:p w14:paraId="724E5BFE">
            <w:pPr>
              <w:keepNext w:val="0"/>
              <w:keepLines w:val="0"/>
              <w:suppressLineNumbers w:val="0"/>
              <w:spacing w:before="0" w:beforeAutospacing="0" w:after="0" w:afterAutospacing="0"/>
              <w:ind w:left="0" w:right="0"/>
              <w:jc w:val="center"/>
              <w:rPr>
                <w:rFonts w:hint="eastAsia" w:ascii="宋体" w:hAnsi="宋体" w:cs="Times New Roman"/>
                <w:sz w:val="24"/>
                <w:szCs w:val="24"/>
              </w:rPr>
            </w:pPr>
            <w:r>
              <w:rPr>
                <w:rFonts w:hint="eastAsia" w:ascii="宋体" w:hAnsi="宋体" w:cs="Times New Roman"/>
                <w:sz w:val="24"/>
                <w:szCs w:val="24"/>
              </w:rPr>
              <w:t>22</w:t>
            </w:r>
          </w:p>
        </w:tc>
        <w:tc>
          <w:tcPr>
            <w:tcW w:w="5400" w:type="dxa"/>
            <w:noWrap w:val="0"/>
            <w:vAlign w:val="center"/>
          </w:tcPr>
          <w:p w14:paraId="63F8C693">
            <w:pPr>
              <w:keepNext w:val="0"/>
              <w:keepLines w:val="0"/>
              <w:suppressLineNumbers w:val="0"/>
              <w:spacing w:before="0" w:beforeAutospacing="0" w:after="0" w:afterAutospacing="0"/>
              <w:ind w:left="0" w:right="0"/>
              <w:rPr>
                <w:rFonts w:hint="eastAsia" w:ascii="宋体" w:hAnsi="宋体" w:cs="Times New Roman"/>
                <w:sz w:val="24"/>
                <w:szCs w:val="24"/>
              </w:rPr>
            </w:pPr>
            <w:r>
              <w:rPr>
                <w:rFonts w:hint="eastAsia" w:ascii="宋体" w:hAnsi="宋体" w:cs="Times New Roman"/>
                <w:sz w:val="24"/>
                <w:szCs w:val="24"/>
              </w:rPr>
              <w:t>脚手架未按已批方案搭设的</w:t>
            </w:r>
          </w:p>
        </w:tc>
        <w:tc>
          <w:tcPr>
            <w:tcW w:w="1753" w:type="dxa"/>
            <w:noWrap w:val="0"/>
            <w:vAlign w:val="center"/>
          </w:tcPr>
          <w:p w14:paraId="4F41B00C">
            <w:pPr>
              <w:keepNext w:val="0"/>
              <w:keepLines w:val="0"/>
              <w:suppressLineNumbers w:val="0"/>
              <w:spacing w:before="0" w:beforeAutospacing="0" w:after="0" w:afterAutospacing="0"/>
              <w:ind w:left="0" w:right="0"/>
              <w:jc w:val="center"/>
              <w:rPr>
                <w:rFonts w:hint="eastAsia" w:ascii="宋体" w:hAnsi="宋体" w:cs="Times New Roman"/>
                <w:sz w:val="24"/>
                <w:szCs w:val="24"/>
              </w:rPr>
            </w:pPr>
            <w:r>
              <w:rPr>
                <w:rFonts w:hint="eastAsia" w:ascii="宋体" w:hAnsi="宋体" w:cs="Times New Roman"/>
                <w:sz w:val="24"/>
                <w:szCs w:val="24"/>
              </w:rPr>
              <w:t>10000元.次</w:t>
            </w:r>
          </w:p>
        </w:tc>
      </w:tr>
      <w:tr w14:paraId="1509F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976" w:type="dxa"/>
            <w:noWrap w:val="0"/>
            <w:vAlign w:val="center"/>
          </w:tcPr>
          <w:p w14:paraId="6A11FB78">
            <w:pPr>
              <w:keepNext w:val="0"/>
              <w:keepLines w:val="0"/>
              <w:suppressLineNumbers w:val="0"/>
              <w:spacing w:before="0" w:beforeAutospacing="0" w:after="0" w:afterAutospacing="0"/>
              <w:ind w:left="0" w:right="0"/>
              <w:jc w:val="center"/>
              <w:rPr>
                <w:rFonts w:hint="eastAsia" w:ascii="宋体" w:hAnsi="宋体" w:cs="Times New Roman"/>
                <w:sz w:val="24"/>
                <w:szCs w:val="24"/>
              </w:rPr>
            </w:pPr>
            <w:r>
              <w:rPr>
                <w:rFonts w:hint="eastAsia" w:ascii="宋体" w:hAnsi="宋体" w:cs="Times New Roman"/>
                <w:sz w:val="24"/>
                <w:szCs w:val="24"/>
              </w:rPr>
              <w:t>23</w:t>
            </w:r>
          </w:p>
        </w:tc>
        <w:tc>
          <w:tcPr>
            <w:tcW w:w="5400" w:type="dxa"/>
            <w:noWrap w:val="0"/>
            <w:vAlign w:val="center"/>
          </w:tcPr>
          <w:p w14:paraId="07D54E77">
            <w:pPr>
              <w:keepNext w:val="0"/>
              <w:keepLines w:val="0"/>
              <w:suppressLineNumbers w:val="0"/>
              <w:spacing w:before="0" w:beforeAutospacing="0" w:after="0" w:afterAutospacing="0"/>
              <w:ind w:left="0" w:right="0"/>
              <w:rPr>
                <w:rFonts w:hint="eastAsia" w:ascii="宋体" w:hAnsi="宋体" w:cs="Times New Roman"/>
                <w:sz w:val="24"/>
                <w:szCs w:val="24"/>
              </w:rPr>
            </w:pPr>
            <w:r>
              <w:rPr>
                <w:rFonts w:hint="eastAsia" w:ascii="宋体" w:hAnsi="宋体" w:cs="Times New Roman"/>
                <w:sz w:val="24"/>
                <w:szCs w:val="24"/>
              </w:rPr>
              <w:t>脚手架通道乱堆放杂物的</w:t>
            </w:r>
          </w:p>
        </w:tc>
        <w:tc>
          <w:tcPr>
            <w:tcW w:w="1753" w:type="dxa"/>
            <w:noWrap w:val="0"/>
            <w:vAlign w:val="center"/>
          </w:tcPr>
          <w:p w14:paraId="27643E89">
            <w:pPr>
              <w:keepNext w:val="0"/>
              <w:keepLines w:val="0"/>
              <w:suppressLineNumbers w:val="0"/>
              <w:spacing w:before="0" w:beforeAutospacing="0" w:after="0" w:afterAutospacing="0"/>
              <w:ind w:left="0" w:right="0"/>
              <w:jc w:val="center"/>
              <w:rPr>
                <w:rFonts w:hint="eastAsia" w:ascii="宋体" w:hAnsi="宋体" w:cs="Times New Roman"/>
                <w:sz w:val="24"/>
                <w:szCs w:val="24"/>
              </w:rPr>
            </w:pPr>
            <w:r>
              <w:rPr>
                <w:rFonts w:hint="eastAsia" w:ascii="宋体" w:hAnsi="宋体" w:cs="Times New Roman"/>
                <w:sz w:val="24"/>
                <w:szCs w:val="24"/>
              </w:rPr>
              <w:t>500元.处</w:t>
            </w:r>
          </w:p>
        </w:tc>
      </w:tr>
      <w:tr w14:paraId="706C1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976" w:type="dxa"/>
            <w:noWrap w:val="0"/>
            <w:vAlign w:val="center"/>
          </w:tcPr>
          <w:p w14:paraId="77BA7A1F">
            <w:pPr>
              <w:keepNext w:val="0"/>
              <w:keepLines w:val="0"/>
              <w:suppressLineNumbers w:val="0"/>
              <w:spacing w:before="0" w:beforeAutospacing="0" w:after="0" w:afterAutospacing="0"/>
              <w:ind w:left="0" w:right="0"/>
              <w:jc w:val="center"/>
              <w:rPr>
                <w:rFonts w:hint="eastAsia" w:ascii="宋体" w:hAnsi="宋体" w:cs="Times New Roman"/>
                <w:sz w:val="24"/>
                <w:szCs w:val="24"/>
              </w:rPr>
            </w:pPr>
            <w:r>
              <w:rPr>
                <w:rFonts w:hint="eastAsia" w:ascii="宋体" w:hAnsi="宋体" w:cs="Times New Roman"/>
                <w:sz w:val="24"/>
                <w:szCs w:val="24"/>
              </w:rPr>
              <w:t>24</w:t>
            </w:r>
          </w:p>
        </w:tc>
        <w:tc>
          <w:tcPr>
            <w:tcW w:w="5400" w:type="dxa"/>
            <w:noWrap w:val="0"/>
            <w:vAlign w:val="center"/>
          </w:tcPr>
          <w:p w14:paraId="08214582">
            <w:pPr>
              <w:keepNext w:val="0"/>
              <w:keepLines w:val="0"/>
              <w:suppressLineNumbers w:val="0"/>
              <w:spacing w:before="0" w:beforeAutospacing="0" w:after="0" w:afterAutospacing="0"/>
              <w:ind w:left="0" w:right="0"/>
              <w:rPr>
                <w:rFonts w:hint="eastAsia" w:ascii="宋体" w:hAnsi="宋体" w:cs="Times New Roman"/>
                <w:sz w:val="24"/>
                <w:szCs w:val="24"/>
              </w:rPr>
            </w:pPr>
            <w:r>
              <w:rPr>
                <w:rFonts w:hint="eastAsia" w:ascii="宋体" w:hAnsi="宋体" w:cs="Times New Roman"/>
                <w:sz w:val="24"/>
                <w:szCs w:val="24"/>
              </w:rPr>
              <w:t>卸料平台超载使用的</w:t>
            </w:r>
          </w:p>
        </w:tc>
        <w:tc>
          <w:tcPr>
            <w:tcW w:w="1753" w:type="dxa"/>
            <w:noWrap w:val="0"/>
            <w:vAlign w:val="center"/>
          </w:tcPr>
          <w:p w14:paraId="2EC4EFE1">
            <w:pPr>
              <w:keepNext w:val="0"/>
              <w:keepLines w:val="0"/>
              <w:suppressLineNumbers w:val="0"/>
              <w:spacing w:before="0" w:beforeAutospacing="0" w:after="0" w:afterAutospacing="0"/>
              <w:ind w:left="0" w:right="0"/>
              <w:jc w:val="center"/>
              <w:rPr>
                <w:rFonts w:hint="eastAsia" w:ascii="宋体" w:hAnsi="宋体" w:cs="Times New Roman"/>
                <w:sz w:val="24"/>
                <w:szCs w:val="24"/>
              </w:rPr>
            </w:pPr>
            <w:r>
              <w:rPr>
                <w:rFonts w:hint="eastAsia" w:ascii="宋体" w:hAnsi="宋体" w:cs="Times New Roman"/>
                <w:sz w:val="24"/>
                <w:szCs w:val="24"/>
              </w:rPr>
              <w:t>10000元.处</w:t>
            </w:r>
          </w:p>
        </w:tc>
      </w:tr>
      <w:tr w14:paraId="56E07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976" w:type="dxa"/>
            <w:noWrap w:val="0"/>
            <w:vAlign w:val="center"/>
          </w:tcPr>
          <w:p w14:paraId="1FF73A7D">
            <w:pPr>
              <w:keepNext w:val="0"/>
              <w:keepLines w:val="0"/>
              <w:suppressLineNumbers w:val="0"/>
              <w:spacing w:before="0" w:beforeAutospacing="0" w:after="0" w:afterAutospacing="0"/>
              <w:ind w:left="0" w:right="0"/>
              <w:jc w:val="center"/>
              <w:rPr>
                <w:rFonts w:hint="eastAsia" w:ascii="宋体" w:hAnsi="宋体" w:cs="Times New Roman"/>
                <w:sz w:val="24"/>
                <w:szCs w:val="24"/>
              </w:rPr>
            </w:pPr>
            <w:r>
              <w:rPr>
                <w:rFonts w:hint="eastAsia" w:ascii="宋体" w:hAnsi="宋体" w:cs="Times New Roman"/>
                <w:sz w:val="24"/>
                <w:szCs w:val="24"/>
              </w:rPr>
              <w:t>25</w:t>
            </w:r>
          </w:p>
        </w:tc>
        <w:tc>
          <w:tcPr>
            <w:tcW w:w="5400" w:type="dxa"/>
            <w:noWrap w:val="0"/>
            <w:vAlign w:val="center"/>
          </w:tcPr>
          <w:p w14:paraId="3F85C36D">
            <w:pPr>
              <w:keepNext w:val="0"/>
              <w:keepLines w:val="0"/>
              <w:suppressLineNumbers w:val="0"/>
              <w:spacing w:before="0" w:beforeAutospacing="0" w:after="0" w:afterAutospacing="0"/>
              <w:ind w:left="0" w:right="0"/>
              <w:rPr>
                <w:rFonts w:hint="eastAsia" w:ascii="宋体" w:hAnsi="宋体" w:cs="Times New Roman"/>
                <w:sz w:val="24"/>
                <w:szCs w:val="24"/>
              </w:rPr>
            </w:pPr>
            <w:r>
              <w:rPr>
                <w:rFonts w:hint="eastAsia" w:ascii="宋体" w:hAnsi="宋体" w:cs="Times New Roman"/>
                <w:sz w:val="24"/>
                <w:szCs w:val="24"/>
              </w:rPr>
              <w:t>“四口、五临边”的安全防护，每缺一处的。</w:t>
            </w:r>
          </w:p>
        </w:tc>
        <w:tc>
          <w:tcPr>
            <w:tcW w:w="1753" w:type="dxa"/>
            <w:noWrap w:val="0"/>
            <w:vAlign w:val="center"/>
          </w:tcPr>
          <w:p w14:paraId="78A871BB">
            <w:pPr>
              <w:keepNext w:val="0"/>
              <w:keepLines w:val="0"/>
              <w:suppressLineNumbers w:val="0"/>
              <w:spacing w:before="0" w:beforeAutospacing="0" w:after="0" w:afterAutospacing="0"/>
              <w:ind w:left="0" w:right="0"/>
              <w:jc w:val="center"/>
              <w:rPr>
                <w:rFonts w:hint="eastAsia" w:ascii="宋体" w:hAnsi="宋体" w:cs="Times New Roman"/>
                <w:sz w:val="24"/>
                <w:szCs w:val="24"/>
              </w:rPr>
            </w:pPr>
            <w:r>
              <w:rPr>
                <w:rFonts w:hint="eastAsia" w:ascii="宋体" w:hAnsi="宋体" w:cs="Times New Roman"/>
                <w:sz w:val="24"/>
                <w:szCs w:val="24"/>
              </w:rPr>
              <w:t>500元.处</w:t>
            </w:r>
          </w:p>
        </w:tc>
      </w:tr>
      <w:tr w14:paraId="556A8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976" w:type="dxa"/>
            <w:noWrap w:val="0"/>
            <w:vAlign w:val="center"/>
          </w:tcPr>
          <w:p w14:paraId="26DDA85D">
            <w:pPr>
              <w:keepNext w:val="0"/>
              <w:keepLines w:val="0"/>
              <w:suppressLineNumbers w:val="0"/>
              <w:spacing w:before="0" w:beforeAutospacing="0" w:after="0" w:afterAutospacing="0"/>
              <w:ind w:left="0" w:right="0"/>
              <w:jc w:val="center"/>
              <w:rPr>
                <w:rFonts w:hint="eastAsia" w:ascii="宋体" w:hAnsi="宋体" w:cs="Times New Roman"/>
                <w:sz w:val="24"/>
                <w:szCs w:val="24"/>
              </w:rPr>
            </w:pPr>
            <w:r>
              <w:rPr>
                <w:rFonts w:hint="eastAsia" w:ascii="宋体" w:hAnsi="宋体" w:cs="Times New Roman"/>
                <w:sz w:val="24"/>
                <w:szCs w:val="24"/>
              </w:rPr>
              <w:t>26</w:t>
            </w:r>
          </w:p>
        </w:tc>
        <w:tc>
          <w:tcPr>
            <w:tcW w:w="5400" w:type="dxa"/>
            <w:noWrap w:val="0"/>
            <w:vAlign w:val="center"/>
          </w:tcPr>
          <w:p w14:paraId="594AF5F2">
            <w:pPr>
              <w:keepNext w:val="0"/>
              <w:keepLines w:val="0"/>
              <w:suppressLineNumbers w:val="0"/>
              <w:spacing w:before="0" w:beforeAutospacing="0" w:after="0" w:afterAutospacing="0"/>
              <w:ind w:left="0" w:right="0"/>
              <w:rPr>
                <w:rFonts w:hint="eastAsia" w:ascii="宋体" w:hAnsi="宋体" w:cs="Times New Roman"/>
                <w:sz w:val="24"/>
                <w:szCs w:val="24"/>
              </w:rPr>
            </w:pPr>
            <w:r>
              <w:rPr>
                <w:rFonts w:hint="eastAsia" w:ascii="宋体" w:hAnsi="宋体" w:cs="Times New Roman"/>
                <w:sz w:val="24"/>
                <w:szCs w:val="24"/>
              </w:rPr>
              <w:t>违规使用或使用不合格的电动工具和工程机械的</w:t>
            </w:r>
          </w:p>
        </w:tc>
        <w:tc>
          <w:tcPr>
            <w:tcW w:w="1753" w:type="dxa"/>
            <w:noWrap w:val="0"/>
            <w:vAlign w:val="center"/>
          </w:tcPr>
          <w:p w14:paraId="1F7132BC">
            <w:pPr>
              <w:keepNext w:val="0"/>
              <w:keepLines w:val="0"/>
              <w:suppressLineNumbers w:val="0"/>
              <w:spacing w:before="0" w:beforeAutospacing="0" w:after="0" w:afterAutospacing="0"/>
              <w:ind w:left="0" w:right="0"/>
              <w:jc w:val="center"/>
              <w:rPr>
                <w:rFonts w:hint="eastAsia" w:ascii="宋体" w:hAnsi="宋体" w:cs="Times New Roman"/>
                <w:sz w:val="24"/>
                <w:szCs w:val="24"/>
              </w:rPr>
            </w:pPr>
            <w:r>
              <w:rPr>
                <w:rFonts w:hint="eastAsia" w:ascii="宋体" w:hAnsi="宋体" w:cs="Times New Roman"/>
                <w:sz w:val="24"/>
                <w:szCs w:val="24"/>
              </w:rPr>
              <w:t>2000元.次</w:t>
            </w:r>
          </w:p>
        </w:tc>
      </w:tr>
      <w:tr w14:paraId="05161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976" w:type="dxa"/>
            <w:noWrap w:val="0"/>
            <w:vAlign w:val="center"/>
          </w:tcPr>
          <w:p w14:paraId="32DBDB54">
            <w:pPr>
              <w:keepNext w:val="0"/>
              <w:keepLines w:val="0"/>
              <w:suppressLineNumbers w:val="0"/>
              <w:spacing w:before="0" w:beforeAutospacing="0" w:after="0" w:afterAutospacing="0"/>
              <w:ind w:left="0" w:right="0"/>
              <w:jc w:val="center"/>
              <w:rPr>
                <w:rFonts w:hint="eastAsia" w:ascii="宋体" w:hAnsi="宋体" w:cs="Times New Roman"/>
                <w:sz w:val="24"/>
                <w:szCs w:val="24"/>
              </w:rPr>
            </w:pPr>
            <w:r>
              <w:rPr>
                <w:rFonts w:hint="eastAsia" w:ascii="宋体" w:hAnsi="宋体" w:cs="Times New Roman"/>
                <w:sz w:val="24"/>
                <w:szCs w:val="24"/>
              </w:rPr>
              <w:t>27</w:t>
            </w:r>
          </w:p>
        </w:tc>
        <w:tc>
          <w:tcPr>
            <w:tcW w:w="5400" w:type="dxa"/>
            <w:noWrap w:val="0"/>
            <w:vAlign w:val="center"/>
          </w:tcPr>
          <w:p w14:paraId="16133124">
            <w:pPr>
              <w:keepNext w:val="0"/>
              <w:keepLines w:val="0"/>
              <w:suppressLineNumbers w:val="0"/>
              <w:spacing w:before="0" w:beforeAutospacing="0" w:after="0" w:afterAutospacing="0"/>
              <w:ind w:left="0" w:right="0"/>
              <w:rPr>
                <w:rFonts w:hint="eastAsia" w:ascii="宋体" w:hAnsi="宋体" w:cs="Times New Roman"/>
                <w:sz w:val="24"/>
                <w:szCs w:val="24"/>
              </w:rPr>
            </w:pPr>
            <w:r>
              <w:rPr>
                <w:rFonts w:hint="eastAsia" w:ascii="宋体" w:hAnsi="宋体" w:cs="Times New Roman"/>
                <w:sz w:val="24"/>
              </w:rPr>
              <w:t>施工用电未采用三相五线制，不符合“三级配电两级保护”要求，开关箱（末端）无漏电保护的或保护器失灵的</w:t>
            </w:r>
          </w:p>
        </w:tc>
        <w:tc>
          <w:tcPr>
            <w:tcW w:w="1753" w:type="dxa"/>
            <w:noWrap w:val="0"/>
            <w:vAlign w:val="center"/>
          </w:tcPr>
          <w:p w14:paraId="080CEE91">
            <w:pPr>
              <w:keepNext w:val="0"/>
              <w:keepLines w:val="0"/>
              <w:suppressLineNumbers w:val="0"/>
              <w:spacing w:before="0" w:beforeAutospacing="0" w:after="0" w:afterAutospacing="0"/>
              <w:ind w:left="0" w:right="0"/>
              <w:jc w:val="center"/>
              <w:rPr>
                <w:rFonts w:hint="eastAsia" w:ascii="宋体" w:hAnsi="宋体" w:cs="Times New Roman"/>
                <w:sz w:val="24"/>
                <w:szCs w:val="24"/>
              </w:rPr>
            </w:pPr>
            <w:r>
              <w:rPr>
                <w:rFonts w:hint="eastAsia" w:ascii="宋体" w:hAnsi="宋体" w:cs="Times New Roman"/>
                <w:sz w:val="24"/>
                <w:szCs w:val="24"/>
              </w:rPr>
              <w:t>2000元.处</w:t>
            </w:r>
          </w:p>
        </w:tc>
      </w:tr>
      <w:tr w14:paraId="15543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976" w:type="dxa"/>
            <w:noWrap w:val="0"/>
            <w:vAlign w:val="center"/>
          </w:tcPr>
          <w:p w14:paraId="649E7AF6">
            <w:pPr>
              <w:keepNext w:val="0"/>
              <w:keepLines w:val="0"/>
              <w:suppressLineNumbers w:val="0"/>
              <w:spacing w:before="0" w:beforeAutospacing="0" w:after="0" w:afterAutospacing="0"/>
              <w:ind w:left="0" w:right="0"/>
              <w:jc w:val="center"/>
              <w:rPr>
                <w:rFonts w:hint="eastAsia" w:ascii="宋体" w:hAnsi="宋体" w:cs="Times New Roman"/>
                <w:sz w:val="24"/>
                <w:szCs w:val="24"/>
              </w:rPr>
            </w:pPr>
            <w:r>
              <w:rPr>
                <w:rFonts w:hint="eastAsia" w:ascii="宋体" w:hAnsi="宋体" w:cs="Times New Roman"/>
                <w:sz w:val="24"/>
                <w:szCs w:val="24"/>
              </w:rPr>
              <w:t>28</w:t>
            </w:r>
          </w:p>
        </w:tc>
        <w:tc>
          <w:tcPr>
            <w:tcW w:w="5400" w:type="dxa"/>
            <w:noWrap w:val="0"/>
            <w:vAlign w:val="center"/>
          </w:tcPr>
          <w:p w14:paraId="2A887EB4">
            <w:pPr>
              <w:keepNext w:val="0"/>
              <w:keepLines w:val="0"/>
              <w:suppressLineNumbers w:val="0"/>
              <w:spacing w:before="0" w:beforeAutospacing="0" w:after="0" w:afterAutospacing="0" w:line="240" w:lineRule="auto"/>
              <w:ind w:left="0" w:right="0"/>
              <w:rPr>
                <w:rFonts w:hint="eastAsia" w:ascii="宋体" w:hAnsi="宋体" w:cs="Times New Roman"/>
                <w:sz w:val="24"/>
              </w:rPr>
            </w:pPr>
            <w:r>
              <w:rPr>
                <w:rFonts w:hint="eastAsia" w:ascii="宋体" w:hAnsi="宋体" w:cs="Times New Roman"/>
                <w:sz w:val="24"/>
              </w:rPr>
              <w:t>施工用电违反“一闸、一漏、一箱”的</w:t>
            </w:r>
          </w:p>
          <w:p w14:paraId="058C80F7">
            <w:pPr>
              <w:keepNext w:val="0"/>
              <w:keepLines w:val="0"/>
              <w:suppressLineNumbers w:val="0"/>
              <w:spacing w:before="0" w:beforeAutospacing="0" w:after="0" w:afterAutospacing="0"/>
              <w:ind w:left="0" w:right="0"/>
              <w:rPr>
                <w:rFonts w:hint="eastAsia" w:ascii="宋体" w:hAnsi="宋体" w:cs="Times New Roman"/>
                <w:sz w:val="24"/>
                <w:szCs w:val="24"/>
              </w:rPr>
            </w:pPr>
          </w:p>
        </w:tc>
        <w:tc>
          <w:tcPr>
            <w:tcW w:w="1753" w:type="dxa"/>
            <w:noWrap w:val="0"/>
            <w:vAlign w:val="center"/>
          </w:tcPr>
          <w:p w14:paraId="30DF1043">
            <w:pPr>
              <w:keepNext w:val="0"/>
              <w:keepLines w:val="0"/>
              <w:suppressLineNumbers w:val="0"/>
              <w:spacing w:before="0" w:beforeAutospacing="0" w:after="0" w:afterAutospacing="0"/>
              <w:ind w:left="0" w:right="0"/>
              <w:jc w:val="center"/>
              <w:rPr>
                <w:rFonts w:hint="eastAsia" w:ascii="宋体" w:hAnsi="宋体" w:cs="Times New Roman"/>
                <w:sz w:val="24"/>
                <w:szCs w:val="24"/>
              </w:rPr>
            </w:pPr>
            <w:r>
              <w:rPr>
                <w:rFonts w:hint="eastAsia" w:ascii="宋体" w:hAnsi="宋体" w:cs="Times New Roman"/>
                <w:sz w:val="24"/>
                <w:szCs w:val="24"/>
              </w:rPr>
              <w:t>500元.处</w:t>
            </w:r>
          </w:p>
        </w:tc>
      </w:tr>
      <w:tr w14:paraId="48D8C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976" w:type="dxa"/>
            <w:noWrap w:val="0"/>
            <w:vAlign w:val="center"/>
          </w:tcPr>
          <w:p w14:paraId="4EF0700B">
            <w:pPr>
              <w:keepNext w:val="0"/>
              <w:keepLines w:val="0"/>
              <w:suppressLineNumbers w:val="0"/>
              <w:spacing w:before="0" w:beforeAutospacing="0" w:after="0" w:afterAutospacing="0"/>
              <w:ind w:left="0" w:right="0"/>
              <w:jc w:val="center"/>
              <w:rPr>
                <w:rFonts w:hint="eastAsia" w:ascii="宋体" w:hAnsi="宋体" w:cs="Times New Roman"/>
                <w:sz w:val="24"/>
                <w:szCs w:val="24"/>
              </w:rPr>
            </w:pPr>
            <w:r>
              <w:rPr>
                <w:rFonts w:hint="eastAsia" w:ascii="宋体" w:hAnsi="宋体" w:cs="Times New Roman"/>
                <w:sz w:val="24"/>
                <w:szCs w:val="24"/>
              </w:rPr>
              <w:t>29</w:t>
            </w:r>
          </w:p>
        </w:tc>
        <w:tc>
          <w:tcPr>
            <w:tcW w:w="5400" w:type="dxa"/>
            <w:noWrap w:val="0"/>
            <w:vAlign w:val="center"/>
          </w:tcPr>
          <w:p w14:paraId="67772AEB">
            <w:pPr>
              <w:keepNext w:val="0"/>
              <w:keepLines w:val="0"/>
              <w:suppressLineNumbers w:val="0"/>
              <w:spacing w:before="0" w:beforeAutospacing="0" w:after="0" w:afterAutospacing="0" w:line="240" w:lineRule="auto"/>
              <w:ind w:left="0" w:right="0"/>
              <w:rPr>
                <w:rFonts w:hint="eastAsia" w:ascii="宋体" w:hAnsi="宋体" w:cs="Times New Roman"/>
                <w:sz w:val="24"/>
              </w:rPr>
            </w:pPr>
            <w:r>
              <w:rPr>
                <w:rFonts w:hint="eastAsia" w:ascii="宋体" w:hAnsi="宋体" w:cs="Times New Roman"/>
                <w:sz w:val="24"/>
              </w:rPr>
              <w:t>施工用电安装位置不当、周围杂物多等不便操作的</w:t>
            </w:r>
          </w:p>
          <w:p w14:paraId="1047817B">
            <w:pPr>
              <w:keepNext w:val="0"/>
              <w:keepLines w:val="0"/>
              <w:suppressLineNumbers w:val="0"/>
              <w:spacing w:before="0" w:beforeAutospacing="0" w:after="0" w:afterAutospacing="0"/>
              <w:ind w:left="0" w:right="0"/>
              <w:rPr>
                <w:rFonts w:hint="eastAsia" w:ascii="宋体" w:hAnsi="宋体" w:cs="Times New Roman"/>
                <w:sz w:val="24"/>
                <w:szCs w:val="24"/>
              </w:rPr>
            </w:pPr>
          </w:p>
        </w:tc>
        <w:tc>
          <w:tcPr>
            <w:tcW w:w="1753" w:type="dxa"/>
            <w:noWrap w:val="0"/>
            <w:vAlign w:val="center"/>
          </w:tcPr>
          <w:p w14:paraId="548902CE">
            <w:pPr>
              <w:keepNext w:val="0"/>
              <w:keepLines w:val="0"/>
              <w:suppressLineNumbers w:val="0"/>
              <w:spacing w:before="0" w:beforeAutospacing="0" w:after="0" w:afterAutospacing="0"/>
              <w:ind w:left="0" w:right="0"/>
              <w:jc w:val="center"/>
              <w:rPr>
                <w:rFonts w:hint="eastAsia" w:ascii="宋体" w:hAnsi="宋体" w:cs="Times New Roman"/>
                <w:sz w:val="24"/>
                <w:szCs w:val="24"/>
              </w:rPr>
            </w:pPr>
            <w:r>
              <w:rPr>
                <w:rFonts w:hint="eastAsia" w:ascii="宋体" w:hAnsi="宋体" w:cs="Times New Roman"/>
                <w:sz w:val="24"/>
                <w:szCs w:val="24"/>
              </w:rPr>
              <w:t>500元.处</w:t>
            </w:r>
          </w:p>
        </w:tc>
      </w:tr>
      <w:tr w14:paraId="32F87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976" w:type="dxa"/>
            <w:noWrap w:val="0"/>
            <w:vAlign w:val="center"/>
          </w:tcPr>
          <w:p w14:paraId="6B5E1916">
            <w:pPr>
              <w:keepNext w:val="0"/>
              <w:keepLines w:val="0"/>
              <w:suppressLineNumbers w:val="0"/>
              <w:spacing w:before="0" w:beforeAutospacing="0" w:after="0" w:afterAutospacing="0"/>
              <w:ind w:left="0" w:right="0"/>
              <w:jc w:val="center"/>
              <w:rPr>
                <w:rFonts w:hint="eastAsia" w:ascii="宋体" w:hAnsi="宋体" w:cs="Times New Roman"/>
                <w:sz w:val="24"/>
                <w:szCs w:val="24"/>
              </w:rPr>
            </w:pPr>
            <w:r>
              <w:rPr>
                <w:rFonts w:hint="eastAsia" w:ascii="宋体" w:hAnsi="宋体" w:cs="Times New Roman"/>
                <w:sz w:val="24"/>
                <w:szCs w:val="24"/>
              </w:rPr>
              <w:t>30</w:t>
            </w:r>
          </w:p>
        </w:tc>
        <w:tc>
          <w:tcPr>
            <w:tcW w:w="5400" w:type="dxa"/>
            <w:noWrap w:val="0"/>
            <w:vAlign w:val="center"/>
          </w:tcPr>
          <w:p w14:paraId="398C3389">
            <w:pPr>
              <w:keepNext w:val="0"/>
              <w:keepLines w:val="0"/>
              <w:suppressLineNumbers w:val="0"/>
              <w:spacing w:before="0" w:beforeAutospacing="0" w:after="0" w:afterAutospacing="0"/>
              <w:ind w:left="0" w:right="0"/>
              <w:rPr>
                <w:rFonts w:hint="eastAsia" w:ascii="宋体" w:hAnsi="宋体" w:cs="Times New Roman"/>
                <w:sz w:val="24"/>
                <w:szCs w:val="24"/>
              </w:rPr>
            </w:pPr>
            <w:r>
              <w:rPr>
                <w:rFonts w:hint="eastAsia" w:ascii="宋体" w:hAnsi="宋体" w:cs="Times New Roman"/>
                <w:sz w:val="24"/>
                <w:szCs w:val="24"/>
              </w:rPr>
              <w:t>施工用电临时电线架设不规范的</w:t>
            </w:r>
          </w:p>
        </w:tc>
        <w:tc>
          <w:tcPr>
            <w:tcW w:w="1753" w:type="dxa"/>
            <w:noWrap w:val="0"/>
            <w:vAlign w:val="center"/>
          </w:tcPr>
          <w:p w14:paraId="232A5A40">
            <w:pPr>
              <w:keepNext w:val="0"/>
              <w:keepLines w:val="0"/>
              <w:suppressLineNumbers w:val="0"/>
              <w:spacing w:before="0" w:beforeAutospacing="0" w:after="0" w:afterAutospacing="0"/>
              <w:ind w:left="0" w:right="0"/>
              <w:jc w:val="center"/>
              <w:rPr>
                <w:rFonts w:hint="eastAsia" w:ascii="宋体" w:hAnsi="宋体" w:cs="Times New Roman"/>
                <w:sz w:val="24"/>
                <w:szCs w:val="24"/>
              </w:rPr>
            </w:pPr>
            <w:r>
              <w:rPr>
                <w:rFonts w:hint="eastAsia" w:ascii="宋体" w:hAnsi="宋体" w:cs="Times New Roman"/>
                <w:sz w:val="24"/>
                <w:szCs w:val="24"/>
              </w:rPr>
              <w:t>500元.处</w:t>
            </w:r>
          </w:p>
        </w:tc>
      </w:tr>
      <w:tr w14:paraId="2E85C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976" w:type="dxa"/>
            <w:noWrap w:val="0"/>
            <w:vAlign w:val="center"/>
          </w:tcPr>
          <w:p w14:paraId="71DD37F2">
            <w:pPr>
              <w:keepNext w:val="0"/>
              <w:keepLines w:val="0"/>
              <w:suppressLineNumbers w:val="0"/>
              <w:spacing w:before="0" w:beforeAutospacing="0" w:after="0" w:afterAutospacing="0"/>
              <w:ind w:left="0" w:right="0"/>
              <w:jc w:val="center"/>
              <w:rPr>
                <w:rFonts w:hint="eastAsia" w:ascii="宋体" w:hAnsi="宋体" w:cs="Times New Roman"/>
                <w:sz w:val="24"/>
                <w:szCs w:val="24"/>
              </w:rPr>
            </w:pPr>
            <w:r>
              <w:rPr>
                <w:rFonts w:hint="eastAsia" w:ascii="宋体" w:hAnsi="宋体" w:cs="Times New Roman"/>
                <w:sz w:val="24"/>
                <w:szCs w:val="24"/>
              </w:rPr>
              <w:t>31</w:t>
            </w:r>
          </w:p>
        </w:tc>
        <w:tc>
          <w:tcPr>
            <w:tcW w:w="5400" w:type="dxa"/>
            <w:noWrap w:val="0"/>
            <w:vAlign w:val="center"/>
          </w:tcPr>
          <w:p w14:paraId="439F3BBF">
            <w:pPr>
              <w:keepNext w:val="0"/>
              <w:keepLines w:val="0"/>
              <w:suppressLineNumbers w:val="0"/>
              <w:spacing w:before="0" w:beforeAutospacing="0" w:after="0" w:afterAutospacing="0"/>
              <w:ind w:left="0" w:right="0"/>
              <w:rPr>
                <w:rFonts w:hint="eastAsia" w:ascii="宋体" w:hAnsi="宋体" w:cs="Times New Roman"/>
                <w:sz w:val="24"/>
                <w:szCs w:val="24"/>
              </w:rPr>
            </w:pPr>
            <w:r>
              <w:rPr>
                <w:rFonts w:hint="eastAsia" w:ascii="宋体" w:hAnsi="宋体" w:cs="Times New Roman"/>
                <w:sz w:val="24"/>
              </w:rPr>
              <w:t>电箱无门、无锁、无防雨措施的，</w:t>
            </w:r>
            <w:r>
              <w:rPr>
                <w:rFonts w:hint="eastAsia" w:ascii="宋体" w:hAnsi="宋体" w:cs="Times New Roman"/>
                <w:sz w:val="24"/>
                <w:szCs w:val="24"/>
              </w:rPr>
              <w:t xml:space="preserve"> </w:t>
            </w:r>
          </w:p>
        </w:tc>
        <w:tc>
          <w:tcPr>
            <w:tcW w:w="1753" w:type="dxa"/>
            <w:noWrap w:val="0"/>
            <w:vAlign w:val="center"/>
          </w:tcPr>
          <w:p w14:paraId="7CCBC4CA">
            <w:pPr>
              <w:keepNext w:val="0"/>
              <w:keepLines w:val="0"/>
              <w:suppressLineNumbers w:val="0"/>
              <w:spacing w:before="0" w:beforeAutospacing="0" w:after="0" w:afterAutospacing="0"/>
              <w:ind w:left="0" w:right="0"/>
              <w:jc w:val="center"/>
              <w:rPr>
                <w:rFonts w:hint="eastAsia" w:ascii="宋体" w:hAnsi="宋体" w:cs="Times New Roman"/>
                <w:sz w:val="24"/>
                <w:szCs w:val="24"/>
              </w:rPr>
            </w:pPr>
            <w:r>
              <w:rPr>
                <w:rFonts w:hint="eastAsia" w:ascii="宋体" w:hAnsi="宋体" w:cs="Times New Roman"/>
                <w:sz w:val="24"/>
                <w:szCs w:val="24"/>
              </w:rPr>
              <w:t>500元.处</w:t>
            </w:r>
          </w:p>
        </w:tc>
      </w:tr>
      <w:tr w14:paraId="4BFA4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976" w:type="dxa"/>
            <w:noWrap w:val="0"/>
            <w:vAlign w:val="center"/>
          </w:tcPr>
          <w:p w14:paraId="51EDA33E">
            <w:pPr>
              <w:keepNext w:val="0"/>
              <w:keepLines w:val="0"/>
              <w:suppressLineNumbers w:val="0"/>
              <w:spacing w:before="0" w:beforeAutospacing="0" w:after="0" w:afterAutospacing="0"/>
              <w:ind w:left="0" w:right="0"/>
              <w:jc w:val="center"/>
              <w:rPr>
                <w:rFonts w:hint="eastAsia" w:ascii="宋体" w:hAnsi="宋体" w:cs="Times New Roman"/>
                <w:sz w:val="24"/>
                <w:szCs w:val="24"/>
              </w:rPr>
            </w:pPr>
            <w:r>
              <w:rPr>
                <w:rFonts w:hint="eastAsia" w:ascii="宋体" w:hAnsi="宋体" w:cs="Times New Roman"/>
                <w:sz w:val="24"/>
                <w:szCs w:val="24"/>
              </w:rPr>
              <w:t>32</w:t>
            </w:r>
          </w:p>
        </w:tc>
        <w:tc>
          <w:tcPr>
            <w:tcW w:w="5400" w:type="dxa"/>
            <w:noWrap w:val="0"/>
            <w:vAlign w:val="center"/>
          </w:tcPr>
          <w:p w14:paraId="7527AAF4">
            <w:pPr>
              <w:keepNext w:val="0"/>
              <w:keepLines w:val="0"/>
              <w:suppressLineNumbers w:val="0"/>
              <w:spacing w:before="0" w:beforeAutospacing="0" w:after="0" w:afterAutospacing="0" w:line="240" w:lineRule="auto"/>
              <w:ind w:left="0" w:right="0"/>
              <w:rPr>
                <w:rFonts w:hint="eastAsia" w:ascii="宋体" w:hAnsi="宋体" w:cs="Times New Roman"/>
                <w:sz w:val="24"/>
              </w:rPr>
            </w:pPr>
            <w:r>
              <w:rPr>
                <w:rFonts w:hint="eastAsia" w:ascii="宋体" w:hAnsi="宋体" w:cs="Times New Roman"/>
                <w:sz w:val="24"/>
              </w:rPr>
              <w:t>潮湿场所作业未使用36v以下安全电压的</w:t>
            </w:r>
          </w:p>
          <w:p w14:paraId="72C899F4">
            <w:pPr>
              <w:keepNext w:val="0"/>
              <w:keepLines w:val="0"/>
              <w:suppressLineNumbers w:val="0"/>
              <w:spacing w:before="0" w:beforeAutospacing="0" w:after="0" w:afterAutospacing="0"/>
              <w:ind w:left="0" w:right="0"/>
              <w:rPr>
                <w:rFonts w:hint="eastAsia" w:ascii="宋体" w:hAnsi="宋体" w:cs="Times New Roman"/>
                <w:sz w:val="24"/>
                <w:szCs w:val="24"/>
              </w:rPr>
            </w:pPr>
          </w:p>
        </w:tc>
        <w:tc>
          <w:tcPr>
            <w:tcW w:w="1753" w:type="dxa"/>
            <w:noWrap w:val="0"/>
            <w:vAlign w:val="center"/>
          </w:tcPr>
          <w:p w14:paraId="094E9CDA">
            <w:pPr>
              <w:keepNext w:val="0"/>
              <w:keepLines w:val="0"/>
              <w:suppressLineNumbers w:val="0"/>
              <w:spacing w:before="0" w:beforeAutospacing="0" w:after="0" w:afterAutospacing="0"/>
              <w:ind w:left="0" w:right="0"/>
              <w:jc w:val="center"/>
              <w:rPr>
                <w:rFonts w:hint="eastAsia" w:ascii="宋体" w:hAnsi="宋体" w:cs="Times New Roman"/>
                <w:sz w:val="24"/>
                <w:szCs w:val="24"/>
              </w:rPr>
            </w:pPr>
            <w:r>
              <w:rPr>
                <w:rFonts w:hint="eastAsia" w:ascii="宋体" w:hAnsi="宋体" w:cs="Times New Roman"/>
                <w:sz w:val="24"/>
                <w:szCs w:val="24"/>
              </w:rPr>
              <w:t>1000元.次</w:t>
            </w:r>
          </w:p>
        </w:tc>
      </w:tr>
      <w:tr w14:paraId="5318F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976" w:type="dxa"/>
            <w:noWrap w:val="0"/>
            <w:vAlign w:val="center"/>
          </w:tcPr>
          <w:p w14:paraId="65CFC884">
            <w:pPr>
              <w:keepNext w:val="0"/>
              <w:keepLines w:val="0"/>
              <w:suppressLineNumbers w:val="0"/>
              <w:spacing w:before="0" w:beforeAutospacing="0" w:after="0" w:afterAutospacing="0"/>
              <w:ind w:left="0" w:right="0"/>
              <w:jc w:val="center"/>
              <w:rPr>
                <w:rFonts w:hint="eastAsia" w:ascii="宋体" w:hAnsi="宋体" w:cs="Times New Roman"/>
                <w:sz w:val="24"/>
                <w:szCs w:val="24"/>
              </w:rPr>
            </w:pPr>
            <w:r>
              <w:rPr>
                <w:rFonts w:hint="eastAsia" w:ascii="宋体" w:hAnsi="宋体" w:cs="Times New Roman"/>
                <w:sz w:val="24"/>
                <w:szCs w:val="24"/>
              </w:rPr>
              <w:t>33</w:t>
            </w:r>
          </w:p>
        </w:tc>
        <w:tc>
          <w:tcPr>
            <w:tcW w:w="5400" w:type="dxa"/>
            <w:noWrap w:val="0"/>
            <w:vAlign w:val="center"/>
          </w:tcPr>
          <w:p w14:paraId="4C89186F">
            <w:pPr>
              <w:keepNext w:val="0"/>
              <w:keepLines w:val="0"/>
              <w:suppressLineNumbers w:val="0"/>
              <w:spacing w:before="0" w:beforeAutospacing="0" w:after="0" w:afterAutospacing="0" w:line="240" w:lineRule="auto"/>
              <w:ind w:left="0" w:right="0"/>
              <w:rPr>
                <w:rFonts w:hint="eastAsia" w:ascii="宋体" w:hAnsi="宋体" w:cs="Times New Roman"/>
                <w:sz w:val="24"/>
              </w:rPr>
            </w:pPr>
            <w:r>
              <w:rPr>
                <w:rFonts w:hint="eastAsia" w:ascii="宋体" w:hAnsi="宋体" w:cs="Times New Roman"/>
                <w:sz w:val="24"/>
              </w:rPr>
              <w:t>施工用电使用多用插座的</w:t>
            </w:r>
          </w:p>
        </w:tc>
        <w:tc>
          <w:tcPr>
            <w:tcW w:w="1753" w:type="dxa"/>
            <w:noWrap w:val="0"/>
            <w:vAlign w:val="center"/>
          </w:tcPr>
          <w:p w14:paraId="1E0BFC68">
            <w:pPr>
              <w:keepNext w:val="0"/>
              <w:keepLines w:val="0"/>
              <w:suppressLineNumbers w:val="0"/>
              <w:spacing w:before="0" w:beforeAutospacing="0" w:after="0" w:afterAutospacing="0"/>
              <w:ind w:left="0" w:right="0"/>
              <w:jc w:val="center"/>
              <w:rPr>
                <w:rFonts w:hint="eastAsia" w:ascii="宋体" w:hAnsi="宋体" w:cs="Times New Roman"/>
                <w:sz w:val="24"/>
                <w:szCs w:val="24"/>
              </w:rPr>
            </w:pPr>
            <w:r>
              <w:rPr>
                <w:rFonts w:hint="eastAsia" w:ascii="宋体" w:hAnsi="宋体" w:cs="Times New Roman"/>
                <w:sz w:val="24"/>
                <w:szCs w:val="24"/>
              </w:rPr>
              <w:t>200元.次</w:t>
            </w:r>
          </w:p>
        </w:tc>
      </w:tr>
      <w:tr w14:paraId="6F4EF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976" w:type="dxa"/>
            <w:noWrap w:val="0"/>
            <w:vAlign w:val="center"/>
          </w:tcPr>
          <w:p w14:paraId="79118355">
            <w:pPr>
              <w:keepNext w:val="0"/>
              <w:keepLines w:val="0"/>
              <w:suppressLineNumbers w:val="0"/>
              <w:spacing w:before="0" w:beforeAutospacing="0" w:after="0" w:afterAutospacing="0"/>
              <w:ind w:left="0" w:right="0"/>
              <w:jc w:val="center"/>
              <w:rPr>
                <w:rFonts w:hint="eastAsia" w:ascii="宋体" w:hAnsi="宋体" w:cs="Times New Roman"/>
                <w:sz w:val="24"/>
                <w:szCs w:val="24"/>
              </w:rPr>
            </w:pPr>
            <w:r>
              <w:rPr>
                <w:rFonts w:hint="eastAsia" w:ascii="宋体" w:hAnsi="宋体" w:cs="Times New Roman"/>
                <w:sz w:val="24"/>
                <w:szCs w:val="24"/>
              </w:rPr>
              <w:t>34</w:t>
            </w:r>
          </w:p>
        </w:tc>
        <w:tc>
          <w:tcPr>
            <w:tcW w:w="5400" w:type="dxa"/>
            <w:noWrap w:val="0"/>
            <w:vAlign w:val="center"/>
          </w:tcPr>
          <w:p w14:paraId="060BDBAD">
            <w:pPr>
              <w:keepNext w:val="0"/>
              <w:keepLines w:val="0"/>
              <w:suppressLineNumbers w:val="0"/>
              <w:spacing w:before="0" w:beforeAutospacing="0" w:after="0" w:afterAutospacing="0"/>
              <w:ind w:left="0" w:right="0"/>
              <w:rPr>
                <w:rFonts w:hint="eastAsia" w:ascii="宋体" w:hAnsi="宋体" w:cs="Times New Roman"/>
                <w:sz w:val="24"/>
                <w:szCs w:val="24"/>
              </w:rPr>
            </w:pPr>
            <w:r>
              <w:rPr>
                <w:rFonts w:hint="eastAsia" w:ascii="宋体" w:hAnsi="宋体" w:cs="Times New Roman"/>
                <w:sz w:val="24"/>
              </w:rPr>
              <w:t>起重机械作业时违反“十不吊”（超载吊物、六级以上强风吊物、散装物装得太满或捆扎不牢、安全装置失灵、吊物上站人、斜吊、无指挥信号或指挥信号不明、直接吊埋在地下的构件、阴暗光线下吊物、吊物边缘无防护措施）的操作规程。</w:t>
            </w:r>
          </w:p>
        </w:tc>
        <w:tc>
          <w:tcPr>
            <w:tcW w:w="1753" w:type="dxa"/>
            <w:noWrap w:val="0"/>
            <w:vAlign w:val="center"/>
          </w:tcPr>
          <w:p w14:paraId="5F64AE4A">
            <w:pPr>
              <w:keepNext w:val="0"/>
              <w:keepLines w:val="0"/>
              <w:suppressLineNumbers w:val="0"/>
              <w:spacing w:before="0" w:beforeAutospacing="0" w:after="0" w:afterAutospacing="0"/>
              <w:ind w:left="0" w:right="0"/>
              <w:jc w:val="center"/>
              <w:rPr>
                <w:rFonts w:hint="eastAsia" w:ascii="宋体" w:hAnsi="宋体" w:cs="Times New Roman"/>
                <w:sz w:val="24"/>
                <w:szCs w:val="24"/>
              </w:rPr>
            </w:pPr>
            <w:r>
              <w:rPr>
                <w:rFonts w:hint="eastAsia" w:ascii="宋体" w:hAnsi="宋体" w:cs="Times New Roman"/>
                <w:sz w:val="24"/>
                <w:szCs w:val="24"/>
              </w:rPr>
              <w:t>10000元.次</w:t>
            </w:r>
          </w:p>
        </w:tc>
      </w:tr>
      <w:tr w14:paraId="2167F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976" w:type="dxa"/>
            <w:noWrap w:val="0"/>
            <w:vAlign w:val="center"/>
          </w:tcPr>
          <w:p w14:paraId="4EA573B1">
            <w:pPr>
              <w:keepNext w:val="0"/>
              <w:keepLines w:val="0"/>
              <w:suppressLineNumbers w:val="0"/>
              <w:spacing w:before="0" w:beforeAutospacing="0" w:after="0" w:afterAutospacing="0"/>
              <w:ind w:left="0" w:right="0"/>
              <w:jc w:val="center"/>
              <w:rPr>
                <w:rFonts w:hint="eastAsia" w:ascii="宋体" w:hAnsi="宋体" w:cs="Times New Roman"/>
                <w:sz w:val="24"/>
                <w:szCs w:val="24"/>
              </w:rPr>
            </w:pPr>
            <w:r>
              <w:rPr>
                <w:rFonts w:hint="eastAsia" w:ascii="宋体" w:hAnsi="宋体" w:cs="Times New Roman"/>
                <w:sz w:val="24"/>
                <w:szCs w:val="24"/>
              </w:rPr>
              <w:t>35</w:t>
            </w:r>
          </w:p>
        </w:tc>
        <w:tc>
          <w:tcPr>
            <w:tcW w:w="5400" w:type="dxa"/>
            <w:noWrap w:val="0"/>
            <w:vAlign w:val="center"/>
          </w:tcPr>
          <w:p w14:paraId="6857AF4A">
            <w:pPr>
              <w:keepNext w:val="0"/>
              <w:keepLines w:val="0"/>
              <w:suppressLineNumbers w:val="0"/>
              <w:spacing w:before="0" w:beforeAutospacing="0" w:after="0" w:afterAutospacing="0"/>
              <w:ind w:left="0" w:right="0"/>
              <w:rPr>
                <w:rFonts w:hint="eastAsia" w:ascii="宋体" w:hAnsi="宋体" w:cs="Times New Roman"/>
                <w:sz w:val="24"/>
                <w:szCs w:val="24"/>
              </w:rPr>
            </w:pPr>
            <w:r>
              <w:rPr>
                <w:rFonts w:hint="eastAsia" w:ascii="宋体" w:hAnsi="宋体" w:cs="Times New Roman"/>
                <w:sz w:val="24"/>
                <w:szCs w:val="24"/>
              </w:rPr>
              <w:t>没及时清理作业区、排栅上遗留的木糠、木屑、刨花、水泥袋、可燃包装物等易燃、可燃杂物。</w:t>
            </w:r>
          </w:p>
        </w:tc>
        <w:tc>
          <w:tcPr>
            <w:tcW w:w="1753" w:type="dxa"/>
            <w:noWrap w:val="0"/>
            <w:vAlign w:val="center"/>
          </w:tcPr>
          <w:p w14:paraId="5184BC73">
            <w:pPr>
              <w:keepNext w:val="0"/>
              <w:keepLines w:val="0"/>
              <w:suppressLineNumbers w:val="0"/>
              <w:spacing w:before="0" w:beforeAutospacing="0" w:after="0" w:afterAutospacing="0"/>
              <w:ind w:left="0" w:right="0"/>
              <w:jc w:val="center"/>
              <w:rPr>
                <w:rFonts w:hint="eastAsia" w:ascii="宋体" w:hAnsi="宋体" w:cs="Times New Roman"/>
                <w:sz w:val="24"/>
                <w:szCs w:val="24"/>
              </w:rPr>
            </w:pPr>
            <w:r>
              <w:rPr>
                <w:rFonts w:hint="eastAsia" w:ascii="宋体" w:hAnsi="宋体" w:cs="Times New Roman"/>
                <w:sz w:val="24"/>
                <w:szCs w:val="24"/>
              </w:rPr>
              <w:t>500元.次</w:t>
            </w:r>
          </w:p>
        </w:tc>
      </w:tr>
      <w:tr w14:paraId="76E40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976" w:type="dxa"/>
            <w:noWrap w:val="0"/>
            <w:vAlign w:val="center"/>
          </w:tcPr>
          <w:p w14:paraId="7F02A52E">
            <w:pPr>
              <w:keepNext w:val="0"/>
              <w:keepLines w:val="0"/>
              <w:suppressLineNumbers w:val="0"/>
              <w:spacing w:before="0" w:beforeAutospacing="0" w:after="0" w:afterAutospacing="0"/>
              <w:ind w:left="0" w:right="0"/>
              <w:jc w:val="center"/>
              <w:rPr>
                <w:rFonts w:hint="eastAsia" w:ascii="宋体" w:hAnsi="宋体" w:cs="Times New Roman"/>
                <w:sz w:val="24"/>
                <w:szCs w:val="24"/>
              </w:rPr>
            </w:pPr>
            <w:r>
              <w:rPr>
                <w:rFonts w:hint="eastAsia" w:ascii="宋体" w:hAnsi="宋体" w:cs="Times New Roman"/>
                <w:sz w:val="24"/>
                <w:szCs w:val="24"/>
              </w:rPr>
              <w:t>36</w:t>
            </w:r>
          </w:p>
        </w:tc>
        <w:tc>
          <w:tcPr>
            <w:tcW w:w="5400" w:type="dxa"/>
            <w:noWrap w:val="0"/>
            <w:vAlign w:val="center"/>
          </w:tcPr>
          <w:p w14:paraId="665893FD">
            <w:pPr>
              <w:keepNext w:val="0"/>
              <w:keepLines w:val="0"/>
              <w:suppressLineNumbers w:val="0"/>
              <w:spacing w:before="0" w:beforeAutospacing="0" w:after="0" w:afterAutospacing="0"/>
              <w:ind w:left="0" w:right="0"/>
              <w:rPr>
                <w:rFonts w:hint="eastAsia" w:ascii="宋体" w:hAnsi="宋体" w:cs="Times New Roman"/>
                <w:sz w:val="24"/>
                <w:szCs w:val="24"/>
              </w:rPr>
            </w:pPr>
            <w:r>
              <w:rPr>
                <w:rFonts w:hint="eastAsia" w:ascii="宋体" w:hAnsi="宋体" w:cs="Times New Roman"/>
                <w:sz w:val="24"/>
                <w:szCs w:val="24"/>
              </w:rPr>
              <w:t>从高空向建筑物外抛周转料、杂物或倒余泥、垃圾。</w:t>
            </w:r>
          </w:p>
        </w:tc>
        <w:tc>
          <w:tcPr>
            <w:tcW w:w="1753" w:type="dxa"/>
            <w:noWrap w:val="0"/>
            <w:vAlign w:val="center"/>
          </w:tcPr>
          <w:p w14:paraId="18B8D87A">
            <w:pPr>
              <w:keepNext w:val="0"/>
              <w:keepLines w:val="0"/>
              <w:suppressLineNumbers w:val="0"/>
              <w:spacing w:before="0" w:beforeAutospacing="0" w:after="0" w:afterAutospacing="0"/>
              <w:ind w:left="0" w:right="0"/>
              <w:jc w:val="center"/>
              <w:rPr>
                <w:rFonts w:hint="eastAsia" w:ascii="宋体" w:hAnsi="宋体" w:cs="Times New Roman"/>
                <w:sz w:val="24"/>
                <w:szCs w:val="24"/>
              </w:rPr>
            </w:pPr>
            <w:r>
              <w:rPr>
                <w:rFonts w:hint="eastAsia" w:ascii="宋体" w:hAnsi="宋体" w:cs="Times New Roman"/>
                <w:sz w:val="24"/>
                <w:szCs w:val="24"/>
              </w:rPr>
              <w:t>10000元.次</w:t>
            </w:r>
          </w:p>
        </w:tc>
      </w:tr>
      <w:tr w14:paraId="5486F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976" w:type="dxa"/>
            <w:noWrap w:val="0"/>
            <w:vAlign w:val="center"/>
          </w:tcPr>
          <w:p w14:paraId="5C0614B7">
            <w:pPr>
              <w:keepNext w:val="0"/>
              <w:keepLines w:val="0"/>
              <w:suppressLineNumbers w:val="0"/>
              <w:spacing w:before="0" w:beforeAutospacing="0" w:after="0" w:afterAutospacing="0"/>
              <w:ind w:left="0" w:right="0"/>
              <w:jc w:val="center"/>
              <w:rPr>
                <w:rFonts w:hint="eastAsia" w:ascii="宋体" w:hAnsi="宋体" w:cs="Times New Roman"/>
                <w:sz w:val="24"/>
                <w:szCs w:val="24"/>
              </w:rPr>
            </w:pPr>
            <w:r>
              <w:rPr>
                <w:rFonts w:hint="eastAsia" w:ascii="宋体" w:hAnsi="宋体" w:cs="Times New Roman"/>
                <w:sz w:val="24"/>
                <w:szCs w:val="24"/>
              </w:rPr>
              <w:t>37</w:t>
            </w:r>
          </w:p>
        </w:tc>
        <w:tc>
          <w:tcPr>
            <w:tcW w:w="5400" w:type="dxa"/>
            <w:noWrap w:val="0"/>
            <w:vAlign w:val="center"/>
          </w:tcPr>
          <w:p w14:paraId="54EC4C4C">
            <w:pPr>
              <w:keepNext w:val="0"/>
              <w:keepLines w:val="0"/>
              <w:suppressLineNumbers w:val="0"/>
              <w:spacing w:before="0" w:beforeAutospacing="0" w:after="0" w:afterAutospacing="0"/>
              <w:ind w:left="0" w:right="0"/>
              <w:rPr>
                <w:rFonts w:hint="eastAsia" w:ascii="宋体" w:hAnsi="宋体" w:cs="Times New Roman"/>
                <w:sz w:val="24"/>
                <w:szCs w:val="24"/>
              </w:rPr>
            </w:pPr>
            <w:r>
              <w:rPr>
                <w:rFonts w:hint="eastAsia" w:ascii="宋体" w:hAnsi="宋体" w:eastAsia="宋体" w:cs="Times New Roman"/>
                <w:sz w:val="24"/>
                <w:szCs w:val="24"/>
              </w:rPr>
              <w:t>酒后作业、寻衅滋事、打架斗殴、聚众赌博、涉黄涉毒的。</w:t>
            </w:r>
          </w:p>
        </w:tc>
        <w:tc>
          <w:tcPr>
            <w:tcW w:w="1753" w:type="dxa"/>
            <w:noWrap w:val="0"/>
            <w:vAlign w:val="center"/>
          </w:tcPr>
          <w:p w14:paraId="2086FEEA">
            <w:pPr>
              <w:keepNext w:val="0"/>
              <w:keepLines w:val="0"/>
              <w:suppressLineNumbers w:val="0"/>
              <w:spacing w:before="0" w:beforeAutospacing="0" w:after="0" w:afterAutospacing="0"/>
              <w:ind w:left="0" w:right="0"/>
              <w:jc w:val="center"/>
              <w:rPr>
                <w:rFonts w:hint="eastAsia" w:ascii="宋体" w:hAnsi="宋体" w:cs="Times New Roman"/>
                <w:sz w:val="24"/>
                <w:szCs w:val="24"/>
              </w:rPr>
            </w:pPr>
            <w:r>
              <w:rPr>
                <w:rFonts w:hint="eastAsia" w:ascii="宋体" w:hAnsi="宋体" w:cs="Times New Roman"/>
                <w:sz w:val="24"/>
                <w:szCs w:val="24"/>
              </w:rPr>
              <w:t>10000元.次</w:t>
            </w:r>
          </w:p>
        </w:tc>
      </w:tr>
      <w:tr w14:paraId="1AEFE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976" w:type="dxa"/>
            <w:noWrap w:val="0"/>
            <w:vAlign w:val="center"/>
          </w:tcPr>
          <w:p w14:paraId="41F9F965">
            <w:pPr>
              <w:keepNext w:val="0"/>
              <w:keepLines w:val="0"/>
              <w:suppressLineNumbers w:val="0"/>
              <w:spacing w:before="0" w:beforeAutospacing="0" w:after="0" w:afterAutospacing="0"/>
              <w:ind w:left="0" w:right="0"/>
              <w:jc w:val="center"/>
              <w:rPr>
                <w:rFonts w:hint="default" w:ascii="宋体" w:hAnsi="宋体" w:cs="Times New Roman"/>
                <w:sz w:val="24"/>
                <w:szCs w:val="24"/>
              </w:rPr>
            </w:pPr>
            <w:r>
              <w:rPr>
                <w:rFonts w:hint="eastAsia" w:ascii="宋体" w:hAnsi="宋体" w:cs="Times New Roman"/>
                <w:sz w:val="24"/>
                <w:szCs w:val="24"/>
              </w:rPr>
              <w:t>38</w:t>
            </w:r>
          </w:p>
        </w:tc>
        <w:tc>
          <w:tcPr>
            <w:tcW w:w="5400" w:type="dxa"/>
            <w:noWrap w:val="0"/>
            <w:vAlign w:val="center"/>
          </w:tcPr>
          <w:p w14:paraId="59B72125">
            <w:pPr>
              <w:keepNext w:val="0"/>
              <w:keepLines w:val="0"/>
              <w:suppressLineNumbers w:val="0"/>
              <w:spacing w:before="0" w:beforeAutospacing="0" w:after="0" w:afterAutospacing="0"/>
              <w:ind w:left="0" w:right="0"/>
              <w:rPr>
                <w:rFonts w:hint="eastAsia" w:ascii="宋体" w:hAnsi="宋体" w:eastAsia="宋体" w:cs="Times New Roman"/>
                <w:sz w:val="24"/>
                <w:szCs w:val="24"/>
              </w:rPr>
            </w:pPr>
            <w:r>
              <w:rPr>
                <w:rFonts w:hint="eastAsia" w:ascii="宋体" w:hAnsi="宋体" w:eastAsia="宋体" w:cs="Times New Roman"/>
                <w:sz w:val="24"/>
                <w:szCs w:val="24"/>
              </w:rPr>
              <w:t>施工结束必须将电源开关全部关闭，插头全部拔掉。</w:t>
            </w:r>
          </w:p>
        </w:tc>
        <w:tc>
          <w:tcPr>
            <w:tcW w:w="1753" w:type="dxa"/>
            <w:noWrap w:val="0"/>
            <w:vAlign w:val="center"/>
          </w:tcPr>
          <w:p w14:paraId="17CE59E6">
            <w:pPr>
              <w:keepNext w:val="0"/>
              <w:keepLines w:val="0"/>
              <w:suppressLineNumbers w:val="0"/>
              <w:spacing w:before="0" w:beforeAutospacing="0" w:after="0" w:afterAutospacing="0"/>
              <w:ind w:left="0" w:right="0"/>
              <w:jc w:val="center"/>
              <w:rPr>
                <w:rFonts w:hint="default" w:ascii="宋体" w:hAnsi="宋体" w:cs="Times New Roman"/>
                <w:sz w:val="24"/>
                <w:szCs w:val="24"/>
              </w:rPr>
            </w:pPr>
            <w:r>
              <w:rPr>
                <w:rFonts w:hint="default" w:ascii="宋体" w:hAnsi="宋体" w:cs="Times New Roman"/>
                <w:sz w:val="24"/>
                <w:szCs w:val="24"/>
              </w:rPr>
              <w:t>500</w:t>
            </w:r>
            <w:r>
              <w:rPr>
                <w:rFonts w:hint="eastAsia" w:ascii="宋体" w:hAnsi="宋体" w:cs="Times New Roman"/>
                <w:sz w:val="24"/>
                <w:szCs w:val="24"/>
              </w:rPr>
              <w:t>元.次</w:t>
            </w:r>
          </w:p>
        </w:tc>
      </w:tr>
      <w:tr w14:paraId="55E2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976" w:type="dxa"/>
            <w:noWrap w:val="0"/>
            <w:vAlign w:val="center"/>
          </w:tcPr>
          <w:p w14:paraId="00D71805">
            <w:pPr>
              <w:keepNext w:val="0"/>
              <w:keepLines w:val="0"/>
              <w:suppressLineNumbers w:val="0"/>
              <w:spacing w:before="0" w:beforeAutospacing="0" w:after="0" w:afterAutospacing="0"/>
              <w:ind w:left="0" w:right="0"/>
              <w:jc w:val="center"/>
              <w:rPr>
                <w:rFonts w:hint="default" w:ascii="宋体" w:hAnsi="宋体" w:cs="Times New Roman"/>
                <w:sz w:val="24"/>
                <w:szCs w:val="24"/>
              </w:rPr>
            </w:pPr>
            <w:r>
              <w:rPr>
                <w:rFonts w:hint="eastAsia" w:ascii="宋体" w:hAnsi="宋体" w:cs="Times New Roman"/>
                <w:sz w:val="24"/>
                <w:szCs w:val="24"/>
              </w:rPr>
              <w:t>39</w:t>
            </w:r>
          </w:p>
        </w:tc>
        <w:tc>
          <w:tcPr>
            <w:tcW w:w="5400" w:type="dxa"/>
            <w:noWrap w:val="0"/>
            <w:vAlign w:val="center"/>
          </w:tcPr>
          <w:p w14:paraId="286B77B8">
            <w:pPr>
              <w:keepNext w:val="0"/>
              <w:keepLines w:val="0"/>
              <w:suppressLineNumbers w:val="0"/>
              <w:spacing w:before="0" w:beforeAutospacing="0" w:after="0" w:afterAutospacing="0"/>
              <w:ind w:left="0" w:right="0"/>
              <w:rPr>
                <w:rFonts w:hint="eastAsia" w:ascii="宋体" w:hAnsi="宋体" w:eastAsia="宋体" w:cs="Times New Roman"/>
                <w:sz w:val="24"/>
                <w:szCs w:val="24"/>
              </w:rPr>
            </w:pPr>
            <w:r>
              <w:rPr>
                <w:rFonts w:hint="eastAsia" w:ascii="宋体" w:hAnsi="宋体" w:eastAsia="宋体" w:cs="Times New Roman"/>
                <w:sz w:val="24"/>
                <w:szCs w:val="24"/>
              </w:rPr>
              <w:t>禁止施工人员冒险作业、违反操作规程野蛮施工。</w:t>
            </w:r>
          </w:p>
        </w:tc>
        <w:tc>
          <w:tcPr>
            <w:tcW w:w="1753" w:type="dxa"/>
            <w:noWrap w:val="0"/>
            <w:vAlign w:val="center"/>
          </w:tcPr>
          <w:p w14:paraId="750B7618">
            <w:pPr>
              <w:keepNext w:val="0"/>
              <w:keepLines w:val="0"/>
              <w:suppressLineNumbers w:val="0"/>
              <w:spacing w:before="0" w:beforeAutospacing="0" w:after="0" w:afterAutospacing="0"/>
              <w:ind w:left="0" w:right="0"/>
              <w:jc w:val="center"/>
              <w:rPr>
                <w:rFonts w:hint="default" w:ascii="宋体" w:hAnsi="宋体" w:cs="Times New Roman"/>
                <w:sz w:val="24"/>
                <w:szCs w:val="24"/>
              </w:rPr>
            </w:pPr>
            <w:r>
              <w:rPr>
                <w:rFonts w:hint="default" w:ascii="宋体" w:hAnsi="宋体" w:cs="Times New Roman"/>
                <w:sz w:val="24"/>
                <w:szCs w:val="24"/>
              </w:rPr>
              <w:t>1000</w:t>
            </w:r>
            <w:r>
              <w:rPr>
                <w:rFonts w:hint="eastAsia" w:ascii="宋体" w:hAnsi="宋体" w:cs="Times New Roman"/>
                <w:sz w:val="24"/>
                <w:szCs w:val="24"/>
              </w:rPr>
              <w:t>元.次</w:t>
            </w:r>
          </w:p>
        </w:tc>
      </w:tr>
      <w:tr w14:paraId="19B9E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976" w:type="dxa"/>
            <w:noWrap w:val="0"/>
            <w:vAlign w:val="center"/>
          </w:tcPr>
          <w:p w14:paraId="73A6B760">
            <w:pPr>
              <w:keepNext w:val="0"/>
              <w:keepLines w:val="0"/>
              <w:suppressLineNumbers w:val="0"/>
              <w:spacing w:before="0" w:beforeAutospacing="0" w:after="0" w:afterAutospacing="0"/>
              <w:ind w:left="0" w:right="0"/>
              <w:jc w:val="center"/>
              <w:rPr>
                <w:rFonts w:hint="default" w:ascii="宋体" w:hAnsi="宋体" w:cs="Times New Roman"/>
                <w:sz w:val="24"/>
                <w:szCs w:val="24"/>
              </w:rPr>
            </w:pPr>
            <w:r>
              <w:rPr>
                <w:rFonts w:hint="eastAsia" w:ascii="宋体" w:hAnsi="宋体" w:cs="Times New Roman"/>
                <w:sz w:val="24"/>
                <w:szCs w:val="24"/>
              </w:rPr>
              <w:t>40</w:t>
            </w:r>
          </w:p>
        </w:tc>
        <w:tc>
          <w:tcPr>
            <w:tcW w:w="5400" w:type="dxa"/>
            <w:noWrap w:val="0"/>
            <w:vAlign w:val="center"/>
          </w:tcPr>
          <w:p w14:paraId="625A1AC6">
            <w:pPr>
              <w:keepNext w:val="0"/>
              <w:keepLines w:val="0"/>
              <w:suppressLineNumbers w:val="0"/>
              <w:spacing w:before="0" w:beforeAutospacing="0" w:after="0" w:afterAutospacing="0"/>
              <w:ind w:left="0" w:right="0"/>
              <w:rPr>
                <w:rFonts w:hint="eastAsia" w:ascii="宋体" w:hAnsi="宋体" w:eastAsia="宋体" w:cs="Times New Roman"/>
                <w:sz w:val="24"/>
                <w:szCs w:val="24"/>
              </w:rPr>
            </w:pPr>
            <w:r>
              <w:rPr>
                <w:rFonts w:hint="eastAsia" w:ascii="宋体" w:hAnsi="宋体" w:eastAsia="宋体" w:cs="Times New Roman"/>
                <w:sz w:val="24"/>
                <w:szCs w:val="24"/>
              </w:rPr>
              <w:t>二级（5米以上）以上高空作业不系安全带、不做防护措施</w:t>
            </w:r>
          </w:p>
        </w:tc>
        <w:tc>
          <w:tcPr>
            <w:tcW w:w="1753" w:type="dxa"/>
            <w:noWrap w:val="0"/>
            <w:vAlign w:val="center"/>
          </w:tcPr>
          <w:p w14:paraId="7E51DB0C">
            <w:pPr>
              <w:keepNext w:val="0"/>
              <w:keepLines w:val="0"/>
              <w:suppressLineNumbers w:val="0"/>
              <w:spacing w:before="0" w:beforeAutospacing="0" w:after="0" w:afterAutospacing="0"/>
              <w:ind w:left="0" w:right="0"/>
              <w:jc w:val="center"/>
              <w:rPr>
                <w:rFonts w:hint="default" w:ascii="宋体" w:hAnsi="宋体" w:cs="Times New Roman"/>
                <w:sz w:val="24"/>
                <w:szCs w:val="24"/>
              </w:rPr>
            </w:pPr>
            <w:r>
              <w:rPr>
                <w:rFonts w:hint="eastAsia" w:ascii="宋体" w:hAnsi="宋体" w:cs="Times New Roman"/>
                <w:sz w:val="24"/>
                <w:szCs w:val="24"/>
              </w:rPr>
              <w:t>1</w:t>
            </w:r>
            <w:r>
              <w:rPr>
                <w:rFonts w:hint="default" w:ascii="宋体" w:hAnsi="宋体" w:cs="Times New Roman"/>
                <w:sz w:val="24"/>
                <w:szCs w:val="24"/>
              </w:rPr>
              <w:t>000</w:t>
            </w:r>
            <w:r>
              <w:rPr>
                <w:rFonts w:hint="eastAsia" w:ascii="宋体" w:hAnsi="宋体" w:cs="Times New Roman"/>
                <w:sz w:val="24"/>
                <w:szCs w:val="24"/>
              </w:rPr>
              <w:t>元.次</w:t>
            </w:r>
          </w:p>
        </w:tc>
      </w:tr>
      <w:tr w14:paraId="74B5B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976" w:type="dxa"/>
            <w:noWrap w:val="0"/>
            <w:vAlign w:val="center"/>
          </w:tcPr>
          <w:p w14:paraId="6642E93E">
            <w:pPr>
              <w:keepNext w:val="0"/>
              <w:keepLines w:val="0"/>
              <w:suppressLineNumbers w:val="0"/>
              <w:spacing w:before="0" w:beforeAutospacing="0" w:after="0" w:afterAutospacing="0"/>
              <w:ind w:left="0" w:right="0"/>
              <w:jc w:val="center"/>
              <w:rPr>
                <w:rFonts w:hint="eastAsia" w:ascii="宋体" w:hAnsi="宋体" w:cs="Times New Roman"/>
                <w:sz w:val="24"/>
                <w:szCs w:val="24"/>
              </w:rPr>
            </w:pPr>
            <w:r>
              <w:rPr>
                <w:rFonts w:hint="eastAsia" w:ascii="宋体" w:hAnsi="宋体" w:cs="Times New Roman"/>
                <w:sz w:val="24"/>
                <w:szCs w:val="24"/>
              </w:rPr>
              <w:t>41</w:t>
            </w:r>
          </w:p>
        </w:tc>
        <w:tc>
          <w:tcPr>
            <w:tcW w:w="5400" w:type="dxa"/>
            <w:noWrap w:val="0"/>
            <w:vAlign w:val="center"/>
          </w:tcPr>
          <w:p w14:paraId="1393BB25">
            <w:pPr>
              <w:keepNext w:val="0"/>
              <w:keepLines w:val="0"/>
              <w:suppressLineNumbers w:val="0"/>
              <w:spacing w:before="0" w:beforeAutospacing="0" w:after="0" w:afterAutospacing="0"/>
              <w:ind w:left="0" w:right="0"/>
              <w:rPr>
                <w:rFonts w:hint="default" w:ascii="宋体" w:hAnsi="宋体" w:eastAsia="宋体" w:cs="Times New Roman"/>
                <w:sz w:val="24"/>
                <w:szCs w:val="24"/>
                <w:lang w:val="en-US"/>
              </w:rPr>
            </w:pPr>
            <w:r>
              <w:rPr>
                <w:rFonts w:hint="eastAsia" w:ascii="宋体" w:hAnsi="宋体" w:eastAsia="宋体" w:cs="Times New Roman"/>
                <w:sz w:val="24"/>
                <w:szCs w:val="24"/>
              </w:rPr>
              <w:t>施工</w:t>
            </w:r>
            <w:r>
              <w:rPr>
                <w:rFonts w:hint="eastAsia" w:ascii="宋体" w:hAnsi="宋体" w:eastAsia="宋体" w:cs="Times New Roman"/>
                <w:sz w:val="24"/>
                <w:szCs w:val="24"/>
                <w:lang w:val="en-US" w:eastAsia="zh-CN"/>
              </w:rPr>
              <w:t>机械</w:t>
            </w:r>
            <w:r>
              <w:rPr>
                <w:rFonts w:hint="eastAsia" w:ascii="宋体" w:hAnsi="宋体" w:eastAsia="宋体" w:cs="Times New Roman"/>
                <w:sz w:val="24"/>
                <w:szCs w:val="24"/>
              </w:rPr>
              <w:t>违规</w:t>
            </w:r>
            <w:r>
              <w:rPr>
                <w:rFonts w:hint="eastAsia" w:ascii="宋体" w:hAnsi="宋体" w:eastAsia="宋体" w:cs="Times New Roman"/>
                <w:sz w:val="24"/>
                <w:szCs w:val="24"/>
                <w:lang w:val="en-US" w:eastAsia="zh-CN"/>
              </w:rPr>
              <w:t>使用的</w:t>
            </w:r>
          </w:p>
        </w:tc>
        <w:tc>
          <w:tcPr>
            <w:tcW w:w="1753" w:type="dxa"/>
            <w:noWrap w:val="0"/>
            <w:vAlign w:val="center"/>
          </w:tcPr>
          <w:p w14:paraId="021F4264">
            <w:pPr>
              <w:keepNext w:val="0"/>
              <w:keepLines w:val="0"/>
              <w:suppressLineNumbers w:val="0"/>
              <w:spacing w:before="0" w:beforeAutospacing="0" w:after="0" w:afterAutospacing="0"/>
              <w:ind w:left="0" w:right="0"/>
              <w:jc w:val="center"/>
              <w:rPr>
                <w:rFonts w:hint="default" w:ascii="宋体" w:hAnsi="宋体" w:cs="Times New Roman"/>
                <w:sz w:val="24"/>
                <w:szCs w:val="24"/>
              </w:rPr>
            </w:pPr>
            <w:r>
              <w:rPr>
                <w:rFonts w:hint="eastAsia" w:ascii="宋体" w:hAnsi="宋体" w:cs="Times New Roman"/>
                <w:sz w:val="24"/>
                <w:szCs w:val="24"/>
              </w:rPr>
              <w:t>10000元.次</w:t>
            </w:r>
          </w:p>
        </w:tc>
      </w:tr>
      <w:tr w14:paraId="262F4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976" w:type="dxa"/>
            <w:noWrap w:val="0"/>
            <w:vAlign w:val="center"/>
          </w:tcPr>
          <w:p w14:paraId="103465EC">
            <w:pPr>
              <w:keepNext w:val="0"/>
              <w:keepLines w:val="0"/>
              <w:suppressLineNumbers w:val="0"/>
              <w:spacing w:before="0" w:beforeAutospacing="0" w:after="0" w:afterAutospacing="0"/>
              <w:ind w:left="0" w:right="0"/>
              <w:jc w:val="center"/>
              <w:rPr>
                <w:rFonts w:hint="eastAsia" w:ascii="宋体" w:hAnsi="宋体" w:cs="Times New Roman"/>
                <w:sz w:val="24"/>
                <w:szCs w:val="24"/>
              </w:rPr>
            </w:pPr>
            <w:r>
              <w:rPr>
                <w:rFonts w:hint="eastAsia" w:ascii="宋体" w:hAnsi="宋体" w:cs="Times New Roman"/>
                <w:sz w:val="24"/>
                <w:szCs w:val="24"/>
              </w:rPr>
              <w:t>42</w:t>
            </w:r>
          </w:p>
        </w:tc>
        <w:tc>
          <w:tcPr>
            <w:tcW w:w="5400" w:type="dxa"/>
            <w:noWrap w:val="0"/>
            <w:vAlign w:val="center"/>
          </w:tcPr>
          <w:p w14:paraId="1F87C3E5">
            <w:pPr>
              <w:keepNext w:val="0"/>
              <w:keepLines w:val="0"/>
              <w:suppressLineNumbers w:val="0"/>
              <w:spacing w:before="0" w:beforeAutospacing="0" w:after="0" w:afterAutospacing="0"/>
              <w:ind w:left="0" w:right="0"/>
              <w:rPr>
                <w:rFonts w:hint="eastAsia" w:ascii="宋体" w:hAnsi="宋体" w:eastAsia="宋体" w:cs="Times New Roman"/>
                <w:sz w:val="24"/>
                <w:szCs w:val="24"/>
              </w:rPr>
            </w:pPr>
            <w:r>
              <w:rPr>
                <w:rFonts w:hint="eastAsia" w:ascii="宋体" w:hAnsi="宋体" w:eastAsia="宋体" w:cs="Times New Roman"/>
                <w:sz w:val="24"/>
                <w:szCs w:val="24"/>
              </w:rPr>
              <w:t>脚手架工程、模板工程、卸料平台未按方案搭设的</w:t>
            </w:r>
          </w:p>
        </w:tc>
        <w:tc>
          <w:tcPr>
            <w:tcW w:w="1753" w:type="dxa"/>
            <w:noWrap w:val="0"/>
            <w:vAlign w:val="center"/>
          </w:tcPr>
          <w:p w14:paraId="4012F496">
            <w:pPr>
              <w:keepNext w:val="0"/>
              <w:keepLines w:val="0"/>
              <w:suppressLineNumbers w:val="0"/>
              <w:spacing w:before="0" w:beforeAutospacing="0" w:after="0" w:afterAutospacing="0"/>
              <w:ind w:left="0" w:right="0"/>
              <w:jc w:val="center"/>
              <w:rPr>
                <w:rFonts w:hint="default" w:ascii="宋体" w:hAnsi="宋体" w:cs="Times New Roman"/>
                <w:sz w:val="24"/>
                <w:szCs w:val="24"/>
              </w:rPr>
            </w:pPr>
            <w:r>
              <w:rPr>
                <w:rFonts w:hint="eastAsia" w:ascii="宋体" w:hAnsi="宋体" w:cs="Times New Roman"/>
                <w:sz w:val="24"/>
                <w:szCs w:val="24"/>
              </w:rPr>
              <w:t>10000元.次</w:t>
            </w:r>
          </w:p>
        </w:tc>
      </w:tr>
      <w:tr w14:paraId="58D82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976" w:type="dxa"/>
            <w:noWrap w:val="0"/>
            <w:vAlign w:val="center"/>
          </w:tcPr>
          <w:p w14:paraId="4DCB1BCD">
            <w:pPr>
              <w:keepNext w:val="0"/>
              <w:keepLines w:val="0"/>
              <w:suppressLineNumbers w:val="0"/>
              <w:spacing w:before="0" w:beforeAutospacing="0" w:after="0" w:afterAutospacing="0"/>
              <w:ind w:left="0" w:right="0"/>
              <w:jc w:val="center"/>
              <w:rPr>
                <w:rFonts w:hint="eastAsia" w:ascii="宋体" w:hAnsi="宋体" w:cs="Times New Roman"/>
                <w:sz w:val="24"/>
                <w:szCs w:val="24"/>
              </w:rPr>
            </w:pPr>
            <w:r>
              <w:rPr>
                <w:rFonts w:hint="eastAsia" w:ascii="宋体" w:hAnsi="宋体" w:cs="Times New Roman"/>
                <w:sz w:val="24"/>
                <w:szCs w:val="24"/>
              </w:rPr>
              <w:t>43</w:t>
            </w:r>
          </w:p>
        </w:tc>
        <w:tc>
          <w:tcPr>
            <w:tcW w:w="5400" w:type="dxa"/>
            <w:noWrap w:val="0"/>
            <w:vAlign w:val="center"/>
          </w:tcPr>
          <w:p w14:paraId="5ADBA9F8">
            <w:pPr>
              <w:keepNext w:val="0"/>
              <w:keepLines w:val="0"/>
              <w:suppressLineNumbers w:val="0"/>
              <w:spacing w:before="0" w:beforeAutospacing="0" w:after="0" w:afterAutospacing="0"/>
              <w:ind w:left="0" w:right="0"/>
              <w:rPr>
                <w:rFonts w:hint="eastAsia" w:ascii="宋体" w:hAnsi="宋体" w:eastAsia="宋体" w:cs="Times New Roman"/>
                <w:sz w:val="24"/>
                <w:szCs w:val="24"/>
              </w:rPr>
            </w:pPr>
            <w:r>
              <w:rPr>
                <w:rFonts w:hint="eastAsia" w:ascii="宋体" w:hAnsi="宋体" w:eastAsia="宋体" w:cs="Times New Roman"/>
                <w:sz w:val="24"/>
                <w:szCs w:val="24"/>
              </w:rPr>
              <w:t>登高作业使用不合格的登高措施的，使用移动平台作业，移动时平台站人的</w:t>
            </w:r>
          </w:p>
        </w:tc>
        <w:tc>
          <w:tcPr>
            <w:tcW w:w="1753" w:type="dxa"/>
            <w:noWrap w:val="0"/>
            <w:vAlign w:val="center"/>
          </w:tcPr>
          <w:p w14:paraId="133B6681">
            <w:pPr>
              <w:keepNext w:val="0"/>
              <w:keepLines w:val="0"/>
              <w:suppressLineNumbers w:val="0"/>
              <w:spacing w:before="0" w:beforeAutospacing="0" w:after="0" w:afterAutospacing="0"/>
              <w:ind w:left="0" w:right="0"/>
              <w:jc w:val="center"/>
              <w:rPr>
                <w:rFonts w:hint="eastAsia" w:ascii="宋体" w:hAnsi="宋体" w:cs="Times New Roman"/>
                <w:sz w:val="24"/>
                <w:szCs w:val="24"/>
              </w:rPr>
            </w:pPr>
            <w:r>
              <w:rPr>
                <w:rFonts w:hint="eastAsia" w:ascii="宋体" w:hAnsi="宋体" w:cs="Times New Roman"/>
                <w:sz w:val="24"/>
                <w:szCs w:val="24"/>
              </w:rPr>
              <w:t>500元.次</w:t>
            </w:r>
          </w:p>
        </w:tc>
      </w:tr>
      <w:tr w14:paraId="2672E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976" w:type="dxa"/>
            <w:noWrap w:val="0"/>
            <w:vAlign w:val="center"/>
          </w:tcPr>
          <w:p w14:paraId="4C8FE9FB">
            <w:pPr>
              <w:keepNext w:val="0"/>
              <w:keepLines w:val="0"/>
              <w:suppressLineNumbers w:val="0"/>
              <w:spacing w:before="0" w:beforeAutospacing="0" w:after="0" w:afterAutospacing="0"/>
              <w:ind w:left="0" w:right="0"/>
              <w:jc w:val="center"/>
              <w:rPr>
                <w:rFonts w:hint="eastAsia" w:ascii="宋体" w:hAnsi="宋体" w:cs="Times New Roman"/>
                <w:sz w:val="24"/>
                <w:szCs w:val="24"/>
              </w:rPr>
            </w:pPr>
            <w:r>
              <w:rPr>
                <w:rFonts w:hint="eastAsia" w:ascii="宋体" w:hAnsi="宋体" w:cs="Times New Roman"/>
                <w:sz w:val="24"/>
                <w:szCs w:val="24"/>
              </w:rPr>
              <w:t>44</w:t>
            </w:r>
          </w:p>
        </w:tc>
        <w:tc>
          <w:tcPr>
            <w:tcW w:w="5400" w:type="dxa"/>
            <w:noWrap w:val="0"/>
            <w:vAlign w:val="center"/>
          </w:tcPr>
          <w:p w14:paraId="0DCA7DD6">
            <w:pPr>
              <w:keepNext w:val="0"/>
              <w:keepLines w:val="0"/>
              <w:suppressLineNumbers w:val="0"/>
              <w:spacing w:before="0" w:beforeAutospacing="0" w:after="0" w:afterAutospacing="0"/>
              <w:ind w:left="0" w:right="0"/>
              <w:rPr>
                <w:rFonts w:hint="eastAsia" w:ascii="宋体" w:hAnsi="宋体" w:eastAsia="宋体" w:cs="Times New Roman"/>
                <w:sz w:val="24"/>
                <w:szCs w:val="24"/>
              </w:rPr>
            </w:pPr>
            <w:r>
              <w:rPr>
                <w:rFonts w:hint="eastAsia" w:ascii="宋体" w:hAnsi="宋体" w:eastAsia="宋体" w:cs="Times New Roman"/>
                <w:sz w:val="24"/>
                <w:szCs w:val="24"/>
              </w:rPr>
              <w:t>上下垂直作业未采取防护措施的</w:t>
            </w:r>
          </w:p>
        </w:tc>
        <w:tc>
          <w:tcPr>
            <w:tcW w:w="1753" w:type="dxa"/>
            <w:noWrap w:val="0"/>
            <w:vAlign w:val="center"/>
          </w:tcPr>
          <w:p w14:paraId="5405115F">
            <w:pPr>
              <w:keepNext w:val="0"/>
              <w:keepLines w:val="0"/>
              <w:suppressLineNumbers w:val="0"/>
              <w:spacing w:before="0" w:beforeAutospacing="0" w:after="0" w:afterAutospacing="0"/>
              <w:ind w:left="0" w:right="0"/>
              <w:jc w:val="center"/>
              <w:rPr>
                <w:rFonts w:hint="eastAsia" w:ascii="宋体" w:hAnsi="宋体" w:cs="Times New Roman"/>
                <w:sz w:val="24"/>
                <w:szCs w:val="24"/>
              </w:rPr>
            </w:pPr>
            <w:r>
              <w:rPr>
                <w:rFonts w:hint="eastAsia" w:ascii="宋体" w:hAnsi="宋体" w:cs="Times New Roman"/>
                <w:sz w:val="24"/>
                <w:szCs w:val="24"/>
              </w:rPr>
              <w:t>1000元.次</w:t>
            </w:r>
          </w:p>
        </w:tc>
      </w:tr>
      <w:tr w14:paraId="7E00A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976" w:type="dxa"/>
            <w:noWrap w:val="0"/>
            <w:vAlign w:val="center"/>
          </w:tcPr>
          <w:p w14:paraId="4D4677DF">
            <w:pPr>
              <w:keepNext w:val="0"/>
              <w:keepLines w:val="0"/>
              <w:suppressLineNumbers w:val="0"/>
              <w:spacing w:before="0" w:beforeAutospacing="0" w:after="0" w:afterAutospacing="0"/>
              <w:ind w:left="0" w:right="0"/>
              <w:jc w:val="center"/>
              <w:rPr>
                <w:rFonts w:hint="eastAsia" w:ascii="宋体" w:hAnsi="宋体" w:cs="Times New Roman"/>
                <w:sz w:val="24"/>
                <w:szCs w:val="24"/>
              </w:rPr>
            </w:pPr>
            <w:r>
              <w:rPr>
                <w:rFonts w:hint="eastAsia" w:ascii="宋体" w:hAnsi="宋体" w:cs="Times New Roman"/>
                <w:sz w:val="24"/>
                <w:szCs w:val="24"/>
              </w:rPr>
              <w:t>45</w:t>
            </w:r>
          </w:p>
        </w:tc>
        <w:tc>
          <w:tcPr>
            <w:tcW w:w="5400" w:type="dxa"/>
            <w:noWrap w:val="0"/>
            <w:vAlign w:val="center"/>
          </w:tcPr>
          <w:p w14:paraId="2FCB7204">
            <w:pPr>
              <w:keepNext w:val="0"/>
              <w:keepLines w:val="0"/>
              <w:suppressLineNumbers w:val="0"/>
              <w:spacing w:before="0" w:beforeAutospacing="0" w:after="0" w:afterAutospacing="0"/>
              <w:ind w:left="0" w:right="0"/>
              <w:rPr>
                <w:rFonts w:hint="eastAsia" w:ascii="宋体" w:hAnsi="宋体" w:eastAsia="宋体" w:cs="Times New Roman"/>
                <w:sz w:val="24"/>
                <w:szCs w:val="24"/>
              </w:rPr>
            </w:pPr>
            <w:r>
              <w:rPr>
                <w:rFonts w:hint="eastAsia" w:ascii="宋体" w:hAnsi="宋体" w:eastAsia="宋体" w:cs="Times New Roman"/>
                <w:sz w:val="24"/>
                <w:szCs w:val="24"/>
              </w:rPr>
              <w:t>临时高处作业平台无围栏、搭设不规范的</w:t>
            </w:r>
          </w:p>
        </w:tc>
        <w:tc>
          <w:tcPr>
            <w:tcW w:w="1753" w:type="dxa"/>
            <w:noWrap w:val="0"/>
            <w:vAlign w:val="center"/>
          </w:tcPr>
          <w:p w14:paraId="30EB9B50">
            <w:pPr>
              <w:keepNext w:val="0"/>
              <w:keepLines w:val="0"/>
              <w:suppressLineNumbers w:val="0"/>
              <w:spacing w:before="0" w:beforeAutospacing="0" w:after="0" w:afterAutospacing="0"/>
              <w:ind w:left="0" w:right="0"/>
              <w:jc w:val="center"/>
              <w:rPr>
                <w:rFonts w:hint="eastAsia" w:ascii="宋体" w:hAnsi="宋体" w:cs="Times New Roman"/>
                <w:sz w:val="24"/>
                <w:szCs w:val="24"/>
              </w:rPr>
            </w:pPr>
            <w:r>
              <w:rPr>
                <w:rFonts w:hint="eastAsia" w:ascii="宋体" w:hAnsi="宋体" w:cs="Times New Roman"/>
                <w:sz w:val="24"/>
                <w:szCs w:val="24"/>
              </w:rPr>
              <w:t>1000元.处</w:t>
            </w:r>
          </w:p>
        </w:tc>
      </w:tr>
      <w:tr w14:paraId="3F411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976" w:type="dxa"/>
            <w:noWrap w:val="0"/>
            <w:vAlign w:val="center"/>
          </w:tcPr>
          <w:p w14:paraId="29E79E12">
            <w:pPr>
              <w:keepNext w:val="0"/>
              <w:keepLines w:val="0"/>
              <w:suppressLineNumbers w:val="0"/>
              <w:spacing w:before="0" w:beforeAutospacing="0" w:after="0" w:afterAutospacing="0"/>
              <w:ind w:left="0" w:right="0"/>
              <w:jc w:val="center"/>
              <w:rPr>
                <w:rFonts w:hint="eastAsia" w:ascii="宋体" w:hAnsi="宋体" w:cs="Times New Roman"/>
                <w:sz w:val="24"/>
                <w:szCs w:val="24"/>
              </w:rPr>
            </w:pPr>
            <w:r>
              <w:rPr>
                <w:rFonts w:hint="eastAsia" w:ascii="宋体" w:hAnsi="宋体" w:cs="Times New Roman"/>
                <w:sz w:val="24"/>
                <w:szCs w:val="24"/>
              </w:rPr>
              <w:t>46</w:t>
            </w:r>
          </w:p>
        </w:tc>
        <w:tc>
          <w:tcPr>
            <w:tcW w:w="5400" w:type="dxa"/>
            <w:noWrap w:val="0"/>
            <w:vAlign w:val="center"/>
          </w:tcPr>
          <w:p w14:paraId="08D71AB9">
            <w:pPr>
              <w:keepNext w:val="0"/>
              <w:keepLines w:val="0"/>
              <w:suppressLineNumbers w:val="0"/>
              <w:spacing w:before="0" w:beforeAutospacing="0" w:after="0" w:afterAutospacing="0"/>
              <w:ind w:left="0" w:right="0"/>
              <w:rPr>
                <w:rFonts w:hint="eastAsia" w:ascii="宋体" w:hAnsi="宋体" w:eastAsia="宋体" w:cs="Times New Roman"/>
                <w:sz w:val="24"/>
                <w:szCs w:val="24"/>
              </w:rPr>
            </w:pPr>
            <w:r>
              <w:rPr>
                <w:rFonts w:hint="eastAsia" w:ascii="宋体" w:hAnsi="宋体" w:eastAsia="宋体" w:cs="Times New Roman"/>
                <w:sz w:val="24"/>
                <w:szCs w:val="24"/>
              </w:rPr>
              <w:t>工人宿舍使用大功率电器的</w:t>
            </w:r>
          </w:p>
        </w:tc>
        <w:tc>
          <w:tcPr>
            <w:tcW w:w="1753" w:type="dxa"/>
            <w:noWrap w:val="0"/>
            <w:vAlign w:val="center"/>
          </w:tcPr>
          <w:p w14:paraId="0B88FCED">
            <w:pPr>
              <w:keepNext w:val="0"/>
              <w:keepLines w:val="0"/>
              <w:suppressLineNumbers w:val="0"/>
              <w:spacing w:before="0" w:beforeAutospacing="0" w:after="0" w:afterAutospacing="0"/>
              <w:ind w:left="0" w:right="0"/>
              <w:jc w:val="center"/>
              <w:rPr>
                <w:rFonts w:hint="default" w:ascii="宋体" w:hAnsi="宋体" w:cs="Times New Roman"/>
                <w:sz w:val="24"/>
                <w:szCs w:val="24"/>
              </w:rPr>
            </w:pPr>
            <w:r>
              <w:rPr>
                <w:rFonts w:hint="eastAsia" w:ascii="宋体" w:hAnsi="宋体" w:cs="Times New Roman"/>
                <w:sz w:val="24"/>
                <w:szCs w:val="24"/>
              </w:rPr>
              <w:t>500元.次</w:t>
            </w:r>
          </w:p>
        </w:tc>
      </w:tr>
      <w:tr w14:paraId="76E73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976" w:type="dxa"/>
            <w:noWrap w:val="0"/>
            <w:vAlign w:val="center"/>
          </w:tcPr>
          <w:p w14:paraId="019DFF3D">
            <w:pPr>
              <w:keepNext w:val="0"/>
              <w:keepLines w:val="0"/>
              <w:suppressLineNumbers w:val="0"/>
              <w:spacing w:before="0" w:beforeAutospacing="0" w:after="0" w:afterAutospacing="0"/>
              <w:ind w:left="0" w:right="0"/>
              <w:jc w:val="center"/>
              <w:rPr>
                <w:rFonts w:hint="eastAsia" w:ascii="宋体" w:hAnsi="宋体" w:cs="Times New Roman"/>
                <w:sz w:val="24"/>
                <w:szCs w:val="24"/>
              </w:rPr>
            </w:pPr>
            <w:r>
              <w:rPr>
                <w:rFonts w:hint="eastAsia" w:ascii="宋体" w:hAnsi="宋体" w:cs="Times New Roman"/>
                <w:sz w:val="24"/>
                <w:szCs w:val="24"/>
              </w:rPr>
              <w:t>47</w:t>
            </w:r>
          </w:p>
        </w:tc>
        <w:tc>
          <w:tcPr>
            <w:tcW w:w="5400" w:type="dxa"/>
            <w:noWrap w:val="0"/>
            <w:vAlign w:val="center"/>
          </w:tcPr>
          <w:p w14:paraId="43A250E7">
            <w:pPr>
              <w:keepNext w:val="0"/>
              <w:keepLines w:val="0"/>
              <w:suppressLineNumbers w:val="0"/>
              <w:spacing w:before="0" w:beforeAutospacing="0" w:after="0" w:afterAutospacing="0"/>
              <w:ind w:left="0" w:right="0"/>
              <w:rPr>
                <w:rFonts w:hint="eastAsia" w:ascii="新宋体" w:hAnsi="新宋体" w:eastAsia="新宋体" w:cs="Times New Roman"/>
                <w:sz w:val="24"/>
                <w:szCs w:val="24"/>
              </w:rPr>
            </w:pPr>
            <w:r>
              <w:rPr>
                <w:rFonts w:hint="eastAsia" w:ascii="新宋体" w:hAnsi="新宋体" w:eastAsia="新宋体" w:cs="Times New Roman"/>
                <w:sz w:val="24"/>
                <w:szCs w:val="24"/>
              </w:rPr>
              <w:t>工人宿舍使用明火的</w:t>
            </w:r>
          </w:p>
        </w:tc>
        <w:tc>
          <w:tcPr>
            <w:tcW w:w="1753" w:type="dxa"/>
            <w:noWrap w:val="0"/>
            <w:vAlign w:val="center"/>
          </w:tcPr>
          <w:p w14:paraId="31288633">
            <w:pPr>
              <w:keepNext w:val="0"/>
              <w:keepLines w:val="0"/>
              <w:suppressLineNumbers w:val="0"/>
              <w:spacing w:before="0" w:beforeAutospacing="0" w:after="0" w:afterAutospacing="0"/>
              <w:ind w:left="0" w:right="0"/>
              <w:jc w:val="center"/>
              <w:rPr>
                <w:rFonts w:hint="default" w:ascii="宋体" w:hAnsi="宋体" w:cs="Times New Roman"/>
                <w:sz w:val="24"/>
                <w:szCs w:val="24"/>
              </w:rPr>
            </w:pPr>
            <w:r>
              <w:rPr>
                <w:rFonts w:hint="eastAsia" w:ascii="宋体" w:hAnsi="宋体" w:cs="Times New Roman"/>
                <w:sz w:val="24"/>
                <w:szCs w:val="24"/>
              </w:rPr>
              <w:t>500元.次</w:t>
            </w:r>
          </w:p>
        </w:tc>
      </w:tr>
      <w:tr w14:paraId="21723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976" w:type="dxa"/>
            <w:noWrap w:val="0"/>
            <w:vAlign w:val="center"/>
          </w:tcPr>
          <w:p w14:paraId="3C5F134A">
            <w:pPr>
              <w:keepNext w:val="0"/>
              <w:keepLines w:val="0"/>
              <w:suppressLineNumbers w:val="0"/>
              <w:spacing w:before="0" w:beforeAutospacing="0" w:after="0" w:afterAutospacing="0"/>
              <w:ind w:left="0" w:right="0"/>
              <w:jc w:val="center"/>
              <w:rPr>
                <w:rFonts w:hint="eastAsia" w:ascii="宋体" w:hAnsi="宋体" w:cs="Times New Roman"/>
                <w:sz w:val="24"/>
                <w:szCs w:val="24"/>
              </w:rPr>
            </w:pPr>
            <w:r>
              <w:rPr>
                <w:rFonts w:hint="eastAsia" w:ascii="宋体" w:hAnsi="宋体" w:cs="Times New Roman"/>
                <w:sz w:val="24"/>
                <w:szCs w:val="24"/>
              </w:rPr>
              <w:t>48</w:t>
            </w:r>
          </w:p>
        </w:tc>
        <w:tc>
          <w:tcPr>
            <w:tcW w:w="5400" w:type="dxa"/>
            <w:noWrap w:val="0"/>
            <w:vAlign w:val="center"/>
          </w:tcPr>
          <w:p w14:paraId="78D3DBE6">
            <w:pPr>
              <w:keepNext w:val="0"/>
              <w:keepLines w:val="0"/>
              <w:suppressLineNumbers w:val="0"/>
              <w:spacing w:before="0" w:beforeAutospacing="0" w:after="0" w:afterAutospacing="0"/>
              <w:ind w:left="0" w:right="0"/>
              <w:rPr>
                <w:rFonts w:hint="eastAsia" w:ascii="新宋体" w:hAnsi="新宋体" w:eastAsia="新宋体" w:cs="Times New Roman"/>
                <w:sz w:val="24"/>
                <w:szCs w:val="24"/>
              </w:rPr>
            </w:pPr>
            <w:r>
              <w:rPr>
                <w:rFonts w:hint="eastAsia" w:ascii="新宋体" w:hAnsi="新宋体" w:eastAsia="新宋体" w:cs="Times New Roman"/>
                <w:sz w:val="24"/>
                <w:szCs w:val="24"/>
              </w:rPr>
              <w:t>工人宿舍脏乱差的</w:t>
            </w:r>
          </w:p>
        </w:tc>
        <w:tc>
          <w:tcPr>
            <w:tcW w:w="1753" w:type="dxa"/>
            <w:noWrap w:val="0"/>
            <w:vAlign w:val="center"/>
          </w:tcPr>
          <w:p w14:paraId="33014E1B">
            <w:pPr>
              <w:keepNext w:val="0"/>
              <w:keepLines w:val="0"/>
              <w:suppressLineNumbers w:val="0"/>
              <w:spacing w:before="0" w:beforeAutospacing="0" w:after="0" w:afterAutospacing="0"/>
              <w:ind w:left="0" w:right="0"/>
              <w:jc w:val="center"/>
              <w:rPr>
                <w:rFonts w:hint="default" w:ascii="宋体" w:hAnsi="宋体" w:cs="Times New Roman"/>
                <w:sz w:val="24"/>
                <w:szCs w:val="24"/>
              </w:rPr>
            </w:pPr>
            <w:r>
              <w:rPr>
                <w:rFonts w:hint="eastAsia" w:ascii="宋体" w:hAnsi="宋体" w:cs="Times New Roman"/>
                <w:sz w:val="24"/>
                <w:szCs w:val="24"/>
              </w:rPr>
              <w:t>200元.次</w:t>
            </w:r>
          </w:p>
        </w:tc>
      </w:tr>
      <w:tr w14:paraId="1B4F4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976" w:type="dxa"/>
            <w:noWrap w:val="0"/>
            <w:vAlign w:val="center"/>
          </w:tcPr>
          <w:p w14:paraId="4619FB60">
            <w:pPr>
              <w:keepNext w:val="0"/>
              <w:keepLines w:val="0"/>
              <w:suppressLineNumbers w:val="0"/>
              <w:spacing w:before="0" w:beforeAutospacing="0" w:after="0" w:afterAutospacing="0"/>
              <w:ind w:left="0" w:right="0"/>
              <w:jc w:val="center"/>
              <w:rPr>
                <w:rFonts w:hint="eastAsia" w:ascii="宋体" w:hAnsi="宋体" w:cs="Times New Roman"/>
                <w:sz w:val="24"/>
                <w:szCs w:val="24"/>
              </w:rPr>
            </w:pPr>
            <w:r>
              <w:rPr>
                <w:rFonts w:hint="eastAsia" w:ascii="宋体" w:hAnsi="宋体" w:cs="Times New Roman"/>
                <w:sz w:val="24"/>
                <w:szCs w:val="24"/>
              </w:rPr>
              <w:t>49</w:t>
            </w:r>
          </w:p>
        </w:tc>
        <w:tc>
          <w:tcPr>
            <w:tcW w:w="5400" w:type="dxa"/>
            <w:noWrap w:val="0"/>
            <w:vAlign w:val="center"/>
          </w:tcPr>
          <w:p w14:paraId="6F8E2298">
            <w:pPr>
              <w:keepNext w:val="0"/>
              <w:keepLines w:val="0"/>
              <w:suppressLineNumbers w:val="0"/>
              <w:spacing w:before="0" w:beforeAutospacing="0" w:after="0" w:afterAutospacing="0"/>
              <w:ind w:left="0" w:right="0"/>
              <w:rPr>
                <w:rFonts w:hint="eastAsia" w:ascii="新宋体" w:hAnsi="新宋体" w:eastAsia="新宋体" w:cs="Times New Roman"/>
                <w:sz w:val="24"/>
                <w:szCs w:val="24"/>
              </w:rPr>
            </w:pPr>
            <w:r>
              <w:rPr>
                <w:rFonts w:hint="eastAsia" w:ascii="新宋体" w:hAnsi="新宋体" w:eastAsia="新宋体" w:cs="Times New Roman"/>
                <w:sz w:val="24"/>
                <w:szCs w:val="24"/>
              </w:rPr>
              <w:t>电动车随意在宿舍区，办公区充电的</w:t>
            </w:r>
          </w:p>
        </w:tc>
        <w:tc>
          <w:tcPr>
            <w:tcW w:w="1753" w:type="dxa"/>
            <w:noWrap w:val="0"/>
            <w:vAlign w:val="center"/>
          </w:tcPr>
          <w:p w14:paraId="2088C4B9">
            <w:pPr>
              <w:keepNext w:val="0"/>
              <w:keepLines w:val="0"/>
              <w:suppressLineNumbers w:val="0"/>
              <w:spacing w:before="0" w:beforeAutospacing="0" w:after="0" w:afterAutospacing="0"/>
              <w:ind w:left="0" w:right="0"/>
              <w:jc w:val="center"/>
              <w:rPr>
                <w:rFonts w:hint="default" w:ascii="宋体" w:hAnsi="宋体" w:cs="Times New Roman"/>
                <w:sz w:val="24"/>
                <w:szCs w:val="24"/>
              </w:rPr>
            </w:pPr>
            <w:r>
              <w:rPr>
                <w:rFonts w:hint="eastAsia" w:ascii="宋体" w:hAnsi="宋体" w:cs="Times New Roman"/>
                <w:sz w:val="24"/>
                <w:szCs w:val="24"/>
              </w:rPr>
              <w:t>200元.次</w:t>
            </w:r>
          </w:p>
        </w:tc>
      </w:tr>
      <w:tr w14:paraId="43506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976" w:type="dxa"/>
            <w:noWrap w:val="0"/>
            <w:vAlign w:val="center"/>
          </w:tcPr>
          <w:p w14:paraId="790E5CE4">
            <w:pPr>
              <w:keepNext w:val="0"/>
              <w:keepLines w:val="0"/>
              <w:suppressLineNumbers w:val="0"/>
              <w:spacing w:before="0" w:beforeAutospacing="0" w:after="0" w:afterAutospacing="0"/>
              <w:ind w:left="0" w:right="0"/>
              <w:jc w:val="center"/>
              <w:rPr>
                <w:rFonts w:hint="eastAsia" w:ascii="宋体" w:hAnsi="宋体" w:cs="Times New Roman"/>
                <w:sz w:val="24"/>
                <w:szCs w:val="24"/>
              </w:rPr>
            </w:pPr>
            <w:r>
              <w:rPr>
                <w:rFonts w:hint="eastAsia" w:ascii="宋体" w:hAnsi="宋体" w:cs="Times New Roman"/>
                <w:sz w:val="24"/>
                <w:szCs w:val="24"/>
              </w:rPr>
              <w:t>50</w:t>
            </w:r>
          </w:p>
        </w:tc>
        <w:tc>
          <w:tcPr>
            <w:tcW w:w="5400" w:type="dxa"/>
            <w:noWrap w:val="0"/>
            <w:vAlign w:val="center"/>
          </w:tcPr>
          <w:p w14:paraId="64E83E4D">
            <w:pPr>
              <w:keepNext w:val="0"/>
              <w:keepLines w:val="0"/>
              <w:suppressLineNumbers w:val="0"/>
              <w:spacing w:before="0" w:beforeAutospacing="0" w:after="0" w:afterAutospacing="0"/>
              <w:ind w:left="0" w:right="0"/>
              <w:rPr>
                <w:rFonts w:hint="eastAsia" w:ascii="新宋体" w:hAnsi="新宋体" w:eastAsia="新宋体" w:cs="Times New Roman"/>
                <w:sz w:val="24"/>
                <w:szCs w:val="24"/>
              </w:rPr>
            </w:pPr>
            <w:r>
              <w:rPr>
                <w:rFonts w:hint="eastAsia" w:ascii="新宋体" w:hAnsi="新宋体" w:eastAsia="新宋体" w:cs="Times New Roman"/>
                <w:sz w:val="24"/>
                <w:szCs w:val="24"/>
              </w:rPr>
              <w:t>现场随意大小便的</w:t>
            </w:r>
          </w:p>
        </w:tc>
        <w:tc>
          <w:tcPr>
            <w:tcW w:w="1753" w:type="dxa"/>
            <w:noWrap w:val="0"/>
            <w:vAlign w:val="center"/>
          </w:tcPr>
          <w:p w14:paraId="5897B9A3">
            <w:pPr>
              <w:keepNext w:val="0"/>
              <w:keepLines w:val="0"/>
              <w:suppressLineNumbers w:val="0"/>
              <w:spacing w:before="0" w:beforeAutospacing="0" w:after="0" w:afterAutospacing="0"/>
              <w:ind w:left="0" w:right="0"/>
              <w:jc w:val="center"/>
              <w:rPr>
                <w:rFonts w:hint="eastAsia" w:ascii="宋体" w:hAnsi="宋体" w:cs="Times New Roman"/>
                <w:sz w:val="24"/>
                <w:szCs w:val="24"/>
              </w:rPr>
            </w:pPr>
            <w:r>
              <w:rPr>
                <w:rFonts w:hint="eastAsia" w:ascii="宋体" w:hAnsi="宋体" w:cs="Times New Roman"/>
                <w:sz w:val="24"/>
                <w:szCs w:val="24"/>
              </w:rPr>
              <w:t>200元.次</w:t>
            </w:r>
          </w:p>
        </w:tc>
      </w:tr>
    </w:tbl>
    <w:p w14:paraId="7DEE54F8"/>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roman"/>
    <w:pitch w:val="default"/>
    <w:sig w:usb0="00000000" w:usb1="00000000" w:usb2="00000000"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8281B">
    <w:pPr>
      <w:snapToGrid w:val="0"/>
      <w:jc w:val="cen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lang w:val="zh-CN"/>
      </w:rPr>
      <w:t>2</w:t>
    </w:r>
    <w:r>
      <w:rPr>
        <w:sz w:val="18"/>
        <w:szCs w:val="18"/>
      </w:rPr>
      <w:fldChar w:fldCharType="end"/>
    </w:r>
  </w:p>
  <w:p w14:paraId="6FBF1929">
    <w:pPr>
      <w:snapToGrid w:val="0"/>
      <w:jc w:val="left"/>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21BB0">
    <w:pPr>
      <w:snapToGrid w:val="0"/>
      <w:jc w:val="left"/>
      <w:rPr>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002A9">
    <w:pPr>
      <w:pBdr>
        <w:bottom w:val="single" w:color="auto" w:sz="6" w:space="1"/>
      </w:pBdr>
      <w:snapToGrid w:val="0"/>
      <w:jc w:val="cent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1"/>
    <w:multiLevelType w:val="multilevel"/>
    <w:tmpl w:val="00000011"/>
    <w:lvl w:ilvl="0" w:tentative="0">
      <w:start w:val="1"/>
      <w:numFmt w:val="decimal"/>
      <w:lvlText w:val="%1."/>
      <w:lvlJc w:val="left"/>
      <w:pPr>
        <w:tabs>
          <w:tab w:val="left" w:pos="0"/>
        </w:tabs>
        <w:ind w:left="510" w:hanging="510"/>
      </w:pPr>
      <w:rPr>
        <w:rFonts w:hint="eastAsia" w:ascii="Times New Roman" w:hAnsi="Times New Roman" w:eastAsia="宋体"/>
        <w:b w:val="0"/>
        <w:i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C1F411D"/>
    <w:multiLevelType w:val="singleLevel"/>
    <w:tmpl w:val="0C1F411D"/>
    <w:lvl w:ilvl="0" w:tentative="0">
      <w:start w:val="5"/>
      <w:numFmt w:val="decimal"/>
      <w:suff w:val="nothing"/>
      <w:lvlText w:val="%1、"/>
      <w:lvlJc w:val="left"/>
    </w:lvl>
  </w:abstractNum>
  <w:abstractNum w:abstractNumId="2">
    <w:nsid w:val="17463DBA"/>
    <w:multiLevelType w:val="singleLevel"/>
    <w:tmpl w:val="17463DBA"/>
    <w:lvl w:ilvl="0" w:tentative="0">
      <w:start w:val="5"/>
      <w:numFmt w:val="chineseCounting"/>
      <w:suff w:val="nothing"/>
      <w:lvlText w:val="%1、"/>
      <w:lvlJc w:val="left"/>
      <w:pPr>
        <w:ind w:left="360" w:firstLine="0"/>
      </w:pPr>
      <w:rPr>
        <w:rFonts w:hint="eastAsia"/>
      </w:rPr>
    </w:lvl>
  </w:abstractNum>
  <w:abstractNum w:abstractNumId="3">
    <w:nsid w:val="4D5A4498"/>
    <w:multiLevelType w:val="multilevel"/>
    <w:tmpl w:val="4D5A4498"/>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7E8B665C"/>
    <w:multiLevelType w:val="multilevel"/>
    <w:tmpl w:val="7E8B665C"/>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73E"/>
    <w:rsid w:val="00042D3E"/>
    <w:rsid w:val="0008127D"/>
    <w:rsid w:val="000841DB"/>
    <w:rsid w:val="000B145B"/>
    <w:rsid w:val="00117E3B"/>
    <w:rsid w:val="00120F3F"/>
    <w:rsid w:val="0012509B"/>
    <w:rsid w:val="00134EB5"/>
    <w:rsid w:val="001710F3"/>
    <w:rsid w:val="001E4BF3"/>
    <w:rsid w:val="002021E5"/>
    <w:rsid w:val="002160EA"/>
    <w:rsid w:val="0028056E"/>
    <w:rsid w:val="0030230B"/>
    <w:rsid w:val="00317858"/>
    <w:rsid w:val="0033544A"/>
    <w:rsid w:val="00405306"/>
    <w:rsid w:val="00435E4E"/>
    <w:rsid w:val="004544F0"/>
    <w:rsid w:val="004A4174"/>
    <w:rsid w:val="004E7424"/>
    <w:rsid w:val="00521D6D"/>
    <w:rsid w:val="00591E23"/>
    <w:rsid w:val="005B0958"/>
    <w:rsid w:val="005B59A7"/>
    <w:rsid w:val="005D73F6"/>
    <w:rsid w:val="00601093"/>
    <w:rsid w:val="00627868"/>
    <w:rsid w:val="00682D28"/>
    <w:rsid w:val="00694D3C"/>
    <w:rsid w:val="006E7CBC"/>
    <w:rsid w:val="00700024"/>
    <w:rsid w:val="0071407F"/>
    <w:rsid w:val="00715A78"/>
    <w:rsid w:val="007266A2"/>
    <w:rsid w:val="0074573E"/>
    <w:rsid w:val="007478B9"/>
    <w:rsid w:val="007760B6"/>
    <w:rsid w:val="007A42FE"/>
    <w:rsid w:val="007B4112"/>
    <w:rsid w:val="007E3954"/>
    <w:rsid w:val="007E7772"/>
    <w:rsid w:val="008064C6"/>
    <w:rsid w:val="00816D3C"/>
    <w:rsid w:val="008205C3"/>
    <w:rsid w:val="008545B4"/>
    <w:rsid w:val="008F7820"/>
    <w:rsid w:val="009070BD"/>
    <w:rsid w:val="009601A6"/>
    <w:rsid w:val="009F0EB8"/>
    <w:rsid w:val="00AA443A"/>
    <w:rsid w:val="00AB7263"/>
    <w:rsid w:val="00AF29CD"/>
    <w:rsid w:val="00AF4410"/>
    <w:rsid w:val="00B20DF2"/>
    <w:rsid w:val="00B358DD"/>
    <w:rsid w:val="00B35F6D"/>
    <w:rsid w:val="00BA3649"/>
    <w:rsid w:val="00BB224D"/>
    <w:rsid w:val="00BB5908"/>
    <w:rsid w:val="00BC782C"/>
    <w:rsid w:val="00BF618E"/>
    <w:rsid w:val="00BF622C"/>
    <w:rsid w:val="00BF69D8"/>
    <w:rsid w:val="00D04E7A"/>
    <w:rsid w:val="00D05C54"/>
    <w:rsid w:val="00D073A9"/>
    <w:rsid w:val="00D178CC"/>
    <w:rsid w:val="00D71B6D"/>
    <w:rsid w:val="00DC7AF0"/>
    <w:rsid w:val="00E0695E"/>
    <w:rsid w:val="00E41EFA"/>
    <w:rsid w:val="00E538EE"/>
    <w:rsid w:val="00E91CF5"/>
    <w:rsid w:val="00EA0DF1"/>
    <w:rsid w:val="00EA4794"/>
    <w:rsid w:val="00EC304D"/>
    <w:rsid w:val="00F3402D"/>
    <w:rsid w:val="015123B9"/>
    <w:rsid w:val="018067FB"/>
    <w:rsid w:val="019C0E4C"/>
    <w:rsid w:val="02810A7C"/>
    <w:rsid w:val="03577139"/>
    <w:rsid w:val="04763EE5"/>
    <w:rsid w:val="05213046"/>
    <w:rsid w:val="05720B50"/>
    <w:rsid w:val="068E19BA"/>
    <w:rsid w:val="069023E5"/>
    <w:rsid w:val="073C1416"/>
    <w:rsid w:val="074D717F"/>
    <w:rsid w:val="089E3A0A"/>
    <w:rsid w:val="08B1373D"/>
    <w:rsid w:val="08F20B5E"/>
    <w:rsid w:val="08F655F4"/>
    <w:rsid w:val="097E5D15"/>
    <w:rsid w:val="09880942"/>
    <w:rsid w:val="098D5F59"/>
    <w:rsid w:val="099971D7"/>
    <w:rsid w:val="09D80EE1"/>
    <w:rsid w:val="0A312D88"/>
    <w:rsid w:val="0A3E54A5"/>
    <w:rsid w:val="0A456833"/>
    <w:rsid w:val="0ADA341F"/>
    <w:rsid w:val="0B9C2483"/>
    <w:rsid w:val="0EAE0E4B"/>
    <w:rsid w:val="0F052A35"/>
    <w:rsid w:val="0F07422B"/>
    <w:rsid w:val="0F864C61"/>
    <w:rsid w:val="0FC95811"/>
    <w:rsid w:val="100E1475"/>
    <w:rsid w:val="11125EAC"/>
    <w:rsid w:val="11494E5B"/>
    <w:rsid w:val="114C18E7"/>
    <w:rsid w:val="11755C50"/>
    <w:rsid w:val="11C40985"/>
    <w:rsid w:val="129465AA"/>
    <w:rsid w:val="13225964"/>
    <w:rsid w:val="141356FC"/>
    <w:rsid w:val="14BC76F2"/>
    <w:rsid w:val="1546116B"/>
    <w:rsid w:val="15520B36"/>
    <w:rsid w:val="15B64A89"/>
    <w:rsid w:val="15C84AF8"/>
    <w:rsid w:val="16011B6B"/>
    <w:rsid w:val="16104199"/>
    <w:rsid w:val="161D019D"/>
    <w:rsid w:val="163559AE"/>
    <w:rsid w:val="1695469E"/>
    <w:rsid w:val="16F92E7F"/>
    <w:rsid w:val="18A67A46"/>
    <w:rsid w:val="190478B9"/>
    <w:rsid w:val="19726F19"/>
    <w:rsid w:val="1A312930"/>
    <w:rsid w:val="1B495A57"/>
    <w:rsid w:val="1CDF48C5"/>
    <w:rsid w:val="1D1E53EE"/>
    <w:rsid w:val="1DB54CF9"/>
    <w:rsid w:val="1E122A78"/>
    <w:rsid w:val="1E352123"/>
    <w:rsid w:val="1E5F5CBE"/>
    <w:rsid w:val="1F1F71FB"/>
    <w:rsid w:val="1F770DE5"/>
    <w:rsid w:val="1FAC75ED"/>
    <w:rsid w:val="208732AA"/>
    <w:rsid w:val="208F44AE"/>
    <w:rsid w:val="216B2BCB"/>
    <w:rsid w:val="217A2E0F"/>
    <w:rsid w:val="21DA565B"/>
    <w:rsid w:val="22156033"/>
    <w:rsid w:val="228A52D3"/>
    <w:rsid w:val="22F64717"/>
    <w:rsid w:val="232F45C5"/>
    <w:rsid w:val="235D02F2"/>
    <w:rsid w:val="235F406A"/>
    <w:rsid w:val="236A4616"/>
    <w:rsid w:val="237D6BE6"/>
    <w:rsid w:val="23AE4FF1"/>
    <w:rsid w:val="23E80503"/>
    <w:rsid w:val="24CF3471"/>
    <w:rsid w:val="25657932"/>
    <w:rsid w:val="25A641D2"/>
    <w:rsid w:val="25C63182"/>
    <w:rsid w:val="262D48F3"/>
    <w:rsid w:val="26345C82"/>
    <w:rsid w:val="275B0BAF"/>
    <w:rsid w:val="276A7481"/>
    <w:rsid w:val="27DD40F7"/>
    <w:rsid w:val="28D252DE"/>
    <w:rsid w:val="2A585AD1"/>
    <w:rsid w:val="2AF7102C"/>
    <w:rsid w:val="2B647A02"/>
    <w:rsid w:val="2B6D0292"/>
    <w:rsid w:val="2BA47406"/>
    <w:rsid w:val="2BC86A6E"/>
    <w:rsid w:val="2BEA0B91"/>
    <w:rsid w:val="2BEC23AE"/>
    <w:rsid w:val="2C610E53"/>
    <w:rsid w:val="2CC338BC"/>
    <w:rsid w:val="2D870D8D"/>
    <w:rsid w:val="2DE7182C"/>
    <w:rsid w:val="2EF73CF0"/>
    <w:rsid w:val="2F3278B8"/>
    <w:rsid w:val="30A25EDE"/>
    <w:rsid w:val="30C85944"/>
    <w:rsid w:val="311E37B6"/>
    <w:rsid w:val="31210BB1"/>
    <w:rsid w:val="31383767"/>
    <w:rsid w:val="316B62D0"/>
    <w:rsid w:val="318B24CE"/>
    <w:rsid w:val="31A517E2"/>
    <w:rsid w:val="31EF5153"/>
    <w:rsid w:val="328B38FE"/>
    <w:rsid w:val="33D95773"/>
    <w:rsid w:val="3402116D"/>
    <w:rsid w:val="345A37EA"/>
    <w:rsid w:val="35B3327A"/>
    <w:rsid w:val="35D76305"/>
    <w:rsid w:val="35EB79DF"/>
    <w:rsid w:val="362F3D70"/>
    <w:rsid w:val="36653C36"/>
    <w:rsid w:val="36C62BE9"/>
    <w:rsid w:val="37305FF2"/>
    <w:rsid w:val="387737AC"/>
    <w:rsid w:val="39C12F31"/>
    <w:rsid w:val="3A800CD4"/>
    <w:rsid w:val="3ACA22B9"/>
    <w:rsid w:val="3C77021F"/>
    <w:rsid w:val="3C942B7F"/>
    <w:rsid w:val="3CD773A1"/>
    <w:rsid w:val="3D4C16AB"/>
    <w:rsid w:val="3D6A1B31"/>
    <w:rsid w:val="3D956BAE"/>
    <w:rsid w:val="3DC00DEA"/>
    <w:rsid w:val="3DEE2762"/>
    <w:rsid w:val="3E2B7513"/>
    <w:rsid w:val="3E3706F5"/>
    <w:rsid w:val="3E6F5651"/>
    <w:rsid w:val="3F4973D5"/>
    <w:rsid w:val="3F79605C"/>
    <w:rsid w:val="3FFD6C8D"/>
    <w:rsid w:val="40AB44E9"/>
    <w:rsid w:val="40D53766"/>
    <w:rsid w:val="413E5CDE"/>
    <w:rsid w:val="41EE4ADF"/>
    <w:rsid w:val="41F540C0"/>
    <w:rsid w:val="422E75D1"/>
    <w:rsid w:val="425D624F"/>
    <w:rsid w:val="42F73E67"/>
    <w:rsid w:val="438374A9"/>
    <w:rsid w:val="44305883"/>
    <w:rsid w:val="450B59A8"/>
    <w:rsid w:val="461B7E6D"/>
    <w:rsid w:val="46696E2A"/>
    <w:rsid w:val="478163F5"/>
    <w:rsid w:val="47AF09D1"/>
    <w:rsid w:val="47CD5197"/>
    <w:rsid w:val="49423962"/>
    <w:rsid w:val="4977360C"/>
    <w:rsid w:val="4AE83082"/>
    <w:rsid w:val="4C9A5DD2"/>
    <w:rsid w:val="4D1B4BF6"/>
    <w:rsid w:val="4D3A1520"/>
    <w:rsid w:val="4D5F0F87"/>
    <w:rsid w:val="4DBE3EFF"/>
    <w:rsid w:val="4DC91442"/>
    <w:rsid w:val="4E473EF5"/>
    <w:rsid w:val="4F4421E2"/>
    <w:rsid w:val="4F6665FD"/>
    <w:rsid w:val="4FDC241B"/>
    <w:rsid w:val="50795EBC"/>
    <w:rsid w:val="5093326E"/>
    <w:rsid w:val="50BD049E"/>
    <w:rsid w:val="50F11EF6"/>
    <w:rsid w:val="51220301"/>
    <w:rsid w:val="514A7E93"/>
    <w:rsid w:val="51932FAD"/>
    <w:rsid w:val="523F4EE3"/>
    <w:rsid w:val="52A90DFD"/>
    <w:rsid w:val="52EF44DC"/>
    <w:rsid w:val="533267F6"/>
    <w:rsid w:val="53A5346C"/>
    <w:rsid w:val="53DD49B3"/>
    <w:rsid w:val="53F565DD"/>
    <w:rsid w:val="541F6D7A"/>
    <w:rsid w:val="54295E4B"/>
    <w:rsid w:val="54324CFF"/>
    <w:rsid w:val="54BC6CBF"/>
    <w:rsid w:val="54C317EB"/>
    <w:rsid w:val="55E53FF3"/>
    <w:rsid w:val="561F3061"/>
    <w:rsid w:val="56DA342C"/>
    <w:rsid w:val="570F1328"/>
    <w:rsid w:val="57F95B34"/>
    <w:rsid w:val="58DF4D2A"/>
    <w:rsid w:val="59AF558A"/>
    <w:rsid w:val="5A1203F2"/>
    <w:rsid w:val="5A951B44"/>
    <w:rsid w:val="5B7E5514"/>
    <w:rsid w:val="5C315164"/>
    <w:rsid w:val="5C735EB5"/>
    <w:rsid w:val="5CA8497A"/>
    <w:rsid w:val="5D706898"/>
    <w:rsid w:val="5DA636CC"/>
    <w:rsid w:val="5E056FE1"/>
    <w:rsid w:val="5E296739"/>
    <w:rsid w:val="5E443FAD"/>
    <w:rsid w:val="5E915283"/>
    <w:rsid w:val="5F4030EF"/>
    <w:rsid w:val="5FB707AE"/>
    <w:rsid w:val="604A2C27"/>
    <w:rsid w:val="611D6D37"/>
    <w:rsid w:val="614928B4"/>
    <w:rsid w:val="61A86601"/>
    <w:rsid w:val="62257C51"/>
    <w:rsid w:val="62865E79"/>
    <w:rsid w:val="629152E7"/>
    <w:rsid w:val="640E086A"/>
    <w:rsid w:val="640E24E8"/>
    <w:rsid w:val="64AF7CA6"/>
    <w:rsid w:val="651D7306"/>
    <w:rsid w:val="653E102A"/>
    <w:rsid w:val="65DC0F6F"/>
    <w:rsid w:val="66C305FD"/>
    <w:rsid w:val="67043DEC"/>
    <w:rsid w:val="67544B35"/>
    <w:rsid w:val="677551D7"/>
    <w:rsid w:val="685F7C35"/>
    <w:rsid w:val="68A37B22"/>
    <w:rsid w:val="690A5DF3"/>
    <w:rsid w:val="69877444"/>
    <w:rsid w:val="69B813AB"/>
    <w:rsid w:val="6A000E13"/>
    <w:rsid w:val="6A86594D"/>
    <w:rsid w:val="6C545B2F"/>
    <w:rsid w:val="6C68355C"/>
    <w:rsid w:val="6C991968"/>
    <w:rsid w:val="6D0724B1"/>
    <w:rsid w:val="6DC5678C"/>
    <w:rsid w:val="6E597525"/>
    <w:rsid w:val="6F631DB9"/>
    <w:rsid w:val="6FCA62DC"/>
    <w:rsid w:val="718D5813"/>
    <w:rsid w:val="718E7CCB"/>
    <w:rsid w:val="723E08BB"/>
    <w:rsid w:val="724A6091"/>
    <w:rsid w:val="727B38BE"/>
    <w:rsid w:val="72B77759"/>
    <w:rsid w:val="73BB0416"/>
    <w:rsid w:val="74123DAE"/>
    <w:rsid w:val="74347E2B"/>
    <w:rsid w:val="74987681"/>
    <w:rsid w:val="75114065"/>
    <w:rsid w:val="758B3E18"/>
    <w:rsid w:val="763E1561"/>
    <w:rsid w:val="7682346D"/>
    <w:rsid w:val="768F00D0"/>
    <w:rsid w:val="76D15C5E"/>
    <w:rsid w:val="783C1C8F"/>
    <w:rsid w:val="78615304"/>
    <w:rsid w:val="78FF0DA4"/>
    <w:rsid w:val="790E0FE8"/>
    <w:rsid w:val="797406E0"/>
    <w:rsid w:val="79CE69C9"/>
    <w:rsid w:val="7A8552D9"/>
    <w:rsid w:val="7ACD6C80"/>
    <w:rsid w:val="7ADD3367"/>
    <w:rsid w:val="7B4231CA"/>
    <w:rsid w:val="7BCC6F38"/>
    <w:rsid w:val="7BE24C8A"/>
    <w:rsid w:val="7C1B431B"/>
    <w:rsid w:val="7C507B69"/>
    <w:rsid w:val="7C683105"/>
    <w:rsid w:val="7E2412AD"/>
    <w:rsid w:val="7E3A4421"/>
    <w:rsid w:val="7E6E107E"/>
    <w:rsid w:val="7EBC7738"/>
    <w:rsid w:val="7EF26CB5"/>
    <w:rsid w:val="7F2C666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next w:val="1"/>
    <w:qFormat/>
    <w:uiPriority w:val="0"/>
    <w:pPr>
      <w:ind w:firstLine="630"/>
    </w:pPr>
    <w:rPr>
      <w:rFonts w:ascii="宋体" w:cs="Times New Roman"/>
      <w:kern w:val="0"/>
      <w:sz w:val="20"/>
      <w:szCs w:val="20"/>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9">
    <w:name w:val="Strong"/>
    <w:basedOn w:val="8"/>
    <w:qFormat/>
    <w:uiPriority w:val="22"/>
    <w:rPr>
      <w:b/>
      <w:bCs/>
    </w:rPr>
  </w:style>
  <w:style w:type="character" w:styleId="10">
    <w:name w:val="annotation reference"/>
    <w:basedOn w:val="8"/>
    <w:qFormat/>
    <w:uiPriority w:val="0"/>
    <w:rPr>
      <w:sz w:val="21"/>
      <w:szCs w:val="21"/>
    </w:rPr>
  </w:style>
  <w:style w:type="character" w:customStyle="1" w:styleId="11">
    <w:name w:val="页脚 字符"/>
    <w:link w:val="4"/>
    <w:qFormat/>
    <w:uiPriority w:val="0"/>
    <w:rPr>
      <w:kern w:val="2"/>
      <w:sz w:val="18"/>
      <w:szCs w:val="18"/>
    </w:rPr>
  </w:style>
  <w:style w:type="character" w:customStyle="1" w:styleId="12">
    <w:name w:val="页眉 字符"/>
    <w:link w:val="5"/>
    <w:qFormat/>
    <w:uiPriority w:val="0"/>
    <w:rPr>
      <w:kern w:val="2"/>
      <w:sz w:val="18"/>
      <w:szCs w:val="18"/>
    </w:rPr>
  </w:style>
  <w:style w:type="paragraph" w:customStyle="1" w:styleId="13">
    <w:name w:val="_Style 12"/>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28</Pages>
  <Words>16078</Words>
  <Characters>16673</Characters>
  <Lines>339</Lines>
  <Paragraphs>300</Paragraphs>
  <TotalTime>20</TotalTime>
  <ScaleCrop>false</ScaleCrop>
  <LinksUpToDate>false</LinksUpToDate>
  <CharactersWithSpaces>17322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2025-05-28T07:26:00Z</dcterms:created>
  <dc:creator>admin</dc:creator>
  <cp:lastModifiedBy>GKCY</cp:lastModifiedBy>
  <dcterms:modified xsi:type="dcterms:W3CDTF">2025-09-30T07:15:20Z</dcterms:modified>
  <dc:title>合 同 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eyJoZGlkIjoiNmU3YjI0ZDM2NzBkNzMxZTAwODBhODgzYWJhOGNhMzciLCJ1c2VySWQiOiIyNTE3MTIzNDAifQ==</vt:lpwstr>
  </property>
  <property fmtid="{D5CDD505-2E9C-101B-9397-08002B2CF9AE}" pid="4" name="ICV">
    <vt:lpwstr>92460AD2F5544F2181D4F39448178A16_13</vt:lpwstr>
  </property>
</Properties>
</file>