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hint="eastAsia"/>
          <w:b/>
          <w:bCs/>
          <w:snapToGrid w:val="0"/>
          <w:kern w:val="0"/>
          <w:sz w:val="28"/>
          <w:szCs w:val="28"/>
        </w:rPr>
      </w:pPr>
      <w:bookmarkStart w:id="0" w:name="_GoBack"/>
      <w:bookmarkEnd w:id="0"/>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lang w:eastAsia="en-US"/>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lang w:eastAsia="en-US"/>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lang w:eastAsia="en-US"/>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lang w:eastAsia="en-US"/>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lang w:eastAsia="en-US"/>
        </w:rPr>
      </w:pPr>
    </w:p>
    <w:p w:rsidR="006003B4" w:rsidRPr="007472D5" w:rsidRDefault="00867333">
      <w:pPr>
        <w:widowControl/>
        <w:wordWrap w:val="0"/>
        <w:autoSpaceDE w:val="0"/>
        <w:autoSpaceDN w:val="0"/>
        <w:adjustRightInd w:val="0"/>
        <w:snapToGrid w:val="0"/>
        <w:spacing w:before="221" w:line="360" w:lineRule="auto"/>
        <w:ind w:left="11" w:right="62"/>
        <w:jc w:val="center"/>
        <w:textAlignment w:val="baseline"/>
        <w:rPr>
          <w:rFonts w:ascii="宋体" w:eastAsia="宋体" w:hAnsi="宋体" w:cs="宋体"/>
          <w:b/>
          <w:bCs/>
          <w:snapToGrid w:val="0"/>
          <w:spacing w:val="6"/>
          <w:kern w:val="0"/>
          <w:sz w:val="52"/>
          <w:szCs w:val="52"/>
        </w:rPr>
      </w:pPr>
      <w:bookmarkStart w:id="1" w:name="_Toc7946"/>
      <w:r w:rsidRPr="007472D5">
        <w:rPr>
          <w:rFonts w:ascii="宋体" w:eastAsia="宋体" w:hAnsi="宋体" w:cs="宋体" w:hint="eastAsia"/>
          <w:b/>
          <w:bCs/>
          <w:snapToGrid w:val="0"/>
          <w:spacing w:val="6"/>
          <w:kern w:val="0"/>
          <w:sz w:val="52"/>
          <w:szCs w:val="52"/>
        </w:rPr>
        <w:t>升级改造广东省治超联网管理信息</w:t>
      </w:r>
      <w:bookmarkEnd w:id="1"/>
    </w:p>
    <w:p w:rsidR="006003B4" w:rsidRPr="007472D5" w:rsidRDefault="00867333">
      <w:pPr>
        <w:widowControl/>
        <w:wordWrap w:val="0"/>
        <w:autoSpaceDE w:val="0"/>
        <w:autoSpaceDN w:val="0"/>
        <w:adjustRightInd w:val="0"/>
        <w:snapToGrid w:val="0"/>
        <w:spacing w:before="221" w:line="360" w:lineRule="auto"/>
        <w:ind w:left="11" w:right="62"/>
        <w:jc w:val="center"/>
        <w:textAlignment w:val="baseline"/>
        <w:rPr>
          <w:rFonts w:ascii="宋体" w:eastAsia="宋体" w:hAnsi="宋体" w:cs="宋体"/>
          <w:b/>
          <w:bCs/>
          <w:snapToGrid w:val="0"/>
          <w:spacing w:val="6"/>
          <w:kern w:val="0"/>
          <w:sz w:val="52"/>
          <w:szCs w:val="52"/>
        </w:rPr>
      </w:pPr>
      <w:bookmarkStart w:id="2" w:name="_Toc16849"/>
      <w:r w:rsidRPr="007472D5">
        <w:rPr>
          <w:rFonts w:ascii="宋体" w:eastAsia="宋体" w:hAnsi="宋体" w:cs="宋体" w:hint="eastAsia"/>
          <w:b/>
          <w:bCs/>
          <w:snapToGrid w:val="0"/>
          <w:spacing w:val="6"/>
          <w:kern w:val="0"/>
          <w:sz w:val="52"/>
          <w:szCs w:val="52"/>
        </w:rPr>
        <w:t>系统数据采集设备项目</w:t>
      </w:r>
      <w:bookmarkEnd w:id="2"/>
    </w:p>
    <w:p w:rsidR="006003B4" w:rsidRPr="007472D5" w:rsidRDefault="00867333">
      <w:pPr>
        <w:widowControl/>
        <w:wordWrap w:val="0"/>
        <w:autoSpaceDE w:val="0"/>
        <w:autoSpaceDN w:val="0"/>
        <w:adjustRightInd w:val="0"/>
        <w:snapToGrid w:val="0"/>
        <w:spacing w:before="221" w:line="360" w:lineRule="auto"/>
        <w:ind w:left="11" w:right="62"/>
        <w:jc w:val="center"/>
        <w:textAlignment w:val="baseline"/>
        <w:rPr>
          <w:rFonts w:ascii="宋体" w:eastAsia="宋体" w:hAnsi="宋体" w:cs="宋体"/>
          <w:b/>
          <w:bCs/>
          <w:snapToGrid w:val="0"/>
          <w:spacing w:val="6"/>
          <w:kern w:val="0"/>
          <w:sz w:val="52"/>
          <w:szCs w:val="52"/>
        </w:rPr>
      </w:pPr>
      <w:r w:rsidRPr="007472D5">
        <w:rPr>
          <w:rFonts w:ascii="宋体" w:eastAsia="宋体" w:hAnsi="宋体" w:cs="宋体" w:hint="eastAsia"/>
          <w:b/>
          <w:bCs/>
          <w:snapToGrid w:val="0"/>
          <w:spacing w:val="6"/>
          <w:kern w:val="0"/>
          <w:sz w:val="52"/>
          <w:szCs w:val="52"/>
        </w:rPr>
        <w:t>用户需求书</w:t>
      </w: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ind w:left="8"/>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jc w:val="left"/>
        <w:textAlignment w:val="baseline"/>
        <w:rPr>
          <w:rFonts w:ascii="宋体" w:eastAsia="宋体" w:hAnsi="宋体" w:cs="宋体"/>
          <w:b/>
          <w:bCs/>
          <w:snapToGrid w:val="0"/>
          <w:spacing w:val="-2"/>
          <w:kern w:val="0"/>
          <w:sz w:val="28"/>
          <w:szCs w:val="28"/>
        </w:rPr>
      </w:pPr>
    </w:p>
    <w:p w:rsidR="006003B4" w:rsidRPr="007472D5" w:rsidRDefault="006003B4">
      <w:pPr>
        <w:widowControl/>
        <w:wordWrap w:val="0"/>
        <w:autoSpaceDE w:val="0"/>
        <w:autoSpaceDN w:val="0"/>
        <w:adjustRightInd w:val="0"/>
        <w:snapToGrid w:val="0"/>
        <w:spacing w:before="152" w:line="360" w:lineRule="auto"/>
        <w:jc w:val="left"/>
        <w:textAlignment w:val="baseline"/>
        <w:rPr>
          <w:rFonts w:ascii="宋体" w:eastAsia="宋体" w:hAnsi="宋体" w:cs="宋体"/>
          <w:b/>
          <w:bCs/>
          <w:snapToGrid w:val="0"/>
          <w:spacing w:val="-2"/>
          <w:kern w:val="0"/>
          <w:sz w:val="28"/>
          <w:szCs w:val="28"/>
        </w:rPr>
      </w:pPr>
    </w:p>
    <w:p w:rsidR="006003B4" w:rsidRPr="007472D5" w:rsidRDefault="00867333">
      <w:pPr>
        <w:widowControl/>
        <w:autoSpaceDE w:val="0"/>
        <w:autoSpaceDN w:val="0"/>
        <w:adjustRightInd w:val="0"/>
        <w:snapToGrid w:val="0"/>
        <w:spacing w:before="152" w:line="360" w:lineRule="auto"/>
        <w:jc w:val="center"/>
        <w:textAlignment w:val="baseline"/>
        <w:rPr>
          <w:rFonts w:ascii="宋体" w:eastAsia="宋体" w:hAnsi="宋体" w:cs="宋体"/>
          <w:b/>
          <w:bCs/>
          <w:snapToGrid w:val="0"/>
          <w:spacing w:val="-2"/>
          <w:kern w:val="0"/>
          <w:sz w:val="28"/>
          <w:szCs w:val="28"/>
        </w:rPr>
      </w:pPr>
      <w:r w:rsidRPr="007472D5">
        <w:rPr>
          <w:rFonts w:ascii="宋体" w:eastAsia="宋体" w:hAnsi="宋体" w:cs="宋体" w:hint="eastAsia"/>
          <w:b/>
          <w:bCs/>
          <w:snapToGrid w:val="0"/>
          <w:spacing w:val="-2"/>
          <w:kern w:val="0"/>
          <w:sz w:val="28"/>
          <w:szCs w:val="28"/>
        </w:rPr>
        <w:lastRenderedPageBreak/>
        <w:t>目录</w:t>
      </w:r>
    </w:p>
    <w:p w:rsidR="00F716A4" w:rsidRPr="007472D5" w:rsidRDefault="00867333" w:rsidP="00F716A4">
      <w:pPr>
        <w:pStyle w:val="10"/>
        <w:tabs>
          <w:tab w:val="left" w:pos="840"/>
          <w:tab w:val="right" w:leader="dot" w:pos="9144"/>
        </w:tabs>
        <w:spacing w:line="288" w:lineRule="auto"/>
        <w:ind w:leftChars="100" w:left="210" w:firstLineChars="100" w:firstLine="240"/>
        <w:rPr>
          <w:rFonts w:asciiTheme="minorEastAsia" w:eastAsiaTheme="minorEastAsia" w:hAnsiTheme="minorEastAsia" w:cstheme="minorBidi"/>
          <w:b/>
          <w:noProof/>
          <w:snapToGrid/>
          <w:color w:val="auto"/>
          <w:kern w:val="2"/>
          <w:sz w:val="24"/>
          <w:szCs w:val="24"/>
          <w:lang w:eastAsia="zh-CN"/>
        </w:rPr>
      </w:pPr>
      <w:r w:rsidRPr="007472D5">
        <w:rPr>
          <w:rFonts w:asciiTheme="minorEastAsia" w:eastAsiaTheme="minorEastAsia" w:hAnsiTheme="minorEastAsia" w:cs="宋体"/>
          <w:bCs/>
          <w:color w:val="auto"/>
          <w:spacing w:val="-2"/>
          <w:sz w:val="24"/>
          <w:szCs w:val="24"/>
        </w:rPr>
        <w:fldChar w:fldCharType="begin"/>
      </w:r>
      <w:r w:rsidRPr="007472D5">
        <w:rPr>
          <w:rFonts w:asciiTheme="minorEastAsia" w:eastAsiaTheme="minorEastAsia" w:hAnsiTheme="minorEastAsia" w:cs="宋体"/>
          <w:bCs/>
          <w:color w:val="auto"/>
          <w:spacing w:val="-2"/>
          <w:sz w:val="24"/>
          <w:szCs w:val="24"/>
        </w:rPr>
        <w:instrText xml:space="preserve"> </w:instrText>
      </w:r>
      <w:r w:rsidRPr="007472D5">
        <w:rPr>
          <w:rFonts w:asciiTheme="minorEastAsia" w:eastAsiaTheme="minorEastAsia" w:hAnsiTheme="minorEastAsia" w:cs="宋体" w:hint="eastAsia"/>
          <w:bCs/>
          <w:color w:val="auto"/>
          <w:spacing w:val="-2"/>
          <w:sz w:val="24"/>
          <w:szCs w:val="24"/>
        </w:rPr>
        <w:instrText>TOC \o "1-3" \h \z \u</w:instrText>
      </w:r>
      <w:r w:rsidRPr="007472D5">
        <w:rPr>
          <w:rFonts w:asciiTheme="minorEastAsia" w:eastAsiaTheme="minorEastAsia" w:hAnsiTheme="minorEastAsia" w:cs="宋体"/>
          <w:bCs/>
          <w:color w:val="auto"/>
          <w:spacing w:val="-2"/>
          <w:sz w:val="24"/>
          <w:szCs w:val="24"/>
        </w:rPr>
        <w:instrText xml:space="preserve"> </w:instrText>
      </w:r>
      <w:r w:rsidRPr="007472D5">
        <w:rPr>
          <w:rFonts w:asciiTheme="minorEastAsia" w:eastAsiaTheme="minorEastAsia" w:hAnsiTheme="minorEastAsia" w:cs="宋体"/>
          <w:bCs/>
          <w:color w:val="auto"/>
          <w:spacing w:val="-2"/>
          <w:sz w:val="24"/>
          <w:szCs w:val="24"/>
        </w:rPr>
        <w:fldChar w:fldCharType="separate"/>
      </w:r>
      <w:hyperlink w:anchor="_Toc209117435" w:history="1">
        <w:r w:rsidR="00F716A4" w:rsidRPr="007472D5">
          <w:rPr>
            <w:rStyle w:val="ac"/>
            <w:rFonts w:asciiTheme="minorEastAsia" w:eastAsiaTheme="minorEastAsia" w:hAnsiTheme="minorEastAsia" w:cs="宋体"/>
            <w:b/>
            <w:bCs/>
            <w:noProof/>
            <w:color w:val="auto"/>
            <w:kern w:val="44"/>
            <w:sz w:val="24"/>
            <w:szCs w:val="24"/>
          </w:rPr>
          <w:t>A.</w:t>
        </w:r>
        <w:r w:rsidR="00F716A4" w:rsidRPr="007472D5">
          <w:rPr>
            <w:rFonts w:asciiTheme="minorEastAsia" w:eastAsiaTheme="minorEastAsia" w:hAnsiTheme="minorEastAsia" w:cstheme="minorBidi"/>
            <w:b/>
            <w:noProof/>
            <w:snapToGrid/>
            <w:color w:val="auto"/>
            <w:kern w:val="2"/>
            <w:sz w:val="24"/>
            <w:szCs w:val="24"/>
            <w:lang w:eastAsia="zh-CN"/>
          </w:rPr>
          <w:tab/>
        </w:r>
        <w:r w:rsidR="00F716A4" w:rsidRPr="007472D5">
          <w:rPr>
            <w:rStyle w:val="ac"/>
            <w:rFonts w:asciiTheme="minorEastAsia" w:eastAsiaTheme="minorEastAsia" w:hAnsiTheme="minorEastAsia" w:cs="宋体" w:hint="eastAsia"/>
            <w:b/>
            <w:bCs/>
            <w:noProof/>
            <w:color w:val="auto"/>
            <w:kern w:val="44"/>
            <w:sz w:val="24"/>
            <w:szCs w:val="24"/>
          </w:rPr>
          <w:t>商务要求</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_Toc209117435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4</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20"/>
        <w:tabs>
          <w:tab w:val="right" w:leader="dot" w:pos="9144"/>
        </w:tabs>
        <w:spacing w:line="288" w:lineRule="auto"/>
        <w:rPr>
          <w:rFonts w:asciiTheme="minorEastAsia" w:eastAsiaTheme="minorEastAsia" w:hAnsiTheme="minorEastAsia" w:cstheme="minorBidi"/>
          <w:b/>
          <w:noProof/>
          <w:snapToGrid/>
          <w:color w:val="auto"/>
          <w:kern w:val="2"/>
          <w:sz w:val="24"/>
          <w:szCs w:val="24"/>
          <w:lang w:eastAsia="zh-CN"/>
        </w:rPr>
      </w:pPr>
      <w:hyperlink w:anchor="_Toc209117436" w:history="1">
        <w:r w:rsidR="00F716A4" w:rsidRPr="007472D5">
          <w:rPr>
            <w:rStyle w:val="ac"/>
            <w:rFonts w:asciiTheme="minorEastAsia" w:eastAsiaTheme="minorEastAsia" w:hAnsiTheme="minorEastAsia" w:cs="宋体" w:hint="eastAsia"/>
            <w:b/>
            <w:bCs/>
            <w:noProof/>
            <w:color w:val="auto"/>
            <w:sz w:val="24"/>
            <w:szCs w:val="24"/>
          </w:rPr>
          <w:t>一、项目概况</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_Toc209117436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4</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37" w:history="1">
        <w:r w:rsidR="00F716A4" w:rsidRPr="007472D5">
          <w:rPr>
            <w:rStyle w:val="ac"/>
            <w:rFonts w:asciiTheme="minorEastAsia" w:eastAsiaTheme="minorEastAsia" w:hAnsiTheme="minorEastAsia" w:cs="宋体" w:hint="eastAsia"/>
            <w:bCs/>
            <w:noProof/>
            <w:color w:val="auto"/>
            <w:sz w:val="24"/>
            <w:szCs w:val="24"/>
          </w:rPr>
          <w:t>（一）提升公路保护水平</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_Toc209117437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38" w:history="1">
        <w:r w:rsidR="00F716A4" w:rsidRPr="007472D5">
          <w:rPr>
            <w:rStyle w:val="ac"/>
            <w:rFonts w:asciiTheme="minorEastAsia" w:eastAsiaTheme="minorEastAsia" w:hAnsiTheme="minorEastAsia" w:cs="宋体" w:hint="eastAsia"/>
            <w:bCs/>
            <w:noProof/>
            <w:color w:val="auto"/>
            <w:sz w:val="24"/>
            <w:szCs w:val="24"/>
          </w:rPr>
          <w:t>（二）增强交通安全保障能力</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_Toc209117438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39" w:history="1">
        <w:r w:rsidR="00F716A4" w:rsidRPr="007472D5">
          <w:rPr>
            <w:rStyle w:val="ac"/>
            <w:rFonts w:asciiTheme="minorEastAsia" w:eastAsiaTheme="minorEastAsia" w:hAnsiTheme="minorEastAsia" w:cs="宋体" w:hint="eastAsia"/>
            <w:bCs/>
            <w:noProof/>
            <w:color w:val="auto"/>
            <w:sz w:val="24"/>
            <w:szCs w:val="24"/>
          </w:rPr>
          <w:t>（三）促进高质量发展和高水平安全</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_Toc209117439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0" w:history="1">
        <w:r w:rsidR="00F716A4" w:rsidRPr="007472D5">
          <w:rPr>
            <w:rStyle w:val="ac"/>
            <w:rFonts w:asciiTheme="minorEastAsia" w:eastAsiaTheme="minorEastAsia" w:hAnsiTheme="minorEastAsia" w:cs="宋体" w:hint="eastAsia"/>
            <w:bCs/>
            <w:noProof/>
            <w:color w:val="auto"/>
            <w:sz w:val="24"/>
            <w:szCs w:val="24"/>
          </w:rPr>
          <w:t>（四）优化公众体验</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_Toc209117440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20"/>
        <w:tabs>
          <w:tab w:val="right" w:leader="dot" w:pos="9144"/>
        </w:tabs>
        <w:spacing w:line="288" w:lineRule="auto"/>
        <w:rPr>
          <w:rFonts w:asciiTheme="minorEastAsia" w:eastAsiaTheme="minorEastAsia" w:hAnsiTheme="minorEastAsia" w:cstheme="minorBidi"/>
          <w:b/>
          <w:noProof/>
          <w:snapToGrid/>
          <w:color w:val="auto"/>
          <w:kern w:val="2"/>
          <w:sz w:val="24"/>
          <w:szCs w:val="24"/>
          <w:lang w:eastAsia="zh-CN"/>
        </w:rPr>
      </w:pPr>
      <w:hyperlink w:anchor="_Toc209117441" w:history="1">
        <w:r w:rsidR="00F716A4" w:rsidRPr="007472D5">
          <w:rPr>
            <w:rStyle w:val="ac"/>
            <w:rFonts w:asciiTheme="minorEastAsia" w:eastAsiaTheme="minorEastAsia" w:hAnsiTheme="minorEastAsia" w:cs="宋体" w:hint="eastAsia"/>
            <w:b/>
            <w:bCs/>
            <w:noProof/>
            <w:color w:val="auto"/>
            <w:sz w:val="24"/>
            <w:szCs w:val="24"/>
          </w:rPr>
          <w:t>二、招标需求</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_Toc209117441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5</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20"/>
        <w:tabs>
          <w:tab w:val="right" w:leader="dot" w:pos="9144"/>
        </w:tabs>
        <w:spacing w:line="288" w:lineRule="auto"/>
        <w:rPr>
          <w:rFonts w:asciiTheme="minorEastAsia" w:eastAsiaTheme="minorEastAsia" w:hAnsiTheme="minorEastAsia" w:cstheme="minorBidi"/>
          <w:b/>
          <w:noProof/>
          <w:snapToGrid/>
          <w:color w:val="auto"/>
          <w:kern w:val="2"/>
          <w:sz w:val="24"/>
          <w:szCs w:val="24"/>
          <w:lang w:eastAsia="zh-CN"/>
        </w:rPr>
      </w:pPr>
      <w:hyperlink w:anchor="_Toc209117442" w:history="1">
        <w:r w:rsidR="00F716A4" w:rsidRPr="007472D5">
          <w:rPr>
            <w:rStyle w:val="ac"/>
            <w:rFonts w:asciiTheme="minorEastAsia" w:eastAsiaTheme="minorEastAsia" w:hAnsiTheme="minorEastAsia" w:cs="宋体" w:hint="eastAsia"/>
            <w:b/>
            <w:bCs/>
            <w:noProof/>
            <w:color w:val="auto"/>
            <w:sz w:val="24"/>
            <w:szCs w:val="24"/>
          </w:rPr>
          <w:t>三、货物内容</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_Toc209117442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5</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3" w:history="1">
        <w:r w:rsidR="00F716A4" w:rsidRPr="007472D5">
          <w:rPr>
            <w:rStyle w:val="ac"/>
            <w:rFonts w:asciiTheme="minorEastAsia" w:eastAsiaTheme="minorEastAsia" w:hAnsiTheme="minorEastAsia" w:cs="宋体" w:hint="eastAsia"/>
            <w:bCs/>
            <w:noProof/>
            <w:color w:val="auto"/>
            <w:sz w:val="24"/>
            <w:szCs w:val="24"/>
          </w:rPr>
          <w:t>（一）建设规模和内容</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_Toc209117443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5</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4" w:history="1">
        <w:r w:rsidR="00F716A4" w:rsidRPr="007472D5">
          <w:rPr>
            <w:rStyle w:val="ac"/>
            <w:rFonts w:asciiTheme="minorEastAsia" w:eastAsiaTheme="minorEastAsia" w:hAnsiTheme="minorEastAsia" w:cs="宋体" w:hint="eastAsia"/>
            <w:bCs/>
            <w:noProof/>
            <w:color w:val="auto"/>
            <w:sz w:val="24"/>
            <w:szCs w:val="24"/>
          </w:rPr>
          <w:t>（二）升级改造广东省治超联网管理信息系统数据采集设备项目设备清单</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_Toc209117444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5</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5" w:history="1">
        <w:r w:rsidR="00F716A4" w:rsidRPr="007472D5">
          <w:rPr>
            <w:rStyle w:val="ac"/>
            <w:rFonts w:asciiTheme="minorEastAsia" w:eastAsiaTheme="minorEastAsia" w:hAnsiTheme="minorEastAsia" w:cs="宋体" w:hint="eastAsia"/>
            <w:bCs/>
            <w:noProof/>
            <w:color w:val="auto"/>
            <w:sz w:val="24"/>
            <w:szCs w:val="24"/>
          </w:rPr>
          <w:t>（三）各地市治超设备安装位置表</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_Toc209117445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8</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6" w:history="1">
        <w:r w:rsidR="00F716A4" w:rsidRPr="007472D5">
          <w:rPr>
            <w:rStyle w:val="ac"/>
            <w:rFonts w:asciiTheme="minorEastAsia" w:eastAsiaTheme="minorEastAsia" w:hAnsiTheme="minorEastAsia" w:cs="宋体" w:hint="eastAsia"/>
            <w:bCs/>
            <w:noProof/>
            <w:color w:val="auto"/>
            <w:sz w:val="24"/>
            <w:szCs w:val="24"/>
          </w:rPr>
          <w:t>（四）各地市电子围栏设备数量明细表</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_Toc209117446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10</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7" w:history="1">
        <w:r w:rsidR="00F716A4" w:rsidRPr="007472D5">
          <w:rPr>
            <w:rStyle w:val="ac"/>
            <w:rFonts w:asciiTheme="minorEastAsia" w:eastAsiaTheme="minorEastAsia" w:hAnsiTheme="minorEastAsia" w:cs="宋体" w:hint="eastAsia"/>
            <w:bCs/>
            <w:noProof/>
            <w:color w:val="auto"/>
            <w:sz w:val="24"/>
            <w:szCs w:val="24"/>
          </w:rPr>
          <w:t>（五）货物供货要求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_Toc209117447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12</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8" w:history="1">
        <w:r w:rsidR="00F716A4" w:rsidRPr="007472D5">
          <w:rPr>
            <w:rStyle w:val="ac"/>
            <w:rFonts w:asciiTheme="minorEastAsia" w:eastAsiaTheme="minorEastAsia" w:hAnsiTheme="minorEastAsia" w:cs="宋体" w:hint="eastAsia"/>
            <w:bCs/>
            <w:noProof/>
            <w:color w:val="auto"/>
            <w:sz w:val="24"/>
            <w:szCs w:val="24"/>
          </w:rPr>
          <w:t>（六）投标报价</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_Toc209117448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12</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49" w:history="1">
        <w:r w:rsidR="00F716A4" w:rsidRPr="007472D5">
          <w:rPr>
            <w:rStyle w:val="ac"/>
            <w:rFonts w:asciiTheme="minorEastAsia" w:eastAsiaTheme="minorEastAsia" w:hAnsiTheme="minorEastAsia" w:cs="宋体" w:hint="eastAsia"/>
            <w:bCs/>
            <w:noProof/>
            <w:color w:val="auto"/>
            <w:sz w:val="24"/>
            <w:szCs w:val="24"/>
          </w:rPr>
          <w:t>（七）合同签订</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_Toc209117449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12</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0" w:history="1">
        <w:r w:rsidR="00F716A4" w:rsidRPr="007472D5">
          <w:rPr>
            <w:rStyle w:val="ac"/>
            <w:rFonts w:asciiTheme="minorEastAsia" w:eastAsiaTheme="minorEastAsia" w:hAnsiTheme="minorEastAsia" w:cs="宋体" w:hint="eastAsia"/>
            <w:bCs/>
            <w:noProof/>
            <w:color w:val="auto"/>
            <w:sz w:val="24"/>
            <w:szCs w:val="24"/>
          </w:rPr>
          <w:t>（八）交货期限</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_Toc209117450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12</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1" w:history="1">
        <w:r w:rsidR="00F716A4" w:rsidRPr="007472D5">
          <w:rPr>
            <w:rStyle w:val="ac"/>
            <w:rFonts w:asciiTheme="minorEastAsia" w:eastAsiaTheme="minorEastAsia" w:hAnsiTheme="minorEastAsia" w:cs="宋体" w:hint="eastAsia"/>
            <w:bCs/>
            <w:noProof/>
            <w:color w:val="auto"/>
            <w:sz w:val="24"/>
            <w:szCs w:val="24"/>
          </w:rPr>
          <w:t>（九）交货地点</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_Toc209117451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12</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2" w:history="1">
        <w:r w:rsidR="00F716A4" w:rsidRPr="007472D5">
          <w:rPr>
            <w:rStyle w:val="ac"/>
            <w:rFonts w:asciiTheme="minorEastAsia" w:eastAsiaTheme="minorEastAsia" w:hAnsiTheme="minorEastAsia" w:cs="宋体" w:hint="eastAsia"/>
            <w:bCs/>
            <w:noProof/>
            <w:color w:val="auto"/>
            <w:sz w:val="24"/>
            <w:szCs w:val="24"/>
          </w:rPr>
          <w:t>（十）实施基本要求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_Toc209117452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13</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3" w:history="1">
        <w:r w:rsidR="00F716A4" w:rsidRPr="007472D5">
          <w:rPr>
            <w:rStyle w:val="ac"/>
            <w:rFonts w:asciiTheme="minorEastAsia" w:eastAsiaTheme="minorEastAsia" w:hAnsiTheme="minorEastAsia" w:cs="宋体" w:hint="eastAsia"/>
            <w:bCs/>
            <w:noProof/>
            <w:color w:val="auto"/>
            <w:sz w:val="24"/>
            <w:szCs w:val="24"/>
          </w:rPr>
          <w:t>（十一）质量保证期及售后服务要求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_Toc209117453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14</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4" w:history="1">
        <w:r w:rsidR="00F716A4" w:rsidRPr="007472D5">
          <w:rPr>
            <w:rStyle w:val="ac"/>
            <w:rFonts w:asciiTheme="minorEastAsia" w:eastAsiaTheme="minorEastAsia" w:hAnsiTheme="minorEastAsia" w:cs="宋体" w:hint="eastAsia"/>
            <w:bCs/>
            <w:noProof/>
            <w:color w:val="auto"/>
            <w:sz w:val="24"/>
            <w:szCs w:val="24"/>
          </w:rPr>
          <w:t>（十二）验收要求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_Toc209117454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15</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20"/>
        <w:tabs>
          <w:tab w:val="right" w:leader="dot" w:pos="9144"/>
        </w:tabs>
        <w:spacing w:line="288" w:lineRule="auto"/>
        <w:rPr>
          <w:rFonts w:asciiTheme="minorEastAsia" w:eastAsiaTheme="minorEastAsia" w:hAnsiTheme="minorEastAsia" w:cstheme="minorBidi"/>
          <w:b/>
          <w:noProof/>
          <w:snapToGrid/>
          <w:color w:val="auto"/>
          <w:kern w:val="2"/>
          <w:sz w:val="24"/>
          <w:szCs w:val="24"/>
          <w:lang w:eastAsia="zh-CN"/>
        </w:rPr>
      </w:pPr>
      <w:hyperlink w:anchor="_Toc209117455" w:history="1">
        <w:r w:rsidR="00F716A4" w:rsidRPr="007472D5">
          <w:rPr>
            <w:rStyle w:val="ac"/>
            <w:rFonts w:asciiTheme="minorEastAsia" w:eastAsiaTheme="minorEastAsia" w:hAnsiTheme="minorEastAsia" w:cs="宋体" w:hint="eastAsia"/>
            <w:b/>
            <w:bCs/>
            <w:noProof/>
            <w:color w:val="auto"/>
            <w:sz w:val="24"/>
            <w:szCs w:val="24"/>
          </w:rPr>
          <w:t>四、履约保证金要求</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_Toc209117455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15</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20"/>
        <w:tabs>
          <w:tab w:val="right" w:leader="dot" w:pos="9144"/>
        </w:tabs>
        <w:spacing w:line="288" w:lineRule="auto"/>
        <w:rPr>
          <w:rFonts w:asciiTheme="minorEastAsia" w:eastAsiaTheme="minorEastAsia" w:hAnsiTheme="minorEastAsia" w:cstheme="minorBidi"/>
          <w:b/>
          <w:noProof/>
          <w:snapToGrid/>
          <w:color w:val="auto"/>
          <w:kern w:val="2"/>
          <w:sz w:val="24"/>
          <w:szCs w:val="24"/>
          <w:lang w:eastAsia="zh-CN"/>
        </w:rPr>
      </w:pPr>
      <w:hyperlink w:anchor="_Toc209117456" w:history="1">
        <w:r w:rsidR="00F716A4" w:rsidRPr="007472D5">
          <w:rPr>
            <w:rStyle w:val="ac"/>
            <w:rFonts w:asciiTheme="minorEastAsia" w:eastAsiaTheme="minorEastAsia" w:hAnsiTheme="minorEastAsia" w:cs="宋体" w:hint="eastAsia"/>
            <w:b/>
            <w:bCs/>
            <w:noProof/>
            <w:color w:val="auto"/>
            <w:sz w:val="24"/>
            <w:szCs w:val="24"/>
          </w:rPr>
          <w:t>五、付款方式</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_Toc209117456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16</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53049F">
      <w:pPr>
        <w:pStyle w:val="10"/>
        <w:tabs>
          <w:tab w:val="left" w:pos="840"/>
          <w:tab w:val="right" w:leader="dot" w:pos="9144"/>
        </w:tabs>
        <w:spacing w:line="288" w:lineRule="auto"/>
        <w:ind w:leftChars="100" w:left="210" w:firstLineChars="100" w:firstLine="210"/>
        <w:rPr>
          <w:rFonts w:asciiTheme="minorEastAsia" w:eastAsiaTheme="minorEastAsia" w:hAnsiTheme="minorEastAsia" w:cstheme="minorBidi"/>
          <w:b/>
          <w:noProof/>
          <w:snapToGrid/>
          <w:color w:val="auto"/>
          <w:kern w:val="2"/>
          <w:sz w:val="24"/>
          <w:szCs w:val="24"/>
          <w:lang w:eastAsia="zh-CN"/>
        </w:rPr>
      </w:pPr>
      <w:hyperlink w:anchor="_Toc209117457" w:history="1">
        <w:r w:rsidR="00F716A4" w:rsidRPr="007472D5">
          <w:rPr>
            <w:rStyle w:val="ac"/>
            <w:rFonts w:asciiTheme="minorEastAsia" w:eastAsiaTheme="minorEastAsia" w:hAnsiTheme="minorEastAsia" w:cs="宋体"/>
            <w:b/>
            <w:bCs/>
            <w:noProof/>
            <w:color w:val="auto"/>
            <w:kern w:val="44"/>
            <w:sz w:val="24"/>
            <w:szCs w:val="24"/>
          </w:rPr>
          <w:t>B.</w:t>
        </w:r>
        <w:r w:rsidR="00F716A4" w:rsidRPr="007472D5">
          <w:rPr>
            <w:rFonts w:asciiTheme="minorEastAsia" w:eastAsiaTheme="minorEastAsia" w:hAnsiTheme="minorEastAsia" w:cstheme="minorBidi" w:hint="eastAsia"/>
            <w:b/>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
            <w:bCs/>
            <w:noProof/>
            <w:color w:val="auto"/>
            <w:kern w:val="44"/>
            <w:sz w:val="24"/>
            <w:szCs w:val="24"/>
          </w:rPr>
          <w:t>技术要求</w:t>
        </w:r>
        <w:r w:rsidR="00F716A4" w:rsidRPr="007472D5">
          <w:rPr>
            <w:rFonts w:asciiTheme="minorEastAsia" w:eastAsiaTheme="minorEastAsia" w:hAnsiTheme="minorEastAsia"/>
            <w:b/>
            <w:noProof/>
            <w:webHidden/>
            <w:color w:val="auto"/>
            <w:sz w:val="24"/>
            <w:szCs w:val="24"/>
          </w:rPr>
          <w:tab/>
        </w:r>
        <w:r w:rsidR="00F716A4" w:rsidRPr="007472D5">
          <w:rPr>
            <w:rFonts w:asciiTheme="minorEastAsia" w:eastAsiaTheme="minorEastAsia" w:hAnsiTheme="minorEastAsia"/>
            <w:b/>
            <w:noProof/>
            <w:webHidden/>
            <w:color w:val="auto"/>
            <w:sz w:val="24"/>
            <w:szCs w:val="24"/>
          </w:rPr>
          <w:fldChar w:fldCharType="begin"/>
        </w:r>
        <w:r w:rsidR="00F716A4" w:rsidRPr="007472D5">
          <w:rPr>
            <w:rFonts w:asciiTheme="minorEastAsia" w:eastAsiaTheme="minorEastAsia" w:hAnsiTheme="minorEastAsia"/>
            <w:b/>
            <w:noProof/>
            <w:webHidden/>
            <w:color w:val="auto"/>
            <w:sz w:val="24"/>
            <w:szCs w:val="24"/>
          </w:rPr>
          <w:instrText xml:space="preserve"> PAGEREF _Toc209117457 \h </w:instrText>
        </w:r>
        <w:r w:rsidR="00F716A4" w:rsidRPr="007472D5">
          <w:rPr>
            <w:rFonts w:asciiTheme="minorEastAsia" w:eastAsiaTheme="minorEastAsia" w:hAnsiTheme="minorEastAsia"/>
            <w:b/>
            <w:noProof/>
            <w:webHidden/>
            <w:color w:val="auto"/>
            <w:sz w:val="24"/>
            <w:szCs w:val="24"/>
          </w:rPr>
        </w:r>
        <w:r w:rsidR="00F716A4" w:rsidRPr="007472D5">
          <w:rPr>
            <w:rFonts w:asciiTheme="minorEastAsia" w:eastAsiaTheme="minorEastAsia" w:hAnsiTheme="minorEastAsia"/>
            <w:b/>
            <w:noProof/>
            <w:webHidden/>
            <w:color w:val="auto"/>
            <w:sz w:val="24"/>
            <w:szCs w:val="24"/>
          </w:rPr>
          <w:fldChar w:fldCharType="separate"/>
        </w:r>
        <w:r w:rsidR="007472D5">
          <w:rPr>
            <w:rFonts w:asciiTheme="minorEastAsia" w:eastAsiaTheme="minorEastAsia" w:hAnsiTheme="minorEastAsia"/>
            <w:b/>
            <w:noProof/>
            <w:webHidden/>
            <w:color w:val="auto"/>
            <w:sz w:val="24"/>
            <w:szCs w:val="24"/>
          </w:rPr>
          <w:t>17</w:t>
        </w:r>
        <w:r w:rsidR="00F716A4" w:rsidRPr="007472D5">
          <w:rPr>
            <w:rFonts w:asciiTheme="minorEastAsia" w:eastAsiaTheme="minorEastAsia" w:hAnsiTheme="minorEastAsia"/>
            <w:b/>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8" w:history="1">
        <w:r w:rsidR="00F716A4" w:rsidRPr="007472D5">
          <w:rPr>
            <w:rStyle w:val="ac"/>
            <w:rFonts w:asciiTheme="minorEastAsia" w:eastAsiaTheme="minorEastAsia" w:hAnsiTheme="minorEastAsia" w:cs="宋体" w:hint="eastAsia"/>
            <w:bCs/>
            <w:noProof/>
            <w:color w:val="auto"/>
            <w:sz w:val="24"/>
            <w:szCs w:val="24"/>
          </w:rPr>
          <w:t>（一）项目建设内容和规模</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_Toc209117458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17</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59" w:history="1">
        <w:r w:rsidR="00F716A4" w:rsidRPr="007472D5">
          <w:rPr>
            <w:rStyle w:val="ac"/>
            <w:rFonts w:asciiTheme="minorEastAsia" w:eastAsiaTheme="minorEastAsia" w:hAnsiTheme="minorEastAsia" w:cs="宋体" w:hint="eastAsia"/>
            <w:bCs/>
            <w:noProof/>
            <w:color w:val="auto"/>
            <w:sz w:val="24"/>
            <w:szCs w:val="24"/>
          </w:rPr>
          <w:t>（二）技术方案</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_Toc209117459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18</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0" w:history="1">
        <w:r w:rsidR="00F716A4" w:rsidRPr="007472D5">
          <w:rPr>
            <w:rStyle w:val="ac"/>
            <w:rFonts w:asciiTheme="minorEastAsia" w:eastAsiaTheme="minorEastAsia" w:hAnsiTheme="minorEastAsia" w:cs="宋体"/>
            <w:bCs/>
            <w:noProof/>
            <w:color w:val="auto"/>
            <w:sz w:val="24"/>
            <w:szCs w:val="24"/>
          </w:rPr>
          <w:t>1.</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省治超联网管理信息系统</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_Toc209117460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18</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1" w:history="1">
        <w:r w:rsidR="00F716A4" w:rsidRPr="007472D5">
          <w:rPr>
            <w:rStyle w:val="ac"/>
            <w:rFonts w:asciiTheme="minorEastAsia" w:eastAsiaTheme="minorEastAsia" w:hAnsiTheme="minorEastAsia" w:cs="宋体"/>
            <w:bCs/>
            <w:noProof/>
            <w:color w:val="auto"/>
            <w:sz w:val="24"/>
            <w:szCs w:val="24"/>
          </w:rPr>
          <w:t>2.</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超限检测站（点）超限称重系统</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_Toc209117461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20</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2" w:history="1">
        <w:r w:rsidR="00F716A4" w:rsidRPr="007472D5">
          <w:rPr>
            <w:rStyle w:val="ac"/>
            <w:rFonts w:asciiTheme="minorEastAsia" w:eastAsiaTheme="minorEastAsia" w:hAnsiTheme="minorEastAsia" w:cs="宋体"/>
            <w:bCs/>
            <w:noProof/>
            <w:color w:val="auto"/>
            <w:sz w:val="24"/>
            <w:szCs w:val="24"/>
          </w:rPr>
          <w:t>3.</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超限检测站（点）设备功能概述</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_Toc209117462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21</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3" w:history="1">
        <w:r w:rsidR="00F716A4" w:rsidRPr="007472D5">
          <w:rPr>
            <w:rStyle w:val="ac"/>
            <w:rFonts w:asciiTheme="minorEastAsia" w:eastAsiaTheme="minorEastAsia" w:hAnsiTheme="minorEastAsia" w:cs="宋体" w:hint="eastAsia"/>
            <w:bCs/>
            <w:noProof/>
            <w:color w:val="auto"/>
            <w:sz w:val="24"/>
            <w:szCs w:val="24"/>
          </w:rPr>
          <w:t>（三）工程总体部署</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_Toc209117463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27</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4" w:history="1">
        <w:r w:rsidR="00F716A4" w:rsidRPr="007472D5">
          <w:rPr>
            <w:rStyle w:val="ac"/>
            <w:rFonts w:asciiTheme="minorEastAsia" w:eastAsiaTheme="minorEastAsia" w:hAnsiTheme="minorEastAsia" w:cs="宋体" w:hint="eastAsia"/>
            <w:bCs/>
            <w:noProof/>
            <w:color w:val="auto"/>
            <w:sz w:val="24"/>
            <w:szCs w:val="24"/>
          </w:rPr>
          <w:t>（四）实施建设要求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_Toc209117464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46</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5" w:history="1">
        <w:r w:rsidR="00F716A4" w:rsidRPr="007472D5">
          <w:rPr>
            <w:rStyle w:val="ac"/>
            <w:rFonts w:asciiTheme="minorEastAsia" w:eastAsiaTheme="minorEastAsia" w:hAnsiTheme="minorEastAsia" w:cs="宋体"/>
            <w:bCs/>
            <w:noProof/>
            <w:color w:val="auto"/>
            <w:sz w:val="24"/>
            <w:szCs w:val="24"/>
          </w:rPr>
          <w:t>1.</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防雷与接地要求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_Toc209117465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46</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6" w:history="1">
        <w:r w:rsidR="00F716A4" w:rsidRPr="007472D5">
          <w:rPr>
            <w:rStyle w:val="ac"/>
            <w:rFonts w:asciiTheme="minorEastAsia" w:eastAsiaTheme="minorEastAsia" w:hAnsiTheme="minorEastAsia" w:cs="宋体"/>
            <w:bCs/>
            <w:noProof/>
            <w:color w:val="auto"/>
            <w:sz w:val="24"/>
            <w:szCs w:val="24"/>
          </w:rPr>
          <w:t>2.</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时钟同步要求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_Toc209117466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47</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7" w:history="1">
        <w:r w:rsidR="00F716A4" w:rsidRPr="007472D5">
          <w:rPr>
            <w:rStyle w:val="ac"/>
            <w:rFonts w:asciiTheme="minorEastAsia" w:eastAsiaTheme="minorEastAsia" w:hAnsiTheme="minorEastAsia" w:cs="宋体"/>
            <w:bCs/>
            <w:noProof/>
            <w:color w:val="auto"/>
            <w:sz w:val="24"/>
            <w:szCs w:val="24"/>
          </w:rPr>
          <w:t>3.</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前后端数据传输（网络通信）要求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_Toc209117467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47</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8" w:history="1">
        <w:r w:rsidR="00F716A4" w:rsidRPr="007472D5">
          <w:rPr>
            <w:rStyle w:val="ac"/>
            <w:rFonts w:asciiTheme="minorEastAsia" w:eastAsiaTheme="minorEastAsia" w:hAnsiTheme="minorEastAsia" w:cs="宋体"/>
            <w:bCs/>
            <w:noProof/>
            <w:color w:val="auto"/>
            <w:sz w:val="24"/>
            <w:szCs w:val="24"/>
          </w:rPr>
          <w:t>4.</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超限检测站（点）网络传输要求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_Toc209117468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47</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left" w:pos="1470"/>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69" w:history="1">
        <w:r w:rsidR="00F716A4" w:rsidRPr="007472D5">
          <w:rPr>
            <w:rStyle w:val="ac"/>
            <w:rFonts w:asciiTheme="minorEastAsia" w:eastAsiaTheme="minorEastAsia" w:hAnsiTheme="minorEastAsia" w:cs="宋体"/>
            <w:bCs/>
            <w:noProof/>
            <w:color w:val="auto"/>
            <w:sz w:val="24"/>
            <w:szCs w:val="24"/>
          </w:rPr>
          <w:t>5.</w:t>
        </w:r>
        <w:r w:rsidR="00F716A4" w:rsidRPr="007472D5">
          <w:rPr>
            <w:rFonts w:asciiTheme="minorEastAsia" w:eastAsiaTheme="minorEastAsia" w:hAnsiTheme="minorEastAsia" w:cstheme="minorBidi" w:hint="eastAsia"/>
            <w:noProof/>
            <w:snapToGrid/>
            <w:color w:val="auto"/>
            <w:kern w:val="2"/>
            <w:sz w:val="24"/>
            <w:szCs w:val="24"/>
            <w:lang w:eastAsia="zh-CN"/>
          </w:rPr>
          <w:t xml:space="preserve"> </w:t>
        </w:r>
        <w:r w:rsidR="00F716A4" w:rsidRPr="007472D5">
          <w:rPr>
            <w:rStyle w:val="ac"/>
            <w:rFonts w:asciiTheme="minorEastAsia" w:eastAsiaTheme="minorEastAsia" w:hAnsiTheme="minorEastAsia" w:cs="宋体" w:hint="eastAsia"/>
            <w:bCs/>
            <w:noProof/>
            <w:color w:val="auto"/>
            <w:sz w:val="24"/>
            <w:szCs w:val="24"/>
          </w:rPr>
          <w:t>实施期间环保、消防、职业安全卫生和节能措施要求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_Toc209117469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49</w:t>
        </w:r>
        <w:r w:rsidR="00F716A4" w:rsidRPr="007472D5">
          <w:rPr>
            <w:rFonts w:asciiTheme="minorEastAsia" w:eastAsiaTheme="minorEastAsia" w:hAnsiTheme="minorEastAsia"/>
            <w:noProof/>
            <w:webHidden/>
            <w:color w:val="auto"/>
            <w:sz w:val="24"/>
            <w:szCs w:val="24"/>
          </w:rPr>
          <w:fldChar w:fldCharType="end"/>
        </w:r>
      </w:hyperlink>
    </w:p>
    <w:p w:rsidR="00F716A4" w:rsidRPr="007472D5" w:rsidRDefault="00402F2A" w:rsidP="00F716A4">
      <w:pPr>
        <w:pStyle w:val="30"/>
        <w:tabs>
          <w:tab w:val="right" w:leader="dot" w:pos="9144"/>
        </w:tabs>
        <w:spacing w:line="288" w:lineRule="auto"/>
        <w:rPr>
          <w:rFonts w:asciiTheme="minorEastAsia" w:eastAsiaTheme="minorEastAsia" w:hAnsiTheme="minorEastAsia" w:cstheme="minorBidi"/>
          <w:noProof/>
          <w:snapToGrid/>
          <w:color w:val="auto"/>
          <w:kern w:val="2"/>
          <w:sz w:val="24"/>
          <w:szCs w:val="24"/>
          <w:lang w:eastAsia="zh-CN"/>
        </w:rPr>
      </w:pPr>
      <w:hyperlink w:anchor="_Toc209117470" w:history="1">
        <w:r w:rsidR="00F716A4" w:rsidRPr="007472D5">
          <w:rPr>
            <w:rStyle w:val="ac"/>
            <w:rFonts w:asciiTheme="minorEastAsia" w:eastAsiaTheme="minorEastAsia" w:hAnsiTheme="minorEastAsia" w:cs="宋体" w:hint="eastAsia"/>
            <w:bCs/>
            <w:noProof/>
            <w:color w:val="auto"/>
            <w:sz w:val="24"/>
            <w:szCs w:val="24"/>
          </w:rPr>
          <w:t>（五） 采购设备参数要求</w:t>
        </w:r>
        <w:r w:rsidR="00F716A4" w:rsidRPr="007472D5">
          <w:rPr>
            <w:rFonts w:asciiTheme="minorEastAsia" w:eastAsiaTheme="minorEastAsia" w:hAnsiTheme="minorEastAsia"/>
            <w:noProof/>
            <w:webHidden/>
            <w:color w:val="auto"/>
            <w:sz w:val="24"/>
            <w:szCs w:val="24"/>
          </w:rPr>
          <w:tab/>
        </w:r>
        <w:r w:rsidR="00F716A4" w:rsidRPr="007472D5">
          <w:rPr>
            <w:rFonts w:asciiTheme="minorEastAsia" w:eastAsiaTheme="minorEastAsia" w:hAnsiTheme="minorEastAsia"/>
            <w:noProof/>
            <w:webHidden/>
            <w:color w:val="auto"/>
            <w:sz w:val="24"/>
            <w:szCs w:val="24"/>
          </w:rPr>
          <w:fldChar w:fldCharType="begin"/>
        </w:r>
        <w:r w:rsidR="00F716A4" w:rsidRPr="007472D5">
          <w:rPr>
            <w:rFonts w:asciiTheme="minorEastAsia" w:eastAsiaTheme="minorEastAsia" w:hAnsiTheme="minorEastAsia"/>
            <w:noProof/>
            <w:webHidden/>
            <w:color w:val="auto"/>
            <w:sz w:val="24"/>
            <w:szCs w:val="24"/>
          </w:rPr>
          <w:instrText xml:space="preserve"> PAGEREF _Toc209117470 \h </w:instrText>
        </w:r>
        <w:r w:rsidR="00F716A4" w:rsidRPr="007472D5">
          <w:rPr>
            <w:rFonts w:asciiTheme="minorEastAsia" w:eastAsiaTheme="minorEastAsia" w:hAnsiTheme="minorEastAsia"/>
            <w:noProof/>
            <w:webHidden/>
            <w:color w:val="auto"/>
            <w:sz w:val="24"/>
            <w:szCs w:val="24"/>
          </w:rPr>
        </w:r>
        <w:r w:rsidR="00F716A4" w:rsidRPr="007472D5">
          <w:rPr>
            <w:rFonts w:asciiTheme="minorEastAsia" w:eastAsiaTheme="minorEastAsia" w:hAnsiTheme="minorEastAsia"/>
            <w:noProof/>
            <w:webHidden/>
            <w:color w:val="auto"/>
            <w:sz w:val="24"/>
            <w:szCs w:val="24"/>
          </w:rPr>
          <w:fldChar w:fldCharType="separate"/>
        </w:r>
        <w:r w:rsidR="007472D5">
          <w:rPr>
            <w:rFonts w:asciiTheme="minorEastAsia" w:eastAsiaTheme="minorEastAsia" w:hAnsiTheme="minorEastAsia"/>
            <w:noProof/>
            <w:webHidden/>
            <w:color w:val="auto"/>
            <w:sz w:val="24"/>
            <w:szCs w:val="24"/>
          </w:rPr>
          <w:t>56</w:t>
        </w:r>
        <w:r w:rsidR="00F716A4" w:rsidRPr="007472D5">
          <w:rPr>
            <w:rFonts w:asciiTheme="minorEastAsia" w:eastAsiaTheme="minorEastAsia" w:hAnsiTheme="minorEastAsia"/>
            <w:noProof/>
            <w:webHidden/>
            <w:color w:val="auto"/>
            <w:sz w:val="24"/>
            <w:szCs w:val="24"/>
          </w:rPr>
          <w:fldChar w:fldCharType="end"/>
        </w:r>
      </w:hyperlink>
    </w:p>
    <w:p w:rsidR="006003B4" w:rsidRPr="007472D5" w:rsidRDefault="00867333" w:rsidP="00F716A4">
      <w:pPr>
        <w:widowControl/>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r w:rsidRPr="007472D5">
        <w:rPr>
          <w:rFonts w:asciiTheme="minorEastAsia" w:hAnsiTheme="minorEastAsia" w:cs="宋体"/>
          <w:bCs/>
          <w:snapToGrid w:val="0"/>
          <w:spacing w:val="-2"/>
          <w:kern w:val="0"/>
          <w:sz w:val="24"/>
          <w:szCs w:val="24"/>
        </w:rPr>
        <w:lastRenderedPageBreak/>
        <w:fldChar w:fldCharType="end"/>
      </w:r>
      <w:r w:rsidRPr="007472D5">
        <w:rPr>
          <w:rFonts w:ascii="宋体" w:eastAsia="宋体" w:hAnsi="宋体" w:cs="宋体" w:hint="eastAsia"/>
          <w:b/>
          <w:bCs/>
          <w:snapToGrid w:val="0"/>
          <w:spacing w:val="-2"/>
          <w:kern w:val="0"/>
          <w:sz w:val="28"/>
          <w:szCs w:val="28"/>
        </w:rPr>
        <w:t>注：</w:t>
      </w:r>
    </w:p>
    <w:p w:rsidR="006003B4" w:rsidRPr="007472D5" w:rsidRDefault="00867333">
      <w:pPr>
        <w:widowControl/>
        <w:wordWrap w:val="0"/>
        <w:autoSpaceDE w:val="0"/>
        <w:autoSpaceDN w:val="0"/>
        <w:adjustRightInd w:val="0"/>
        <w:snapToGrid w:val="0"/>
        <w:spacing w:before="137" w:line="360" w:lineRule="auto"/>
        <w:ind w:left="8" w:right="78" w:firstLine="4"/>
        <w:jc w:val="left"/>
        <w:textAlignment w:val="baseline"/>
        <w:rPr>
          <w:rFonts w:ascii="宋体" w:eastAsia="宋体" w:hAnsi="宋体" w:cs="宋体"/>
          <w:snapToGrid w:val="0"/>
          <w:kern w:val="0"/>
          <w:sz w:val="28"/>
          <w:szCs w:val="28"/>
        </w:rPr>
      </w:pPr>
      <w:r w:rsidRPr="007472D5">
        <w:rPr>
          <w:rFonts w:ascii="宋体" w:eastAsia="宋体" w:hAnsi="宋体" w:cs="宋体" w:hint="eastAsia"/>
          <w:b/>
          <w:bCs/>
          <w:snapToGrid w:val="0"/>
          <w:spacing w:val="5"/>
          <w:kern w:val="0"/>
          <w:sz w:val="28"/>
          <w:szCs w:val="28"/>
        </w:rPr>
        <w:t>1</w:t>
      </w:r>
      <w:r w:rsidRPr="007472D5">
        <w:rPr>
          <w:rFonts w:ascii="宋体" w:eastAsia="宋体" w:hAnsi="宋体" w:cs="宋体" w:hint="eastAsia"/>
          <w:b/>
          <w:bCs/>
          <w:snapToGrid w:val="0"/>
          <w:spacing w:val="-18"/>
          <w:kern w:val="0"/>
          <w:sz w:val="28"/>
          <w:szCs w:val="28"/>
        </w:rPr>
        <w:t xml:space="preserve"> </w:t>
      </w:r>
      <w:r w:rsidRPr="007472D5">
        <w:rPr>
          <w:rFonts w:ascii="宋体" w:eastAsia="宋体" w:hAnsi="宋体" w:cs="宋体" w:hint="eastAsia"/>
          <w:b/>
          <w:bCs/>
          <w:snapToGrid w:val="0"/>
          <w:spacing w:val="5"/>
          <w:kern w:val="0"/>
          <w:sz w:val="28"/>
          <w:szCs w:val="28"/>
        </w:rPr>
        <w:t>、“采购项目内容</w:t>
      </w:r>
      <w:r w:rsidRPr="007472D5">
        <w:rPr>
          <w:rFonts w:ascii="宋体" w:eastAsia="宋体" w:hAnsi="宋体" w:cs="宋体" w:hint="eastAsia"/>
          <w:snapToGrid w:val="0"/>
          <w:spacing w:val="-70"/>
          <w:kern w:val="0"/>
          <w:sz w:val="28"/>
          <w:szCs w:val="28"/>
        </w:rPr>
        <w:t xml:space="preserve"> </w:t>
      </w:r>
      <w:r w:rsidRPr="007472D5">
        <w:rPr>
          <w:rFonts w:ascii="宋体" w:eastAsia="宋体" w:hAnsi="宋体" w:cs="宋体" w:hint="eastAsia"/>
          <w:b/>
          <w:bCs/>
          <w:snapToGrid w:val="0"/>
          <w:spacing w:val="5"/>
          <w:kern w:val="0"/>
          <w:sz w:val="28"/>
          <w:szCs w:val="28"/>
        </w:rPr>
        <w:t>”中所有带★项是实质性响应要求，投标人要特别加以注意，必须逐条响应，若</w:t>
      </w:r>
      <w:r w:rsidRPr="007472D5">
        <w:rPr>
          <w:rFonts w:ascii="宋体" w:eastAsia="宋体" w:hAnsi="宋体" w:cs="宋体" w:hint="eastAsia"/>
          <w:b/>
          <w:bCs/>
          <w:snapToGrid w:val="0"/>
          <w:spacing w:val="6"/>
          <w:kern w:val="0"/>
          <w:sz w:val="28"/>
          <w:szCs w:val="28"/>
        </w:rPr>
        <w:t>有一项</w:t>
      </w:r>
      <w:r w:rsidRPr="007472D5">
        <w:rPr>
          <w:rFonts w:ascii="宋体" w:eastAsia="宋体" w:hAnsi="宋体" w:cs="宋体" w:hint="eastAsia"/>
          <w:snapToGrid w:val="0"/>
          <w:spacing w:val="-69"/>
          <w:kern w:val="0"/>
          <w:sz w:val="28"/>
          <w:szCs w:val="28"/>
        </w:rPr>
        <w:t xml:space="preserve"> </w:t>
      </w:r>
      <w:r w:rsidRPr="007472D5">
        <w:rPr>
          <w:rFonts w:ascii="宋体" w:eastAsia="宋体" w:hAnsi="宋体" w:cs="宋体" w:hint="eastAsia"/>
          <w:b/>
          <w:bCs/>
          <w:snapToGrid w:val="0"/>
          <w:spacing w:val="6"/>
          <w:kern w:val="0"/>
          <w:sz w:val="28"/>
          <w:szCs w:val="28"/>
        </w:rPr>
        <w:t>“★”</w:t>
      </w:r>
      <w:r w:rsidRPr="007472D5">
        <w:rPr>
          <w:rFonts w:ascii="宋体" w:eastAsia="宋体" w:hAnsi="宋体" w:cs="宋体" w:hint="eastAsia"/>
          <w:snapToGrid w:val="0"/>
          <w:spacing w:val="-75"/>
          <w:kern w:val="0"/>
          <w:sz w:val="28"/>
          <w:szCs w:val="28"/>
        </w:rPr>
        <w:t xml:space="preserve"> </w:t>
      </w:r>
      <w:r w:rsidRPr="007472D5">
        <w:rPr>
          <w:rFonts w:ascii="宋体" w:eastAsia="宋体" w:hAnsi="宋体" w:cs="宋体" w:hint="eastAsia"/>
          <w:b/>
          <w:bCs/>
          <w:snapToGrid w:val="0"/>
          <w:spacing w:val="6"/>
          <w:kern w:val="0"/>
          <w:sz w:val="28"/>
          <w:szCs w:val="28"/>
        </w:rPr>
        <w:t>的指标未响应、负偏离或缺漏，将按无效</w:t>
      </w:r>
      <w:r w:rsidRPr="007472D5">
        <w:rPr>
          <w:rFonts w:ascii="宋体" w:eastAsia="宋体" w:hAnsi="宋体" w:cs="宋体" w:hint="eastAsia"/>
          <w:b/>
          <w:bCs/>
          <w:snapToGrid w:val="0"/>
          <w:spacing w:val="5"/>
          <w:kern w:val="0"/>
          <w:sz w:val="28"/>
          <w:szCs w:val="28"/>
        </w:rPr>
        <w:t>投标处理。</w:t>
      </w:r>
    </w:p>
    <w:p w:rsidR="006003B4" w:rsidRPr="007472D5" w:rsidRDefault="00867333">
      <w:pPr>
        <w:widowControl/>
        <w:wordWrap w:val="0"/>
        <w:autoSpaceDE w:val="0"/>
        <w:autoSpaceDN w:val="0"/>
        <w:adjustRightInd w:val="0"/>
        <w:snapToGrid w:val="0"/>
        <w:spacing w:before="221" w:line="360" w:lineRule="auto"/>
        <w:ind w:left="11" w:right="65" w:hanging="6"/>
        <w:jc w:val="left"/>
        <w:textAlignment w:val="baseline"/>
        <w:rPr>
          <w:rFonts w:ascii="宋体" w:eastAsia="宋体" w:hAnsi="宋体" w:cs="宋体"/>
          <w:snapToGrid w:val="0"/>
          <w:kern w:val="0"/>
          <w:sz w:val="28"/>
          <w:szCs w:val="28"/>
        </w:rPr>
      </w:pPr>
      <w:r w:rsidRPr="007472D5">
        <w:rPr>
          <w:rFonts w:ascii="宋体" w:eastAsia="宋体" w:hAnsi="宋体" w:cs="宋体" w:hint="eastAsia"/>
          <w:b/>
          <w:bCs/>
          <w:snapToGrid w:val="0"/>
          <w:spacing w:val="4"/>
          <w:kern w:val="0"/>
          <w:sz w:val="28"/>
          <w:szCs w:val="28"/>
        </w:rPr>
        <w:t>2</w:t>
      </w:r>
      <w:r w:rsidRPr="007472D5">
        <w:rPr>
          <w:rFonts w:ascii="宋体" w:eastAsia="宋体" w:hAnsi="宋体" w:cs="宋体" w:hint="eastAsia"/>
          <w:b/>
          <w:bCs/>
          <w:snapToGrid w:val="0"/>
          <w:spacing w:val="-14"/>
          <w:kern w:val="0"/>
          <w:sz w:val="28"/>
          <w:szCs w:val="28"/>
        </w:rPr>
        <w:t xml:space="preserve"> </w:t>
      </w:r>
      <w:r w:rsidRPr="007472D5">
        <w:rPr>
          <w:rFonts w:ascii="宋体" w:eastAsia="宋体" w:hAnsi="宋体" w:cs="宋体" w:hint="eastAsia"/>
          <w:b/>
          <w:bCs/>
          <w:snapToGrid w:val="0"/>
          <w:spacing w:val="4"/>
          <w:kern w:val="0"/>
          <w:sz w:val="28"/>
          <w:szCs w:val="28"/>
        </w:rPr>
        <w:t>、投标人须对“采购项目内容”中的其他技术内容</w:t>
      </w:r>
      <w:r w:rsidRPr="007472D5">
        <w:rPr>
          <w:rFonts w:ascii="宋体" w:eastAsia="宋体" w:hAnsi="宋体" w:cs="宋体" w:hint="eastAsia"/>
          <w:snapToGrid w:val="0"/>
          <w:spacing w:val="4"/>
          <w:kern w:val="0"/>
          <w:sz w:val="28"/>
          <w:szCs w:val="28"/>
        </w:rPr>
        <w:t xml:space="preserve"> </w:t>
      </w:r>
      <w:r w:rsidRPr="007472D5">
        <w:rPr>
          <w:rFonts w:ascii="宋体" w:eastAsia="宋体" w:hAnsi="宋体" w:cs="宋体" w:hint="eastAsia"/>
          <w:b/>
          <w:bCs/>
          <w:snapToGrid w:val="0"/>
          <w:spacing w:val="4"/>
          <w:kern w:val="0"/>
          <w:sz w:val="28"/>
          <w:szCs w:val="28"/>
        </w:rPr>
        <w:t>(</w:t>
      </w:r>
      <w:r w:rsidRPr="007472D5">
        <w:rPr>
          <w:rFonts w:ascii="宋体" w:eastAsia="宋体" w:hAnsi="宋体" w:cs="宋体" w:hint="eastAsia"/>
          <w:snapToGrid w:val="0"/>
          <w:spacing w:val="-46"/>
          <w:kern w:val="0"/>
          <w:sz w:val="28"/>
          <w:szCs w:val="28"/>
        </w:rPr>
        <w:t xml:space="preserve"> </w:t>
      </w:r>
      <w:r w:rsidRPr="007472D5">
        <w:rPr>
          <w:rFonts w:ascii="宋体" w:eastAsia="宋体" w:hAnsi="宋体" w:cs="宋体" w:hint="eastAsia"/>
          <w:b/>
          <w:bCs/>
          <w:snapToGrid w:val="0"/>
          <w:spacing w:val="4"/>
          <w:kern w:val="0"/>
          <w:sz w:val="28"/>
          <w:szCs w:val="28"/>
        </w:rPr>
        <w:t>“★”项除外）</w:t>
      </w:r>
      <w:r w:rsidRPr="007472D5">
        <w:rPr>
          <w:rFonts w:ascii="宋体" w:eastAsia="宋体" w:hAnsi="宋体" w:cs="宋体" w:hint="eastAsia"/>
          <w:snapToGrid w:val="0"/>
          <w:spacing w:val="-66"/>
          <w:kern w:val="0"/>
          <w:sz w:val="28"/>
          <w:szCs w:val="28"/>
        </w:rPr>
        <w:t xml:space="preserve"> </w:t>
      </w:r>
      <w:r w:rsidRPr="007472D5">
        <w:rPr>
          <w:rFonts w:ascii="宋体" w:eastAsia="宋体" w:hAnsi="宋体" w:cs="宋体" w:hint="eastAsia"/>
          <w:b/>
          <w:bCs/>
          <w:snapToGrid w:val="0"/>
          <w:spacing w:val="4"/>
          <w:kern w:val="0"/>
          <w:sz w:val="28"/>
          <w:szCs w:val="28"/>
        </w:rPr>
        <w:t>”逐条响应。如有缺漏，缺漏</w:t>
      </w:r>
      <w:r w:rsidRPr="007472D5">
        <w:rPr>
          <w:rFonts w:ascii="宋体" w:eastAsia="宋体" w:hAnsi="宋体" w:cs="宋体" w:hint="eastAsia"/>
          <w:b/>
          <w:bCs/>
          <w:snapToGrid w:val="0"/>
          <w:spacing w:val="7"/>
          <w:kern w:val="0"/>
          <w:sz w:val="28"/>
          <w:szCs w:val="28"/>
        </w:rPr>
        <w:t>项视同没有实质性响应招标文件要求，作无效投标处理。</w:t>
      </w:r>
    </w:p>
    <w:p w:rsidR="006003B4" w:rsidRPr="007472D5" w:rsidRDefault="00867333">
      <w:pPr>
        <w:widowControl/>
        <w:wordWrap w:val="0"/>
        <w:autoSpaceDE w:val="0"/>
        <w:autoSpaceDN w:val="0"/>
        <w:adjustRightInd w:val="0"/>
        <w:snapToGrid w:val="0"/>
        <w:spacing w:before="221" w:line="360" w:lineRule="auto"/>
        <w:ind w:left="11" w:right="62"/>
        <w:jc w:val="left"/>
        <w:textAlignment w:val="baseline"/>
        <w:rPr>
          <w:rFonts w:ascii="宋体" w:eastAsia="宋体" w:hAnsi="宋体" w:cs="宋体"/>
          <w:snapToGrid w:val="0"/>
          <w:kern w:val="0"/>
          <w:sz w:val="28"/>
          <w:szCs w:val="28"/>
        </w:rPr>
      </w:pPr>
      <w:r w:rsidRPr="007472D5">
        <w:rPr>
          <w:rFonts w:ascii="宋体" w:eastAsia="宋体" w:hAnsi="宋体" w:cs="宋体" w:hint="eastAsia"/>
          <w:b/>
          <w:bCs/>
          <w:snapToGrid w:val="0"/>
          <w:spacing w:val="6"/>
          <w:kern w:val="0"/>
          <w:sz w:val="28"/>
          <w:szCs w:val="28"/>
        </w:rPr>
        <w:t>3、招标文件中如标有“▲”、的条款均为评审的重要评分指标，投标人若有部分“▲</w:t>
      </w:r>
      <w:r w:rsidRPr="007472D5">
        <w:rPr>
          <w:rFonts w:ascii="宋体" w:eastAsia="宋体" w:hAnsi="宋体" w:cs="宋体" w:hint="eastAsia"/>
          <w:snapToGrid w:val="0"/>
          <w:spacing w:val="-67"/>
          <w:kern w:val="0"/>
          <w:sz w:val="28"/>
          <w:szCs w:val="28"/>
        </w:rPr>
        <w:t xml:space="preserve"> </w:t>
      </w:r>
      <w:r w:rsidRPr="007472D5">
        <w:rPr>
          <w:rFonts w:ascii="宋体" w:eastAsia="宋体" w:hAnsi="宋体" w:cs="宋体" w:hint="eastAsia"/>
          <w:b/>
          <w:bCs/>
          <w:snapToGrid w:val="0"/>
          <w:spacing w:val="6"/>
          <w:kern w:val="0"/>
          <w:sz w:val="28"/>
          <w:szCs w:val="28"/>
        </w:rPr>
        <w:t>”、条款未响应或不满足，将导致其响应性评审严重扣分。</w:t>
      </w: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867333">
      <w:pPr>
        <w:keepNext/>
        <w:keepLines/>
        <w:widowControl/>
        <w:numPr>
          <w:ilvl w:val="0"/>
          <w:numId w:val="2"/>
        </w:numPr>
        <w:kinsoku w:val="0"/>
        <w:wordWrap w:val="0"/>
        <w:autoSpaceDE w:val="0"/>
        <w:autoSpaceDN w:val="0"/>
        <w:adjustRightInd w:val="0"/>
        <w:snapToGrid w:val="0"/>
        <w:spacing w:after="120" w:line="360" w:lineRule="auto"/>
        <w:jc w:val="center"/>
        <w:textAlignment w:val="baseline"/>
        <w:outlineLvl w:val="0"/>
        <w:rPr>
          <w:rFonts w:ascii="宋体" w:eastAsia="宋体" w:hAnsi="宋体" w:cs="宋体"/>
          <w:b/>
          <w:bCs/>
          <w:snapToGrid w:val="0"/>
          <w:kern w:val="44"/>
          <w:sz w:val="52"/>
          <w:szCs w:val="52"/>
          <w:lang w:eastAsia="en-US"/>
        </w:rPr>
      </w:pPr>
      <w:bookmarkStart w:id="3" w:name="_Toc201939241"/>
      <w:bookmarkStart w:id="4" w:name="_Toc20409"/>
      <w:bookmarkStart w:id="5" w:name="_Toc209117435"/>
      <w:r w:rsidRPr="007472D5">
        <w:rPr>
          <w:rFonts w:ascii="宋体" w:eastAsia="宋体" w:hAnsi="宋体" w:cs="宋体" w:hint="eastAsia"/>
          <w:b/>
          <w:bCs/>
          <w:snapToGrid w:val="0"/>
          <w:kern w:val="44"/>
          <w:sz w:val="52"/>
          <w:szCs w:val="52"/>
          <w:lang w:eastAsia="en-US"/>
        </w:rPr>
        <w:lastRenderedPageBreak/>
        <w:t>商务要求</w:t>
      </w:r>
      <w:bookmarkEnd w:id="3"/>
      <w:bookmarkEnd w:id="4"/>
      <w:bookmarkEnd w:id="5"/>
    </w:p>
    <w:p w:rsidR="006003B4" w:rsidRPr="007472D5" w:rsidRDefault="00867333">
      <w:pPr>
        <w:keepNext/>
        <w:widowControl/>
        <w:numPr>
          <w:ilvl w:val="0"/>
          <w:numId w:val="3"/>
        </w:numPr>
        <w:kinsoku w:val="0"/>
        <w:wordWrap w:val="0"/>
        <w:autoSpaceDE w:val="0"/>
        <w:autoSpaceDN w:val="0"/>
        <w:adjustRightInd w:val="0"/>
        <w:snapToGrid w:val="0"/>
        <w:spacing w:before="120" w:after="120" w:line="360" w:lineRule="auto"/>
        <w:ind w:left="575" w:hanging="575"/>
        <w:jc w:val="left"/>
        <w:textAlignment w:val="baseline"/>
        <w:outlineLvl w:val="1"/>
        <w:rPr>
          <w:rFonts w:ascii="宋体" w:eastAsia="宋体" w:hAnsi="宋体" w:cs="宋体"/>
          <w:b/>
          <w:bCs/>
          <w:snapToGrid w:val="0"/>
          <w:kern w:val="0"/>
          <w:sz w:val="24"/>
          <w:szCs w:val="24"/>
          <w:lang w:eastAsia="en-US"/>
        </w:rPr>
      </w:pPr>
      <w:bookmarkStart w:id="6" w:name="_Toc201939242"/>
      <w:bookmarkStart w:id="7" w:name="_Toc12800"/>
      <w:bookmarkStart w:id="8" w:name="_Toc209117436"/>
      <w:r w:rsidRPr="007472D5">
        <w:rPr>
          <w:rFonts w:ascii="宋体" w:eastAsia="宋体" w:hAnsi="宋体" w:cs="宋体" w:hint="eastAsia"/>
          <w:b/>
          <w:bCs/>
          <w:snapToGrid w:val="0"/>
          <w:kern w:val="0"/>
          <w:sz w:val="24"/>
          <w:szCs w:val="24"/>
          <w:lang w:eastAsia="en-US"/>
        </w:rPr>
        <w:t>项目概况</w:t>
      </w:r>
      <w:bookmarkEnd w:id="6"/>
      <w:bookmarkEnd w:id="7"/>
      <w:bookmarkEnd w:id="8"/>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根据《财政部交通运输部关于支持引导公路水路交通基础设施数字化转型升级的通知》（财建〔2024〕96号）、《交通运输部办公厅财政部办公厅关于印发公路水路交通基础设施数字化转型升级工作实施细则的通知》（交办规划〔2024〕28号），本项目通过升级改造广东省治超联网管理信息系统数据采集设备，进一步完善治超监控网络，加快构建数字治超新模式，切实提升公路安全保护水平和道路交通安全保障能力。</w:t>
      </w:r>
    </w:p>
    <w:p w:rsidR="006003B4" w:rsidRPr="007472D5" w:rsidRDefault="00867333">
      <w:pPr>
        <w:widowControl/>
        <w:numPr>
          <w:ilvl w:val="0"/>
          <w:numId w:val="4"/>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lang w:eastAsia="en-US"/>
        </w:rPr>
      </w:pPr>
      <w:bookmarkStart w:id="9" w:name="_Toc201939243"/>
      <w:bookmarkStart w:id="10" w:name="_Toc11575"/>
      <w:bookmarkStart w:id="11" w:name="_Toc27643"/>
      <w:bookmarkStart w:id="12" w:name="_Toc209117437"/>
      <w:r w:rsidRPr="007472D5">
        <w:rPr>
          <w:rFonts w:ascii="宋体" w:eastAsia="宋体" w:hAnsi="宋体" w:cs="宋体" w:hint="eastAsia"/>
          <w:b/>
          <w:bCs/>
          <w:snapToGrid w:val="0"/>
          <w:kern w:val="0"/>
          <w:sz w:val="24"/>
          <w:szCs w:val="24"/>
          <w:lang w:eastAsia="en-US"/>
        </w:rPr>
        <w:t>提升</w:t>
      </w:r>
      <w:r w:rsidRPr="007472D5">
        <w:rPr>
          <w:rFonts w:ascii="宋体" w:eastAsia="宋体" w:hAnsi="宋体" w:cs="宋体" w:hint="eastAsia"/>
          <w:b/>
          <w:bCs/>
          <w:snapToGrid w:val="0"/>
          <w:kern w:val="0"/>
          <w:sz w:val="24"/>
          <w:szCs w:val="24"/>
        </w:rPr>
        <w:t>公路</w:t>
      </w:r>
      <w:r w:rsidRPr="007472D5">
        <w:rPr>
          <w:rFonts w:ascii="宋体" w:eastAsia="宋体" w:hAnsi="宋体" w:cs="宋体" w:hint="eastAsia"/>
          <w:b/>
          <w:bCs/>
          <w:snapToGrid w:val="0"/>
          <w:kern w:val="0"/>
          <w:sz w:val="24"/>
          <w:szCs w:val="24"/>
          <w:lang w:eastAsia="en-US"/>
        </w:rPr>
        <w:t>保护水平</w:t>
      </w:r>
      <w:bookmarkEnd w:id="9"/>
      <w:bookmarkEnd w:id="10"/>
      <w:bookmarkEnd w:id="11"/>
      <w:bookmarkEnd w:id="12"/>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通过升级改造广东省治超联网管理信息系统的数据采集设备，建立更全面高效的监控网络，利用先进的传感器技术和数据分析算法，确保数据采集的实时性和准确性，实时监测车辆运行状态，遏制违法超限超载行为，有效防止交通事故的发生，遏制违法超限超载行为。此外，还将建立应急响应机制，一旦发现异常情况，能够迅速采取措施，防止交通事故的发生，从而有效保障人民生命财产安全。</w:t>
      </w:r>
    </w:p>
    <w:p w:rsidR="006003B4" w:rsidRPr="007472D5" w:rsidRDefault="00867333">
      <w:pPr>
        <w:widowControl/>
        <w:numPr>
          <w:ilvl w:val="0"/>
          <w:numId w:val="4"/>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lang w:eastAsia="en-US"/>
        </w:rPr>
      </w:pPr>
      <w:bookmarkStart w:id="13" w:name="_Toc201939244"/>
      <w:bookmarkStart w:id="14" w:name="_Toc7673"/>
      <w:bookmarkStart w:id="15" w:name="_Toc17589"/>
      <w:bookmarkStart w:id="16" w:name="_Toc209117438"/>
      <w:r w:rsidRPr="007472D5">
        <w:rPr>
          <w:rFonts w:ascii="宋体" w:eastAsia="宋体" w:hAnsi="宋体" w:cs="宋体" w:hint="eastAsia"/>
          <w:b/>
          <w:bCs/>
          <w:snapToGrid w:val="0"/>
          <w:kern w:val="0"/>
          <w:sz w:val="24"/>
          <w:szCs w:val="24"/>
          <w:lang w:eastAsia="en-US"/>
        </w:rPr>
        <w:t>增强</w:t>
      </w:r>
      <w:r w:rsidRPr="007472D5">
        <w:rPr>
          <w:rFonts w:ascii="宋体" w:eastAsia="宋体" w:hAnsi="宋体" w:cs="宋体" w:hint="eastAsia"/>
          <w:b/>
          <w:bCs/>
          <w:snapToGrid w:val="0"/>
          <w:kern w:val="0"/>
          <w:sz w:val="24"/>
          <w:szCs w:val="24"/>
        </w:rPr>
        <w:t>交通安全</w:t>
      </w:r>
      <w:r w:rsidRPr="007472D5">
        <w:rPr>
          <w:rFonts w:ascii="宋体" w:eastAsia="宋体" w:hAnsi="宋体" w:cs="宋体" w:hint="eastAsia"/>
          <w:b/>
          <w:bCs/>
          <w:snapToGrid w:val="0"/>
          <w:kern w:val="0"/>
          <w:sz w:val="24"/>
          <w:szCs w:val="24"/>
          <w:lang w:eastAsia="en-US"/>
        </w:rPr>
        <w:t>保障能力</w:t>
      </w:r>
      <w:bookmarkEnd w:id="13"/>
      <w:bookmarkEnd w:id="14"/>
      <w:bookmarkEnd w:id="15"/>
      <w:bookmarkEnd w:id="16"/>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加快构建数字治超新模式，充分利用物联网、大数据等前沿技术，打造一个智能化的超限超载治理系统，提高对超限超载行为的识别精度和响应速度，进一步增强道路交通安全保障能力。同时，针对设施老化问题，将定期开展健康监测，及时维护和更新路面结构，减少因超载引起的路面损坏，延长道路使用寿命，确保道路设施的安全稳定运行。</w:t>
      </w:r>
    </w:p>
    <w:p w:rsidR="006003B4" w:rsidRPr="007472D5" w:rsidRDefault="00867333">
      <w:pPr>
        <w:widowControl/>
        <w:numPr>
          <w:ilvl w:val="0"/>
          <w:numId w:val="4"/>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7" w:name="_Toc201939245"/>
      <w:bookmarkStart w:id="18" w:name="_Toc4729"/>
      <w:bookmarkStart w:id="19" w:name="_Toc22113"/>
      <w:bookmarkStart w:id="20" w:name="_Toc209117439"/>
      <w:r w:rsidRPr="007472D5">
        <w:rPr>
          <w:rFonts w:ascii="宋体" w:eastAsia="宋体" w:hAnsi="宋体" w:cs="宋体" w:hint="eastAsia"/>
          <w:b/>
          <w:bCs/>
          <w:snapToGrid w:val="0"/>
          <w:kern w:val="0"/>
          <w:sz w:val="24"/>
          <w:szCs w:val="24"/>
        </w:rPr>
        <w:t>促进高质量发展和高水平安全</w:t>
      </w:r>
      <w:bookmarkEnd w:id="17"/>
      <w:bookmarkEnd w:id="18"/>
      <w:bookmarkEnd w:id="19"/>
      <w:bookmarkEnd w:id="20"/>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推动公路水路交通基础设施的数字化转型，鼓励创新应用和技术研发，提高运输效率和服务质量，降低物流成本，助力国家经济高质量发展。建立健全的法律法规和技术标准体系，加强行业监管力度，确保各项措施落实到位，形成政府主导、企业负责、社会参与的良好治理格局，共同维护良好的交通秩序。</w:t>
      </w:r>
    </w:p>
    <w:p w:rsidR="006003B4" w:rsidRPr="007472D5" w:rsidRDefault="00867333">
      <w:pPr>
        <w:widowControl/>
        <w:numPr>
          <w:ilvl w:val="0"/>
          <w:numId w:val="4"/>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lang w:eastAsia="en-US"/>
        </w:rPr>
      </w:pPr>
      <w:bookmarkStart w:id="21" w:name="_Toc201939246"/>
      <w:bookmarkStart w:id="22" w:name="_Toc28371"/>
      <w:bookmarkStart w:id="23" w:name="_Toc7561"/>
      <w:bookmarkStart w:id="24" w:name="_Toc209117440"/>
      <w:r w:rsidRPr="007472D5">
        <w:rPr>
          <w:rFonts w:ascii="宋体" w:eastAsia="宋体" w:hAnsi="宋体" w:cs="宋体" w:hint="eastAsia"/>
          <w:b/>
          <w:bCs/>
          <w:snapToGrid w:val="0"/>
          <w:kern w:val="0"/>
          <w:sz w:val="24"/>
          <w:szCs w:val="24"/>
          <w:lang w:eastAsia="en-US"/>
        </w:rPr>
        <w:t>优化</w:t>
      </w:r>
      <w:r w:rsidRPr="007472D5">
        <w:rPr>
          <w:rFonts w:ascii="宋体" w:eastAsia="宋体" w:hAnsi="宋体" w:cs="宋体" w:hint="eastAsia"/>
          <w:b/>
          <w:bCs/>
          <w:snapToGrid w:val="0"/>
          <w:kern w:val="0"/>
          <w:sz w:val="24"/>
          <w:szCs w:val="24"/>
        </w:rPr>
        <w:t>公众</w:t>
      </w:r>
      <w:r w:rsidRPr="007472D5">
        <w:rPr>
          <w:rFonts w:ascii="宋体" w:eastAsia="宋体" w:hAnsi="宋体" w:cs="宋体" w:hint="eastAsia"/>
          <w:b/>
          <w:bCs/>
          <w:snapToGrid w:val="0"/>
          <w:kern w:val="0"/>
          <w:sz w:val="24"/>
          <w:szCs w:val="24"/>
          <w:lang w:eastAsia="en-US"/>
        </w:rPr>
        <w:t>体验</w:t>
      </w:r>
      <w:bookmarkEnd w:id="21"/>
      <w:bookmarkEnd w:id="22"/>
      <w:bookmarkEnd w:id="23"/>
      <w:bookmarkEnd w:id="24"/>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简化业务流程，提供便捷的服务渠道，减少不必要的手续和环节，使企业和个人能够更方便地办理相关事务，享受到更加透明、高效的公共服务，提高用户满意度。加强平台体系建设，及时解答用户的疑问和反馈的问题，提高用户满意度，构建一个更加便捷、透明、高效的公共服务体系，让每一位用户都能感受到改革带来的方便和高效。</w:t>
      </w:r>
    </w:p>
    <w:p w:rsidR="006003B4" w:rsidRPr="007472D5" w:rsidRDefault="00867333">
      <w:pPr>
        <w:keepNext/>
        <w:widowControl/>
        <w:numPr>
          <w:ilvl w:val="0"/>
          <w:numId w:val="3"/>
        </w:numPr>
        <w:kinsoku w:val="0"/>
        <w:wordWrap w:val="0"/>
        <w:autoSpaceDE w:val="0"/>
        <w:autoSpaceDN w:val="0"/>
        <w:adjustRightInd w:val="0"/>
        <w:snapToGrid w:val="0"/>
        <w:spacing w:before="120" w:after="120" w:line="360" w:lineRule="auto"/>
        <w:ind w:left="575" w:hanging="575"/>
        <w:jc w:val="left"/>
        <w:textAlignment w:val="baseline"/>
        <w:outlineLvl w:val="1"/>
        <w:rPr>
          <w:rFonts w:ascii="宋体" w:eastAsia="宋体" w:hAnsi="宋体" w:cs="宋体"/>
          <w:b/>
          <w:bCs/>
          <w:snapToGrid w:val="0"/>
          <w:kern w:val="0"/>
          <w:sz w:val="24"/>
          <w:szCs w:val="24"/>
          <w:lang w:eastAsia="en-US"/>
        </w:rPr>
      </w:pPr>
      <w:bookmarkStart w:id="25" w:name="_Toc27315"/>
      <w:bookmarkStart w:id="26" w:name="_Toc201939247"/>
      <w:bookmarkStart w:id="27" w:name="_Toc209117441"/>
      <w:r w:rsidRPr="007472D5">
        <w:rPr>
          <w:rFonts w:ascii="宋体" w:eastAsia="宋体" w:hAnsi="宋体" w:cs="宋体" w:hint="eastAsia"/>
          <w:b/>
          <w:bCs/>
          <w:snapToGrid w:val="0"/>
          <w:kern w:val="0"/>
          <w:sz w:val="24"/>
          <w:szCs w:val="24"/>
        </w:rPr>
        <w:lastRenderedPageBreak/>
        <w:t>招标</w:t>
      </w:r>
      <w:r w:rsidRPr="007472D5">
        <w:rPr>
          <w:rFonts w:ascii="宋体" w:eastAsia="宋体" w:hAnsi="宋体" w:cs="宋体" w:hint="eastAsia"/>
          <w:b/>
          <w:bCs/>
          <w:snapToGrid w:val="0"/>
          <w:kern w:val="0"/>
          <w:sz w:val="24"/>
          <w:szCs w:val="24"/>
          <w:lang w:eastAsia="en-US"/>
        </w:rPr>
        <w:t>需求</w:t>
      </w:r>
      <w:bookmarkEnd w:id="25"/>
      <w:bookmarkEnd w:id="26"/>
      <w:bookmarkEnd w:id="27"/>
    </w:p>
    <w:tbl>
      <w:tblPr>
        <w:tblW w:w="9381" w:type="dxa"/>
        <w:tblInd w:w="91" w:type="dxa"/>
        <w:tblLook w:val="04A0" w:firstRow="1" w:lastRow="0" w:firstColumn="1" w:lastColumn="0" w:noHBand="0" w:noVBand="1"/>
      </w:tblPr>
      <w:tblGrid>
        <w:gridCol w:w="3419"/>
        <w:gridCol w:w="1418"/>
        <w:gridCol w:w="2410"/>
        <w:gridCol w:w="2134"/>
      </w:tblGrid>
      <w:tr w:rsidR="007472D5" w:rsidRPr="007472D5" w:rsidTr="00F716A4">
        <w:trPr>
          <w:trHeight w:val="766"/>
        </w:trPr>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utoSpaceDE w:val="0"/>
              <w:autoSpaceDN w:val="0"/>
              <w:adjustRightInd w:val="0"/>
              <w:snapToGrid w:val="0"/>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招标标的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utoSpaceDE w:val="0"/>
              <w:autoSpaceDN w:val="0"/>
              <w:adjustRightInd w:val="0"/>
              <w:snapToGrid w:val="0"/>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数量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utoSpaceDE w:val="0"/>
              <w:autoSpaceDN w:val="0"/>
              <w:adjustRightInd w:val="0"/>
              <w:snapToGrid w:val="0"/>
              <w:jc w:val="center"/>
              <w:textAlignment w:val="center"/>
              <w:rPr>
                <w:rFonts w:ascii="宋体" w:eastAsia="宋体" w:hAnsi="宋体" w:cs="宋体"/>
                <w:b/>
                <w:bCs/>
                <w:snapToGrid w:val="0"/>
                <w:kern w:val="0"/>
                <w:sz w:val="24"/>
                <w:szCs w:val="24"/>
                <w:lang w:bidi="ar"/>
              </w:rPr>
            </w:pPr>
            <w:r w:rsidRPr="007472D5">
              <w:rPr>
                <w:rFonts w:ascii="宋体" w:eastAsia="宋体" w:hAnsi="宋体" w:cs="宋体" w:hint="eastAsia"/>
                <w:b/>
                <w:bCs/>
                <w:snapToGrid w:val="0"/>
                <w:kern w:val="0"/>
                <w:sz w:val="24"/>
                <w:szCs w:val="24"/>
                <w:lang w:bidi="ar"/>
              </w:rPr>
              <w:t>技术规格</w:t>
            </w:r>
          </w:p>
          <w:p w:rsidR="006003B4" w:rsidRPr="007472D5" w:rsidRDefault="00867333">
            <w:pPr>
              <w:widowControl/>
              <w:wordWrap w:val="0"/>
              <w:autoSpaceDE w:val="0"/>
              <w:autoSpaceDN w:val="0"/>
              <w:adjustRightInd w:val="0"/>
              <w:snapToGrid w:val="0"/>
              <w:jc w:val="center"/>
              <w:textAlignment w:val="center"/>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lang w:bidi="ar"/>
              </w:rPr>
              <w:t>参数及要求</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utoSpaceDE w:val="0"/>
              <w:autoSpaceDN w:val="0"/>
              <w:adjustRightInd w:val="0"/>
              <w:snapToGrid w:val="0"/>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最高限价(元)</w:t>
            </w:r>
          </w:p>
        </w:tc>
      </w:tr>
      <w:tr w:rsidR="007472D5" w:rsidRPr="007472D5" w:rsidTr="00C47F04">
        <w:trPr>
          <w:trHeight w:val="1188"/>
        </w:trPr>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升级改造广东省治超联网管理信息系统数据采集设备项目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rPr>
              <w:t>1(项)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rPr>
              <w:t>详见技术要求</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rPr>
              <w:t>8225300.00</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lang w:eastAsia="en-US"/>
        </w:rPr>
      </w:pPr>
    </w:p>
    <w:p w:rsidR="006003B4" w:rsidRPr="007472D5" w:rsidRDefault="00867333">
      <w:pPr>
        <w:keepNext/>
        <w:widowControl/>
        <w:numPr>
          <w:ilvl w:val="0"/>
          <w:numId w:val="3"/>
        </w:numPr>
        <w:kinsoku w:val="0"/>
        <w:wordWrap w:val="0"/>
        <w:autoSpaceDE w:val="0"/>
        <w:autoSpaceDN w:val="0"/>
        <w:adjustRightInd w:val="0"/>
        <w:snapToGrid w:val="0"/>
        <w:spacing w:before="120" w:after="120" w:line="360" w:lineRule="auto"/>
        <w:ind w:left="575" w:hanging="575"/>
        <w:jc w:val="left"/>
        <w:textAlignment w:val="baseline"/>
        <w:outlineLvl w:val="1"/>
        <w:rPr>
          <w:rFonts w:ascii="宋体" w:eastAsia="宋体" w:hAnsi="宋体" w:cs="宋体"/>
          <w:b/>
          <w:bCs/>
          <w:snapToGrid w:val="0"/>
          <w:kern w:val="0"/>
          <w:sz w:val="24"/>
          <w:szCs w:val="24"/>
          <w:lang w:eastAsia="en-US"/>
        </w:rPr>
      </w:pPr>
      <w:bookmarkStart w:id="28" w:name="_Toc201939248"/>
      <w:bookmarkStart w:id="29" w:name="_Toc5587"/>
      <w:bookmarkStart w:id="30" w:name="_Toc209117442"/>
      <w:r w:rsidRPr="007472D5">
        <w:rPr>
          <w:rFonts w:ascii="宋体" w:eastAsia="宋体" w:hAnsi="宋体" w:cs="宋体" w:hint="eastAsia"/>
          <w:b/>
          <w:bCs/>
          <w:snapToGrid w:val="0"/>
          <w:kern w:val="0"/>
          <w:sz w:val="24"/>
          <w:szCs w:val="24"/>
          <w:lang w:eastAsia="en-US"/>
        </w:rPr>
        <w:t>货物内容</w:t>
      </w:r>
      <w:bookmarkEnd w:id="28"/>
      <w:bookmarkEnd w:id="29"/>
      <w:bookmarkEnd w:id="30"/>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lang w:eastAsia="en-US"/>
        </w:rPr>
      </w:pPr>
      <w:bookmarkStart w:id="31" w:name="_Toc201939249"/>
      <w:bookmarkStart w:id="32" w:name="_Toc908"/>
      <w:bookmarkStart w:id="33" w:name="_Toc209117443"/>
      <w:r w:rsidRPr="007472D5">
        <w:rPr>
          <w:rFonts w:ascii="宋体" w:eastAsia="宋体" w:hAnsi="宋体" w:cs="宋体" w:hint="eastAsia"/>
          <w:b/>
          <w:bCs/>
          <w:snapToGrid w:val="0"/>
          <w:kern w:val="0"/>
          <w:sz w:val="24"/>
          <w:szCs w:val="24"/>
        </w:rPr>
        <w:t>建设规模和内容</w:t>
      </w:r>
      <w:bookmarkEnd w:id="31"/>
      <w:bookmarkEnd w:id="32"/>
      <w:bookmarkEnd w:id="33"/>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主要针对广州市、江门市、清远市、云浮市、茂名市和梅州市存在设备老旧、信息化程度低、现有设备故障率高等问题的8个超限检测站（点）共计10套称重检测设备进行升级改造；在频繁出现技术故障和操作问题，数据无法自动传输处理，影响到执法依据的准确性和权威性的23个超限检测站（点）加装电子围栏监控设备，依托省治超联网管理信息系统的数据集成统筹优势，织密治超监控网络，提高数据采集的准确性和实时性，增强监控系统的智能化水平，为相关部门提供决策支持</w:t>
      </w:r>
      <w:r w:rsidRPr="007472D5">
        <w:rPr>
          <w:rFonts w:ascii="宋体" w:eastAsia="宋体" w:hAnsi="宋体" w:cs="宋体"/>
          <w:snapToGrid w:val="0"/>
          <w:kern w:val="0"/>
          <w:sz w:val="24"/>
          <w:szCs w:val="24"/>
        </w:rPr>
        <w:t>。</w:t>
      </w:r>
    </w:p>
    <w:p w:rsidR="006003B4" w:rsidRPr="007472D5" w:rsidRDefault="00867333">
      <w:pPr>
        <w:widowControl/>
        <w:wordWrap w:val="0"/>
        <w:autoSpaceDE w:val="0"/>
        <w:autoSpaceDN w:val="0"/>
        <w:adjustRightInd w:val="0"/>
        <w:snapToGrid w:val="0"/>
        <w:spacing w:line="360" w:lineRule="auto"/>
        <w:ind w:firstLineChars="200" w:firstLine="562"/>
        <w:jc w:val="center"/>
        <w:textAlignment w:val="baseline"/>
        <w:rPr>
          <w:rFonts w:ascii="宋体" w:eastAsia="宋体" w:hAnsi="宋体" w:cs="宋体"/>
          <w:b/>
          <w:bCs/>
          <w:snapToGrid w:val="0"/>
          <w:kern w:val="0"/>
          <w:sz w:val="28"/>
          <w:szCs w:val="28"/>
        </w:rPr>
      </w:pPr>
      <w:bookmarkStart w:id="34" w:name="_Toc1235"/>
      <w:r w:rsidRPr="007472D5">
        <w:rPr>
          <w:rFonts w:ascii="宋体" w:eastAsia="宋体" w:hAnsi="宋体" w:cs="宋体" w:hint="eastAsia"/>
          <w:b/>
          <w:bCs/>
          <w:snapToGrid w:val="0"/>
          <w:kern w:val="0"/>
          <w:sz w:val="28"/>
          <w:szCs w:val="28"/>
        </w:rPr>
        <w:t>各地市建设内容表</w:t>
      </w:r>
      <w:bookmarkEnd w:id="34"/>
    </w:p>
    <w:tbl>
      <w:tblPr>
        <w:tblW w:w="4999" w:type="pct"/>
        <w:jc w:val="center"/>
        <w:tblLook w:val="04A0" w:firstRow="1" w:lastRow="0" w:firstColumn="1" w:lastColumn="0" w:noHBand="0" w:noVBand="1"/>
      </w:tblPr>
      <w:tblGrid>
        <w:gridCol w:w="957"/>
        <w:gridCol w:w="1701"/>
        <w:gridCol w:w="4113"/>
        <w:gridCol w:w="2597"/>
      </w:tblGrid>
      <w:tr w:rsidR="007472D5" w:rsidRPr="007472D5" w:rsidTr="00F716A4">
        <w:trPr>
          <w:trHeight w:val="375"/>
          <w:tblHeader/>
          <w:jc w:val="center"/>
        </w:trPr>
        <w:tc>
          <w:tcPr>
            <w:tcW w:w="511"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序号</w:t>
            </w:r>
          </w:p>
        </w:tc>
        <w:tc>
          <w:tcPr>
            <w:tcW w:w="908"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地市</w:t>
            </w:r>
          </w:p>
        </w:tc>
        <w:tc>
          <w:tcPr>
            <w:tcW w:w="2195"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lang w:bidi="ar"/>
              </w:rPr>
              <w:t>升级改造称重检测设备数量</w:t>
            </w:r>
          </w:p>
        </w:tc>
        <w:tc>
          <w:tcPr>
            <w:tcW w:w="1387"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加装电子围栏数量</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广州市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2套</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江门市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4套</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3</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清远市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4套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7套</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4</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云浮市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8套</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5</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茂名市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2套</w:t>
            </w:r>
          </w:p>
        </w:tc>
      </w:tr>
      <w:tr w:rsidR="007472D5" w:rsidRPr="007472D5">
        <w:trPr>
          <w:trHeight w:val="90"/>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6</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梅州市</w:t>
            </w:r>
          </w:p>
        </w:tc>
        <w:tc>
          <w:tcPr>
            <w:tcW w:w="2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1套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snapToGrid w:val="0"/>
                <w:kern w:val="0"/>
                <w:sz w:val="24"/>
                <w:szCs w:val="24"/>
                <w:lang w:bidi="ar"/>
              </w:rPr>
            </w:pPr>
            <w:r w:rsidRPr="007472D5">
              <w:rPr>
                <w:rFonts w:ascii="宋体" w:eastAsia="宋体" w:hAnsi="宋体" w:cs="宋体" w:hint="eastAsia"/>
                <w:snapToGrid w:val="0"/>
                <w:kern w:val="0"/>
                <w:sz w:val="24"/>
                <w:szCs w:val="24"/>
                <w:lang w:bidi="ar"/>
              </w:rPr>
              <w:t>/</w:t>
            </w:r>
          </w:p>
        </w:tc>
      </w:tr>
      <w:tr w:rsidR="006003B4" w:rsidRPr="007472D5">
        <w:trPr>
          <w:trHeight w:val="90"/>
          <w:jc w:val="center"/>
        </w:trPr>
        <w:tc>
          <w:tcPr>
            <w:tcW w:w="141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bidi="ar"/>
              </w:rPr>
            </w:pPr>
            <w:r w:rsidRPr="007472D5">
              <w:rPr>
                <w:rFonts w:ascii="宋体" w:eastAsia="宋体" w:hAnsi="宋体" w:cs="宋体" w:hint="eastAsia"/>
                <w:b/>
                <w:bCs/>
                <w:snapToGrid w:val="0"/>
                <w:kern w:val="0"/>
                <w:sz w:val="24"/>
                <w:szCs w:val="24"/>
                <w:lang w:bidi="ar"/>
              </w:rPr>
              <w:t>共计</w:t>
            </w:r>
          </w:p>
        </w:tc>
        <w:tc>
          <w:tcPr>
            <w:tcW w:w="2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bidi="ar"/>
              </w:rPr>
            </w:pPr>
            <w:r w:rsidRPr="007472D5">
              <w:rPr>
                <w:rFonts w:ascii="宋体" w:eastAsia="宋体" w:hAnsi="宋体" w:cs="宋体" w:hint="eastAsia"/>
                <w:b/>
                <w:bCs/>
                <w:snapToGrid w:val="0"/>
                <w:kern w:val="0"/>
                <w:sz w:val="24"/>
                <w:szCs w:val="24"/>
                <w:lang w:bidi="ar"/>
              </w:rPr>
              <w:t>10</w:t>
            </w:r>
            <w:r w:rsidRPr="007472D5">
              <w:rPr>
                <w:rFonts w:ascii="宋体" w:eastAsia="宋体" w:hAnsi="宋体" w:cs="宋体" w:hint="eastAsia"/>
                <w:snapToGrid w:val="0"/>
                <w:kern w:val="0"/>
                <w:sz w:val="24"/>
                <w:szCs w:val="24"/>
                <w:lang w:bidi="ar"/>
              </w:rPr>
              <w:t>套</w:t>
            </w:r>
          </w:p>
        </w:tc>
        <w:tc>
          <w:tcPr>
            <w:tcW w:w="1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440" w:lineRule="exact"/>
              <w:jc w:val="center"/>
              <w:textAlignment w:val="center"/>
              <w:rPr>
                <w:rFonts w:ascii="宋体" w:eastAsia="宋体" w:hAnsi="宋体" w:cs="宋体"/>
                <w:b/>
                <w:bCs/>
                <w:snapToGrid w:val="0"/>
                <w:kern w:val="0"/>
                <w:sz w:val="24"/>
                <w:szCs w:val="24"/>
                <w:lang w:bidi="ar"/>
              </w:rPr>
            </w:pPr>
            <w:r w:rsidRPr="007472D5">
              <w:rPr>
                <w:rFonts w:ascii="宋体" w:eastAsia="宋体" w:hAnsi="宋体" w:cs="宋体" w:hint="eastAsia"/>
                <w:b/>
                <w:bCs/>
                <w:snapToGrid w:val="0"/>
                <w:kern w:val="0"/>
                <w:sz w:val="24"/>
                <w:szCs w:val="24"/>
                <w:lang w:bidi="ar"/>
              </w:rPr>
              <w:t>23</w:t>
            </w:r>
            <w:r w:rsidRPr="007472D5">
              <w:rPr>
                <w:rFonts w:ascii="宋体" w:eastAsia="宋体" w:hAnsi="宋体" w:cs="宋体" w:hint="eastAsia"/>
                <w:snapToGrid w:val="0"/>
                <w:kern w:val="0"/>
                <w:sz w:val="24"/>
                <w:szCs w:val="24"/>
                <w:lang w:bidi="ar"/>
              </w:rPr>
              <w:t>套</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lang w:eastAsia="en-US"/>
        </w:rPr>
      </w:pP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8"/>
          <w:szCs w:val="28"/>
        </w:rPr>
      </w:pPr>
      <w:bookmarkStart w:id="35" w:name="_Toc201939250"/>
      <w:bookmarkStart w:id="36" w:name="_Toc14406"/>
      <w:bookmarkStart w:id="37" w:name="_Toc209117444"/>
      <w:r w:rsidRPr="007472D5">
        <w:rPr>
          <w:rFonts w:ascii="宋体" w:eastAsia="宋体" w:hAnsi="宋体" w:cs="宋体" w:hint="eastAsia"/>
          <w:b/>
          <w:bCs/>
          <w:snapToGrid w:val="0"/>
          <w:kern w:val="0"/>
          <w:sz w:val="28"/>
          <w:szCs w:val="28"/>
        </w:rPr>
        <w:t>升级改造广东省治超联网管理信息系统数据采集设备项目设备清单</w:t>
      </w:r>
      <w:bookmarkEnd w:id="35"/>
      <w:bookmarkEnd w:id="36"/>
      <w:bookmarkEnd w:id="37"/>
    </w:p>
    <w:tbl>
      <w:tblPr>
        <w:tblW w:w="89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4584"/>
        <w:gridCol w:w="1092"/>
        <w:gridCol w:w="924"/>
        <w:gridCol w:w="1380"/>
      </w:tblGrid>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序号</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设备名称</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数量</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单位</w:t>
            </w:r>
          </w:p>
        </w:tc>
        <w:tc>
          <w:tcPr>
            <w:tcW w:w="1380"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备注</w:t>
            </w: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一</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升级改造称重检测设备</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w:t>
            </w:r>
          </w:p>
        </w:tc>
        <w:tc>
          <w:tcPr>
            <w:tcW w:w="6600" w:type="dxa"/>
            <w:gridSpan w:val="3"/>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电子汽车衡</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lastRenderedPageBreak/>
              <w:t>1.1.1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静态称重秤台</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称重传感器</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称重处理器</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数据转换器</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1.1.5</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第三方检测</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1.2</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车辆自动分离系统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1.2.1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红外光栅</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1.2.2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红外光栅外壳</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40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车牌识别及抓拍系统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车牌识别(</w:t>
            </w:r>
            <w:r w:rsidRPr="007472D5">
              <w:rPr>
                <w:rFonts w:ascii="宋体" w:eastAsia="宋体" w:hAnsi="宋体" w:cs="宋体"/>
                <w:snapToGrid w:val="0"/>
                <w:kern w:val="0"/>
                <w:sz w:val="24"/>
                <w:szCs w:val="24"/>
                <w:lang w:bidi="ar"/>
              </w:rPr>
              <w:t>用于称重区</w:t>
            </w:r>
            <w:r w:rsidRPr="007472D5">
              <w:rPr>
                <w:rFonts w:ascii="宋体" w:eastAsia="宋体" w:hAnsi="宋体" w:cs="宋体" w:hint="eastAsia"/>
                <w:snapToGrid w:val="0"/>
                <w:kern w:val="0"/>
                <w:sz w:val="24"/>
                <w:szCs w:val="24"/>
                <w:lang w:bidi="ar"/>
              </w:rPr>
              <w:t>)</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侧面抓拍机(400</w:t>
            </w:r>
            <w:r w:rsidRPr="007472D5">
              <w:rPr>
                <w:rFonts w:ascii="宋体" w:eastAsia="宋体" w:hAnsi="宋体" w:cs="宋体"/>
                <w:snapToGrid w:val="0"/>
                <w:kern w:val="0"/>
                <w:sz w:val="24"/>
                <w:szCs w:val="24"/>
                <w:lang w:bidi="ar"/>
              </w:rPr>
              <w:t>万像素</w:t>
            </w:r>
            <w:r w:rsidRPr="007472D5">
              <w:rPr>
                <w:rFonts w:ascii="宋体" w:eastAsia="宋体" w:hAnsi="宋体" w:cs="宋体" w:hint="eastAsia"/>
                <w:snapToGrid w:val="0"/>
                <w:kern w:val="0"/>
                <w:sz w:val="24"/>
                <w:szCs w:val="24"/>
                <w:lang w:bidi="ar"/>
              </w:rPr>
              <w:t>)</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30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环境补光灯((</w:t>
            </w:r>
            <w:r w:rsidRPr="007472D5">
              <w:rPr>
                <w:rFonts w:ascii="宋体" w:eastAsia="宋体" w:hAnsi="宋体" w:cs="宋体"/>
                <w:snapToGrid w:val="0"/>
                <w:kern w:val="0"/>
                <w:sz w:val="24"/>
                <w:szCs w:val="24"/>
                <w:lang w:bidi="ar"/>
              </w:rPr>
              <w:t>用于抓拍补光覆盖单地磅</w:t>
            </w:r>
            <w:r w:rsidRPr="007472D5">
              <w:rPr>
                <w:rFonts w:ascii="宋体" w:eastAsia="宋体" w:hAnsi="宋体" w:cs="宋体" w:hint="eastAsia"/>
                <w:snapToGrid w:val="0"/>
                <w:kern w:val="0"/>
                <w:sz w:val="24"/>
                <w:szCs w:val="24"/>
                <w:lang w:bidi="ar"/>
              </w:rPr>
              <w:t>))</w:t>
            </w:r>
          </w:p>
        </w:tc>
        <w:tc>
          <w:tcPr>
            <w:tcW w:w="1092"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924" w:type="dxa"/>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直杆式车辆道闸</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1.4</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轴数自动判别系统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1.4.1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车辆AI</w:t>
            </w:r>
            <w:r w:rsidRPr="007472D5">
              <w:rPr>
                <w:rFonts w:ascii="宋体" w:eastAsia="宋体" w:hAnsi="宋体" w:cs="宋体"/>
                <w:snapToGrid w:val="0"/>
                <w:kern w:val="0"/>
                <w:sz w:val="24"/>
                <w:szCs w:val="24"/>
                <w:lang w:bidi="ar"/>
              </w:rPr>
              <w:t>轮轴</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信息显示系统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称量显示设备</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发送卡</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立杆(</w:t>
            </w:r>
            <w:r w:rsidRPr="007472D5">
              <w:rPr>
                <w:rFonts w:ascii="宋体" w:eastAsia="宋体" w:hAnsi="宋体" w:cs="宋体"/>
                <w:snapToGrid w:val="0"/>
                <w:kern w:val="0"/>
                <w:sz w:val="24"/>
                <w:szCs w:val="24"/>
                <w:lang w:bidi="ar"/>
              </w:rPr>
              <w:t>定制</w:t>
            </w:r>
            <w:r w:rsidRPr="007472D5">
              <w:rPr>
                <w:rFonts w:ascii="宋体" w:eastAsia="宋体" w:hAnsi="宋体" w:cs="宋体" w:hint="eastAsia"/>
                <w:snapToGrid w:val="0"/>
                <w:kern w:val="0"/>
                <w:sz w:val="24"/>
                <w:szCs w:val="24"/>
                <w:lang w:bidi="ar"/>
              </w:rPr>
              <w:t>，</w:t>
            </w:r>
            <w:r w:rsidRPr="007472D5">
              <w:rPr>
                <w:rFonts w:ascii="宋体" w:eastAsia="宋体" w:hAnsi="宋体" w:cs="宋体"/>
                <w:snapToGrid w:val="0"/>
                <w:kern w:val="0"/>
                <w:sz w:val="24"/>
                <w:szCs w:val="24"/>
                <w:lang w:bidi="ar"/>
              </w:rPr>
              <w:t>用于安装信息发布屏</w:t>
            </w:r>
            <w:r w:rsidRPr="007472D5">
              <w:rPr>
                <w:rFonts w:ascii="宋体" w:eastAsia="宋体" w:hAnsi="宋体" w:cs="宋体" w:hint="eastAsia"/>
                <w:snapToGrid w:val="0"/>
                <w:kern w:val="0"/>
                <w:sz w:val="24"/>
                <w:szCs w:val="24"/>
                <w:lang w:bidi="ar"/>
              </w:rPr>
              <w:t>)</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防雷系统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防雷接地</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防雷器</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站场语音播报及广播系统</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广播管理主机</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麦克风</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室外网络音柱</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车辆外廓尺寸检测设备</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长宽高激光检测单元</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激光建模单元</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外廓测量系统立杆(</w:t>
            </w:r>
            <w:r w:rsidRPr="007472D5">
              <w:rPr>
                <w:rFonts w:ascii="宋体" w:eastAsia="宋体" w:hAnsi="宋体" w:cs="宋体"/>
                <w:snapToGrid w:val="0"/>
                <w:kern w:val="0"/>
                <w:sz w:val="24"/>
                <w:szCs w:val="24"/>
                <w:lang w:bidi="ar"/>
              </w:rPr>
              <w:t>定制</w:t>
            </w:r>
            <w:r w:rsidRPr="007472D5">
              <w:rPr>
                <w:rFonts w:ascii="宋体" w:eastAsia="宋体" w:hAnsi="宋体" w:cs="宋体" w:hint="eastAsia"/>
                <w:snapToGrid w:val="0"/>
                <w:kern w:val="0"/>
                <w:sz w:val="24"/>
                <w:szCs w:val="24"/>
                <w:lang w:bidi="ar"/>
              </w:rPr>
              <w:t>)</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第三方检测</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lastRenderedPageBreak/>
              <w:t>1.9</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控制中心设备</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24</w:t>
            </w:r>
            <w:r w:rsidRPr="007472D5">
              <w:rPr>
                <w:rFonts w:ascii="宋体" w:eastAsia="宋体" w:hAnsi="宋体" w:cs="宋体"/>
                <w:snapToGrid w:val="0"/>
                <w:kern w:val="0"/>
                <w:sz w:val="24"/>
                <w:szCs w:val="24"/>
                <w:lang w:bidi="ar"/>
              </w:rPr>
              <w:t>口</w:t>
            </w:r>
            <w:r w:rsidRPr="007472D5">
              <w:rPr>
                <w:rFonts w:ascii="宋体" w:eastAsia="宋体" w:hAnsi="宋体" w:cs="宋体" w:hint="eastAsia"/>
                <w:snapToGrid w:val="0"/>
                <w:kern w:val="0"/>
                <w:sz w:val="24"/>
                <w:szCs w:val="24"/>
                <w:lang w:bidi="ar"/>
              </w:rPr>
              <w:t>POE</w:t>
            </w:r>
            <w:r w:rsidRPr="007472D5">
              <w:rPr>
                <w:rFonts w:ascii="宋体" w:eastAsia="宋体" w:hAnsi="宋体" w:cs="宋体"/>
                <w:snapToGrid w:val="0"/>
                <w:kern w:val="0"/>
                <w:sz w:val="24"/>
                <w:szCs w:val="24"/>
                <w:lang w:bidi="ar"/>
              </w:rPr>
              <w:t>接入交换机</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超限超载监测软件系统</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前置工控机设备</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液晶显示器</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1.9.5</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打印机</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基础及管线支架设施</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1.10.1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线管</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1.10.2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线材</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1.10.3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称重检测设备辅材</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加装电子围栏</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电子围栏监控设备</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r w:rsidRPr="007472D5">
              <w:rPr>
                <w:rFonts w:ascii="宋体" w:eastAsia="宋体" w:hAnsi="宋体" w:cs="宋体"/>
                <w:snapToGrid w:val="0"/>
                <w:kern w:val="0"/>
                <w:sz w:val="24"/>
                <w:szCs w:val="24"/>
                <w:lang w:bidi="ar"/>
              </w:rPr>
              <w:t>盘位网络硬盘录像机</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22</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55</w:t>
            </w:r>
            <w:r w:rsidRPr="007472D5">
              <w:rPr>
                <w:rFonts w:ascii="宋体" w:eastAsia="宋体" w:hAnsi="宋体" w:cs="宋体"/>
                <w:snapToGrid w:val="0"/>
                <w:kern w:val="0"/>
                <w:sz w:val="24"/>
                <w:szCs w:val="24"/>
                <w:lang w:bidi="ar"/>
              </w:rPr>
              <w:t>英寸安防显示器</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筒型网络摄像机(400</w:t>
            </w:r>
            <w:r w:rsidRPr="007472D5">
              <w:rPr>
                <w:rFonts w:ascii="宋体" w:eastAsia="宋体" w:hAnsi="宋体" w:cs="宋体"/>
                <w:snapToGrid w:val="0"/>
                <w:kern w:val="0"/>
                <w:sz w:val="24"/>
                <w:szCs w:val="24"/>
                <w:lang w:bidi="ar"/>
              </w:rPr>
              <w:t>万像素</w:t>
            </w:r>
            <w:r w:rsidRPr="007472D5">
              <w:rPr>
                <w:rFonts w:ascii="宋体" w:eastAsia="宋体" w:hAnsi="宋体" w:cs="宋体" w:hint="eastAsia"/>
                <w:snapToGrid w:val="0"/>
                <w:kern w:val="0"/>
                <w:sz w:val="24"/>
                <w:szCs w:val="24"/>
                <w:lang w:bidi="ar"/>
              </w:rPr>
              <w:t>)</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123</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智能球型摄像机(400</w:t>
            </w:r>
            <w:r w:rsidRPr="007472D5">
              <w:rPr>
                <w:rFonts w:ascii="宋体" w:eastAsia="宋体" w:hAnsi="宋体" w:cs="宋体"/>
                <w:snapToGrid w:val="0"/>
                <w:kern w:val="0"/>
                <w:sz w:val="24"/>
                <w:szCs w:val="24"/>
                <w:lang w:bidi="ar"/>
              </w:rPr>
              <w:t>万像素</w:t>
            </w:r>
            <w:r w:rsidRPr="007472D5">
              <w:rPr>
                <w:rFonts w:ascii="宋体" w:eastAsia="宋体" w:hAnsi="宋体" w:cs="宋体" w:hint="eastAsia"/>
                <w:snapToGrid w:val="0"/>
                <w:kern w:val="0"/>
                <w:sz w:val="24"/>
                <w:szCs w:val="24"/>
                <w:lang w:bidi="ar"/>
              </w:rPr>
              <w:t>)</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2.1.5</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智能鹰眼摄像机</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6</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2.1.6</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安防监控立杆9</w:t>
            </w:r>
            <w:r w:rsidRPr="007472D5">
              <w:rPr>
                <w:rFonts w:ascii="宋体" w:eastAsia="宋体" w:hAnsi="宋体" w:cs="宋体"/>
                <w:snapToGrid w:val="0"/>
                <w:kern w:val="0"/>
                <w:sz w:val="24"/>
                <w:szCs w:val="24"/>
                <w:lang w:bidi="ar"/>
              </w:rPr>
              <w:t>米</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6</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2.1.7</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安防监控立杆3.5</w:t>
            </w:r>
            <w:r w:rsidRPr="007472D5">
              <w:rPr>
                <w:rFonts w:ascii="宋体" w:eastAsia="宋体" w:hAnsi="宋体" w:cs="宋体"/>
                <w:snapToGrid w:val="0"/>
                <w:kern w:val="0"/>
                <w:sz w:val="24"/>
                <w:szCs w:val="24"/>
                <w:lang w:bidi="ar"/>
              </w:rPr>
              <w:t>米</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根</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2.1.8</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LED</w:t>
            </w:r>
            <w:r w:rsidRPr="007472D5">
              <w:rPr>
                <w:rFonts w:ascii="宋体" w:eastAsia="宋体" w:hAnsi="宋体" w:cs="宋体"/>
                <w:snapToGrid w:val="0"/>
                <w:kern w:val="0"/>
                <w:sz w:val="24"/>
                <w:szCs w:val="24"/>
                <w:lang w:bidi="ar"/>
              </w:rPr>
              <w:t>户外投光灯</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个</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2.1.9</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24</w:t>
            </w:r>
            <w:r w:rsidRPr="007472D5">
              <w:rPr>
                <w:rFonts w:ascii="宋体" w:eastAsia="宋体" w:hAnsi="宋体" w:cs="宋体"/>
                <w:snapToGrid w:val="0"/>
                <w:kern w:val="0"/>
                <w:sz w:val="24"/>
                <w:szCs w:val="24"/>
                <w:lang w:bidi="ar"/>
              </w:rPr>
              <w:t>口</w:t>
            </w:r>
            <w:r w:rsidRPr="007472D5">
              <w:rPr>
                <w:rFonts w:ascii="宋体" w:eastAsia="宋体" w:hAnsi="宋体" w:cs="宋体" w:hint="eastAsia"/>
                <w:snapToGrid w:val="0"/>
                <w:kern w:val="0"/>
                <w:sz w:val="24"/>
                <w:szCs w:val="24"/>
                <w:lang w:bidi="ar"/>
              </w:rPr>
              <w:t>POE</w:t>
            </w:r>
            <w:r w:rsidRPr="007472D5">
              <w:rPr>
                <w:rFonts w:ascii="宋体" w:eastAsia="宋体" w:hAnsi="宋体" w:cs="宋体"/>
                <w:snapToGrid w:val="0"/>
                <w:kern w:val="0"/>
                <w:sz w:val="24"/>
                <w:szCs w:val="24"/>
                <w:lang w:bidi="ar"/>
              </w:rPr>
              <w:t>接入交换机</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2.1.10</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围栏监控系统工作站</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15</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车辆道闸系统软件</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7</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2.1.12</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出入口控制终端</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7</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套</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2.1.13</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自动道闸机(</w:t>
            </w:r>
            <w:r w:rsidRPr="007472D5">
              <w:rPr>
                <w:rFonts w:ascii="宋体" w:eastAsia="宋体" w:hAnsi="宋体" w:cs="宋体"/>
                <w:snapToGrid w:val="0"/>
                <w:kern w:val="0"/>
                <w:sz w:val="24"/>
                <w:szCs w:val="24"/>
                <w:lang w:bidi="ar"/>
              </w:rPr>
              <w:t>含防砸雷达</w:t>
            </w:r>
            <w:r w:rsidRPr="007472D5">
              <w:rPr>
                <w:rFonts w:ascii="宋体" w:eastAsia="宋体" w:hAnsi="宋体" w:cs="宋体" w:hint="eastAsia"/>
                <w:snapToGrid w:val="0"/>
                <w:kern w:val="0"/>
                <w:sz w:val="24"/>
                <w:szCs w:val="24"/>
                <w:lang w:bidi="ar"/>
              </w:rPr>
              <w:t>)</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2.1.14</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车牌识别摄像机（含立柱）</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14</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2.1.15</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地埋式车辆感应器</w:t>
            </w:r>
          </w:p>
        </w:tc>
        <w:tc>
          <w:tcPr>
            <w:tcW w:w="1092"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28</w:t>
            </w:r>
          </w:p>
        </w:tc>
        <w:tc>
          <w:tcPr>
            <w:tcW w:w="924"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台</w:t>
            </w:r>
          </w:p>
        </w:tc>
        <w:tc>
          <w:tcPr>
            <w:tcW w:w="1380" w:type="dxa"/>
            <w:shd w:val="clear" w:color="auto" w:fill="FFFFFF"/>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2.2</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基础及管线设施</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2.2.1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管线及设备辅材</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2.3</w:t>
            </w:r>
          </w:p>
        </w:tc>
        <w:tc>
          <w:tcPr>
            <w:tcW w:w="6600" w:type="dxa"/>
            <w:gridSpan w:val="3"/>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网络租赁</w:t>
            </w:r>
          </w:p>
        </w:tc>
        <w:tc>
          <w:tcPr>
            <w:tcW w:w="1380"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 w:val="24"/>
                <w:szCs w:val="24"/>
                <w:lang w:eastAsia="en-US"/>
              </w:rPr>
            </w:pPr>
          </w:p>
        </w:tc>
      </w:tr>
      <w:tr w:rsidR="007472D5" w:rsidRPr="007472D5">
        <w:trPr>
          <w:trHeight w:val="340"/>
        </w:trPr>
        <w:tc>
          <w:tcPr>
            <w:tcW w:w="97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2.3.1</w:t>
            </w:r>
          </w:p>
        </w:tc>
        <w:tc>
          <w:tcPr>
            <w:tcW w:w="458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网络租赁费用</w:t>
            </w:r>
          </w:p>
        </w:tc>
        <w:tc>
          <w:tcPr>
            <w:tcW w:w="1092"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24</w:t>
            </w:r>
          </w:p>
        </w:tc>
        <w:tc>
          <w:tcPr>
            <w:tcW w:w="924"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项</w:t>
            </w:r>
          </w:p>
        </w:tc>
        <w:tc>
          <w:tcPr>
            <w:tcW w:w="1380"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50M</w:t>
            </w:r>
            <w:r w:rsidRPr="007472D5">
              <w:rPr>
                <w:rFonts w:ascii="宋体" w:eastAsia="宋体" w:hAnsi="宋体" w:cs="宋体"/>
                <w:snapToGrid w:val="0"/>
                <w:kern w:val="0"/>
                <w:sz w:val="24"/>
                <w:szCs w:val="24"/>
                <w:lang w:bidi="ar"/>
              </w:rPr>
              <w:t>线路租</w:t>
            </w:r>
            <w:r w:rsidRPr="007472D5">
              <w:rPr>
                <w:rFonts w:ascii="宋体" w:eastAsia="宋体" w:hAnsi="宋体" w:cs="宋体"/>
                <w:snapToGrid w:val="0"/>
                <w:kern w:val="0"/>
                <w:sz w:val="24"/>
                <w:szCs w:val="24"/>
                <w:lang w:bidi="ar"/>
              </w:rPr>
              <w:lastRenderedPageBreak/>
              <w:t>用，共两年</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8"/>
          <w:szCs w:val="28"/>
        </w:rPr>
      </w:pP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8"/>
          <w:szCs w:val="28"/>
        </w:rPr>
      </w:pPr>
      <w:bookmarkStart w:id="38" w:name="_Toc32474"/>
      <w:bookmarkStart w:id="39" w:name="_Toc201939251"/>
      <w:bookmarkStart w:id="40" w:name="_Toc209117445"/>
      <w:r w:rsidRPr="007472D5">
        <w:rPr>
          <w:rFonts w:ascii="宋体" w:eastAsia="宋体" w:hAnsi="宋体" w:cs="宋体" w:hint="eastAsia"/>
          <w:b/>
          <w:bCs/>
          <w:snapToGrid w:val="0"/>
          <w:kern w:val="0"/>
          <w:sz w:val="28"/>
          <w:szCs w:val="28"/>
        </w:rPr>
        <w:t>各地市治超设备安装位置表</w:t>
      </w:r>
      <w:bookmarkEnd w:id="38"/>
      <w:bookmarkEnd w:id="39"/>
      <w:bookmarkEnd w:id="40"/>
    </w:p>
    <w:tbl>
      <w:tblPr>
        <w:tblW w:w="4993" w:type="pct"/>
        <w:tblLayout w:type="fixed"/>
        <w:tblLook w:val="04A0" w:firstRow="1" w:lastRow="0" w:firstColumn="1" w:lastColumn="0" w:noHBand="0" w:noVBand="1"/>
      </w:tblPr>
      <w:tblGrid>
        <w:gridCol w:w="815"/>
        <w:gridCol w:w="1174"/>
        <w:gridCol w:w="2770"/>
        <w:gridCol w:w="3234"/>
        <w:gridCol w:w="1364"/>
      </w:tblGrid>
      <w:tr w:rsidR="007472D5" w:rsidRPr="007472D5" w:rsidTr="00F716A4">
        <w:trPr>
          <w:trHeight w:val="732"/>
          <w:tblHeader/>
        </w:trPr>
        <w:tc>
          <w:tcPr>
            <w:tcW w:w="435"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rsidP="004E76FF">
            <w:pPr>
              <w:widowControl/>
              <w:adjustRightInd w:val="0"/>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序号</w:t>
            </w:r>
          </w:p>
        </w:tc>
        <w:tc>
          <w:tcPr>
            <w:tcW w:w="627"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rsidP="004E76FF">
            <w:pPr>
              <w:widowControl/>
              <w:adjustRightInd w:val="0"/>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地市</w:t>
            </w:r>
          </w:p>
        </w:tc>
        <w:tc>
          <w:tcPr>
            <w:tcW w:w="1480"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rsidP="004E76FF">
            <w:pPr>
              <w:widowControl/>
              <w:adjustRightInd w:val="0"/>
              <w:jc w:val="center"/>
              <w:textAlignment w:val="center"/>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lang w:bidi="ar"/>
              </w:rPr>
              <w:t>超限检测站（点）名称</w:t>
            </w:r>
          </w:p>
        </w:tc>
        <w:tc>
          <w:tcPr>
            <w:tcW w:w="1726"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rsidP="004E76FF">
            <w:pPr>
              <w:widowControl/>
              <w:adjustRightInd w:val="0"/>
              <w:jc w:val="center"/>
              <w:textAlignment w:val="center"/>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lang w:bidi="ar"/>
              </w:rPr>
              <w:t>地址</w:t>
            </w:r>
          </w:p>
        </w:tc>
        <w:tc>
          <w:tcPr>
            <w:tcW w:w="729"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rsidP="004E76FF">
            <w:pPr>
              <w:widowControl/>
              <w:adjustRightInd w:val="0"/>
              <w:jc w:val="center"/>
              <w:textAlignment w:val="center"/>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lang w:bidi="ar"/>
              </w:rPr>
              <w:t>升级改造称重检测设备数量</w:t>
            </w:r>
          </w:p>
        </w:tc>
      </w:tr>
      <w:tr w:rsidR="007472D5" w:rsidRPr="007472D5" w:rsidTr="00F716A4">
        <w:trPr>
          <w:trHeight w:val="370"/>
        </w:trPr>
        <w:tc>
          <w:tcPr>
            <w:tcW w:w="427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数量合计</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bidi="ar"/>
              </w:rPr>
              <w:t>10</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广州市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赤坭超限检测站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广州市花都区山前大道168号中国美林湖附近</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雁塔超限检测站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广州市增城区塔山大道99号</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3</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江门市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广海超限检测点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台山市广海镇新城大道20号之一</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700"/>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4</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江海超限检测点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江海区窖北纸扇面山土地（南海渔村后）江海超限检测点</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5</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君堂超限检测点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恩平市君堂镇堡城加油站旁</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6</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恩城超限检测点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恩平市恩城街道办事处米仓工业园一路</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7</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清远市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新庄超限检测站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清远市清城区X844线龙塘镇新庄村委会路段</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8</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清城区石角超限检测点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eastAsia="en-US"/>
              </w:rPr>
              <w:t>清城区石角镇114省道</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9</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lang w:bidi="ar"/>
              </w:rPr>
              <w:t>佛冈县石角超限检测点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佛冈县106国道惠爱亭养护所（佛冈交警大队旁）</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10</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nil"/>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连州超限检测点</w:t>
            </w:r>
          </w:p>
        </w:tc>
        <w:tc>
          <w:tcPr>
            <w:tcW w:w="1726" w:type="pct"/>
            <w:tcBorders>
              <w:top w:val="single" w:sz="4" w:space="0" w:color="000000"/>
              <w:left w:val="single" w:sz="4" w:space="0" w:color="000000"/>
              <w:bottom w:val="nil"/>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清远市连州市G107线连州镇洲水羊角石村</w:t>
            </w:r>
          </w:p>
        </w:tc>
        <w:tc>
          <w:tcPr>
            <w:tcW w:w="729" w:type="pct"/>
            <w:tcBorders>
              <w:top w:val="single" w:sz="4" w:space="0" w:color="000000"/>
              <w:left w:val="single" w:sz="4" w:space="0" w:color="000000"/>
              <w:bottom w:val="nil"/>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11</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保安超限检测点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清远市连州市G537线保安镇（原木材检测站）</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12</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nil"/>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迳口超限检测站</w:t>
            </w:r>
          </w:p>
        </w:tc>
        <w:tc>
          <w:tcPr>
            <w:tcW w:w="1726" w:type="pct"/>
            <w:tcBorders>
              <w:top w:val="nil"/>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清远市清新区114省道与G4W2清连高速入口交叉口东50米</w:t>
            </w:r>
          </w:p>
        </w:tc>
        <w:tc>
          <w:tcPr>
            <w:tcW w:w="729" w:type="pct"/>
            <w:tcBorders>
              <w:top w:val="nil"/>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13</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东华超限检测点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英德市东华镇大镇国道G358线旁东华执法中队停车场</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14</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云浮市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南江口超限检测点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郁南县南江口中石化加油站</w:t>
            </w:r>
            <w:r w:rsidRPr="007472D5">
              <w:rPr>
                <w:rFonts w:ascii="宋体" w:eastAsia="宋体" w:hAnsi="宋体" w:cs="宋体" w:hint="eastAsia"/>
                <w:snapToGrid w:val="0"/>
                <w:kern w:val="0"/>
                <w:sz w:val="24"/>
                <w:szCs w:val="24"/>
              </w:rPr>
              <w:lastRenderedPageBreak/>
              <w:t>旁边</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lastRenderedPageBreak/>
              <w:t>15</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连滩超限检测点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郁南县连滩镇连溪村委珠岗村山其坑牛王洞</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16</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朗塘超限检测点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罗定市朗塘镇朗塘居委马鞍山13号</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17</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芙蓉超限检测站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云城区腰古镇腰古村委云朵村路口</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18</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冲花超限检测点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罗定市金鸡镇燃气储备有限公司旁(国道G324线K1182+400M)</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19</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河岔超限检测站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罗定市榃滨镇金滩村委会河岔村</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r w:rsidR="007472D5" w:rsidRPr="007472D5" w:rsidTr="00F716A4">
        <w:trPr>
          <w:trHeight w:val="35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20</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新兴超限检测点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云浮市新兴县广兴大道东</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53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21</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天堂超限检测点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云浮市新兴县天堂镇东中佛仔底</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53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22</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茂名市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石仔岭超限检测点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高州市红荔路198号</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53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23</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rsidP="004E76FF">
            <w:pPr>
              <w:widowControl/>
              <w:adjustRightInd w:val="0"/>
              <w:spacing w:line="440" w:lineRule="exact"/>
              <w:jc w:val="center"/>
              <w:textAlignment w:val="baseline"/>
              <w:rPr>
                <w:rFonts w:ascii="宋体" w:eastAsia="宋体" w:hAnsi="宋体" w:cs="宋体"/>
                <w:snapToGrid w:val="0"/>
                <w:kern w:val="0"/>
                <w:sz w:val="24"/>
                <w:szCs w:val="24"/>
                <w:lang w:eastAsia="en-US"/>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白鸠垌超限检测点</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G325线化州市鉴江区路段（化州市鉴江区北京东四路交通局旁）</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w:t>
            </w:r>
          </w:p>
        </w:tc>
      </w:tr>
      <w:tr w:rsidR="007472D5" w:rsidRPr="007472D5" w:rsidTr="00F716A4">
        <w:trPr>
          <w:trHeight w:val="549"/>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24</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梅州市</w:t>
            </w:r>
          </w:p>
        </w:tc>
        <w:tc>
          <w:tcPr>
            <w:tcW w:w="1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茶阳太宁超限检测站</w:t>
            </w:r>
          </w:p>
        </w:tc>
        <w:tc>
          <w:tcPr>
            <w:tcW w:w="17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left"/>
              <w:textAlignment w:val="center"/>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大埔县茶阳镇太宁村正东方向140米</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4E76FF">
            <w:pPr>
              <w:widowControl/>
              <w:adjustRightInd w:val="0"/>
              <w:spacing w:line="440" w:lineRule="exact"/>
              <w:jc w:val="center"/>
              <w:textAlignment w:val="center"/>
              <w:rPr>
                <w:rFonts w:ascii="宋体" w:eastAsia="宋体" w:hAnsi="宋体" w:cs="宋体"/>
                <w:snapToGrid w:val="0"/>
                <w:kern w:val="0"/>
                <w:sz w:val="24"/>
                <w:szCs w:val="24"/>
                <w:lang w:eastAsia="en-US"/>
              </w:rPr>
            </w:pPr>
            <w:r w:rsidRPr="007472D5">
              <w:rPr>
                <w:rFonts w:ascii="宋体" w:eastAsia="宋体" w:hAnsi="宋体" w:cs="宋体" w:hint="eastAsia"/>
                <w:snapToGrid w:val="0"/>
                <w:kern w:val="0"/>
                <w:sz w:val="24"/>
                <w:szCs w:val="24"/>
                <w:lang w:bidi="ar"/>
              </w:rPr>
              <w:t>1</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lang w:eastAsia="en-US"/>
        </w:rPr>
        <w:sectPr w:rsidR="006003B4" w:rsidRPr="007472D5">
          <w:headerReference w:type="default" r:id="rId8"/>
          <w:footerReference w:type="default" r:id="rId9"/>
          <w:pgSz w:w="11900" w:h="16840"/>
          <w:pgMar w:top="1340" w:right="1328" w:bottom="1101" w:left="1418" w:header="1063" w:footer="787" w:gutter="0"/>
          <w:pgNumType w:start="1"/>
          <w:cols w:space="720"/>
        </w:sectPr>
      </w:pP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8"/>
          <w:szCs w:val="28"/>
        </w:rPr>
      </w:pPr>
      <w:bookmarkStart w:id="41" w:name="_Toc8584"/>
      <w:bookmarkStart w:id="42" w:name="_Toc201939252"/>
      <w:bookmarkStart w:id="43" w:name="_Toc209117446"/>
      <w:r w:rsidRPr="007472D5">
        <w:rPr>
          <w:rFonts w:ascii="宋体" w:eastAsia="宋体" w:hAnsi="宋体" w:cs="宋体" w:hint="eastAsia"/>
          <w:b/>
          <w:bCs/>
          <w:snapToGrid w:val="0"/>
          <w:kern w:val="0"/>
          <w:sz w:val="28"/>
          <w:szCs w:val="28"/>
        </w:rPr>
        <w:lastRenderedPageBreak/>
        <w:t>各地市电子围栏设备数量明细表</w:t>
      </w:r>
      <w:bookmarkEnd w:id="41"/>
      <w:bookmarkEnd w:id="42"/>
      <w:bookmarkEnd w:id="43"/>
    </w:p>
    <w:tbl>
      <w:tblPr>
        <w:tblW w:w="4814" w:type="pct"/>
        <w:jc w:val="center"/>
        <w:tblLayout w:type="fixed"/>
        <w:tblLook w:val="04A0" w:firstRow="1" w:lastRow="0" w:firstColumn="1" w:lastColumn="0" w:noHBand="0" w:noVBand="1"/>
      </w:tblPr>
      <w:tblGrid>
        <w:gridCol w:w="438"/>
        <w:gridCol w:w="1561"/>
        <w:gridCol w:w="781"/>
        <w:gridCol w:w="826"/>
        <w:gridCol w:w="961"/>
        <w:gridCol w:w="961"/>
        <w:gridCol w:w="748"/>
        <w:gridCol w:w="748"/>
        <w:gridCol w:w="748"/>
        <w:gridCol w:w="748"/>
        <w:gridCol w:w="826"/>
        <w:gridCol w:w="748"/>
        <w:gridCol w:w="748"/>
        <w:gridCol w:w="748"/>
        <w:gridCol w:w="827"/>
        <w:gridCol w:w="827"/>
        <w:gridCol w:w="827"/>
      </w:tblGrid>
      <w:tr w:rsidR="007472D5" w:rsidRPr="007472D5">
        <w:trPr>
          <w:trHeight w:val="1484"/>
          <w:tblHeader/>
          <w:jc w:val="center"/>
        </w:trPr>
        <w:tc>
          <w:tcPr>
            <w:tcW w:w="156"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autoSpaceDE w:val="0"/>
              <w:autoSpaceDN w:val="0"/>
              <w:adjustRightInd w:val="0"/>
              <w:snapToGrid w:val="0"/>
              <w:spacing w:line="360" w:lineRule="auto"/>
              <w:jc w:val="left"/>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序号</w:t>
            </w:r>
          </w:p>
        </w:tc>
        <w:tc>
          <w:tcPr>
            <w:tcW w:w="55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rsidP="00F716A4">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检测站点</w:t>
            </w:r>
          </w:p>
        </w:tc>
        <w:tc>
          <w:tcPr>
            <w:tcW w:w="27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16盘位网络硬盘录像机（台）</w:t>
            </w:r>
          </w:p>
        </w:tc>
        <w:tc>
          <w:tcPr>
            <w:tcW w:w="29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55英寸安防显示器（台）</w:t>
            </w:r>
          </w:p>
        </w:tc>
        <w:tc>
          <w:tcPr>
            <w:tcW w:w="341"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筒型网络摄像机(400万像素)（台）</w:t>
            </w:r>
          </w:p>
        </w:tc>
        <w:tc>
          <w:tcPr>
            <w:tcW w:w="341"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智能球型摄像机(400万像素)（台）</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智能鹰眼摄像机（台）</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安防监控立杆9米（根）</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安防监控立杆3.5米（根）</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LED户外投光灯（台）</w:t>
            </w:r>
          </w:p>
        </w:tc>
        <w:tc>
          <w:tcPr>
            <w:tcW w:w="29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24口POE接入交换机（台）</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围栏监控系统工作站（台）</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车辆道闸软件系统（套）</w:t>
            </w:r>
          </w:p>
        </w:tc>
        <w:tc>
          <w:tcPr>
            <w:tcW w:w="26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出入口控制终端（套）</w:t>
            </w:r>
          </w:p>
        </w:tc>
        <w:tc>
          <w:tcPr>
            <w:tcW w:w="29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自动道闸机(含防砸雷达)（台）</w:t>
            </w:r>
          </w:p>
        </w:tc>
        <w:tc>
          <w:tcPr>
            <w:tcW w:w="29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车牌识别摄像机（含立柱）（台）</w:t>
            </w:r>
          </w:p>
        </w:tc>
        <w:tc>
          <w:tcPr>
            <w:tcW w:w="293"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地埋式车辆感应器（台）</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赤坭超限检测站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雁塔超限检测站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广海超限检测点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江海超限检测点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13</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君堂超限检测点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恩城超限检测点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新庄超限检测站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99"/>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8</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bidi="ar"/>
              </w:rPr>
            </w:pPr>
            <w:r w:rsidRPr="007472D5">
              <w:rPr>
                <w:rFonts w:ascii="宋体" w:eastAsia="宋体" w:hAnsi="宋体" w:cs="宋体" w:hint="eastAsia"/>
                <w:snapToGrid w:val="0"/>
                <w:kern w:val="0"/>
                <w:sz w:val="18"/>
                <w:szCs w:val="18"/>
                <w:lang w:bidi="ar"/>
              </w:rPr>
              <w:t>清城区石角超限检测点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99"/>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9</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bidi="ar"/>
              </w:rPr>
            </w:pPr>
            <w:r w:rsidRPr="007472D5">
              <w:rPr>
                <w:rFonts w:ascii="宋体" w:eastAsia="宋体" w:hAnsi="宋体" w:cs="宋体" w:hint="eastAsia"/>
                <w:snapToGrid w:val="0"/>
                <w:kern w:val="0"/>
                <w:sz w:val="18"/>
                <w:szCs w:val="18"/>
                <w:lang w:bidi="ar"/>
              </w:rPr>
              <w:t>佛冈县石角镇超限检测点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10</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连州超限检测点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保安超限检测点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迳口超限检测站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东华超限检测点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13</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lastRenderedPageBreak/>
              <w:t>14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南江口超限检测点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连滩超限检测点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朗塘超限检测点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3</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芙蓉超限检测站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18</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冲花超限检测点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3</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19</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河岔超限检测站</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20</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新兴超限检测点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5</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天堂超限检测点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3</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90"/>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石仔岭超限检测点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r>
      <w:tr w:rsidR="007472D5" w:rsidRPr="007472D5">
        <w:trPr>
          <w:trHeight w:val="446"/>
          <w:jc w:val="center"/>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白鸠垌超限检测点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4</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rPr>
              <w:t>/</w:t>
            </w:r>
          </w:p>
        </w:tc>
      </w:tr>
      <w:tr w:rsidR="007472D5" w:rsidRPr="007472D5">
        <w:trPr>
          <w:trHeight w:val="452"/>
          <w:jc w:val="center"/>
        </w:trPr>
        <w:tc>
          <w:tcPr>
            <w:tcW w:w="7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baseline"/>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小计</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22</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123</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18</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16</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17</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15</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15</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7</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16</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14</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宋体" w:eastAsia="宋体" w:hAnsi="宋体" w:cs="宋体"/>
                <w:snapToGrid w:val="0"/>
                <w:kern w:val="0"/>
                <w:sz w:val="18"/>
                <w:szCs w:val="18"/>
                <w:lang w:eastAsia="en-US"/>
              </w:rPr>
            </w:pPr>
            <w:r w:rsidRPr="007472D5">
              <w:rPr>
                <w:rFonts w:ascii="宋体" w:eastAsia="宋体" w:hAnsi="宋体" w:cs="宋体" w:hint="eastAsia"/>
                <w:snapToGrid w:val="0"/>
                <w:kern w:val="0"/>
                <w:sz w:val="18"/>
                <w:szCs w:val="18"/>
                <w:lang w:bidi="ar"/>
              </w:rPr>
              <w:t>28</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lang w:eastAsia="en-US"/>
        </w:rPr>
        <w:sectPr w:rsidR="006003B4" w:rsidRPr="007472D5">
          <w:pgSz w:w="16840" w:h="11900" w:orient="landscape"/>
          <w:pgMar w:top="1418" w:right="1340" w:bottom="1328" w:left="1101" w:header="1063" w:footer="787" w:gutter="0"/>
          <w:cols w:space="720"/>
        </w:sectPr>
      </w:pPr>
    </w:p>
    <w:p w:rsidR="006003B4" w:rsidRPr="007472D5" w:rsidRDefault="00867333">
      <w:pPr>
        <w:widowControl/>
        <w:numPr>
          <w:ilvl w:val="0"/>
          <w:numId w:val="5"/>
        </w:numPr>
        <w:kinsoku w:val="0"/>
        <w:wordWrap w:val="0"/>
        <w:autoSpaceDE w:val="0"/>
        <w:autoSpaceDN w:val="0"/>
        <w:adjustRightInd w:val="0"/>
        <w:snapToGrid w:val="0"/>
        <w:spacing w:line="360" w:lineRule="auto"/>
        <w:textAlignment w:val="baseline"/>
        <w:outlineLvl w:val="2"/>
        <w:rPr>
          <w:rFonts w:ascii="宋体" w:eastAsia="宋体" w:hAnsi="宋体" w:cs="宋体"/>
          <w:b/>
          <w:bCs/>
          <w:snapToGrid w:val="0"/>
          <w:kern w:val="0"/>
          <w:sz w:val="24"/>
          <w:szCs w:val="24"/>
        </w:rPr>
      </w:pPr>
      <w:bookmarkStart w:id="44" w:name="_Toc201939253"/>
      <w:bookmarkStart w:id="45" w:name="_Toc10285"/>
      <w:bookmarkStart w:id="46" w:name="_Toc209117447"/>
      <w:r w:rsidRPr="007472D5">
        <w:rPr>
          <w:rFonts w:ascii="宋体" w:eastAsia="宋体" w:hAnsi="宋体" w:cs="宋体" w:hint="eastAsia"/>
          <w:b/>
          <w:bCs/>
          <w:snapToGrid w:val="0"/>
          <w:kern w:val="0"/>
          <w:sz w:val="24"/>
          <w:szCs w:val="24"/>
        </w:rPr>
        <w:lastRenderedPageBreak/>
        <w:t>货物供货要求</w:t>
      </w:r>
      <w:bookmarkEnd w:id="44"/>
      <w:bookmarkEnd w:id="45"/>
      <w:bookmarkEnd w:id="46"/>
    </w:p>
    <w:p w:rsidR="006003B4" w:rsidRPr="007472D5" w:rsidRDefault="00867333" w:rsidP="00F716A4">
      <w:pPr>
        <w:widowControl/>
        <w:numPr>
          <w:ilvl w:val="0"/>
          <w:numId w:val="6"/>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投标人必须提供具有合法来源的原厂全新合格产品</w:t>
      </w:r>
      <w:r w:rsidRPr="007472D5">
        <w:rPr>
          <w:rFonts w:ascii="宋体" w:eastAsia="宋体" w:hAnsi="宋体" w:cs="宋体"/>
          <w:snapToGrid w:val="0"/>
          <w:kern w:val="0"/>
          <w:sz w:val="24"/>
          <w:szCs w:val="24"/>
        </w:rPr>
        <w:t>,提供符合国家质量检测标准的全新、未使用过的货物，投标人必须提供货物整套技术资料包括设备说明书、使用手册及其它相关技术资料等相关资料。</w:t>
      </w:r>
    </w:p>
    <w:p w:rsidR="006003B4" w:rsidRPr="007472D5" w:rsidRDefault="00867333" w:rsidP="00F716A4">
      <w:pPr>
        <w:widowControl/>
        <w:numPr>
          <w:ilvl w:val="0"/>
          <w:numId w:val="6"/>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★投标人需提供所投产品电子汽车衡的《中华人民共和国计量器具型式批准证书》。</w:t>
      </w:r>
    </w:p>
    <w:p w:rsidR="006003B4" w:rsidRPr="007472D5" w:rsidRDefault="00867333" w:rsidP="00F716A4">
      <w:pPr>
        <w:widowControl/>
        <w:numPr>
          <w:ilvl w:val="0"/>
          <w:numId w:val="6"/>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投标人所投的产品和关键元器件必须是本国产品，本项目不接受所投产品为进口产品的投标（本招标文件中所称进口产品是指通过中国海关报关验放进入中国境内且产自关境外的产品）。</w:t>
      </w:r>
    </w:p>
    <w:p w:rsidR="006003B4" w:rsidRPr="007472D5" w:rsidRDefault="00867333" w:rsidP="00F716A4">
      <w:pPr>
        <w:widowControl/>
        <w:numPr>
          <w:ilvl w:val="0"/>
          <w:numId w:val="6"/>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投标供应商需提供所投产品（电子汽车衡）相关软件产品的《计算机软件著作权登记证书》。</w:t>
      </w:r>
    </w:p>
    <w:p w:rsidR="006003B4" w:rsidRPr="007472D5" w:rsidRDefault="00867333" w:rsidP="00F716A4">
      <w:pPr>
        <w:widowControl/>
        <w:numPr>
          <w:ilvl w:val="0"/>
          <w:numId w:val="6"/>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所有设备和软件，必须兼容和对接我省、市、县的相关系统。</w:t>
      </w:r>
    </w:p>
    <w:p w:rsidR="006003B4" w:rsidRPr="007472D5" w:rsidRDefault="00867333">
      <w:pPr>
        <w:widowControl/>
        <w:numPr>
          <w:ilvl w:val="0"/>
          <w:numId w:val="5"/>
        </w:numPr>
        <w:kinsoku w:val="0"/>
        <w:wordWrap w:val="0"/>
        <w:autoSpaceDE w:val="0"/>
        <w:autoSpaceDN w:val="0"/>
        <w:adjustRightInd w:val="0"/>
        <w:snapToGrid w:val="0"/>
        <w:spacing w:line="360" w:lineRule="auto"/>
        <w:textAlignment w:val="baseline"/>
        <w:outlineLvl w:val="2"/>
        <w:rPr>
          <w:rFonts w:ascii="宋体" w:eastAsia="宋体" w:hAnsi="宋体" w:cs="宋体"/>
          <w:b/>
          <w:bCs/>
          <w:snapToGrid w:val="0"/>
          <w:kern w:val="0"/>
          <w:sz w:val="24"/>
          <w:szCs w:val="24"/>
        </w:rPr>
      </w:pPr>
      <w:bookmarkStart w:id="47" w:name="_Toc201939254"/>
      <w:bookmarkStart w:id="48" w:name="_Toc4711"/>
      <w:bookmarkStart w:id="49" w:name="_Toc209117448"/>
      <w:r w:rsidRPr="007472D5">
        <w:rPr>
          <w:rFonts w:ascii="宋体" w:eastAsia="宋体" w:hAnsi="宋体" w:cs="宋体" w:hint="eastAsia"/>
          <w:b/>
          <w:bCs/>
          <w:snapToGrid w:val="0"/>
          <w:kern w:val="0"/>
          <w:sz w:val="24"/>
          <w:szCs w:val="24"/>
        </w:rPr>
        <w:t>投标报价</w:t>
      </w:r>
      <w:bookmarkEnd w:id="47"/>
      <w:bookmarkEnd w:id="48"/>
      <w:bookmarkEnd w:id="49"/>
    </w:p>
    <w:p w:rsidR="006003B4" w:rsidRPr="007472D5" w:rsidRDefault="00867333">
      <w:pPr>
        <w:widowControl/>
        <w:wordWrap w:val="0"/>
        <w:autoSpaceDE w:val="0"/>
        <w:autoSpaceDN w:val="0"/>
        <w:adjustRightInd w:val="0"/>
        <w:snapToGrid w:val="0"/>
        <w:spacing w:line="360" w:lineRule="auto"/>
        <w:ind w:left="17" w:right="4" w:firstLine="559"/>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投标报价应包括运至合同指定地点的设备费、运输费、卸装费、保险费、安装调试费、安装配件费和验收等一切费用。</w:t>
      </w:r>
    </w:p>
    <w:p w:rsidR="006003B4" w:rsidRPr="007472D5" w:rsidRDefault="00867333">
      <w:pPr>
        <w:widowControl/>
        <w:numPr>
          <w:ilvl w:val="0"/>
          <w:numId w:val="5"/>
        </w:numPr>
        <w:kinsoku w:val="0"/>
        <w:wordWrap w:val="0"/>
        <w:autoSpaceDE w:val="0"/>
        <w:autoSpaceDN w:val="0"/>
        <w:adjustRightInd w:val="0"/>
        <w:snapToGrid w:val="0"/>
        <w:spacing w:line="360" w:lineRule="auto"/>
        <w:textAlignment w:val="baseline"/>
        <w:outlineLvl w:val="2"/>
        <w:rPr>
          <w:rFonts w:ascii="宋体" w:eastAsia="宋体" w:hAnsi="宋体" w:cs="宋体"/>
          <w:b/>
          <w:bCs/>
          <w:snapToGrid w:val="0"/>
          <w:kern w:val="0"/>
          <w:sz w:val="24"/>
          <w:szCs w:val="24"/>
        </w:rPr>
      </w:pPr>
      <w:bookmarkStart w:id="50" w:name="_Toc15018"/>
      <w:bookmarkStart w:id="51" w:name="_Toc201939255"/>
      <w:bookmarkStart w:id="52" w:name="_Toc209117449"/>
      <w:r w:rsidRPr="007472D5">
        <w:rPr>
          <w:rFonts w:ascii="宋体" w:eastAsia="宋体" w:hAnsi="宋体" w:cs="宋体" w:hint="eastAsia"/>
          <w:b/>
          <w:bCs/>
          <w:snapToGrid w:val="0"/>
          <w:kern w:val="0"/>
          <w:sz w:val="24"/>
          <w:szCs w:val="24"/>
        </w:rPr>
        <w:t>合同签订</w:t>
      </w:r>
      <w:bookmarkEnd w:id="50"/>
      <w:bookmarkEnd w:id="51"/>
      <w:bookmarkEnd w:id="52"/>
    </w:p>
    <w:p w:rsidR="006003B4" w:rsidRPr="007472D5" w:rsidRDefault="00867333">
      <w:pPr>
        <w:widowControl/>
        <w:wordWrap w:val="0"/>
        <w:autoSpaceDE w:val="0"/>
        <w:autoSpaceDN w:val="0"/>
        <w:adjustRightInd w:val="0"/>
        <w:snapToGrid w:val="0"/>
        <w:spacing w:line="360" w:lineRule="auto"/>
        <w:ind w:left="27" w:right="2" w:firstLine="552"/>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合同由中标人与招标人</w:t>
      </w:r>
      <w:r w:rsidR="004E76FF" w:rsidRPr="007472D5">
        <w:rPr>
          <w:rFonts w:ascii="宋体" w:eastAsia="宋体" w:hAnsi="宋体" w:cs="宋体" w:hint="eastAsia"/>
          <w:snapToGrid w:val="0"/>
          <w:kern w:val="0"/>
          <w:sz w:val="24"/>
          <w:szCs w:val="24"/>
        </w:rPr>
        <w:t>在《中标通知书》</w:t>
      </w:r>
      <w:r w:rsidR="007E1C57" w:rsidRPr="007472D5">
        <w:rPr>
          <w:rFonts w:ascii="宋体" w:eastAsia="宋体" w:hAnsi="宋体" w:cs="宋体" w:hint="eastAsia"/>
          <w:snapToGrid w:val="0"/>
          <w:kern w:val="0"/>
          <w:sz w:val="24"/>
          <w:szCs w:val="24"/>
        </w:rPr>
        <w:t>发出之日起</w:t>
      </w:r>
      <w:r w:rsidR="004E76FF" w:rsidRPr="007472D5">
        <w:rPr>
          <w:rFonts w:ascii="宋体" w:eastAsia="宋体" w:hAnsi="宋体" w:cs="宋体" w:hint="eastAsia"/>
          <w:snapToGrid w:val="0"/>
          <w:kern w:val="0"/>
          <w:sz w:val="24"/>
          <w:szCs w:val="24"/>
        </w:rPr>
        <w:t>30日内</w:t>
      </w:r>
      <w:r w:rsidRPr="007472D5">
        <w:rPr>
          <w:rFonts w:ascii="宋体" w:eastAsia="宋体" w:hAnsi="宋体" w:cs="宋体" w:hint="eastAsia"/>
          <w:snapToGrid w:val="0"/>
          <w:kern w:val="0"/>
          <w:sz w:val="24"/>
          <w:szCs w:val="24"/>
        </w:rPr>
        <w:t>双方签订。</w:t>
      </w:r>
    </w:p>
    <w:p w:rsidR="006003B4" w:rsidRPr="007472D5" w:rsidRDefault="00867333">
      <w:pPr>
        <w:widowControl/>
        <w:numPr>
          <w:ilvl w:val="0"/>
          <w:numId w:val="5"/>
        </w:numPr>
        <w:kinsoku w:val="0"/>
        <w:wordWrap w:val="0"/>
        <w:autoSpaceDE w:val="0"/>
        <w:autoSpaceDN w:val="0"/>
        <w:adjustRightInd w:val="0"/>
        <w:snapToGrid w:val="0"/>
        <w:spacing w:line="360" w:lineRule="auto"/>
        <w:textAlignment w:val="baseline"/>
        <w:outlineLvl w:val="2"/>
        <w:rPr>
          <w:rFonts w:ascii="宋体" w:eastAsia="宋体" w:hAnsi="宋体" w:cs="宋体"/>
          <w:b/>
          <w:bCs/>
          <w:snapToGrid w:val="0"/>
          <w:kern w:val="0"/>
          <w:sz w:val="24"/>
          <w:szCs w:val="24"/>
        </w:rPr>
      </w:pPr>
      <w:bookmarkStart w:id="53" w:name="_Toc201939256"/>
      <w:bookmarkStart w:id="54" w:name="_Toc10425"/>
      <w:bookmarkStart w:id="55" w:name="_Toc209117450"/>
      <w:r w:rsidRPr="007472D5">
        <w:rPr>
          <w:rFonts w:ascii="宋体" w:eastAsia="宋体" w:hAnsi="宋体" w:cs="宋体" w:hint="eastAsia"/>
          <w:b/>
          <w:bCs/>
          <w:snapToGrid w:val="0"/>
          <w:kern w:val="0"/>
          <w:sz w:val="24"/>
          <w:szCs w:val="24"/>
        </w:rPr>
        <w:t>交货期限</w:t>
      </w:r>
      <w:bookmarkEnd w:id="53"/>
      <w:bookmarkEnd w:id="54"/>
      <w:bookmarkEnd w:id="55"/>
    </w:p>
    <w:p w:rsidR="006003B4" w:rsidRPr="007472D5" w:rsidRDefault="00867333">
      <w:pPr>
        <w:widowControl/>
        <w:wordWrap w:val="0"/>
        <w:autoSpaceDE w:val="0"/>
        <w:autoSpaceDN w:val="0"/>
        <w:adjustRightInd w:val="0"/>
        <w:snapToGrid w:val="0"/>
        <w:spacing w:line="360" w:lineRule="auto"/>
        <w:ind w:left="23" w:right="2" w:firstLine="607"/>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自双方合同签订生效后且招标人同意进场施工之日起</w:t>
      </w:r>
      <w:r w:rsidRPr="007472D5">
        <w:rPr>
          <w:rFonts w:ascii="宋体" w:eastAsia="宋体" w:hAnsi="宋体" w:cs="宋体"/>
          <w:snapToGrid w:val="0"/>
          <w:kern w:val="0"/>
          <w:sz w:val="24"/>
          <w:szCs w:val="24"/>
        </w:rPr>
        <w:t xml:space="preserve"> 18个月内完成交货、安装调试及验收。</w:t>
      </w:r>
    </w:p>
    <w:p w:rsidR="006003B4" w:rsidRPr="007472D5" w:rsidRDefault="00867333">
      <w:pPr>
        <w:widowControl/>
        <w:wordWrap w:val="0"/>
        <w:autoSpaceDE w:val="0"/>
        <w:autoSpaceDN w:val="0"/>
        <w:adjustRightInd w:val="0"/>
        <w:snapToGrid w:val="0"/>
        <w:spacing w:line="360" w:lineRule="auto"/>
        <w:ind w:left="23" w:right="2" w:firstLine="607"/>
        <w:textAlignment w:val="baseline"/>
        <w:rPr>
          <w:rFonts w:ascii="宋体" w:eastAsia="宋体" w:hAnsi="宋体" w:cs="宋体"/>
          <w:snapToGrid w:val="0"/>
          <w:kern w:val="0"/>
          <w:sz w:val="24"/>
          <w:szCs w:val="24"/>
        </w:rPr>
      </w:pPr>
      <w:r w:rsidRPr="007472D5">
        <w:rPr>
          <w:rFonts w:ascii="宋体" w:eastAsia="宋体" w:hAnsi="宋体" w:cs="宋体"/>
          <w:snapToGrid w:val="0"/>
          <w:kern w:val="0"/>
          <w:sz w:val="24"/>
          <w:szCs w:val="24"/>
        </w:rPr>
        <w:t>2025年计划完成7个超限检测站（点）称重检测设备升级改造，16个超限检测站（点）电子围栏设备加装；</w:t>
      </w:r>
    </w:p>
    <w:p w:rsidR="006003B4" w:rsidRPr="007472D5" w:rsidRDefault="00867333">
      <w:pPr>
        <w:widowControl/>
        <w:wordWrap w:val="0"/>
        <w:autoSpaceDE w:val="0"/>
        <w:autoSpaceDN w:val="0"/>
        <w:adjustRightInd w:val="0"/>
        <w:snapToGrid w:val="0"/>
        <w:spacing w:line="360" w:lineRule="auto"/>
        <w:ind w:left="23" w:right="2" w:firstLine="607"/>
        <w:textAlignment w:val="baseline"/>
        <w:rPr>
          <w:rFonts w:ascii="宋体" w:eastAsia="宋体" w:hAnsi="宋体" w:cs="宋体"/>
          <w:snapToGrid w:val="0"/>
          <w:spacing w:val="-4"/>
          <w:kern w:val="0"/>
          <w:sz w:val="24"/>
          <w:szCs w:val="24"/>
        </w:rPr>
      </w:pPr>
      <w:r w:rsidRPr="007472D5">
        <w:rPr>
          <w:rFonts w:ascii="宋体" w:eastAsia="宋体" w:hAnsi="宋体" w:cs="宋体"/>
          <w:snapToGrid w:val="0"/>
          <w:kern w:val="0"/>
          <w:sz w:val="24"/>
          <w:szCs w:val="24"/>
        </w:rPr>
        <w:t>2026年计划完成3个超限检测站（点）称重检测设备升级改造，7个超限检测站（点）电子围栏设备加装。</w:t>
      </w: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56" w:name="_Toc5880"/>
      <w:bookmarkStart w:id="57" w:name="_Toc201939257"/>
      <w:bookmarkStart w:id="58" w:name="_Toc209117451"/>
      <w:r w:rsidRPr="007472D5">
        <w:rPr>
          <w:rFonts w:ascii="宋体" w:eastAsia="宋体" w:hAnsi="宋体" w:cs="宋体" w:hint="eastAsia"/>
          <w:b/>
          <w:bCs/>
          <w:snapToGrid w:val="0"/>
          <w:kern w:val="0"/>
          <w:sz w:val="24"/>
          <w:szCs w:val="24"/>
        </w:rPr>
        <w:t>交货地点</w:t>
      </w:r>
      <w:bookmarkEnd w:id="56"/>
      <w:bookmarkEnd w:id="57"/>
      <w:bookmarkEnd w:id="58"/>
    </w:p>
    <w:tbl>
      <w:tblPr>
        <w:tblW w:w="4760" w:type="pct"/>
        <w:tblInd w:w="534" w:type="dxa"/>
        <w:tblLook w:val="04A0" w:firstRow="1" w:lastRow="0" w:firstColumn="1" w:lastColumn="0" w:noHBand="0" w:noVBand="1"/>
      </w:tblPr>
      <w:tblGrid>
        <w:gridCol w:w="1132"/>
        <w:gridCol w:w="1814"/>
        <w:gridCol w:w="6570"/>
      </w:tblGrid>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序号</w:t>
            </w:r>
          </w:p>
        </w:tc>
        <w:tc>
          <w:tcPr>
            <w:tcW w:w="953" w:type="pct"/>
            <w:tcBorders>
              <w:top w:val="single" w:sz="4" w:space="0" w:color="000000"/>
              <w:left w:val="single" w:sz="4" w:space="0" w:color="000000"/>
              <w:bottom w:val="single" w:sz="4" w:space="0" w:color="000000"/>
              <w:right w:val="single" w:sz="4" w:space="0" w:color="000000"/>
            </w:tcBorders>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地市</w:t>
            </w:r>
          </w:p>
        </w:tc>
        <w:tc>
          <w:tcPr>
            <w:tcW w:w="3452" w:type="pct"/>
            <w:tcBorders>
              <w:top w:val="single" w:sz="4" w:space="0" w:color="000000"/>
              <w:left w:val="single" w:sz="4" w:space="0" w:color="000000"/>
              <w:bottom w:val="single" w:sz="4" w:space="0" w:color="000000"/>
              <w:right w:val="single" w:sz="4" w:space="0" w:color="000000"/>
            </w:tcBorders>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治超检测站（点）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广州市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赤坭超限检测站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雁塔超限检测站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3</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江门市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广海超限检测点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4</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江海超限检测点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5</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君堂超限检测点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6</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恩城超限检测点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7</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清远市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新庄超限检测站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8</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清城区石角超限检测点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9</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佛冈县石角镇超限检测点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10</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连州超限检测点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保安超限检测点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12</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迳口超限检测站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13</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东华超限检测点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14</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云浮市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南江口超限检测点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15</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连滩超限检测点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16</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朗塘超限检测点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17</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芙蓉超限检测站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18</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冲花超限检测点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19</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河岔超限检测站</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20</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新兴超限检测点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天堂超限检测点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22</w:t>
            </w:r>
          </w:p>
        </w:tc>
        <w:tc>
          <w:tcPr>
            <w:tcW w:w="9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茂名市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石仔岭超限检测点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23</w:t>
            </w:r>
          </w:p>
        </w:tc>
        <w:tc>
          <w:tcPr>
            <w:tcW w:w="9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白鸠垌超限检测点</w:t>
            </w:r>
          </w:p>
        </w:tc>
      </w:tr>
      <w:tr w:rsidR="007472D5" w:rsidRPr="007472D5">
        <w:trPr>
          <w:trHeight w:val="28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24</w:t>
            </w:r>
          </w:p>
        </w:tc>
        <w:tc>
          <w:tcPr>
            <w:tcW w:w="9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梅州市</w:t>
            </w:r>
          </w:p>
        </w:tc>
        <w:tc>
          <w:tcPr>
            <w:tcW w:w="3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茶阳太宁超限检测站</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lang w:eastAsia="en-US"/>
        </w:rPr>
      </w:pP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59" w:name="_Toc7206"/>
      <w:bookmarkStart w:id="60" w:name="_Toc201939258"/>
      <w:bookmarkStart w:id="61" w:name="_Toc209117452"/>
      <w:r w:rsidRPr="007472D5">
        <w:rPr>
          <w:rFonts w:ascii="宋体" w:eastAsia="宋体" w:hAnsi="宋体" w:cs="宋体" w:hint="eastAsia"/>
          <w:b/>
          <w:bCs/>
          <w:snapToGrid w:val="0"/>
          <w:kern w:val="0"/>
          <w:sz w:val="24"/>
          <w:szCs w:val="24"/>
        </w:rPr>
        <w:t>实施基本要求</w:t>
      </w:r>
      <w:bookmarkEnd w:id="59"/>
      <w:bookmarkEnd w:id="60"/>
      <w:bookmarkEnd w:id="61"/>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完成所有设备、软件、数据系统和传输网络，兼容和对接我省、市、县的相关系统。</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招标人将不再统一组织投标人对现场及其周围环境进行考察，投标人必须自行查明或核实有关编制投标文件和签订合同所必需的一切资料。</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中标人在项目实施前</w:t>
      </w:r>
      <w:r w:rsidRPr="007472D5">
        <w:rPr>
          <w:rFonts w:ascii="宋体" w:eastAsia="宋体" w:hAnsi="宋体" w:cs="宋体"/>
          <w:snapToGrid w:val="0"/>
          <w:kern w:val="0"/>
          <w:sz w:val="24"/>
          <w:szCs w:val="24"/>
        </w:rPr>
        <w:t xml:space="preserve"> </w:t>
      </w:r>
      <w:r w:rsidRPr="007472D5">
        <w:rPr>
          <w:rFonts w:ascii="宋体" w:eastAsia="宋体" w:hAnsi="宋体" w:cs="宋体"/>
          <w:bCs/>
          <w:snapToGrid w:val="0"/>
          <w:kern w:val="0"/>
          <w:sz w:val="24"/>
          <w:szCs w:val="24"/>
        </w:rPr>
        <w:t>5</w:t>
      </w:r>
      <w:r w:rsidRPr="007472D5">
        <w:rPr>
          <w:rFonts w:ascii="宋体" w:eastAsia="宋体" w:hAnsi="宋体" w:cs="宋体"/>
          <w:snapToGrid w:val="0"/>
          <w:kern w:val="0"/>
          <w:sz w:val="24"/>
          <w:szCs w:val="24"/>
        </w:rPr>
        <w:t xml:space="preserve"> 个工作日内落实详细的施工图纸与施工计划。</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中标人落实好详细的施工图纸与施工计划后在</w:t>
      </w:r>
      <w:r w:rsidRPr="007472D5">
        <w:rPr>
          <w:rFonts w:ascii="宋体" w:eastAsia="宋体" w:hAnsi="宋体" w:cs="宋体"/>
          <w:snapToGrid w:val="0"/>
          <w:kern w:val="0"/>
          <w:sz w:val="24"/>
          <w:szCs w:val="24"/>
        </w:rPr>
        <w:t xml:space="preserve"> </w:t>
      </w:r>
      <w:r w:rsidRPr="007472D5">
        <w:rPr>
          <w:rFonts w:ascii="宋体" w:eastAsia="宋体" w:hAnsi="宋体" w:cs="宋体"/>
          <w:bCs/>
          <w:snapToGrid w:val="0"/>
          <w:kern w:val="0"/>
          <w:sz w:val="24"/>
          <w:szCs w:val="24"/>
        </w:rPr>
        <w:t>5</w:t>
      </w:r>
      <w:r w:rsidRPr="007472D5">
        <w:rPr>
          <w:rFonts w:ascii="宋体" w:eastAsia="宋体" w:hAnsi="宋体" w:cs="宋体"/>
          <w:snapToGrid w:val="0"/>
          <w:kern w:val="0"/>
          <w:sz w:val="24"/>
          <w:szCs w:val="24"/>
        </w:rPr>
        <w:t xml:space="preserve"> 个工作日内必须进场施工。</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所有设备均须由中标人送货上门并安装调试。用户不再支付任何费用。</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bookmarkStart w:id="62" w:name="_Toc241"/>
      <w:r w:rsidRPr="007472D5">
        <w:rPr>
          <w:rFonts w:ascii="宋体" w:eastAsia="宋体" w:hAnsi="宋体" w:cs="宋体" w:hint="eastAsia"/>
          <w:snapToGrid w:val="0"/>
          <w:kern w:val="0"/>
          <w:sz w:val="24"/>
          <w:szCs w:val="24"/>
        </w:rPr>
        <w:t>项目实施期间对超载检测工作的影响</w:t>
      </w:r>
      <w:bookmarkEnd w:id="62"/>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由于本项目涉及多个站点和设备的改造与安装，实施期间可能会对现有的超载检测工作产生一定的影响，具体包括以下几个方面：</w:t>
      </w:r>
    </w:p>
    <w:p w:rsidR="006003B4" w:rsidRPr="007472D5" w:rsidRDefault="00867333">
      <w:pPr>
        <w:widowControl/>
        <w:numPr>
          <w:ilvl w:val="0"/>
          <w:numId w:val="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设备停运影响：在称重检测设备的升级改造过程中，部分设备可能需要暂时停运，导致相关检测站点的超载检测能力暂时下降，可能影响超载车辆的实时监测和数据采集。</w:t>
      </w:r>
    </w:p>
    <w:p w:rsidR="006003B4" w:rsidRPr="007472D5" w:rsidRDefault="00867333">
      <w:pPr>
        <w:widowControl/>
        <w:numPr>
          <w:ilvl w:val="0"/>
          <w:numId w:val="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施工干扰：施工现场可能会对检测站点的正常运营产生一定的干扰，如施工噪音、设备搬运、人员进出等，可能影响检测站的工作秩序和效率。</w:t>
      </w:r>
    </w:p>
    <w:p w:rsidR="006003B4" w:rsidRPr="007472D5" w:rsidRDefault="00867333">
      <w:pPr>
        <w:widowControl/>
        <w:numPr>
          <w:ilvl w:val="0"/>
          <w:numId w:val="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安全隐患提升：施工区域可能成为新的安全隐患点，如施工设备、材料堆放不当，夜间照明不足等，都可能对过往车辆和行人造成影响。</w:t>
      </w:r>
    </w:p>
    <w:p w:rsidR="006003B4" w:rsidRPr="007472D5" w:rsidRDefault="00867333" w:rsidP="00F716A4">
      <w:pPr>
        <w:widowControl/>
        <w:numPr>
          <w:ilvl w:val="0"/>
          <w:numId w:val="7"/>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bookmarkStart w:id="63" w:name="_Toc22191"/>
      <w:r w:rsidRPr="007472D5">
        <w:rPr>
          <w:rFonts w:ascii="宋体" w:eastAsia="宋体" w:hAnsi="宋体" w:cs="宋体" w:hint="eastAsia"/>
          <w:snapToGrid w:val="0"/>
          <w:kern w:val="0"/>
          <w:sz w:val="24"/>
          <w:szCs w:val="24"/>
        </w:rPr>
        <w:t>应对措施</w:t>
      </w:r>
      <w:bookmarkEnd w:id="63"/>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为最大限度减少项目实施期间对超载检测工作的影响，确保项目顺利推进，拟采取以下应对措施：</w:t>
      </w:r>
    </w:p>
    <w:p w:rsidR="006003B4" w:rsidRPr="007472D5" w:rsidRDefault="00867333">
      <w:pPr>
        <w:widowControl/>
        <w:numPr>
          <w:ilvl w:val="0"/>
          <w:numId w:val="9"/>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施工时间优化：合理安排施工时间，尽量避开交通高峰时段和检测站点的高峰检测时段，减少对检测工作和周边交通的影响。</w:t>
      </w:r>
    </w:p>
    <w:p w:rsidR="006003B4" w:rsidRPr="007472D5" w:rsidRDefault="00867333">
      <w:pPr>
        <w:widowControl/>
        <w:numPr>
          <w:ilvl w:val="0"/>
          <w:numId w:val="9"/>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提前规划与公告：提前制定详细的改造计划和时间表，并向公众广泛公告，解释改造的必要性和预期效果。明确告知改造期间超载检测工作的调整情况，包括检测时间、地点和方式的变化。</w:t>
      </w:r>
    </w:p>
    <w:p w:rsidR="006003B4" w:rsidRPr="007472D5" w:rsidRDefault="00867333">
      <w:pPr>
        <w:widowControl/>
        <w:numPr>
          <w:ilvl w:val="0"/>
          <w:numId w:val="9"/>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加强现场安全管理：设置明显的施工警示标志和夜间照明设施，确保施工区域的安全可见性。定期对施工人员进行安全培训，确保施工设备和材料的安全堆放与管理。</w:t>
      </w: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64" w:name="_Toc201939259"/>
      <w:bookmarkStart w:id="65" w:name="_Toc29005"/>
      <w:bookmarkStart w:id="66" w:name="_Toc209117453"/>
      <w:r w:rsidRPr="007472D5">
        <w:rPr>
          <w:rFonts w:ascii="宋体" w:eastAsia="宋体" w:hAnsi="宋体" w:cs="宋体" w:hint="eastAsia"/>
          <w:b/>
          <w:bCs/>
          <w:snapToGrid w:val="0"/>
          <w:kern w:val="0"/>
          <w:sz w:val="24"/>
          <w:szCs w:val="24"/>
        </w:rPr>
        <w:t>质量保证期及售后服务要求</w:t>
      </w:r>
      <w:bookmarkEnd w:id="64"/>
      <w:bookmarkEnd w:id="65"/>
      <w:bookmarkEnd w:id="66"/>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本项目的设备质量保证期</w:t>
      </w:r>
      <w:r w:rsidRPr="007472D5">
        <w:rPr>
          <w:rFonts w:ascii="宋体" w:eastAsia="宋体" w:hAnsi="宋体" w:cs="宋体"/>
          <w:snapToGrid w:val="0"/>
          <w:kern w:val="0"/>
          <w:sz w:val="24"/>
          <w:szCs w:val="24"/>
        </w:rPr>
        <w:t>3年，生产厂商公布的质量保证标准大于3年的</w:t>
      </w:r>
      <w:r w:rsidRPr="007472D5">
        <w:rPr>
          <w:rFonts w:ascii="宋体" w:eastAsia="宋体" w:hAnsi="宋体" w:cs="宋体" w:hint="eastAsia"/>
          <w:snapToGrid w:val="0"/>
          <w:kern w:val="0"/>
          <w:sz w:val="24"/>
          <w:szCs w:val="24"/>
        </w:rPr>
        <w:t>或投标人在投标文件承诺的质量保证标准大于</w:t>
      </w:r>
      <w:r w:rsidRPr="007472D5">
        <w:rPr>
          <w:rFonts w:ascii="宋体" w:eastAsia="宋体" w:hAnsi="宋体" w:cs="宋体"/>
          <w:snapToGrid w:val="0"/>
          <w:kern w:val="0"/>
          <w:sz w:val="24"/>
          <w:szCs w:val="24"/>
        </w:rPr>
        <w:t>3年的，按</w:t>
      </w:r>
      <w:r w:rsidRPr="007472D5">
        <w:rPr>
          <w:rFonts w:ascii="宋体" w:eastAsia="宋体" w:hAnsi="宋体" w:cs="宋体" w:hint="eastAsia"/>
          <w:snapToGrid w:val="0"/>
          <w:kern w:val="0"/>
          <w:sz w:val="24"/>
          <w:szCs w:val="24"/>
        </w:rPr>
        <w:t>时间长的</w:t>
      </w:r>
      <w:r w:rsidRPr="007472D5">
        <w:rPr>
          <w:rFonts w:ascii="宋体" w:eastAsia="宋体" w:hAnsi="宋体" w:cs="宋体"/>
          <w:snapToGrid w:val="0"/>
          <w:kern w:val="0"/>
          <w:sz w:val="24"/>
          <w:szCs w:val="24"/>
        </w:rPr>
        <w:t>执行。</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中标人须提供</w:t>
      </w:r>
      <w:r w:rsidRPr="007472D5">
        <w:rPr>
          <w:rFonts w:ascii="宋体" w:eastAsia="宋体" w:hAnsi="宋体" w:cs="宋体"/>
          <w:snapToGrid w:val="0"/>
          <w:kern w:val="0"/>
          <w:sz w:val="24"/>
          <w:szCs w:val="24"/>
        </w:rPr>
        <w:t>3年或以上免费的7×24</w:t>
      </w:r>
      <w:r w:rsidRPr="007472D5">
        <w:rPr>
          <w:rFonts w:ascii="宋体" w:eastAsia="宋体" w:hAnsi="宋体" w:cs="宋体" w:hint="eastAsia"/>
          <w:snapToGrid w:val="0"/>
          <w:kern w:val="0"/>
          <w:sz w:val="24"/>
          <w:szCs w:val="24"/>
        </w:rPr>
        <w:t>小时上门维护服务。保修期以投标人和招标人共同检验合格之日起算。投标人必须承诺在免费售后服务期间，及时解决设备出现的所有软、硬件故障，在接到用户的维修通知后（含书面和口头通知），中标人须在</w:t>
      </w:r>
      <w:r w:rsidRPr="007472D5">
        <w:rPr>
          <w:rFonts w:ascii="宋体" w:eastAsia="宋体" w:hAnsi="宋体" w:cs="宋体"/>
          <w:snapToGrid w:val="0"/>
          <w:kern w:val="0"/>
          <w:sz w:val="24"/>
          <w:szCs w:val="24"/>
        </w:rPr>
        <w:t>2</w:t>
      </w:r>
      <w:r w:rsidRPr="007472D5">
        <w:rPr>
          <w:rFonts w:ascii="宋体" w:eastAsia="宋体" w:hAnsi="宋体" w:cs="宋体" w:hint="eastAsia"/>
          <w:snapToGrid w:val="0"/>
          <w:kern w:val="0"/>
          <w:sz w:val="24"/>
          <w:szCs w:val="24"/>
        </w:rPr>
        <w:t>小时响应，若需要上门维修，要求</w:t>
      </w:r>
      <w:r w:rsidRPr="007472D5">
        <w:rPr>
          <w:rFonts w:ascii="宋体" w:eastAsia="宋体" w:hAnsi="宋体" w:cs="宋体"/>
          <w:snapToGrid w:val="0"/>
          <w:kern w:val="0"/>
          <w:sz w:val="24"/>
          <w:szCs w:val="24"/>
        </w:rPr>
        <w:t>24</w:t>
      </w:r>
      <w:r w:rsidRPr="007472D5">
        <w:rPr>
          <w:rFonts w:ascii="宋体" w:eastAsia="宋体" w:hAnsi="宋体" w:cs="宋体" w:hint="eastAsia"/>
          <w:snapToGrid w:val="0"/>
          <w:kern w:val="0"/>
          <w:sz w:val="24"/>
          <w:szCs w:val="24"/>
        </w:rPr>
        <w:t>小时内派专来的技术人员到达招标人设备使用现场维修。要求设定专门</w:t>
      </w:r>
      <w:r w:rsidRPr="007472D5">
        <w:rPr>
          <w:rFonts w:ascii="宋体" w:eastAsia="宋体" w:hAnsi="宋体" w:cs="宋体"/>
          <w:snapToGrid w:val="0"/>
          <w:kern w:val="0"/>
          <w:sz w:val="24"/>
          <w:szCs w:val="24"/>
        </w:rPr>
        <w:t>24小时客户服务电话及服务专员，服务专员不少于2名。</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在质量保证期内发生的质量问题，由中标人负责免费解决，包退包换（因招标人使用不当或其他人为因素造成的故障除外）。</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质量保证期外发生的质量问题，由中标人负责解决，招标人应支付相应的费用。中标人需负责及时提供零配件。</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在任何时候，中标人均不能免除因货物本身的缺陷所应负的责任。货物在质保期内发生质量问题，中标人须无条件给予退换。</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中标人对所提供设备提供终身维修，质保期后的服务，只收取更换零部件的成本费，不得收取任何工时费及工程师差旅费等其他费用。</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本项目中的软件、设备、场地建设以及设备安装的相关技术指标和要求，如发现不相符或省级计量院出具的计量检定为不合格，需要软件的重新设计或升级、更换设备、重新建设场地所需的一切费用均由中标人承担。</w:t>
      </w:r>
    </w:p>
    <w:p w:rsidR="006003B4" w:rsidRPr="007472D5" w:rsidRDefault="00867333" w:rsidP="00F716A4">
      <w:pPr>
        <w:widowControl/>
        <w:numPr>
          <w:ilvl w:val="0"/>
          <w:numId w:val="10"/>
        </w:numPr>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本项目实施范围分散广州市、江门市、清远市、云浮市、茂名市和梅州市</w:t>
      </w:r>
      <w:r w:rsidRPr="007472D5">
        <w:rPr>
          <w:rFonts w:ascii="宋体" w:eastAsia="宋体" w:hAnsi="宋体" w:cs="宋体"/>
          <w:snapToGrid w:val="0"/>
          <w:kern w:val="0"/>
          <w:sz w:val="24"/>
          <w:szCs w:val="24"/>
        </w:rPr>
        <w:t>6个地市共24个超限检测站（点），项目涉及信息系统集成、信息技术服务、通信设施服务等多领域，高质量的售后服务是保障项目顺利推进与长期稳定运行的关键。按照星级售后服务认证作为国内服务质量评价标准，本项目售后要求投标人在系统出现问题时迅速响应，如设置7×24小时服务热线、在线客服系统，要求紧急问题1小时内响应，普通问题24小时内响应，在服务专业性上，要求投标人售后团队需要具备丰富专业知识和经验,定期接受专业培训,涵盖设备知识、服务技巧及客户沟通等;要求服务流程规范，从问题接收与分类、派单管理到现场服务，具有标准流程，所有操作记录在案并由用户签字确认。</w:t>
      </w:r>
    </w:p>
    <w:p w:rsidR="006003B4" w:rsidRPr="007472D5" w:rsidRDefault="00867333">
      <w:pPr>
        <w:widowControl/>
        <w:numPr>
          <w:ilvl w:val="0"/>
          <w:numId w:val="5"/>
        </w:numPr>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67" w:name="_Toc201939260"/>
      <w:bookmarkStart w:id="68" w:name="_Toc1652"/>
      <w:bookmarkStart w:id="69" w:name="_Toc209117454"/>
      <w:r w:rsidRPr="007472D5">
        <w:rPr>
          <w:rFonts w:ascii="宋体" w:eastAsia="宋体" w:hAnsi="宋体" w:cs="宋体" w:hint="eastAsia"/>
          <w:b/>
          <w:bCs/>
          <w:snapToGrid w:val="0"/>
          <w:kern w:val="0"/>
          <w:sz w:val="24"/>
          <w:szCs w:val="24"/>
        </w:rPr>
        <w:t>验收要求</w:t>
      </w:r>
      <w:bookmarkEnd w:id="67"/>
      <w:bookmarkEnd w:id="68"/>
      <w:bookmarkEnd w:id="69"/>
    </w:p>
    <w:p w:rsidR="006003B4" w:rsidRPr="007472D5" w:rsidRDefault="00867333" w:rsidP="00F716A4">
      <w:pPr>
        <w:widowControl/>
        <w:numPr>
          <w:ilvl w:val="0"/>
          <w:numId w:val="11"/>
        </w:numPr>
        <w:kinsoku w:val="0"/>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要求对全部设备的型号、规格、数量、外型、外观、包装及资料、文件（如装箱单、保修单、随箱介质等）进行验收。</w:t>
      </w:r>
    </w:p>
    <w:p w:rsidR="006003B4" w:rsidRPr="007472D5" w:rsidRDefault="00867333" w:rsidP="00F716A4">
      <w:pPr>
        <w:widowControl/>
        <w:numPr>
          <w:ilvl w:val="0"/>
          <w:numId w:val="11"/>
        </w:numPr>
        <w:kinsoku w:val="0"/>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中标人应负责在项目验收时将系统的全部有关产品说明书、</w:t>
      </w:r>
      <w:r w:rsidRPr="007472D5">
        <w:rPr>
          <w:rFonts w:ascii="宋体" w:eastAsia="宋体" w:hAnsi="宋体" w:cs="宋体"/>
          <w:snapToGrid w:val="0"/>
          <w:kern w:val="0"/>
          <w:sz w:val="24"/>
          <w:szCs w:val="24"/>
        </w:rPr>
        <w:t xml:space="preserve"> </w:t>
      </w:r>
      <w:r w:rsidRPr="007472D5">
        <w:rPr>
          <w:rFonts w:ascii="宋体" w:eastAsia="宋体" w:hAnsi="宋体" w:cs="宋体" w:hint="eastAsia"/>
          <w:snapToGrid w:val="0"/>
          <w:kern w:val="0"/>
          <w:sz w:val="24"/>
          <w:szCs w:val="24"/>
        </w:rPr>
        <w:t>原厂家安装手册、技术文件、资料及安装、验收报告等文档汇集成册交付设备使用单位。</w:t>
      </w:r>
    </w:p>
    <w:p w:rsidR="006003B4" w:rsidRPr="007472D5" w:rsidRDefault="00867333" w:rsidP="00F716A4">
      <w:pPr>
        <w:widowControl/>
        <w:numPr>
          <w:ilvl w:val="0"/>
          <w:numId w:val="11"/>
        </w:numPr>
        <w:kinsoku w:val="0"/>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如机检或系统测试中如发现设备性能指标或功能上不符合标书和合同要求时，将被看作性能不合格，设备使用单位有权要求更换。</w:t>
      </w:r>
    </w:p>
    <w:p w:rsidR="006003B4" w:rsidRPr="007472D5" w:rsidRDefault="00867333" w:rsidP="00F716A4">
      <w:pPr>
        <w:widowControl/>
        <w:numPr>
          <w:ilvl w:val="0"/>
          <w:numId w:val="11"/>
        </w:numPr>
        <w:tabs>
          <w:tab w:val="left" w:pos="1276"/>
        </w:tabs>
        <w:kinsoku w:val="0"/>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最终验收：项目安装调试完毕，由招标人组织人员组成验收小组，按照招标文件、投标文件承诺进行验收。验收小组验收合格为最终通过验收。中标人须配合验收小组的验收工作。</w:t>
      </w:r>
    </w:p>
    <w:p w:rsidR="006003B4" w:rsidRPr="007472D5" w:rsidRDefault="00867333">
      <w:pPr>
        <w:keepNext/>
        <w:widowControl/>
        <w:numPr>
          <w:ilvl w:val="0"/>
          <w:numId w:val="3"/>
        </w:numPr>
        <w:kinsoku w:val="0"/>
        <w:wordWrap w:val="0"/>
        <w:autoSpaceDE w:val="0"/>
        <w:autoSpaceDN w:val="0"/>
        <w:adjustRightInd w:val="0"/>
        <w:snapToGrid w:val="0"/>
        <w:spacing w:line="360" w:lineRule="auto"/>
        <w:ind w:left="575" w:firstLineChars="200" w:firstLine="482"/>
        <w:jc w:val="left"/>
        <w:textAlignment w:val="baseline"/>
        <w:outlineLvl w:val="1"/>
        <w:rPr>
          <w:rFonts w:ascii="宋体" w:eastAsia="宋体" w:hAnsi="宋体" w:cs="宋体"/>
          <w:b/>
          <w:bCs/>
          <w:snapToGrid w:val="0"/>
          <w:kern w:val="0"/>
          <w:sz w:val="24"/>
          <w:szCs w:val="24"/>
          <w:lang w:eastAsia="en-US"/>
        </w:rPr>
      </w:pPr>
      <w:bookmarkStart w:id="70" w:name="_Toc209117455"/>
      <w:bookmarkStart w:id="71" w:name="_Toc281"/>
      <w:bookmarkStart w:id="72" w:name="_Toc201939261"/>
      <w:r w:rsidRPr="007472D5">
        <w:rPr>
          <w:rFonts w:ascii="宋体" w:eastAsia="宋体" w:hAnsi="宋体" w:cs="宋体" w:hint="eastAsia"/>
          <w:b/>
          <w:bCs/>
          <w:snapToGrid w:val="0"/>
          <w:kern w:val="0"/>
          <w:sz w:val="24"/>
          <w:szCs w:val="24"/>
          <w:lang w:eastAsia="en-US"/>
        </w:rPr>
        <w:t>履约保证金要求</w:t>
      </w:r>
      <w:bookmarkEnd w:id="70"/>
    </w:p>
    <w:p w:rsidR="006003B4" w:rsidRPr="007472D5" w:rsidRDefault="00867333" w:rsidP="00F96A37">
      <w:pPr>
        <w:spacing w:line="360" w:lineRule="auto"/>
        <w:ind w:leftChars="200" w:left="420" w:firstLineChars="200" w:firstLine="480"/>
        <w:rPr>
          <w:rFonts w:asciiTheme="minorEastAsia" w:hAnsiTheme="minorEastAsia"/>
          <w:sz w:val="24"/>
          <w:szCs w:val="24"/>
        </w:rPr>
      </w:pPr>
      <w:r w:rsidRPr="007472D5">
        <w:rPr>
          <w:rFonts w:asciiTheme="minorEastAsia" w:hAnsiTheme="minorEastAsia" w:hint="eastAsia"/>
          <w:sz w:val="24"/>
          <w:szCs w:val="24"/>
        </w:rPr>
        <w:t>1.收取比例：合同总额的5%,</w:t>
      </w:r>
      <w:r w:rsidR="00B12794" w:rsidRPr="007472D5">
        <w:rPr>
          <w:rFonts w:asciiTheme="minorEastAsia" w:hAnsiTheme="minorEastAsia" w:hint="eastAsia"/>
          <w:sz w:val="24"/>
          <w:szCs w:val="24"/>
        </w:rPr>
        <w:t>中标人在收到中标通知书后签订合同前提交给招标人。</w:t>
      </w:r>
    </w:p>
    <w:p w:rsidR="006003B4" w:rsidRPr="007472D5" w:rsidRDefault="00867333" w:rsidP="00F96A37">
      <w:pPr>
        <w:spacing w:line="360" w:lineRule="auto"/>
        <w:ind w:leftChars="200" w:left="420" w:firstLineChars="200" w:firstLine="480"/>
        <w:rPr>
          <w:rFonts w:asciiTheme="minorEastAsia" w:hAnsiTheme="minorEastAsia"/>
          <w:sz w:val="24"/>
          <w:szCs w:val="24"/>
        </w:rPr>
      </w:pPr>
      <w:r w:rsidRPr="007472D5">
        <w:rPr>
          <w:rFonts w:asciiTheme="minorEastAsia" w:hAnsiTheme="minorEastAsia" w:hint="eastAsia"/>
          <w:sz w:val="24"/>
          <w:szCs w:val="24"/>
        </w:rPr>
        <w:t>2.说明：</w:t>
      </w:r>
    </w:p>
    <w:p w:rsidR="006003B4" w:rsidRPr="007472D5" w:rsidRDefault="00867333">
      <w:pPr>
        <w:widowControl/>
        <w:numPr>
          <w:ilvl w:val="0"/>
          <w:numId w:val="12"/>
        </w:numPr>
        <w:tabs>
          <w:tab w:val="left" w:pos="1276"/>
        </w:tabs>
        <w:kinsoku w:val="0"/>
        <w:wordWrap w:val="0"/>
        <w:autoSpaceDE w:val="0"/>
        <w:autoSpaceDN w:val="0"/>
        <w:adjustRightInd w:val="0"/>
        <w:snapToGrid w:val="0"/>
        <w:spacing w:line="360" w:lineRule="auto"/>
        <w:ind w:leftChars="202" w:left="424"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履约保证金提交形式：支票、汇票、本票、保函（见索即付）等非现金方式。</w:t>
      </w:r>
    </w:p>
    <w:p w:rsidR="006003B4" w:rsidRPr="007472D5" w:rsidRDefault="00867333" w:rsidP="00F716A4">
      <w:pPr>
        <w:widowControl/>
        <w:numPr>
          <w:ilvl w:val="0"/>
          <w:numId w:val="12"/>
        </w:numPr>
        <w:tabs>
          <w:tab w:val="left" w:pos="1276"/>
        </w:tabs>
        <w:kinsoku w:val="0"/>
        <w:wordWrap w:val="0"/>
        <w:autoSpaceDE w:val="0"/>
        <w:autoSpaceDN w:val="0"/>
        <w:adjustRightInd w:val="0"/>
        <w:snapToGrid w:val="0"/>
        <w:spacing w:line="360" w:lineRule="auto"/>
        <w:ind w:leftChars="202" w:left="424"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所有工程设施设备最终验收合格后30日内，招标人退还合同总价</w:t>
      </w:r>
      <w:r w:rsidRPr="007472D5">
        <w:rPr>
          <w:rFonts w:ascii="宋体" w:eastAsia="宋体" w:hAnsi="宋体" w:cs="宋体"/>
          <w:snapToGrid w:val="0"/>
          <w:kern w:val="0"/>
          <w:sz w:val="24"/>
          <w:szCs w:val="24"/>
        </w:rPr>
        <w:t>5%的履约保证金（</w:t>
      </w:r>
      <w:r w:rsidR="001F389F" w:rsidRPr="007472D5">
        <w:rPr>
          <w:rFonts w:ascii="宋体" w:eastAsia="宋体" w:hAnsi="宋体" w:cs="宋体" w:hint="eastAsia"/>
          <w:snapToGrid w:val="0"/>
          <w:kern w:val="0"/>
          <w:sz w:val="24"/>
          <w:szCs w:val="24"/>
        </w:rPr>
        <w:t>全额</w:t>
      </w:r>
      <w:r w:rsidRPr="007472D5">
        <w:rPr>
          <w:rFonts w:ascii="宋体" w:eastAsia="宋体" w:hAnsi="宋体" w:cs="宋体"/>
          <w:snapToGrid w:val="0"/>
          <w:kern w:val="0"/>
          <w:sz w:val="24"/>
          <w:szCs w:val="24"/>
        </w:rPr>
        <w:t>无息）</w:t>
      </w:r>
      <w:r w:rsidRPr="007472D5">
        <w:rPr>
          <w:rFonts w:ascii="宋体" w:eastAsia="宋体" w:hAnsi="宋体" w:cs="宋体" w:hint="eastAsia"/>
          <w:snapToGrid w:val="0"/>
          <w:kern w:val="0"/>
          <w:sz w:val="24"/>
          <w:szCs w:val="24"/>
        </w:rPr>
        <w:t>。中标人须提供质量保证承诺函，对质保期内出现违反合同约定的情形，按合同约定进行赔偿作出承诺。如在合同期内，中标人自行停止履行合约或违反合同有关规定被招标人终止合约的，则招标人不予退还履约保证金。若中标人不履行或不适当履行其合同义务导致招标人蒙受损失的，招标人有权直接从履约保证金中扣除相应违约金或损失赔偿款项，也有权依据履约保函向出具保函人直接索赔；违约金或给招标人造成的损失超</w:t>
      </w:r>
      <w:r w:rsidRPr="007472D5">
        <w:rPr>
          <w:rFonts w:ascii="宋体" w:eastAsia="宋体" w:hAnsi="宋体" w:cs="宋体" w:hint="eastAsia"/>
          <w:snapToGrid w:val="0"/>
          <w:kern w:val="0"/>
          <w:sz w:val="24"/>
          <w:szCs w:val="24"/>
        </w:rPr>
        <w:lastRenderedPageBreak/>
        <w:t>过履约保证金数额的，中标人应对超出部分给予赔偿。招标人逾期退还履约保证金的，除应当退还履约保证金本金外，还应当每日按合同总价的0.1‰向中标人偿付违约金，但因合同的履行产生争议或由于中标人自身原因导致无法及时退还的除外。</w:t>
      </w:r>
    </w:p>
    <w:p w:rsidR="006003B4" w:rsidRPr="007472D5" w:rsidRDefault="00867333">
      <w:pPr>
        <w:keepNext/>
        <w:widowControl/>
        <w:numPr>
          <w:ilvl w:val="0"/>
          <w:numId w:val="3"/>
        </w:numPr>
        <w:kinsoku w:val="0"/>
        <w:wordWrap w:val="0"/>
        <w:autoSpaceDE w:val="0"/>
        <w:autoSpaceDN w:val="0"/>
        <w:adjustRightInd w:val="0"/>
        <w:snapToGrid w:val="0"/>
        <w:spacing w:line="360" w:lineRule="auto"/>
        <w:ind w:left="575" w:firstLineChars="200" w:firstLine="482"/>
        <w:jc w:val="left"/>
        <w:textAlignment w:val="baseline"/>
        <w:outlineLvl w:val="1"/>
        <w:rPr>
          <w:rFonts w:ascii="宋体" w:eastAsia="宋体" w:hAnsi="宋体" w:cs="宋体"/>
          <w:b/>
          <w:bCs/>
          <w:snapToGrid w:val="0"/>
          <w:kern w:val="0"/>
          <w:sz w:val="24"/>
          <w:szCs w:val="24"/>
          <w:lang w:eastAsia="en-US"/>
        </w:rPr>
      </w:pPr>
      <w:bookmarkStart w:id="73" w:name="_Toc209117456"/>
      <w:r w:rsidRPr="007472D5">
        <w:rPr>
          <w:rFonts w:ascii="宋体" w:eastAsia="宋体" w:hAnsi="宋体" w:cs="宋体" w:hint="eastAsia"/>
          <w:b/>
          <w:bCs/>
          <w:snapToGrid w:val="0"/>
          <w:kern w:val="0"/>
          <w:sz w:val="24"/>
          <w:szCs w:val="24"/>
          <w:lang w:eastAsia="en-US"/>
        </w:rPr>
        <w:t>付款方式</w:t>
      </w:r>
      <w:bookmarkEnd w:id="71"/>
      <w:bookmarkEnd w:id="72"/>
      <w:bookmarkEnd w:id="73"/>
    </w:p>
    <w:p w:rsidR="006003B4" w:rsidRPr="007472D5" w:rsidRDefault="00867333">
      <w:pPr>
        <w:widowControl/>
        <w:numPr>
          <w:ilvl w:val="0"/>
          <w:numId w:val="13"/>
        </w:numPr>
        <w:tabs>
          <w:tab w:val="left" w:pos="1276"/>
        </w:tabs>
        <w:kinsoku w:val="0"/>
        <w:wordWrap w:val="0"/>
        <w:autoSpaceDE w:val="0"/>
        <w:autoSpaceDN w:val="0"/>
        <w:adjustRightInd w:val="0"/>
        <w:snapToGrid w:val="0"/>
        <w:spacing w:line="360" w:lineRule="auto"/>
        <w:ind w:right="1" w:firstLineChars="200" w:firstLine="480"/>
        <w:textAlignment w:val="baseline"/>
        <w:rPr>
          <w:rFonts w:ascii="宋体" w:eastAsia="宋体" w:hAnsi="宋体" w:cs="宋体"/>
          <w:snapToGrid w:val="0"/>
          <w:kern w:val="0"/>
          <w:sz w:val="24"/>
          <w:szCs w:val="24"/>
          <w:lang w:eastAsia="en-US"/>
        </w:rPr>
      </w:pPr>
      <w:bookmarkStart w:id="74" w:name="_Toc25449"/>
      <w:r w:rsidRPr="007472D5">
        <w:rPr>
          <w:rFonts w:ascii="宋体" w:eastAsia="宋体" w:hAnsi="宋体" w:cs="宋体" w:hint="eastAsia"/>
          <w:snapToGrid w:val="0"/>
          <w:kern w:val="0"/>
          <w:sz w:val="24"/>
          <w:szCs w:val="24"/>
          <w:lang w:eastAsia="en-US"/>
        </w:rPr>
        <w:t>付款方式：分期付款。</w:t>
      </w:r>
      <w:bookmarkEnd w:id="74"/>
    </w:p>
    <w:p w:rsidR="006003B4" w:rsidRPr="007472D5" w:rsidRDefault="00867333">
      <w:pPr>
        <w:widowControl/>
        <w:numPr>
          <w:ilvl w:val="0"/>
          <w:numId w:val="14"/>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第一期：合同签订生效后的10个工作日内支付合同总金额的30%给中标人；</w:t>
      </w:r>
    </w:p>
    <w:p w:rsidR="006003B4" w:rsidRPr="007472D5" w:rsidRDefault="00867333">
      <w:pPr>
        <w:widowControl/>
        <w:numPr>
          <w:ilvl w:val="0"/>
          <w:numId w:val="14"/>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第二期：2025年计划完成7个超限检测站（点）称重检测设备升级改造及16个超限检测站（点）电子围栏设备加装，安装调试验收后，10个工作日内支付合同金额的40%给中标人；</w:t>
      </w:r>
    </w:p>
    <w:p w:rsidR="006003B4" w:rsidRPr="007472D5" w:rsidRDefault="00867333">
      <w:pPr>
        <w:widowControl/>
        <w:numPr>
          <w:ilvl w:val="0"/>
          <w:numId w:val="14"/>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第三期：</w:t>
      </w:r>
      <w:r w:rsidRPr="007472D5">
        <w:rPr>
          <w:rFonts w:ascii="宋体" w:eastAsia="宋体" w:hAnsi="宋体" w:cs="宋体"/>
          <w:snapToGrid w:val="0"/>
          <w:kern w:val="0"/>
          <w:sz w:val="24"/>
          <w:szCs w:val="24"/>
        </w:rPr>
        <w:t>2026年计划完成3个超限检测站（点）称重检测设备升级改造及7个超限检测站（点）电子围栏设备加装，安装调试</w:t>
      </w:r>
      <w:r w:rsidRPr="007472D5">
        <w:rPr>
          <w:rFonts w:ascii="宋体" w:eastAsia="宋体" w:hAnsi="宋体" w:cs="宋体" w:hint="eastAsia"/>
          <w:snapToGrid w:val="0"/>
          <w:kern w:val="0"/>
          <w:sz w:val="24"/>
          <w:szCs w:val="24"/>
        </w:rPr>
        <w:t>全部最终</w:t>
      </w:r>
      <w:r w:rsidRPr="007472D5">
        <w:rPr>
          <w:rFonts w:ascii="宋体" w:eastAsia="宋体" w:hAnsi="宋体" w:cs="宋体"/>
          <w:snapToGrid w:val="0"/>
          <w:kern w:val="0"/>
          <w:sz w:val="24"/>
          <w:szCs w:val="24"/>
        </w:rPr>
        <w:t>验收后，10个工作日内支付至合同结算金额的100%给中标人。</w:t>
      </w:r>
    </w:p>
    <w:p w:rsidR="006003B4" w:rsidRPr="007472D5" w:rsidRDefault="00867333">
      <w:pPr>
        <w:widowControl/>
        <w:numPr>
          <w:ilvl w:val="0"/>
          <w:numId w:val="13"/>
        </w:numPr>
        <w:tabs>
          <w:tab w:val="left" w:pos="1276"/>
        </w:tabs>
        <w:kinsoku w:val="0"/>
        <w:wordWrap w:val="0"/>
        <w:autoSpaceDE w:val="0"/>
        <w:autoSpaceDN w:val="0"/>
        <w:adjustRightInd w:val="0"/>
        <w:snapToGrid w:val="0"/>
        <w:spacing w:line="360" w:lineRule="auto"/>
        <w:ind w:right="1" w:firstLineChars="200" w:firstLine="480"/>
        <w:textAlignment w:val="baseline"/>
        <w:rPr>
          <w:rFonts w:ascii="宋体" w:eastAsia="宋体" w:hAnsi="宋体" w:cs="宋体"/>
          <w:snapToGrid w:val="0"/>
          <w:kern w:val="0"/>
          <w:sz w:val="24"/>
          <w:szCs w:val="24"/>
        </w:rPr>
      </w:pPr>
      <w:bookmarkStart w:id="75" w:name="_Toc28799"/>
      <w:r w:rsidRPr="007472D5">
        <w:rPr>
          <w:rFonts w:ascii="宋体" w:eastAsia="宋体" w:hAnsi="宋体" w:cs="宋体" w:hint="eastAsia"/>
          <w:snapToGrid w:val="0"/>
          <w:kern w:val="0"/>
          <w:sz w:val="24"/>
          <w:szCs w:val="24"/>
        </w:rPr>
        <w:t>中标人凭以下有效文件与招标人结算：</w:t>
      </w:r>
      <w:bookmarkEnd w:id="75"/>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合同；</w:t>
      </w:r>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请款函；</w:t>
      </w:r>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中标人开具的正式发票；</w:t>
      </w:r>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验收调试报告（加盖招标人公章）；</w:t>
      </w:r>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结算书；</w:t>
      </w:r>
    </w:p>
    <w:p w:rsidR="006003B4" w:rsidRPr="007472D5" w:rsidRDefault="00867333">
      <w:pPr>
        <w:widowControl/>
        <w:numPr>
          <w:ilvl w:val="0"/>
          <w:numId w:val="15"/>
        </w:numPr>
        <w:tabs>
          <w:tab w:val="left" w:pos="1276"/>
        </w:tabs>
        <w:kinsoku w:val="0"/>
        <w:wordWrap w:val="0"/>
        <w:autoSpaceDE w:val="0"/>
        <w:autoSpaceDN w:val="0"/>
        <w:adjustRightInd w:val="0"/>
        <w:snapToGrid w:val="0"/>
        <w:spacing w:line="360" w:lineRule="auto"/>
        <w:ind w:leftChars="202" w:left="424"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中标通知书。</w:t>
      </w:r>
    </w:p>
    <w:p w:rsidR="006003B4" w:rsidRPr="007472D5" w:rsidRDefault="00867333">
      <w:pPr>
        <w:widowControl/>
        <w:numPr>
          <w:ilvl w:val="0"/>
          <w:numId w:val="13"/>
        </w:numPr>
        <w:tabs>
          <w:tab w:val="left" w:pos="1276"/>
        </w:tabs>
        <w:kinsoku w:val="0"/>
        <w:wordWrap w:val="0"/>
        <w:autoSpaceDE w:val="0"/>
        <w:autoSpaceDN w:val="0"/>
        <w:adjustRightInd w:val="0"/>
        <w:snapToGrid w:val="0"/>
        <w:spacing w:before="205" w:line="360" w:lineRule="auto"/>
        <w:ind w:leftChars="200" w:left="420" w:right="1" w:firstLineChars="200" w:firstLine="480"/>
        <w:jc w:val="left"/>
        <w:textAlignment w:val="baseline"/>
        <w:rPr>
          <w:rFonts w:ascii="宋体" w:eastAsia="宋体" w:hAnsi="宋体" w:cs="宋体"/>
          <w:snapToGrid w:val="0"/>
          <w:kern w:val="0"/>
          <w:sz w:val="24"/>
          <w:szCs w:val="24"/>
        </w:rPr>
        <w:sectPr w:rsidR="006003B4" w:rsidRPr="007472D5">
          <w:headerReference w:type="default" r:id="rId10"/>
          <w:pgSz w:w="11900" w:h="16840"/>
          <w:pgMar w:top="1107" w:right="1127" w:bottom="1113" w:left="993" w:header="830" w:footer="691" w:gutter="0"/>
          <w:cols w:space="720"/>
        </w:sectPr>
      </w:pPr>
      <w:r w:rsidRPr="007472D5">
        <w:rPr>
          <w:rFonts w:ascii="宋体" w:eastAsia="宋体" w:hAnsi="宋体" w:cs="宋体" w:hint="eastAsia"/>
          <w:snapToGrid w:val="0"/>
          <w:kern w:val="0"/>
          <w:sz w:val="24"/>
          <w:szCs w:val="24"/>
        </w:rPr>
        <w:t>因招标人使用的是财政资金，如因政府财政部门审查、财政支付管理流程及预算下达导致支付延期，支付期限自动顺延，</w:t>
      </w:r>
      <w:r w:rsidR="001F389F" w:rsidRPr="007472D5">
        <w:rPr>
          <w:rFonts w:ascii="宋体" w:eastAsia="宋体" w:hAnsi="宋体" w:cs="宋体" w:hint="eastAsia"/>
          <w:snapToGrid w:val="0"/>
          <w:kern w:val="0"/>
          <w:sz w:val="24"/>
          <w:szCs w:val="24"/>
        </w:rPr>
        <w:t>招标人</w:t>
      </w:r>
      <w:r w:rsidRPr="007472D5">
        <w:rPr>
          <w:rFonts w:ascii="宋体" w:eastAsia="宋体" w:hAnsi="宋体" w:cs="宋体" w:hint="eastAsia"/>
          <w:snapToGrid w:val="0"/>
          <w:kern w:val="0"/>
          <w:sz w:val="24"/>
          <w:szCs w:val="24"/>
        </w:rPr>
        <w:t>不承担责任，</w:t>
      </w:r>
      <w:r w:rsidR="001F389F" w:rsidRPr="007472D5">
        <w:rPr>
          <w:rFonts w:ascii="宋体" w:eastAsia="宋体" w:hAnsi="宋体" w:cs="宋体" w:hint="eastAsia"/>
          <w:snapToGrid w:val="0"/>
          <w:kern w:val="0"/>
          <w:sz w:val="24"/>
          <w:szCs w:val="24"/>
        </w:rPr>
        <w:t>中标人</w:t>
      </w:r>
      <w:r w:rsidRPr="007472D5">
        <w:rPr>
          <w:rFonts w:ascii="宋体" w:eastAsia="宋体" w:hAnsi="宋体" w:cs="宋体" w:hint="eastAsia"/>
          <w:snapToGrid w:val="0"/>
          <w:kern w:val="0"/>
          <w:sz w:val="24"/>
          <w:szCs w:val="24"/>
        </w:rPr>
        <w:t>不得以此为由迟延履行或不履行合同义务。</w:t>
      </w:r>
    </w:p>
    <w:p w:rsidR="006003B4" w:rsidRPr="007472D5" w:rsidRDefault="00867333">
      <w:pPr>
        <w:keepNext/>
        <w:keepLines/>
        <w:widowControl/>
        <w:numPr>
          <w:ilvl w:val="0"/>
          <w:numId w:val="2"/>
        </w:numPr>
        <w:kinsoku w:val="0"/>
        <w:wordWrap w:val="0"/>
        <w:autoSpaceDE w:val="0"/>
        <w:autoSpaceDN w:val="0"/>
        <w:adjustRightInd w:val="0"/>
        <w:snapToGrid w:val="0"/>
        <w:spacing w:after="120" w:line="360" w:lineRule="auto"/>
        <w:jc w:val="center"/>
        <w:textAlignment w:val="baseline"/>
        <w:outlineLvl w:val="0"/>
        <w:rPr>
          <w:rFonts w:ascii="宋体" w:eastAsia="宋体" w:hAnsi="宋体" w:cs="宋体"/>
          <w:b/>
          <w:bCs/>
          <w:snapToGrid w:val="0"/>
          <w:kern w:val="44"/>
          <w:sz w:val="52"/>
          <w:szCs w:val="52"/>
          <w:lang w:eastAsia="en-US"/>
        </w:rPr>
      </w:pPr>
      <w:bookmarkStart w:id="76" w:name="_Toc15119"/>
      <w:bookmarkStart w:id="77" w:name="_Toc201939262"/>
      <w:bookmarkStart w:id="78" w:name="_Toc209117457"/>
      <w:r w:rsidRPr="007472D5">
        <w:rPr>
          <w:rFonts w:ascii="宋体" w:eastAsia="宋体" w:hAnsi="宋体" w:cs="宋体" w:hint="eastAsia"/>
          <w:b/>
          <w:bCs/>
          <w:snapToGrid w:val="0"/>
          <w:kern w:val="44"/>
          <w:sz w:val="52"/>
          <w:szCs w:val="52"/>
          <w:lang w:eastAsia="en-US"/>
        </w:rPr>
        <w:lastRenderedPageBreak/>
        <w:t>技术要求</w:t>
      </w:r>
      <w:bookmarkEnd w:id="76"/>
      <w:bookmarkEnd w:id="77"/>
      <w:bookmarkEnd w:id="78"/>
    </w:p>
    <w:p w:rsidR="006003B4" w:rsidRPr="007472D5" w:rsidRDefault="00867333">
      <w:pPr>
        <w:keepNext/>
        <w:keepLines/>
        <w:widowControl/>
        <w:numPr>
          <w:ilvl w:val="0"/>
          <w:numId w:val="1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79" w:name="_Toc201939263"/>
      <w:bookmarkStart w:id="80" w:name="_Toc18152"/>
      <w:bookmarkStart w:id="81" w:name="_Toc209117458"/>
      <w:r w:rsidRPr="007472D5">
        <w:rPr>
          <w:rFonts w:ascii="宋体" w:eastAsia="宋体" w:hAnsi="宋体" w:cs="宋体" w:hint="eastAsia"/>
          <w:b/>
          <w:bCs/>
          <w:snapToGrid w:val="0"/>
          <w:kern w:val="0"/>
          <w:sz w:val="24"/>
          <w:szCs w:val="24"/>
        </w:rPr>
        <w:t>项目建设内容和规模</w:t>
      </w:r>
      <w:bookmarkEnd w:id="79"/>
      <w:bookmarkEnd w:id="80"/>
      <w:bookmarkEnd w:id="81"/>
    </w:p>
    <w:p w:rsidR="006003B4" w:rsidRPr="007472D5" w:rsidRDefault="00867333">
      <w:pPr>
        <w:widowControl/>
        <w:wordWrap w:val="0"/>
        <w:autoSpaceDE w:val="0"/>
        <w:autoSpaceDN w:val="0"/>
        <w:adjustRightInd w:val="0"/>
        <w:snapToGrid w:val="0"/>
        <w:spacing w:before="165" w:line="360" w:lineRule="auto"/>
        <w:ind w:left="19" w:firstLine="560"/>
        <w:textAlignment w:val="baseline"/>
        <w:rPr>
          <w:rFonts w:ascii="宋体" w:eastAsia="宋体" w:hAnsi="宋体" w:cs="宋体"/>
          <w:snapToGrid w:val="0"/>
          <w:spacing w:val="3"/>
          <w:kern w:val="0"/>
          <w:sz w:val="24"/>
          <w:szCs w:val="24"/>
        </w:rPr>
      </w:pPr>
      <w:r w:rsidRPr="007472D5">
        <w:rPr>
          <w:rFonts w:ascii="宋体" w:eastAsia="宋体" w:hAnsi="宋体" w:cs="宋体" w:hint="eastAsia"/>
          <w:snapToGrid w:val="0"/>
          <w:spacing w:val="3"/>
          <w:kern w:val="0"/>
          <w:sz w:val="24"/>
          <w:szCs w:val="24"/>
        </w:rPr>
        <w:t>本项目主要针对广州市、江门市、清远市、云浮市、茂名市和梅州市的设备老旧、信息化程度低、现有设备故障率高等问题的超限检测站（点）进行升级改造，共计10套超限称重检测设备；在频繁出现技术故障和操作问题，数据无法自动传输处理，影响到执法依据的准确性和权威性的23个超限检测站（点）加装电子围栏监控设备，依托省治超联网管理信息系统的数据集成统筹优势，织密治超监控网络，提高数据采集的准确性和实时性，增强监控系统的智能化水平，为相关部门提供决策支持。</w:t>
      </w:r>
    </w:p>
    <w:p w:rsidR="006003B4" w:rsidRPr="007472D5" w:rsidRDefault="00867333">
      <w:pPr>
        <w:widowControl/>
        <w:wordWrap w:val="0"/>
        <w:autoSpaceDE w:val="0"/>
        <w:autoSpaceDN w:val="0"/>
        <w:adjustRightInd w:val="0"/>
        <w:snapToGrid w:val="0"/>
        <w:spacing w:before="165" w:line="360" w:lineRule="auto"/>
        <w:ind w:left="19" w:firstLine="560"/>
        <w:jc w:val="center"/>
        <w:textAlignment w:val="baseline"/>
        <w:rPr>
          <w:rFonts w:ascii="宋体" w:eastAsia="宋体" w:hAnsi="宋体" w:cs="宋体"/>
          <w:b/>
          <w:bCs/>
          <w:snapToGrid w:val="0"/>
          <w:spacing w:val="3"/>
          <w:kern w:val="0"/>
          <w:sz w:val="24"/>
          <w:szCs w:val="24"/>
        </w:rPr>
      </w:pPr>
      <w:r w:rsidRPr="007472D5">
        <w:rPr>
          <w:rFonts w:ascii="宋体" w:eastAsia="宋体" w:hAnsi="宋体" w:cs="宋体" w:hint="eastAsia"/>
          <w:b/>
          <w:bCs/>
          <w:snapToGrid w:val="0"/>
          <w:spacing w:val="3"/>
          <w:kern w:val="0"/>
          <w:sz w:val="24"/>
          <w:szCs w:val="24"/>
        </w:rPr>
        <w:t>各地市超限检测站（点）建设工作量表</w:t>
      </w:r>
    </w:p>
    <w:tbl>
      <w:tblPr>
        <w:tblW w:w="4998" w:type="pct"/>
        <w:jc w:val="center"/>
        <w:tblLook w:val="04A0" w:firstRow="1" w:lastRow="0" w:firstColumn="1" w:lastColumn="0" w:noHBand="0" w:noVBand="1"/>
      </w:tblPr>
      <w:tblGrid>
        <w:gridCol w:w="883"/>
        <w:gridCol w:w="1671"/>
        <w:gridCol w:w="3124"/>
        <w:gridCol w:w="1554"/>
        <w:gridCol w:w="1286"/>
      </w:tblGrid>
      <w:tr w:rsidR="007472D5" w:rsidRPr="007472D5">
        <w:trPr>
          <w:trHeight w:val="33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snapToGrid w:val="0"/>
                <w:kern w:val="0"/>
                <w:sz w:val="24"/>
                <w:szCs w:val="24"/>
                <w:lang w:eastAsia="en-US"/>
              </w:rPr>
            </w:pPr>
            <w:r w:rsidRPr="007472D5">
              <w:rPr>
                <w:rFonts w:asciiTheme="minorEastAsia" w:hAnsiTheme="minorEastAsia" w:cs="宋体" w:hint="eastAsia"/>
                <w:b/>
                <w:snapToGrid w:val="0"/>
                <w:kern w:val="0"/>
                <w:sz w:val="24"/>
                <w:szCs w:val="24"/>
                <w:lang w:bidi="ar"/>
              </w:rPr>
              <w:t>序号</w:t>
            </w:r>
          </w:p>
        </w:tc>
        <w:tc>
          <w:tcPr>
            <w:tcW w:w="980"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snapToGrid w:val="0"/>
                <w:kern w:val="0"/>
                <w:sz w:val="24"/>
                <w:szCs w:val="24"/>
                <w:lang w:eastAsia="en-US"/>
              </w:rPr>
            </w:pPr>
            <w:r w:rsidRPr="007472D5">
              <w:rPr>
                <w:rFonts w:asciiTheme="minorEastAsia" w:hAnsiTheme="minorEastAsia" w:cs="宋体" w:hint="eastAsia"/>
                <w:b/>
                <w:snapToGrid w:val="0"/>
                <w:kern w:val="0"/>
                <w:sz w:val="24"/>
                <w:szCs w:val="24"/>
                <w:lang w:bidi="ar"/>
              </w:rPr>
              <w:t>地市</w:t>
            </w:r>
          </w:p>
        </w:tc>
        <w:tc>
          <w:tcPr>
            <w:tcW w:w="1832" w:type="pct"/>
            <w:tcBorders>
              <w:top w:val="single" w:sz="4" w:space="0" w:color="000000"/>
              <w:left w:val="single" w:sz="4" w:space="0" w:color="000000"/>
              <w:bottom w:val="single" w:sz="4" w:space="0" w:color="000000"/>
              <w:right w:val="single" w:sz="4" w:space="0" w:color="000000"/>
            </w:tcBorders>
            <w:shd w:val="clear" w:color="auto" w:fill="BEBEBE"/>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snapToGrid w:val="0"/>
                <w:kern w:val="0"/>
                <w:sz w:val="24"/>
                <w:szCs w:val="24"/>
              </w:rPr>
            </w:pPr>
            <w:r w:rsidRPr="007472D5">
              <w:rPr>
                <w:rFonts w:asciiTheme="minorEastAsia" w:hAnsiTheme="minorEastAsia" w:cs="宋体" w:hint="eastAsia"/>
                <w:b/>
                <w:snapToGrid w:val="0"/>
                <w:kern w:val="0"/>
                <w:sz w:val="24"/>
                <w:szCs w:val="24"/>
                <w:lang w:bidi="ar"/>
              </w:rPr>
              <w:t>超限检测站（点）名称</w:t>
            </w:r>
          </w:p>
        </w:tc>
        <w:tc>
          <w:tcPr>
            <w:tcW w:w="912"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snapToGrid w:val="0"/>
                <w:kern w:val="0"/>
                <w:sz w:val="24"/>
                <w:szCs w:val="24"/>
              </w:rPr>
            </w:pPr>
            <w:r w:rsidRPr="007472D5">
              <w:rPr>
                <w:rFonts w:asciiTheme="minorEastAsia" w:hAnsiTheme="minorEastAsia" w:cs="宋体" w:hint="eastAsia"/>
                <w:b/>
                <w:snapToGrid w:val="0"/>
                <w:kern w:val="0"/>
                <w:sz w:val="24"/>
                <w:szCs w:val="24"/>
                <w:lang w:bidi="ar"/>
              </w:rPr>
              <w:t>升级改造称重检测设备数量</w:t>
            </w:r>
          </w:p>
        </w:tc>
        <w:tc>
          <w:tcPr>
            <w:tcW w:w="755"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b/>
                <w:snapToGrid w:val="0"/>
                <w:kern w:val="0"/>
                <w:sz w:val="24"/>
                <w:szCs w:val="24"/>
                <w:lang w:eastAsia="en-US"/>
              </w:rPr>
            </w:pPr>
            <w:r w:rsidRPr="007472D5">
              <w:rPr>
                <w:rFonts w:asciiTheme="minorEastAsia" w:hAnsiTheme="minorEastAsia" w:cs="宋体" w:hint="eastAsia"/>
                <w:b/>
                <w:snapToGrid w:val="0"/>
                <w:kern w:val="0"/>
                <w:sz w:val="24"/>
                <w:szCs w:val="24"/>
                <w:lang w:bidi="ar"/>
              </w:rPr>
              <w:t>加装电子围栏数量</w:t>
            </w:r>
          </w:p>
        </w:tc>
      </w:tr>
      <w:tr w:rsidR="007472D5" w:rsidRPr="007472D5">
        <w:trPr>
          <w:trHeight w:val="110"/>
          <w:jc w:val="center"/>
        </w:trPr>
        <w:tc>
          <w:tcPr>
            <w:tcW w:w="33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数量合计</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10</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23</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9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广州市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赤坭超限检测站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雁塔超限检测站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3</w:t>
            </w:r>
          </w:p>
        </w:tc>
        <w:tc>
          <w:tcPr>
            <w:tcW w:w="9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江门市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广海超限检测点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219"/>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4</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江海超限检测点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5</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君堂超限检测点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6</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恩城超限检测点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7</w:t>
            </w:r>
          </w:p>
        </w:tc>
        <w:tc>
          <w:tcPr>
            <w:tcW w:w="9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清远市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新庄超限检测站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8</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清城区石角超限检测点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9</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佛冈县石角超限检测点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10</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连州超限检测点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保安超限检测点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12</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迳口超限检测站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13</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东华超限检测点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14</w:t>
            </w:r>
          </w:p>
        </w:tc>
        <w:tc>
          <w:tcPr>
            <w:tcW w:w="9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云浮市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南江口超限检测点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15</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连滩超限检测点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16</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朗塘超限检测点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17</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芙蓉超限检测站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18</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冲花超限检测点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19</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河岔超限检测站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20</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新兴超限检测点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219"/>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天堂超限检测点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22</w:t>
            </w:r>
          </w:p>
        </w:tc>
        <w:tc>
          <w:tcPr>
            <w:tcW w:w="9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茂名市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石仔岭超限检测点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23</w:t>
            </w:r>
          </w:p>
        </w:tc>
        <w:tc>
          <w:tcPr>
            <w:tcW w:w="9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Theme="minorEastAsia" w:hAnsiTheme="minorEastAsia" w:cs="宋体"/>
                <w:snapToGrid w:val="0"/>
                <w:kern w:val="0"/>
                <w:sz w:val="24"/>
                <w:szCs w:val="24"/>
                <w:lang w:eastAsia="en-US"/>
              </w:rPr>
            </w:pP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白鸠垌超限检测点</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r>
      <w:tr w:rsidR="007472D5" w:rsidRPr="007472D5">
        <w:trPr>
          <w:trHeight w:val="110"/>
          <w:jc w:val="center"/>
        </w:trPr>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24</w:t>
            </w:r>
          </w:p>
        </w:tc>
        <w:tc>
          <w:tcPr>
            <w:tcW w:w="9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梅州市</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茶阳太宁超限检测站</w:t>
            </w:r>
          </w:p>
        </w:tc>
        <w:tc>
          <w:tcPr>
            <w:tcW w:w="9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w:t>
            </w:r>
          </w:p>
        </w:tc>
      </w:tr>
    </w:tbl>
    <w:p w:rsidR="006003B4" w:rsidRPr="007472D5" w:rsidRDefault="00867333">
      <w:pPr>
        <w:keepNext/>
        <w:keepLines/>
        <w:widowControl/>
        <w:numPr>
          <w:ilvl w:val="0"/>
          <w:numId w:val="1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82" w:name="_Toc4062"/>
      <w:bookmarkStart w:id="83" w:name="_Toc201939264"/>
      <w:bookmarkStart w:id="84" w:name="_Toc209117459"/>
      <w:r w:rsidRPr="007472D5">
        <w:rPr>
          <w:rFonts w:ascii="宋体" w:eastAsia="宋体" w:hAnsi="宋体" w:cs="宋体" w:hint="eastAsia"/>
          <w:b/>
          <w:bCs/>
          <w:snapToGrid w:val="0"/>
          <w:kern w:val="0"/>
          <w:sz w:val="24"/>
          <w:szCs w:val="24"/>
        </w:rPr>
        <w:t>技术方案</w:t>
      </w:r>
      <w:bookmarkEnd w:id="82"/>
      <w:bookmarkEnd w:id="83"/>
      <w:bookmarkEnd w:id="84"/>
    </w:p>
    <w:p w:rsidR="006003B4" w:rsidRPr="007472D5" w:rsidRDefault="00867333">
      <w:pPr>
        <w:keepNext/>
        <w:keepLines/>
        <w:widowControl/>
        <w:numPr>
          <w:ilvl w:val="0"/>
          <w:numId w:val="17"/>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85" w:name="_Toc25197"/>
      <w:bookmarkStart w:id="86" w:name="_Toc201939265"/>
      <w:bookmarkStart w:id="87" w:name="_Toc209117460"/>
      <w:r w:rsidRPr="007472D5">
        <w:rPr>
          <w:rFonts w:ascii="宋体" w:eastAsia="宋体" w:hAnsi="宋体" w:cs="宋体" w:hint="eastAsia"/>
          <w:b/>
          <w:bCs/>
          <w:snapToGrid w:val="0"/>
          <w:kern w:val="0"/>
          <w:sz w:val="24"/>
          <w:szCs w:val="24"/>
        </w:rPr>
        <w:t>省治超联网管理信息系统</w:t>
      </w:r>
      <w:bookmarkEnd w:id="85"/>
      <w:bookmarkEnd w:id="86"/>
      <w:bookmarkEnd w:id="87"/>
    </w:p>
    <w:p w:rsidR="006003B4" w:rsidRPr="007472D5" w:rsidRDefault="00867333">
      <w:pPr>
        <w:widowControl/>
        <w:numPr>
          <w:ilvl w:val="0"/>
          <w:numId w:val="18"/>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系统总体情况</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超限检测站（点）系统一般由超限检测站（点）内设备、超限检测站（点）外设备，超限检测站（点）视频监控系统、超限检测站（点）网络传输组成。</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 xml:space="preserve"> 前端超限检测站（点）内设备一般由称重检测设备、轮轴识别统设备、车牌识别及抓拍设备、语音广播系统设备、称重信息显示设备、前置工控机设备、电子围栏监控设备、车辆外廓尺寸检测设备、站（点）级软件及其附属设施构成。</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超限检测站（点）外设备一般由电子抓拍设备及其附属设施构成。</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超限检测站（点）视频监控系统一般由摄像机、云台、编码器、硬盘录像机、视频服务器等组成。</w:t>
      </w:r>
    </w:p>
    <w:p w:rsidR="006003B4" w:rsidRPr="007472D5" w:rsidRDefault="00867333">
      <w:pPr>
        <w:widowControl/>
        <w:numPr>
          <w:ilvl w:val="0"/>
          <w:numId w:val="18"/>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系统主要功能</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省治超联网管理信息系统主要功能包括治超运行监管功能、超限风险研判分析功能、蒙牌识别系统功能、超限车辆行为预测系统功能、治超稽查执法系统功能、现场稽查移动端功能、各类模型训练功能、治超执法管理功能、案件线上办理功能、普通公路治超非现场执法管理功能等。</w:t>
      </w:r>
    </w:p>
    <w:p w:rsidR="006003B4" w:rsidRPr="007472D5" w:rsidRDefault="00867333">
      <w:pPr>
        <w:widowControl/>
        <w:numPr>
          <w:ilvl w:val="0"/>
          <w:numId w:val="18"/>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系统总体架构</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8"/>
          <w:szCs w:val="28"/>
        </w:rPr>
      </w:pPr>
      <w:r w:rsidRPr="007472D5">
        <w:rPr>
          <w:rFonts w:ascii="宋体" w:eastAsia="宋体" w:hAnsi="宋体" w:cs="宋体" w:hint="eastAsia"/>
          <w:snapToGrid w:val="0"/>
          <w:kern w:val="0"/>
          <w:sz w:val="24"/>
          <w:szCs w:val="24"/>
        </w:rPr>
        <w:t>行政执法业务协同平台总体架构主要包括5层：用户交互层、业务应用层、应用支撑层、数据资源层、基础设施层，以及配套的标准规范体系和安全保障体系。</w:t>
      </w:r>
    </w:p>
    <w:p w:rsidR="006003B4" w:rsidRPr="007472D5" w:rsidRDefault="00867333">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28"/>
          <w:szCs w:val="28"/>
          <w:lang w:eastAsia="en-US"/>
        </w:rPr>
      </w:pPr>
      <w:r w:rsidRPr="007472D5">
        <w:rPr>
          <w:rFonts w:ascii="宋体" w:eastAsia="宋体" w:hAnsi="宋体" w:cs="宋体" w:hint="eastAsia"/>
          <w:snapToGrid w:val="0"/>
          <w:kern w:val="0"/>
          <w:sz w:val="28"/>
          <w:szCs w:val="28"/>
          <w:lang w:eastAsia="en-US"/>
        </w:rPr>
        <w:object w:dxaOrig="9143" w:dyaOrig="10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15pt;height:511.7pt" o:ole="">
            <v:imagedata r:id="rId11" o:title="" cropbottom="2822f"/>
          </v:shape>
          <o:OLEObject Type="Embed" ProgID="Visio.Drawing.15" ShapeID="_x0000_i1025" DrawAspect="Content" ObjectID="_1820753106" r:id="rId12"/>
        </w:object>
      </w:r>
    </w:p>
    <w:p w:rsidR="006003B4" w:rsidRPr="007472D5" w:rsidRDefault="00867333">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28"/>
          <w:szCs w:val="28"/>
        </w:rPr>
      </w:pPr>
      <w:r w:rsidRPr="007472D5">
        <w:rPr>
          <w:rFonts w:ascii="宋体" w:eastAsia="宋体" w:hAnsi="宋体" w:cs="宋体" w:hint="eastAsia"/>
          <w:snapToGrid w:val="0"/>
          <w:kern w:val="0"/>
          <w:sz w:val="28"/>
          <w:szCs w:val="28"/>
        </w:rPr>
        <w:t>行政执法业务协同平台及本项目总体架构设计图</w:t>
      </w:r>
    </w:p>
    <w:p w:rsidR="006003B4" w:rsidRPr="007472D5" w:rsidRDefault="006003B4">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28"/>
          <w:szCs w:val="28"/>
        </w:rPr>
      </w:pPr>
    </w:p>
    <w:p w:rsidR="006003B4" w:rsidRPr="007472D5" w:rsidRDefault="00867333">
      <w:pPr>
        <w:widowControl/>
        <w:numPr>
          <w:ilvl w:val="0"/>
          <w:numId w:val="1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用户交互层</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用户交互层，包括省交通运输厅政务服务业务子门户、粤政易(行政执法服务模块)的业务应用，以及“厅一体化数字平台大屏端”、“厅一体化数字平台PC端”、“粤政易工作台数字交通模块”上交通综合执法业务数据化的三屏联动。</w:t>
      </w:r>
    </w:p>
    <w:p w:rsidR="006003B4" w:rsidRPr="007472D5" w:rsidRDefault="00867333">
      <w:pPr>
        <w:widowControl/>
        <w:numPr>
          <w:ilvl w:val="0"/>
          <w:numId w:val="1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lastRenderedPageBreak/>
        <w:t>业务应用层</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业务应用层，包括行政许可归集系统、行政检查归集系统、交通信用归集系统、综合执法系统。</w:t>
      </w:r>
    </w:p>
    <w:p w:rsidR="006003B4" w:rsidRPr="007472D5" w:rsidRDefault="00867333">
      <w:pPr>
        <w:widowControl/>
        <w:numPr>
          <w:ilvl w:val="0"/>
          <w:numId w:val="1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应用支撑层</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用支撑层，基于厅一体化数字平台提供统一身份认证、电子印章、统一事项服务等公共支撑能力，通过对协同枢纽、交通行政执法一体化感知中心、交通行政执法大数据预警与研判中心等功能运用，协助全系统应用运转。</w:t>
      </w:r>
    </w:p>
    <w:p w:rsidR="006003B4" w:rsidRPr="007472D5" w:rsidRDefault="00867333">
      <w:pPr>
        <w:widowControl/>
        <w:numPr>
          <w:ilvl w:val="0"/>
          <w:numId w:val="1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数据资源层</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汇聚行政许可数据、行政检查数据、交通信用数据、执法数据等类型的数据，实现行政执法的许可数据归集、行政检查归集和交通信用归集，并与厅一体化数字平台实现业务同步。</w:t>
      </w:r>
    </w:p>
    <w:p w:rsidR="006003B4" w:rsidRPr="007472D5" w:rsidRDefault="00867333" w:rsidP="00F716A4">
      <w:pPr>
        <w:widowControl/>
        <w:numPr>
          <w:ilvl w:val="0"/>
          <w:numId w:val="19"/>
        </w:numPr>
        <w:kinsoku w:val="0"/>
        <w:wordWrap w:val="0"/>
        <w:autoSpaceDE w:val="0"/>
        <w:autoSpaceDN w:val="0"/>
        <w:adjustRightInd w:val="0"/>
        <w:snapToGrid w:val="0"/>
        <w:spacing w:line="360" w:lineRule="auto"/>
        <w:ind w:firstLine="482"/>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基础设施层</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基于广东省政务云平台为基础，利用省“数字政府”信息基础设施政务云的相关能力及服务，打造系统的运行环境基础支撑，将保障行政执法业务协同平台基础应用。</w:t>
      </w: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p>
    <w:p w:rsidR="006003B4" w:rsidRPr="007472D5" w:rsidRDefault="00867333">
      <w:pPr>
        <w:keepNext/>
        <w:keepLines/>
        <w:widowControl/>
        <w:numPr>
          <w:ilvl w:val="0"/>
          <w:numId w:val="17"/>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88" w:name="_Toc18847"/>
      <w:bookmarkStart w:id="89" w:name="_Toc201939266"/>
      <w:bookmarkStart w:id="90" w:name="_Toc209117461"/>
      <w:r w:rsidRPr="007472D5">
        <w:rPr>
          <w:rFonts w:ascii="宋体" w:eastAsia="宋体" w:hAnsi="宋体" w:cs="宋体" w:hint="eastAsia"/>
          <w:b/>
          <w:bCs/>
          <w:snapToGrid w:val="0"/>
          <w:kern w:val="0"/>
          <w:sz w:val="24"/>
          <w:szCs w:val="24"/>
        </w:rPr>
        <w:t>超限检测站（点）超限称重系统</w:t>
      </w:r>
      <w:bookmarkEnd w:id="88"/>
      <w:bookmarkEnd w:id="89"/>
      <w:bookmarkEnd w:id="90"/>
    </w:p>
    <w:p w:rsidR="006003B4" w:rsidRPr="007472D5" w:rsidRDefault="00867333">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28"/>
          <w:szCs w:val="28"/>
          <w:lang w:eastAsia="en-US"/>
        </w:rPr>
      </w:pPr>
      <w:r w:rsidRPr="007472D5">
        <w:rPr>
          <w:rFonts w:ascii="宋体" w:eastAsia="宋体" w:hAnsi="宋体" w:cs="宋体" w:hint="eastAsia"/>
          <w:noProof/>
          <w:snapToGrid w:val="0"/>
          <w:kern w:val="0"/>
          <w:sz w:val="28"/>
          <w:szCs w:val="28"/>
        </w:rPr>
        <w:drawing>
          <wp:inline distT="0" distB="0" distL="114300" distR="114300" wp14:anchorId="2034A0BB" wp14:editId="1E06F92E">
            <wp:extent cx="5594985" cy="3227070"/>
            <wp:effectExtent l="0" t="0" r="5715" b="1143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3"/>
                    <a:stretch>
                      <a:fillRect/>
                    </a:stretch>
                  </pic:blipFill>
                  <pic:spPr>
                    <a:xfrm>
                      <a:off x="0" y="0"/>
                      <a:ext cx="5594985" cy="3227070"/>
                    </a:xfrm>
                    <a:prstGeom prst="rect">
                      <a:avLst/>
                    </a:prstGeom>
                    <a:noFill/>
                    <a:ln>
                      <a:noFill/>
                    </a:ln>
                  </pic:spPr>
                </pic:pic>
              </a:graphicData>
            </a:graphic>
          </wp:inline>
        </w:drawing>
      </w:r>
    </w:p>
    <w:p w:rsidR="006003B4" w:rsidRPr="007472D5" w:rsidRDefault="00867333">
      <w:pPr>
        <w:widowControl/>
        <w:wordWrap w:val="0"/>
        <w:autoSpaceDE w:val="0"/>
        <w:autoSpaceDN w:val="0"/>
        <w:adjustRightInd w:val="0"/>
        <w:snapToGrid w:val="0"/>
        <w:spacing w:line="360" w:lineRule="auto"/>
        <w:jc w:val="center"/>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图示-超限称重系统构成示意图</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超限检测站（点）系统一般由超限检测站（点）内设备、超限检测站（点）外设备，超限检测站（点）视频监控系统、超限检测站（点）网络传输组成。其中前端超限检测站（点）内设备一般由称重检测设备、轮轴识别设备、车牌识别及抓拍设备、语音广播系统设备、称重信息显示设备、前置工控机设备、电子围栏监控设备、车辆外廓尺寸检测设备、站（点）级软件及其附属设施构成。超限检测站（点）外设备一般由电子抓拍设备及其附属设施构成，超限检测站（点）视频监控系统一般由摄像机、云台、编码器、硬盘录像机、视频服务器等组成。</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系统运作流程如下：</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车辆在检测标志牌的提示下，依次按匀速进入检测车道，通过静态整车称重平台，轮轴识别设备，外廓尺寸检测设备等；</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当车辆经过车辆分离器，车牌识别系统抓拍后与检测数据对应存储；</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数据采集处理器采集和处理来自检测平台的信号，传送给检测计算机；</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检测计算机综合计算分析、处理形成完整的检测信息包括：轴数、总重、限重，总重超限、长度、宽度、高度等数据，打印机自动打印检测结果；</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显示屏根据检测结果显示本车是否超限及车辆信息，不超限车辆放行，超限车辆根据显示屏提示进入卸货场接受执法人员处理；</w:t>
      </w:r>
    </w:p>
    <w:p w:rsidR="006003B4" w:rsidRPr="007472D5" w:rsidRDefault="00867333" w:rsidP="00033293">
      <w:pPr>
        <w:widowControl/>
        <w:numPr>
          <w:ilvl w:val="0"/>
          <w:numId w:val="20"/>
        </w:numPr>
        <w:tabs>
          <w:tab w:val="left" w:pos="851"/>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执法人员对超限车辆进行执法。超限车辆接受相关执法人员处理后，重新进入检测车道进行超限检测，检测结果不超限时放行通过。</w:t>
      </w:r>
    </w:p>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p>
    <w:p w:rsidR="006003B4" w:rsidRPr="007472D5" w:rsidRDefault="00867333">
      <w:pPr>
        <w:keepNext/>
        <w:keepLines/>
        <w:widowControl/>
        <w:numPr>
          <w:ilvl w:val="0"/>
          <w:numId w:val="17"/>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91" w:name="_Toc472"/>
      <w:bookmarkStart w:id="92" w:name="_Toc201939267"/>
      <w:bookmarkStart w:id="93" w:name="_Toc209117462"/>
      <w:r w:rsidRPr="007472D5">
        <w:rPr>
          <w:rFonts w:ascii="宋体" w:eastAsia="宋体" w:hAnsi="宋体" w:cs="宋体" w:hint="eastAsia"/>
          <w:b/>
          <w:bCs/>
          <w:snapToGrid w:val="0"/>
          <w:kern w:val="0"/>
          <w:sz w:val="24"/>
          <w:szCs w:val="24"/>
        </w:rPr>
        <w:t>超限检测站（点）设备功能概述</w:t>
      </w:r>
      <w:bookmarkEnd w:id="91"/>
      <w:bookmarkEnd w:id="92"/>
      <w:bookmarkEnd w:id="93"/>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超限称重检测设备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超限称重检测设备是确保治超业务精准执行的关键设施，整套设备集成了多项先进技术和功能，旨在提供高精度、高可靠性的重量检测服务。该设备采用高灵敏度的传感器技术，能够对停靠于检测平台上的车辆进行精确的总重及各轴重量测量，确保每一辆货车都按照国家或地方规定的标准接受严格的重量检查。其内置的数据处理单元具备实时分析能力，可在极短时间内完成数据采集与处理，并自动生成详细的重量报告，极大地提高了检测效率和准确性。为了适应复杂多变的现场环境，超限称重检测设备配备了智能校准和补偿机制，能够在不同温度、湿度条件下保持稳定的性能表现。此外，设备支持无线数据传输，使得检测结果能够迅速上传至计算机管理设备及系统，便于执法人员即时获取并做出相应决策。</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超限称重检测设备需拆除原设备、迁移到指定位置后并负责基础开挖、安装、调试等，费用计算总价内</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计重设备检定的相关要求</w:t>
      </w:r>
    </w:p>
    <w:p w:rsidR="006003B4" w:rsidRPr="007472D5" w:rsidRDefault="00867333" w:rsidP="00033293">
      <w:pPr>
        <w:widowControl/>
        <w:numPr>
          <w:ilvl w:val="0"/>
          <w:numId w:val="22"/>
        </w:numPr>
        <w:tabs>
          <w:tab w:val="left" w:pos="851"/>
          <w:tab w:val="left" w:pos="1134"/>
        </w:tabs>
        <w:kinsoku w:val="0"/>
        <w:wordWrap w:val="0"/>
        <w:autoSpaceDE w:val="0"/>
        <w:autoSpaceDN w:val="0"/>
        <w:adjustRightInd w:val="0"/>
        <w:snapToGrid w:val="0"/>
        <w:spacing w:line="360" w:lineRule="auto"/>
        <w:ind w:left="0" w:firstLineChars="200" w:firstLine="482"/>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检定标准器（砝码）</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检定用的标准砝码误差，应不大于秤相应秤量最大允许误差的1/3。</w:t>
      </w:r>
    </w:p>
    <w:p w:rsidR="006003B4" w:rsidRPr="007472D5" w:rsidRDefault="00867333" w:rsidP="00033293">
      <w:pPr>
        <w:widowControl/>
        <w:numPr>
          <w:ilvl w:val="0"/>
          <w:numId w:val="22"/>
        </w:numPr>
        <w:tabs>
          <w:tab w:val="left" w:pos="851"/>
          <w:tab w:val="left" w:pos="1134"/>
        </w:tabs>
        <w:kinsoku w:val="0"/>
        <w:wordWrap w:val="0"/>
        <w:autoSpaceDE w:val="0"/>
        <w:autoSpaceDN w:val="0"/>
        <w:adjustRightInd w:val="0"/>
        <w:snapToGrid w:val="0"/>
        <w:spacing w:line="360" w:lineRule="auto"/>
        <w:ind w:left="0" w:firstLineChars="200" w:firstLine="482"/>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检定过程</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电子汽车衡的检定应符合JJG539-2016《数字指示称》检定规程，其具体操作步骤如下：</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外观检查</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检查制造许可证的标志和编号；制造商、出厂编号、准确度等级；最大最小秤量；检定分度值；标志应牢固可靠，其字迹大小和形状必须清楚、易懂。</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重复性检测</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对同一载荷多次称量所得的结果之差，应不大于该秤量最大允许误差的绝对值。</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从零点起按由小到大的顺序加砝码至最大秤量，用相同的方法卸砝码至零点，进行多次测量。测量应包括（最小秤量；最大允许误差改变的秤量；50%最大秤量；最大秤量）。</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偏载</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同一砝码在不同位置的示值，其误差应不大于该秤量的最大允许误差。</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对于承载器的支撑点个数N≥4的秤，在每个支撑点上加的砝码约等于最大秤量与最大添加皮重之和的1/(N-1)。</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鉴别力</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在处于平衡的秤上，轻缓地放上或取下等于1.4d的砝码，此时原来的示值应改变。</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置零装置</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置零装置的置零准确度在±0.25d，置零装置的置零的总效果应不大于最大秤量（MAX）的4%。</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初始置零装置的总效果应不大最大秤量的20%。</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置零装置的准确度</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置零后，零点偏差对称量结果的影响应不大于 0.25e。</w:t>
      </w:r>
    </w:p>
    <w:p w:rsidR="006003B4" w:rsidRPr="007472D5" w:rsidRDefault="00867333" w:rsidP="00033293">
      <w:pPr>
        <w:widowControl/>
        <w:numPr>
          <w:ilvl w:val="0"/>
          <w:numId w:val="23"/>
        </w:numPr>
        <w:kinsoku w:val="0"/>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重复效验</w:t>
      </w:r>
    </w:p>
    <w:p w:rsidR="006003B4" w:rsidRPr="007472D5" w:rsidRDefault="00867333">
      <w:pPr>
        <w:widowControl/>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找总质量大于或等于本动态汽车衡的最大秤量汽车重复压几次，其偏差应不大于最大允许误差。</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车辆自动分离设备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车辆自动分离设备的主要功能在于实现连续行驶车辆的精准分离，保证每辆待检车辆能够单独进入检测流程。当车辆序列接近检测站时，设备通过物理屏障或信号控制手段，确保前后车辆保持适当的安全距离，避免多车同时进入检测区域造成干扰。不仅能够提高检测精度，同时有效防止车辆逃避检测的行为，增强执法效力。此外，车辆自动分离设备与其他各项检测设备协同工作，确保每一辆货车都能按照规定接受重量及尺寸检测，为治理超载超限提供坚实的技术支持。</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车牌识别及抓拍设备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车牌识别及抓拍设备由抓拍摄像机、闪光灯、补光灯和感应线圈等构成，旨在精确记录进入检测区域的每一辆车的相关信息。当车辆触发感应线圈时，设备即时启动抓拍程序，清晰捕捉车辆的车牌号码及其他特征，并将这些数据同步上传系统。此功能不仅能够为超限违法行为提供确切证据，还支持对违规车辆进行快速准确的识别与追踪，增强执法的透明度和公正性。同时，通过有效的数据采集，为后续分析和管理提供坚实依据，保障道路运输的安全与规范。</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应能清晰识别车辆车型、号牌、车身颜色等信息。</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应能清晰获取车头、车尾、车侧面3张图片和车辆称重视频录像。图片分辨率应≥300万像素，且可清晰叠加字符。</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日间车牌识别准确率应≥95%，夜间车牌识别准确率应≥90%。</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日间车牌颜色识别准确率应≥95%，夜间车牌颜色识别准确率应≥90%。</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应能识别未悬挂号牌的车辆，并提供报警信息。</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应能对车速在0km/h～80km/h范围的车辆车牌进行准确识别。</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本地硬盘存储容量应不少于60天。</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其他相关技术指标应符合GA/T 497、GA/T 995和GA/T 832的规定</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轴数自动判别设备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轴数自动判别设备主要用于精确识别和记录通过车辆的轴数信息，确保每辆货车按照其实际轴数组合接受相应的重量限制检测。当车辆驶入检测区域时，轴数自动判别设备能够迅速、准确地捕捉车辆轴数，为后续的超载判定提供可靠依</w:t>
      </w:r>
      <w:r w:rsidRPr="007472D5">
        <w:rPr>
          <w:rFonts w:ascii="宋体" w:eastAsia="宋体" w:hAnsi="宋体" w:cs="宋体" w:hint="eastAsia"/>
          <w:snapToGrid w:val="0"/>
          <w:kern w:val="0"/>
          <w:sz w:val="24"/>
          <w:szCs w:val="24"/>
        </w:rPr>
        <w:lastRenderedPageBreak/>
        <w:t>据。此功能可以有效避免因人工误判或车辆伪装导致的检测误差，保证执法的公正性和准确性。同时，设备支持快速连续检测，提高检测效率，增强对超限运输行为的监管力度。</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检测精度≥99%；</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轴间距检测误差应不超过10cm；</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抗干扰能力强，不受外界光线影响，环境适应性强；</w:t>
      </w:r>
    </w:p>
    <w:p w:rsidR="006003B4" w:rsidRPr="007472D5" w:rsidRDefault="00867333">
      <w:pPr>
        <w:widowControl/>
        <w:numPr>
          <w:ilvl w:val="255"/>
          <w:numId w:val="0"/>
        </w:numPr>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系统方便升级、可适应未来出现的新车型，无需改动硬件设备；</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防雷设备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防雷设备是保障设施稳定运行和人员安全的重要组成部分，由接地角钢和扁钢等组件构建，确保防雷接地电阻符合国家规定的指标要求。其主要功能在于有效防护检测站内各类电子设备及信息系统免受雷电冲击的影响，从而保证治超业务的连续性和可靠性。在雷电天气条件下，防雷设备能够迅速将雷电流引入地下，避免因雷击导致的设备损坏或数据丢失，进而影响到车辆超限检测工作的正常进行。此外，稳定的防雷措施有助于保护现场工作人员的安全，减少意外事故的发生，确保治超执法活动的顺利开展。</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站场语音播报及广播设备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站场语音播报及广播设备配备扬声器、语音控制主机等关键设备，旨在通过清晰、及时的语音信息传递，指导车辆有序接受检测和处理。当车辆进入检测站时，语音播报设备能够自动或根据操作人员指令，向司机传达具体的行车指引、检测流程说明以及违规处理指示。例如，告知司机前往指定位置停车接受检查，或者通知超限车辆进行复检或卸载处理。此外，设备还可以播放交通安全提示、法律法规宣传等内容，提高驾驶人员的安全意识和遵章守纪自觉性。</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站场语音播报及广播设备的有效运行，不仅提高了治超工作的透明度和效率，还减少了沟通不畅导致的混乱和延误，增强执法的公正性和权威性。通过标准化的语音服务，整套设备为维护良好秩序提供了有力支持，保障了超限检测工作的顺利开展。</w:t>
      </w:r>
    </w:p>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车辆外廓尺寸检测设备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车辆外廓尺寸检测设备集成了激光检测传感器、工控机和检测机柜等组件，旨在对过往车辆的外部尺寸进行全面而精确的测量。当车辆驶入检测区域时，激光检测传感器实时捕捉车辆的高度、宽度和长度数据；工控机处理并分析这些信</w:t>
      </w:r>
      <w:r w:rsidRPr="007472D5">
        <w:rPr>
          <w:rFonts w:ascii="宋体" w:eastAsia="宋体" w:hAnsi="宋体" w:cs="宋体" w:hint="eastAsia"/>
          <w:snapToGrid w:val="0"/>
          <w:kern w:val="0"/>
          <w:sz w:val="24"/>
          <w:szCs w:val="24"/>
        </w:rPr>
        <w:lastRenderedPageBreak/>
        <w:t>息，与规定的标准尺寸进行比对，以确定车辆是否符合规定条件。一旦发现超限情况，设备自动生成报警提示，为执法人员提供即时的决策支持。车辆外廓尺寸检测设备提高了检测效率，减少了人为误差，增强了执法透明度和公正性。通过严格把控车辆的外廓尺寸，不仅支持治超工作的有效开展，同时确保道路交通秩序的稳定。</w:t>
      </w:r>
    </w:p>
    <w:p w:rsidR="006003B4" w:rsidRPr="007472D5" w:rsidRDefault="00867333" w:rsidP="00033293">
      <w:pPr>
        <w:pStyle w:val="13"/>
        <w:numPr>
          <w:ilvl w:val="0"/>
          <w:numId w:val="24"/>
        </w:numPr>
        <w:spacing w:line="360" w:lineRule="auto"/>
        <w:ind w:left="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应能形成完整的车辆外廓信息，包括长度、宽度、高度等信息，并记录车辆通过时间。具备电子标尺功能，人工可通过电子标尺检测核准货运车厢是否改装。</w:t>
      </w:r>
    </w:p>
    <w:p w:rsidR="006003B4" w:rsidRPr="007472D5" w:rsidRDefault="00867333" w:rsidP="00033293">
      <w:pPr>
        <w:pStyle w:val="13"/>
        <w:numPr>
          <w:ilvl w:val="0"/>
          <w:numId w:val="24"/>
        </w:numPr>
        <w:spacing w:line="360" w:lineRule="auto"/>
        <w:ind w:left="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允许车辆通过速度范围：0～40km/h；测量范围及最大允许测量误差应满足表1的规定。完成单次检测和输出结果的时间应满足称重检测数据匹配实时性的要求，一般完成单次检测到输出结果之间的时间应不大于5s。</w:t>
      </w:r>
    </w:p>
    <w:p w:rsidR="006003B4" w:rsidRPr="007472D5" w:rsidRDefault="00867333">
      <w:pPr>
        <w:pStyle w:val="13"/>
        <w:spacing w:line="360" w:lineRule="auto"/>
        <w:ind w:left="284" w:firstLineChars="0"/>
        <w:jc w:val="center"/>
        <w:rPr>
          <w:rFonts w:ascii="Times New Roman" w:hAnsi="Times New Roman"/>
          <w:sz w:val="28"/>
          <w:szCs w:val="28"/>
        </w:rPr>
      </w:pPr>
      <w:r w:rsidRPr="007472D5">
        <w:rPr>
          <w:rFonts w:ascii="Times New Roman" w:hAnsi="宋体"/>
          <w:sz w:val="24"/>
          <w:szCs w:val="24"/>
        </w:rPr>
        <w:t>车辆外廓尺寸检测设备检测范围及误差</w:t>
      </w:r>
    </w:p>
    <w:tbl>
      <w:tblPr>
        <w:tblW w:w="6362" w:type="dxa"/>
        <w:jc w:val="center"/>
        <w:tblLayout w:type="fixed"/>
        <w:tblLook w:val="04A0" w:firstRow="1" w:lastRow="0" w:firstColumn="1" w:lastColumn="0" w:noHBand="0" w:noVBand="1"/>
      </w:tblPr>
      <w:tblGrid>
        <w:gridCol w:w="1950"/>
        <w:gridCol w:w="1934"/>
        <w:gridCol w:w="2478"/>
      </w:tblGrid>
      <w:tr w:rsidR="007472D5" w:rsidRPr="007472D5">
        <w:trPr>
          <w:trHeight w:val="264"/>
          <w:jc w:val="center"/>
        </w:trPr>
        <w:tc>
          <w:tcPr>
            <w:tcW w:w="1950" w:type="dxa"/>
            <w:tcBorders>
              <w:top w:val="single" w:sz="8" w:space="0" w:color="auto"/>
              <w:left w:val="single" w:sz="8" w:space="0" w:color="auto"/>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测量参数</w:t>
            </w:r>
          </w:p>
        </w:tc>
        <w:tc>
          <w:tcPr>
            <w:tcW w:w="1934" w:type="dxa"/>
            <w:tcBorders>
              <w:top w:val="single" w:sz="8" w:space="0" w:color="auto"/>
              <w:left w:val="nil"/>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测量范围（mm）</w:t>
            </w:r>
          </w:p>
        </w:tc>
        <w:tc>
          <w:tcPr>
            <w:tcW w:w="2478" w:type="dxa"/>
            <w:tcBorders>
              <w:top w:val="single" w:sz="8" w:space="0" w:color="auto"/>
              <w:left w:val="nil"/>
              <w:bottom w:val="single" w:sz="8" w:space="0" w:color="auto"/>
              <w:right w:val="single" w:sz="8" w:space="0" w:color="auto"/>
            </w:tcBorders>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hint="eastAsia"/>
                <w:kern w:val="0"/>
                <w:szCs w:val="21"/>
              </w:rPr>
              <w:t>最大允许测量误差</w:t>
            </w:r>
            <w:r w:rsidRPr="007472D5">
              <w:rPr>
                <w:rFonts w:ascii="宋体" w:hAnsi="宋体"/>
                <w:kern w:val="0"/>
                <w:szCs w:val="21"/>
              </w:rPr>
              <w:t>（mm）</w:t>
            </w:r>
          </w:p>
        </w:tc>
      </w:tr>
      <w:tr w:rsidR="007472D5" w:rsidRPr="007472D5">
        <w:trPr>
          <w:trHeight w:val="264"/>
          <w:jc w:val="center"/>
        </w:trPr>
        <w:tc>
          <w:tcPr>
            <w:tcW w:w="1950" w:type="dxa"/>
            <w:tcBorders>
              <w:top w:val="nil"/>
              <w:left w:val="single" w:sz="8" w:space="0" w:color="auto"/>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整车长</w:t>
            </w:r>
          </w:p>
        </w:tc>
        <w:tc>
          <w:tcPr>
            <w:tcW w:w="1934" w:type="dxa"/>
            <w:tcBorders>
              <w:top w:val="nil"/>
              <w:left w:val="nil"/>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1～33000</w:t>
            </w:r>
          </w:p>
        </w:tc>
        <w:tc>
          <w:tcPr>
            <w:tcW w:w="2478" w:type="dxa"/>
            <w:tcBorders>
              <w:top w:val="nil"/>
              <w:left w:val="nil"/>
              <w:bottom w:val="single" w:sz="8" w:space="0" w:color="auto"/>
              <w:right w:val="single" w:sz="8" w:space="0" w:color="auto"/>
            </w:tcBorders>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hint="eastAsia"/>
                <w:kern w:val="0"/>
                <w:szCs w:val="21"/>
              </w:rPr>
              <w:t>≤±3</w:t>
            </w:r>
            <w:r w:rsidRPr="007472D5">
              <w:rPr>
                <w:rFonts w:ascii="宋体" w:hAnsi="宋体"/>
                <w:kern w:val="0"/>
                <w:szCs w:val="21"/>
              </w:rPr>
              <w:t>00</w:t>
            </w:r>
            <w:r w:rsidRPr="007472D5">
              <w:rPr>
                <w:rFonts w:ascii="宋体" w:hAnsi="宋体" w:hint="eastAsia"/>
                <w:kern w:val="0"/>
                <w:szCs w:val="21"/>
              </w:rPr>
              <w:t>mm</w:t>
            </w:r>
          </w:p>
        </w:tc>
      </w:tr>
      <w:tr w:rsidR="007472D5" w:rsidRPr="007472D5">
        <w:trPr>
          <w:trHeight w:val="264"/>
          <w:jc w:val="center"/>
        </w:trPr>
        <w:tc>
          <w:tcPr>
            <w:tcW w:w="1950" w:type="dxa"/>
            <w:tcBorders>
              <w:top w:val="nil"/>
              <w:left w:val="single" w:sz="8" w:space="0" w:color="auto"/>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整车宽</w:t>
            </w:r>
          </w:p>
        </w:tc>
        <w:tc>
          <w:tcPr>
            <w:tcW w:w="1934" w:type="dxa"/>
            <w:tcBorders>
              <w:top w:val="nil"/>
              <w:left w:val="nil"/>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1～4500</w:t>
            </w:r>
          </w:p>
        </w:tc>
        <w:tc>
          <w:tcPr>
            <w:tcW w:w="2478" w:type="dxa"/>
            <w:tcBorders>
              <w:top w:val="nil"/>
              <w:left w:val="nil"/>
              <w:bottom w:val="single" w:sz="8" w:space="0" w:color="auto"/>
              <w:right w:val="single" w:sz="8" w:space="0" w:color="auto"/>
            </w:tcBorders>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hint="eastAsia"/>
                <w:kern w:val="0"/>
                <w:szCs w:val="21"/>
              </w:rPr>
              <w:t>≤±</w:t>
            </w:r>
            <w:r w:rsidRPr="007472D5">
              <w:rPr>
                <w:rFonts w:ascii="宋体" w:hAnsi="宋体"/>
                <w:kern w:val="0"/>
                <w:szCs w:val="21"/>
              </w:rPr>
              <w:t>50</w:t>
            </w:r>
            <w:r w:rsidRPr="007472D5">
              <w:rPr>
                <w:rFonts w:ascii="宋体" w:hAnsi="宋体" w:hint="eastAsia"/>
                <w:kern w:val="0"/>
                <w:szCs w:val="21"/>
              </w:rPr>
              <w:t>mm</w:t>
            </w:r>
          </w:p>
        </w:tc>
      </w:tr>
      <w:tr w:rsidR="007472D5" w:rsidRPr="007472D5">
        <w:trPr>
          <w:trHeight w:val="264"/>
          <w:jc w:val="center"/>
        </w:trPr>
        <w:tc>
          <w:tcPr>
            <w:tcW w:w="1950" w:type="dxa"/>
            <w:tcBorders>
              <w:top w:val="nil"/>
              <w:left w:val="single" w:sz="8" w:space="0" w:color="auto"/>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整车高</w:t>
            </w:r>
          </w:p>
        </w:tc>
        <w:tc>
          <w:tcPr>
            <w:tcW w:w="1934" w:type="dxa"/>
            <w:tcBorders>
              <w:top w:val="nil"/>
              <w:left w:val="nil"/>
              <w:bottom w:val="single" w:sz="8" w:space="0" w:color="auto"/>
              <w:right w:val="single" w:sz="8" w:space="0" w:color="auto"/>
            </w:tcBorders>
            <w:shd w:val="clear" w:color="auto" w:fill="auto"/>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kern w:val="0"/>
                <w:szCs w:val="21"/>
              </w:rPr>
              <w:t>1～5500</w:t>
            </w:r>
          </w:p>
        </w:tc>
        <w:tc>
          <w:tcPr>
            <w:tcW w:w="2478" w:type="dxa"/>
            <w:tcBorders>
              <w:top w:val="nil"/>
              <w:left w:val="nil"/>
              <w:bottom w:val="single" w:sz="8" w:space="0" w:color="auto"/>
              <w:right w:val="single" w:sz="8" w:space="0" w:color="auto"/>
            </w:tcBorders>
            <w:vAlign w:val="center"/>
          </w:tcPr>
          <w:p w:rsidR="006003B4" w:rsidRPr="007472D5" w:rsidRDefault="00867333" w:rsidP="00F716A4">
            <w:pPr>
              <w:widowControl/>
              <w:spacing w:line="440" w:lineRule="exact"/>
              <w:jc w:val="center"/>
              <w:rPr>
                <w:rFonts w:ascii="宋体" w:hAnsi="宋体"/>
                <w:kern w:val="0"/>
                <w:szCs w:val="21"/>
              </w:rPr>
            </w:pPr>
            <w:r w:rsidRPr="007472D5">
              <w:rPr>
                <w:rFonts w:ascii="宋体" w:hAnsi="宋体" w:hint="eastAsia"/>
                <w:kern w:val="0"/>
                <w:szCs w:val="21"/>
              </w:rPr>
              <w:t>≤±5</w:t>
            </w:r>
            <w:r w:rsidRPr="007472D5">
              <w:rPr>
                <w:rFonts w:ascii="宋体" w:hAnsi="宋体"/>
                <w:kern w:val="0"/>
                <w:szCs w:val="21"/>
              </w:rPr>
              <w:t>0</w:t>
            </w:r>
            <w:r w:rsidRPr="007472D5">
              <w:rPr>
                <w:rFonts w:ascii="宋体" w:hAnsi="宋体" w:hint="eastAsia"/>
                <w:kern w:val="0"/>
                <w:szCs w:val="21"/>
              </w:rPr>
              <w:t>mm</w:t>
            </w:r>
          </w:p>
        </w:tc>
      </w:tr>
    </w:tbl>
    <w:p w:rsidR="006003B4" w:rsidRPr="007472D5" w:rsidRDefault="00867333" w:rsidP="00033293">
      <w:pPr>
        <w:keepNext/>
        <w:keepLines/>
        <w:widowControl/>
        <w:numPr>
          <w:ilvl w:val="0"/>
          <w:numId w:val="21"/>
        </w:numPr>
        <w:tabs>
          <w:tab w:val="left" w:pos="420"/>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信息显示设备</w:t>
      </w:r>
    </w:p>
    <w:p w:rsidR="006003B4" w:rsidRPr="007472D5" w:rsidRDefault="00867333" w:rsidP="00F716A4">
      <w:pPr>
        <w:widowControl/>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信息显示设备是治超业务中不可或缺的组成部分，旨在确保信息传递的及时性和准确性。整套设备包括显示屏、供电设施、数据传输设备及机箱等关键组件，用以清晰展示车辆超限检测结果及相关指令。当车辆完成检测后，信息显示设备能够即时呈现车辆是否超限的具体判定结果，为司机提供明确的指引，如需接受进一步检查或直接通行。信息显示设备的稳定运行对于维护检测站的工作秩序至关重要，它不仅提高了治超工作的透明度和效率，同时增强了执法的公正性和公信力，保障了道路交通的安全与顺畅。通过直观的信息传达，整套设备有效支持治超业务的顺利开展，促进良好的治超管理环境。</w:t>
      </w:r>
    </w:p>
    <w:p w:rsidR="006003B4" w:rsidRPr="007472D5" w:rsidRDefault="00867333" w:rsidP="00033293">
      <w:pPr>
        <w:keepNext/>
        <w:keepLines/>
        <w:widowControl/>
        <w:numPr>
          <w:ilvl w:val="0"/>
          <w:numId w:val="21"/>
        </w:numPr>
        <w:tabs>
          <w:tab w:val="left" w:pos="420"/>
          <w:tab w:val="left" w:pos="567"/>
        </w:tabs>
        <w:kinsoku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站（点）级系统软件</w:t>
      </w:r>
    </w:p>
    <w:p w:rsidR="006003B4" w:rsidRPr="007472D5" w:rsidRDefault="00867333" w:rsidP="00F716A4">
      <w:pPr>
        <w:pStyle w:val="13"/>
        <w:spacing w:line="360" w:lineRule="auto"/>
        <w:ind w:firstLine="480"/>
        <w:rPr>
          <w:rFonts w:ascii="宋体" w:eastAsia="宋体" w:hAnsi="宋体" w:cs="宋体"/>
          <w:b/>
          <w:bCs/>
          <w:snapToGrid w:val="0"/>
          <w:kern w:val="0"/>
          <w:sz w:val="24"/>
          <w:szCs w:val="24"/>
        </w:rPr>
      </w:pPr>
      <w:r w:rsidRPr="007472D5">
        <w:rPr>
          <w:rFonts w:ascii="宋体" w:eastAsia="宋体" w:hAnsi="宋体" w:cs="宋体" w:hint="eastAsia"/>
          <w:snapToGrid w:val="0"/>
          <w:kern w:val="0"/>
          <w:sz w:val="24"/>
          <w:szCs w:val="24"/>
        </w:rPr>
        <w:t>接入车牌识别及抓拍、称重检测、电子围备、视频监控等站内设备数据，并实现设备控制、数据加密、数据防篡改等功能，可根据广东省治超联网管理信息系统超限检测站（点）数据上传接口规范协议等要求将相应数据上传至广东省治超联网管理信息系统。</w:t>
      </w:r>
    </w:p>
    <w:p w:rsidR="006003B4" w:rsidRPr="007472D5" w:rsidRDefault="00867333" w:rsidP="00033293">
      <w:pPr>
        <w:keepNext/>
        <w:keepLines/>
        <w:widowControl/>
        <w:numPr>
          <w:ilvl w:val="0"/>
          <w:numId w:val="21"/>
        </w:numPr>
        <w:tabs>
          <w:tab w:val="left" w:pos="420"/>
          <w:tab w:val="left" w:pos="567"/>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lastRenderedPageBreak/>
        <w:t>控制中心设备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控制中心设备是确保治超业务高效运作的核心中枢，依托服务器及相关软件，实现对各项设备系统的联合管理与协调控制。其主要功能在于集中处理和分析来自车辆自动分离设备、轴数自动判别设备及外廓尺寸检测设备等的数据信息，确保所有检测活动有条不紊地进行。</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其中的计算机管理系统负责接收并记录每辆通过车辆的详细信息，包括但不限于车重、轴数及外廓尺寸，依据国家或地方规定标准进行比对，快速准确地判定是否存在超限行为，并生成相应的报告或报警提示。此外，系统还支持本地数据存储、查询及统计分析，为后续的执法决策提供可靠依据，同时保障了数据的安全性和完整性。通过整合各设备的功能，计算机管理系统不仅能够提高检测效率，减少人为干预的可能性，同时增强了治超工作的透明度和公正性。</w:t>
      </w:r>
    </w:p>
    <w:p w:rsidR="006003B4" w:rsidRPr="007472D5" w:rsidRDefault="00867333" w:rsidP="00033293">
      <w:pPr>
        <w:keepNext/>
        <w:keepLines/>
        <w:widowControl/>
        <w:numPr>
          <w:ilvl w:val="0"/>
          <w:numId w:val="21"/>
        </w:numPr>
        <w:tabs>
          <w:tab w:val="left" w:pos="420"/>
          <w:tab w:val="left" w:pos="567"/>
        </w:tabs>
        <w:kinsoku w:val="0"/>
        <w:wordWrap w:val="0"/>
        <w:autoSpaceDE w:val="0"/>
        <w:autoSpaceDN w:val="0"/>
        <w:adjustRightInd w:val="0"/>
        <w:snapToGrid w:val="0"/>
        <w:spacing w:line="360" w:lineRule="auto"/>
        <w:jc w:val="left"/>
        <w:textAlignment w:val="baseline"/>
        <w:outlineLvl w:val="3"/>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电子围栏监控设备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电子围栏监控设备通过集成的感应设备、摄像机及控制装置，对检测区域进行全过程实时监控。其主要功能在于精确监控进出车辆，防止未授权车辆闯入或违规车辆逃避检测。当车辆接近或进入检测区域时，电子围栏监控设备能够自动识别并记录车牌信息，同时监测车辆行驶路径及全过程视频，视频需保存90天以上。确保所有车辆按规定的流程接受检查。此外，该设备支持数据存储与查询，为后续的执法处理提供可靠的证据支持。</w:t>
      </w:r>
    </w:p>
    <w:p w:rsidR="006003B4" w:rsidRPr="007472D5" w:rsidRDefault="00867333">
      <w:pPr>
        <w:pStyle w:val="13"/>
        <w:numPr>
          <w:ilvl w:val="255"/>
          <w:numId w:val="0"/>
        </w:numPr>
        <w:spacing w:line="360" w:lineRule="auto"/>
        <w:ind w:firstLineChars="20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应能清晰识别车辆车型、号牌、车身颜色、车牌颜色等信息；</w:t>
      </w:r>
    </w:p>
    <w:p w:rsidR="006003B4" w:rsidRPr="007472D5" w:rsidRDefault="00867333">
      <w:pPr>
        <w:pStyle w:val="13"/>
        <w:numPr>
          <w:ilvl w:val="255"/>
          <w:numId w:val="0"/>
        </w:numPr>
        <w:spacing w:line="360" w:lineRule="auto"/>
        <w:ind w:firstLineChars="20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应能清晰获取车头、车侧2张图片和过车视频录像。图片分辨率应≥300万像素，且可清晰叠加字符；</w:t>
      </w:r>
    </w:p>
    <w:p w:rsidR="006003B4" w:rsidRPr="007472D5" w:rsidRDefault="00867333">
      <w:pPr>
        <w:pStyle w:val="13"/>
        <w:numPr>
          <w:ilvl w:val="255"/>
          <w:numId w:val="0"/>
        </w:numPr>
        <w:spacing w:line="360" w:lineRule="auto"/>
        <w:ind w:firstLineChars="20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日间车牌识别准确率应≥95%，夜间车牌识别准确率应≥90%；</w:t>
      </w:r>
    </w:p>
    <w:p w:rsidR="006003B4" w:rsidRPr="007472D5" w:rsidRDefault="00867333">
      <w:pPr>
        <w:pStyle w:val="13"/>
        <w:numPr>
          <w:ilvl w:val="255"/>
          <w:numId w:val="0"/>
        </w:numPr>
        <w:spacing w:line="360" w:lineRule="auto"/>
        <w:ind w:firstLineChars="20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日间车牌颜色识别准确率应≥95%，夜间车牌颜色识别准确率应≥90%；</w:t>
      </w:r>
    </w:p>
    <w:p w:rsidR="006003B4" w:rsidRPr="007472D5" w:rsidRDefault="00867333">
      <w:pPr>
        <w:pStyle w:val="13"/>
        <w:numPr>
          <w:ilvl w:val="255"/>
          <w:numId w:val="0"/>
        </w:numPr>
        <w:spacing w:line="360" w:lineRule="auto"/>
        <w:ind w:firstLineChars="200" w:firstLine="480"/>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能对车速在0km/h～80km/h范围的车辆车牌进行准确识别；</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涉及安全技术防范相关工程施工与维护工作，投标人需具备广东省安全技术防范企业设计施工维护能力评价证书，具有实施经验符合国家、行业、《广东省安全技术防范管理条例》、《广东省安全技术防范管理实施办法》、及地方相关标准规范性文件，部分规范如下:</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《安全介防范工程技术标准》(GB 50348-2018)</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《公共安全视频监控联网系统信息传输、交换、控制技术要求》(GB/T28181-2022)</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《公共安全视频监控联网信息安全技术要求》(GB 35114-2017)》《安全防范高清视频监控系统技术要求》(GA/T 1211-2014)</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《安全防范视频监控摄像机通用技术要求》(GA/T 1127-2013)</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《视频安防监控系统技术要求》(GA/T 367-2001)</w:t>
      </w:r>
    </w:p>
    <w:p w:rsidR="006003B4" w:rsidRPr="007472D5" w:rsidRDefault="00867333" w:rsidP="00033293">
      <w:pPr>
        <w:widowControl/>
        <w:numPr>
          <w:ilvl w:val="0"/>
          <w:numId w:val="25"/>
        </w:numPr>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《安全防范工程通用规范》(GB 55029-2022)</w:t>
      </w:r>
    </w:p>
    <w:p w:rsidR="006003B4" w:rsidRPr="007472D5" w:rsidRDefault="00867333">
      <w:pPr>
        <w:keepNext/>
        <w:keepLines/>
        <w:widowControl/>
        <w:numPr>
          <w:ilvl w:val="0"/>
          <w:numId w:val="1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94" w:name="_Toc12396"/>
      <w:bookmarkStart w:id="95" w:name="_Toc201939268"/>
      <w:bookmarkStart w:id="96" w:name="_Toc209117463"/>
      <w:r w:rsidRPr="007472D5">
        <w:rPr>
          <w:rFonts w:ascii="宋体" w:eastAsia="宋体" w:hAnsi="宋体" w:cs="宋体" w:hint="eastAsia"/>
          <w:b/>
          <w:bCs/>
          <w:snapToGrid w:val="0"/>
          <w:kern w:val="0"/>
          <w:sz w:val="24"/>
          <w:szCs w:val="24"/>
        </w:rPr>
        <w:t>工程总体部署</w:t>
      </w:r>
      <w:bookmarkEnd w:id="94"/>
      <w:bookmarkEnd w:id="95"/>
      <w:bookmarkEnd w:id="96"/>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10套超限称重检测设备共分布在广州市、江门市、清远市、云浮市和梅州市，其中广州市共安装2套，江门市共安装1套，清远市共安装4套，云浮市共安装2套，梅州市共安装1套。</w:t>
      </w:r>
    </w:p>
    <w:p w:rsidR="006003B4" w:rsidRPr="007472D5" w:rsidRDefault="00867333">
      <w:pPr>
        <w:widowControl/>
        <w:wordWrap w:val="0"/>
        <w:autoSpaceDE w:val="0"/>
        <w:autoSpaceDN w:val="0"/>
        <w:adjustRightInd w:val="0"/>
        <w:snapToGrid w:val="0"/>
        <w:spacing w:line="360" w:lineRule="auto"/>
        <w:ind w:firstLineChars="200" w:firstLine="482"/>
        <w:jc w:val="center"/>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各站点详细设备清单</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86"/>
        <w:gridCol w:w="1247"/>
        <w:gridCol w:w="1247"/>
        <w:gridCol w:w="1714"/>
      </w:tblGrid>
      <w:tr w:rsidR="007472D5" w:rsidRPr="007472D5">
        <w:trPr>
          <w:trHeight w:val="440"/>
          <w:jc w:val="center"/>
        </w:trPr>
        <w:tc>
          <w:tcPr>
            <w:tcW w:w="1247" w:type="dxa"/>
            <w:vMerge w:val="restart"/>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序号</w:t>
            </w:r>
          </w:p>
        </w:tc>
        <w:tc>
          <w:tcPr>
            <w:tcW w:w="4286" w:type="dxa"/>
            <w:vMerge w:val="restart"/>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设备名称</w:t>
            </w:r>
          </w:p>
        </w:tc>
        <w:tc>
          <w:tcPr>
            <w:tcW w:w="1247" w:type="dxa"/>
            <w:vMerge w:val="restart"/>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数量</w:t>
            </w:r>
          </w:p>
        </w:tc>
        <w:tc>
          <w:tcPr>
            <w:tcW w:w="1247" w:type="dxa"/>
            <w:vMerge w:val="restart"/>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单位</w:t>
            </w:r>
          </w:p>
        </w:tc>
        <w:tc>
          <w:tcPr>
            <w:tcW w:w="1714" w:type="dxa"/>
            <w:vMerge w:val="restart"/>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备注</w:t>
            </w:r>
          </w:p>
        </w:tc>
      </w:tr>
      <w:tr w:rsidR="007472D5" w:rsidRPr="007472D5">
        <w:trPr>
          <w:trHeight w:val="440"/>
          <w:jc w:val="center"/>
        </w:trPr>
        <w:tc>
          <w:tcPr>
            <w:tcW w:w="1247" w:type="dxa"/>
            <w:vMerge/>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4286" w:type="dxa"/>
            <w:vMerge/>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vMerge/>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vMerge/>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vMerge/>
            <w:shd w:val="clear" w:color="auto" w:fill="auto"/>
            <w:noWrap/>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一</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赤坭超限检测站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二</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雁塔超限检测站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90"/>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三</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广海超限检测点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四</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江海超限检测点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lastRenderedPageBreak/>
              <w:t>2</w:t>
            </w:r>
            <w:r w:rsidR="00867333" w:rsidRPr="007472D5">
              <w:rPr>
                <w:rFonts w:ascii="宋体" w:eastAsia="宋体" w:hAnsi="宋体" w:cs="宋体" w:hint="eastAsia"/>
                <w:b/>
                <w:bCs/>
                <w:snapToGrid w:val="0"/>
                <w:kern w:val="0"/>
                <w:szCs w:val="21"/>
                <w:lang w:bidi="ar"/>
              </w:rPr>
              <w:t>.3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rsidP="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rsidP="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b/>
                <w:bCs/>
                <w:snapToGrid w:val="0"/>
                <w:kern w:val="0"/>
                <w:szCs w:val="21"/>
                <w:lang w:bidi="ar"/>
              </w:rPr>
              <w:t>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r w:rsidRPr="007472D5">
              <w:rPr>
                <w:rFonts w:ascii="宋体" w:eastAsia="宋体" w:hAnsi="宋体" w:cs="宋体" w:hint="eastAsia"/>
                <w:b/>
                <w:bCs/>
                <w:snapToGrid w:val="0"/>
                <w:kern w:val="0"/>
                <w:szCs w:val="21"/>
                <w:lang w:bidi="ar"/>
              </w:rPr>
              <w:t>0</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2</w:t>
            </w:r>
            <w:r w:rsidR="00867333" w:rsidRPr="007472D5">
              <w:rPr>
                <w:rFonts w:ascii="宋体" w:eastAsia="宋体" w:hAnsi="宋体" w:cs="宋体" w:hint="eastAsia"/>
                <w:snapToGrid w:val="0"/>
                <w:kern w:val="0"/>
                <w:szCs w:val="21"/>
                <w:lang w:bidi="ar"/>
              </w:rPr>
              <w:t>.10.1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五</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君堂超限检测点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6</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六</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恩城超限检测点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7</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七</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新庄超限检测站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八</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清城区石角超限检测点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九</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佛冈县石角超限检测点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2</w:t>
            </w:r>
            <w:r w:rsidR="00867333" w:rsidRPr="007472D5">
              <w:rPr>
                <w:rFonts w:ascii="宋体" w:eastAsia="宋体" w:hAnsi="宋体" w:cs="宋体" w:hint="eastAsia"/>
                <w:snapToGrid w:val="0"/>
                <w:kern w:val="0"/>
                <w:szCs w:val="21"/>
                <w:lang w:bidi="ar"/>
              </w:rPr>
              <w:t>.2.2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8</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A02922">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6</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lastRenderedPageBreak/>
              <w:t>2</w:t>
            </w:r>
            <w:r w:rsidR="00867333" w:rsidRPr="007472D5">
              <w:rPr>
                <w:rFonts w:ascii="宋体" w:eastAsia="宋体" w:hAnsi="宋体" w:cs="宋体" w:hint="eastAsia"/>
                <w:b/>
                <w:bCs/>
                <w:snapToGrid w:val="0"/>
                <w:kern w:val="0"/>
                <w:szCs w:val="21"/>
                <w:lang w:bidi="ar"/>
              </w:rPr>
              <w:t>.1</w:t>
            </w:r>
            <w:r w:rsidRPr="007472D5">
              <w:rPr>
                <w:rFonts w:ascii="宋体" w:eastAsia="宋体" w:hAnsi="宋体" w:cs="宋体" w:hint="eastAsia"/>
                <w:b/>
                <w:bCs/>
                <w:snapToGrid w:val="0"/>
                <w:kern w:val="0"/>
                <w:szCs w:val="21"/>
                <w:lang w:bidi="ar"/>
              </w:rPr>
              <w:t>0</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连州超限检测点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8</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6</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2</w:t>
            </w:r>
            <w:r w:rsidR="00867333" w:rsidRPr="007472D5">
              <w:rPr>
                <w:rFonts w:ascii="宋体" w:eastAsia="宋体" w:hAnsi="宋体" w:cs="宋体" w:hint="eastAsia"/>
                <w:snapToGrid w:val="0"/>
                <w:kern w:val="0"/>
                <w:szCs w:val="21"/>
                <w:lang w:bidi="ar"/>
              </w:rPr>
              <w:t>.5.2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十一</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保安超限检测点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十二</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迳口超限检测站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智能鹰眼摄像机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安防监控立杆9米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十三</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东华超限检测点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十四</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南江口超限检测点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十五</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连滩超限检测点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十六</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朗塘超限检测点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6</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LED户外投光灯</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十七</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芙蓉超限检测站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7</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lastRenderedPageBreak/>
              <w:t>2</w:t>
            </w:r>
            <w:r w:rsidR="00867333" w:rsidRPr="007472D5">
              <w:rPr>
                <w:rFonts w:ascii="宋体" w:eastAsia="宋体" w:hAnsi="宋体" w:cs="宋体" w:hint="eastAsia"/>
                <w:b/>
                <w:bCs/>
                <w:snapToGrid w:val="0"/>
                <w:kern w:val="0"/>
                <w:szCs w:val="21"/>
                <w:lang w:bidi="ar"/>
              </w:rPr>
              <w:t>.7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r w:rsidRPr="007472D5">
              <w:rPr>
                <w:rFonts w:ascii="宋体" w:eastAsia="宋体" w:hAnsi="宋体" w:cs="宋体" w:hint="eastAsia"/>
                <w:b/>
                <w:bCs/>
                <w:snapToGrid w:val="0"/>
                <w:kern w:val="0"/>
                <w:szCs w:val="21"/>
                <w:lang w:bidi="ar"/>
              </w:rPr>
              <w:t>0</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十八</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冲花超限检测点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LED户外投光灯</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lastRenderedPageBreak/>
              <w:t>十九</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河岔超限检测站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LED户外投光灯</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2.5</w:t>
            </w:r>
            <w:r w:rsidR="00867333" w:rsidRPr="007472D5">
              <w:rPr>
                <w:rFonts w:ascii="宋体" w:eastAsia="宋体" w:hAnsi="宋体" w:cs="宋体" w:hint="eastAsia"/>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2</w:t>
            </w:r>
            <w:r w:rsidR="00867333" w:rsidRPr="007472D5">
              <w:rPr>
                <w:rFonts w:ascii="宋体" w:eastAsia="宋体" w:hAnsi="宋体" w:cs="宋体" w:hint="eastAsia"/>
                <w:snapToGrid w:val="0"/>
                <w:kern w:val="0"/>
                <w:szCs w:val="21"/>
                <w:lang w:bidi="ar"/>
              </w:rPr>
              <w:t>.5.2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2.</w:t>
            </w:r>
            <w:r w:rsidR="00867333"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1A6356">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r w:rsidR="00867333" w:rsidRPr="007472D5">
              <w:rPr>
                <w:rFonts w:ascii="宋体" w:eastAsia="宋体" w:hAnsi="宋体" w:cs="宋体" w:hint="eastAsia"/>
                <w:snapToGrid w:val="0"/>
                <w:kern w:val="0"/>
                <w:szCs w:val="21"/>
                <w:lang w:bidi="ar"/>
              </w:rPr>
              <w:t>.10.3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二十</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新兴超限检测点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lastRenderedPageBreak/>
              <w:t>二十一</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天堂超限检测点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二十二</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石仔岭超限检测点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7</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车辆道闸系统软件</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出入口控制终端</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自动道闸机(含防砸雷达)</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车牌识别摄像机（含立柱）</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地埋式车辆感应器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二十三</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白鸠垌超限检测点</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站场电子围栏监控系统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16盘位网络硬盘录像机</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含90天监控存储</w:t>
            </w: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55英寸安防显示器</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筒型网络摄像机(400万像素)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智能球型摄像机(400万像素)</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安防监控立杆3.5米</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围栏监控系统工作站</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管线及设备辅材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DDEBF7"/>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二十四</w:t>
            </w:r>
          </w:p>
        </w:tc>
        <w:tc>
          <w:tcPr>
            <w:tcW w:w="4286" w:type="dxa"/>
            <w:shd w:val="clear" w:color="auto" w:fill="DDEBF7"/>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茶阳太宁超限检测站</w:t>
            </w: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DDEBF7"/>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DDEBF7"/>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升级改造称重检测设备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p>
        </w:tc>
        <w:tc>
          <w:tcPr>
            <w:tcW w:w="4286" w:type="dxa"/>
            <w:shd w:val="clear" w:color="auto" w:fill="auto"/>
            <w:vAlign w:val="center"/>
          </w:tcPr>
          <w:p w:rsidR="006003B4" w:rsidRPr="007472D5" w:rsidRDefault="00A02922">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电子汽车衡</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静态称重秤台</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称重传感器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10</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称重处理器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数据转换器</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车辆自动分离系统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1.2.2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红外光栅外壳</w:t>
            </w:r>
          </w:p>
        </w:tc>
        <w:tc>
          <w:tcPr>
            <w:tcW w:w="1247" w:type="dxa"/>
            <w:shd w:val="clear" w:color="auto" w:fill="FFFFFF"/>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4</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车牌识别及抓拍系统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车牌识别(用于称重区)</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侧面抓拍机(400万像素)</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3</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551"/>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环境补光灯((用于抓拍 补光覆盖单地磅))</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0" w:type="auto"/>
            <w:shd w:val="clear" w:color="auto" w:fill="auto"/>
            <w:noWrap/>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1.3.4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直杆式车辆道闸</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轴数自动判别系统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1.4.1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车辆AI轮轴</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信息显示系统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称量显示设备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发送卡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46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1.5.3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立杆(定制 用于安装信息发布屏)</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1.6</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防雷系统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防雷接地</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1.6.2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防雷器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1.7</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站场语音播报及广播系统</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广播管理主机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lastRenderedPageBreak/>
              <w:t>1.7.2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麦克风</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1.7.3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室外网络音柱</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个</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1.8</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rPr>
            </w:pPr>
            <w:r w:rsidRPr="007472D5">
              <w:rPr>
                <w:rFonts w:ascii="宋体" w:eastAsia="宋体" w:hAnsi="宋体" w:cs="宋体" w:hint="eastAsia"/>
                <w:b/>
                <w:bCs/>
                <w:snapToGrid w:val="0"/>
                <w:kern w:val="0"/>
                <w:szCs w:val="21"/>
                <w:lang w:bidi="ar"/>
              </w:rPr>
              <w:t>车辆外廓尺寸检测设备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长宽高激光检测单元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激光建模单元</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外廓测量系统立杆(定制)</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1.8.4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第三方检测</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1.9</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控制中心设备</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24口POE接入交换机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rPr>
            </w:pPr>
            <w:r w:rsidRPr="007472D5">
              <w:rPr>
                <w:rFonts w:ascii="宋体" w:eastAsia="宋体" w:hAnsi="宋体" w:cs="宋体" w:hint="eastAsia"/>
                <w:snapToGrid w:val="0"/>
                <w:kern w:val="0"/>
                <w:szCs w:val="21"/>
                <w:lang w:bidi="ar"/>
              </w:rPr>
              <w:t>超限超载监测软件系统</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套</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前置工控机设备</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1.9.4</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液晶显示器</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1.9.5</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打印机</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台</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1.1</w:t>
            </w:r>
            <w:r w:rsidR="001A6356" w:rsidRPr="007472D5">
              <w:rPr>
                <w:rFonts w:ascii="宋体" w:eastAsia="宋体" w:hAnsi="宋体" w:cs="宋体" w:hint="eastAsia"/>
                <w:b/>
                <w:bCs/>
                <w:snapToGrid w:val="0"/>
                <w:kern w:val="0"/>
                <w:szCs w:val="21"/>
                <w:lang w:bidi="ar"/>
              </w:rPr>
              <w:t>0</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b/>
                <w:bCs/>
                <w:snapToGrid w:val="0"/>
                <w:kern w:val="0"/>
                <w:szCs w:val="21"/>
                <w:lang w:eastAsia="en-US"/>
              </w:rPr>
            </w:pPr>
            <w:r w:rsidRPr="007472D5">
              <w:rPr>
                <w:rFonts w:ascii="宋体" w:eastAsia="宋体" w:hAnsi="宋体" w:cs="宋体" w:hint="eastAsia"/>
                <w:b/>
                <w:bCs/>
                <w:snapToGrid w:val="0"/>
                <w:kern w:val="0"/>
                <w:szCs w:val="21"/>
                <w:lang w:bidi="ar"/>
              </w:rPr>
              <w:t>基础及管线支架设施</w:t>
            </w: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247"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b/>
                <w:bCs/>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1.10.1</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线管</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7472D5" w:rsidRPr="007472D5">
        <w:trPr>
          <w:trHeight w:val="283"/>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1.10.2</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线材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vAlign w:val="center"/>
          </w:tcPr>
          <w:p w:rsidR="006003B4" w:rsidRPr="007472D5" w:rsidRDefault="006003B4">
            <w:pPr>
              <w:widowControl/>
              <w:autoSpaceDE w:val="0"/>
              <w:autoSpaceDN w:val="0"/>
              <w:adjustRightInd w:val="0"/>
              <w:snapToGrid w:val="0"/>
              <w:spacing w:line="440" w:lineRule="exact"/>
              <w:jc w:val="center"/>
              <w:textAlignment w:val="baseline"/>
              <w:rPr>
                <w:rFonts w:ascii="宋体" w:eastAsia="宋体" w:hAnsi="宋体" w:cs="宋体"/>
                <w:snapToGrid w:val="0"/>
                <w:kern w:val="0"/>
                <w:szCs w:val="21"/>
                <w:lang w:eastAsia="en-US"/>
              </w:rPr>
            </w:pPr>
          </w:p>
        </w:tc>
      </w:tr>
      <w:tr w:rsidR="006003B4" w:rsidRPr="007472D5">
        <w:trPr>
          <w:trHeight w:val="297"/>
          <w:jc w:val="center"/>
        </w:trPr>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1.10.3</w:t>
            </w:r>
          </w:p>
        </w:tc>
        <w:tc>
          <w:tcPr>
            <w:tcW w:w="4286" w:type="dxa"/>
            <w:shd w:val="clear" w:color="auto" w:fill="auto"/>
            <w:vAlign w:val="center"/>
          </w:tcPr>
          <w:p w:rsidR="006003B4" w:rsidRPr="007472D5" w:rsidRDefault="00867333">
            <w:pPr>
              <w:widowControl/>
              <w:autoSpaceDE w:val="0"/>
              <w:autoSpaceDN w:val="0"/>
              <w:adjustRightInd w:val="0"/>
              <w:snapToGrid w:val="0"/>
              <w:spacing w:line="440" w:lineRule="exact"/>
              <w:jc w:val="left"/>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称重检测设备辅材</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1</w:t>
            </w:r>
          </w:p>
        </w:tc>
        <w:tc>
          <w:tcPr>
            <w:tcW w:w="1247" w:type="dxa"/>
            <w:shd w:val="clear" w:color="auto" w:fill="auto"/>
            <w:vAlign w:val="center"/>
          </w:tcPr>
          <w:p w:rsidR="006003B4" w:rsidRPr="007472D5" w:rsidRDefault="00867333">
            <w:pPr>
              <w:widowControl/>
              <w:autoSpaceDE w:val="0"/>
              <w:autoSpaceDN w:val="0"/>
              <w:adjustRightInd w:val="0"/>
              <w:snapToGrid w:val="0"/>
              <w:spacing w:line="440" w:lineRule="exact"/>
              <w:jc w:val="center"/>
              <w:textAlignment w:val="center"/>
              <w:rPr>
                <w:rFonts w:ascii="宋体" w:eastAsia="宋体" w:hAnsi="宋体" w:cs="宋体"/>
                <w:snapToGrid w:val="0"/>
                <w:kern w:val="0"/>
                <w:szCs w:val="21"/>
                <w:lang w:eastAsia="en-US"/>
              </w:rPr>
            </w:pPr>
            <w:r w:rsidRPr="007472D5">
              <w:rPr>
                <w:rFonts w:ascii="宋体" w:eastAsia="宋体" w:hAnsi="宋体" w:cs="宋体" w:hint="eastAsia"/>
                <w:snapToGrid w:val="0"/>
                <w:kern w:val="0"/>
                <w:szCs w:val="21"/>
                <w:lang w:bidi="ar"/>
              </w:rPr>
              <w:t>项</w:t>
            </w:r>
          </w:p>
        </w:tc>
        <w:tc>
          <w:tcPr>
            <w:tcW w:w="1714" w:type="dxa"/>
            <w:shd w:val="clear" w:color="auto" w:fill="auto"/>
            <w:noWrap/>
            <w:vAlign w:val="center"/>
          </w:tcPr>
          <w:p w:rsidR="006003B4" w:rsidRPr="007472D5" w:rsidRDefault="006003B4">
            <w:pPr>
              <w:widowControl/>
              <w:autoSpaceDE w:val="0"/>
              <w:autoSpaceDN w:val="0"/>
              <w:adjustRightInd w:val="0"/>
              <w:snapToGrid w:val="0"/>
              <w:spacing w:line="440" w:lineRule="exact"/>
              <w:jc w:val="left"/>
              <w:textAlignment w:val="baseline"/>
              <w:rPr>
                <w:rFonts w:ascii="宋体" w:eastAsia="宋体" w:hAnsi="宋体" w:cs="宋体"/>
                <w:snapToGrid w:val="0"/>
                <w:kern w:val="0"/>
                <w:szCs w:val="21"/>
                <w:lang w:eastAsia="en-US"/>
              </w:rPr>
            </w:pP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p>
    <w:p w:rsidR="006003B4" w:rsidRPr="007472D5" w:rsidRDefault="00867333">
      <w:pPr>
        <w:keepNext/>
        <w:keepLines/>
        <w:widowControl/>
        <w:numPr>
          <w:ilvl w:val="0"/>
          <w:numId w:val="1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97" w:name="_Toc201939269"/>
      <w:bookmarkStart w:id="98" w:name="_Toc31972"/>
      <w:bookmarkStart w:id="99" w:name="_Toc209117464"/>
      <w:r w:rsidRPr="007472D5">
        <w:rPr>
          <w:rFonts w:ascii="宋体" w:eastAsia="宋体" w:hAnsi="宋体" w:cs="宋体" w:hint="eastAsia"/>
          <w:b/>
          <w:bCs/>
          <w:snapToGrid w:val="0"/>
          <w:kern w:val="0"/>
          <w:sz w:val="24"/>
          <w:szCs w:val="24"/>
        </w:rPr>
        <w:t>实施建设要求</w:t>
      </w:r>
      <w:bookmarkEnd w:id="97"/>
      <w:bookmarkEnd w:id="98"/>
      <w:bookmarkEnd w:id="99"/>
    </w:p>
    <w:p w:rsidR="006003B4" w:rsidRPr="007472D5" w:rsidRDefault="00867333" w:rsidP="00033293">
      <w:pPr>
        <w:keepNext/>
        <w:keepLines/>
        <w:widowControl/>
        <w:numPr>
          <w:ilvl w:val="0"/>
          <w:numId w:val="2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00" w:name="_Toc13585"/>
      <w:bookmarkStart w:id="101" w:name="_Toc201939270"/>
      <w:bookmarkStart w:id="102" w:name="_Toc209117465"/>
      <w:r w:rsidRPr="007472D5">
        <w:rPr>
          <w:rFonts w:ascii="宋体" w:eastAsia="宋体" w:hAnsi="宋体" w:cs="宋体" w:hint="eastAsia"/>
          <w:b/>
          <w:bCs/>
          <w:snapToGrid w:val="0"/>
          <w:kern w:val="0"/>
          <w:sz w:val="24"/>
          <w:szCs w:val="24"/>
        </w:rPr>
        <w:t>防雷与接地要求</w:t>
      </w:r>
      <w:bookmarkEnd w:id="100"/>
      <w:bookmarkEnd w:id="101"/>
      <w:bookmarkEnd w:id="102"/>
    </w:p>
    <w:p w:rsidR="006003B4" w:rsidRPr="007472D5" w:rsidRDefault="00867333">
      <w:pPr>
        <w:wordWrap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称重检测设备应配置稳定可靠的供电线路，满足24h不间断供电运行要求。称重检测设备及相关元器件的供电接口和控制接口应采取必要的防雷电和过电压保护措施，防护措施应符合现行《公路机电系统设备通用技术要求及检测方法》(JT/T817)的有关规定。称重检测系统的机电设备应按现行《建筑物防雷设计规范》(GB50057)的要求配置相应的防雷设施。本工程所采购的设备均应配置电源防雷器和网络防雷器，采购设备未内置防雷器的施工安装时应配套设置。抱杆机箱、智能交通机柜等外场设备定制时应配置电源防雷器。本工程涉及的机箱、杆件、基础的接地设计依据主要参考《电气装置安装工程接地装置施工及验收规范》。本工程路上设备立杆安装的需在基础内设置接地扁钢并与接地极可靠连接（具体见大样图）。接地系统采用TN-S制式，电源系统侧接地电阻≤4Ω。设备机箱及</w:t>
      </w:r>
      <w:r w:rsidRPr="007472D5">
        <w:rPr>
          <w:rFonts w:ascii="宋体" w:eastAsia="宋体" w:hAnsi="宋体" w:cs="宋体" w:hint="eastAsia"/>
          <w:snapToGrid w:val="0"/>
          <w:kern w:val="0"/>
          <w:sz w:val="24"/>
          <w:szCs w:val="24"/>
        </w:rPr>
        <w:lastRenderedPageBreak/>
        <w:t>立杆处重复接地，接地电阻要求≤10Ω。本工程每根监控悬臂杆旁设一根重复接地极，采用∠50×50×5镀锌角钢，L=2.5m，埋深不小于0.7m，并采用40×4镀锌扁铁与杆件的基础钢筋笼连接，才引上至杆件接地端子处。接地线与杆件（机箱）通过固定用的地脚螺栓连接，螺栓连接处的接触面应按照现行国家标准处理并配置防松螺帽（垫片），以保证接地连接可靠；设备机箱箱体和箱门之间接地采用铜绞线跨接，跨接线截面积不小于4mm；铜绞线两端接镀锡铜鼻子，并用镀锌螺栓固定；镀锌螺栓连接处的接触面应按照现行国家标准处理并配置防松螺帽（垫片），以保证接地连接可靠。</w:t>
      </w:r>
    </w:p>
    <w:p w:rsidR="006003B4" w:rsidRPr="007472D5" w:rsidRDefault="00867333" w:rsidP="00033293">
      <w:pPr>
        <w:keepNext/>
        <w:keepLines/>
        <w:widowControl/>
        <w:numPr>
          <w:ilvl w:val="0"/>
          <w:numId w:val="2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03" w:name="_Toc201939271"/>
      <w:bookmarkStart w:id="104" w:name="_Toc316"/>
      <w:bookmarkStart w:id="105" w:name="_Toc209117466"/>
      <w:r w:rsidRPr="007472D5">
        <w:rPr>
          <w:rFonts w:ascii="宋体" w:eastAsia="宋体" w:hAnsi="宋体" w:cs="宋体" w:hint="eastAsia"/>
          <w:b/>
          <w:bCs/>
          <w:snapToGrid w:val="0"/>
          <w:kern w:val="0"/>
          <w:sz w:val="24"/>
          <w:szCs w:val="24"/>
        </w:rPr>
        <w:t>时钟同步要求</w:t>
      </w:r>
      <w:bookmarkEnd w:id="103"/>
      <w:bookmarkEnd w:id="104"/>
      <w:bookmarkEnd w:id="105"/>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要求前端采集设备和后端服务器中之间时间同步，保证控制主机24h内计时误差不超过1.0s，要求前端配置独立校时模块，校时误差不超过1.0s。</w:t>
      </w:r>
    </w:p>
    <w:p w:rsidR="006003B4" w:rsidRPr="007472D5" w:rsidRDefault="00867333" w:rsidP="00033293">
      <w:pPr>
        <w:keepNext/>
        <w:keepLines/>
        <w:widowControl/>
        <w:numPr>
          <w:ilvl w:val="0"/>
          <w:numId w:val="2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06" w:name="_Toc5718"/>
      <w:bookmarkStart w:id="107" w:name="_Toc201939272"/>
      <w:bookmarkStart w:id="108" w:name="_Toc209117467"/>
      <w:r w:rsidRPr="007472D5">
        <w:rPr>
          <w:rFonts w:ascii="宋体" w:eastAsia="宋体" w:hAnsi="宋体" w:cs="宋体" w:hint="eastAsia"/>
          <w:b/>
          <w:bCs/>
          <w:snapToGrid w:val="0"/>
          <w:kern w:val="0"/>
          <w:sz w:val="24"/>
          <w:szCs w:val="24"/>
        </w:rPr>
        <w:t>前后端数据传输（网络通信）要求</w:t>
      </w:r>
      <w:bookmarkEnd w:id="106"/>
      <w:bookmarkEnd w:id="107"/>
      <w:bookmarkEnd w:id="108"/>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采用设备专网光纤传输方式或VPN虚拟专网，与公安网、互联网及其他网络保持隔离，在具备敷设有线通讯的点位，宜采用有线传输方式，不具备敷设条件的，可采用无线传输方式。</w:t>
      </w:r>
    </w:p>
    <w:p w:rsidR="006003B4" w:rsidRPr="007472D5" w:rsidRDefault="00867333" w:rsidP="00033293">
      <w:pPr>
        <w:keepNext/>
        <w:keepLines/>
        <w:widowControl/>
        <w:numPr>
          <w:ilvl w:val="0"/>
          <w:numId w:val="2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09" w:name="_Toc9002"/>
      <w:bookmarkStart w:id="110" w:name="_Toc201939273"/>
      <w:bookmarkStart w:id="111" w:name="_Toc209117468"/>
      <w:r w:rsidRPr="007472D5">
        <w:rPr>
          <w:rFonts w:ascii="宋体" w:eastAsia="宋体" w:hAnsi="宋体" w:cs="宋体" w:hint="eastAsia"/>
          <w:b/>
          <w:bCs/>
          <w:snapToGrid w:val="0"/>
          <w:kern w:val="0"/>
          <w:sz w:val="24"/>
          <w:szCs w:val="24"/>
        </w:rPr>
        <w:t>超限检测站（点）网络传输要求</w:t>
      </w:r>
      <w:bookmarkEnd w:id="109"/>
      <w:bookmarkEnd w:id="110"/>
      <w:bookmarkEnd w:id="111"/>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实施的主要目的是提供通讯链路接入及调试维护等相关服务，确保24处超限检测站专线可完成数据传输，并进行调试顺利对接系统平台。网络与互联网物理逻辑隔离，杜绝外部网络风险，保障数据安全性和完整性。</w:t>
      </w:r>
    </w:p>
    <w:p w:rsidR="006003B4" w:rsidRPr="007472D5" w:rsidRDefault="00867333">
      <w:pPr>
        <w:wordWrap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各超限检测站（点）数据上传至所属地市机房，在各地市汇聚后上传至广东省政务云机房。</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bookmarkStart w:id="112" w:name="_Toc79486335"/>
      <w:r w:rsidRPr="007472D5">
        <w:rPr>
          <w:rFonts w:ascii="宋体" w:eastAsia="宋体" w:hAnsi="宋体" w:cs="宋体"/>
          <w:snapToGrid w:val="0"/>
          <w:kern w:val="0"/>
          <w:sz w:val="24"/>
          <w:szCs w:val="24"/>
        </w:rPr>
        <w:t>4.</w:t>
      </w:r>
      <w:r w:rsidRPr="007472D5">
        <w:rPr>
          <w:rFonts w:ascii="宋体" w:eastAsia="宋体" w:hAnsi="宋体" w:cs="宋体" w:hint="eastAsia"/>
          <w:snapToGrid w:val="0"/>
          <w:kern w:val="0"/>
          <w:sz w:val="24"/>
          <w:szCs w:val="24"/>
        </w:rPr>
        <w:t>1</w:t>
      </w:r>
      <w:r w:rsidRPr="007472D5">
        <w:rPr>
          <w:rFonts w:ascii="宋体" w:eastAsia="宋体" w:hAnsi="宋体" w:cs="宋体"/>
          <w:snapToGrid w:val="0"/>
          <w:kern w:val="0"/>
          <w:sz w:val="24"/>
          <w:szCs w:val="24"/>
        </w:rPr>
        <w:t xml:space="preserve"> </w:t>
      </w:r>
      <w:r w:rsidRPr="007472D5">
        <w:rPr>
          <w:rFonts w:ascii="宋体" w:eastAsia="宋体" w:hAnsi="宋体" w:cs="宋体" w:hint="eastAsia"/>
          <w:snapToGrid w:val="0"/>
          <w:kern w:val="0"/>
          <w:sz w:val="24"/>
          <w:szCs w:val="24"/>
        </w:rPr>
        <w:t>传输网络</w:t>
      </w:r>
      <w:bookmarkEnd w:id="112"/>
    </w:p>
    <w:p w:rsidR="006003B4" w:rsidRPr="007472D5" w:rsidRDefault="00867333">
      <w:pPr>
        <w:wordWrap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1、各超限检测站（点）数据上传至所属地市机房使用交通虚拟专网或运营商专网。</w:t>
      </w:r>
    </w:p>
    <w:p w:rsidR="006003B4" w:rsidRPr="007472D5" w:rsidRDefault="00867333">
      <w:pPr>
        <w:wordWrap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2、各地市数据上传至广东省政务云机房使用交通虚拟专网或政务外网。</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bookmarkStart w:id="113" w:name="_Toc79486336"/>
      <w:r w:rsidRPr="007472D5">
        <w:rPr>
          <w:rFonts w:ascii="宋体" w:eastAsia="宋体" w:hAnsi="宋体" w:cs="宋体"/>
          <w:snapToGrid w:val="0"/>
          <w:kern w:val="0"/>
          <w:sz w:val="24"/>
          <w:szCs w:val="24"/>
        </w:rPr>
        <w:t>4.</w:t>
      </w:r>
      <w:r w:rsidRPr="007472D5">
        <w:rPr>
          <w:rFonts w:ascii="宋体" w:eastAsia="宋体" w:hAnsi="宋体" w:cs="宋体" w:hint="eastAsia"/>
          <w:snapToGrid w:val="0"/>
          <w:kern w:val="0"/>
          <w:sz w:val="24"/>
          <w:szCs w:val="24"/>
        </w:rPr>
        <w:t>2</w:t>
      </w:r>
      <w:r w:rsidRPr="007472D5">
        <w:rPr>
          <w:rFonts w:ascii="宋体" w:eastAsia="宋体" w:hAnsi="宋体" w:cs="宋体"/>
          <w:snapToGrid w:val="0"/>
          <w:kern w:val="0"/>
          <w:sz w:val="24"/>
          <w:szCs w:val="24"/>
        </w:rPr>
        <w:t xml:space="preserve"> </w:t>
      </w:r>
      <w:r w:rsidRPr="007472D5">
        <w:rPr>
          <w:rFonts w:ascii="宋体" w:eastAsia="宋体" w:hAnsi="宋体" w:cs="宋体" w:hint="eastAsia"/>
          <w:snapToGrid w:val="0"/>
          <w:kern w:val="0"/>
          <w:sz w:val="24"/>
          <w:szCs w:val="24"/>
        </w:rPr>
        <w:t>网络要求</w:t>
      </w:r>
      <w:bookmarkEnd w:id="113"/>
    </w:p>
    <w:p w:rsidR="006003B4" w:rsidRPr="007472D5" w:rsidRDefault="00867333">
      <w:pPr>
        <w:wordWrap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各地市应保障机房网络同时与超限检测站（点）、广东省政务云机房网络互通。</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需求清单：</w:t>
      </w:r>
    </w:p>
    <w:tbl>
      <w:tblPr>
        <w:tblStyle w:val="ab"/>
        <w:tblW w:w="5000" w:type="pct"/>
        <w:tblLook w:val="04A0" w:firstRow="1" w:lastRow="0" w:firstColumn="1" w:lastColumn="0" w:noHBand="0" w:noVBand="1"/>
      </w:tblPr>
      <w:tblGrid>
        <w:gridCol w:w="844"/>
        <w:gridCol w:w="2219"/>
        <w:gridCol w:w="2226"/>
        <w:gridCol w:w="1380"/>
        <w:gridCol w:w="1852"/>
      </w:tblGrid>
      <w:tr w:rsidR="007472D5" w:rsidRPr="007472D5">
        <w:trPr>
          <w:trHeight w:val="564"/>
        </w:trPr>
        <w:tc>
          <w:tcPr>
            <w:tcW w:w="495"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宋体" w:hint="eastAsia"/>
                <w:snapToGrid w:val="0"/>
                <w:kern w:val="0"/>
                <w:sz w:val="24"/>
                <w:szCs w:val="24"/>
                <w:lang w:eastAsia="en-US"/>
              </w:rPr>
              <w:lastRenderedPageBreak/>
              <w:t>序号</w:t>
            </w:r>
          </w:p>
        </w:tc>
        <w:tc>
          <w:tcPr>
            <w:tcW w:w="1302"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宋体" w:hint="eastAsia"/>
                <w:snapToGrid w:val="0"/>
                <w:kern w:val="0"/>
                <w:sz w:val="24"/>
                <w:szCs w:val="24"/>
                <w:lang w:eastAsia="en-US"/>
              </w:rPr>
              <w:t>服务类型</w:t>
            </w:r>
          </w:p>
        </w:tc>
        <w:tc>
          <w:tcPr>
            <w:tcW w:w="1306"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rPr>
            </w:pPr>
            <w:r w:rsidRPr="007472D5">
              <w:rPr>
                <w:rFonts w:asciiTheme="minorEastAsia" w:hAnsiTheme="minorEastAsia" w:cs="Arial" w:hint="eastAsia"/>
                <w:snapToGrid w:val="0"/>
                <w:kern w:val="0"/>
                <w:sz w:val="24"/>
                <w:szCs w:val="24"/>
              </w:rPr>
              <w:t>带宽</w:t>
            </w:r>
            <w:r w:rsidRPr="007472D5">
              <w:rPr>
                <w:rFonts w:asciiTheme="minorEastAsia" w:hAnsiTheme="minorEastAsia" w:cs="宋体" w:hint="eastAsia"/>
                <w:snapToGrid w:val="0"/>
                <w:kern w:val="0"/>
                <w:sz w:val="24"/>
                <w:szCs w:val="24"/>
                <w:lang w:eastAsia="en-US"/>
              </w:rPr>
              <w:t>（单位：</w:t>
            </w:r>
            <w:r w:rsidRPr="007472D5">
              <w:rPr>
                <w:rFonts w:asciiTheme="minorEastAsia" w:hAnsiTheme="minorEastAsia" w:cs="Arial" w:hint="eastAsia"/>
                <w:snapToGrid w:val="0"/>
                <w:kern w:val="0"/>
                <w:sz w:val="24"/>
                <w:szCs w:val="24"/>
              </w:rPr>
              <w:t>M）</w:t>
            </w:r>
          </w:p>
        </w:tc>
        <w:tc>
          <w:tcPr>
            <w:tcW w:w="810"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宋体" w:hint="eastAsia"/>
                <w:snapToGrid w:val="0"/>
                <w:kern w:val="0"/>
                <w:sz w:val="24"/>
                <w:szCs w:val="24"/>
                <w:lang w:eastAsia="en-US"/>
              </w:rPr>
              <w:t>数量（条）</w:t>
            </w:r>
          </w:p>
        </w:tc>
        <w:tc>
          <w:tcPr>
            <w:tcW w:w="1087"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rPr>
            </w:pPr>
            <w:r w:rsidRPr="007472D5">
              <w:rPr>
                <w:rFonts w:asciiTheme="minorEastAsia" w:hAnsiTheme="minorEastAsia" w:cs="Arial" w:hint="eastAsia"/>
                <w:snapToGrid w:val="0"/>
                <w:kern w:val="0"/>
                <w:sz w:val="24"/>
                <w:szCs w:val="24"/>
              </w:rPr>
              <w:t>服务时间（月）</w:t>
            </w:r>
          </w:p>
        </w:tc>
      </w:tr>
      <w:tr w:rsidR="006003B4" w:rsidRPr="007472D5">
        <w:trPr>
          <w:trHeight w:val="981"/>
        </w:trPr>
        <w:tc>
          <w:tcPr>
            <w:tcW w:w="495"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Arial"/>
                <w:snapToGrid w:val="0"/>
                <w:kern w:val="0"/>
                <w:sz w:val="24"/>
                <w:szCs w:val="24"/>
                <w:lang w:eastAsia="en-US"/>
              </w:rPr>
              <w:t>1</w:t>
            </w:r>
          </w:p>
        </w:tc>
        <w:tc>
          <w:tcPr>
            <w:tcW w:w="1302"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rPr>
            </w:pPr>
            <w:r w:rsidRPr="007472D5">
              <w:rPr>
                <w:rFonts w:asciiTheme="minorEastAsia" w:hAnsiTheme="minorEastAsia" w:cs="宋体" w:hint="eastAsia"/>
                <w:snapToGrid w:val="0"/>
                <w:kern w:val="0"/>
                <w:sz w:val="24"/>
                <w:szCs w:val="24"/>
              </w:rPr>
              <w:t>超限</w:t>
            </w:r>
            <w:r w:rsidRPr="007472D5">
              <w:rPr>
                <w:rFonts w:asciiTheme="minorEastAsia" w:hAnsiTheme="minorEastAsia" w:cs="Arial" w:hint="eastAsia"/>
                <w:snapToGrid w:val="0"/>
                <w:kern w:val="0"/>
                <w:sz w:val="24"/>
                <w:szCs w:val="24"/>
              </w:rPr>
              <w:t>检测</w:t>
            </w:r>
            <w:r w:rsidRPr="007472D5">
              <w:rPr>
                <w:rFonts w:asciiTheme="minorEastAsia" w:hAnsiTheme="minorEastAsia" w:cs="宋体" w:hint="eastAsia"/>
                <w:snapToGrid w:val="0"/>
                <w:kern w:val="0"/>
                <w:sz w:val="24"/>
                <w:szCs w:val="24"/>
              </w:rPr>
              <w:t>站</w:t>
            </w:r>
            <w:r w:rsidRPr="007472D5">
              <w:rPr>
                <w:rFonts w:asciiTheme="minorEastAsia" w:hAnsiTheme="minorEastAsia" w:cs="Arial" w:hint="eastAsia"/>
                <w:snapToGrid w:val="0"/>
                <w:kern w:val="0"/>
                <w:sz w:val="24"/>
                <w:szCs w:val="24"/>
              </w:rPr>
              <w:t>（点）</w:t>
            </w:r>
            <w:r w:rsidRPr="007472D5">
              <w:rPr>
                <w:rFonts w:asciiTheme="minorEastAsia" w:hAnsiTheme="minorEastAsia" w:cs="宋体" w:hint="eastAsia"/>
                <w:snapToGrid w:val="0"/>
                <w:kern w:val="0"/>
                <w:sz w:val="24"/>
                <w:szCs w:val="24"/>
              </w:rPr>
              <w:t>链路</w:t>
            </w:r>
            <w:r w:rsidRPr="007472D5">
              <w:rPr>
                <w:rFonts w:asciiTheme="minorEastAsia" w:hAnsiTheme="minorEastAsia" w:cs="Arial" w:hint="eastAsia"/>
                <w:snapToGrid w:val="0"/>
                <w:kern w:val="0"/>
                <w:sz w:val="24"/>
                <w:szCs w:val="24"/>
              </w:rPr>
              <w:t>租赁</w:t>
            </w:r>
            <w:r w:rsidRPr="007472D5">
              <w:rPr>
                <w:rFonts w:asciiTheme="minorEastAsia" w:hAnsiTheme="minorEastAsia" w:cs="宋体" w:hint="eastAsia"/>
                <w:snapToGrid w:val="0"/>
                <w:kern w:val="0"/>
                <w:sz w:val="24"/>
                <w:szCs w:val="24"/>
              </w:rPr>
              <w:t>服务</w:t>
            </w:r>
          </w:p>
        </w:tc>
        <w:tc>
          <w:tcPr>
            <w:tcW w:w="1306"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Arial"/>
                <w:snapToGrid w:val="0"/>
                <w:kern w:val="0"/>
                <w:sz w:val="24"/>
                <w:szCs w:val="24"/>
                <w:lang w:eastAsia="en-US"/>
              </w:rPr>
              <w:t>50</w:t>
            </w:r>
          </w:p>
        </w:tc>
        <w:tc>
          <w:tcPr>
            <w:tcW w:w="810"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lang w:eastAsia="en-US"/>
              </w:rPr>
            </w:pPr>
            <w:r w:rsidRPr="007472D5">
              <w:rPr>
                <w:rFonts w:asciiTheme="minorEastAsia" w:hAnsiTheme="minorEastAsia" w:cs="Arial"/>
                <w:snapToGrid w:val="0"/>
                <w:kern w:val="0"/>
                <w:sz w:val="24"/>
                <w:szCs w:val="24"/>
                <w:lang w:eastAsia="en-US"/>
              </w:rPr>
              <w:t>24</w:t>
            </w:r>
          </w:p>
        </w:tc>
        <w:tc>
          <w:tcPr>
            <w:tcW w:w="1087" w:type="pct"/>
            <w:vAlign w:val="center"/>
          </w:tcPr>
          <w:p w:rsidR="006003B4" w:rsidRPr="007472D5" w:rsidRDefault="00867333">
            <w:pPr>
              <w:widowControl/>
              <w:kinsoku w:val="0"/>
              <w:autoSpaceDE w:val="0"/>
              <w:autoSpaceDN w:val="0"/>
              <w:adjustRightInd w:val="0"/>
              <w:snapToGrid w:val="0"/>
              <w:spacing w:line="440" w:lineRule="exact"/>
              <w:jc w:val="center"/>
              <w:textAlignment w:val="baseline"/>
              <w:rPr>
                <w:rFonts w:asciiTheme="minorEastAsia" w:hAnsiTheme="minorEastAsia"/>
                <w:snapToGrid w:val="0"/>
                <w:kern w:val="0"/>
                <w:sz w:val="24"/>
                <w:szCs w:val="24"/>
              </w:rPr>
            </w:pPr>
            <w:r w:rsidRPr="007472D5">
              <w:rPr>
                <w:rFonts w:asciiTheme="minorEastAsia" w:hAnsiTheme="minorEastAsia" w:cs="Arial"/>
                <w:snapToGrid w:val="0"/>
                <w:kern w:val="0"/>
                <w:sz w:val="24"/>
                <w:szCs w:val="24"/>
              </w:rPr>
              <w:t>24</w:t>
            </w:r>
          </w:p>
        </w:tc>
      </w:tr>
    </w:tbl>
    <w:p w:rsidR="006003B4" w:rsidRPr="007472D5" w:rsidRDefault="006003B4">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p>
    <w:p w:rsidR="006003B4" w:rsidRPr="007472D5" w:rsidRDefault="00CD5A47" w:rsidP="00F716A4">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 xml:space="preserve">4.3 </w:t>
      </w:r>
      <w:r w:rsidR="00867333" w:rsidRPr="007472D5">
        <w:rPr>
          <w:rFonts w:ascii="宋体" w:eastAsia="宋体" w:hAnsi="宋体" w:cs="宋体" w:hint="eastAsia"/>
          <w:snapToGrid w:val="0"/>
          <w:kern w:val="0"/>
          <w:sz w:val="24"/>
          <w:szCs w:val="24"/>
        </w:rPr>
        <w:t>技术要求</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链路的信号衰减、干扰、接口等符合要求。</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专线服务需提供维持服务正常使用的监控、运维、故障处理和保障服务。</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每条链路的链路可用率≥99％。计算方式为可用时间/统计周期*100%。计划内中断、客户原因以及挂起时间不纳入非可用时间计算。线路误码率≤1E-9。</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单条链路服务中断时间≤8小时/次。计划内中断、客户原因以及挂起时间不纳入中断时间计算。</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单条链路的丢包率≤0.15%（在正常带宽负荷小于70％下）。计算方式为响应包数/发出包数*100%。在专线一端设立拨测点，以64字节ICMP包的方式，周期性探测另一端设备地址。</w:t>
      </w:r>
    </w:p>
    <w:p w:rsidR="006003B4" w:rsidRPr="007472D5" w:rsidRDefault="00867333" w:rsidP="00033293">
      <w:pPr>
        <w:widowControl/>
        <w:numPr>
          <w:ilvl w:val="0"/>
          <w:numId w:val="27"/>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链路单向传输时延≤25ms。在专线一端设立拨测点，以 64字节ICMP包的方式，周期性探测另一端设备地址之间来回的时延除以2。</w:t>
      </w:r>
    </w:p>
    <w:p w:rsidR="006003B4" w:rsidRPr="007472D5" w:rsidRDefault="00CD5A47" w:rsidP="00F716A4">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4.4</w:t>
      </w:r>
      <w:r w:rsidR="00867333" w:rsidRPr="007472D5">
        <w:rPr>
          <w:rFonts w:ascii="宋体" w:eastAsia="宋体" w:hAnsi="宋体" w:cs="宋体" w:hint="eastAsia"/>
          <w:snapToGrid w:val="0"/>
          <w:kern w:val="0"/>
          <w:sz w:val="24"/>
          <w:szCs w:val="24"/>
        </w:rPr>
        <w:t>维护服务:</w:t>
      </w:r>
    </w:p>
    <w:p w:rsidR="006003B4" w:rsidRPr="007472D5" w:rsidRDefault="00867333" w:rsidP="00033293">
      <w:pPr>
        <w:widowControl/>
        <w:numPr>
          <w:ilvl w:val="0"/>
          <w:numId w:val="2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 xml:space="preserve">中标人须配合招标人完成接入调试及巡检维护服务。 </w:t>
      </w:r>
    </w:p>
    <w:p w:rsidR="006003B4" w:rsidRPr="007472D5" w:rsidRDefault="00867333" w:rsidP="00033293">
      <w:pPr>
        <w:widowControl/>
        <w:numPr>
          <w:ilvl w:val="0"/>
          <w:numId w:val="2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 xml:space="preserve">中标人设有专门的服务机构，提供7×24小时、365日全天候的维护和服务，提供技术业务咨询服务，提供7×24小时一站式故障申告受理服务。 </w:t>
      </w:r>
    </w:p>
    <w:p w:rsidR="006003B4" w:rsidRPr="007472D5" w:rsidRDefault="00867333" w:rsidP="00033293">
      <w:pPr>
        <w:widowControl/>
        <w:numPr>
          <w:ilvl w:val="0"/>
          <w:numId w:val="2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若由于维护原因，需进行割接操作时，中标人需提前至少72小时（重大自然灾害及其他不可抗力因素除外）通知并征得招标人同意后方可进行。当中标人对系统进行调试、升级或维护等工作时，应提前通知招标人，并与招标人协商有关工作的具体执行时间。项目服务标准故障处理：重大线路故障6小时内（含赴途时间）应修复，一般故障及数据业务故障4小时内（含赴途时间）应修复。链路故障修复按照“先复通后修复”原则，如无法按时排除故障，在有备用光纤</w:t>
      </w:r>
      <w:r w:rsidRPr="007472D5">
        <w:rPr>
          <w:rFonts w:ascii="宋体" w:eastAsia="宋体" w:hAnsi="宋体" w:cs="宋体" w:hint="eastAsia"/>
          <w:snapToGrid w:val="0"/>
          <w:kern w:val="0"/>
          <w:sz w:val="24"/>
          <w:szCs w:val="24"/>
        </w:rPr>
        <w:lastRenderedPageBreak/>
        <w:t xml:space="preserve">资源的情况下，需在3小时内替代解决，在无备用光纤资源的情况下，需在6小时内用其它接入手段进行替代。 </w:t>
      </w:r>
    </w:p>
    <w:p w:rsidR="006003B4" w:rsidRPr="007472D5" w:rsidRDefault="00867333" w:rsidP="00033293">
      <w:pPr>
        <w:widowControl/>
        <w:numPr>
          <w:ilvl w:val="0"/>
          <w:numId w:val="28"/>
        </w:numPr>
        <w:tabs>
          <w:tab w:val="left" w:pos="993"/>
        </w:tabs>
        <w:kinsoku w:val="0"/>
        <w:wordWrap w:val="0"/>
        <w:autoSpaceDE w:val="0"/>
        <w:autoSpaceDN w:val="0"/>
        <w:adjustRightInd w:val="0"/>
        <w:snapToGrid w:val="0"/>
        <w:spacing w:line="360" w:lineRule="auto"/>
        <w:ind w:left="0" w:firstLineChars="200" w:firstLine="480"/>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中标人需要根据招标人的要求按期提供故障和运行报告，在出现的故障处理完毕后，在三个工作日内向招标人提供故障分析报告。</w:t>
      </w:r>
    </w:p>
    <w:p w:rsidR="006003B4" w:rsidRPr="007472D5" w:rsidRDefault="00CD5A47" w:rsidP="00F716A4">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 xml:space="preserve">4.5 </w:t>
      </w:r>
      <w:r w:rsidR="00867333" w:rsidRPr="007472D5">
        <w:rPr>
          <w:rFonts w:ascii="宋体" w:eastAsia="宋体" w:hAnsi="宋体" w:cs="宋体" w:hint="eastAsia"/>
          <w:snapToGrid w:val="0"/>
          <w:kern w:val="0"/>
          <w:sz w:val="24"/>
          <w:szCs w:val="24"/>
        </w:rPr>
        <w:t>巡检服务:</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租赁服务期内，提供每半年对专线接入点的设备及线路巡检服务，并于巡检后15个工作日内向招标人提交报告；包括但不限于专线运行情况、故障事件报告、专线带宽统计报告等内容。</w:t>
      </w:r>
    </w:p>
    <w:p w:rsidR="006003B4" w:rsidRPr="007472D5" w:rsidRDefault="00867333" w:rsidP="00033293">
      <w:pPr>
        <w:keepNext/>
        <w:keepLines/>
        <w:widowControl/>
        <w:numPr>
          <w:ilvl w:val="0"/>
          <w:numId w:val="2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4"/>
          <w:szCs w:val="24"/>
        </w:rPr>
      </w:pPr>
      <w:bookmarkStart w:id="114" w:name="_Toc24689"/>
      <w:bookmarkStart w:id="115" w:name="_Toc201939274"/>
      <w:bookmarkStart w:id="116" w:name="_Toc11637"/>
      <w:bookmarkStart w:id="117" w:name="_Toc209117469"/>
      <w:r w:rsidRPr="007472D5">
        <w:rPr>
          <w:rFonts w:ascii="宋体" w:eastAsia="宋体" w:hAnsi="宋体" w:cs="宋体" w:hint="eastAsia"/>
          <w:b/>
          <w:bCs/>
          <w:snapToGrid w:val="0"/>
          <w:kern w:val="0"/>
          <w:sz w:val="24"/>
          <w:szCs w:val="24"/>
        </w:rPr>
        <w:t>实施期间环保、消防、职业安全卫生和节能措施</w:t>
      </w:r>
      <w:bookmarkEnd w:id="114"/>
      <w:r w:rsidRPr="007472D5">
        <w:rPr>
          <w:rFonts w:ascii="宋体" w:eastAsia="宋体" w:hAnsi="宋体" w:cs="宋体" w:hint="eastAsia"/>
          <w:b/>
          <w:bCs/>
          <w:snapToGrid w:val="0"/>
          <w:kern w:val="0"/>
          <w:sz w:val="24"/>
          <w:szCs w:val="24"/>
        </w:rPr>
        <w:t>要求</w:t>
      </w:r>
      <w:bookmarkEnd w:id="115"/>
      <w:bookmarkEnd w:id="116"/>
      <w:bookmarkEnd w:id="117"/>
    </w:p>
    <w:p w:rsidR="006003B4" w:rsidRPr="007472D5" w:rsidRDefault="00867333">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bookmarkStart w:id="118" w:name="_Toc85476505"/>
      <w:bookmarkStart w:id="119" w:name="_Toc16745"/>
      <w:bookmarkStart w:id="120" w:name="_Toc86768222"/>
      <w:bookmarkStart w:id="121" w:name="_Toc29762"/>
      <w:bookmarkStart w:id="122" w:name="_Toc31756"/>
      <w:bookmarkStart w:id="123" w:name="_Toc493702850"/>
      <w:bookmarkStart w:id="124" w:name="_Toc332971349"/>
      <w:r w:rsidRPr="007472D5">
        <w:rPr>
          <w:rFonts w:ascii="宋体" w:eastAsia="宋体" w:hAnsi="宋体" w:cs="宋体" w:hint="eastAsia"/>
          <w:snapToGrid w:val="0"/>
          <w:kern w:val="0"/>
          <w:sz w:val="24"/>
          <w:szCs w:val="24"/>
        </w:rPr>
        <w:t>5.1环境影响分析</w:t>
      </w:r>
      <w:bookmarkEnd w:id="118"/>
      <w:bookmarkEnd w:id="119"/>
      <w:bookmarkEnd w:id="120"/>
      <w:bookmarkEnd w:id="121"/>
      <w:bookmarkEnd w:id="122"/>
      <w:bookmarkEnd w:id="123"/>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的施工类型属于基础设施建设工程，本项目的采购内容包括地磅、称重传感器、车牌识别摄像头、称重显示设备、电子围栏立杆等基础设施设备的安装调试，这些设备在施工过程和运行中会产生污染环境的废渣、废水、废气等物质。</w:t>
      </w:r>
    </w:p>
    <w:p w:rsidR="006003B4" w:rsidRPr="007472D5" w:rsidRDefault="00867333" w:rsidP="00033293">
      <w:pPr>
        <w:widowControl/>
        <w:numPr>
          <w:ilvl w:val="0"/>
          <w:numId w:val="2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施工过程中的环境影响</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噪音污染：施工期间使用的机械设备（如挖掘机、钻机等）会产生较大的噪音，可能对周边居民的生活质量和野生动物造成干扰。</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尘土飞扬：挖掘、搬运材料等活动会扬起大量尘土，特别是在干燥或风大的天气条件下，这可能导致空气质量下降，影响人们的呼吸健康。</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土壤扰动：施工活动可能会破坏地表植被，导致土壤侵蚀和水土流失。此外，不当处理施工废弃物也可能对土壤造成污染。</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水资源消耗与污染：施工过程中可能需要使用大量的水资源，尤其是在混凝土浇筑和其他建筑活动中。如果施工产生的废水没有得到妥善处理，可能会流入附近的河流或地下水，造成水质污染。</w:t>
      </w:r>
    </w:p>
    <w:p w:rsidR="006003B4" w:rsidRPr="007472D5" w:rsidRDefault="00867333" w:rsidP="00033293">
      <w:pPr>
        <w:widowControl/>
        <w:numPr>
          <w:ilvl w:val="0"/>
          <w:numId w:val="29"/>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设备本身可能带来的环境影响</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电子废物：随着技术的进步，旧的称重检测设备和电子围栏系统可能会被新的设备取代。这些废弃的电子设备如果处理不当，会产生电子废物，其中包含有害物质（如铅、汞等），对环境和人体健康构成威胁。</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电池和电源管理：许多监测设备依赖于电池供电，尤其是那些需要持续运行的传感器。电池的使用和更换如果不妥善处理，会造成重金属污染。</w:t>
      </w:r>
    </w:p>
    <w:p w:rsidR="006003B4" w:rsidRPr="007472D5" w:rsidRDefault="00867333">
      <w:pPr>
        <w:widowControl/>
        <w:kinsoku w:val="0"/>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bookmarkStart w:id="125" w:name="_Toc259"/>
      <w:bookmarkStart w:id="126" w:name="_Toc258"/>
      <w:r w:rsidRPr="007472D5">
        <w:rPr>
          <w:rFonts w:ascii="宋体" w:eastAsia="宋体" w:hAnsi="宋体" w:cs="宋体" w:hint="eastAsia"/>
          <w:snapToGrid w:val="0"/>
          <w:kern w:val="0"/>
          <w:sz w:val="24"/>
          <w:szCs w:val="24"/>
        </w:rPr>
        <w:lastRenderedPageBreak/>
        <w:t>5.2 环保措施及方案</w:t>
      </w:r>
      <w:bookmarkEnd w:id="125"/>
      <w:bookmarkEnd w:id="126"/>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针对上述潜在环境影响，本项目拟采取以下环保措施。</w:t>
      </w:r>
    </w:p>
    <w:p w:rsidR="006003B4" w:rsidRPr="007472D5" w:rsidRDefault="00867333" w:rsidP="00033293">
      <w:pPr>
        <w:widowControl/>
        <w:numPr>
          <w:ilvl w:val="0"/>
          <w:numId w:val="30"/>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废渣处理措施</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分类收集：施工现场应设置专门的废弃物分类收集区，对施工过程中的固体废弃物进行严格分类，确保可回收物资得到再利用。</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定点堆放：所有废渣应当在指定地点集中堆放，并采取防雨、防风措施，避免因天气原因导致废渣扩散或二次污染。</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规范运输：选择有资质的运输单位负责废渣的转移，确保运输车辆密封良好，防止沿途撒漏。同时，应遵循地方环保部门规定的路线和时间进行运输。</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合法处置：与具备相应处理能力的第三方机构签订合同，将废渣送往合规的处理场所进行无害化处理。</w:t>
      </w:r>
    </w:p>
    <w:p w:rsidR="006003B4" w:rsidRPr="007472D5" w:rsidRDefault="00867333" w:rsidP="00033293">
      <w:pPr>
        <w:widowControl/>
        <w:numPr>
          <w:ilvl w:val="0"/>
          <w:numId w:val="30"/>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废水治理方案</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临时排水系统建设：建立完善的施工现场临时排水网络，雨水与施工废水分离排放，确保施工废水经过预处理后达标排放。</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沉淀池设置：在施工区域附近设立多个沉淀池，用于收集施工废水并进行初步净化处理，去除悬浮物和其他污染物。</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化学药剂使用控制：如需使用化学药剂辅助施工，应严格按照产品说明书操作，减少不必要的化学品投入，并做好废液的妥善处理。</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污水处理设施配备：对于产生大量废水的工作环节，建议配置小型移动式污水处理装置，以保证废水处理效率和质量。</w:t>
      </w:r>
    </w:p>
    <w:p w:rsidR="006003B4" w:rsidRPr="007472D5" w:rsidRDefault="00867333" w:rsidP="00033293">
      <w:pPr>
        <w:widowControl/>
        <w:numPr>
          <w:ilvl w:val="0"/>
          <w:numId w:val="30"/>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废气排放防控</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扬尘抑制：加强施工现场的洒水降尘工作，特别是在土方挖掘、物料搬运等易起尘作业时增加洒水频率；对裸露地面覆盖防尘网或植被绿化。</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机械设备管理：选用低排放的施工机械和运输工具，定期维护保养，确保其尾气排放符合国家相关标准；必要时安装尾气净化装置。</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封闭作业：对于会产生挥发性有机化合物（VOCs）或其他有害气体的操作，如喷漆、焊接等，应在密闭空间内进行，并配备有效的通风换气和废气收集处理系统。</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噪音控制：合理安排施工时间和工序，尽量避免夜间施工；采用隔音屏障、减震垫等措施降低噪音传播；选用噪音较低的施工设备和技术。</w:t>
      </w:r>
    </w:p>
    <w:p w:rsidR="006003B4" w:rsidRPr="007472D5" w:rsidRDefault="00867333" w:rsidP="00033293">
      <w:pPr>
        <w:widowControl/>
        <w:numPr>
          <w:ilvl w:val="0"/>
          <w:numId w:val="30"/>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lastRenderedPageBreak/>
        <w:t>环境监测与应急响应机制</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定期监测：委托专业环境监测机构对施工现场及其周边环境进行定期监测，重点监控水质、空气质量以及噪声水平，及时掌握环境变化情况。</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应急预案制定：编制详细的环境污染事故应急预案，明确应急组织架构、职责分工、信息报告流程及具体的应急处置措施，确保一旦发生突发环境事件能够迅速有效地应对。</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信息公开与沟通：建立健全公众参与机制，通过公告栏、网站等多种渠道公开环境影响评价报告和环境监测结果，增强透明度，接受社会监督。</w:t>
      </w:r>
    </w:p>
    <w:p w:rsidR="006003B4" w:rsidRPr="007472D5" w:rsidRDefault="00867333" w:rsidP="00033293">
      <w:pPr>
        <w:widowControl/>
        <w:numPr>
          <w:ilvl w:val="0"/>
          <w:numId w:val="31"/>
        </w:numPr>
        <w:kinsoku w:val="0"/>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bookmarkStart w:id="127" w:name="_Toc28086"/>
      <w:bookmarkStart w:id="128" w:name="_Toc85476507"/>
      <w:bookmarkStart w:id="129" w:name="_Toc1797"/>
      <w:bookmarkStart w:id="130" w:name="_Toc493702852"/>
      <w:bookmarkStart w:id="131" w:name="_Toc332971350"/>
      <w:bookmarkStart w:id="132" w:name="_Toc86768224"/>
      <w:bookmarkStart w:id="133" w:name="_Toc28909"/>
      <w:bookmarkEnd w:id="124"/>
      <w:r w:rsidRPr="007472D5">
        <w:rPr>
          <w:rFonts w:ascii="宋体" w:eastAsia="宋体" w:hAnsi="宋体" w:cs="宋体" w:hint="eastAsia"/>
          <w:snapToGrid w:val="0"/>
          <w:kern w:val="0"/>
          <w:sz w:val="24"/>
          <w:szCs w:val="24"/>
        </w:rPr>
        <w:t>消防措施</w:t>
      </w:r>
      <w:bookmarkEnd w:id="127"/>
      <w:bookmarkEnd w:id="128"/>
      <w:bookmarkEnd w:id="129"/>
      <w:bookmarkEnd w:id="130"/>
      <w:bookmarkEnd w:id="131"/>
      <w:bookmarkEnd w:id="132"/>
      <w:bookmarkEnd w:id="133"/>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在项目建设中，将遵循“预防为主，消防结合”的方针，严格贯彻执行国家《高层民用建筑设计防火规划》。</w:t>
      </w:r>
    </w:p>
    <w:p w:rsidR="006003B4" w:rsidRPr="007472D5" w:rsidRDefault="00867333" w:rsidP="00033293">
      <w:pPr>
        <w:widowControl/>
        <w:numPr>
          <w:ilvl w:val="0"/>
          <w:numId w:val="32"/>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施工期间的消防措施</w:t>
      </w:r>
    </w:p>
    <w:p w:rsidR="006003B4" w:rsidRPr="007472D5" w:rsidRDefault="00867333" w:rsidP="00033293">
      <w:pPr>
        <w:widowControl/>
        <w:numPr>
          <w:ilvl w:val="0"/>
          <w:numId w:val="33"/>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现场防火管理</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制定详细的消防计划：包括紧急疏散路线、灭火器的位置、消防栓的位置等。</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设立明显的安全标识：在施工现场设置消防通道标志、禁止吸烟标志等。</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定期进行消防演练：组织施工人员进行消防知识培训和应急演练，提高应对火灾的能力。</w:t>
      </w:r>
    </w:p>
    <w:p w:rsidR="006003B4" w:rsidRPr="007472D5" w:rsidRDefault="00867333" w:rsidP="00033293">
      <w:pPr>
        <w:widowControl/>
        <w:numPr>
          <w:ilvl w:val="0"/>
          <w:numId w:val="33"/>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材料存放</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分类存放：易燃材料（如油漆、溶剂等）应单独存放，并远离火源。</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防火隔离：存放易燃材料的区域应有防火隔离措施，防止火势蔓延。</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通风良好：确保存放区通风良好，减少可燃气体积聚的风险。</w:t>
      </w:r>
    </w:p>
    <w:p w:rsidR="006003B4" w:rsidRPr="007472D5" w:rsidRDefault="00867333" w:rsidP="00033293">
      <w:pPr>
        <w:widowControl/>
        <w:numPr>
          <w:ilvl w:val="0"/>
          <w:numId w:val="33"/>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电气设备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规范用电：严格按照电气安装标准进行施工，避免电线裸露和短路现象。</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使用合格设备：所有电气设备和工具都应符合国家相关标准，定期检查维护。</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防雷接地：确保所有电气设备和建筑物都有良好的防雷接地措施。</w:t>
      </w:r>
    </w:p>
    <w:p w:rsidR="006003B4" w:rsidRPr="007472D5" w:rsidRDefault="00867333" w:rsidP="00033293">
      <w:pPr>
        <w:widowControl/>
        <w:numPr>
          <w:ilvl w:val="0"/>
          <w:numId w:val="33"/>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动火作业</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审批制度：任何动火作业（如焊接、切割等）都需经过严格的审批程序。</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专人监护：动火作业时应有专人负责监护，并配备足够的灭火器材。</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清理现场：动火作业前后应彻底清理现场，确保无残留火种。</w:t>
      </w:r>
    </w:p>
    <w:p w:rsidR="006003B4" w:rsidRPr="007472D5" w:rsidRDefault="00867333" w:rsidP="00033293">
      <w:pPr>
        <w:widowControl/>
        <w:numPr>
          <w:ilvl w:val="0"/>
          <w:numId w:val="33"/>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应急准备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配备充足的消防器材：施工现场应配备足够的灭火器、消防水带、消防沙等。</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设置临时消防水源：在施工区域附近设置临时消防水源，确保紧急情况下能迅速取水灭火。</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建立应急响应机制：制定应急预案，明确各岗位人员的职责，确保在发生火灾时能够迅速响应。</w:t>
      </w:r>
    </w:p>
    <w:p w:rsidR="006003B4" w:rsidRPr="007472D5" w:rsidRDefault="00867333" w:rsidP="00033293">
      <w:pPr>
        <w:widowControl/>
        <w:numPr>
          <w:ilvl w:val="0"/>
          <w:numId w:val="32"/>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设备运行期间的消防措施</w:t>
      </w:r>
    </w:p>
    <w:p w:rsidR="006003B4" w:rsidRPr="007472D5" w:rsidRDefault="00867333" w:rsidP="00033293">
      <w:pPr>
        <w:widowControl/>
        <w:numPr>
          <w:ilvl w:val="0"/>
          <w:numId w:val="34"/>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设备安装</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合理布局：设备安装时应考虑通风散热，避免过热引发火灾。</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电缆敷设：电缆敷设应符合防火要求，避免电缆堆积和交叉，防止短路和火灾。</w:t>
      </w:r>
    </w:p>
    <w:p w:rsidR="006003B4" w:rsidRPr="007472D5" w:rsidRDefault="00867333" w:rsidP="00033293">
      <w:pPr>
        <w:widowControl/>
        <w:numPr>
          <w:ilvl w:val="0"/>
          <w:numId w:val="34"/>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日常维护</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定期检查：对设备进行定期检查，确保电气线路、接头等无松动、老化现象。</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清洁保养：定期清洁设备，保持设备内部和外部的清洁，防止灰尘积累引发火灾。</w:t>
      </w:r>
    </w:p>
    <w:p w:rsidR="006003B4" w:rsidRPr="007472D5" w:rsidRDefault="00867333" w:rsidP="00033293">
      <w:pPr>
        <w:widowControl/>
        <w:numPr>
          <w:ilvl w:val="0"/>
          <w:numId w:val="34"/>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监控系统</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安装火灾报警系统：在重要设备区域安装火灾报警系统，一旦检测到烟雾或温度异常，立即发出警报。</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视频监控：通过视频监控系统实时监控设备运行状态，及时发现并处理异常情况。</w:t>
      </w:r>
    </w:p>
    <w:p w:rsidR="006003B4" w:rsidRPr="007472D5" w:rsidRDefault="00867333" w:rsidP="00033293">
      <w:pPr>
        <w:widowControl/>
        <w:numPr>
          <w:ilvl w:val="0"/>
          <w:numId w:val="34"/>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应急预案</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制定详细的应急预案：包括火灾发生时的疏散路线、应急联系方式等。</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定期演练：定期组织工作人员进行消防演练，提高应对火灾的能力。</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消防培训：对操作人员进行消防知识培训，确保他们了解如何正确使用消防器材和应急措施。</w:t>
      </w:r>
    </w:p>
    <w:p w:rsidR="006003B4" w:rsidRPr="007472D5" w:rsidRDefault="00867333" w:rsidP="00033293">
      <w:pPr>
        <w:widowControl/>
        <w:numPr>
          <w:ilvl w:val="0"/>
          <w:numId w:val="31"/>
        </w:numPr>
        <w:kinsoku w:val="0"/>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bookmarkStart w:id="134" w:name="_Toc332971351"/>
      <w:bookmarkStart w:id="135" w:name="_Toc18831"/>
      <w:bookmarkStart w:id="136" w:name="_Toc16174"/>
      <w:bookmarkStart w:id="137" w:name="_Toc15730"/>
      <w:bookmarkStart w:id="138" w:name="_Toc493702853"/>
      <w:bookmarkStart w:id="139" w:name="_Toc86768225"/>
      <w:bookmarkStart w:id="140" w:name="_Toc85476508"/>
      <w:r w:rsidRPr="007472D5">
        <w:rPr>
          <w:rFonts w:ascii="宋体" w:eastAsia="宋体" w:hAnsi="宋体" w:cs="宋体" w:hint="eastAsia"/>
          <w:snapToGrid w:val="0"/>
          <w:kern w:val="0"/>
          <w:sz w:val="24"/>
          <w:szCs w:val="24"/>
        </w:rPr>
        <w:t>职业安全和卫生措施</w:t>
      </w:r>
      <w:bookmarkEnd w:id="134"/>
      <w:bookmarkEnd w:id="135"/>
      <w:bookmarkEnd w:id="136"/>
      <w:bookmarkEnd w:id="137"/>
      <w:bookmarkEnd w:id="138"/>
      <w:bookmarkEnd w:id="139"/>
      <w:bookmarkEnd w:id="140"/>
    </w:p>
    <w:p w:rsidR="006003B4" w:rsidRPr="007472D5" w:rsidRDefault="00867333" w:rsidP="00033293">
      <w:pPr>
        <w:widowControl/>
        <w:numPr>
          <w:ilvl w:val="0"/>
          <w:numId w:val="35"/>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施工期间的职业安全和卫生措施</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个人防护装备（PPE）</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头盔：所有进入施工现场的人员必须佩戴符合标准的安全头盔。</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防护眼镜：在进行焊接、切割等作业时，应佩戴防护眼镜以防止飞溅物伤害眼睛。</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防护手套：根据作业性质选择合适的防护手套，如防割手套、绝缘手套等。</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防护鞋：穿着防滑、防砸的防护鞋，保护脚部免受伤害。</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呼吸保护：在粉尘或有害气体环境中工作时，应佩戴口罩或呼吸器。</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现场安全管理</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设立安全标识：在施工现场设置明显的安全警示标志，如“禁止吸烟”、“小心触电”等。</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隔离危险区域：对高风险作业区域进行隔离，并设置警戒线，限制无关人员进入。</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临时照明：确保施工现场有足够的照明，特别是在夜间或光线不足的情况下。</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培训和教育</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岗前培训：新员工在上岗前应接受全面的安全培训，了解施工过程中的安全规定和操作规程。</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定期培训：定期组织安全知识培训和应急演练，提高员工的安全意识和应对突发事件的能力。</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机械设备安全</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操作规程：制定详细的机械设备操作规程，并确保所有操作人员熟悉并遵守。</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定期检查：定期对机械设备进行检查和维护，确保其处于良好状态。</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持证上岗：操作特殊设备的人员必须持有相应的操作证书。</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电气安全</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规范用电：严格按照电气安装标准进行施工，避免电线裸露和短路现象。</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漏电保护：所有电气设备应配备漏电保护装置，防止触电事故。</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接地保护：确保所有电气设备和建筑物都有良好的接地保护措施。</w:t>
      </w:r>
    </w:p>
    <w:p w:rsidR="006003B4" w:rsidRPr="007472D5" w:rsidRDefault="00867333" w:rsidP="00033293">
      <w:pPr>
        <w:widowControl/>
        <w:numPr>
          <w:ilvl w:val="0"/>
          <w:numId w:val="36"/>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急救措施</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急救箱：施工现场应配备急救箱，内含常用急救用品。</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急救培训：部分员工应接受急救培训，掌握基本的急救技能。</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紧急联系方式：施工现场应张贴紧急联系电话，以便在发生事故时迅速联系救援。</w:t>
      </w:r>
    </w:p>
    <w:p w:rsidR="006003B4" w:rsidRPr="007472D5" w:rsidRDefault="00867333" w:rsidP="00033293">
      <w:pPr>
        <w:widowControl/>
        <w:numPr>
          <w:ilvl w:val="0"/>
          <w:numId w:val="35"/>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rPr>
      </w:pPr>
      <w:r w:rsidRPr="007472D5">
        <w:rPr>
          <w:rFonts w:ascii="宋体" w:eastAsia="宋体" w:hAnsi="宋体" w:cs="宋体" w:hint="eastAsia"/>
          <w:b/>
          <w:bCs/>
          <w:snapToGrid w:val="0"/>
          <w:kern w:val="0"/>
          <w:sz w:val="24"/>
          <w:szCs w:val="24"/>
        </w:rPr>
        <w:t>设备运行期间的职业安全和卫生措施</w:t>
      </w:r>
    </w:p>
    <w:p w:rsidR="006003B4" w:rsidRPr="007472D5" w:rsidRDefault="00867333" w:rsidP="00033293">
      <w:pPr>
        <w:widowControl/>
        <w:numPr>
          <w:ilvl w:val="0"/>
          <w:numId w:val="37"/>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日常巡检</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定期检查：对设备进行定期检查，确保电气线路、接头等无松动、老化现象。</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清洁保养：定期清洁设备，保持设备内部和外部的清洁，防止灰尘积累引发火灾。</w:t>
      </w:r>
    </w:p>
    <w:p w:rsidR="006003B4" w:rsidRPr="007472D5" w:rsidRDefault="00867333" w:rsidP="00033293">
      <w:pPr>
        <w:widowControl/>
        <w:numPr>
          <w:ilvl w:val="0"/>
          <w:numId w:val="37"/>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操作规程</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操作手册：为操作人员提供详细的操作手册，明确操作步骤和注意事项。</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培训：定期对操作人员进行培训，确保他们熟悉设备的操作和维护要求。</w:t>
      </w:r>
    </w:p>
    <w:p w:rsidR="006003B4" w:rsidRPr="007472D5" w:rsidRDefault="00867333" w:rsidP="00033293">
      <w:pPr>
        <w:widowControl/>
        <w:numPr>
          <w:ilvl w:val="0"/>
          <w:numId w:val="37"/>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监控系统</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视频监控：通过视频监控系统实时监控设备运行状态，及时发现并处理异常情况。</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报警系统：安装火灾报警系统和故障报警系统，一旦检测到异常情况，立即发出警报。</w:t>
      </w:r>
    </w:p>
    <w:p w:rsidR="006003B4" w:rsidRPr="007472D5" w:rsidRDefault="00867333" w:rsidP="00033293">
      <w:pPr>
        <w:widowControl/>
        <w:numPr>
          <w:ilvl w:val="0"/>
          <w:numId w:val="37"/>
        </w:numPr>
        <w:kinsoku w:val="0"/>
        <w:wordWrap w:val="0"/>
        <w:autoSpaceDE w:val="0"/>
        <w:autoSpaceDN w:val="0"/>
        <w:adjustRightInd w:val="0"/>
        <w:snapToGrid w:val="0"/>
        <w:spacing w:line="360" w:lineRule="auto"/>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应急预案</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制定应急预案：包括设备故障、火灾等紧急情况下的应对措施。</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定期演练：定期组织工作人员进行应急演练，提高应对突发事件的能力。</w:t>
      </w:r>
    </w:p>
    <w:p w:rsidR="006003B4" w:rsidRPr="007472D5" w:rsidRDefault="00867333" w:rsidP="00033293">
      <w:pPr>
        <w:widowControl/>
        <w:numPr>
          <w:ilvl w:val="0"/>
          <w:numId w:val="31"/>
        </w:numPr>
        <w:kinsoku w:val="0"/>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bookmarkStart w:id="141" w:name="_Toc8919"/>
      <w:r w:rsidRPr="007472D5">
        <w:rPr>
          <w:rFonts w:ascii="宋体" w:eastAsia="宋体" w:hAnsi="宋体" w:cs="宋体" w:hint="eastAsia"/>
          <w:snapToGrid w:val="0"/>
          <w:kern w:val="0"/>
          <w:sz w:val="24"/>
          <w:szCs w:val="24"/>
        </w:rPr>
        <w:t>节能</w:t>
      </w:r>
      <w:bookmarkEnd w:id="141"/>
      <w:r w:rsidRPr="007472D5">
        <w:rPr>
          <w:rFonts w:ascii="宋体" w:eastAsia="宋体" w:hAnsi="宋体" w:cs="宋体" w:hint="eastAsia"/>
          <w:snapToGrid w:val="0"/>
          <w:kern w:val="0"/>
          <w:sz w:val="24"/>
          <w:szCs w:val="24"/>
        </w:rPr>
        <w:t>要求</w:t>
      </w:r>
    </w:p>
    <w:p w:rsidR="006003B4" w:rsidRPr="007472D5" w:rsidRDefault="00867333">
      <w:pPr>
        <w:widowControl/>
        <w:wordWrap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在项目实施中，将严格遵守国家的相关规定，控制能耗，计划采取的节能措施有：</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设备选型与配置</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高效能设备：选择低功耗的地磅、称重传感器、车牌识别摄像头和称重显示设备。例如，使用低功耗的LED显示屏和节能型车牌识别摄像头。</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智能电源管理：采用具有智能电源管理功能的设备，如支持自动休眠模式的称重显示设备，以及能够根据负载动态调整功耗的监控系统。</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施工过程中的节能措施</w:t>
      </w:r>
    </w:p>
    <w:p w:rsidR="006003B4" w:rsidRPr="007472D5" w:rsidRDefault="00867333">
      <w:pPr>
        <w:widowControl/>
        <w:wordWrap w:val="0"/>
        <w:autoSpaceDE w:val="0"/>
        <w:autoSpaceDN w:val="0"/>
        <w:adjustRightInd w:val="0"/>
        <w:snapToGrid w:val="0"/>
        <w:spacing w:line="360" w:lineRule="auto"/>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合理规划施工时间：尽量安排在白天进行施工，利用自然光照明，减少夜间施工所需的额外照明。</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高效施工机械：使用高效节能的施工机械和工具，定期维护保养以确保其处于最佳工作状态。</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减少材料浪费：优化材料使用计划，避免过度采购和浪费，同时回收利用可再利用的材料。</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供电与配电</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lastRenderedPageBreak/>
        <w:t>高效电源：使用高效的不间断电源（UPS）和变压器，减少电能在转换过程中的损失。</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智能配电系统：采用智能配电系统，实时监控和调整电力分配，确保各设备获得最适宜的电力供应。</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照明系统</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LED照明：使用高效节能的LED灯具替代传统照明设备，特别是在夜间照明和安全监控区域。</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智能照明控制：安装智能照明控制系统，根据光照强度和时间自动调节灯光亮度，或者在无人时自动关闭灯光。</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温控与通风</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自然通风：在设备间和工作区尽可能利用自然通风，减少空调系统的使用。</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高效空调系统：如果必须使用空调系统，应选择能效比高的空调设备，并定期维护保养，确保其高效运行。</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温度控制：设置合理的温度控制策略，避免过度冷却或加热，减少能源浪费。</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监控与管理</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能耗监测系统：安装能耗监测系统，实时监控各个设备和系统的能耗情况，及时发现并解决能源浪费问题。</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数据分析与优化：通过对能耗数据的分析，找出能源使用的瓶颈和改进点，持续优化系统配置和运行策略。</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人员培训与意识提升</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节能培训：定期对操作人员进行节能培训，提高他们的节能意识和操作技能。</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激励机制：建立节能激励机制，鼓励员工提出节能建议并实施，形成全员参与的良好氛围。</w:t>
      </w:r>
    </w:p>
    <w:p w:rsidR="006003B4" w:rsidRPr="007472D5" w:rsidRDefault="00867333" w:rsidP="00033293">
      <w:pPr>
        <w:widowControl/>
        <w:numPr>
          <w:ilvl w:val="0"/>
          <w:numId w:val="38"/>
        </w:numPr>
        <w:kinsoku w:val="0"/>
        <w:wordWrap w:val="0"/>
        <w:autoSpaceDE w:val="0"/>
        <w:autoSpaceDN w:val="0"/>
        <w:adjustRightInd w:val="0"/>
        <w:snapToGrid w:val="0"/>
        <w:spacing w:line="360" w:lineRule="auto"/>
        <w:ind w:firstLineChars="200" w:firstLine="482"/>
        <w:jc w:val="left"/>
        <w:textAlignment w:val="baseline"/>
        <w:rPr>
          <w:rFonts w:ascii="宋体" w:eastAsia="宋体" w:hAnsi="宋体" w:cs="宋体"/>
          <w:b/>
          <w:bCs/>
          <w:snapToGrid w:val="0"/>
          <w:kern w:val="0"/>
          <w:sz w:val="24"/>
          <w:szCs w:val="24"/>
          <w:lang w:eastAsia="en-US"/>
        </w:rPr>
      </w:pPr>
      <w:r w:rsidRPr="007472D5">
        <w:rPr>
          <w:rFonts w:ascii="宋体" w:eastAsia="宋体" w:hAnsi="宋体" w:cs="宋体" w:hint="eastAsia"/>
          <w:b/>
          <w:bCs/>
          <w:snapToGrid w:val="0"/>
          <w:kern w:val="0"/>
          <w:sz w:val="24"/>
          <w:szCs w:val="24"/>
          <w:lang w:eastAsia="en-US"/>
        </w:rPr>
        <w:t>维护与更新</w:t>
      </w:r>
    </w:p>
    <w:p w:rsidR="006003B4" w:rsidRPr="007472D5" w:rsidRDefault="00867333">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定期维护：定期对设备进行维护保养，确保其处于最佳工作状态，避免因设备老化导致的能耗增加。</w:t>
      </w:r>
    </w:p>
    <w:p w:rsidR="006003B4" w:rsidRPr="007472D5" w:rsidRDefault="00867333">
      <w:pPr>
        <w:wordWrap w:val="0"/>
        <w:adjustRightInd w:val="0"/>
        <w:snapToGrid w:val="0"/>
        <w:spacing w:before="60" w:after="60" w:line="360" w:lineRule="auto"/>
        <w:ind w:firstLineChars="200" w:firstLine="480"/>
        <w:textAlignment w:val="baseline"/>
        <w:rPr>
          <w:rFonts w:ascii="宋体" w:eastAsia="宋体" w:hAnsi="宋体" w:cs="宋体"/>
          <w:kern w:val="0"/>
          <w:sz w:val="24"/>
          <w:szCs w:val="24"/>
        </w:rPr>
      </w:pPr>
      <w:r w:rsidRPr="007472D5">
        <w:rPr>
          <w:rFonts w:ascii="宋体" w:eastAsia="宋体" w:hAnsi="宋体" w:cs="宋体" w:hint="eastAsia"/>
          <w:kern w:val="0"/>
          <w:sz w:val="24"/>
          <w:szCs w:val="24"/>
        </w:rPr>
        <w:t>技术更新：关注新技术的发展，适时更新老旧设备，引入更节能的新技术。</w:t>
      </w:r>
    </w:p>
    <w:p w:rsidR="006003B4" w:rsidRPr="007472D5" w:rsidRDefault="006003B4">
      <w:pPr>
        <w:wordWrap w:val="0"/>
        <w:adjustRightInd w:val="0"/>
        <w:snapToGrid w:val="0"/>
        <w:spacing w:before="60" w:after="60" w:line="360" w:lineRule="auto"/>
        <w:ind w:firstLineChars="200" w:firstLine="560"/>
        <w:textAlignment w:val="baseline"/>
        <w:rPr>
          <w:rFonts w:ascii="宋体" w:eastAsia="宋体" w:hAnsi="宋体" w:cs="宋体"/>
          <w:kern w:val="0"/>
          <w:sz w:val="28"/>
          <w:szCs w:val="28"/>
        </w:rPr>
      </w:pPr>
    </w:p>
    <w:p w:rsidR="006003B4" w:rsidRPr="007472D5" w:rsidRDefault="006003B4">
      <w:pPr>
        <w:wordWrap w:val="0"/>
        <w:adjustRightInd w:val="0"/>
        <w:snapToGrid w:val="0"/>
        <w:spacing w:before="60" w:after="60" w:line="360" w:lineRule="auto"/>
        <w:ind w:firstLineChars="200" w:firstLine="560"/>
        <w:textAlignment w:val="baseline"/>
        <w:rPr>
          <w:rFonts w:ascii="宋体" w:eastAsia="宋体" w:hAnsi="宋体" w:cs="宋体"/>
          <w:kern w:val="0"/>
          <w:sz w:val="28"/>
          <w:szCs w:val="28"/>
        </w:rPr>
      </w:pPr>
    </w:p>
    <w:p w:rsidR="006003B4" w:rsidRPr="007472D5" w:rsidRDefault="00867333">
      <w:pPr>
        <w:keepNext/>
        <w:keepLines/>
        <w:widowControl/>
        <w:numPr>
          <w:ilvl w:val="0"/>
          <w:numId w:val="16"/>
        </w:numPr>
        <w:tabs>
          <w:tab w:val="left" w:pos="0"/>
          <w:tab w:val="left" w:pos="420"/>
        </w:tabs>
        <w:kinsoku w:val="0"/>
        <w:wordWrap w:val="0"/>
        <w:autoSpaceDE w:val="0"/>
        <w:autoSpaceDN w:val="0"/>
        <w:adjustRightInd w:val="0"/>
        <w:snapToGrid w:val="0"/>
        <w:spacing w:line="360" w:lineRule="auto"/>
        <w:jc w:val="left"/>
        <w:textAlignment w:val="baseline"/>
        <w:outlineLvl w:val="2"/>
        <w:rPr>
          <w:rFonts w:ascii="宋体" w:eastAsia="宋体" w:hAnsi="宋体" w:cs="宋体"/>
          <w:b/>
          <w:bCs/>
          <w:snapToGrid w:val="0"/>
          <w:kern w:val="0"/>
          <w:sz w:val="28"/>
          <w:szCs w:val="28"/>
        </w:rPr>
      </w:pPr>
      <w:bookmarkStart w:id="142" w:name="_Toc10771"/>
      <w:bookmarkStart w:id="143" w:name="_Toc31923"/>
      <w:bookmarkStart w:id="144" w:name="_Toc201939275"/>
      <w:bookmarkStart w:id="145" w:name="_Toc209117470"/>
      <w:r w:rsidRPr="007472D5">
        <w:rPr>
          <w:rFonts w:ascii="宋体" w:eastAsia="宋体" w:hAnsi="宋体" w:cs="宋体" w:hint="eastAsia"/>
          <w:b/>
          <w:bCs/>
          <w:snapToGrid w:val="0"/>
          <w:kern w:val="0"/>
          <w:sz w:val="28"/>
          <w:szCs w:val="28"/>
        </w:rPr>
        <w:lastRenderedPageBreak/>
        <w:t>采购</w:t>
      </w:r>
      <w:bookmarkEnd w:id="142"/>
      <w:r w:rsidRPr="007472D5">
        <w:rPr>
          <w:rFonts w:ascii="宋体" w:eastAsia="宋体" w:hAnsi="宋体" w:cs="宋体" w:hint="eastAsia"/>
          <w:b/>
          <w:bCs/>
          <w:snapToGrid w:val="0"/>
          <w:kern w:val="0"/>
          <w:sz w:val="28"/>
          <w:szCs w:val="28"/>
        </w:rPr>
        <w:t>设备参数要求</w:t>
      </w:r>
      <w:bookmarkEnd w:id="143"/>
      <w:bookmarkEnd w:id="144"/>
      <w:bookmarkEnd w:id="145"/>
    </w:p>
    <w:p w:rsidR="006003B4" w:rsidRPr="007472D5" w:rsidRDefault="00867333" w:rsidP="00F716A4">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本项目共计在6个地市升级改造10套超限及电子汽车衡设备，加装23套电子围栏。具体设备配置清单如下</w:t>
      </w:r>
      <w:r w:rsidR="0053049F" w:rsidRPr="007472D5">
        <w:rPr>
          <w:rFonts w:ascii="宋体" w:eastAsia="宋体" w:hAnsi="宋体" w:cs="宋体" w:hint="eastAsia"/>
          <w:snapToGrid w:val="0"/>
          <w:kern w:val="0"/>
          <w:sz w:val="24"/>
          <w:szCs w:val="24"/>
        </w:rPr>
        <w:t>：</w:t>
      </w:r>
    </w:p>
    <w:p w:rsidR="0053049F" w:rsidRPr="007472D5" w:rsidRDefault="0053049F" w:rsidP="00E74167">
      <w:pPr>
        <w:widowControl/>
        <w:wordWrap w:val="0"/>
        <w:autoSpaceDE w:val="0"/>
        <w:autoSpaceDN w:val="0"/>
        <w:adjustRightInd w:val="0"/>
        <w:snapToGrid w:val="0"/>
        <w:spacing w:line="360" w:lineRule="auto"/>
        <w:ind w:firstLineChars="200" w:firstLine="480"/>
        <w:jc w:val="left"/>
        <w:textAlignment w:val="baseline"/>
        <w:rPr>
          <w:rFonts w:ascii="宋体" w:eastAsia="宋体" w:hAnsi="宋体" w:cs="宋体"/>
          <w:snapToGrid w:val="0"/>
          <w:kern w:val="0"/>
          <w:sz w:val="24"/>
          <w:szCs w:val="24"/>
        </w:rPr>
      </w:pPr>
      <w:r w:rsidRPr="007472D5">
        <w:rPr>
          <w:rFonts w:ascii="宋体" w:eastAsia="宋体" w:hAnsi="宋体" w:cs="宋体" w:hint="eastAsia"/>
          <w:snapToGrid w:val="0"/>
          <w:kern w:val="0"/>
          <w:sz w:val="24"/>
          <w:szCs w:val="24"/>
        </w:rPr>
        <w:t>下表中“16盘位网络硬盘录像机”、“筒型网络摄像机(400万像素”、“电子汽车衡”为本项目核心产品，一个制造商对同一品牌同一型号的设备，仅能委托一个代理商参加投标</w:t>
      </w:r>
      <w:r w:rsidR="00E74167" w:rsidRPr="007472D5">
        <w:rPr>
          <w:rFonts w:ascii="宋体" w:eastAsia="宋体" w:hAnsi="宋体" w:cs="宋体" w:hint="eastAsia"/>
          <w:snapToGrid w:val="0"/>
          <w:kern w:val="0"/>
          <w:sz w:val="24"/>
          <w:szCs w:val="24"/>
        </w:rPr>
        <w:t>，否则投标无效。</w:t>
      </w:r>
    </w:p>
    <w:tbl>
      <w:tblPr>
        <w:tblW w:w="5241" w:type="pct"/>
        <w:tblInd w:w="-318" w:type="dxa"/>
        <w:tblLook w:val="04A0" w:firstRow="1" w:lastRow="0" w:firstColumn="1" w:lastColumn="0" w:noHBand="0" w:noVBand="1"/>
      </w:tblPr>
      <w:tblGrid>
        <w:gridCol w:w="994"/>
        <w:gridCol w:w="1418"/>
        <w:gridCol w:w="6520"/>
      </w:tblGrid>
      <w:tr w:rsidR="007472D5" w:rsidRPr="007472D5" w:rsidTr="00E74167">
        <w:trPr>
          <w:trHeight w:val="520"/>
          <w:tblHeader/>
        </w:trPr>
        <w:tc>
          <w:tcPr>
            <w:tcW w:w="55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003B4" w:rsidRPr="007472D5" w:rsidRDefault="00867333" w:rsidP="00F716A4">
            <w:pPr>
              <w:widowControl/>
              <w:wordWrap w:val="0"/>
              <w:adjustRightInd w:val="0"/>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序号</w:t>
            </w:r>
          </w:p>
        </w:tc>
        <w:tc>
          <w:tcPr>
            <w:tcW w:w="79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003B4" w:rsidRPr="007472D5" w:rsidRDefault="00867333" w:rsidP="00F716A4">
            <w:pPr>
              <w:widowControl/>
              <w:wordWrap w:val="0"/>
              <w:adjustRightInd w:val="0"/>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设备名称</w:t>
            </w:r>
          </w:p>
        </w:tc>
        <w:tc>
          <w:tcPr>
            <w:tcW w:w="365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003B4" w:rsidRPr="007472D5" w:rsidRDefault="00867333" w:rsidP="00F716A4">
            <w:pPr>
              <w:widowControl/>
              <w:wordWrap w:val="0"/>
              <w:adjustRightInd w:val="0"/>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设备参数</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b/>
                <w:bCs/>
                <w:snapToGrid w:val="0"/>
                <w:kern w:val="0"/>
                <w:sz w:val="24"/>
                <w:szCs w:val="24"/>
              </w:rPr>
            </w:pPr>
            <w:r w:rsidRPr="007472D5">
              <w:rPr>
                <w:rFonts w:asciiTheme="minorEastAsia" w:hAnsiTheme="minorEastAsia" w:cs="宋体" w:hint="eastAsia"/>
                <w:b/>
                <w:bCs/>
                <w:snapToGrid w:val="0"/>
                <w:kern w:val="0"/>
                <w:sz w:val="24"/>
                <w:szCs w:val="24"/>
                <w:lang w:bidi="ar"/>
              </w:rPr>
              <w:t>升级改造超限称重检测设备</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1.1</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电子汽车衡</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静态称重秤台</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1.★称重范围:≥150吨；</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2.分度值:50kg；</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3.静态精度等级:Ⅲ级；</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4.适应工作环境相对湿度:≤95%；</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5.秤台刚度:优于1/1000,下料生产前经力学有限元分析；</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6.工作温度范围:-30℃～+70℃；</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7.安全超载:≥125%；</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8.极限超载:≥150%；</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9.★秤体结构:整根梁不对接模块化结构生产，采用插销式连接，面板厚度≥12mm（±0.5mm），≥6根U型梁，支撑板厚度≥30mm（±0.5mm）；</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10.▲疲劳测试≥300万次满载状态下疲劳测试，并提供具有</w:t>
            </w:r>
            <w:r w:rsidRPr="007472D5">
              <w:rPr>
                <w:rFonts w:asciiTheme="minorEastAsia" w:hAnsiTheme="minorEastAsia" w:cs="宋体"/>
                <w:snapToGrid w:val="0"/>
                <w:kern w:val="0"/>
                <w:sz w:val="24"/>
                <w:szCs w:val="24"/>
                <w:lang w:bidi="ar"/>
              </w:rPr>
              <w:t>CMA和CNAS资质的国家认可的第三方检测机构检测的检验报告</w:t>
            </w:r>
            <w:r w:rsidRPr="007472D5">
              <w:rPr>
                <w:rFonts w:asciiTheme="minorEastAsia" w:hAnsiTheme="minorEastAsia" w:cs="宋体" w:hint="eastAsia"/>
                <w:snapToGrid w:val="0"/>
                <w:kern w:val="0"/>
                <w:sz w:val="24"/>
                <w:szCs w:val="24"/>
                <w:lang w:bidi="ar"/>
              </w:rPr>
              <w:t>；</w:t>
            </w:r>
          </w:p>
          <w:p w:rsidR="006003B4" w:rsidRPr="007472D5" w:rsidRDefault="00867333">
            <w:pPr>
              <w:spacing w:line="360" w:lineRule="auto"/>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11.具有法定计量机构出具的有效的计量检校证书。</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称重传感器</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1.数字桥式传感器,单只额定盘程:≥30t；</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2.综合精度OIMLC3；</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3.▲防护等级不低于IP68，提供第三方权威检测机构出具的</w:t>
            </w:r>
            <w:r w:rsidRPr="007472D5">
              <w:rPr>
                <w:rFonts w:asciiTheme="minorEastAsia" w:hAnsiTheme="minorEastAsia" w:cs="宋体"/>
                <w:snapToGrid w:val="0"/>
                <w:kern w:val="0"/>
                <w:sz w:val="24"/>
                <w:szCs w:val="24"/>
                <w:lang w:bidi="ar"/>
              </w:rPr>
              <w:t xml:space="preserve"> IP68防护等级测试报告</w:t>
            </w:r>
            <w:r w:rsidRPr="007472D5">
              <w:rPr>
                <w:rFonts w:asciiTheme="minorEastAsia" w:hAnsiTheme="minorEastAsia" w:cs="宋体" w:hint="eastAsia"/>
                <w:snapToGrid w:val="0"/>
                <w:kern w:val="0"/>
                <w:sz w:val="24"/>
                <w:szCs w:val="24"/>
                <w:lang w:bidi="ar"/>
              </w:rPr>
              <w:t>；</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4.使用温度范围:-30℃至+70℃；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5.最大安全过载:不低于150%F.S；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6.最大极限过载:不低于300%F.S；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7.蠕变(30分钟):±0.015%F.S；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8.非线性:士0.010%F.S；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9.滞后:士0.016%F.S；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10.重复性:士0.005%F.S；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11.传感器具有智能诊断与预诊断功能；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12.具有物联网远程监管功能，具有较好的防作弊功能可实现对现场设备的监测与控制；</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13.▲具备防二次雷击功能，提供国家认可资质的第三方检测机构出具的防雷测试报告。</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1.1.3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称重处理器</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1.采用RS845标准接口与数字式传感器通讯；</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2.最大信号传输距离≥1200米；</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3.可直接通过仪表表面板进行手动/自动偏载调节(四角调整)；</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4.能自动对单只传感器寻址并读取数据；</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5.可判断多只传感器组秤时受力是否均匀；</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6.可在使用现场更换传感器编号，具有自动故障诊断功能；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7.可贮存≥250条纪录，256组车号和货号；</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8,可设置零点跟踪范围和置零范围；</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9.传感器错误信循环显示。</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数据转换器</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1.数据转换器(X-10) 高屏蔽防干扰型，称重信号不易被干扰。</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1.1.5</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第三方检测</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1.第三方检测首次计量院检测费用（地磅）。</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1.2</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车辆自动分离系统</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1.2.1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红外光栅</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1.红外线波长:940nm；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2.型号规格:≥8束；</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3.探测距离:≥10 米；</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4.电源电压:DC:12～18V；</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5.使用环境温度:-40℃～+70℃；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6.继电器触点容量:30VAC/DC0.5；</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7.信号输出方式:有线、无线信号可选；</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8.外壳材质:铝合金；</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9.滤光片材质:优质PC工程料；</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10.单边、双边、高度(1.3、1.6米)可选。</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1.2.2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红外光栅外壳</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1.材质:不锈钢；</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2.开合方式:开门式；</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3.箱体尺寸:≥1650mm(H)×156mm×256mm。</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1.3</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车牌识别及抓拍系统</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1.3.1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车牌识别(用于称重区)</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补光灯数量：≥3颗（可根据需求切换为暖光灯或红外灯，亮度可自动调节）；</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▲传感器类型：≥1/1.8英寸CMOS（提供公安部有效检测报告复印件加盖原厂公章或原厂投标专用章）；</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图像分辨率：2688×1520（不包含OSD黑边）；</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视频压缩标准：H.265、H.264B、H.264M、H.264H、MJPEG；</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抓拍距离：2.5～6m；</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除雾功能：支持自动除雾；</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供电方式：AC110V～AC230V；</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镜头：标配；</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镜头类型：变焦；</w:t>
            </w:r>
          </w:p>
          <w:p w:rsidR="006003B4" w:rsidRPr="007472D5" w:rsidRDefault="00867333" w:rsidP="00033293">
            <w:pPr>
              <w:widowControl/>
              <w:numPr>
                <w:ilvl w:val="0"/>
                <w:numId w:val="3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镜头焦距：标配2.7-12 mm电动变焦镜头；</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11.▲防起雾功能：支持根据相机内部温度及设定阈值，自动开启玻璃加热。（提供公安部有效检测报告复印件加盖原厂公章或原厂投标专用章）；</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12.▲LED灯模式切换功能：通过web可设置为白光模式或红外模式；设置为白光模式时相机亮暖光灯，设置为红外模式时相机亮红外灯。（提供公安部有效检测报告复印件加盖原厂公章或原厂投标专用章）；</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13.配置不低于1.2M立杆；</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14.防护等级:不低于IP66。</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1.3.2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侧面抓拍机(400万像素)</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传感器类型：不低于1/3英寸CMOS；</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像素：不低于400万；</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最大分辨率：不低于2560×1440；</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最低照度：不低于0.01lux（彩色模式）0.001lux（黑白模式）0lux（补光灯开启）；</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最大补光距离：不低于80m（红外）30m（暖光）；</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镜头类型：定焦；</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内置MIC：内置不低于1个MIC；</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接入标准：ONVIF（Profile S &amp; Profile T）CGIGB/T28181-2022；</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供电方式：DC12V/PoE；</w:t>
            </w:r>
          </w:p>
          <w:p w:rsidR="006003B4" w:rsidRPr="007472D5" w:rsidRDefault="00867333" w:rsidP="00033293">
            <w:pPr>
              <w:widowControl/>
              <w:numPr>
                <w:ilvl w:val="0"/>
                <w:numId w:val="4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防护等级：不低于IP67；</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11.配置不低于1.2M立杆。</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1.3.3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环境补光灯(用于抓拍补光覆盖单地磅)</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1.LED 灯珠数盘:16颗；</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2.最佳补光距离:16米-25米；</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3.防护等级:不低于IP66。</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1.3.4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直杆式车辆道闸</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1.机箱尺寸：≤355x249x1035mm；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2.道闸类型:直杆；</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snapToGrid w:val="0"/>
                <w:kern w:val="0"/>
                <w:sz w:val="24"/>
                <w:szCs w:val="24"/>
                <w:lang w:bidi="ar"/>
              </w:rPr>
              <w:t>3.起落速度:≤2秒</w:t>
            </w:r>
            <w:r w:rsidRPr="007472D5">
              <w:rPr>
                <w:rFonts w:asciiTheme="minorEastAsia" w:hAnsiTheme="minorEastAsia" w:cs="宋体" w:hint="eastAsia"/>
                <w:snapToGrid w:val="0"/>
                <w:kern w:val="0"/>
                <w:sz w:val="24"/>
                <w:szCs w:val="24"/>
                <w:lang w:bidi="ar"/>
              </w:rPr>
              <w:t>；</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4.输入电源:220V50Hz；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5.机箱颜色:橙色；</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6.道闸杆长:3米；</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7.闸机朝向:左/右向；</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8.工作电压: 90W 220V AC；</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9.工作环境温度:-10℃～+55'℃；</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lastRenderedPageBreak/>
              <w:t>1.4</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轴数自动判别系统</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1.4.1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车辆AI轮轴</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通过微光检测单元进行车辆轮轴扫描；</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扫描频率:40Hz；</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角度分辨率:0.5°；</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扫描角度:300°；</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响应时间:90±20ms；</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测盘误差:±30mm；</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统计误差:±20mm；</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工作电压:DC9V～DC32V；</w:t>
            </w:r>
          </w:p>
          <w:p w:rsidR="006003B4" w:rsidRPr="007472D5" w:rsidRDefault="00867333" w:rsidP="00033293">
            <w:pPr>
              <w:widowControl/>
              <w:numPr>
                <w:ilvl w:val="0"/>
                <w:numId w:val="4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防护等级:IP67；</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snapToGrid w:val="0"/>
                <w:kern w:val="0"/>
                <w:sz w:val="24"/>
                <w:szCs w:val="24"/>
                <w:lang w:bidi="ar"/>
              </w:rPr>
              <w:t>10.▲</w:t>
            </w:r>
            <w:r w:rsidRPr="007472D5">
              <w:rPr>
                <w:rFonts w:asciiTheme="minorEastAsia" w:hAnsiTheme="minorEastAsia" w:cs="宋体" w:hint="eastAsia"/>
                <w:snapToGrid w:val="0"/>
                <w:kern w:val="0"/>
                <w:sz w:val="24"/>
                <w:szCs w:val="24"/>
                <w:lang w:bidi="ar"/>
              </w:rPr>
              <w:t>所投产品具有</w:t>
            </w:r>
            <w:r w:rsidRPr="007472D5">
              <w:rPr>
                <w:rFonts w:asciiTheme="minorEastAsia" w:hAnsiTheme="minorEastAsia" w:cs="宋体"/>
                <w:snapToGrid w:val="0"/>
                <w:kern w:val="0"/>
                <w:sz w:val="24"/>
                <w:szCs w:val="24"/>
                <w:lang w:bidi="ar"/>
              </w:rPr>
              <w:t>AI轮轴识别</w:t>
            </w:r>
            <w:r w:rsidRPr="007472D5">
              <w:rPr>
                <w:rFonts w:asciiTheme="minorEastAsia" w:hAnsiTheme="minorEastAsia" w:cs="宋体" w:hint="eastAsia"/>
                <w:snapToGrid w:val="0"/>
                <w:kern w:val="0"/>
                <w:sz w:val="24"/>
                <w:szCs w:val="24"/>
                <w:lang w:bidi="ar"/>
              </w:rPr>
              <w:t>相应的软件著作权证书或自主知识产权证书等证明文件，并提供证明文件。</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1.5</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信息显示系统</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1.5.1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称量显示设备</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1.具备信息发布、编辑、查看和存储等功能；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2.设备防护等级:不小于 IP65；</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3.全屏显示亮度:≥8000cd/m2。具备亮度调节功能，白天全屏显示亮度宜≥8000cd/m2，夜晚全屏显示亮度宜不大于 3500cd/m2；</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4.产品规格:≤P10；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5.模组尺寸:≥960*480mm；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6.屏面积：≥ 960*480mm；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7.扫描方式: 1/4；</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8.像素点密度:10000；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9.像素点组成:2R1G；</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10.像素点间距:10mm；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11.模组分辨率:16*16 点；</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12.亮度:≥ 8000 cd/m</w:t>
            </w:r>
            <w:r w:rsidRPr="007472D5">
              <w:rPr>
                <w:rFonts w:asciiTheme="minorEastAsia" w:hAnsiTheme="minorEastAsia" w:cs="宋体" w:hint="eastAsia"/>
                <w:snapToGrid w:val="0"/>
                <w:kern w:val="0"/>
                <w:sz w:val="24"/>
                <w:szCs w:val="24"/>
                <w:vertAlign w:val="superscript"/>
                <w:lang w:bidi="ar"/>
              </w:rPr>
              <w:t>2；</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13.视角(垂直/水平)H:110°，V:55°；</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14.对比度:10000:1；</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15.刷新频率&gt;800HZ；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16.供电电压:AC110、AC220、AC110V-220V，50-60HZ；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17.工作温度:-20℃～+50℃；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18.工作湿度:10%～90%RH；</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19.使用寿命:&gt;10万小时。</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1.5.2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发送卡</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1.单/双基色异步接收卡；</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2.控制点数:8192*128 4096*256 2048*512；</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3.区域支持的功能:图文/字幕/动画/农历/时间/模拟表盘/正负计时/温度/温湿度/噪声；</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4.高度最大带载 16 行，超过8行时宽度最大带载不超过 32 列。</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1.5.3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立杆(定制用于安装信息发布屏)</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1.尺寸:高≥1.5m；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2.杆件直径≥110 mm，配套法兰；</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3.镀锌度≥270g/m2；</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4.抗风速度≥ 35m/s；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5.抗拉强度≥ 215Mps；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6.所有钢构件都进行热镀锌防腐处理。</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1.6</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防雷系统</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1.6.1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防雷接地</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1.防雷接地系统，包含接地角钢和扁钢，满足防雷接地电阻指标要求。</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1.6.2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防雷器</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1.防雷设备包含等电位联结端子箱、防雷器等设备</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1.7</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rPr>
            </w:pPr>
            <w:r w:rsidRPr="007472D5">
              <w:rPr>
                <w:rFonts w:asciiTheme="minorEastAsia" w:hAnsiTheme="minorEastAsia" w:cs="宋体" w:hint="eastAsia"/>
                <w:b/>
                <w:bCs/>
                <w:snapToGrid w:val="0"/>
                <w:kern w:val="0"/>
                <w:sz w:val="24"/>
                <w:szCs w:val="24"/>
                <w:lang w:bidi="ar"/>
              </w:rPr>
              <w:t>站场语音播报及广播系统</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1.7.1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广播管理主机</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1.安装在检测室内，用于接收发克风风或声卡的信号，并驱动室外音柱(或喇叭)广播语音信息；</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2.总功率：最大输出功率≥100W；</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3.信噪比：≥68dB；</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4.支持解码：支持音箱阻抗4-16Ω；</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5.机身接口：USB接口；</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6.机身输入：两路AUX音频输；</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7.机身输出：定压，定阻输出。</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1.7.2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麦克风</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1.位置:办公桌台面；</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2.拾音方式:电容式；</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3.指向性:超心型指向；</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4.灵敏度:-63dB±2dB；</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5.拾音距离:10-50cm；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6.输出电阻:≥600</w:t>
            </w:r>
            <w:r w:rsidRPr="007472D5">
              <w:rPr>
                <w:rFonts w:eastAsia="宋体" w:hint="eastAsia"/>
              </w:rPr>
              <w:t>Ω；</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7.供电方式:2节 1.5v 7号电池；</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8.频率响应(Hz):40Hz-16KHZ；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9.音 频 线:7米双芯、卡龙母+卡龙公；</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10.底座规格(宽*深*高)mm:不低于115*140*30；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11.输出指示:座灯、管灯(LED环形灯)。</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1.7.3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室外网络音柱</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1.安装于检测亭外，可以壁挂安装在检测亭上，也可以立杆安装，用于语音广播，提示超限嫌疑车辆，接受引导行驶；</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2.额定功率:≥70W；</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3.灵敏度:≥91dB（音柱的灵敏度91分贝）；</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4.频率响应:300-8000Hz；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5.防护等级:IP56。</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1.8</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rPr>
            </w:pPr>
            <w:r w:rsidRPr="007472D5">
              <w:rPr>
                <w:rFonts w:asciiTheme="minorEastAsia" w:hAnsiTheme="minorEastAsia" w:cs="宋体" w:hint="eastAsia"/>
                <w:b/>
                <w:bCs/>
                <w:snapToGrid w:val="0"/>
                <w:kern w:val="0"/>
                <w:sz w:val="24"/>
                <w:szCs w:val="24"/>
                <w:lang w:bidi="ar"/>
              </w:rPr>
              <w:t>车辆外廓尺寸检测设备</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1.8.1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长宽高激光检测单元</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1.激光波长：905nm；</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2.人眼安全级别： Class1(IEC60825-1:2014)人眼安全；</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3.量程(@ 100 klx) ：90 m @ 10%反射率，130m @ 20% 反射率，260 m @ 80% 反射率；</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4.近处盲区：0.05m；</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5.FOV：70.4°圆形；</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6.测距随机误差：(1σ@20m) 1σ(@20m)≤2cm，1σ(@0.2～1m)≤3cm；</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7.角度随机误差：(1σ)&lt;0.1°；</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8.光束发射角度： 0.28°(竖直)x0.03°(水平)；</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9.点云输出：100000 点/秒(可配置第一回波或最强回波)200000 点/秒(双回波)；</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10.数据延迟： ≤2ms；</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11.通信接口： 100 Mbps 以太网接口；</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12.数据同步方式： IEEE 1588-2008(PTPv2).PPS(秒脉冲),GPS；</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13.虚警率：(@100klx)，&lt;0.01%；</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14.工作环境温度： -20°C～65℃；</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15.供电电压范围：10～15 VDC(with Converter2.0:9～30VDC)；</w:t>
            </w:r>
          </w:p>
          <w:p w:rsidR="006003B4" w:rsidRPr="007472D5" w:rsidRDefault="00867333">
            <w:pPr>
              <w:widowControl/>
              <w:numPr>
                <w:ilvl w:val="255"/>
                <w:numId w:val="0"/>
              </w:numPr>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16.防护等级：IP67；</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17.测量精度需符合国家检定标准要求</w:t>
            </w:r>
            <w:r w:rsidRPr="007472D5">
              <w:rPr>
                <w:rFonts w:hint="eastAsia"/>
                <w:sz w:val="24"/>
                <w:szCs w:val="24"/>
              </w:rPr>
              <w:t>至少包括：</w:t>
            </w:r>
            <w:r w:rsidRPr="007472D5">
              <w:rPr>
                <w:sz w:val="24"/>
                <w:szCs w:val="24"/>
              </w:rPr>
              <w:t>(1)</w:t>
            </w:r>
            <w:r w:rsidRPr="007472D5">
              <w:rPr>
                <w:rFonts w:hint="eastAsia"/>
                <w:sz w:val="24"/>
                <w:szCs w:val="24"/>
              </w:rPr>
              <w:t>整车高</w:t>
            </w:r>
            <w:r w:rsidRPr="007472D5">
              <w:rPr>
                <w:sz w:val="24"/>
                <w:szCs w:val="24"/>
              </w:rPr>
              <w:t>:</w:t>
            </w:r>
            <w:r w:rsidRPr="007472D5">
              <w:rPr>
                <w:rFonts w:hint="eastAsia"/>
                <w:sz w:val="24"/>
                <w:szCs w:val="24"/>
              </w:rPr>
              <w:t>获取车头的高度；</w:t>
            </w:r>
            <w:r w:rsidRPr="007472D5">
              <w:rPr>
                <w:sz w:val="24"/>
                <w:szCs w:val="24"/>
              </w:rPr>
              <w:t>(2)</w:t>
            </w:r>
            <w:r w:rsidRPr="007472D5">
              <w:rPr>
                <w:rFonts w:hint="eastAsia"/>
                <w:sz w:val="24"/>
                <w:szCs w:val="24"/>
              </w:rPr>
              <w:t>整车长</w:t>
            </w:r>
            <w:r w:rsidRPr="007472D5">
              <w:rPr>
                <w:sz w:val="24"/>
                <w:szCs w:val="24"/>
              </w:rPr>
              <w:t>:</w:t>
            </w:r>
            <w:r w:rsidRPr="007472D5">
              <w:rPr>
                <w:rFonts w:hint="eastAsia"/>
                <w:sz w:val="24"/>
                <w:szCs w:val="24"/>
              </w:rPr>
              <w:t>获取车厢内长；</w:t>
            </w:r>
            <w:r w:rsidRPr="007472D5">
              <w:rPr>
                <w:sz w:val="24"/>
                <w:szCs w:val="24"/>
              </w:rPr>
              <w:t>(3)</w:t>
            </w:r>
            <w:r w:rsidRPr="007472D5">
              <w:rPr>
                <w:rFonts w:hint="eastAsia"/>
                <w:sz w:val="24"/>
                <w:szCs w:val="24"/>
              </w:rPr>
              <w:t>整车宽</w:t>
            </w:r>
            <w:r w:rsidRPr="007472D5">
              <w:rPr>
                <w:sz w:val="24"/>
                <w:szCs w:val="24"/>
              </w:rPr>
              <w:t>:</w:t>
            </w:r>
            <w:r w:rsidRPr="007472D5">
              <w:rPr>
                <w:rFonts w:hint="eastAsia"/>
                <w:sz w:val="24"/>
                <w:szCs w:val="24"/>
              </w:rPr>
              <w:t>获取车厢内宽；由第三方</w:t>
            </w:r>
            <w:r w:rsidRPr="007472D5">
              <w:rPr>
                <w:rFonts w:asciiTheme="minorEastAsia" w:hAnsiTheme="minorEastAsia" w:cs="宋体" w:hint="eastAsia"/>
                <w:snapToGrid w:val="0"/>
                <w:kern w:val="0"/>
                <w:sz w:val="24"/>
                <w:szCs w:val="24"/>
                <w:lang w:bidi="ar"/>
              </w:rPr>
              <w:t>计量院检测出具检定证书。</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1.8.2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激光建模单元</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内置 3D 建模算法，将接收到的激光测距数据还原为车辆三维轮廓；</w:t>
            </w:r>
          </w:p>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接口:五个10/100M自适应网口，两个RS232；</w:t>
            </w:r>
          </w:p>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接口供电:AC220Y，±15%，50Hz±3Hz；</w:t>
            </w:r>
          </w:p>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整机最大功耗:小于 50W；</w:t>
            </w:r>
          </w:p>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工作环境温度:-40℃～+70℃；</w:t>
            </w:r>
          </w:p>
          <w:p w:rsidR="006003B4" w:rsidRPr="007472D5" w:rsidRDefault="00867333" w:rsidP="00033293">
            <w:pPr>
              <w:widowControl/>
              <w:numPr>
                <w:ilvl w:val="0"/>
                <w:numId w:val="4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外壳防护等级:IP65；</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7.系统须具备三维建模功能，便于观察过车情况，实时显示过车三维监控图，显示车辆长、宽、高以及车辆三维图像。</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w:t>
            </w:r>
            <w:r w:rsidRPr="007472D5">
              <w:rPr>
                <w:rFonts w:asciiTheme="minorEastAsia" w:hAnsiTheme="minorEastAsia" w:cs="宋体" w:hint="eastAsia"/>
                <w:snapToGrid w:val="0"/>
                <w:kern w:val="0"/>
                <w:sz w:val="24"/>
                <w:szCs w:val="24"/>
              </w:rPr>
              <w:t>▲</w:t>
            </w:r>
            <w:r w:rsidRPr="007472D5">
              <w:rPr>
                <w:rFonts w:asciiTheme="minorEastAsia" w:hAnsiTheme="minorEastAsia" w:cs="宋体"/>
                <w:snapToGrid w:val="0"/>
                <w:kern w:val="0"/>
                <w:sz w:val="24"/>
                <w:szCs w:val="24"/>
                <w:lang w:bidi="ar"/>
              </w:rPr>
              <w:t>车辆箱体进行长宽高实时检测，</w:t>
            </w:r>
            <w:r w:rsidRPr="007472D5">
              <w:rPr>
                <w:rFonts w:asciiTheme="minorEastAsia" w:hAnsiTheme="minorEastAsia" w:cs="宋体" w:hint="eastAsia"/>
                <w:snapToGrid w:val="0"/>
                <w:kern w:val="0"/>
                <w:sz w:val="24"/>
                <w:szCs w:val="24"/>
                <w:lang w:bidi="ar"/>
              </w:rPr>
              <w:t>所投产品厂商为国产自主可控研发，所投软件产品应具有长宽高自动测量相关的软件著作权证书或自主知识产权证书等证明文件。</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1.8.3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外廓测量系统立杆(定制)</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1.尺寸:主杆高≥6m，横臂杆≥3m；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2.主杆件直径≥220mm，横臂杆件直径≥89mm，配套法兰；</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3.锁锌≥270g/m</w:t>
            </w:r>
            <w:r w:rsidRPr="007472D5">
              <w:rPr>
                <w:rFonts w:asciiTheme="minorEastAsia" w:hAnsiTheme="minorEastAsia" w:cs="宋体" w:hint="eastAsia"/>
                <w:snapToGrid w:val="0"/>
                <w:kern w:val="0"/>
                <w:sz w:val="24"/>
                <w:szCs w:val="24"/>
                <w:vertAlign w:val="superscript"/>
                <w:lang w:bidi="ar"/>
              </w:rPr>
              <w:t>2；</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4.抗风速度 ≥35m/s；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5.抵抗强度≥ 215Mps1；</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6.所有钢构件都进行热镀锌防腐处理。</w:t>
            </w:r>
          </w:p>
        </w:tc>
      </w:tr>
      <w:tr w:rsidR="007472D5" w:rsidRPr="007472D5" w:rsidTr="00E74167">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1.8.4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第三方检测</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1.第三方检测 首次计量院（所）检测费用（轮廓识别）。</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1.9</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控制中心设备</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1.9.1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24口POE接入交换机</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1.以太网交换机主机,≥24个10/100/1000BASE-T PoE+电口(AC 370W,DC 740W),≥4个100/1000BASE-X SFP端口,≥4个GE Combo口,支持AC/DC。</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1.9.2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超限超载监测软件系统</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过磅视频抓拍，车辆图片与称重记录绑定在一起，方便查询车辆过磅实时情况；</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具有初检数据查询、复检数据查询，可分类进行数据的报表查询。可查询现场实时数据和监控图像，并处理数据异常报警信息；</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hint="eastAsia"/>
              </w:rPr>
              <w:t>▲</w:t>
            </w:r>
            <w:r w:rsidRPr="007472D5">
              <w:rPr>
                <w:rFonts w:asciiTheme="minorEastAsia" w:hAnsiTheme="minorEastAsia" w:cs="宋体"/>
                <w:snapToGrid w:val="0"/>
                <w:kern w:val="0"/>
                <w:sz w:val="24"/>
                <w:szCs w:val="24"/>
                <w:lang w:bidi="ar"/>
              </w:rPr>
              <w:t>AI识别仪：图像防篡改，支持视频和图片具备水印和校验功能支持除时间与地点（通道地址）信息外，</w:t>
            </w:r>
            <w:r w:rsidRPr="007472D5">
              <w:rPr>
                <w:rFonts w:asciiTheme="minorEastAsia" w:hAnsiTheme="minorEastAsia" w:cs="宋体" w:hint="eastAsia"/>
                <w:snapToGrid w:val="0"/>
                <w:kern w:val="0"/>
                <w:sz w:val="24"/>
                <w:szCs w:val="24"/>
                <w:lang w:bidi="ar"/>
              </w:rPr>
              <w:t>须具备车道信息、号牌信息（号牌及颜色）、车辆信息（车身颜色及车辆类型）等；（需提供软件功能界面截图复印件加盖投标人公章）；</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称重流程定义：可支持配置各检测称重业务流程，满足打</w:t>
            </w:r>
            <w:r w:rsidRPr="007472D5">
              <w:rPr>
                <w:rFonts w:asciiTheme="minorEastAsia" w:hAnsiTheme="minorEastAsia" w:cs="宋体" w:hint="eastAsia"/>
                <w:snapToGrid w:val="0"/>
                <w:kern w:val="0"/>
                <w:sz w:val="24"/>
                <w:szCs w:val="24"/>
                <w:lang w:bidi="ar"/>
              </w:rPr>
              <w:lastRenderedPageBreak/>
              <w:t>印不同检测单的需求；</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轮廓检测：软件支持车辆三维轮廓检测功能，具备激光雷达长宽高检测功能；</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录像功能：软件支持车辆从上磅开始到下磅过程的自动录像功能； </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系统配置：系统配置中包括可修改页面标题等内容的基本配置、 设备仪配置和设置摄像头IP地址等的高级配置、 添加删除修改用户的用户管理、 登记警察和路政人员信息的磅单登记、添加删除更新治超站信息的站点登记以及连接服务器信息的服务配置；</w:t>
            </w:r>
          </w:p>
          <w:p w:rsidR="006003B4" w:rsidRPr="007472D5" w:rsidRDefault="00867333" w:rsidP="00033293">
            <w:pPr>
              <w:widowControl/>
              <w:numPr>
                <w:ilvl w:val="0"/>
                <w:numId w:val="4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智能系统硬件设备故障、地磅被安装遥控干扰装置，微信小程序、平台实时报警；</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9.▲支持底盘扫描：车辆底盘安全检测功能，具备对过磅车辆底盘进行扫描检测功能；（需提供软件功能界面截图复印件加盖投标人公章）；</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rPr>
              <w:t>10.</w:t>
            </w:r>
            <w:r w:rsidRPr="007472D5">
              <w:rPr>
                <w:rFonts w:asciiTheme="minorEastAsia" w:hAnsiTheme="minorEastAsia" w:cs="宋体" w:hint="eastAsia"/>
                <w:snapToGrid w:val="0"/>
                <w:kern w:val="0"/>
                <w:sz w:val="24"/>
                <w:szCs w:val="24"/>
                <w:lang w:bidi="ar"/>
              </w:rPr>
              <w:t>▲管理权限：软件支持多级权限管理，防止人为出错和人为作弊现象发生。（提供功能界面截图佐证，并盖投标人公章）；</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11.▲所投软件产品具有称重作弊自动报警相关软件著作权证书或自主知识产权证书等证明文件，并提供证明文件。</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1.9.3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前置工控机设备</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1.采用野外机柜，双层机箱密封设计，其电磁兼容性(EMC)温湿度控制功能应符合《动态公路车辆自动衡器》(JJG907)对称重仪表 EMC 和温湿度彩响因子的相关规定；</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2.具备数据采集、匹配、合并存储、转发和查看等功能；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3.具备RS232、RS485、以太网等多种开放、通用的数据传输接口和传输协议，具备对接入设备运行状态监测、故障诊断和故障报警等功能。平均故障间隔时间应≥20000h，平均修复时间≤30min；</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4.具有远程电源管理与控制能力，可对机柜供电状态、电流、电压、功率、用电量进行实时监控；</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5.支持可视化界面操作，具备友好的人机接口；</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6.工控机关键部件防护等级不低于IP65。</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1.9.4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液晶显示器</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1.屏幕尺寸:不低于22英寸；</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2.最佳分辨率:1920x1080；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3.接口:VGA*1，HDMI*1；</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4.面板类型:IPS；</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1.9.5</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打印机</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4"/>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黑白办公多功能打印、复印、扫描三合一体机；</w:t>
            </w:r>
          </w:p>
          <w:p w:rsidR="006003B4" w:rsidRPr="007472D5" w:rsidRDefault="00867333" w:rsidP="00033293">
            <w:pPr>
              <w:widowControl/>
              <w:numPr>
                <w:ilvl w:val="0"/>
                <w:numId w:val="44"/>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打印幅：A4；</w:t>
            </w:r>
          </w:p>
          <w:p w:rsidR="006003B4" w:rsidRPr="007472D5" w:rsidRDefault="00867333" w:rsidP="00033293">
            <w:pPr>
              <w:widowControl/>
              <w:numPr>
                <w:ilvl w:val="0"/>
                <w:numId w:val="44"/>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支持网络打印。</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 xml:space="preserve">1.10 </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基础及管线支架设施</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1.10.1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线管</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1.包含现场所需的PVC穿线管及敷设。</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1.10.2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线材</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1.包含现场所需的线材及敷设。</w:t>
            </w:r>
          </w:p>
        </w:tc>
      </w:tr>
      <w:tr w:rsidR="007472D5" w:rsidRPr="007472D5" w:rsidTr="00F716A4">
        <w:trPr>
          <w:trHeight w:val="585"/>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1.10.3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称重检测设备辅材</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1.包含现场所需的基础开挖、缆沟开挖等工作。</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2</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加装电子围栏</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2.1</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snapToGrid w:val="0"/>
                <w:kern w:val="0"/>
                <w:sz w:val="24"/>
                <w:szCs w:val="24"/>
                <w:lang w:eastAsia="en-US"/>
              </w:rPr>
            </w:pPr>
            <w:r w:rsidRPr="007472D5">
              <w:rPr>
                <w:rFonts w:asciiTheme="minorEastAsia" w:hAnsiTheme="minorEastAsia" w:cs="宋体" w:hint="eastAsia"/>
                <w:b/>
                <w:bCs/>
                <w:snapToGrid w:val="0"/>
                <w:kern w:val="0"/>
                <w:sz w:val="24"/>
                <w:szCs w:val="24"/>
                <w:lang w:bidi="ar"/>
              </w:rPr>
              <w:t>电子围栏监控设备</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16盘位网络硬盘录像机</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主处理器：工业级控制器；</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操作系统：嵌入式Linux操作系统；</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操作界面：WEB方式，本地GUI操作；</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周界后智能性能（路数）：≥4路，每路绘制≥10规则线；</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周界前智能性能（路数）：≥16路；</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接入路数：≥32路；</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分辨率：32MP、24MP、16MP 、12MP 、8MP、 6MP 、5MP、 4MP 、3MP 、1080p 、960p 、720p 、D1、 CIF；</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解码能力：不开智能：≥2路32M@20fps ，≥2路24M@20fps， ≥ 4路 16 MP@30fps， ≥5路 12 MP@30fps， ≥8路 8 MP@30fps， ≥ 12路 5 MP@30fps， ≥16路 4 MP@30fps， ≥32路 1080p@30fps ；开智能：≥1路 32 MP@20fps， ≥1路 24 MP@20fps ，≥2路 16 MP@30fps ，≥4路 12 MP@30fps ，≥4路 8 MP@30fps ，≥8路 5 MP@30fps， ≥12路 4 MP@30fps ，≥24路 1080p@30fps；</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视频输出：≥2路VGA输出，≥2路HDMI输出，其中HDMI1和HDMI2异源输出，VGA1和HDMI 1同源输出，VGA2和HDMI2同源输出，支持4K显示；</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视频压缩标准：Smart H.265/H.265/Smart H.264/H.264/MJPEG，音频压缩标准：PCM/G711A/G711U/G726/AAC；</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接入标准：ONVIF 21.12(Profile T Profile S Profile G)、CGI、SDK、GB28181、GB/T35114 A级；</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RAID：RAID0/1/5/6/10；</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硬盘热插拔：支持；</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报警联动：录像、抓图、IPC外部报警输出、蜂鸣、日志记录、预置点、邮件；</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音频输入：≥1路，RCA接口，音频输出：≥2路，RCA接口，报警输入：≥16路，报警输出：≥8路，其中1路12V1A ctrl输出；</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硬盘接口：≥16个SATA，单盘最大16T。硬盘的最大容量随环境温度而变化，eSATA接口：≥1个，RS-232接口：≥1个，RS-485接口：≥2个（1个半双工串行AB接口，1个全双工串行接口），USB接口：≥4个，2个前置USB2.0接口、2个后置USB3.0接口，HDMI接口：≥2个，VGA接口：≥2个，网络接口：≥2个 (10/100/1000 Mbps以太网口, RJ-45)；</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供电方式：AC100V–240V, 50-60Hz功耗：&lt;15W（不含硬</w:t>
            </w:r>
            <w:r w:rsidRPr="007472D5">
              <w:rPr>
                <w:rFonts w:asciiTheme="minorEastAsia" w:hAnsiTheme="minorEastAsia" w:cs="宋体" w:hint="eastAsia"/>
                <w:snapToGrid w:val="0"/>
                <w:kern w:val="0"/>
                <w:sz w:val="24"/>
                <w:szCs w:val="24"/>
                <w:lang w:bidi="ar"/>
              </w:rPr>
              <w:lastRenderedPageBreak/>
              <w:t>盘，空载）；</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支持码流采用AES256加密技术加密后在网络中传输样机支持码流采用TLS通道加密技术加密后在网络中传输（提供公安部有效检测报告复印件加盖原厂公章或原厂投标专用章）；</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应自动记录与设备信息安全相关的日志信息，作为独立的安全日志,内容包括用户登录/登出、重要和敏感操作、安全事件等,并划分独立的记录空间存储安全日志,其它日志信息不能覆盖安全日志（提供公安部有效检测报告复印件加盖原厂公章或原厂投标专用章）；</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接入带有火情检测、热点检测、温度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提供公安部有效检测报告复印件加盖原厂公章或原厂投标专用章） ；</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支持2路H.265编码、25fps、32MP分辨率的拼接摄像机视频实时预览功能（提供公安部有效检测报告复印件加盖原厂公章或原厂投标专用章）；</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可检测视频中异常音频，出现干扰信号和声音变化幅度过大时，进行报警提示（提供公安部有效检测报告复印件加盖原厂公章或原厂投标专用章）；</w:t>
            </w:r>
          </w:p>
          <w:p w:rsidR="006003B4" w:rsidRPr="007472D5" w:rsidRDefault="00867333" w:rsidP="00033293">
            <w:pPr>
              <w:widowControl/>
              <w:numPr>
                <w:ilvl w:val="0"/>
                <w:numId w:val="45"/>
              </w:numPr>
              <w:kinsoku w:val="0"/>
              <w:wordWrap w:val="0"/>
              <w:autoSpaceDE w:val="0"/>
              <w:autoSpaceDN w:val="0"/>
              <w:adjustRightInd w:val="0"/>
              <w:snapToGrid w:val="0"/>
              <w:spacing w:line="360" w:lineRule="auto"/>
              <w:ind w:left="0" w:firstLine="0"/>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支持摄像头属性调节页面直接展示视频效果，调节效果随参数调整实时展现。</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55英寸安防显示器（含支架）</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1.尺寸：不低于55寸；</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2.亮度：不低于380cd/m²；</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3.供电方式：AC100～240V，50/60Hz；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4.工作温度：0℃～+40℃。</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筒型网络摄像机(400万像素)</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传感器类型：不低于1/3英寸CMOS；</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像素：不低于400万；</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最大分辨率：不低于2560×1440；</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最低照度：不低于0.01lux（彩色模式）0.001lux（黑白模式）0lux（补光灯开启）；</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最大补光距离：不低于80m（红外）30m（暖光）；</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镜头类型：定焦；</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内置MIC：内置不低于1个MIC；</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接入标准：ONVIF（Profile S &amp; Profile T）CGIGB/T28181-2022；</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供电方式：DC12V/PoE；</w:t>
            </w:r>
          </w:p>
          <w:p w:rsidR="006003B4" w:rsidRPr="007472D5" w:rsidRDefault="00867333" w:rsidP="00033293">
            <w:pPr>
              <w:widowControl/>
              <w:numPr>
                <w:ilvl w:val="0"/>
                <w:numId w:val="46"/>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防护等级：不低于IP67；</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11.含摄像机支架。</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智能球型摄像机(400万像素)</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传感器类型：不低于1/2.8英寸CMOS；</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像素：不低于400万；</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最大分辨率：不低于2560×1440；</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最低照度：不低于彩色：0.005lux@F1.6 黑白：0.0005lux@F1.60Lux(红外灯开启)；</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最大补光距离：不低于150m（红外）；</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光学变倍：不低于23倍；</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周界防范：支持绊线入侵、区域入侵、穿越围栏、徘徊检测、物品遗留、物品搬移、快速移动、停车检测、人员聚集、人车分类报警；</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人脸检测：支持人脸检测、抓拍、人脸增强，支持人脸抠图区域可设：人脸、单寸照，支持实时抓拍、质量优先二种抓拍策略；</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防抖功能：电子防抖；</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透雾功能：电子透雾；</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网络接口：不低于1个（内置RJ-45网口，支持10M/100M网络数据）；</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供电方式：DC24V/2.5A±25%（标配）；</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防护等级：不低于IP66、TVS 6000V防雷、防浪涌和防突波保护；</w:t>
            </w:r>
          </w:p>
          <w:p w:rsidR="006003B4" w:rsidRPr="007472D5" w:rsidRDefault="00867333" w:rsidP="00033293">
            <w:pPr>
              <w:widowControl/>
              <w:numPr>
                <w:ilvl w:val="0"/>
                <w:numId w:val="47"/>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球机尺寸：不低于6寸；</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15.含摄像机支架。</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2.1.5</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智能鹰眼摄像机（含支架）</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传感器类型：全景：不低于1/2.8英寸CMOS  球机：不低于1/1.8英寸CMOS；</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像素：全景：不低于1600万球机：不低于400万；</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最低照度：全景：不低于0.002Lux（彩色模式）0.0002Lux（黑白模式）球机：0. 001Lux（彩色模式）0.0001Lux（黑白模式）0Lux（补光灯开启）；</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最大补光距离：球机：不低于100米；</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镜头焦距：全景：不低于2.8mm 球机：不低于5.3mm～134mm</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视场角：不低于全景：水平：360°垂直：103°球机：水平：3.5°～58°垂直：2°～35°对角：2°～64°；</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周界防范：全景: 绊线入侵、区域入侵、停车检测，球机: 绊线入侵、区域入侵、停车检测、穿越围栏、快速移动、物品遗留、物品搬移、人员聚集、徘徊检测；</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人脸抓拍：支持；</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人脸检测：支持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视频结构化：支持机动车、非机动车、人脸、人体检测支持跟踪、支持优选、支持抓拍、支持上报最优的抓图机动车属性（车牌，车牌颜色 ，车辆类型，车身颜色，车标，车系/年款，遮阳板，安全带，抽烟，打电话，车内饰品，年检标志）非机动车属性（类型，车身颜色，骑车人数，上衣类型，上衣颜色，帽子）人体属性（上衣类型，下衣类型，上衣颜色，下衣颜色，背包，帽子，性别，雨伞）人脸属性（性别，年龄，表情，戴眼镜，戴口罩，胡子）；</w:t>
            </w:r>
          </w:p>
          <w:p w:rsidR="006003B4" w:rsidRPr="007472D5" w:rsidRDefault="00867333" w:rsidP="00033293">
            <w:pPr>
              <w:widowControl/>
              <w:numPr>
                <w:ilvl w:val="0"/>
                <w:numId w:val="48"/>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智能编码：支持H.265、H.264；</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内置MIC：支持；</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内置扬声器：支持；</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最大Micro SD卡：不低于512GB；</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旋转范围：不低于水平：0°～360°垂直：-10°～90°；</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预置点：支持；</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音频输入：不低于2路（接线端子）；</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音频输出：不低于1路（接线端子）；</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报警输入：不低于3路（湿节点,支持直流3V～5V电位,5mA电流）；</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报警输出：不低于2路（干节点,支持直流最大30V电位,1A电流/交流最大50V电位,0.5A电流）；</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模拟输出接口：不低于1路（CVBS输出 BNC接口）；</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供电方式：DC36V；</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防护等级：不低于IP67；</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设备内置扬声器,不需要外接拾音器即可实现设备与客户端之间的双向语音对讲,对讲声音支持立体声设置选项（提供公安部有效检测报告复印件加盖原厂公章或原厂投标专用章）；</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支持自动拼接功能,可将任意连续的2～8个图像传感器</w:t>
            </w:r>
            <w:r w:rsidRPr="007472D5">
              <w:rPr>
                <w:rFonts w:asciiTheme="minorEastAsia" w:hAnsiTheme="minorEastAsia" w:cs="宋体" w:hint="eastAsia"/>
                <w:snapToGrid w:val="0"/>
                <w:kern w:val="0"/>
                <w:sz w:val="24"/>
                <w:szCs w:val="24"/>
                <w:lang w:bidi="ar"/>
              </w:rPr>
              <w:lastRenderedPageBreak/>
              <w:t>输出的监视画面进行无缝拼接显示（提供公安部有效检测报告复印件加盖原厂公章或原厂投标专用章）；</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内置拾音器,具有回声抵消功能,可抵消语音对讲时的回声影响（提供公安部有效检测报告复印件加盖原厂公章或原厂投标专用章）；</w:t>
            </w:r>
          </w:p>
          <w:p w:rsidR="006003B4" w:rsidRPr="007472D5" w:rsidRDefault="00867333" w:rsidP="00033293">
            <w:pPr>
              <w:widowControl/>
              <w:numPr>
                <w:ilvl w:val="0"/>
                <w:numId w:val="49"/>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不同智能行为分析可设置联动不同的声音,可通过内置扬声器播放（提供公安部有效检测报告复印件加盖原厂公章或原厂投标专用章）。</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2.1.6</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安防监控立杆9米</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Q235钢材，壁厚5mm，热镀锌工艺，杆高9米,含箱体、防雷接地、安装配件、辅材等。</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2.1.7</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安防监控立杆3.5米</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1.名称:监控立杆；</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2.监控立杆的材质及高度:杆高3.5米,含箱体、防雷接地、安装配件、辅材等。</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2.1.8</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LED户外投光灯</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室外Led照明灯庭院灯射灯150W，防水等级IPX5，单色冷光（5000K以上）。</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2.1.9</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24口POE接入交换机</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1.以太网交换机主机,≥24个10/100/1000BASE-T PoE+电口(AC 370W,DC 740W),≥4个100/1000BASE-X SFP端口,≥4个GE Combo口,支持AC/DC。</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2.1.10</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围栏监控系统工作站</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不低于1.酷睿i5 商用台式机电脑整机CPU：i5-10400 内存：8G 硬盘：1T 键鼠 串口 22英寸显示器。</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2.1.11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车辆道闸系统软件</w:t>
            </w:r>
          </w:p>
        </w:tc>
        <w:tc>
          <w:tcPr>
            <w:tcW w:w="3650" w:type="pct"/>
            <w:tcBorders>
              <w:top w:val="single" w:sz="4" w:space="0" w:color="000000"/>
              <w:left w:val="single" w:sz="4" w:space="0" w:color="000000"/>
              <w:bottom w:val="single" w:sz="4" w:space="0" w:color="000000"/>
              <w:right w:val="single" w:sz="4" w:space="0" w:color="000000"/>
            </w:tcBorders>
            <w:shd w:val="clear" w:color="FFFFFF" w:fill="FFFFFF"/>
            <w:vAlign w:val="center"/>
          </w:tcPr>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平台对接功能：支持将车辆入场、车辆出场、车辆预入场、车辆预出场、车位数据推等信息送至指定的http地址。</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系统管理功能：1）支持车位数管理功能，对车位数进行修改，并且可以在车位数满时控制进出车类，并给与对应的提示；2）支持密码修改功能，用户可以修改自己的登录密码；3）具有中心值守、可视对讲；4）通道视频实时预览功能；5）支持中心值守远程开关车道道闸功能；6）停车场车道道闸常开、关闸、开闸功能配置。</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放行规则功能：可按不同车类、不同时间段、车位满等不同情况设置是否自动起杆，可快速复用开闸规则至其他岗亭根据不同时间段设置道闸常开。</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系统管理功能：1）支持角色、用户、权限的管理，可以根据用户需求设定收费员、财务、管理员：2）支持操作日志管理，可以查询到用户的各类操作日志；3）支持定时任务功能，系统后台具备定时清理图片、日志等功能；4）支持SQL监控功能，针对系统数据库运行情况进行监控，可以快速的查看后台数据；5）设备状态管理，快速查看设备在线情况；</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校时功能检查：具有自动校时功能，可自动对连接的IP摄像机等设备进行校时。车辆管理功能：</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支持特殊车牌(警车、军车、应急)管理，可设置单独放行规则；</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支持包月车辆剩余天数显示、语音提醒功能；</w:t>
            </w:r>
          </w:p>
          <w:p w:rsidR="006003B4" w:rsidRPr="007472D5" w:rsidRDefault="00867333" w:rsidP="00033293">
            <w:pPr>
              <w:widowControl/>
              <w:numPr>
                <w:ilvl w:val="0"/>
                <w:numId w:val="50"/>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支持车道上车辆滞留超过设置时间语音文字提醒功能，有报警显示、语音提醒功能；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9.支持车辆倒车离场报警功能；</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10.支持获取显示道闸实时状态、使用次数、雷达状态、LED屏实时状态功能。</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2.1.12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出入口控制终端</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操作系统：内置；</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内存：不低于8GB；</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设备性能：单台不低于6车道，支持不低于5台级联；</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车道配置：车道绑定主相机、辅相机、对讲设备和监控相机，支持车道道闸设置常开、常闭时间段支持混进混出配置；</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车类管理：支持不低于5类车类：固定车、月租车、储值车、临时车和VIP车；</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车型管理：支持不低于3种车型：黄牌、蓝牌和绿牌；</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收费规则：支持按次收费、按时收费、按时段收费、按日</w:t>
            </w:r>
            <w:r w:rsidRPr="007472D5">
              <w:rPr>
                <w:rFonts w:asciiTheme="minorEastAsia" w:hAnsiTheme="minorEastAsia" w:cs="宋体" w:hint="eastAsia"/>
                <w:snapToGrid w:val="0"/>
                <w:kern w:val="0"/>
                <w:sz w:val="24"/>
                <w:szCs w:val="24"/>
                <w:lang w:bidi="ar"/>
              </w:rPr>
              <w:lastRenderedPageBreak/>
              <w:t>夜收费、分时收费；</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记录中心：支持进出记录、在场车辆、充值记录查询；</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中心值守：支持车道对讲接入、车牌号纠正、手动匹配在场记录、远程开闸、车辆费用信息展示等；</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监控中心：支持不低于6车道监控，岗亭收费、异常放行；</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云平台接入：支持接入云睿平台实现电子支付；</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异常处理：支持手动放行、手动抓拍、手动匹配、手动修改车牌；</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系统配置：自动对相机校时、软件开机自启动；</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供电方式：DC12V，5A适配器；</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停车场管理功能：1.支持填写停车场，包括场区名称、场区总车位、剩余车位、经纬度、营业起止时间、场区地址、场区类型，可以对停车场信息进行修改2.支持不低于1个母车场4个子停车场支持无人值守停车场、混进混出、出入口多相机、子母计费规则不同。（提供公安部有效检测报告复印件加盖原厂公章或原厂投标专用章）；</w:t>
            </w:r>
          </w:p>
          <w:p w:rsidR="006003B4" w:rsidRPr="007472D5" w:rsidRDefault="00867333" w:rsidP="00033293">
            <w:pPr>
              <w:widowControl/>
              <w:numPr>
                <w:ilvl w:val="0"/>
                <w:numId w:val="51"/>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进入出口车辆匹配功能：支持车牌号码+车辆结构化数据的进入出口车辆匹配功能，车辆结构化数据包括车型、车标、车系当车牌号码识别错误其中的任一位，系统可进行匹配，针对无牌车可以采用车型、车标、车系进行匹配。（提供公安部有效检测报告复印件加盖原厂公章或原厂投标专用章）。</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2.1.13</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自动道闸机(含防砸雷达)</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1.杆件类型：直杆；</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2.起杆速度：不大于1s；</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3.电机类型：直流无刷；</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4.防砸功能：支持：压力波防砸、雷达防砸、线圈防砸、红外防砸；</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5.断电抬杆：支持；</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lastRenderedPageBreak/>
              <w:t>6.遇阻反弹：支持；</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7.防撞功能：支持；</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8.断电手摇：支持；</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9.远程遥控：支持遥控器远程开关，最大距离不低于50m；</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10.供电方式：不低于AC 186～264V；</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11.工作温度：不低于-40℃～+70℃；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12.防护等级：不低于IP54；</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13.安装方式：立式，采用压铁和膨胀螺丝将道闸进行固定安装。</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车牌识别摄像机（含立柱）</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显示屏：LED屏（不低于4行4字，支持红绿黄三色显示）；</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显示屏尺寸：不低于256mm × 256mm（长 × 宽）；</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护罩内置LED灯：护罩内置≥3颗LED灯(暖光灯与红外灯可切换，暖光灯色温3000K±10%)，支持根据环境光亮度，自动控制LED灯亮灭及亮度调节。（提供公安部有效检测报告复印件加盖原厂公章或原厂投标专用章）；</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传感器类型：不低于1/1.8英寸CMOS；</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图像分辨率：不低于2688×1520（不包含OSD黑边）；</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视频压缩标准：H.265H.264BH.264MH.264HMJPEG；</w:t>
            </w:r>
            <w:r w:rsidRPr="007472D5">
              <w:rPr>
                <w:rFonts w:asciiTheme="minorEastAsia" w:hAnsiTheme="minorEastAsia" w:cs="宋体" w:hint="eastAsia"/>
                <w:snapToGrid w:val="0"/>
                <w:kern w:val="0"/>
                <w:sz w:val="24"/>
                <w:szCs w:val="24"/>
                <w:lang w:bidi="ar"/>
              </w:rPr>
              <w:br/>
              <w:t>7.  二维码：支持二维码显示信息功能；</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屏幕坏点检测：支持；</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抓拍距离：不低于2.5～6m；</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除雾功能：支持自动除雾；</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供电方式：AC110V～AC230V；</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镜头：标配；</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镜头类型：变焦；</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 xml:space="preserve"> 镜头焦距：标配不低于2.7-12 mm电动变焦镜头；</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rPr>
              <w:t>▲</w:t>
            </w:r>
            <w:r w:rsidRPr="007472D5">
              <w:rPr>
                <w:rFonts w:asciiTheme="minorEastAsia" w:hAnsiTheme="minorEastAsia" w:cs="宋体" w:hint="eastAsia"/>
                <w:snapToGrid w:val="0"/>
                <w:kern w:val="0"/>
                <w:sz w:val="24"/>
                <w:szCs w:val="24"/>
                <w:lang w:bidi="ar"/>
              </w:rPr>
              <w:t>智能帧：支持智能帧功能，对车牌和车辆实时跟</w:t>
            </w:r>
            <w:r w:rsidRPr="007472D5">
              <w:rPr>
                <w:rFonts w:asciiTheme="minorEastAsia" w:hAnsiTheme="minorEastAsia" w:cs="宋体" w:hint="eastAsia"/>
                <w:snapToGrid w:val="0"/>
                <w:kern w:val="0"/>
                <w:sz w:val="24"/>
                <w:szCs w:val="24"/>
              </w:rPr>
              <w:t>踪并识别并支持录像智能帧回放功能。（提供公安部有效检测报</w:t>
            </w:r>
            <w:r w:rsidRPr="007472D5">
              <w:rPr>
                <w:rFonts w:asciiTheme="minorEastAsia" w:hAnsiTheme="minorEastAsia" w:cs="宋体" w:hint="eastAsia"/>
                <w:snapToGrid w:val="0"/>
                <w:kern w:val="0"/>
                <w:sz w:val="24"/>
                <w:szCs w:val="24"/>
              </w:rPr>
              <w:lastRenderedPageBreak/>
              <w:t>告复印件加盖原厂公章或原厂投标专用章）；</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rPr>
              <w:t xml:space="preserve">▲防起雾功能检查：支持根据相机内部温度及设定阈值，自动开启玻璃加热。（提供公安部有效检测报告复印件加盖原厂公章或原厂投标专用章）；     </w:t>
            </w:r>
          </w:p>
          <w:p w:rsidR="006003B4" w:rsidRPr="007472D5" w:rsidRDefault="00867333" w:rsidP="00033293">
            <w:pPr>
              <w:widowControl/>
              <w:numPr>
                <w:ilvl w:val="0"/>
                <w:numId w:val="52"/>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rPr>
              <w:t>▲报警事件检查：支持黑名单车辆、车辆滞留、倒车驶离等报警事件，支持网络断开报警。（提供公安部有效检测报告复印件加盖原厂公章或原厂投标专用章）。</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lastRenderedPageBreak/>
              <w:t>2.1.15</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地埋式车辆感应器</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1、响应时间：≤100毫秒；</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2、工作温度：不低于﹣20℃～﹢65℃；</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3、频闪持续时间：无限存在；</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4、频率：不低于20KHz至170KHz；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5、工作频率：不低于20KHz至170KHz；</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6、反应时间：≤100毫秒；</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7、存在时间：无限存在；</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8、灵敏度：三级可调；</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9、线圈电感量：不低于50uH至1000uH(最佳100uH至300uH)；</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10、线圈连接线：最长≥20米，每米至少双绞20次；</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11、工作电压：220V±10%；</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12、额定功率：≤4.5W；</w:t>
            </w:r>
          </w:p>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13、存储温度：不低于﹣40℃～﹢85℃。</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eastAsia="en-US"/>
              </w:rPr>
            </w:pPr>
            <w:r w:rsidRPr="007472D5">
              <w:rPr>
                <w:rFonts w:asciiTheme="minorEastAsia" w:hAnsiTheme="minorEastAsia" w:cs="宋体" w:hint="eastAsia"/>
                <w:b/>
                <w:bCs/>
                <w:snapToGrid w:val="0"/>
                <w:kern w:val="0"/>
                <w:sz w:val="24"/>
                <w:szCs w:val="24"/>
                <w:lang w:bidi="ar"/>
              </w:rPr>
              <w:t>2.2</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snapToGrid w:val="0"/>
                <w:kern w:val="0"/>
                <w:sz w:val="24"/>
                <w:szCs w:val="24"/>
                <w:lang w:eastAsia="en-US"/>
              </w:rPr>
            </w:pPr>
            <w:r w:rsidRPr="007472D5">
              <w:rPr>
                <w:rFonts w:asciiTheme="minorEastAsia" w:hAnsiTheme="minorEastAsia" w:cs="宋体" w:hint="eastAsia"/>
                <w:b/>
                <w:bCs/>
                <w:snapToGrid w:val="0"/>
                <w:kern w:val="0"/>
                <w:sz w:val="24"/>
                <w:szCs w:val="24"/>
                <w:lang w:bidi="ar"/>
              </w:rPr>
              <w:t>基础及管线设施</w:t>
            </w:r>
          </w:p>
        </w:tc>
      </w:tr>
      <w:tr w:rsidR="007472D5" w:rsidRPr="007472D5" w:rsidTr="00E74167">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2.2.1</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eastAsia="en-US"/>
              </w:rPr>
            </w:pPr>
            <w:r w:rsidRPr="007472D5">
              <w:rPr>
                <w:rFonts w:asciiTheme="minorEastAsia" w:hAnsiTheme="minorEastAsia" w:cs="宋体" w:hint="eastAsia"/>
                <w:snapToGrid w:val="0"/>
                <w:kern w:val="0"/>
                <w:sz w:val="24"/>
                <w:szCs w:val="24"/>
                <w:lang w:bidi="ar"/>
              </w:rPr>
              <w:t>管线及设备辅材</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center"/>
              <w:rPr>
                <w:rFonts w:asciiTheme="minorEastAsia" w:hAnsiTheme="minorEastAsia" w:cs="宋体"/>
                <w:snapToGrid w:val="0"/>
                <w:kern w:val="0"/>
                <w:sz w:val="24"/>
                <w:szCs w:val="24"/>
              </w:rPr>
            </w:pPr>
            <w:r w:rsidRPr="007472D5">
              <w:rPr>
                <w:rFonts w:asciiTheme="minorEastAsia" w:hAnsiTheme="minorEastAsia" w:cs="宋体" w:hint="eastAsia"/>
                <w:snapToGrid w:val="0"/>
                <w:kern w:val="0"/>
                <w:sz w:val="24"/>
                <w:szCs w:val="24"/>
                <w:lang w:bidi="ar"/>
              </w:rPr>
              <w:t>1.所需的PVC穿线管、线材、基础及辅助材料等工作。</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b/>
                <w:bCs/>
                <w:snapToGrid w:val="0"/>
                <w:kern w:val="0"/>
                <w:sz w:val="24"/>
                <w:szCs w:val="24"/>
                <w:lang w:bidi="ar"/>
              </w:rPr>
            </w:pPr>
            <w:r w:rsidRPr="007472D5">
              <w:rPr>
                <w:rFonts w:asciiTheme="minorEastAsia" w:hAnsiTheme="minorEastAsia" w:cs="宋体" w:hint="eastAsia"/>
                <w:b/>
                <w:bCs/>
                <w:snapToGrid w:val="0"/>
                <w:kern w:val="0"/>
                <w:sz w:val="24"/>
                <w:szCs w:val="24"/>
                <w:lang w:bidi="ar"/>
              </w:rPr>
              <w:t>3</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left"/>
              <w:textAlignment w:val="baseline"/>
              <w:rPr>
                <w:rFonts w:asciiTheme="minorEastAsia" w:hAnsiTheme="minorEastAsia" w:cs="宋体"/>
                <w:b/>
                <w:bCs/>
                <w:snapToGrid w:val="0"/>
                <w:kern w:val="0"/>
                <w:sz w:val="24"/>
                <w:szCs w:val="24"/>
                <w:lang w:bidi="ar"/>
              </w:rPr>
            </w:pPr>
            <w:r w:rsidRPr="007472D5">
              <w:rPr>
                <w:rFonts w:asciiTheme="minorEastAsia" w:hAnsiTheme="minorEastAsia" w:cs="宋体" w:hint="eastAsia"/>
                <w:b/>
                <w:bCs/>
                <w:snapToGrid w:val="0"/>
                <w:kern w:val="0"/>
                <w:sz w:val="24"/>
                <w:szCs w:val="24"/>
              </w:rPr>
              <w:t>超限</w:t>
            </w:r>
            <w:r w:rsidRPr="007472D5">
              <w:rPr>
                <w:rFonts w:asciiTheme="minorEastAsia" w:hAnsiTheme="minorEastAsia" w:cs="Arial" w:hint="eastAsia"/>
                <w:b/>
                <w:bCs/>
                <w:snapToGrid w:val="0"/>
                <w:kern w:val="0"/>
                <w:sz w:val="24"/>
                <w:szCs w:val="24"/>
              </w:rPr>
              <w:t>检测</w:t>
            </w:r>
            <w:r w:rsidRPr="007472D5">
              <w:rPr>
                <w:rFonts w:asciiTheme="minorEastAsia" w:hAnsiTheme="minorEastAsia" w:cs="宋体" w:hint="eastAsia"/>
                <w:b/>
                <w:bCs/>
                <w:snapToGrid w:val="0"/>
                <w:kern w:val="0"/>
                <w:sz w:val="24"/>
                <w:szCs w:val="24"/>
              </w:rPr>
              <w:t>站</w:t>
            </w:r>
            <w:r w:rsidRPr="007472D5">
              <w:rPr>
                <w:rFonts w:asciiTheme="minorEastAsia" w:hAnsiTheme="minorEastAsia" w:cs="Arial" w:hint="eastAsia"/>
                <w:b/>
                <w:bCs/>
                <w:snapToGrid w:val="0"/>
                <w:kern w:val="0"/>
                <w:sz w:val="24"/>
                <w:szCs w:val="24"/>
              </w:rPr>
              <w:t>（点）</w:t>
            </w:r>
            <w:r w:rsidRPr="007472D5">
              <w:rPr>
                <w:rFonts w:asciiTheme="minorEastAsia" w:hAnsiTheme="minorEastAsia" w:cs="宋体" w:hint="eastAsia"/>
                <w:b/>
                <w:bCs/>
                <w:snapToGrid w:val="0"/>
                <w:kern w:val="0"/>
                <w:sz w:val="24"/>
                <w:szCs w:val="24"/>
              </w:rPr>
              <w:t>链路</w:t>
            </w:r>
            <w:r w:rsidRPr="007472D5">
              <w:rPr>
                <w:rFonts w:asciiTheme="minorEastAsia" w:hAnsiTheme="minorEastAsia" w:cs="Arial" w:hint="eastAsia"/>
                <w:b/>
                <w:bCs/>
                <w:snapToGrid w:val="0"/>
                <w:kern w:val="0"/>
                <w:sz w:val="24"/>
                <w:szCs w:val="24"/>
              </w:rPr>
              <w:t>租赁</w:t>
            </w:r>
            <w:r w:rsidRPr="007472D5">
              <w:rPr>
                <w:rFonts w:asciiTheme="minorEastAsia" w:hAnsiTheme="minorEastAsia" w:cs="宋体" w:hint="eastAsia"/>
                <w:b/>
                <w:bCs/>
                <w:snapToGrid w:val="0"/>
                <w:kern w:val="0"/>
                <w:sz w:val="24"/>
                <w:szCs w:val="24"/>
              </w:rPr>
              <w:t>服务</w:t>
            </w:r>
          </w:p>
        </w:tc>
      </w:tr>
      <w:tr w:rsidR="007472D5" w:rsidRPr="007472D5" w:rsidTr="00F716A4">
        <w:trPr>
          <w:trHeight w:val="576"/>
        </w:trPr>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pPr>
              <w:widowControl/>
              <w:wordWrap w:val="0"/>
              <w:adjustRightInd w:val="0"/>
              <w:spacing w:line="360" w:lineRule="auto"/>
              <w:jc w:val="center"/>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2.3.1</w:t>
            </w:r>
          </w:p>
        </w:tc>
        <w:tc>
          <w:tcPr>
            <w:tcW w:w="44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03B4" w:rsidRPr="007472D5" w:rsidRDefault="00867333" w:rsidP="00033293">
            <w:pPr>
              <w:widowControl/>
              <w:numPr>
                <w:ilvl w:val="0"/>
                <w:numId w:val="5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≥50M互联网专线；</w:t>
            </w:r>
          </w:p>
          <w:p w:rsidR="006003B4" w:rsidRPr="007472D5" w:rsidRDefault="00867333" w:rsidP="00033293">
            <w:pPr>
              <w:widowControl/>
              <w:numPr>
                <w:ilvl w:val="0"/>
                <w:numId w:val="5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各站（点）至本市（县）交通局；</w:t>
            </w:r>
          </w:p>
          <w:p w:rsidR="006003B4" w:rsidRPr="007472D5" w:rsidRDefault="00867333" w:rsidP="00033293">
            <w:pPr>
              <w:widowControl/>
              <w:numPr>
                <w:ilvl w:val="0"/>
                <w:numId w:val="53"/>
              </w:numPr>
              <w:kinsoku w:val="0"/>
              <w:wordWrap w:val="0"/>
              <w:autoSpaceDE w:val="0"/>
              <w:autoSpaceDN w:val="0"/>
              <w:adjustRightInd w:val="0"/>
              <w:snapToGrid w:val="0"/>
              <w:spacing w:line="360" w:lineRule="auto"/>
              <w:jc w:val="left"/>
              <w:textAlignment w:val="center"/>
              <w:rPr>
                <w:rFonts w:asciiTheme="minorEastAsia" w:hAnsiTheme="minorEastAsia" w:cs="宋体"/>
                <w:snapToGrid w:val="0"/>
                <w:kern w:val="0"/>
                <w:sz w:val="24"/>
                <w:szCs w:val="24"/>
                <w:lang w:bidi="ar"/>
              </w:rPr>
            </w:pPr>
            <w:r w:rsidRPr="007472D5">
              <w:rPr>
                <w:rFonts w:asciiTheme="minorEastAsia" w:hAnsiTheme="minorEastAsia" w:cs="宋体" w:hint="eastAsia"/>
                <w:snapToGrid w:val="0"/>
                <w:kern w:val="0"/>
                <w:sz w:val="24"/>
                <w:szCs w:val="24"/>
                <w:lang w:bidi="ar"/>
              </w:rPr>
              <w:t>服务时间：24个月。</w:t>
            </w:r>
          </w:p>
        </w:tc>
      </w:tr>
    </w:tbl>
    <w:p w:rsidR="006003B4" w:rsidRPr="007472D5" w:rsidRDefault="006003B4"/>
    <w:sectPr w:rsidR="006003B4" w:rsidRPr="007472D5">
      <w:pgSz w:w="11905" w:h="16838"/>
      <w:pgMar w:top="1440" w:right="1800" w:bottom="1440" w:left="1800" w:header="851" w:footer="82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7D59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2A" w:rsidRDefault="00402F2A">
      <w:r>
        <w:separator/>
      </w:r>
    </w:p>
  </w:endnote>
  <w:endnote w:type="continuationSeparator" w:id="0">
    <w:p w:rsidR="00402F2A" w:rsidRDefault="0040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42577"/>
    </w:sdtPr>
    <w:sdtEndPr/>
    <w:sdtContent>
      <w:p w:rsidR="00A02922" w:rsidRDefault="00A02922">
        <w:pPr>
          <w:pStyle w:val="a7"/>
          <w:jc w:val="center"/>
        </w:pPr>
        <w:r>
          <w:fldChar w:fldCharType="begin"/>
        </w:r>
        <w:r>
          <w:instrText>PAGE   \* MERGEFORMAT</w:instrText>
        </w:r>
        <w:r>
          <w:fldChar w:fldCharType="separate"/>
        </w:r>
        <w:r w:rsidR="009B6096" w:rsidRPr="009B6096">
          <w:rPr>
            <w:noProof/>
            <w:lang w:val="zh-CN" w:eastAsia="zh-CN"/>
          </w:rPr>
          <w:t>1</w:t>
        </w:r>
        <w:r>
          <w:fldChar w:fldCharType="end"/>
        </w:r>
      </w:p>
    </w:sdtContent>
  </w:sdt>
  <w:p w:rsidR="00A02922" w:rsidRDefault="00A02922">
    <w:pPr>
      <w:spacing w:line="209" w:lineRule="auto"/>
      <w:rPr>
        <w:rFonts w:ascii="宋体" w:eastAsia="宋体" w:hAnsi="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2A" w:rsidRDefault="00402F2A">
      <w:r>
        <w:separator/>
      </w:r>
    </w:p>
  </w:footnote>
  <w:footnote w:type="continuationSeparator" w:id="0">
    <w:p w:rsidR="00402F2A" w:rsidRDefault="0040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22" w:rsidRDefault="00A02922">
    <w:pPr>
      <w:spacing w:before="48" w:line="218" w:lineRule="auto"/>
      <w:ind w:left="210"/>
      <w:rPr>
        <w:rFonts w:ascii="宋体" w:eastAsia="宋体" w:hAnsi="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22" w:rsidRDefault="00A02922">
    <w:pPr>
      <w:spacing w:before="48" w:line="219" w:lineRule="auto"/>
      <w:ind w:left="1631"/>
      <w:rPr>
        <w:rFonts w:ascii="宋体" w:eastAsia="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43E5E"/>
    <w:multiLevelType w:val="singleLevel"/>
    <w:tmpl w:val="81743E5E"/>
    <w:lvl w:ilvl="0">
      <w:start w:val="1"/>
      <w:numFmt w:val="decimal"/>
      <w:lvlText w:val="%1."/>
      <w:lvlJc w:val="left"/>
      <w:pPr>
        <w:tabs>
          <w:tab w:val="left" w:pos="312"/>
        </w:tabs>
      </w:pPr>
    </w:lvl>
  </w:abstractNum>
  <w:abstractNum w:abstractNumId="1">
    <w:nsid w:val="91ABED05"/>
    <w:multiLevelType w:val="singleLevel"/>
    <w:tmpl w:val="91ABED05"/>
    <w:lvl w:ilvl="0">
      <w:start w:val="1"/>
      <w:numFmt w:val="decimal"/>
      <w:lvlText w:val="%1."/>
      <w:lvlJc w:val="left"/>
      <w:pPr>
        <w:ind w:left="425" w:hanging="425"/>
      </w:pPr>
      <w:rPr>
        <w:rFonts w:hint="default"/>
      </w:rPr>
    </w:lvl>
  </w:abstractNum>
  <w:abstractNum w:abstractNumId="2">
    <w:nsid w:val="94B7FB1F"/>
    <w:multiLevelType w:val="singleLevel"/>
    <w:tmpl w:val="94B7FB1F"/>
    <w:lvl w:ilvl="0">
      <w:start w:val="1"/>
      <w:numFmt w:val="decimal"/>
      <w:lvlText w:val="(%1)"/>
      <w:lvlJc w:val="left"/>
      <w:pPr>
        <w:ind w:left="425" w:hanging="425"/>
      </w:pPr>
      <w:rPr>
        <w:rFonts w:hint="default"/>
      </w:rPr>
    </w:lvl>
  </w:abstractNum>
  <w:abstractNum w:abstractNumId="3">
    <w:nsid w:val="9F00150A"/>
    <w:multiLevelType w:val="singleLevel"/>
    <w:tmpl w:val="9F00150A"/>
    <w:lvl w:ilvl="0">
      <w:start w:val="1"/>
      <w:numFmt w:val="decimalEnclosedCircleChinese"/>
      <w:suff w:val="nothing"/>
      <w:lvlText w:val="%1　"/>
      <w:lvlJc w:val="left"/>
      <w:pPr>
        <w:ind w:left="0" w:firstLine="400"/>
      </w:pPr>
      <w:rPr>
        <w:rFonts w:hint="eastAsia"/>
      </w:rPr>
    </w:lvl>
  </w:abstractNum>
  <w:abstractNum w:abstractNumId="4">
    <w:nsid w:val="A316B64E"/>
    <w:multiLevelType w:val="singleLevel"/>
    <w:tmpl w:val="A316B64E"/>
    <w:lvl w:ilvl="0">
      <w:start w:val="1"/>
      <w:numFmt w:val="decimal"/>
      <w:lvlText w:val="%1."/>
      <w:lvlJc w:val="left"/>
      <w:pPr>
        <w:ind w:left="425" w:hanging="425"/>
      </w:pPr>
      <w:rPr>
        <w:rFonts w:hint="default"/>
      </w:rPr>
    </w:lvl>
  </w:abstractNum>
  <w:abstractNum w:abstractNumId="5">
    <w:nsid w:val="A5496B34"/>
    <w:multiLevelType w:val="singleLevel"/>
    <w:tmpl w:val="A5496B34"/>
    <w:lvl w:ilvl="0">
      <w:start w:val="12"/>
      <w:numFmt w:val="decimal"/>
      <w:lvlText w:val="%1."/>
      <w:lvlJc w:val="left"/>
      <w:pPr>
        <w:tabs>
          <w:tab w:val="left" w:pos="312"/>
        </w:tabs>
      </w:pPr>
    </w:lvl>
  </w:abstractNum>
  <w:abstractNum w:abstractNumId="6">
    <w:nsid w:val="A7C9286A"/>
    <w:multiLevelType w:val="singleLevel"/>
    <w:tmpl w:val="A7C9286A"/>
    <w:lvl w:ilvl="0">
      <w:start w:val="1"/>
      <w:numFmt w:val="lowerLetter"/>
      <w:lvlText w:val="%1."/>
      <w:lvlJc w:val="left"/>
      <w:pPr>
        <w:ind w:left="425" w:hanging="425"/>
      </w:pPr>
      <w:rPr>
        <w:rFonts w:hint="default"/>
      </w:rPr>
    </w:lvl>
  </w:abstractNum>
  <w:abstractNum w:abstractNumId="7">
    <w:nsid w:val="AA59B865"/>
    <w:multiLevelType w:val="singleLevel"/>
    <w:tmpl w:val="AA59B865"/>
    <w:lvl w:ilvl="0">
      <w:start w:val="1"/>
      <w:numFmt w:val="decimal"/>
      <w:lvlText w:val="%1)"/>
      <w:lvlJc w:val="left"/>
      <w:pPr>
        <w:ind w:left="993" w:hanging="425"/>
      </w:pPr>
      <w:rPr>
        <w:rFonts w:hint="default"/>
      </w:rPr>
    </w:lvl>
  </w:abstractNum>
  <w:abstractNum w:abstractNumId="8">
    <w:nsid w:val="AD58ABE1"/>
    <w:multiLevelType w:val="singleLevel"/>
    <w:tmpl w:val="AD58ABE1"/>
    <w:lvl w:ilvl="0">
      <w:start w:val="1"/>
      <w:numFmt w:val="lowerLetter"/>
      <w:lvlText w:val="%1."/>
      <w:lvlJc w:val="left"/>
      <w:pPr>
        <w:ind w:left="425" w:hanging="425"/>
      </w:pPr>
      <w:rPr>
        <w:rFonts w:hint="default"/>
      </w:rPr>
    </w:lvl>
  </w:abstractNum>
  <w:abstractNum w:abstractNumId="9">
    <w:nsid w:val="B3E0347D"/>
    <w:multiLevelType w:val="singleLevel"/>
    <w:tmpl w:val="B3E0347D"/>
    <w:lvl w:ilvl="0">
      <w:start w:val="1"/>
      <w:numFmt w:val="decimal"/>
      <w:suff w:val="space"/>
      <w:lvlText w:val="%1."/>
      <w:lvlJc w:val="left"/>
    </w:lvl>
  </w:abstractNum>
  <w:abstractNum w:abstractNumId="10">
    <w:nsid w:val="BEB75A38"/>
    <w:multiLevelType w:val="singleLevel"/>
    <w:tmpl w:val="BEB75A38"/>
    <w:lvl w:ilvl="0">
      <w:start w:val="1"/>
      <w:numFmt w:val="decimal"/>
      <w:lvlText w:val="%1."/>
      <w:lvlJc w:val="left"/>
      <w:pPr>
        <w:ind w:left="1276" w:hanging="425"/>
      </w:pPr>
      <w:rPr>
        <w:rFonts w:hint="default"/>
      </w:rPr>
    </w:lvl>
  </w:abstractNum>
  <w:abstractNum w:abstractNumId="11">
    <w:nsid w:val="C20C4E5F"/>
    <w:multiLevelType w:val="singleLevel"/>
    <w:tmpl w:val="C20C4E5F"/>
    <w:lvl w:ilvl="0">
      <w:start w:val="1"/>
      <w:numFmt w:val="decimalEnclosedCircleChinese"/>
      <w:suff w:val="nothing"/>
      <w:lvlText w:val="%1　"/>
      <w:lvlJc w:val="left"/>
      <w:pPr>
        <w:ind w:left="0" w:firstLine="400"/>
      </w:pPr>
      <w:rPr>
        <w:rFonts w:hint="eastAsia"/>
      </w:rPr>
    </w:lvl>
  </w:abstractNum>
  <w:abstractNum w:abstractNumId="12">
    <w:nsid w:val="C2CC15DE"/>
    <w:multiLevelType w:val="singleLevel"/>
    <w:tmpl w:val="C2CC15DE"/>
    <w:lvl w:ilvl="0">
      <w:start w:val="1"/>
      <w:numFmt w:val="decimal"/>
      <w:lvlText w:val="%1."/>
      <w:lvlJc w:val="left"/>
      <w:pPr>
        <w:tabs>
          <w:tab w:val="left" w:pos="312"/>
        </w:tabs>
      </w:pPr>
    </w:lvl>
  </w:abstractNum>
  <w:abstractNum w:abstractNumId="13">
    <w:nsid w:val="C44E65BD"/>
    <w:multiLevelType w:val="singleLevel"/>
    <w:tmpl w:val="C44E65BD"/>
    <w:lvl w:ilvl="0">
      <w:start w:val="1"/>
      <w:numFmt w:val="decimal"/>
      <w:lvlText w:val="%1."/>
      <w:lvlJc w:val="left"/>
      <w:pPr>
        <w:ind w:left="425" w:hanging="425"/>
      </w:pPr>
      <w:rPr>
        <w:rFonts w:hint="default"/>
      </w:rPr>
    </w:lvl>
  </w:abstractNum>
  <w:abstractNum w:abstractNumId="14">
    <w:nsid w:val="C4B6745F"/>
    <w:multiLevelType w:val="singleLevel"/>
    <w:tmpl w:val="C4B6745F"/>
    <w:lvl w:ilvl="0">
      <w:start w:val="1"/>
      <w:numFmt w:val="decimal"/>
      <w:lvlText w:val="%1)"/>
      <w:lvlJc w:val="left"/>
      <w:pPr>
        <w:ind w:left="425" w:hanging="425"/>
      </w:pPr>
      <w:rPr>
        <w:rFonts w:hint="default"/>
      </w:rPr>
    </w:lvl>
  </w:abstractNum>
  <w:abstractNum w:abstractNumId="15">
    <w:nsid w:val="C7B43AD6"/>
    <w:multiLevelType w:val="singleLevel"/>
    <w:tmpl w:val="C7B43AD6"/>
    <w:lvl w:ilvl="0">
      <w:start w:val="1"/>
      <w:numFmt w:val="chineseCounting"/>
      <w:suff w:val="nothing"/>
      <w:lvlText w:val="（%1）"/>
      <w:lvlJc w:val="left"/>
      <w:pPr>
        <w:ind w:left="0" w:firstLine="420"/>
      </w:pPr>
      <w:rPr>
        <w:rFonts w:hint="eastAsia"/>
      </w:rPr>
    </w:lvl>
  </w:abstractNum>
  <w:abstractNum w:abstractNumId="16">
    <w:nsid w:val="CDE37788"/>
    <w:multiLevelType w:val="multilevel"/>
    <w:tmpl w:val="CDE37788"/>
    <w:lvl w:ilvl="0">
      <w:start w:val="1"/>
      <w:numFmt w:val="chineseCounting"/>
      <w:suff w:val="nothing"/>
      <w:lvlText w:val="第%1章 "/>
      <w:lvlJc w:val="left"/>
      <w:pPr>
        <w:tabs>
          <w:tab w:val="left" w:pos="420"/>
        </w:tabs>
        <w:ind w:left="0" w:firstLine="0"/>
      </w:pPr>
      <w:rPr>
        <w:rFonts w:ascii="黑体" w:eastAsia="黑体" w:hAnsi="黑体" w:cs="宋体" w:hint="eastAsia"/>
      </w:rPr>
    </w:lvl>
    <w:lvl w:ilvl="1">
      <w:start w:val="1"/>
      <w:numFmt w:val="decimal"/>
      <w:pStyle w:val="2"/>
      <w:isLgl/>
      <w:lvlText w:val="%1.%2"/>
      <w:lvlJc w:val="left"/>
      <w:pPr>
        <w:tabs>
          <w:tab w:val="left" w:pos="420"/>
        </w:tabs>
        <w:ind w:left="995" w:hanging="575"/>
      </w:pPr>
      <w:rPr>
        <w:rFonts w:ascii="Times New Roman" w:eastAsia="宋体" w:hAnsi="Times New Roman" w:cs="宋体" w:hint="eastAsia"/>
      </w:rPr>
    </w:lvl>
    <w:lvl w:ilvl="2">
      <w:start w:val="1"/>
      <w:numFmt w:val="decimal"/>
      <w:pStyle w:val="3"/>
      <w:isLgl/>
      <w:suff w:val="space"/>
      <w:lvlText w:val="%1.%2.%3"/>
      <w:lvlJc w:val="left"/>
      <w:pPr>
        <w:ind w:left="840" w:firstLine="0"/>
      </w:pPr>
      <w:rPr>
        <w:rFonts w:hint="eastAsia"/>
      </w:rPr>
    </w:lvl>
    <w:lvl w:ilvl="3">
      <w:start w:val="1"/>
      <w:numFmt w:val="decimal"/>
      <w:pStyle w:val="4"/>
      <w:isLgl/>
      <w:suff w:val="space"/>
      <w:lvlText w:val="%1.%2.%3.%4"/>
      <w:lvlJc w:val="left"/>
      <w:pPr>
        <w:ind w:left="1260" w:firstLine="0"/>
      </w:pPr>
      <w:rPr>
        <w:rFonts w:hint="eastAsia"/>
      </w:rPr>
    </w:lvl>
    <w:lvl w:ilvl="4">
      <w:start w:val="1"/>
      <w:numFmt w:val="decimal"/>
      <w:isLgl/>
      <w:suff w:val="space"/>
      <w:lvlText w:val="%1.%2.%3.%4.%5"/>
      <w:lvlJc w:val="left"/>
      <w:pPr>
        <w:tabs>
          <w:tab w:val="left" w:pos="420"/>
        </w:tabs>
        <w:ind w:left="0" w:firstLine="0"/>
      </w:pPr>
      <w:rPr>
        <w:rFonts w:ascii="Times New Roman" w:eastAsia="宋体" w:hAnsi="Times New Roman" w:cs="Times New Roman" w:hint="eastAsia"/>
      </w:rPr>
    </w:lvl>
    <w:lvl w:ilvl="5">
      <w:start w:val="1"/>
      <w:numFmt w:val="decimal"/>
      <w:isLgl/>
      <w:lvlText w:val="%1.%2.%3.%4.%5.%6"/>
      <w:lvlJc w:val="left"/>
      <w:pPr>
        <w:tabs>
          <w:tab w:val="left" w:pos="420"/>
        </w:tabs>
        <w:ind w:left="0" w:firstLine="0"/>
      </w:pPr>
      <w:rPr>
        <w:rFonts w:ascii="Times New Roman" w:eastAsia="宋体" w:hAnsi="Times New Roman" w:cs="宋体" w:hint="eastAsia"/>
      </w:rPr>
    </w:lvl>
    <w:lvl w:ilvl="6">
      <w:start w:val="1"/>
      <w:numFmt w:val="decimal"/>
      <w:isLgl/>
      <w:lvlText w:val="%1.%2.%3.%4.%5.%6.%7"/>
      <w:lvlJc w:val="left"/>
      <w:pPr>
        <w:ind w:left="1296" w:hanging="1296"/>
      </w:pPr>
      <w:rPr>
        <w:rFonts w:ascii="Times New Roman" w:eastAsia="宋体" w:hAnsi="Times New Roman" w:cs="宋体" w:hint="eastAsia"/>
      </w:rPr>
    </w:lvl>
    <w:lvl w:ilvl="7">
      <w:start w:val="1"/>
      <w:numFmt w:val="decimal"/>
      <w:isLgl/>
      <w:lvlText w:val="%1.%2.%3.%4.%5.%6.%7.%8."/>
      <w:lvlJc w:val="left"/>
      <w:pPr>
        <w:ind w:left="1440" w:hanging="1440"/>
      </w:pPr>
      <w:rPr>
        <w:rFonts w:ascii="宋体" w:eastAsia="宋体" w:hAnsi="宋体" w:cs="宋体" w:hint="eastAsia"/>
      </w:rPr>
    </w:lvl>
    <w:lvl w:ilvl="8">
      <w:start w:val="1"/>
      <w:numFmt w:val="decimal"/>
      <w:isLgl/>
      <w:lvlText w:val="%1.%2.%3.%4.%5.%6.%7.%8.%9."/>
      <w:lvlJc w:val="left"/>
      <w:pPr>
        <w:ind w:left="1583" w:hanging="1583"/>
      </w:pPr>
      <w:rPr>
        <w:rFonts w:hint="eastAsia"/>
      </w:rPr>
    </w:lvl>
  </w:abstractNum>
  <w:abstractNum w:abstractNumId="17">
    <w:nsid w:val="CF2FB4F2"/>
    <w:multiLevelType w:val="singleLevel"/>
    <w:tmpl w:val="CF2FB4F2"/>
    <w:lvl w:ilvl="0">
      <w:start w:val="1"/>
      <w:numFmt w:val="decimal"/>
      <w:suff w:val="space"/>
      <w:lvlText w:val="%1."/>
      <w:lvlJc w:val="left"/>
    </w:lvl>
  </w:abstractNum>
  <w:abstractNum w:abstractNumId="18">
    <w:nsid w:val="D1DB260E"/>
    <w:multiLevelType w:val="singleLevel"/>
    <w:tmpl w:val="D1DB260E"/>
    <w:lvl w:ilvl="0">
      <w:start w:val="1"/>
      <w:numFmt w:val="lowerLetter"/>
      <w:lvlText w:val="%1."/>
      <w:lvlJc w:val="left"/>
      <w:pPr>
        <w:ind w:left="420" w:hanging="420"/>
      </w:pPr>
      <w:rPr>
        <w:rFonts w:hint="eastAsia"/>
      </w:rPr>
    </w:lvl>
  </w:abstractNum>
  <w:abstractNum w:abstractNumId="19">
    <w:nsid w:val="D9D08EB0"/>
    <w:multiLevelType w:val="singleLevel"/>
    <w:tmpl w:val="D9D08EB0"/>
    <w:lvl w:ilvl="0">
      <w:start w:val="1"/>
      <w:numFmt w:val="decimal"/>
      <w:lvlText w:val="%1."/>
      <w:lvlJc w:val="left"/>
      <w:pPr>
        <w:ind w:left="425" w:hanging="425"/>
      </w:pPr>
      <w:rPr>
        <w:rFonts w:hint="default"/>
      </w:rPr>
    </w:lvl>
  </w:abstractNum>
  <w:abstractNum w:abstractNumId="20">
    <w:nsid w:val="E128F39C"/>
    <w:multiLevelType w:val="singleLevel"/>
    <w:tmpl w:val="E128F39C"/>
    <w:lvl w:ilvl="0">
      <w:start w:val="1"/>
      <w:numFmt w:val="decimalEnclosedCircleChinese"/>
      <w:suff w:val="nothing"/>
      <w:lvlText w:val="%1　"/>
      <w:lvlJc w:val="left"/>
      <w:pPr>
        <w:ind w:left="0" w:firstLine="400"/>
      </w:pPr>
      <w:rPr>
        <w:rFonts w:hint="eastAsia"/>
      </w:rPr>
    </w:lvl>
  </w:abstractNum>
  <w:abstractNum w:abstractNumId="21">
    <w:nsid w:val="E8F01867"/>
    <w:multiLevelType w:val="singleLevel"/>
    <w:tmpl w:val="E8F01867"/>
    <w:lvl w:ilvl="0">
      <w:start w:val="1"/>
      <w:numFmt w:val="decimal"/>
      <w:lvlText w:val="%1."/>
      <w:lvlJc w:val="left"/>
      <w:pPr>
        <w:tabs>
          <w:tab w:val="left" w:pos="312"/>
        </w:tabs>
      </w:pPr>
    </w:lvl>
  </w:abstractNum>
  <w:abstractNum w:abstractNumId="22">
    <w:nsid w:val="F4A6F28D"/>
    <w:multiLevelType w:val="singleLevel"/>
    <w:tmpl w:val="F4A6F28D"/>
    <w:lvl w:ilvl="0">
      <w:start w:val="1"/>
      <w:numFmt w:val="decimal"/>
      <w:lvlText w:val="%1."/>
      <w:lvlJc w:val="left"/>
      <w:pPr>
        <w:tabs>
          <w:tab w:val="left" w:pos="312"/>
        </w:tabs>
      </w:pPr>
    </w:lvl>
  </w:abstractNum>
  <w:abstractNum w:abstractNumId="23">
    <w:nsid w:val="F6011BAD"/>
    <w:multiLevelType w:val="singleLevel"/>
    <w:tmpl w:val="F6011BAD"/>
    <w:lvl w:ilvl="0">
      <w:start w:val="1"/>
      <w:numFmt w:val="chineseCounting"/>
      <w:suff w:val="nothing"/>
      <w:lvlText w:val="%1、"/>
      <w:lvlJc w:val="left"/>
      <w:pPr>
        <w:ind w:left="-420" w:firstLine="420"/>
      </w:pPr>
      <w:rPr>
        <w:rFonts w:hint="eastAsia"/>
      </w:rPr>
    </w:lvl>
  </w:abstractNum>
  <w:abstractNum w:abstractNumId="24">
    <w:nsid w:val="FB3B0D07"/>
    <w:multiLevelType w:val="singleLevel"/>
    <w:tmpl w:val="FB3B0D07"/>
    <w:lvl w:ilvl="0">
      <w:start w:val="1"/>
      <w:numFmt w:val="lowerLetter"/>
      <w:lvlText w:val="%1."/>
      <w:lvlJc w:val="left"/>
      <w:pPr>
        <w:ind w:left="425" w:hanging="425"/>
      </w:pPr>
      <w:rPr>
        <w:rFonts w:hint="default"/>
      </w:rPr>
    </w:lvl>
  </w:abstractNum>
  <w:abstractNum w:abstractNumId="25">
    <w:nsid w:val="1153280E"/>
    <w:multiLevelType w:val="singleLevel"/>
    <w:tmpl w:val="1153280E"/>
    <w:lvl w:ilvl="0">
      <w:start w:val="1"/>
      <w:numFmt w:val="chineseCounting"/>
      <w:suff w:val="nothing"/>
      <w:lvlText w:val="（%1）"/>
      <w:lvlJc w:val="left"/>
      <w:pPr>
        <w:ind w:left="0" w:firstLine="420"/>
      </w:pPr>
      <w:rPr>
        <w:rFonts w:hint="eastAsia"/>
      </w:rPr>
    </w:lvl>
  </w:abstractNum>
  <w:abstractNum w:abstractNumId="26">
    <w:nsid w:val="136E457A"/>
    <w:multiLevelType w:val="singleLevel"/>
    <w:tmpl w:val="136E457A"/>
    <w:lvl w:ilvl="0">
      <w:start w:val="1"/>
      <w:numFmt w:val="decimal"/>
      <w:lvlText w:val="(%1)"/>
      <w:lvlJc w:val="left"/>
      <w:pPr>
        <w:ind w:left="420" w:hanging="420"/>
      </w:pPr>
      <w:rPr>
        <w:rFonts w:hint="eastAsia"/>
      </w:rPr>
    </w:lvl>
  </w:abstractNum>
  <w:abstractNum w:abstractNumId="27">
    <w:nsid w:val="14324611"/>
    <w:multiLevelType w:val="singleLevel"/>
    <w:tmpl w:val="14324611"/>
    <w:lvl w:ilvl="0">
      <w:start w:val="1"/>
      <w:numFmt w:val="decimal"/>
      <w:lvlText w:val="(%1)"/>
      <w:lvlJc w:val="left"/>
      <w:pPr>
        <w:ind w:left="425" w:hanging="425"/>
      </w:pPr>
      <w:rPr>
        <w:rFonts w:hint="default"/>
      </w:rPr>
    </w:lvl>
  </w:abstractNum>
  <w:abstractNum w:abstractNumId="28">
    <w:nsid w:val="14D62A59"/>
    <w:multiLevelType w:val="singleLevel"/>
    <w:tmpl w:val="14D62A59"/>
    <w:lvl w:ilvl="0">
      <w:start w:val="1"/>
      <w:numFmt w:val="decimal"/>
      <w:lvlText w:val="%1."/>
      <w:lvlJc w:val="left"/>
      <w:pPr>
        <w:tabs>
          <w:tab w:val="left" w:pos="312"/>
        </w:tabs>
      </w:pPr>
    </w:lvl>
  </w:abstractNum>
  <w:abstractNum w:abstractNumId="29">
    <w:nsid w:val="15E23596"/>
    <w:multiLevelType w:val="singleLevel"/>
    <w:tmpl w:val="15E23596"/>
    <w:lvl w:ilvl="0">
      <w:start w:val="1"/>
      <w:numFmt w:val="chineseCounting"/>
      <w:suff w:val="nothing"/>
      <w:lvlText w:val="（%1）"/>
      <w:lvlJc w:val="left"/>
      <w:pPr>
        <w:ind w:left="0" w:firstLine="420"/>
      </w:pPr>
      <w:rPr>
        <w:rFonts w:hint="eastAsia"/>
      </w:rPr>
    </w:lvl>
  </w:abstractNum>
  <w:abstractNum w:abstractNumId="30">
    <w:nsid w:val="1A85BB1D"/>
    <w:multiLevelType w:val="singleLevel"/>
    <w:tmpl w:val="1A85BB1D"/>
    <w:lvl w:ilvl="0">
      <w:start w:val="1"/>
      <w:numFmt w:val="decimal"/>
      <w:lvlText w:val="%1."/>
      <w:lvlJc w:val="left"/>
      <w:pPr>
        <w:ind w:left="425" w:hanging="425"/>
      </w:pPr>
      <w:rPr>
        <w:rFonts w:hint="default"/>
      </w:rPr>
    </w:lvl>
  </w:abstractNum>
  <w:abstractNum w:abstractNumId="31">
    <w:nsid w:val="1EB401FC"/>
    <w:multiLevelType w:val="singleLevel"/>
    <w:tmpl w:val="1EB401FC"/>
    <w:lvl w:ilvl="0">
      <w:start w:val="1"/>
      <w:numFmt w:val="decimal"/>
      <w:lvlText w:val="%1."/>
      <w:lvlJc w:val="left"/>
      <w:pPr>
        <w:tabs>
          <w:tab w:val="left" w:pos="312"/>
        </w:tabs>
      </w:pPr>
    </w:lvl>
  </w:abstractNum>
  <w:abstractNum w:abstractNumId="32">
    <w:nsid w:val="1F3523B3"/>
    <w:multiLevelType w:val="singleLevel"/>
    <w:tmpl w:val="1F3523B3"/>
    <w:lvl w:ilvl="0">
      <w:start w:val="1"/>
      <w:numFmt w:val="decimal"/>
      <w:lvlText w:val="(%1)"/>
      <w:lvlJc w:val="left"/>
      <w:pPr>
        <w:ind w:left="425" w:hanging="425"/>
      </w:pPr>
      <w:rPr>
        <w:rFonts w:hint="default"/>
      </w:rPr>
    </w:lvl>
  </w:abstractNum>
  <w:abstractNum w:abstractNumId="33">
    <w:nsid w:val="239D0786"/>
    <w:multiLevelType w:val="singleLevel"/>
    <w:tmpl w:val="239D0786"/>
    <w:lvl w:ilvl="0">
      <w:start w:val="1"/>
      <w:numFmt w:val="decimal"/>
      <w:lvlText w:val="%1)"/>
      <w:lvlJc w:val="left"/>
      <w:pPr>
        <w:ind w:left="845" w:hanging="425"/>
      </w:pPr>
      <w:rPr>
        <w:rFonts w:hint="default"/>
      </w:rPr>
    </w:lvl>
  </w:abstractNum>
  <w:abstractNum w:abstractNumId="34">
    <w:nsid w:val="242F70EA"/>
    <w:multiLevelType w:val="singleLevel"/>
    <w:tmpl w:val="242F70EA"/>
    <w:lvl w:ilvl="0">
      <w:start w:val="1"/>
      <w:numFmt w:val="decimal"/>
      <w:lvlText w:val="(%1)"/>
      <w:lvlJc w:val="left"/>
      <w:pPr>
        <w:ind w:left="840" w:hanging="420"/>
      </w:pPr>
      <w:rPr>
        <w:rFonts w:hint="eastAsia"/>
      </w:rPr>
    </w:lvl>
  </w:abstractNum>
  <w:abstractNum w:abstractNumId="35">
    <w:nsid w:val="2EB04C98"/>
    <w:multiLevelType w:val="singleLevel"/>
    <w:tmpl w:val="2EB04C98"/>
    <w:lvl w:ilvl="0">
      <w:start w:val="1"/>
      <w:numFmt w:val="decimal"/>
      <w:lvlText w:val="%1."/>
      <w:lvlJc w:val="left"/>
      <w:pPr>
        <w:tabs>
          <w:tab w:val="left" w:pos="312"/>
        </w:tabs>
      </w:pPr>
    </w:lvl>
  </w:abstractNum>
  <w:abstractNum w:abstractNumId="36">
    <w:nsid w:val="384ACD09"/>
    <w:multiLevelType w:val="singleLevel"/>
    <w:tmpl w:val="384ACD09"/>
    <w:lvl w:ilvl="0">
      <w:start w:val="1"/>
      <w:numFmt w:val="decimal"/>
      <w:lvlText w:val="%1."/>
      <w:lvlJc w:val="left"/>
      <w:pPr>
        <w:tabs>
          <w:tab w:val="left" w:pos="312"/>
        </w:tabs>
      </w:pPr>
    </w:lvl>
  </w:abstractNum>
  <w:abstractNum w:abstractNumId="37">
    <w:nsid w:val="385F86A8"/>
    <w:multiLevelType w:val="singleLevel"/>
    <w:tmpl w:val="385F86A8"/>
    <w:lvl w:ilvl="0">
      <w:start w:val="1"/>
      <w:numFmt w:val="lowerLetter"/>
      <w:lvlText w:val="%1."/>
      <w:lvlJc w:val="left"/>
      <w:pPr>
        <w:ind w:left="425" w:hanging="425"/>
      </w:pPr>
      <w:rPr>
        <w:rFonts w:hint="default"/>
      </w:rPr>
    </w:lvl>
  </w:abstractNum>
  <w:abstractNum w:abstractNumId="38">
    <w:nsid w:val="39BBFC58"/>
    <w:multiLevelType w:val="singleLevel"/>
    <w:tmpl w:val="39BBFC58"/>
    <w:lvl w:ilvl="0">
      <w:start w:val="1"/>
      <w:numFmt w:val="decimal"/>
      <w:lvlText w:val="(%1)"/>
      <w:lvlJc w:val="left"/>
      <w:pPr>
        <w:ind w:left="420" w:hanging="420"/>
      </w:pPr>
      <w:rPr>
        <w:rFonts w:hint="eastAsia"/>
      </w:rPr>
    </w:lvl>
  </w:abstractNum>
  <w:abstractNum w:abstractNumId="39">
    <w:nsid w:val="421E17AA"/>
    <w:multiLevelType w:val="singleLevel"/>
    <w:tmpl w:val="421E17AA"/>
    <w:lvl w:ilvl="0">
      <w:start w:val="1"/>
      <w:numFmt w:val="decimal"/>
      <w:lvlText w:val="(%1)"/>
      <w:lvlJc w:val="left"/>
      <w:pPr>
        <w:ind w:left="420" w:hanging="420"/>
      </w:pPr>
      <w:rPr>
        <w:rFonts w:hint="eastAsia"/>
      </w:rPr>
    </w:lvl>
  </w:abstractNum>
  <w:abstractNum w:abstractNumId="40">
    <w:nsid w:val="483DC701"/>
    <w:multiLevelType w:val="singleLevel"/>
    <w:tmpl w:val="483DC701"/>
    <w:lvl w:ilvl="0">
      <w:start w:val="1"/>
      <w:numFmt w:val="decimal"/>
      <w:lvlText w:val="(%1)"/>
      <w:lvlJc w:val="left"/>
      <w:pPr>
        <w:ind w:left="425" w:hanging="425"/>
      </w:pPr>
      <w:rPr>
        <w:rFonts w:hint="default"/>
      </w:rPr>
    </w:lvl>
  </w:abstractNum>
  <w:abstractNum w:abstractNumId="41">
    <w:nsid w:val="490575CA"/>
    <w:multiLevelType w:val="multilevel"/>
    <w:tmpl w:val="490575CA"/>
    <w:lvl w:ilvl="0">
      <w:start w:val="1"/>
      <w:numFmt w:val="lowerLetter"/>
      <w:lvlText w:val="%1."/>
      <w:lvlJc w:val="left"/>
      <w:pPr>
        <w:ind w:left="1124" w:hanging="420"/>
      </w:pPr>
      <w:rPr>
        <w:rFonts w:hint="eastAsia"/>
      </w:r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42">
    <w:nsid w:val="5236A669"/>
    <w:multiLevelType w:val="singleLevel"/>
    <w:tmpl w:val="5236A669"/>
    <w:lvl w:ilvl="0">
      <w:start w:val="1"/>
      <w:numFmt w:val="decimal"/>
      <w:lvlText w:val="%1."/>
      <w:lvlJc w:val="left"/>
      <w:pPr>
        <w:ind w:left="425" w:hanging="425"/>
      </w:pPr>
      <w:rPr>
        <w:rFonts w:hint="default"/>
      </w:rPr>
    </w:lvl>
  </w:abstractNum>
  <w:abstractNum w:abstractNumId="43">
    <w:nsid w:val="55198BAF"/>
    <w:multiLevelType w:val="singleLevel"/>
    <w:tmpl w:val="55198BAF"/>
    <w:lvl w:ilvl="0">
      <w:start w:val="1"/>
      <w:numFmt w:val="decimal"/>
      <w:lvlText w:val="%1."/>
      <w:lvlJc w:val="left"/>
      <w:pPr>
        <w:tabs>
          <w:tab w:val="left" w:pos="312"/>
        </w:tabs>
      </w:pPr>
    </w:lvl>
  </w:abstractNum>
  <w:abstractNum w:abstractNumId="44">
    <w:nsid w:val="5582E3EC"/>
    <w:multiLevelType w:val="singleLevel"/>
    <w:tmpl w:val="5582E3EC"/>
    <w:lvl w:ilvl="0">
      <w:start w:val="1"/>
      <w:numFmt w:val="decimal"/>
      <w:lvlText w:val="%1."/>
      <w:lvlJc w:val="left"/>
      <w:pPr>
        <w:ind w:left="425" w:hanging="425"/>
      </w:pPr>
      <w:rPr>
        <w:rFonts w:hint="default"/>
      </w:rPr>
    </w:lvl>
  </w:abstractNum>
  <w:abstractNum w:abstractNumId="45">
    <w:nsid w:val="6130C44B"/>
    <w:multiLevelType w:val="singleLevel"/>
    <w:tmpl w:val="6130C44B"/>
    <w:lvl w:ilvl="0">
      <w:start w:val="1"/>
      <w:numFmt w:val="upperLetter"/>
      <w:lvlText w:val="%1."/>
      <w:lvlJc w:val="left"/>
      <w:pPr>
        <w:ind w:left="425" w:hanging="425"/>
      </w:pPr>
      <w:rPr>
        <w:rFonts w:hint="default"/>
      </w:rPr>
    </w:lvl>
  </w:abstractNum>
  <w:abstractNum w:abstractNumId="46">
    <w:nsid w:val="64B03B12"/>
    <w:multiLevelType w:val="singleLevel"/>
    <w:tmpl w:val="64B03B12"/>
    <w:lvl w:ilvl="0">
      <w:start w:val="1"/>
      <w:numFmt w:val="decimal"/>
      <w:lvlText w:val="%1."/>
      <w:lvlJc w:val="left"/>
      <w:pPr>
        <w:tabs>
          <w:tab w:val="left" w:pos="312"/>
        </w:tabs>
      </w:pPr>
    </w:lvl>
  </w:abstractNum>
  <w:abstractNum w:abstractNumId="47">
    <w:nsid w:val="66BEF9A3"/>
    <w:multiLevelType w:val="singleLevel"/>
    <w:tmpl w:val="66BEF9A3"/>
    <w:lvl w:ilvl="0">
      <w:start w:val="1"/>
      <w:numFmt w:val="decimal"/>
      <w:lvlText w:val="%1."/>
      <w:lvlJc w:val="left"/>
      <w:pPr>
        <w:tabs>
          <w:tab w:val="left" w:pos="312"/>
        </w:tabs>
      </w:pPr>
    </w:lvl>
  </w:abstractNum>
  <w:abstractNum w:abstractNumId="48">
    <w:nsid w:val="7210EB50"/>
    <w:multiLevelType w:val="singleLevel"/>
    <w:tmpl w:val="7210EB50"/>
    <w:lvl w:ilvl="0">
      <w:start w:val="1"/>
      <w:numFmt w:val="lowerLetter"/>
      <w:lvlText w:val="%1."/>
      <w:lvlJc w:val="left"/>
      <w:pPr>
        <w:ind w:left="1050" w:hanging="420"/>
      </w:pPr>
      <w:rPr>
        <w:rFonts w:hint="eastAsia"/>
      </w:rPr>
    </w:lvl>
  </w:abstractNum>
  <w:abstractNum w:abstractNumId="49">
    <w:nsid w:val="745A822A"/>
    <w:multiLevelType w:val="singleLevel"/>
    <w:tmpl w:val="745A822A"/>
    <w:lvl w:ilvl="0">
      <w:start w:val="1"/>
      <w:numFmt w:val="decimal"/>
      <w:lvlText w:val="%1)"/>
      <w:lvlJc w:val="left"/>
      <w:pPr>
        <w:ind w:left="845" w:hanging="425"/>
      </w:pPr>
      <w:rPr>
        <w:rFonts w:hint="default"/>
      </w:rPr>
    </w:lvl>
  </w:abstractNum>
  <w:abstractNum w:abstractNumId="50">
    <w:nsid w:val="7A6125F2"/>
    <w:multiLevelType w:val="singleLevel"/>
    <w:tmpl w:val="7A6125F2"/>
    <w:lvl w:ilvl="0">
      <w:start w:val="1"/>
      <w:numFmt w:val="bullet"/>
      <w:lvlText w:val=""/>
      <w:lvlJc w:val="left"/>
      <w:pPr>
        <w:ind w:left="420" w:hanging="420"/>
      </w:pPr>
      <w:rPr>
        <w:rFonts w:ascii="Wingdings" w:hAnsi="Wingdings" w:hint="default"/>
      </w:rPr>
    </w:lvl>
  </w:abstractNum>
  <w:abstractNum w:abstractNumId="51">
    <w:nsid w:val="7AB4C96A"/>
    <w:multiLevelType w:val="singleLevel"/>
    <w:tmpl w:val="7AB4C96A"/>
    <w:lvl w:ilvl="0">
      <w:start w:val="1"/>
      <w:numFmt w:val="decimal"/>
      <w:lvlText w:val="%1)"/>
      <w:lvlJc w:val="left"/>
      <w:pPr>
        <w:ind w:left="845" w:hanging="425"/>
      </w:pPr>
      <w:rPr>
        <w:rFonts w:hint="default"/>
      </w:rPr>
    </w:lvl>
  </w:abstractNum>
  <w:abstractNum w:abstractNumId="52">
    <w:nsid w:val="7E0953E2"/>
    <w:multiLevelType w:val="singleLevel"/>
    <w:tmpl w:val="7E0953E2"/>
    <w:lvl w:ilvl="0">
      <w:start w:val="1"/>
      <w:numFmt w:val="decimalEnclosedCircleChinese"/>
      <w:suff w:val="nothing"/>
      <w:lvlText w:val="%1　"/>
      <w:lvlJc w:val="left"/>
      <w:pPr>
        <w:ind w:left="0" w:firstLine="400"/>
      </w:pPr>
      <w:rPr>
        <w:rFonts w:hint="eastAsia"/>
      </w:rPr>
    </w:lvl>
  </w:abstractNum>
  <w:num w:numId="1">
    <w:abstractNumId w:val="16"/>
  </w:num>
  <w:num w:numId="2">
    <w:abstractNumId w:val="45"/>
  </w:num>
  <w:num w:numId="3">
    <w:abstractNumId w:val="23"/>
  </w:num>
  <w:num w:numId="4">
    <w:abstractNumId w:val="25"/>
  </w:num>
  <w:num w:numId="5">
    <w:abstractNumId w:val="15"/>
  </w:num>
  <w:num w:numId="6">
    <w:abstractNumId w:val="10"/>
  </w:num>
  <w:num w:numId="7">
    <w:abstractNumId w:val="4"/>
  </w:num>
  <w:num w:numId="8">
    <w:abstractNumId w:val="7"/>
  </w:num>
  <w:num w:numId="9">
    <w:abstractNumId w:val="49"/>
  </w:num>
  <w:num w:numId="10">
    <w:abstractNumId w:val="13"/>
  </w:num>
  <w:num w:numId="11">
    <w:abstractNumId w:val="1"/>
  </w:num>
  <w:num w:numId="12">
    <w:abstractNumId w:val="34"/>
  </w:num>
  <w:num w:numId="13">
    <w:abstractNumId w:val="44"/>
  </w:num>
  <w:num w:numId="14">
    <w:abstractNumId w:val="51"/>
  </w:num>
  <w:num w:numId="15">
    <w:abstractNumId w:val="33"/>
  </w:num>
  <w:num w:numId="16">
    <w:abstractNumId w:val="29"/>
  </w:num>
  <w:num w:numId="17">
    <w:abstractNumId w:val="30"/>
  </w:num>
  <w:num w:numId="18">
    <w:abstractNumId w:val="38"/>
  </w:num>
  <w:num w:numId="19">
    <w:abstractNumId w:val="48"/>
  </w:num>
  <w:num w:numId="20">
    <w:abstractNumId w:val="39"/>
  </w:num>
  <w:num w:numId="21">
    <w:abstractNumId w:val="26"/>
  </w:num>
  <w:num w:numId="22">
    <w:abstractNumId w:val="18"/>
  </w:num>
  <w:num w:numId="23">
    <w:abstractNumId w:val="52"/>
  </w:num>
  <w:num w:numId="24">
    <w:abstractNumId w:val="41"/>
  </w:num>
  <w:num w:numId="25">
    <w:abstractNumId w:val="50"/>
  </w:num>
  <w:num w:numId="26">
    <w:abstractNumId w:val="19"/>
  </w:num>
  <w:num w:numId="27">
    <w:abstractNumId w:val="32"/>
  </w:num>
  <w:num w:numId="28">
    <w:abstractNumId w:val="27"/>
  </w:num>
  <w:num w:numId="29">
    <w:abstractNumId w:val="40"/>
  </w:num>
  <w:num w:numId="30">
    <w:abstractNumId w:val="2"/>
  </w:num>
  <w:num w:numId="31">
    <w:abstractNumId w:val="14"/>
  </w:num>
  <w:num w:numId="32">
    <w:abstractNumId w:val="20"/>
  </w:num>
  <w:num w:numId="33">
    <w:abstractNumId w:val="37"/>
  </w:num>
  <w:num w:numId="34">
    <w:abstractNumId w:val="8"/>
  </w:num>
  <w:num w:numId="35">
    <w:abstractNumId w:val="11"/>
  </w:num>
  <w:num w:numId="36">
    <w:abstractNumId w:val="6"/>
  </w:num>
  <w:num w:numId="37">
    <w:abstractNumId w:val="24"/>
  </w:num>
  <w:num w:numId="38">
    <w:abstractNumId w:val="3"/>
  </w:num>
  <w:num w:numId="39">
    <w:abstractNumId w:val="35"/>
  </w:num>
  <w:num w:numId="40">
    <w:abstractNumId w:val="12"/>
  </w:num>
  <w:num w:numId="41">
    <w:abstractNumId w:val="36"/>
  </w:num>
  <w:num w:numId="42">
    <w:abstractNumId w:val="31"/>
  </w:num>
  <w:num w:numId="43">
    <w:abstractNumId w:val="47"/>
  </w:num>
  <w:num w:numId="44">
    <w:abstractNumId w:val="21"/>
  </w:num>
  <w:num w:numId="45">
    <w:abstractNumId w:val="42"/>
  </w:num>
  <w:num w:numId="46">
    <w:abstractNumId w:val="0"/>
  </w:num>
  <w:num w:numId="47">
    <w:abstractNumId w:val="46"/>
  </w:num>
  <w:num w:numId="48">
    <w:abstractNumId w:val="22"/>
  </w:num>
  <w:num w:numId="49">
    <w:abstractNumId w:val="5"/>
  </w:num>
  <w:num w:numId="50">
    <w:abstractNumId w:val="28"/>
  </w:num>
  <w:num w:numId="51">
    <w:abstractNumId w:val="43"/>
  </w:num>
  <w:num w:numId="52">
    <w:abstractNumId w:val="17"/>
  </w:num>
  <w:num w:numId="53">
    <w:abstractNumId w:val="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glh">
    <w15:presenceInfo w15:providerId="None" w15:userId="linglh"/>
  </w15:person>
  <w15:person w15:author="龚德江">
    <w15:presenceInfo w15:providerId="None" w15:userId="龚德江"/>
  </w15:person>
  <w15:person w15:author="DELL">
    <w15:presenceInfo w15:providerId="None" w15:userId="DELL"/>
  </w15:person>
  <w15:person w15:author="凌紫馨">
    <w15:presenceInfo w15:providerId="WPS Office" w15:userId="182287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hideSpelling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09"/>
    <w:rsid w:val="00021003"/>
    <w:rsid w:val="00033293"/>
    <w:rsid w:val="00046B75"/>
    <w:rsid w:val="000C368D"/>
    <w:rsid w:val="00132E59"/>
    <w:rsid w:val="00137A46"/>
    <w:rsid w:val="001A6356"/>
    <w:rsid w:val="001F389F"/>
    <w:rsid w:val="00247019"/>
    <w:rsid w:val="002A1D22"/>
    <w:rsid w:val="002C54C8"/>
    <w:rsid w:val="002F7CFA"/>
    <w:rsid w:val="003C219D"/>
    <w:rsid w:val="003D006D"/>
    <w:rsid w:val="00402F2A"/>
    <w:rsid w:val="004E76FF"/>
    <w:rsid w:val="00514744"/>
    <w:rsid w:val="0053049F"/>
    <w:rsid w:val="005526FD"/>
    <w:rsid w:val="00593E6D"/>
    <w:rsid w:val="006003B4"/>
    <w:rsid w:val="00640885"/>
    <w:rsid w:val="00642653"/>
    <w:rsid w:val="0064291D"/>
    <w:rsid w:val="00682B94"/>
    <w:rsid w:val="00721A23"/>
    <w:rsid w:val="007437C7"/>
    <w:rsid w:val="007472D5"/>
    <w:rsid w:val="00773745"/>
    <w:rsid w:val="00774B47"/>
    <w:rsid w:val="0077637C"/>
    <w:rsid w:val="007A644F"/>
    <w:rsid w:val="007E1C57"/>
    <w:rsid w:val="007E3316"/>
    <w:rsid w:val="00867333"/>
    <w:rsid w:val="00872B5E"/>
    <w:rsid w:val="00897F44"/>
    <w:rsid w:val="0092401E"/>
    <w:rsid w:val="009B6096"/>
    <w:rsid w:val="00A02922"/>
    <w:rsid w:val="00A93766"/>
    <w:rsid w:val="00B12794"/>
    <w:rsid w:val="00B536F7"/>
    <w:rsid w:val="00B628C4"/>
    <w:rsid w:val="00B75C6E"/>
    <w:rsid w:val="00C47F04"/>
    <w:rsid w:val="00C739F4"/>
    <w:rsid w:val="00CA448F"/>
    <w:rsid w:val="00CD5A47"/>
    <w:rsid w:val="00CF5010"/>
    <w:rsid w:val="00D6549E"/>
    <w:rsid w:val="00D86309"/>
    <w:rsid w:val="00D940A7"/>
    <w:rsid w:val="00DD2C05"/>
    <w:rsid w:val="00E059B6"/>
    <w:rsid w:val="00E74167"/>
    <w:rsid w:val="00EA51BE"/>
    <w:rsid w:val="00EC7CF7"/>
    <w:rsid w:val="00EE46EF"/>
    <w:rsid w:val="00F1196C"/>
    <w:rsid w:val="00F247F1"/>
    <w:rsid w:val="00F716A4"/>
    <w:rsid w:val="00F96A37"/>
    <w:rsid w:val="01C00F0B"/>
    <w:rsid w:val="034157FB"/>
    <w:rsid w:val="04F57A41"/>
    <w:rsid w:val="05AE0F09"/>
    <w:rsid w:val="06071E10"/>
    <w:rsid w:val="06AB4FE9"/>
    <w:rsid w:val="08B83E1F"/>
    <w:rsid w:val="094A2EFF"/>
    <w:rsid w:val="099401B6"/>
    <w:rsid w:val="0AC1214D"/>
    <w:rsid w:val="0D921D8F"/>
    <w:rsid w:val="0DF72CA0"/>
    <w:rsid w:val="10C7057C"/>
    <w:rsid w:val="10D517BE"/>
    <w:rsid w:val="117C457A"/>
    <w:rsid w:val="11E9770A"/>
    <w:rsid w:val="123F63D5"/>
    <w:rsid w:val="13813EB0"/>
    <w:rsid w:val="13EE5137"/>
    <w:rsid w:val="13F25EC4"/>
    <w:rsid w:val="13F976AF"/>
    <w:rsid w:val="146F5CE8"/>
    <w:rsid w:val="14F57810"/>
    <w:rsid w:val="155E3338"/>
    <w:rsid w:val="17CB014D"/>
    <w:rsid w:val="184616E2"/>
    <w:rsid w:val="1C666678"/>
    <w:rsid w:val="1DBA25D3"/>
    <w:rsid w:val="1F8956F9"/>
    <w:rsid w:val="217D437D"/>
    <w:rsid w:val="24B91FA0"/>
    <w:rsid w:val="24D9601F"/>
    <w:rsid w:val="28FE1BD9"/>
    <w:rsid w:val="2C721392"/>
    <w:rsid w:val="2E992581"/>
    <w:rsid w:val="33322D20"/>
    <w:rsid w:val="345A4392"/>
    <w:rsid w:val="35CC4512"/>
    <w:rsid w:val="367E6608"/>
    <w:rsid w:val="36A6395E"/>
    <w:rsid w:val="36E65199"/>
    <w:rsid w:val="37EF6F2B"/>
    <w:rsid w:val="3AB15A8D"/>
    <w:rsid w:val="3B190451"/>
    <w:rsid w:val="3B4756B8"/>
    <w:rsid w:val="3BA526DD"/>
    <w:rsid w:val="3D65748B"/>
    <w:rsid w:val="3E7C209A"/>
    <w:rsid w:val="3F513170"/>
    <w:rsid w:val="43F37AD5"/>
    <w:rsid w:val="44462D5C"/>
    <w:rsid w:val="45DF1410"/>
    <w:rsid w:val="4641561D"/>
    <w:rsid w:val="470925F2"/>
    <w:rsid w:val="485D5595"/>
    <w:rsid w:val="48B215B5"/>
    <w:rsid w:val="4A2F09F9"/>
    <w:rsid w:val="4B7A3656"/>
    <w:rsid w:val="4C4C6473"/>
    <w:rsid w:val="4C96360B"/>
    <w:rsid w:val="4CEE08D2"/>
    <w:rsid w:val="4D1823A7"/>
    <w:rsid w:val="4D2834AF"/>
    <w:rsid w:val="4E9854E3"/>
    <w:rsid w:val="4F101E28"/>
    <w:rsid w:val="4F2C5674"/>
    <w:rsid w:val="4FFE2177"/>
    <w:rsid w:val="50FE637F"/>
    <w:rsid w:val="511F58B7"/>
    <w:rsid w:val="527F3FEB"/>
    <w:rsid w:val="537B30C5"/>
    <w:rsid w:val="54B33195"/>
    <w:rsid w:val="591D5016"/>
    <w:rsid w:val="5BBD1BD7"/>
    <w:rsid w:val="5C6C2D78"/>
    <w:rsid w:val="5CBE449B"/>
    <w:rsid w:val="5F9D0B19"/>
    <w:rsid w:val="5FA62A45"/>
    <w:rsid w:val="603E77AD"/>
    <w:rsid w:val="62E273A4"/>
    <w:rsid w:val="64A93EF7"/>
    <w:rsid w:val="672F6514"/>
    <w:rsid w:val="67980C16"/>
    <w:rsid w:val="6E9F6FDD"/>
    <w:rsid w:val="6EFF7063"/>
    <w:rsid w:val="70540A90"/>
    <w:rsid w:val="768908A6"/>
    <w:rsid w:val="77B76760"/>
    <w:rsid w:val="78510D8A"/>
    <w:rsid w:val="792E7569"/>
    <w:rsid w:val="79BE0054"/>
    <w:rsid w:val="7CB36172"/>
    <w:rsid w:val="7D3868E2"/>
    <w:rsid w:val="7DEB6F2B"/>
    <w:rsid w:val="7FBA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qFormat="1"/>
    <w:lsdException w:name="footer" w:semiHidden="0" w:unhideWhenUsed="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widowControl/>
      <w:kinsoku w:val="0"/>
      <w:autoSpaceDE w:val="0"/>
      <w:autoSpaceDN w:val="0"/>
      <w:adjustRightInd w:val="0"/>
      <w:snapToGrid w:val="0"/>
      <w:spacing w:after="120" w:line="360" w:lineRule="auto"/>
      <w:jc w:val="left"/>
      <w:textAlignment w:val="baseline"/>
      <w:outlineLvl w:val="0"/>
    </w:pPr>
    <w:rPr>
      <w:rFonts w:ascii="Arial" w:eastAsia="Arial" w:hAnsi="Arial" w:cs="Arial"/>
      <w:snapToGrid w:val="0"/>
      <w:color w:val="000000"/>
      <w:kern w:val="44"/>
      <w:sz w:val="28"/>
      <w:szCs w:val="28"/>
      <w:lang w:eastAsia="en-US"/>
    </w:rPr>
  </w:style>
  <w:style w:type="paragraph" w:styleId="2">
    <w:name w:val="heading 2"/>
    <w:basedOn w:val="a"/>
    <w:next w:val="a"/>
    <w:link w:val="2Char"/>
    <w:qFormat/>
    <w:pPr>
      <w:keepNext/>
      <w:widowControl/>
      <w:numPr>
        <w:ilvl w:val="1"/>
        <w:numId w:val="1"/>
      </w:numPr>
      <w:kinsoku w:val="0"/>
      <w:autoSpaceDE w:val="0"/>
      <w:autoSpaceDN w:val="0"/>
      <w:adjustRightInd w:val="0"/>
      <w:snapToGrid w:val="0"/>
      <w:spacing w:before="120" w:after="120"/>
      <w:ind w:left="575"/>
      <w:jc w:val="left"/>
      <w:textAlignment w:val="baseline"/>
      <w:outlineLvl w:val="1"/>
    </w:pPr>
    <w:rPr>
      <w:rFonts w:ascii="Times New Roman" w:eastAsia="黑体" w:hAnsi="Times New Roman" w:cs="Arial"/>
      <w:snapToGrid w:val="0"/>
      <w:color w:val="000000"/>
      <w:kern w:val="0"/>
      <w:sz w:val="28"/>
      <w:szCs w:val="24"/>
      <w:lang w:eastAsia="en-US"/>
    </w:rPr>
  </w:style>
  <w:style w:type="paragraph" w:styleId="3">
    <w:name w:val="heading 3"/>
    <w:basedOn w:val="a"/>
    <w:next w:val="a"/>
    <w:link w:val="3Char"/>
    <w:qFormat/>
    <w:pPr>
      <w:keepNext/>
      <w:keepLines/>
      <w:widowControl/>
      <w:numPr>
        <w:ilvl w:val="2"/>
        <w:numId w:val="1"/>
      </w:numPr>
      <w:tabs>
        <w:tab w:val="left" w:pos="0"/>
        <w:tab w:val="left" w:pos="420"/>
      </w:tabs>
      <w:kinsoku w:val="0"/>
      <w:autoSpaceDE w:val="0"/>
      <w:autoSpaceDN w:val="0"/>
      <w:adjustRightInd w:val="0"/>
      <w:snapToGrid w:val="0"/>
      <w:ind w:left="0"/>
      <w:jc w:val="left"/>
      <w:textAlignment w:val="baseline"/>
      <w:outlineLvl w:val="2"/>
    </w:pPr>
    <w:rPr>
      <w:rFonts w:ascii="Times New Roman" w:eastAsia="宋体" w:hAnsi="Times New Roman" w:cs="Arial"/>
      <w:b/>
      <w:bCs/>
      <w:snapToGrid w:val="0"/>
      <w:color w:val="000000"/>
      <w:kern w:val="0"/>
      <w:szCs w:val="21"/>
      <w:lang w:eastAsia="en-US"/>
    </w:rPr>
  </w:style>
  <w:style w:type="paragraph" w:styleId="4">
    <w:name w:val="heading 4"/>
    <w:basedOn w:val="a"/>
    <w:next w:val="a"/>
    <w:link w:val="4Char"/>
    <w:qFormat/>
    <w:pPr>
      <w:keepNext/>
      <w:keepLines/>
      <w:widowControl/>
      <w:numPr>
        <w:ilvl w:val="3"/>
        <w:numId w:val="1"/>
      </w:numPr>
      <w:kinsoku w:val="0"/>
      <w:autoSpaceDE w:val="0"/>
      <w:autoSpaceDN w:val="0"/>
      <w:adjustRightInd w:val="0"/>
      <w:snapToGrid w:val="0"/>
      <w:ind w:left="0"/>
      <w:jc w:val="left"/>
      <w:textAlignment w:val="baseline"/>
      <w:outlineLvl w:val="3"/>
    </w:pPr>
    <w:rPr>
      <w:rFonts w:ascii="Arial" w:eastAsia="Arial" w:hAnsi="Arial" w:cs="Arial"/>
      <w:b/>
      <w:bCs/>
      <w:snapToGrid w:val="0"/>
      <w:color w:val="000000"/>
      <w:kern w:val="0"/>
      <w:szCs w:val="24"/>
      <w:lang w:eastAsia="en-US"/>
    </w:rPr>
  </w:style>
  <w:style w:type="paragraph" w:styleId="6">
    <w:name w:val="heading 6"/>
    <w:basedOn w:val="a"/>
    <w:next w:val="a"/>
    <w:link w:val="6Char"/>
    <w:semiHidden/>
    <w:unhideWhenUsed/>
    <w:qFormat/>
    <w:pPr>
      <w:keepNext/>
      <w:keepLines/>
      <w:widowControl/>
      <w:kinsoku w:val="0"/>
      <w:autoSpaceDE w:val="0"/>
      <w:autoSpaceDN w:val="0"/>
      <w:adjustRightInd w:val="0"/>
      <w:snapToGrid w:val="0"/>
      <w:spacing w:before="240" w:after="64" w:line="317" w:lineRule="auto"/>
      <w:jc w:val="left"/>
      <w:textAlignment w:val="baseline"/>
      <w:outlineLvl w:val="5"/>
    </w:pPr>
    <w:rPr>
      <w:rFonts w:ascii="Arial" w:eastAsia="黑体" w:hAnsi="Arial" w:cs="Arial"/>
      <w:b/>
      <w:snapToGrid w:val="0"/>
      <w:color w:val="000000"/>
      <w:kern w:val="0"/>
      <w:sz w:val="24"/>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kinsoku w:val="0"/>
      <w:autoSpaceDE w:val="0"/>
      <w:autoSpaceDN w:val="0"/>
      <w:adjustRightInd w:val="0"/>
      <w:snapToGrid w:val="0"/>
      <w:jc w:val="left"/>
      <w:textAlignment w:val="baseline"/>
    </w:pPr>
    <w:rPr>
      <w:rFonts w:ascii="Arial" w:eastAsia="黑体" w:hAnsi="Arial" w:cs="Arial"/>
      <w:snapToGrid w:val="0"/>
      <w:color w:val="000000"/>
      <w:kern w:val="0"/>
      <w:sz w:val="20"/>
      <w:szCs w:val="21"/>
      <w:lang w:eastAsia="en-US"/>
    </w:rPr>
  </w:style>
  <w:style w:type="paragraph" w:styleId="a4">
    <w:name w:val="annotation text"/>
    <w:basedOn w:val="a"/>
    <w:link w:val="Char0"/>
    <w:semiHidden/>
    <w:unhideWhenUsed/>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5">
    <w:name w:val="Body Text"/>
    <w:basedOn w:val="a"/>
    <w:link w:val="Char1"/>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30">
    <w:name w:val="toc 3"/>
    <w:basedOn w:val="a"/>
    <w:next w:val="a"/>
    <w:uiPriority w:val="39"/>
    <w:qFormat/>
    <w:pPr>
      <w:widowControl/>
      <w:kinsoku w:val="0"/>
      <w:autoSpaceDE w:val="0"/>
      <w:autoSpaceDN w:val="0"/>
      <w:adjustRightInd w:val="0"/>
      <w:snapToGrid w:val="0"/>
      <w:ind w:leftChars="400" w:left="840"/>
      <w:jc w:val="left"/>
      <w:textAlignment w:val="baseline"/>
    </w:pPr>
    <w:rPr>
      <w:rFonts w:ascii="Arial" w:eastAsia="Arial" w:hAnsi="Arial" w:cs="Arial"/>
      <w:snapToGrid w:val="0"/>
      <w:color w:val="000000"/>
      <w:kern w:val="0"/>
      <w:szCs w:val="21"/>
      <w:lang w:eastAsia="en-US"/>
    </w:rPr>
  </w:style>
  <w:style w:type="paragraph" w:styleId="a6">
    <w:name w:val="Balloon Text"/>
    <w:basedOn w:val="a"/>
    <w:link w:val="Char2"/>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paragraph" w:styleId="a7">
    <w:name w:val="footer"/>
    <w:basedOn w:val="a"/>
    <w:link w:val="Char3"/>
    <w:uiPriority w:val="99"/>
    <w:qFormat/>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paragraph" w:styleId="a8">
    <w:name w:val="header"/>
    <w:basedOn w:val="a"/>
    <w:link w:val="Char4"/>
    <w:qFormat/>
    <w:pPr>
      <w:widowControl/>
      <w:pBdr>
        <w:bottom w:val="single" w:sz="6" w:space="1" w:color="auto"/>
      </w:pBdr>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paragraph" w:styleId="10">
    <w:name w:val="toc 1"/>
    <w:basedOn w:val="a"/>
    <w:next w:val="a"/>
    <w:uiPriority w:val="39"/>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20">
    <w:name w:val="toc 2"/>
    <w:basedOn w:val="a"/>
    <w:next w:val="a"/>
    <w:uiPriority w:val="39"/>
    <w:qFormat/>
    <w:pPr>
      <w:widowControl/>
      <w:kinsoku w:val="0"/>
      <w:autoSpaceDE w:val="0"/>
      <w:autoSpaceDN w:val="0"/>
      <w:adjustRightInd w:val="0"/>
      <w:snapToGrid w:val="0"/>
      <w:ind w:leftChars="200" w:left="420"/>
      <w:jc w:val="left"/>
      <w:textAlignment w:val="baseline"/>
    </w:pPr>
    <w:rPr>
      <w:rFonts w:ascii="Arial" w:eastAsia="Arial" w:hAnsi="Arial" w:cs="Arial"/>
      <w:snapToGrid w:val="0"/>
      <w:color w:val="000000"/>
      <w:kern w:val="0"/>
      <w:szCs w:val="21"/>
      <w:lang w:eastAsia="en-US"/>
    </w:rPr>
  </w:style>
  <w:style w:type="paragraph" w:styleId="a9">
    <w:name w:val="annotation subject"/>
    <w:basedOn w:val="a4"/>
    <w:next w:val="a4"/>
    <w:link w:val="Char5"/>
    <w:uiPriority w:val="99"/>
    <w:semiHidden/>
    <w:unhideWhenUsed/>
    <w:qFormat/>
    <w:pPr>
      <w:widowControl w:val="0"/>
      <w:kinsoku/>
      <w:autoSpaceDE/>
      <w:autoSpaceDN/>
      <w:adjustRightInd/>
      <w:snapToGrid/>
      <w:textAlignment w:val="auto"/>
    </w:pPr>
    <w:rPr>
      <w:rFonts w:asciiTheme="minorHAnsi" w:eastAsiaTheme="minorEastAsia" w:hAnsiTheme="minorHAnsi" w:cstheme="minorBidi"/>
      <w:b/>
      <w:bCs/>
      <w:snapToGrid/>
      <w:color w:val="auto"/>
      <w:kern w:val="2"/>
      <w:szCs w:val="22"/>
      <w:lang w:eastAsia="zh-CN"/>
    </w:rPr>
  </w:style>
  <w:style w:type="paragraph" w:styleId="aa">
    <w:name w:val="Body Text First Indent"/>
    <w:basedOn w:val="a5"/>
    <w:link w:val="Char6"/>
    <w:qFormat/>
    <w:pPr>
      <w:ind w:firstLine="420"/>
    </w:pPr>
  </w:style>
  <w:style w:type="table" w:styleId="ab">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Arial" w:hAnsi="Arial" w:cs="Arial"/>
      <w:snapToGrid w:val="0"/>
      <w:color w:val="000000"/>
      <w:kern w:val="44"/>
      <w:sz w:val="28"/>
      <w:szCs w:val="28"/>
      <w:lang w:eastAsia="en-US"/>
    </w:rPr>
  </w:style>
  <w:style w:type="character" w:customStyle="1" w:styleId="2Char">
    <w:name w:val="标题 2 Char"/>
    <w:basedOn w:val="a0"/>
    <w:link w:val="2"/>
    <w:qFormat/>
    <w:rPr>
      <w:rFonts w:ascii="Times New Roman" w:eastAsia="黑体" w:hAnsi="Times New Roman" w:cs="Arial"/>
      <w:snapToGrid w:val="0"/>
      <w:color w:val="000000"/>
      <w:sz w:val="28"/>
      <w:szCs w:val="24"/>
      <w:lang w:eastAsia="en-US"/>
    </w:rPr>
  </w:style>
  <w:style w:type="character" w:customStyle="1" w:styleId="3Char">
    <w:name w:val="标题 3 Char"/>
    <w:basedOn w:val="a0"/>
    <w:link w:val="3"/>
    <w:qFormat/>
    <w:rPr>
      <w:rFonts w:ascii="Times New Roman" w:eastAsia="宋体" w:hAnsi="Times New Roman" w:cs="Arial"/>
      <w:b/>
      <w:bCs/>
      <w:snapToGrid w:val="0"/>
      <w:color w:val="000000"/>
      <w:sz w:val="21"/>
      <w:szCs w:val="21"/>
      <w:lang w:eastAsia="en-US"/>
    </w:rPr>
  </w:style>
  <w:style w:type="character" w:customStyle="1" w:styleId="4Char">
    <w:name w:val="标题 4 Char"/>
    <w:basedOn w:val="a0"/>
    <w:link w:val="4"/>
    <w:qFormat/>
    <w:rPr>
      <w:rFonts w:ascii="Arial" w:eastAsia="Arial" w:hAnsi="Arial" w:cs="Arial"/>
      <w:b/>
      <w:bCs/>
      <w:snapToGrid w:val="0"/>
      <w:color w:val="000000"/>
      <w:sz w:val="21"/>
      <w:szCs w:val="24"/>
      <w:lang w:eastAsia="en-US"/>
    </w:rPr>
  </w:style>
  <w:style w:type="character" w:customStyle="1" w:styleId="6Char">
    <w:name w:val="标题 6 Char"/>
    <w:basedOn w:val="a0"/>
    <w:link w:val="6"/>
    <w:semiHidden/>
    <w:qFormat/>
    <w:rPr>
      <w:rFonts w:ascii="Arial" w:eastAsia="黑体" w:hAnsi="Arial" w:cs="Arial"/>
      <w:b/>
      <w:snapToGrid w:val="0"/>
      <w:color w:val="000000"/>
      <w:kern w:val="0"/>
      <w:sz w:val="24"/>
      <w:szCs w:val="21"/>
      <w:lang w:eastAsia="en-US"/>
    </w:rPr>
  </w:style>
  <w:style w:type="character" w:customStyle="1" w:styleId="Char0">
    <w:name w:val="批注文字 Char"/>
    <w:basedOn w:val="a0"/>
    <w:link w:val="a4"/>
    <w:uiPriority w:val="99"/>
    <w:semiHidden/>
    <w:qFormat/>
    <w:rPr>
      <w:rFonts w:ascii="Arial" w:eastAsia="Arial" w:hAnsi="Arial" w:cs="Arial"/>
      <w:snapToGrid w:val="0"/>
      <w:color w:val="000000"/>
      <w:kern w:val="0"/>
      <w:szCs w:val="21"/>
      <w:lang w:eastAsia="en-US"/>
    </w:rPr>
  </w:style>
  <w:style w:type="character" w:customStyle="1" w:styleId="Char1">
    <w:name w:val="正文文本 Char"/>
    <w:basedOn w:val="a0"/>
    <w:link w:val="a5"/>
    <w:semiHidden/>
    <w:qFormat/>
    <w:rPr>
      <w:rFonts w:ascii="Arial" w:eastAsia="Arial" w:hAnsi="Arial" w:cs="Arial"/>
      <w:snapToGrid w:val="0"/>
      <w:color w:val="000000"/>
      <w:kern w:val="0"/>
      <w:szCs w:val="21"/>
      <w:lang w:eastAsia="en-US"/>
    </w:rPr>
  </w:style>
  <w:style w:type="character" w:customStyle="1" w:styleId="Char6">
    <w:name w:val="正文首行缩进 Char"/>
    <w:basedOn w:val="Char1"/>
    <w:link w:val="aa"/>
    <w:qFormat/>
    <w:rPr>
      <w:rFonts w:ascii="Arial" w:eastAsia="Arial" w:hAnsi="Arial" w:cs="Arial"/>
      <w:snapToGrid w:val="0"/>
      <w:color w:val="000000"/>
      <w:kern w:val="0"/>
      <w:szCs w:val="21"/>
      <w:lang w:eastAsia="en-US"/>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0"/>
      <w:szCs w:val="20"/>
      <w:lang w:eastAsia="en-US"/>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NewNewNewNewNewNewNewNewNewNewNewNewNewNew">
    <w:name w:val="正文 New New New New New New New New New New New New New New"/>
    <w:autoRedefine/>
    <w:qFormat/>
    <w:pPr>
      <w:widowControl w:val="0"/>
      <w:jc w:val="both"/>
    </w:pPr>
    <w:rPr>
      <w:rFonts w:ascii="Times New Roman" w:eastAsia="宋体" w:hAnsi="Times New Roman" w:cs="Times New Roman"/>
      <w:kern w:val="2"/>
      <w:sz w:val="21"/>
      <w:szCs w:val="24"/>
    </w:rPr>
  </w:style>
  <w:style w:type="paragraph" w:customStyle="1" w:styleId="11">
    <w:name w:val="正文1"/>
    <w:autoRedefine/>
    <w:qFormat/>
    <w:pPr>
      <w:jc w:val="both"/>
    </w:pPr>
    <w:rPr>
      <w:rFonts w:ascii="Calibri" w:eastAsia="宋体" w:hAnsi="Calibri" w:cs="Calibri"/>
      <w:kern w:val="2"/>
      <w:sz w:val="21"/>
      <w:szCs w:val="21"/>
    </w:rPr>
  </w:style>
  <w:style w:type="character" w:customStyle="1" w:styleId="font31">
    <w:name w:val="font31"/>
    <w:basedOn w:val="a0"/>
    <w:qFormat/>
    <w:rPr>
      <w:rFonts w:ascii="宋体" w:eastAsia="宋体" w:hAnsi="宋体" w:cs="宋体" w:hint="eastAsia"/>
      <w:color w:val="000000"/>
      <w:sz w:val="32"/>
      <w:szCs w:val="32"/>
      <w:u w:val="none"/>
    </w:rPr>
  </w:style>
  <w:style w:type="character" w:customStyle="1" w:styleId="font21">
    <w:name w:val="font21"/>
    <w:basedOn w:val="a0"/>
    <w:qFormat/>
    <w:rPr>
      <w:rFonts w:ascii="宋体" w:eastAsia="宋体" w:hAnsi="宋体" w:cs="宋体" w:hint="eastAsia"/>
      <w:b/>
      <w:bCs/>
      <w:color w:val="000000"/>
      <w:sz w:val="32"/>
      <w:szCs w:val="32"/>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customStyle="1" w:styleId="null3">
    <w:name w:val="null3"/>
    <w:hidden/>
    <w:qFormat/>
    <w:rPr>
      <w:rFonts w:hint="eastAsia"/>
      <w:lang w:eastAsia="zh-Hans"/>
    </w:rPr>
  </w:style>
  <w:style w:type="character" w:customStyle="1" w:styleId="Char">
    <w:name w:val="题注 Char"/>
    <w:basedOn w:val="a0"/>
    <w:link w:val="a3"/>
    <w:qFormat/>
    <w:rPr>
      <w:rFonts w:ascii="Arial" w:eastAsia="黑体" w:hAnsi="Arial" w:cs="Arial"/>
      <w:snapToGrid w:val="0"/>
      <w:color w:val="000000"/>
      <w:kern w:val="0"/>
      <w:sz w:val="20"/>
      <w:szCs w:val="21"/>
      <w:lang w:eastAsia="en-US"/>
    </w:rPr>
  </w:style>
  <w:style w:type="paragraph" w:customStyle="1" w:styleId="ae">
    <w:name w:val="文档正文"/>
    <w:unhideWhenUsed/>
    <w:qFormat/>
    <w:pPr>
      <w:widowControl w:val="0"/>
      <w:adjustRightInd w:val="0"/>
      <w:snapToGrid w:val="0"/>
      <w:spacing w:before="60" w:after="60" w:line="360" w:lineRule="atLeast"/>
      <w:ind w:firstLineChars="200" w:firstLine="482"/>
      <w:jc w:val="both"/>
      <w:textAlignment w:val="baseline"/>
    </w:pPr>
    <w:rPr>
      <w:rFonts w:ascii="Times New Roman" w:eastAsia="宋体" w:hAnsi="Times New Roman" w:cs="Times New Roman"/>
      <w:sz w:val="24"/>
      <w:szCs w:val="22"/>
    </w:rPr>
  </w:style>
  <w:style w:type="character" w:customStyle="1" w:styleId="font81">
    <w:name w:val="font81"/>
    <w:basedOn w:val="a0"/>
    <w:qFormat/>
    <w:rPr>
      <w:rFonts w:ascii="Calibri" w:hAnsi="Calibri" w:cs="Calibri"/>
      <w:color w:val="000000"/>
      <w:sz w:val="20"/>
      <w:szCs w:val="20"/>
      <w:u w:val="none"/>
    </w:rPr>
  </w:style>
  <w:style w:type="character" w:customStyle="1" w:styleId="Char2">
    <w:name w:val="批注框文本 Char"/>
    <w:basedOn w:val="a0"/>
    <w:link w:val="a6"/>
    <w:qFormat/>
    <w:rPr>
      <w:rFonts w:ascii="Arial" w:eastAsia="Arial" w:hAnsi="Arial" w:cs="Arial"/>
      <w:snapToGrid w:val="0"/>
      <w:color w:val="000000"/>
      <w:kern w:val="0"/>
      <w:sz w:val="18"/>
      <w:szCs w:val="18"/>
      <w:lang w:eastAsia="en-US"/>
    </w:rPr>
  </w:style>
  <w:style w:type="character" w:customStyle="1" w:styleId="Char4">
    <w:name w:val="页眉 Char"/>
    <w:basedOn w:val="a0"/>
    <w:link w:val="a8"/>
    <w:qFormat/>
    <w:rPr>
      <w:rFonts w:ascii="Arial" w:eastAsia="Arial" w:hAnsi="Arial" w:cs="Arial"/>
      <w:snapToGrid w:val="0"/>
      <w:color w:val="000000"/>
      <w:kern w:val="0"/>
      <w:sz w:val="18"/>
      <w:szCs w:val="18"/>
      <w:lang w:eastAsia="en-US"/>
    </w:rPr>
  </w:style>
  <w:style w:type="character" w:customStyle="1" w:styleId="Char3">
    <w:name w:val="页脚 Char"/>
    <w:basedOn w:val="a0"/>
    <w:link w:val="a7"/>
    <w:uiPriority w:val="99"/>
    <w:qFormat/>
    <w:rPr>
      <w:rFonts w:ascii="Arial" w:eastAsia="Arial" w:hAnsi="Arial" w:cs="Arial"/>
      <w:snapToGrid w:val="0"/>
      <w:color w:val="000000"/>
      <w:kern w:val="0"/>
      <w:sz w:val="18"/>
      <w:szCs w:val="18"/>
      <w:lang w:eastAsia="en-US"/>
    </w:rPr>
  </w:style>
  <w:style w:type="paragraph" w:customStyle="1" w:styleId="12">
    <w:name w:val="修订1"/>
    <w:hidden/>
    <w:uiPriority w:val="99"/>
    <w:unhideWhenUsed/>
    <w:qFormat/>
    <w:rPr>
      <w:kern w:val="2"/>
      <w:sz w:val="21"/>
      <w:szCs w:val="22"/>
    </w:rPr>
  </w:style>
  <w:style w:type="character" w:customStyle="1" w:styleId="Char5">
    <w:name w:val="批注主题 Char"/>
    <w:basedOn w:val="Char0"/>
    <w:link w:val="a9"/>
    <w:uiPriority w:val="99"/>
    <w:semiHidden/>
    <w:qFormat/>
    <w:rPr>
      <w:rFonts w:ascii="Arial" w:eastAsia="Arial" w:hAnsi="Arial" w:cs="Arial"/>
      <w:b/>
      <w:bCs/>
      <w:snapToGrid/>
      <w:color w:val="000000"/>
      <w:kern w:val="2"/>
      <w:sz w:val="21"/>
      <w:szCs w:val="22"/>
      <w:lang w:eastAsia="en-US"/>
    </w:rPr>
  </w:style>
  <w:style w:type="paragraph" w:customStyle="1" w:styleId="13">
    <w:name w:val="列出段落1"/>
    <w:basedOn w:val="a"/>
    <w:uiPriority w:val="34"/>
    <w:qFormat/>
    <w:pPr>
      <w:ind w:firstLineChars="200" w:firstLine="420"/>
    </w:pPr>
  </w:style>
  <w:style w:type="paragraph" w:customStyle="1" w:styleId="af">
    <w:name w:val="段"/>
    <w:qFormat/>
    <w:pPr>
      <w:autoSpaceDE w:val="0"/>
      <w:autoSpaceDN w:val="0"/>
      <w:ind w:firstLineChars="200" w:firstLine="20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qFormat="1"/>
    <w:lsdException w:name="footer" w:semiHidden="0" w:unhideWhenUsed="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widowControl/>
      <w:kinsoku w:val="0"/>
      <w:autoSpaceDE w:val="0"/>
      <w:autoSpaceDN w:val="0"/>
      <w:adjustRightInd w:val="0"/>
      <w:snapToGrid w:val="0"/>
      <w:spacing w:after="120" w:line="360" w:lineRule="auto"/>
      <w:jc w:val="left"/>
      <w:textAlignment w:val="baseline"/>
      <w:outlineLvl w:val="0"/>
    </w:pPr>
    <w:rPr>
      <w:rFonts w:ascii="Arial" w:eastAsia="Arial" w:hAnsi="Arial" w:cs="Arial"/>
      <w:snapToGrid w:val="0"/>
      <w:color w:val="000000"/>
      <w:kern w:val="44"/>
      <w:sz w:val="28"/>
      <w:szCs w:val="28"/>
      <w:lang w:eastAsia="en-US"/>
    </w:rPr>
  </w:style>
  <w:style w:type="paragraph" w:styleId="2">
    <w:name w:val="heading 2"/>
    <w:basedOn w:val="a"/>
    <w:next w:val="a"/>
    <w:link w:val="2Char"/>
    <w:qFormat/>
    <w:pPr>
      <w:keepNext/>
      <w:widowControl/>
      <w:numPr>
        <w:ilvl w:val="1"/>
        <w:numId w:val="1"/>
      </w:numPr>
      <w:kinsoku w:val="0"/>
      <w:autoSpaceDE w:val="0"/>
      <w:autoSpaceDN w:val="0"/>
      <w:adjustRightInd w:val="0"/>
      <w:snapToGrid w:val="0"/>
      <w:spacing w:before="120" w:after="120"/>
      <w:ind w:left="575"/>
      <w:jc w:val="left"/>
      <w:textAlignment w:val="baseline"/>
      <w:outlineLvl w:val="1"/>
    </w:pPr>
    <w:rPr>
      <w:rFonts w:ascii="Times New Roman" w:eastAsia="黑体" w:hAnsi="Times New Roman" w:cs="Arial"/>
      <w:snapToGrid w:val="0"/>
      <w:color w:val="000000"/>
      <w:kern w:val="0"/>
      <w:sz w:val="28"/>
      <w:szCs w:val="24"/>
      <w:lang w:eastAsia="en-US"/>
    </w:rPr>
  </w:style>
  <w:style w:type="paragraph" w:styleId="3">
    <w:name w:val="heading 3"/>
    <w:basedOn w:val="a"/>
    <w:next w:val="a"/>
    <w:link w:val="3Char"/>
    <w:qFormat/>
    <w:pPr>
      <w:keepNext/>
      <w:keepLines/>
      <w:widowControl/>
      <w:numPr>
        <w:ilvl w:val="2"/>
        <w:numId w:val="1"/>
      </w:numPr>
      <w:tabs>
        <w:tab w:val="left" w:pos="0"/>
        <w:tab w:val="left" w:pos="420"/>
      </w:tabs>
      <w:kinsoku w:val="0"/>
      <w:autoSpaceDE w:val="0"/>
      <w:autoSpaceDN w:val="0"/>
      <w:adjustRightInd w:val="0"/>
      <w:snapToGrid w:val="0"/>
      <w:ind w:left="0"/>
      <w:jc w:val="left"/>
      <w:textAlignment w:val="baseline"/>
      <w:outlineLvl w:val="2"/>
    </w:pPr>
    <w:rPr>
      <w:rFonts w:ascii="Times New Roman" w:eastAsia="宋体" w:hAnsi="Times New Roman" w:cs="Arial"/>
      <w:b/>
      <w:bCs/>
      <w:snapToGrid w:val="0"/>
      <w:color w:val="000000"/>
      <w:kern w:val="0"/>
      <w:szCs w:val="21"/>
      <w:lang w:eastAsia="en-US"/>
    </w:rPr>
  </w:style>
  <w:style w:type="paragraph" w:styleId="4">
    <w:name w:val="heading 4"/>
    <w:basedOn w:val="a"/>
    <w:next w:val="a"/>
    <w:link w:val="4Char"/>
    <w:qFormat/>
    <w:pPr>
      <w:keepNext/>
      <w:keepLines/>
      <w:widowControl/>
      <w:numPr>
        <w:ilvl w:val="3"/>
        <w:numId w:val="1"/>
      </w:numPr>
      <w:kinsoku w:val="0"/>
      <w:autoSpaceDE w:val="0"/>
      <w:autoSpaceDN w:val="0"/>
      <w:adjustRightInd w:val="0"/>
      <w:snapToGrid w:val="0"/>
      <w:ind w:left="0"/>
      <w:jc w:val="left"/>
      <w:textAlignment w:val="baseline"/>
      <w:outlineLvl w:val="3"/>
    </w:pPr>
    <w:rPr>
      <w:rFonts w:ascii="Arial" w:eastAsia="Arial" w:hAnsi="Arial" w:cs="Arial"/>
      <w:b/>
      <w:bCs/>
      <w:snapToGrid w:val="0"/>
      <w:color w:val="000000"/>
      <w:kern w:val="0"/>
      <w:szCs w:val="24"/>
      <w:lang w:eastAsia="en-US"/>
    </w:rPr>
  </w:style>
  <w:style w:type="paragraph" w:styleId="6">
    <w:name w:val="heading 6"/>
    <w:basedOn w:val="a"/>
    <w:next w:val="a"/>
    <w:link w:val="6Char"/>
    <w:semiHidden/>
    <w:unhideWhenUsed/>
    <w:qFormat/>
    <w:pPr>
      <w:keepNext/>
      <w:keepLines/>
      <w:widowControl/>
      <w:kinsoku w:val="0"/>
      <w:autoSpaceDE w:val="0"/>
      <w:autoSpaceDN w:val="0"/>
      <w:adjustRightInd w:val="0"/>
      <w:snapToGrid w:val="0"/>
      <w:spacing w:before="240" w:after="64" w:line="317" w:lineRule="auto"/>
      <w:jc w:val="left"/>
      <w:textAlignment w:val="baseline"/>
      <w:outlineLvl w:val="5"/>
    </w:pPr>
    <w:rPr>
      <w:rFonts w:ascii="Arial" w:eastAsia="黑体" w:hAnsi="Arial" w:cs="Arial"/>
      <w:b/>
      <w:snapToGrid w:val="0"/>
      <w:color w:val="000000"/>
      <w:kern w:val="0"/>
      <w:sz w:val="24"/>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kinsoku w:val="0"/>
      <w:autoSpaceDE w:val="0"/>
      <w:autoSpaceDN w:val="0"/>
      <w:adjustRightInd w:val="0"/>
      <w:snapToGrid w:val="0"/>
      <w:jc w:val="left"/>
      <w:textAlignment w:val="baseline"/>
    </w:pPr>
    <w:rPr>
      <w:rFonts w:ascii="Arial" w:eastAsia="黑体" w:hAnsi="Arial" w:cs="Arial"/>
      <w:snapToGrid w:val="0"/>
      <w:color w:val="000000"/>
      <w:kern w:val="0"/>
      <w:sz w:val="20"/>
      <w:szCs w:val="21"/>
      <w:lang w:eastAsia="en-US"/>
    </w:rPr>
  </w:style>
  <w:style w:type="paragraph" w:styleId="a4">
    <w:name w:val="annotation text"/>
    <w:basedOn w:val="a"/>
    <w:link w:val="Char0"/>
    <w:semiHidden/>
    <w:unhideWhenUsed/>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5">
    <w:name w:val="Body Text"/>
    <w:basedOn w:val="a"/>
    <w:link w:val="Char1"/>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30">
    <w:name w:val="toc 3"/>
    <w:basedOn w:val="a"/>
    <w:next w:val="a"/>
    <w:uiPriority w:val="39"/>
    <w:qFormat/>
    <w:pPr>
      <w:widowControl/>
      <w:kinsoku w:val="0"/>
      <w:autoSpaceDE w:val="0"/>
      <w:autoSpaceDN w:val="0"/>
      <w:adjustRightInd w:val="0"/>
      <w:snapToGrid w:val="0"/>
      <w:ind w:leftChars="400" w:left="840"/>
      <w:jc w:val="left"/>
      <w:textAlignment w:val="baseline"/>
    </w:pPr>
    <w:rPr>
      <w:rFonts w:ascii="Arial" w:eastAsia="Arial" w:hAnsi="Arial" w:cs="Arial"/>
      <w:snapToGrid w:val="0"/>
      <w:color w:val="000000"/>
      <w:kern w:val="0"/>
      <w:szCs w:val="21"/>
      <w:lang w:eastAsia="en-US"/>
    </w:rPr>
  </w:style>
  <w:style w:type="paragraph" w:styleId="a6">
    <w:name w:val="Balloon Text"/>
    <w:basedOn w:val="a"/>
    <w:link w:val="Char2"/>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paragraph" w:styleId="a7">
    <w:name w:val="footer"/>
    <w:basedOn w:val="a"/>
    <w:link w:val="Char3"/>
    <w:uiPriority w:val="99"/>
    <w:qFormat/>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paragraph" w:styleId="a8">
    <w:name w:val="header"/>
    <w:basedOn w:val="a"/>
    <w:link w:val="Char4"/>
    <w:qFormat/>
    <w:pPr>
      <w:widowControl/>
      <w:pBdr>
        <w:bottom w:val="single" w:sz="6" w:space="1" w:color="auto"/>
      </w:pBdr>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paragraph" w:styleId="10">
    <w:name w:val="toc 1"/>
    <w:basedOn w:val="a"/>
    <w:next w:val="a"/>
    <w:uiPriority w:val="39"/>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20">
    <w:name w:val="toc 2"/>
    <w:basedOn w:val="a"/>
    <w:next w:val="a"/>
    <w:uiPriority w:val="39"/>
    <w:qFormat/>
    <w:pPr>
      <w:widowControl/>
      <w:kinsoku w:val="0"/>
      <w:autoSpaceDE w:val="0"/>
      <w:autoSpaceDN w:val="0"/>
      <w:adjustRightInd w:val="0"/>
      <w:snapToGrid w:val="0"/>
      <w:ind w:leftChars="200" w:left="420"/>
      <w:jc w:val="left"/>
      <w:textAlignment w:val="baseline"/>
    </w:pPr>
    <w:rPr>
      <w:rFonts w:ascii="Arial" w:eastAsia="Arial" w:hAnsi="Arial" w:cs="Arial"/>
      <w:snapToGrid w:val="0"/>
      <w:color w:val="000000"/>
      <w:kern w:val="0"/>
      <w:szCs w:val="21"/>
      <w:lang w:eastAsia="en-US"/>
    </w:rPr>
  </w:style>
  <w:style w:type="paragraph" w:styleId="a9">
    <w:name w:val="annotation subject"/>
    <w:basedOn w:val="a4"/>
    <w:next w:val="a4"/>
    <w:link w:val="Char5"/>
    <w:uiPriority w:val="99"/>
    <w:semiHidden/>
    <w:unhideWhenUsed/>
    <w:qFormat/>
    <w:pPr>
      <w:widowControl w:val="0"/>
      <w:kinsoku/>
      <w:autoSpaceDE/>
      <w:autoSpaceDN/>
      <w:adjustRightInd/>
      <w:snapToGrid/>
      <w:textAlignment w:val="auto"/>
    </w:pPr>
    <w:rPr>
      <w:rFonts w:asciiTheme="minorHAnsi" w:eastAsiaTheme="minorEastAsia" w:hAnsiTheme="minorHAnsi" w:cstheme="minorBidi"/>
      <w:b/>
      <w:bCs/>
      <w:snapToGrid/>
      <w:color w:val="auto"/>
      <w:kern w:val="2"/>
      <w:szCs w:val="22"/>
      <w:lang w:eastAsia="zh-CN"/>
    </w:rPr>
  </w:style>
  <w:style w:type="paragraph" w:styleId="aa">
    <w:name w:val="Body Text First Indent"/>
    <w:basedOn w:val="a5"/>
    <w:link w:val="Char6"/>
    <w:qFormat/>
    <w:pPr>
      <w:ind w:firstLine="420"/>
    </w:pPr>
  </w:style>
  <w:style w:type="table" w:styleId="ab">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Arial" w:hAnsi="Arial" w:cs="Arial"/>
      <w:snapToGrid w:val="0"/>
      <w:color w:val="000000"/>
      <w:kern w:val="44"/>
      <w:sz w:val="28"/>
      <w:szCs w:val="28"/>
      <w:lang w:eastAsia="en-US"/>
    </w:rPr>
  </w:style>
  <w:style w:type="character" w:customStyle="1" w:styleId="2Char">
    <w:name w:val="标题 2 Char"/>
    <w:basedOn w:val="a0"/>
    <w:link w:val="2"/>
    <w:qFormat/>
    <w:rPr>
      <w:rFonts w:ascii="Times New Roman" w:eastAsia="黑体" w:hAnsi="Times New Roman" w:cs="Arial"/>
      <w:snapToGrid w:val="0"/>
      <w:color w:val="000000"/>
      <w:sz w:val="28"/>
      <w:szCs w:val="24"/>
      <w:lang w:eastAsia="en-US"/>
    </w:rPr>
  </w:style>
  <w:style w:type="character" w:customStyle="1" w:styleId="3Char">
    <w:name w:val="标题 3 Char"/>
    <w:basedOn w:val="a0"/>
    <w:link w:val="3"/>
    <w:qFormat/>
    <w:rPr>
      <w:rFonts w:ascii="Times New Roman" w:eastAsia="宋体" w:hAnsi="Times New Roman" w:cs="Arial"/>
      <w:b/>
      <w:bCs/>
      <w:snapToGrid w:val="0"/>
      <w:color w:val="000000"/>
      <w:sz w:val="21"/>
      <w:szCs w:val="21"/>
      <w:lang w:eastAsia="en-US"/>
    </w:rPr>
  </w:style>
  <w:style w:type="character" w:customStyle="1" w:styleId="4Char">
    <w:name w:val="标题 4 Char"/>
    <w:basedOn w:val="a0"/>
    <w:link w:val="4"/>
    <w:qFormat/>
    <w:rPr>
      <w:rFonts w:ascii="Arial" w:eastAsia="Arial" w:hAnsi="Arial" w:cs="Arial"/>
      <w:b/>
      <w:bCs/>
      <w:snapToGrid w:val="0"/>
      <w:color w:val="000000"/>
      <w:sz w:val="21"/>
      <w:szCs w:val="24"/>
      <w:lang w:eastAsia="en-US"/>
    </w:rPr>
  </w:style>
  <w:style w:type="character" w:customStyle="1" w:styleId="6Char">
    <w:name w:val="标题 6 Char"/>
    <w:basedOn w:val="a0"/>
    <w:link w:val="6"/>
    <w:semiHidden/>
    <w:qFormat/>
    <w:rPr>
      <w:rFonts w:ascii="Arial" w:eastAsia="黑体" w:hAnsi="Arial" w:cs="Arial"/>
      <w:b/>
      <w:snapToGrid w:val="0"/>
      <w:color w:val="000000"/>
      <w:kern w:val="0"/>
      <w:sz w:val="24"/>
      <w:szCs w:val="21"/>
      <w:lang w:eastAsia="en-US"/>
    </w:rPr>
  </w:style>
  <w:style w:type="character" w:customStyle="1" w:styleId="Char0">
    <w:name w:val="批注文字 Char"/>
    <w:basedOn w:val="a0"/>
    <w:link w:val="a4"/>
    <w:uiPriority w:val="99"/>
    <w:semiHidden/>
    <w:qFormat/>
    <w:rPr>
      <w:rFonts w:ascii="Arial" w:eastAsia="Arial" w:hAnsi="Arial" w:cs="Arial"/>
      <w:snapToGrid w:val="0"/>
      <w:color w:val="000000"/>
      <w:kern w:val="0"/>
      <w:szCs w:val="21"/>
      <w:lang w:eastAsia="en-US"/>
    </w:rPr>
  </w:style>
  <w:style w:type="character" w:customStyle="1" w:styleId="Char1">
    <w:name w:val="正文文本 Char"/>
    <w:basedOn w:val="a0"/>
    <w:link w:val="a5"/>
    <w:semiHidden/>
    <w:qFormat/>
    <w:rPr>
      <w:rFonts w:ascii="Arial" w:eastAsia="Arial" w:hAnsi="Arial" w:cs="Arial"/>
      <w:snapToGrid w:val="0"/>
      <w:color w:val="000000"/>
      <w:kern w:val="0"/>
      <w:szCs w:val="21"/>
      <w:lang w:eastAsia="en-US"/>
    </w:rPr>
  </w:style>
  <w:style w:type="character" w:customStyle="1" w:styleId="Char6">
    <w:name w:val="正文首行缩进 Char"/>
    <w:basedOn w:val="Char1"/>
    <w:link w:val="aa"/>
    <w:qFormat/>
    <w:rPr>
      <w:rFonts w:ascii="Arial" w:eastAsia="Arial" w:hAnsi="Arial" w:cs="Arial"/>
      <w:snapToGrid w:val="0"/>
      <w:color w:val="000000"/>
      <w:kern w:val="0"/>
      <w:szCs w:val="21"/>
      <w:lang w:eastAsia="en-US"/>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0"/>
      <w:szCs w:val="20"/>
      <w:lang w:eastAsia="en-US"/>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NewNewNewNewNewNewNewNewNewNewNewNewNewNew">
    <w:name w:val="正文 New New New New New New New New New New New New New New"/>
    <w:autoRedefine/>
    <w:qFormat/>
    <w:pPr>
      <w:widowControl w:val="0"/>
      <w:jc w:val="both"/>
    </w:pPr>
    <w:rPr>
      <w:rFonts w:ascii="Times New Roman" w:eastAsia="宋体" w:hAnsi="Times New Roman" w:cs="Times New Roman"/>
      <w:kern w:val="2"/>
      <w:sz w:val="21"/>
      <w:szCs w:val="24"/>
    </w:rPr>
  </w:style>
  <w:style w:type="paragraph" w:customStyle="1" w:styleId="11">
    <w:name w:val="正文1"/>
    <w:autoRedefine/>
    <w:qFormat/>
    <w:pPr>
      <w:jc w:val="both"/>
    </w:pPr>
    <w:rPr>
      <w:rFonts w:ascii="Calibri" w:eastAsia="宋体" w:hAnsi="Calibri" w:cs="Calibri"/>
      <w:kern w:val="2"/>
      <w:sz w:val="21"/>
      <w:szCs w:val="21"/>
    </w:rPr>
  </w:style>
  <w:style w:type="character" w:customStyle="1" w:styleId="font31">
    <w:name w:val="font31"/>
    <w:basedOn w:val="a0"/>
    <w:qFormat/>
    <w:rPr>
      <w:rFonts w:ascii="宋体" w:eastAsia="宋体" w:hAnsi="宋体" w:cs="宋体" w:hint="eastAsia"/>
      <w:color w:val="000000"/>
      <w:sz w:val="32"/>
      <w:szCs w:val="32"/>
      <w:u w:val="none"/>
    </w:rPr>
  </w:style>
  <w:style w:type="character" w:customStyle="1" w:styleId="font21">
    <w:name w:val="font21"/>
    <w:basedOn w:val="a0"/>
    <w:qFormat/>
    <w:rPr>
      <w:rFonts w:ascii="宋体" w:eastAsia="宋体" w:hAnsi="宋体" w:cs="宋体" w:hint="eastAsia"/>
      <w:b/>
      <w:bCs/>
      <w:color w:val="000000"/>
      <w:sz w:val="32"/>
      <w:szCs w:val="32"/>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customStyle="1" w:styleId="null3">
    <w:name w:val="null3"/>
    <w:hidden/>
    <w:qFormat/>
    <w:rPr>
      <w:rFonts w:hint="eastAsia"/>
      <w:lang w:eastAsia="zh-Hans"/>
    </w:rPr>
  </w:style>
  <w:style w:type="character" w:customStyle="1" w:styleId="Char">
    <w:name w:val="题注 Char"/>
    <w:basedOn w:val="a0"/>
    <w:link w:val="a3"/>
    <w:qFormat/>
    <w:rPr>
      <w:rFonts w:ascii="Arial" w:eastAsia="黑体" w:hAnsi="Arial" w:cs="Arial"/>
      <w:snapToGrid w:val="0"/>
      <w:color w:val="000000"/>
      <w:kern w:val="0"/>
      <w:sz w:val="20"/>
      <w:szCs w:val="21"/>
      <w:lang w:eastAsia="en-US"/>
    </w:rPr>
  </w:style>
  <w:style w:type="paragraph" w:customStyle="1" w:styleId="ae">
    <w:name w:val="文档正文"/>
    <w:unhideWhenUsed/>
    <w:qFormat/>
    <w:pPr>
      <w:widowControl w:val="0"/>
      <w:adjustRightInd w:val="0"/>
      <w:snapToGrid w:val="0"/>
      <w:spacing w:before="60" w:after="60" w:line="360" w:lineRule="atLeast"/>
      <w:ind w:firstLineChars="200" w:firstLine="482"/>
      <w:jc w:val="both"/>
      <w:textAlignment w:val="baseline"/>
    </w:pPr>
    <w:rPr>
      <w:rFonts w:ascii="Times New Roman" w:eastAsia="宋体" w:hAnsi="Times New Roman" w:cs="Times New Roman"/>
      <w:sz w:val="24"/>
      <w:szCs w:val="22"/>
    </w:rPr>
  </w:style>
  <w:style w:type="character" w:customStyle="1" w:styleId="font81">
    <w:name w:val="font81"/>
    <w:basedOn w:val="a0"/>
    <w:qFormat/>
    <w:rPr>
      <w:rFonts w:ascii="Calibri" w:hAnsi="Calibri" w:cs="Calibri"/>
      <w:color w:val="000000"/>
      <w:sz w:val="20"/>
      <w:szCs w:val="20"/>
      <w:u w:val="none"/>
    </w:rPr>
  </w:style>
  <w:style w:type="character" w:customStyle="1" w:styleId="Char2">
    <w:name w:val="批注框文本 Char"/>
    <w:basedOn w:val="a0"/>
    <w:link w:val="a6"/>
    <w:qFormat/>
    <w:rPr>
      <w:rFonts w:ascii="Arial" w:eastAsia="Arial" w:hAnsi="Arial" w:cs="Arial"/>
      <w:snapToGrid w:val="0"/>
      <w:color w:val="000000"/>
      <w:kern w:val="0"/>
      <w:sz w:val="18"/>
      <w:szCs w:val="18"/>
      <w:lang w:eastAsia="en-US"/>
    </w:rPr>
  </w:style>
  <w:style w:type="character" w:customStyle="1" w:styleId="Char4">
    <w:name w:val="页眉 Char"/>
    <w:basedOn w:val="a0"/>
    <w:link w:val="a8"/>
    <w:qFormat/>
    <w:rPr>
      <w:rFonts w:ascii="Arial" w:eastAsia="Arial" w:hAnsi="Arial" w:cs="Arial"/>
      <w:snapToGrid w:val="0"/>
      <w:color w:val="000000"/>
      <w:kern w:val="0"/>
      <w:sz w:val="18"/>
      <w:szCs w:val="18"/>
      <w:lang w:eastAsia="en-US"/>
    </w:rPr>
  </w:style>
  <w:style w:type="character" w:customStyle="1" w:styleId="Char3">
    <w:name w:val="页脚 Char"/>
    <w:basedOn w:val="a0"/>
    <w:link w:val="a7"/>
    <w:uiPriority w:val="99"/>
    <w:qFormat/>
    <w:rPr>
      <w:rFonts w:ascii="Arial" w:eastAsia="Arial" w:hAnsi="Arial" w:cs="Arial"/>
      <w:snapToGrid w:val="0"/>
      <w:color w:val="000000"/>
      <w:kern w:val="0"/>
      <w:sz w:val="18"/>
      <w:szCs w:val="18"/>
      <w:lang w:eastAsia="en-US"/>
    </w:rPr>
  </w:style>
  <w:style w:type="paragraph" w:customStyle="1" w:styleId="12">
    <w:name w:val="修订1"/>
    <w:hidden/>
    <w:uiPriority w:val="99"/>
    <w:unhideWhenUsed/>
    <w:qFormat/>
    <w:rPr>
      <w:kern w:val="2"/>
      <w:sz w:val="21"/>
      <w:szCs w:val="22"/>
    </w:rPr>
  </w:style>
  <w:style w:type="character" w:customStyle="1" w:styleId="Char5">
    <w:name w:val="批注主题 Char"/>
    <w:basedOn w:val="Char0"/>
    <w:link w:val="a9"/>
    <w:uiPriority w:val="99"/>
    <w:semiHidden/>
    <w:qFormat/>
    <w:rPr>
      <w:rFonts w:ascii="Arial" w:eastAsia="Arial" w:hAnsi="Arial" w:cs="Arial"/>
      <w:b/>
      <w:bCs/>
      <w:snapToGrid/>
      <w:color w:val="000000"/>
      <w:kern w:val="2"/>
      <w:sz w:val="21"/>
      <w:szCs w:val="22"/>
      <w:lang w:eastAsia="en-US"/>
    </w:rPr>
  </w:style>
  <w:style w:type="paragraph" w:customStyle="1" w:styleId="13">
    <w:name w:val="列出段落1"/>
    <w:basedOn w:val="a"/>
    <w:uiPriority w:val="34"/>
    <w:qFormat/>
    <w:pPr>
      <w:ind w:firstLineChars="200" w:firstLine="420"/>
    </w:pPr>
  </w:style>
  <w:style w:type="paragraph" w:customStyle="1" w:styleId="af">
    <w:name w:val="段"/>
    <w:qFormat/>
    <w:pPr>
      <w:autoSpaceDE w:val="0"/>
      <w:autoSpaceDN w:val="0"/>
      <w:ind w:firstLineChars="200" w:firstLine="20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76</Pages>
  <Words>7353</Words>
  <Characters>41916</Characters>
  <Application>Microsoft Office Word</Application>
  <DocSecurity>0</DocSecurity>
  <Lines>349</Lines>
  <Paragraphs>98</Paragraphs>
  <ScaleCrop>false</ScaleCrop>
  <Company>Microsoft</Company>
  <LinksUpToDate>false</LinksUpToDate>
  <CharactersWithSpaces>49171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linglh</dc:creator>
  <cp:lastModifiedBy>linglh</cp:lastModifiedBy>
  <cp:revision>23</cp:revision>
  <cp:lastPrinted>2025-09-28T02:19:00Z</cp:lastPrinted>
  <dcterms:created xsi:type="dcterms:W3CDTF">2025-06-27T09:50:00Z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eyJoZGlkIjoiMDU5MGJkODRkNjI4ZWIyNGM2Nzk2MjAyNjNiMjk0OTQiLCJ1c2VySWQiOiI3NDc2OTIxMDIifQ==</vt:lpwstr>
  </property>
  <property fmtid="{D5CDD505-2E9C-101B-9397-08002B2CF9AE}" pid="3" name="KSOProductBuildVer">
    <vt:lpwstr>2052-12.8.2.17838</vt:lpwstr>
  </property>
  <property fmtid="{D5CDD505-2E9C-101B-9397-08002B2CF9AE}" pid="4" name="ICV">
    <vt:lpwstr>D69F049FE327479B821DFCB30E332436_13</vt:lpwstr>
  </property>
</Properties>
</file>