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966BB">
      <w:pPr>
        <w:adjustRightInd w:val="0"/>
        <w:snapToGrid w:val="0"/>
        <w:jc w:val="center"/>
        <w:rPr>
          <w:rFonts w:ascii="宋体" w:hAnsi="宋体"/>
          <w:b/>
          <w:color w:val="auto"/>
          <w:sz w:val="72"/>
          <w:szCs w:val="72"/>
          <w:highlight w:val="none"/>
        </w:rPr>
      </w:pPr>
    </w:p>
    <w:p w14:paraId="29FE08BB">
      <w:pPr>
        <w:adjustRightInd w:val="0"/>
        <w:snapToGrid w:val="0"/>
        <w:jc w:val="center"/>
        <w:rPr>
          <w:rFonts w:ascii="宋体" w:hAnsi="宋体"/>
          <w:b/>
          <w:color w:val="auto"/>
          <w:sz w:val="72"/>
          <w:szCs w:val="72"/>
          <w:highlight w:val="none"/>
        </w:rPr>
      </w:pPr>
    </w:p>
    <w:p w14:paraId="655BE8D0">
      <w:pPr>
        <w:adjustRightInd w:val="0"/>
        <w:snapToGrid w:val="0"/>
        <w:jc w:val="center"/>
        <w:rPr>
          <w:rFonts w:hint="eastAsia" w:ascii="宋体" w:hAnsi="宋体" w:eastAsia="宋体"/>
          <w:b/>
          <w:color w:val="auto"/>
          <w:sz w:val="72"/>
          <w:szCs w:val="72"/>
          <w:highlight w:val="none"/>
          <w:lang w:eastAsia="zh-CN"/>
        </w:rPr>
      </w:pPr>
      <w:r>
        <w:rPr>
          <w:rFonts w:hint="eastAsia" w:ascii="宋体" w:hAnsi="宋体"/>
          <w:b/>
          <w:color w:val="auto"/>
          <w:sz w:val="72"/>
          <w:szCs w:val="72"/>
          <w:highlight w:val="none"/>
          <w:lang w:eastAsia="zh-CN"/>
        </w:rPr>
        <w:t>文冲项目石化厂区6KV配电设施迁改工程</w:t>
      </w:r>
    </w:p>
    <w:p w14:paraId="01E57475">
      <w:pPr>
        <w:adjustRightInd w:val="0"/>
        <w:snapToGrid w:val="0"/>
        <w:spacing w:line="360" w:lineRule="auto"/>
        <w:rPr>
          <w:rFonts w:ascii="宋体" w:hAnsi="宋体"/>
          <w:b/>
          <w:color w:val="auto"/>
          <w:sz w:val="48"/>
          <w:szCs w:val="48"/>
          <w:highlight w:val="none"/>
        </w:rPr>
      </w:pPr>
    </w:p>
    <w:p w14:paraId="37382012">
      <w:pPr>
        <w:pStyle w:val="6"/>
        <w:rPr>
          <w:color w:val="auto"/>
          <w:highlight w:val="none"/>
        </w:rPr>
      </w:pPr>
    </w:p>
    <w:p w14:paraId="5B805225">
      <w:pPr>
        <w:pStyle w:val="6"/>
        <w:rPr>
          <w:color w:val="auto"/>
          <w:highlight w:val="none"/>
        </w:rPr>
      </w:pPr>
    </w:p>
    <w:p w14:paraId="74349839">
      <w:pPr>
        <w:pStyle w:val="6"/>
        <w:rPr>
          <w:color w:val="auto"/>
          <w:highlight w:val="none"/>
        </w:rPr>
      </w:pPr>
    </w:p>
    <w:p w14:paraId="4B766CB0">
      <w:pPr>
        <w:pStyle w:val="6"/>
        <w:rPr>
          <w:color w:val="auto"/>
          <w:highlight w:val="none"/>
        </w:rPr>
      </w:pPr>
    </w:p>
    <w:p w14:paraId="455EC5CA">
      <w:pPr>
        <w:adjustRightInd w:val="0"/>
        <w:snapToGrid w:val="0"/>
        <w:spacing w:line="360" w:lineRule="auto"/>
        <w:jc w:val="center"/>
        <w:rPr>
          <w:rFonts w:ascii="宋体" w:hAnsi="宋体"/>
          <w:color w:val="auto"/>
          <w:sz w:val="32"/>
          <w:highlight w:val="none"/>
        </w:rPr>
      </w:pPr>
      <w:r>
        <w:rPr>
          <w:rFonts w:hint="eastAsia" w:ascii="宋体" w:hAnsi="宋体"/>
          <w:b/>
          <w:bCs/>
          <w:color w:val="auto"/>
          <w:spacing w:val="26"/>
          <w:sz w:val="110"/>
          <w:szCs w:val="110"/>
          <w:highlight w:val="none"/>
        </w:rPr>
        <w:t>招标公告</w:t>
      </w:r>
    </w:p>
    <w:p w14:paraId="5709E839">
      <w:pPr>
        <w:adjustRightInd w:val="0"/>
        <w:snapToGrid w:val="0"/>
        <w:spacing w:line="360" w:lineRule="auto"/>
        <w:ind w:firstLine="2560" w:firstLineChars="800"/>
        <w:rPr>
          <w:rFonts w:ascii="宋体" w:hAnsi="宋体"/>
          <w:color w:val="auto"/>
          <w:sz w:val="32"/>
          <w:highlight w:val="none"/>
        </w:rPr>
      </w:pPr>
    </w:p>
    <w:p w14:paraId="43E8714A">
      <w:pPr>
        <w:adjustRightInd w:val="0"/>
        <w:snapToGrid w:val="0"/>
        <w:spacing w:line="360" w:lineRule="auto"/>
        <w:rPr>
          <w:rFonts w:ascii="宋体" w:hAnsi="宋体"/>
          <w:color w:val="auto"/>
          <w:sz w:val="32"/>
          <w:highlight w:val="none"/>
        </w:rPr>
      </w:pPr>
    </w:p>
    <w:p w14:paraId="2F8EAF21">
      <w:pPr>
        <w:adjustRightInd w:val="0"/>
        <w:snapToGrid w:val="0"/>
        <w:spacing w:line="360" w:lineRule="auto"/>
        <w:ind w:firstLine="2560" w:firstLineChars="800"/>
        <w:rPr>
          <w:rFonts w:ascii="宋体" w:hAnsi="宋体"/>
          <w:color w:val="auto"/>
          <w:sz w:val="32"/>
          <w:highlight w:val="none"/>
        </w:rPr>
      </w:pPr>
    </w:p>
    <w:p w14:paraId="6FC872D4">
      <w:pPr>
        <w:adjustRightInd w:val="0"/>
        <w:snapToGrid w:val="0"/>
        <w:spacing w:line="360" w:lineRule="auto"/>
        <w:jc w:val="left"/>
        <w:rPr>
          <w:rFonts w:ascii="宋体" w:hAnsi="宋体"/>
          <w:color w:val="auto"/>
          <w:sz w:val="30"/>
          <w:szCs w:val="30"/>
          <w:highlight w:val="none"/>
        </w:rPr>
      </w:pPr>
    </w:p>
    <w:p w14:paraId="1CEF49B1">
      <w:pPr>
        <w:adjustRightInd w:val="0"/>
        <w:snapToGrid w:val="0"/>
        <w:spacing w:line="360" w:lineRule="auto"/>
        <w:ind w:firstLine="1807" w:firstLineChars="600"/>
        <w:rPr>
          <w:rFonts w:hint="eastAsia" w:ascii="宋体" w:hAnsi="宋体" w:eastAsia="宋体" w:cs="宋体"/>
          <w:b/>
          <w:bCs/>
          <w:color w:val="auto"/>
          <w:sz w:val="30"/>
          <w:szCs w:val="30"/>
          <w:highlight w:val="none"/>
          <w:u w:val="single"/>
          <w:lang w:eastAsia="zh-CN"/>
        </w:rPr>
      </w:pPr>
      <w:r>
        <w:rPr>
          <w:rFonts w:hint="eastAsia" w:ascii="宋体" w:hAnsi="宋体" w:cs="宋体"/>
          <w:b/>
          <w:bCs/>
          <w:color w:val="auto"/>
          <w:sz w:val="30"/>
          <w:szCs w:val="30"/>
          <w:highlight w:val="none"/>
        </w:rPr>
        <w:t>招  标 单 位：</w:t>
      </w:r>
      <w:r>
        <w:rPr>
          <w:rFonts w:hint="eastAsia" w:ascii="宋体" w:hAnsi="宋体" w:cs="宋体"/>
          <w:b/>
          <w:bCs/>
          <w:color w:val="auto"/>
          <w:kern w:val="0"/>
          <w:sz w:val="30"/>
          <w:szCs w:val="30"/>
          <w:highlight w:val="none"/>
          <w:u w:val="single"/>
          <w:lang w:eastAsia="zh-CN"/>
        </w:rPr>
        <w:t>广州黄埔文冲东片投资有限公司</w:t>
      </w:r>
    </w:p>
    <w:p w14:paraId="6E79C7D7">
      <w:pPr>
        <w:adjustRightInd w:val="0"/>
        <w:snapToGrid w:val="0"/>
        <w:spacing w:line="360" w:lineRule="auto"/>
        <w:ind w:firstLine="1807" w:firstLineChars="600"/>
        <w:jc w:val="left"/>
        <w:rPr>
          <w:rFonts w:hint="eastAsia" w:ascii="宋体" w:hAnsi="宋体" w:eastAsia="宋体" w:cs="宋体"/>
          <w:b/>
          <w:bCs/>
          <w:color w:val="auto"/>
          <w:sz w:val="30"/>
          <w:szCs w:val="30"/>
          <w:highlight w:val="none"/>
          <w:u w:val="single"/>
          <w:lang w:eastAsia="zh-CN"/>
        </w:rPr>
      </w:pPr>
      <w:r>
        <w:rPr>
          <w:rFonts w:hint="eastAsia" w:ascii="宋体" w:hAnsi="宋体" w:cs="宋体"/>
          <w:b/>
          <w:bCs/>
          <w:color w:val="auto"/>
          <w:sz w:val="30"/>
          <w:szCs w:val="30"/>
          <w:highlight w:val="none"/>
        </w:rPr>
        <w:t>招标代理单位：</w:t>
      </w:r>
      <w:r>
        <w:rPr>
          <w:rFonts w:hint="eastAsia" w:ascii="宋体" w:hAnsi="宋体" w:cs="宋体"/>
          <w:b/>
          <w:bCs/>
          <w:color w:val="auto"/>
          <w:kern w:val="0"/>
          <w:sz w:val="30"/>
          <w:szCs w:val="30"/>
          <w:highlight w:val="none"/>
          <w:u w:val="single"/>
          <w:lang w:eastAsia="zh-CN"/>
        </w:rPr>
        <w:t>广州市南粤工程建设监理有限公司</w:t>
      </w:r>
    </w:p>
    <w:p w14:paraId="18A8E510">
      <w:pPr>
        <w:pStyle w:val="31"/>
        <w:adjustRightInd w:val="0"/>
        <w:snapToGrid w:val="0"/>
        <w:spacing w:line="360" w:lineRule="auto"/>
        <w:ind w:firstLine="1807" w:firstLineChars="600"/>
        <w:rPr>
          <w:rFonts w:cs="宋体"/>
          <w:b/>
          <w:bCs/>
          <w:color w:val="auto"/>
          <w:sz w:val="30"/>
          <w:szCs w:val="30"/>
          <w:highlight w:val="none"/>
        </w:rPr>
      </w:pPr>
      <w:r>
        <w:rPr>
          <w:rFonts w:hint="eastAsia" w:cs="宋体"/>
          <w:b/>
          <w:bCs/>
          <w:color w:val="auto"/>
          <w:sz w:val="30"/>
          <w:szCs w:val="30"/>
          <w:highlight w:val="none"/>
          <w:u w:val="none"/>
        </w:rPr>
        <w:t>日        期：</w:t>
      </w:r>
      <w:r>
        <w:rPr>
          <w:rFonts w:hint="eastAsia" w:cs="宋体"/>
          <w:b/>
          <w:bCs/>
          <w:color w:val="auto"/>
          <w:sz w:val="30"/>
          <w:szCs w:val="30"/>
          <w:highlight w:val="none"/>
        </w:rPr>
        <w:t>202</w:t>
      </w:r>
      <w:r>
        <w:rPr>
          <w:rFonts w:hint="eastAsia" w:cs="宋体"/>
          <w:b/>
          <w:bCs/>
          <w:color w:val="auto"/>
          <w:sz w:val="30"/>
          <w:szCs w:val="30"/>
          <w:highlight w:val="none"/>
          <w:lang w:val="en-US" w:eastAsia="zh-CN"/>
        </w:rPr>
        <w:t>5</w:t>
      </w:r>
      <w:r>
        <w:rPr>
          <w:rFonts w:hint="eastAsia" w:cs="宋体"/>
          <w:b/>
          <w:bCs/>
          <w:color w:val="auto"/>
          <w:sz w:val="30"/>
          <w:szCs w:val="30"/>
          <w:highlight w:val="none"/>
        </w:rPr>
        <w:t>年</w:t>
      </w:r>
      <w:r>
        <w:rPr>
          <w:rFonts w:hint="eastAsia" w:cs="宋体"/>
          <w:b/>
          <w:bCs/>
          <w:color w:val="auto"/>
          <w:sz w:val="30"/>
          <w:szCs w:val="30"/>
          <w:highlight w:val="none"/>
          <w:lang w:val="en-US" w:eastAsia="zh-CN"/>
        </w:rPr>
        <w:t>9</w:t>
      </w:r>
      <w:r>
        <w:rPr>
          <w:rFonts w:hint="eastAsia" w:cs="宋体"/>
          <w:b/>
          <w:bCs/>
          <w:color w:val="auto"/>
          <w:sz w:val="30"/>
          <w:szCs w:val="30"/>
          <w:highlight w:val="none"/>
        </w:rPr>
        <w:t>月</w:t>
      </w:r>
    </w:p>
    <w:p w14:paraId="7F465CB9">
      <w:pPr>
        <w:rPr>
          <w:color w:val="auto"/>
          <w:sz w:val="24"/>
          <w:highlight w:val="none"/>
        </w:rPr>
      </w:pPr>
    </w:p>
    <w:p w14:paraId="103FDE61">
      <w:pPr>
        <w:pStyle w:val="16"/>
        <w:ind w:firstLine="482"/>
        <w:rPr>
          <w:color w:val="auto"/>
          <w:sz w:val="24"/>
          <w:highlight w:val="none"/>
        </w:rPr>
      </w:pPr>
    </w:p>
    <w:p w14:paraId="1BC9160C">
      <w:pPr>
        <w:rPr>
          <w:color w:val="auto"/>
          <w:sz w:val="24"/>
          <w:highlight w:val="none"/>
        </w:rPr>
      </w:pPr>
    </w:p>
    <w:p w14:paraId="359F1576">
      <w:pPr>
        <w:pStyle w:val="16"/>
        <w:ind w:firstLine="422"/>
        <w:rPr>
          <w:color w:val="auto"/>
          <w:highlight w:val="none"/>
        </w:rPr>
        <w:sectPr>
          <w:footerReference r:id="rId3" w:type="even"/>
          <w:endnotePr>
            <w:numFmt w:val="decimal"/>
          </w:endnotePr>
          <w:pgSz w:w="11906" w:h="16838"/>
          <w:pgMar w:top="1440" w:right="1134" w:bottom="1440" w:left="1134" w:header="851" w:footer="992" w:gutter="0"/>
          <w:cols w:space="425" w:num="1"/>
          <w:docGrid w:type="lines" w:linePitch="312" w:charSpace="0"/>
        </w:sectPr>
      </w:pPr>
    </w:p>
    <w:p w14:paraId="3447896A">
      <w:pPr>
        <w:rPr>
          <w:color w:val="auto"/>
          <w:highlight w:val="none"/>
        </w:rPr>
      </w:pPr>
    </w:p>
    <w:p w14:paraId="10E3B880">
      <w:pPr>
        <w:pStyle w:val="31"/>
        <w:spacing w:line="480" w:lineRule="auto"/>
        <w:jc w:val="center"/>
        <w:rPr>
          <w:rFonts w:hint="eastAsia" w:eastAsia="宋体"/>
          <w:b/>
          <w:bCs/>
          <w:color w:val="auto"/>
          <w:sz w:val="36"/>
          <w:szCs w:val="36"/>
          <w:highlight w:val="none"/>
          <w:u w:val="none"/>
          <w:lang w:eastAsia="zh-CN"/>
        </w:rPr>
      </w:pPr>
      <w:r>
        <w:rPr>
          <w:rFonts w:hint="eastAsia" w:cs="宋体"/>
          <w:b/>
          <w:bCs/>
          <w:color w:val="auto"/>
          <w:sz w:val="36"/>
          <w:szCs w:val="36"/>
          <w:highlight w:val="none"/>
          <w:u w:val="none"/>
          <w:lang w:eastAsia="zh-CN"/>
        </w:rPr>
        <w:t>文冲项目石化厂区6KV配电设施迁改工程</w:t>
      </w:r>
    </w:p>
    <w:p w14:paraId="53A722C1">
      <w:pPr>
        <w:pStyle w:val="31"/>
        <w:spacing w:line="480" w:lineRule="auto"/>
        <w:jc w:val="center"/>
        <w:rPr>
          <w:b/>
          <w:bCs/>
          <w:color w:val="auto"/>
          <w:sz w:val="36"/>
          <w:szCs w:val="36"/>
          <w:highlight w:val="none"/>
          <w:u w:val="none"/>
        </w:rPr>
      </w:pPr>
      <w:r>
        <w:rPr>
          <w:rFonts w:hint="eastAsia"/>
          <w:b/>
          <w:bCs/>
          <w:color w:val="auto"/>
          <w:sz w:val="36"/>
          <w:szCs w:val="36"/>
          <w:highlight w:val="none"/>
          <w:u w:val="none"/>
        </w:rPr>
        <w:t>招标公告</w:t>
      </w:r>
    </w:p>
    <w:p w14:paraId="3374B310">
      <w:pPr>
        <w:spacing w:line="480" w:lineRule="auto"/>
        <w:ind w:firstLine="537" w:firstLineChars="224"/>
        <w:jc w:val="center"/>
        <w:rPr>
          <w:color w:val="auto"/>
          <w:sz w:val="24"/>
          <w:highlight w:val="none"/>
        </w:rPr>
      </w:pPr>
    </w:p>
    <w:p w14:paraId="37264522">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《广东省企业投资项目备案证》（项目代码：2403-440112-04-01-100266</w:t>
      </w:r>
      <w:r>
        <w:rPr>
          <w:rFonts w:hint="eastAsia" w:ascii="宋体" w:hAnsi="宋体"/>
          <w:color w:val="auto"/>
          <w:sz w:val="24"/>
          <w:highlight w:val="none"/>
          <w:u w:val="single"/>
          <w:lang w:eastAsia="zh-CN"/>
        </w:rPr>
        <w:t>）</w:t>
      </w:r>
      <w:r>
        <w:rPr>
          <w:rFonts w:hint="eastAsia" w:ascii="宋体" w:hAnsi="宋体"/>
          <w:color w:val="auto"/>
          <w:sz w:val="24"/>
          <w:highlight w:val="none"/>
        </w:rPr>
        <w:t>批准，并且图纸和技术资料满足施工需要，</w:t>
      </w:r>
      <w:r>
        <w:rPr>
          <w:rFonts w:hint="eastAsia" w:ascii="宋体" w:hAnsi="宋体"/>
          <w:color w:val="auto"/>
          <w:sz w:val="24"/>
          <w:highlight w:val="none"/>
          <w:u w:val="single"/>
          <w:lang w:eastAsia="zh-CN"/>
        </w:rPr>
        <w:t>广州黄埔文冲东片投资有限公司</w:t>
      </w:r>
      <w:r>
        <w:rPr>
          <w:rFonts w:hint="eastAsia" w:ascii="宋体" w:hAnsi="宋体"/>
          <w:color w:val="auto"/>
          <w:sz w:val="24"/>
          <w:highlight w:val="none"/>
        </w:rPr>
        <w:t>现对</w:t>
      </w:r>
      <w:r>
        <w:rPr>
          <w:rFonts w:hint="eastAsia" w:ascii="宋体" w:hAnsi="宋体"/>
          <w:color w:val="auto"/>
          <w:sz w:val="24"/>
          <w:highlight w:val="none"/>
          <w:u w:val="single"/>
          <w:lang w:eastAsia="zh-CN"/>
        </w:rPr>
        <w:t>文冲项目石化厂区6KV配电设施迁改工程</w:t>
      </w:r>
      <w:r>
        <w:rPr>
          <w:rFonts w:hint="eastAsia" w:ascii="宋体" w:hAnsi="宋体"/>
          <w:color w:val="auto"/>
          <w:sz w:val="24"/>
          <w:highlight w:val="none"/>
        </w:rPr>
        <w:t>进行</w:t>
      </w:r>
      <w:r>
        <w:rPr>
          <w:rFonts w:hint="eastAsia" w:ascii="宋体" w:hAnsi="宋体"/>
          <w:color w:val="auto"/>
          <w:sz w:val="24"/>
          <w:highlight w:val="none"/>
          <w:u w:val="single"/>
        </w:rPr>
        <w:t>施工</w:t>
      </w:r>
      <w:r>
        <w:rPr>
          <w:rFonts w:hint="eastAsia" w:ascii="宋体" w:hAnsi="宋体"/>
          <w:color w:val="auto"/>
          <w:sz w:val="24"/>
          <w:highlight w:val="none"/>
        </w:rPr>
        <w:t>公开招标，选定承包人。</w:t>
      </w:r>
    </w:p>
    <w:p w14:paraId="70D1251A">
      <w:pPr>
        <w:numPr>
          <w:ilvl w:val="0"/>
          <w:numId w:val="3"/>
        </w:numPr>
        <w:tabs>
          <w:tab w:val="center" w:pos="4415"/>
        </w:tabs>
        <w:spacing w:line="480" w:lineRule="auto"/>
        <w:ind w:firstLine="537" w:firstLineChars="224"/>
        <w:rPr>
          <w:rFonts w:hint="eastAsia"/>
          <w:color w:val="auto"/>
          <w:sz w:val="24"/>
          <w:highlight w:val="none"/>
          <w:u w:val="single"/>
        </w:rPr>
      </w:pPr>
      <w:r>
        <w:rPr>
          <w:rFonts w:hint="eastAsia" w:ascii="宋体" w:hAnsi="宋体"/>
          <w:color w:val="auto"/>
          <w:sz w:val="24"/>
          <w:highlight w:val="none"/>
        </w:rPr>
        <w:t>工程名称：</w:t>
      </w:r>
      <w:r>
        <w:rPr>
          <w:rFonts w:hint="eastAsia" w:ascii="宋体" w:hAnsi="宋体"/>
          <w:color w:val="auto"/>
          <w:sz w:val="24"/>
          <w:highlight w:val="none"/>
          <w:u w:val="single"/>
          <w:lang w:eastAsia="zh-CN"/>
        </w:rPr>
        <w:t>文冲项目石化厂区6KV配电设施迁改工程</w:t>
      </w:r>
    </w:p>
    <w:p w14:paraId="60663DFB">
      <w:pPr>
        <w:tabs>
          <w:tab w:val="center" w:pos="4415"/>
        </w:tabs>
        <w:spacing w:line="480" w:lineRule="auto"/>
        <w:ind w:firstLine="1017" w:firstLineChars="424"/>
        <w:rPr>
          <w:rFonts w:hint="default"/>
          <w:color w:val="auto"/>
          <w:highlight w:val="none"/>
          <w:lang w:val="en-US"/>
        </w:rPr>
      </w:pPr>
      <w:r>
        <w:rPr>
          <w:rFonts w:hint="eastAsia" w:ascii="宋体"/>
          <w:color w:val="auto"/>
          <w:sz w:val="24"/>
          <w:highlight w:val="none"/>
        </w:rPr>
        <w:t>项目代码：</w:t>
      </w:r>
      <w:r>
        <w:rPr>
          <w:rFonts w:hint="eastAsia" w:ascii="宋体"/>
          <w:color w:val="auto"/>
          <w:sz w:val="24"/>
          <w:highlight w:val="none"/>
          <w:u w:val="single"/>
          <w:lang w:val="en-US" w:eastAsia="zh-CN"/>
        </w:rPr>
        <w:t>2403-440112-04-01-100266</w:t>
      </w:r>
    </w:p>
    <w:p w14:paraId="7A9495A5">
      <w:pPr>
        <w:numPr>
          <w:ilvl w:val="0"/>
          <w:numId w:val="4"/>
        </w:numPr>
        <w:spacing w:line="480" w:lineRule="auto"/>
        <w:ind w:firstLine="537" w:firstLineChars="224"/>
        <w:rPr>
          <w:rFonts w:ascii="宋体" w:hAnsi="宋体" w:cs="宋体"/>
          <w:color w:val="auto"/>
          <w:sz w:val="24"/>
          <w:highlight w:val="none"/>
          <w:u w:val="single"/>
        </w:rPr>
      </w:pPr>
      <w:r>
        <w:rPr>
          <w:rFonts w:hint="eastAsia" w:ascii="宋体" w:hAnsi="宋体"/>
          <w:color w:val="auto"/>
          <w:sz w:val="24"/>
          <w:highlight w:val="none"/>
        </w:rPr>
        <w:t>招标单位：</w:t>
      </w:r>
      <w:r>
        <w:rPr>
          <w:rFonts w:hint="eastAsia" w:ascii="宋体" w:hAnsi="宋体" w:cs="宋体"/>
          <w:color w:val="auto"/>
          <w:sz w:val="24"/>
          <w:highlight w:val="none"/>
          <w:u w:val="single"/>
          <w:lang w:eastAsia="zh-CN"/>
        </w:rPr>
        <w:t>广州黄埔文冲东片投资有限公司</w:t>
      </w:r>
    </w:p>
    <w:p w14:paraId="2430367C">
      <w:pPr>
        <w:spacing w:line="480" w:lineRule="auto"/>
        <w:ind w:firstLine="960" w:firstLineChars="400"/>
        <w:rPr>
          <w:rFonts w:hint="eastAsia" w:ascii="宋体" w:hAnsi="宋体" w:eastAsia="宋体"/>
          <w:color w:val="auto"/>
          <w:sz w:val="24"/>
          <w:highlight w:val="none"/>
          <w:u w:val="single"/>
          <w:lang w:eastAsia="zh-CN"/>
        </w:rPr>
      </w:pPr>
      <w:r>
        <w:rPr>
          <w:rFonts w:hint="eastAsia" w:ascii="宋体" w:hAnsi="宋体"/>
          <w:color w:val="auto"/>
          <w:sz w:val="24"/>
          <w:highlight w:val="none"/>
        </w:rPr>
        <w:t>联系人：</w:t>
      </w:r>
      <w:r>
        <w:rPr>
          <w:rFonts w:hint="eastAsia" w:ascii="宋体" w:hAnsi="宋体" w:cs="宋体"/>
          <w:color w:val="auto"/>
          <w:sz w:val="24"/>
          <w:highlight w:val="none"/>
          <w:u w:val="single"/>
          <w:lang w:eastAsia="zh-CN"/>
        </w:rPr>
        <w:t>林工</w:t>
      </w:r>
      <w:r>
        <w:rPr>
          <w:rFonts w:hint="eastAsia" w:ascii="宋体" w:hAnsi="宋体" w:cs="宋体"/>
          <w:color w:val="auto"/>
          <w:sz w:val="24"/>
          <w:highlight w:val="none"/>
          <w:u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lang w:eastAsia="zh-CN"/>
        </w:rPr>
        <w:t>020-87597001</w:t>
      </w:r>
    </w:p>
    <w:p w14:paraId="7A1EC3BA">
      <w:pPr>
        <w:spacing w:line="480" w:lineRule="auto"/>
        <w:ind w:firstLine="1015" w:firstLineChars="423"/>
        <w:rPr>
          <w:rFonts w:hint="eastAsia" w:ascii="宋体" w:hAnsi="宋体" w:eastAsia="宋体"/>
          <w:color w:val="auto"/>
          <w:sz w:val="24"/>
          <w:highlight w:val="none"/>
          <w:u w:val="single"/>
          <w:lang w:eastAsia="zh-CN"/>
        </w:rPr>
      </w:pPr>
      <w:r>
        <w:rPr>
          <w:rFonts w:hint="eastAsia" w:ascii="宋体" w:hAnsi="宋体"/>
          <w:color w:val="auto"/>
          <w:sz w:val="24"/>
          <w:highlight w:val="none"/>
        </w:rPr>
        <w:t>联系地址：</w:t>
      </w:r>
      <w:r>
        <w:rPr>
          <w:rFonts w:hint="eastAsia" w:ascii="宋体" w:hAnsi="宋体"/>
          <w:color w:val="auto"/>
          <w:sz w:val="24"/>
          <w:highlight w:val="none"/>
          <w:u w:val="single"/>
          <w:lang w:eastAsia="zh-CN"/>
        </w:rPr>
        <w:t>广州市黄埔区石化路108号201房</w:t>
      </w:r>
    </w:p>
    <w:p w14:paraId="796C4B2D">
      <w:pPr>
        <w:spacing w:line="480" w:lineRule="auto"/>
        <w:ind w:left="420" w:leftChars="200" w:firstLine="537" w:firstLineChars="224"/>
        <w:rPr>
          <w:rFonts w:hint="eastAsia" w:ascii="宋体" w:hAnsi="宋体" w:eastAsia="宋体"/>
          <w:color w:val="auto"/>
          <w:sz w:val="24"/>
          <w:highlight w:val="none"/>
          <w:u w:val="single"/>
          <w:lang w:eastAsia="zh-CN"/>
        </w:rPr>
      </w:pPr>
      <w:r>
        <w:rPr>
          <w:rFonts w:hint="eastAsia" w:ascii="宋体" w:hAnsi="宋体"/>
          <w:color w:val="auto"/>
          <w:sz w:val="24"/>
          <w:highlight w:val="none"/>
        </w:rPr>
        <w:t>招标代理机构：</w:t>
      </w:r>
      <w:r>
        <w:rPr>
          <w:rFonts w:hint="eastAsia" w:ascii="宋体" w:hAnsi="宋体"/>
          <w:color w:val="auto"/>
          <w:sz w:val="24"/>
          <w:highlight w:val="none"/>
          <w:u w:val="single"/>
          <w:lang w:eastAsia="zh-CN"/>
        </w:rPr>
        <w:t>广州市南粤工程建设监理有限公司</w:t>
      </w:r>
    </w:p>
    <w:p w14:paraId="1ADAB2F7">
      <w:pPr>
        <w:spacing w:line="480" w:lineRule="auto"/>
        <w:ind w:firstLine="991" w:firstLineChars="413"/>
        <w:rPr>
          <w:rFonts w:hint="eastAsia" w:ascii="宋体" w:hAnsi="宋体" w:eastAsia="宋体"/>
          <w:color w:val="auto"/>
          <w:sz w:val="24"/>
          <w:highlight w:val="none"/>
          <w:u w:val="single"/>
          <w:lang w:eastAsia="zh-CN"/>
        </w:rPr>
      </w:pPr>
      <w:r>
        <w:rPr>
          <w:rFonts w:hint="eastAsia" w:ascii="宋体" w:hAnsi="宋体"/>
          <w:color w:val="auto"/>
          <w:sz w:val="24"/>
          <w:highlight w:val="none"/>
        </w:rPr>
        <w:t>联系人：</w:t>
      </w:r>
      <w:r>
        <w:rPr>
          <w:rFonts w:hint="eastAsia" w:ascii="宋体" w:hAnsi="宋体"/>
          <w:color w:val="auto"/>
          <w:sz w:val="24"/>
          <w:highlight w:val="none"/>
          <w:u w:val="single"/>
          <w:lang w:eastAsia="zh-CN"/>
        </w:rPr>
        <w:t>陈工</w:t>
      </w:r>
      <w:r>
        <w:rPr>
          <w:rFonts w:hint="eastAsia" w:ascii="宋体" w:hAnsi="宋体"/>
          <w:color w:val="auto"/>
          <w:sz w:val="24"/>
          <w:highlight w:val="none"/>
          <w:u w:val="none"/>
        </w:rPr>
        <w:t xml:space="preserve">     联系电话：</w:t>
      </w:r>
      <w:r>
        <w:rPr>
          <w:rFonts w:hint="eastAsia" w:ascii="宋体" w:hAnsi="宋体"/>
          <w:color w:val="auto"/>
          <w:sz w:val="24"/>
          <w:highlight w:val="none"/>
          <w:u w:val="single"/>
          <w:lang w:eastAsia="zh-CN"/>
        </w:rPr>
        <w:t>13533596581</w:t>
      </w:r>
    </w:p>
    <w:p w14:paraId="058612CF">
      <w:pPr>
        <w:spacing w:line="480" w:lineRule="auto"/>
        <w:ind w:firstLine="1015" w:firstLineChars="423"/>
        <w:rPr>
          <w:rFonts w:hint="eastAsia" w:ascii="宋体" w:hAnsi="宋体" w:eastAsia="宋体"/>
          <w:color w:val="auto"/>
          <w:sz w:val="24"/>
          <w:highlight w:val="none"/>
          <w:u w:val="single"/>
          <w:lang w:eastAsia="zh-CN"/>
        </w:rPr>
      </w:pPr>
      <w:r>
        <w:rPr>
          <w:rFonts w:hint="eastAsia" w:ascii="宋体" w:hAnsi="宋体"/>
          <w:color w:val="auto"/>
          <w:sz w:val="24"/>
          <w:highlight w:val="none"/>
        </w:rPr>
        <w:t>联系地址：</w:t>
      </w:r>
      <w:r>
        <w:rPr>
          <w:rFonts w:hint="eastAsia" w:ascii="宋体" w:hAnsi="宋体"/>
          <w:color w:val="auto"/>
          <w:sz w:val="24"/>
          <w:highlight w:val="none"/>
          <w:u w:val="single"/>
          <w:lang w:eastAsia="zh-CN"/>
        </w:rPr>
        <w:t>广州市越秀区环市中路301、303号</w:t>
      </w:r>
    </w:p>
    <w:p w14:paraId="2B377BDD">
      <w:pPr>
        <w:spacing w:line="480" w:lineRule="auto"/>
        <w:ind w:firstLine="1015" w:firstLineChars="423"/>
        <w:rPr>
          <w:rFonts w:hint="eastAsia" w:ascii="宋体" w:hAnsi="宋体" w:eastAsia="宋体"/>
          <w:color w:val="auto"/>
          <w:sz w:val="24"/>
          <w:highlight w:val="none"/>
          <w:u w:val="none"/>
          <w:lang w:eastAsia="zh-CN"/>
        </w:rPr>
      </w:pPr>
      <w:r>
        <w:rPr>
          <w:rFonts w:hint="eastAsia" w:ascii="宋体" w:hAnsi="宋体"/>
          <w:color w:val="auto"/>
          <w:sz w:val="24"/>
          <w:highlight w:val="none"/>
        </w:rPr>
        <w:t>招标监督机构：</w:t>
      </w:r>
      <w:r>
        <w:rPr>
          <w:rFonts w:hint="eastAsia" w:ascii="宋体" w:hAnsi="宋体"/>
          <w:color w:val="auto"/>
          <w:sz w:val="24"/>
          <w:highlight w:val="none"/>
          <w:u w:val="single"/>
          <w:lang w:eastAsia="zh-CN"/>
        </w:rPr>
        <w:t>广州开发区建设工程招投标管理办公室（广州市黄埔区建设工程招投标管理办公室）</w:t>
      </w:r>
    </w:p>
    <w:p w14:paraId="6DB7AB7C">
      <w:pPr>
        <w:spacing w:line="480" w:lineRule="auto"/>
        <w:ind w:firstLine="1015" w:firstLineChars="423"/>
        <w:rPr>
          <w:rFonts w:hint="eastAsia" w:ascii="宋体" w:hAnsi="宋体" w:eastAsia="宋体"/>
          <w:color w:val="auto"/>
          <w:sz w:val="24"/>
          <w:highlight w:val="none"/>
          <w:u w:val="single"/>
          <w:lang w:eastAsia="zh-CN"/>
        </w:rPr>
      </w:pPr>
      <w:r>
        <w:rPr>
          <w:rFonts w:hint="eastAsia" w:ascii="宋体" w:hAnsi="宋体"/>
          <w:color w:val="auto"/>
          <w:sz w:val="24"/>
          <w:highlight w:val="none"/>
        </w:rPr>
        <w:t>监督电话：</w:t>
      </w:r>
      <w:r>
        <w:rPr>
          <w:rFonts w:hint="eastAsia" w:ascii="宋体" w:hAnsi="宋体" w:cs="宋体"/>
          <w:color w:val="auto"/>
          <w:sz w:val="24"/>
          <w:highlight w:val="none"/>
          <w:u w:val="single"/>
          <w:lang w:eastAsia="zh-CN"/>
        </w:rPr>
        <w:t>020-82112206</w:t>
      </w:r>
    </w:p>
    <w:p w14:paraId="6D24DD72">
      <w:pPr>
        <w:spacing w:line="480" w:lineRule="auto"/>
        <w:ind w:firstLine="1015" w:firstLineChars="423"/>
        <w:rPr>
          <w:rFonts w:hint="eastAsia" w:eastAsia="宋体"/>
          <w:color w:val="auto"/>
          <w:highlight w:val="none"/>
          <w:lang w:eastAsia="zh-CN"/>
        </w:rPr>
      </w:pPr>
      <w:r>
        <w:rPr>
          <w:rFonts w:hint="eastAsia" w:ascii="宋体" w:hAnsi="宋体"/>
          <w:color w:val="auto"/>
          <w:sz w:val="24"/>
          <w:highlight w:val="none"/>
        </w:rPr>
        <w:t>联系地址：</w:t>
      </w:r>
      <w:r>
        <w:rPr>
          <w:rFonts w:hint="eastAsia" w:ascii="宋体" w:hAnsi="宋体"/>
          <w:color w:val="auto"/>
          <w:sz w:val="24"/>
          <w:highlight w:val="none"/>
          <w:u w:val="single"/>
          <w:lang w:eastAsia="zh-CN"/>
        </w:rPr>
        <w:t>广州市黄埔区水西路30号四楼</w:t>
      </w:r>
    </w:p>
    <w:p w14:paraId="0B0D6F4F">
      <w:pPr>
        <w:spacing w:line="480" w:lineRule="auto"/>
        <w:ind w:firstLine="537" w:firstLineChars="224"/>
        <w:rPr>
          <w:rFonts w:ascii="宋体"/>
          <w:color w:val="auto"/>
          <w:sz w:val="24"/>
          <w:highlight w:val="none"/>
          <w:u w:val="single"/>
        </w:rPr>
      </w:pPr>
      <w:r>
        <w:rPr>
          <w:rFonts w:hint="eastAsia" w:ascii="宋体" w:hAnsi="宋体"/>
          <w:color w:val="auto"/>
          <w:sz w:val="24"/>
          <w:highlight w:val="none"/>
        </w:rPr>
        <w:t>三、建设地点：</w:t>
      </w:r>
      <w:r>
        <w:rPr>
          <w:rFonts w:hint="eastAsia" w:ascii="宋体" w:hAnsi="宋体"/>
          <w:color w:val="auto"/>
          <w:sz w:val="24"/>
          <w:highlight w:val="none"/>
          <w:u w:val="single"/>
        </w:rPr>
        <w:t>项目位于</w:t>
      </w:r>
      <w:r>
        <w:rPr>
          <w:rFonts w:hint="eastAsia" w:ascii="宋体" w:hAnsi="宋体"/>
          <w:color w:val="auto"/>
          <w:sz w:val="24"/>
          <w:highlight w:val="none"/>
          <w:u w:val="single"/>
          <w:lang w:eastAsia="zh-CN"/>
        </w:rPr>
        <w:t>广州市黄埔区</w:t>
      </w:r>
      <w:r>
        <w:rPr>
          <w:rFonts w:hint="eastAsia" w:ascii="宋体" w:hAnsi="宋体"/>
          <w:color w:val="auto"/>
          <w:sz w:val="24"/>
          <w:highlight w:val="none"/>
          <w:u w:val="single"/>
        </w:rPr>
        <w:t>。</w:t>
      </w:r>
    </w:p>
    <w:p w14:paraId="3125CD35">
      <w:pPr>
        <w:spacing w:line="480" w:lineRule="auto"/>
        <w:ind w:firstLine="537" w:firstLineChars="224"/>
        <w:rPr>
          <w:rFonts w:hint="eastAsia" w:ascii="宋体" w:hAnsi="宋体"/>
          <w:color w:val="auto"/>
          <w:sz w:val="24"/>
          <w:highlight w:val="none"/>
        </w:rPr>
      </w:pPr>
      <w:r>
        <w:rPr>
          <w:rFonts w:hint="eastAsia" w:ascii="宋体" w:hAnsi="宋体"/>
          <w:color w:val="auto"/>
          <w:sz w:val="24"/>
          <w:highlight w:val="none"/>
        </w:rPr>
        <w:t>四、项目概况：</w:t>
      </w:r>
    </w:p>
    <w:p w14:paraId="4C137CF5">
      <w:pPr>
        <w:spacing w:line="480" w:lineRule="auto"/>
        <w:ind w:firstLine="960" w:firstLineChars="40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1、拆除部分：</w:t>
      </w:r>
      <w:r>
        <w:rPr>
          <w:rFonts w:hint="eastAsia" w:ascii="宋体" w:hAnsi="宋体"/>
          <w:color w:val="auto"/>
          <w:sz w:val="24"/>
          <w:highlight w:val="none"/>
          <w:u w:val="single"/>
          <w:lang w:val="en-US" w:eastAsia="zh-CN"/>
        </w:rPr>
        <w:t>拆除</w:t>
      </w:r>
      <w:r>
        <w:rPr>
          <w:rFonts w:hint="eastAsia" w:ascii="宋体" w:hAnsi="宋体"/>
          <w:color w:val="auto"/>
          <w:sz w:val="24"/>
          <w:highlight w:val="none"/>
          <w:u w:val="single"/>
          <w:lang w:eastAsia="zh-CN"/>
        </w:rPr>
        <w:t>原6KV 电力电缆及</w:t>
      </w:r>
      <w:r>
        <w:rPr>
          <w:rFonts w:hint="eastAsia" w:ascii="宋体" w:hAnsi="宋体"/>
          <w:color w:val="auto"/>
          <w:sz w:val="24"/>
          <w:highlight w:val="none"/>
          <w:u w:val="single"/>
          <w:lang w:val="en-US" w:eastAsia="zh-CN"/>
        </w:rPr>
        <w:t>架空导线，拆除原有配电房及配电房内电气设备；2、新建10kV、</w:t>
      </w:r>
      <w:r>
        <w:rPr>
          <w:rFonts w:hint="eastAsia" w:ascii="宋体" w:hAnsi="宋体"/>
          <w:color w:val="auto"/>
          <w:sz w:val="24"/>
          <w:highlight w:val="none"/>
          <w:u w:val="single"/>
          <w:lang w:eastAsia="zh-CN"/>
        </w:rPr>
        <w:t>6KV电力电缆、</w:t>
      </w:r>
      <w:r>
        <w:rPr>
          <w:rFonts w:hint="eastAsia" w:ascii="宋体" w:hAnsi="宋体"/>
          <w:color w:val="auto"/>
          <w:sz w:val="24"/>
          <w:highlight w:val="none"/>
          <w:u w:val="single"/>
          <w:lang w:val="en-US" w:eastAsia="zh-CN"/>
        </w:rPr>
        <w:t>高压柜、变压器</w:t>
      </w:r>
      <w:r>
        <w:rPr>
          <w:rFonts w:hint="eastAsia" w:ascii="宋体" w:hAnsi="宋体"/>
          <w:color w:val="auto"/>
          <w:sz w:val="24"/>
          <w:highlight w:val="none"/>
          <w:u w:val="single"/>
          <w:lang w:eastAsia="zh-CN"/>
        </w:rPr>
        <w:t>及相应附属配件的安装、配套电缆井、开关箱、行车埋管以及路面拆除和修复等工程内容；新装电力电缆、高压柜、变压器及附属设备均需满足中国石化广州公司的要求；设备调试、竣工验收及资产移交等，</w:t>
      </w:r>
      <w:r>
        <w:rPr>
          <w:rFonts w:hint="eastAsia" w:ascii="宋体" w:hAnsi="宋体"/>
          <w:color w:val="auto"/>
          <w:sz w:val="24"/>
          <w:highlight w:val="none"/>
          <w:u w:val="single"/>
          <w:lang w:val="en-US" w:eastAsia="zh-CN"/>
        </w:rPr>
        <w:t>新建高压室、专变房电房土建</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3、RR3地块</w:t>
      </w:r>
      <w:r>
        <w:rPr>
          <w:rFonts w:hint="eastAsia" w:ascii="宋体" w:hAnsi="宋体"/>
          <w:color w:val="auto"/>
          <w:sz w:val="24"/>
          <w:highlight w:val="none"/>
          <w:u w:val="single"/>
          <w:lang w:eastAsia="zh-CN"/>
        </w:rPr>
        <w:t>6KV电力电缆</w:t>
      </w:r>
      <w:r>
        <w:rPr>
          <w:rFonts w:hint="eastAsia" w:ascii="宋体" w:hAnsi="宋体"/>
          <w:color w:val="auto"/>
          <w:sz w:val="24"/>
          <w:highlight w:val="none"/>
          <w:u w:val="single"/>
          <w:lang w:val="en-US" w:eastAsia="zh-CN"/>
        </w:rPr>
        <w:t>迁改</w:t>
      </w:r>
      <w:r>
        <w:rPr>
          <w:rFonts w:hint="eastAsia" w:ascii="宋体" w:hAnsi="宋体"/>
          <w:color w:val="auto"/>
          <w:sz w:val="24"/>
          <w:highlight w:val="none"/>
          <w:u w:val="single"/>
          <w:lang w:eastAsia="zh-CN"/>
        </w:rPr>
        <w:t>。（具体以招标图纸、工程量清单及招标过程中所发出的相关文件所包含的全部内容为准。</w:t>
      </w:r>
    </w:p>
    <w:p w14:paraId="37FD4061">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五、标段划分及各标段招标内容、规模和最高投标限价：</w:t>
      </w:r>
    </w:p>
    <w:p w14:paraId="7D0BA310">
      <w:pPr>
        <w:adjustRightInd w:val="0"/>
        <w:snapToGrid w:val="0"/>
        <w:spacing w:line="480" w:lineRule="auto"/>
        <w:ind w:firstLine="537" w:firstLineChars="224"/>
        <w:rPr>
          <w:rFonts w:ascii="宋体" w:hAnsi="宋体" w:cs="宋体"/>
          <w:color w:val="auto"/>
          <w:sz w:val="24"/>
          <w:szCs w:val="20"/>
          <w:highlight w:val="none"/>
          <w:u w:val="single"/>
        </w:rPr>
      </w:pPr>
      <w:r>
        <w:rPr>
          <w:rFonts w:hint="eastAsia" w:ascii="宋体" w:hAnsi="宋体"/>
          <w:color w:val="auto"/>
          <w:sz w:val="24"/>
          <w:highlight w:val="none"/>
        </w:rPr>
        <w:t>1、</w:t>
      </w:r>
      <w:r>
        <w:rPr>
          <w:rFonts w:hint="eastAsia" w:ascii="宋体" w:hAnsi="宋体" w:cs="宋体"/>
          <w:color w:val="auto"/>
          <w:sz w:val="24"/>
          <w:szCs w:val="20"/>
          <w:highlight w:val="none"/>
          <w:u w:val="single"/>
        </w:rPr>
        <w:t>标段划分：</w:t>
      </w:r>
      <w:r>
        <w:rPr>
          <w:rFonts w:hint="eastAsia" w:ascii="宋体" w:hAnsi="宋体"/>
          <w:color w:val="auto"/>
          <w:sz w:val="24"/>
          <w:szCs w:val="24"/>
          <w:highlight w:val="none"/>
          <w:u w:val="single"/>
        </w:rPr>
        <w:t>本工程划分为</w:t>
      </w:r>
      <w:r>
        <w:rPr>
          <w:rFonts w:hint="eastAsia" w:ascii="宋体" w:hAnsi="宋体" w:cs="宋体"/>
          <w:color w:val="auto"/>
          <w:sz w:val="24"/>
          <w:szCs w:val="20"/>
          <w:highlight w:val="none"/>
          <w:u w:val="single"/>
        </w:rPr>
        <w:t>1个标段。</w:t>
      </w:r>
    </w:p>
    <w:p w14:paraId="37D2B6CE">
      <w:pPr>
        <w:pStyle w:val="16"/>
        <w:spacing w:line="480" w:lineRule="auto"/>
        <w:ind w:firstLine="480"/>
        <w:rPr>
          <w:rFonts w:cs="宋体"/>
          <w:b w:val="0"/>
          <w:bCs/>
          <w:color w:val="auto"/>
          <w:sz w:val="24"/>
          <w:szCs w:val="20"/>
          <w:highlight w:val="none"/>
          <w:u w:val="single"/>
        </w:rPr>
      </w:pPr>
      <w:r>
        <w:rPr>
          <w:rFonts w:hint="eastAsia" w:cs="宋体"/>
          <w:b w:val="0"/>
          <w:bCs/>
          <w:color w:val="auto"/>
          <w:sz w:val="24"/>
          <w:szCs w:val="20"/>
          <w:highlight w:val="none"/>
          <w:u w:val="single"/>
        </w:rPr>
        <w:t>2、招标内容、规模：按发包人提供的招标文件、工程量清单、招标答疑</w:t>
      </w:r>
      <w:r>
        <w:rPr>
          <w:rFonts w:hint="eastAsia" w:cs="宋体"/>
          <w:b w:val="0"/>
          <w:bCs/>
          <w:color w:val="auto"/>
          <w:sz w:val="24"/>
          <w:szCs w:val="20"/>
          <w:highlight w:val="none"/>
          <w:u w:val="single"/>
          <w:lang w:eastAsia="zh-CN"/>
        </w:rPr>
        <w:t>澄清</w:t>
      </w:r>
      <w:r>
        <w:rPr>
          <w:rFonts w:hint="eastAsia" w:cs="宋体"/>
          <w:b w:val="0"/>
          <w:bCs/>
          <w:color w:val="auto"/>
          <w:sz w:val="24"/>
          <w:szCs w:val="20"/>
          <w:highlight w:val="none"/>
          <w:u w:val="single"/>
        </w:rPr>
        <w:t>文件、全套施工图纸、设计说明及补充说明</w:t>
      </w:r>
      <w:r>
        <w:rPr>
          <w:rFonts w:hint="eastAsia" w:cs="宋体"/>
          <w:b w:val="0"/>
          <w:bCs/>
          <w:color w:val="auto"/>
          <w:sz w:val="24"/>
          <w:szCs w:val="20"/>
          <w:highlight w:val="none"/>
          <w:u w:val="single"/>
          <w:lang w:eastAsia="zh-CN"/>
        </w:rPr>
        <w:t>、</w:t>
      </w:r>
      <w:r>
        <w:rPr>
          <w:rFonts w:hint="eastAsia" w:cs="宋体"/>
          <w:b w:val="0"/>
          <w:bCs/>
          <w:color w:val="auto"/>
          <w:sz w:val="24"/>
          <w:szCs w:val="20"/>
          <w:highlight w:val="none"/>
          <w:u w:val="single"/>
          <w:lang w:val="en-US" w:eastAsia="zh-CN"/>
        </w:rPr>
        <w:t>发包人发出的与本工程有关的一切文件</w:t>
      </w:r>
      <w:r>
        <w:rPr>
          <w:rFonts w:hint="eastAsia" w:cs="宋体"/>
          <w:b w:val="0"/>
          <w:bCs/>
          <w:color w:val="auto"/>
          <w:sz w:val="24"/>
          <w:szCs w:val="20"/>
          <w:highlight w:val="none"/>
          <w:u w:val="single"/>
        </w:rPr>
        <w:t>，承包本项目工程包括的</w:t>
      </w:r>
      <w:r>
        <w:rPr>
          <w:rFonts w:hint="eastAsia" w:cs="宋体"/>
          <w:b w:val="0"/>
          <w:bCs/>
          <w:color w:val="auto"/>
          <w:sz w:val="24"/>
          <w:szCs w:val="20"/>
          <w:highlight w:val="none"/>
          <w:u w:val="single"/>
          <w:lang w:eastAsia="zh-CN"/>
        </w:rPr>
        <w:t>：</w:t>
      </w:r>
      <w:r>
        <w:rPr>
          <w:rFonts w:hint="eastAsia" w:cs="宋体"/>
          <w:b w:val="0"/>
          <w:bCs/>
          <w:color w:val="auto"/>
          <w:sz w:val="24"/>
          <w:szCs w:val="20"/>
          <w:highlight w:val="none"/>
          <w:u w:val="single"/>
        </w:rPr>
        <w:t>拆除部分：拆除原6KV 电力电缆及架空导线，拆除原有配电房及配电房内电气设备；新建10kV、6KV电力电缆、高压柜、变压器及相应附属配件的安装、配套电缆井、开关箱、行车埋管以及路面拆除和修复等工程内容；</w:t>
      </w:r>
      <w:r>
        <w:rPr>
          <w:rFonts w:hint="eastAsia" w:cs="宋体"/>
          <w:b w:val="0"/>
          <w:bCs/>
          <w:color w:val="auto"/>
          <w:sz w:val="24"/>
          <w:szCs w:val="20"/>
          <w:highlight w:val="none"/>
          <w:u w:val="single"/>
          <w:lang w:val="en-US" w:eastAsia="zh-CN"/>
        </w:rPr>
        <w:t>新装</w:t>
      </w:r>
      <w:r>
        <w:rPr>
          <w:rFonts w:hint="eastAsia" w:cs="宋体"/>
          <w:b w:val="0"/>
          <w:bCs/>
          <w:color w:val="auto"/>
          <w:sz w:val="24"/>
          <w:szCs w:val="20"/>
          <w:highlight w:val="none"/>
          <w:u w:val="single"/>
        </w:rPr>
        <w:t>电力电缆、高压柜、变压器</w:t>
      </w:r>
      <w:r>
        <w:rPr>
          <w:rFonts w:hint="eastAsia" w:cs="宋体"/>
          <w:b w:val="0"/>
          <w:bCs/>
          <w:color w:val="auto"/>
          <w:sz w:val="24"/>
          <w:szCs w:val="20"/>
          <w:highlight w:val="none"/>
          <w:u w:val="single"/>
          <w:lang w:val="en-US" w:eastAsia="zh-CN"/>
        </w:rPr>
        <w:t>及附属设备均需满足中国石化广州公司的相关参数及品牌要求；</w:t>
      </w:r>
      <w:r>
        <w:rPr>
          <w:rFonts w:hint="eastAsia" w:cs="宋体"/>
          <w:b w:val="0"/>
          <w:bCs/>
          <w:color w:val="auto"/>
          <w:sz w:val="24"/>
          <w:szCs w:val="20"/>
          <w:highlight w:val="none"/>
          <w:u w:val="single"/>
        </w:rPr>
        <w:t>设备调试、竣工验收及资产移交等，新建高压室、专变房电房土建</w:t>
      </w:r>
      <w:r>
        <w:rPr>
          <w:rFonts w:hint="eastAsia" w:cs="宋体"/>
          <w:b w:val="0"/>
          <w:bCs/>
          <w:color w:val="auto"/>
          <w:sz w:val="24"/>
          <w:szCs w:val="20"/>
          <w:highlight w:val="none"/>
          <w:u w:val="single"/>
          <w:lang w:eastAsia="zh-CN"/>
        </w:rPr>
        <w:t>；</w:t>
      </w:r>
      <w:r>
        <w:rPr>
          <w:rFonts w:hint="eastAsia" w:cs="宋体"/>
          <w:b w:val="0"/>
          <w:bCs/>
          <w:color w:val="auto"/>
          <w:sz w:val="24"/>
          <w:szCs w:val="20"/>
          <w:highlight w:val="none"/>
          <w:u w:val="single"/>
        </w:rPr>
        <w:t>RR3地块6KV电力电缆迁改等工程施工。</w:t>
      </w:r>
    </w:p>
    <w:p w14:paraId="4CC83EC8">
      <w:pPr>
        <w:numPr>
          <w:ilvl w:val="0"/>
          <w:numId w:val="0"/>
        </w:numPr>
        <w:adjustRightInd w:val="0"/>
        <w:snapToGrid w:val="0"/>
        <w:spacing w:line="480" w:lineRule="auto"/>
        <w:ind w:firstLine="537" w:firstLineChars="224"/>
        <w:rPr>
          <w:rFonts w:ascii="宋体" w:hAnsi="宋体" w:cs="宋体"/>
          <w:color w:val="auto"/>
          <w:sz w:val="24"/>
          <w:szCs w:val="24"/>
          <w:highlight w:val="none"/>
          <w:u w:val="single"/>
        </w:rPr>
      </w:pPr>
      <w:r>
        <w:rPr>
          <w:rFonts w:ascii="宋体" w:hAnsi="宋体" w:eastAsia="宋体" w:cs="宋体"/>
          <w:color w:val="auto"/>
          <w:kern w:val="2"/>
          <w:sz w:val="24"/>
          <w:szCs w:val="24"/>
          <w:highlight w:val="none"/>
          <w:lang w:val="en-US" w:eastAsia="zh-CN" w:bidi="ar-SA"/>
        </w:rPr>
        <w:t>3、</w:t>
      </w:r>
      <w:r>
        <w:rPr>
          <w:rFonts w:hint="eastAsia" w:ascii="宋体" w:hAnsi="宋体" w:cs="宋体"/>
          <w:color w:val="auto"/>
          <w:sz w:val="24"/>
          <w:szCs w:val="24"/>
          <w:highlight w:val="none"/>
        </w:rPr>
        <w:t>最高投标限价为:</w:t>
      </w:r>
      <w:r>
        <w:rPr>
          <w:rFonts w:hint="eastAsia" w:ascii="宋体" w:hAnsi="宋体" w:cs="宋体"/>
          <w:color w:val="auto"/>
          <w:sz w:val="24"/>
          <w:szCs w:val="24"/>
          <w:highlight w:val="none"/>
          <w:u w:val="single"/>
        </w:rPr>
        <w:t xml:space="preserve"> ¥</w:t>
      </w:r>
      <w:bookmarkStart w:id="0" w:name="_GoBack"/>
      <w:r>
        <w:rPr>
          <w:rFonts w:hint="eastAsia" w:ascii="宋体" w:hAnsi="宋体" w:cs="宋体"/>
          <w:color w:val="auto"/>
          <w:sz w:val="24"/>
          <w:szCs w:val="24"/>
          <w:highlight w:val="none"/>
          <w:u w:val="single"/>
          <w:lang w:val="en-US" w:eastAsia="zh-CN"/>
        </w:rPr>
        <w:t>9523751.67</w:t>
      </w:r>
      <w:bookmarkEnd w:id="0"/>
      <w:r>
        <w:rPr>
          <w:rFonts w:hint="eastAsia" w:ascii="宋体" w:hAnsi="宋体" w:cs="宋体"/>
          <w:color w:val="auto"/>
          <w:sz w:val="24"/>
          <w:szCs w:val="24"/>
          <w:highlight w:val="none"/>
          <w:u w:val="single"/>
          <w:lang w:val="en-US" w:eastAsia="zh-CN"/>
        </w:rPr>
        <w:t xml:space="preserve"> </w:t>
      </w:r>
      <w:r>
        <w:rPr>
          <w:rFonts w:hint="eastAsia" w:ascii="宋体" w:hAnsi="宋体"/>
          <w:color w:val="auto"/>
          <w:sz w:val="24"/>
          <w:szCs w:val="24"/>
          <w:highlight w:val="none"/>
          <w:u w:val="single"/>
          <w:lang w:eastAsia="zh-CN"/>
        </w:rPr>
        <w:t>元</w:t>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u w:val="single"/>
        </w:rPr>
        <w:t>。</w:t>
      </w:r>
    </w:p>
    <w:p w14:paraId="4E0981C6">
      <w:pPr>
        <w:adjustRightInd w:val="0"/>
        <w:snapToGrid w:val="0"/>
        <w:spacing w:line="480" w:lineRule="auto"/>
        <w:ind w:firstLine="537" w:firstLineChars="224"/>
        <w:rPr>
          <w:rFonts w:ascii="宋体"/>
          <w:color w:val="auto"/>
          <w:sz w:val="24"/>
          <w:highlight w:val="none"/>
        </w:rPr>
      </w:pPr>
      <w:r>
        <w:rPr>
          <w:rFonts w:hint="eastAsia" w:ascii="宋体" w:hAnsi="宋体"/>
          <w:color w:val="auto"/>
          <w:sz w:val="24"/>
          <w:highlight w:val="none"/>
        </w:rPr>
        <w:t>注：两个或两个以上标段的，应明确允许兼中或不兼中时，明确对项目负责人的数量要求。对于包含两个或两个以上专业的招标项目，应分别明确各专业对应的招标内容、规模和最高投标限价的专业组成费用。</w:t>
      </w:r>
    </w:p>
    <w:p w14:paraId="4397C30C">
      <w:pPr>
        <w:spacing w:line="480" w:lineRule="auto"/>
        <w:ind w:firstLine="537" w:firstLineChars="224"/>
        <w:rPr>
          <w:rFonts w:ascii="宋体" w:hAnsi="宋体"/>
          <w:color w:val="auto"/>
          <w:sz w:val="24"/>
          <w:highlight w:val="none"/>
          <w:u w:val="single"/>
        </w:rPr>
      </w:pPr>
      <w:r>
        <w:rPr>
          <w:rFonts w:hint="eastAsia" w:ascii="宋体" w:hAnsi="宋体"/>
          <w:color w:val="auto"/>
          <w:sz w:val="24"/>
          <w:highlight w:val="none"/>
        </w:rPr>
        <w:t>六、资金来源：</w:t>
      </w:r>
      <w:r>
        <w:rPr>
          <w:rFonts w:hint="eastAsia" w:ascii="宋体" w:hAnsi="宋体"/>
          <w:color w:val="auto"/>
          <w:sz w:val="24"/>
          <w:highlight w:val="none"/>
          <w:u w:val="single"/>
          <w:lang w:eastAsia="zh-CN"/>
        </w:rPr>
        <w:t>企业自筹</w:t>
      </w:r>
      <w:r>
        <w:rPr>
          <w:rFonts w:hint="eastAsia" w:ascii="宋体" w:hAnsi="宋体"/>
          <w:color w:val="auto"/>
          <w:sz w:val="24"/>
          <w:highlight w:val="none"/>
          <w:u w:val="single"/>
        </w:rPr>
        <w:t>资金</w:t>
      </w:r>
    </w:p>
    <w:p w14:paraId="4ACFF11A">
      <w:pPr>
        <w:snapToGrid w:val="0"/>
        <w:spacing w:line="480" w:lineRule="auto"/>
        <w:ind w:left="435"/>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olor w:val="auto"/>
          <w:sz w:val="24"/>
          <w:highlight w:val="none"/>
        </w:rPr>
        <w:t>公告发布日期、</w:t>
      </w:r>
      <w:r>
        <w:rPr>
          <w:rFonts w:hint="eastAsia" w:ascii="宋体" w:hAnsi="宋体" w:cs="宋体"/>
          <w:color w:val="auto"/>
          <w:sz w:val="24"/>
          <w:szCs w:val="24"/>
          <w:highlight w:val="none"/>
        </w:rPr>
        <w:t>递交投标文件时间与开标时间：</w:t>
      </w:r>
    </w:p>
    <w:p w14:paraId="5328EBB1">
      <w:pPr>
        <w:snapToGrid w:val="0"/>
        <w:spacing w:line="480" w:lineRule="auto"/>
        <w:ind w:left="435"/>
        <w:rPr>
          <w:rFonts w:hint="eastAsia"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hint="eastAsia" w:ascii="宋体" w:hAnsi="宋体" w:cs="宋体"/>
          <w:bCs/>
          <w:color w:val="auto"/>
          <w:sz w:val="24"/>
          <w:highlight w:val="none"/>
          <w:u w:val="single"/>
        </w:rPr>
        <w:t>202</w:t>
      </w:r>
      <w:r>
        <w:rPr>
          <w:rFonts w:hint="eastAsia" w:ascii="宋体" w:hAnsi="宋体" w:cs="宋体"/>
          <w:bCs/>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日</w:t>
      </w:r>
      <w:r>
        <w:rPr>
          <w:rFonts w:hint="eastAsia" w:ascii="宋体" w:hAnsi="宋体"/>
          <w:color w:val="auto"/>
          <w:sz w:val="24"/>
          <w:highlight w:val="none"/>
          <w:u w:val="single"/>
          <w:lang w:val="en-US" w:eastAsia="zh-CN"/>
        </w:rPr>
        <w:t>00</w:t>
      </w:r>
      <w:r>
        <w:rPr>
          <w:rFonts w:hint="eastAsia" w:ascii="宋体" w:hAnsi="宋体"/>
          <w:color w:val="auto"/>
          <w:sz w:val="24"/>
          <w:highlight w:val="none"/>
          <w:u w:val="none"/>
          <w:lang w:val="en-US" w:eastAsia="zh-CN"/>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u w:val="none"/>
          <w:lang w:val="en-US" w:eastAsia="zh-CN"/>
        </w:rPr>
        <w:t>分</w:t>
      </w:r>
      <w:r>
        <w:rPr>
          <w:rFonts w:hint="eastAsia" w:ascii="宋体" w:hAnsi="宋体" w:cs="宋体"/>
          <w:color w:val="auto"/>
          <w:sz w:val="24"/>
          <w:highlight w:val="none"/>
          <w:u w:val="single"/>
        </w:rPr>
        <w:t>至</w:t>
      </w:r>
      <w:r>
        <w:rPr>
          <w:rFonts w:hint="eastAsia" w:ascii="宋体" w:hAnsi="宋体" w:cs="宋体"/>
          <w:bCs/>
          <w:color w:val="auto"/>
          <w:sz w:val="24"/>
          <w:highlight w:val="none"/>
          <w:u w:val="single"/>
        </w:rPr>
        <w:t>202</w:t>
      </w:r>
      <w:r>
        <w:rPr>
          <w:rFonts w:hint="eastAsia" w:ascii="宋体" w:hAnsi="宋体" w:cs="宋体"/>
          <w:bCs/>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cs="宋体"/>
          <w:color w:val="auto"/>
          <w:sz w:val="24"/>
          <w:highlight w:val="none"/>
          <w:u w:val="single"/>
        </w:rPr>
        <w:t>日</w:t>
      </w:r>
      <w:r>
        <w:rPr>
          <w:rFonts w:hint="eastAsia" w:ascii="宋体" w:hAnsi="宋体"/>
          <w:color w:val="auto"/>
          <w:sz w:val="24"/>
          <w:highlight w:val="none"/>
          <w:u w:val="single"/>
          <w:lang w:val="en-US" w:eastAsia="zh-CN"/>
        </w:rPr>
        <w:t>9</w:t>
      </w:r>
      <w:r>
        <w:rPr>
          <w:rFonts w:hint="eastAsia" w:ascii="宋体" w:hAnsi="宋体"/>
          <w:color w:val="auto"/>
          <w:sz w:val="24"/>
          <w:highlight w:val="none"/>
          <w:u w:val="none"/>
          <w:lang w:val="en-US" w:eastAsia="zh-CN"/>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u w:val="none"/>
          <w:lang w:val="en-US" w:eastAsia="zh-CN"/>
        </w:rPr>
        <w:t>分</w:t>
      </w:r>
    </w:p>
    <w:p w14:paraId="76EC8FBD">
      <w:pPr>
        <w:snapToGrid w:val="0"/>
        <w:spacing w:line="480" w:lineRule="auto"/>
        <w:ind w:left="435"/>
        <w:rPr>
          <w:rFonts w:hint="eastAsia" w:ascii="宋体" w:hAnsi="宋体" w:cs="宋体"/>
          <w:color w:val="auto"/>
          <w:kern w:val="0"/>
          <w:sz w:val="24"/>
          <w:szCs w:val="24"/>
          <w:highlight w:val="none"/>
        </w:rPr>
      </w:pPr>
      <w:r>
        <w:rPr>
          <w:rFonts w:hint="eastAsia" w:ascii="宋体" w:hAnsi="宋体" w:cs="宋体"/>
          <w:color w:val="auto"/>
          <w:sz w:val="24"/>
          <w:highlight w:val="none"/>
        </w:rPr>
        <w:t>凡有意参加投标者，请登录</w:t>
      </w:r>
      <w:r>
        <w:rPr>
          <w:rFonts w:hint="eastAsia" w:ascii="宋体" w:hAnsi="宋体"/>
          <w:bCs/>
          <w:color w:val="auto"/>
          <w:sz w:val="24"/>
          <w:highlight w:val="non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网站下载电子招标文件。</w:t>
      </w:r>
    </w:p>
    <w:p w14:paraId="03264A3C">
      <w:pPr>
        <w:widowControl/>
        <w:shd w:val="clear" w:color="auto" w:fill="FFFFFF"/>
        <w:snapToGrid w:val="0"/>
        <w:spacing w:line="48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注：发布招标公告的时间为招标公告发出之日起至投标截止时间止。</w:t>
      </w:r>
    </w:p>
    <w:p w14:paraId="6C6037AE">
      <w:pPr>
        <w:widowControl/>
        <w:numPr>
          <w:ilvl w:val="0"/>
          <w:numId w:val="0"/>
        </w:numPr>
        <w:shd w:val="clear" w:color="auto" w:fill="FFFFFF"/>
        <w:snapToGrid w:val="0"/>
        <w:spacing w:line="480" w:lineRule="auto"/>
        <w:ind w:left="809" w:leftChars="214" w:hanging="360" w:hangingChars="150"/>
        <w:jc w:val="left"/>
        <w:rPr>
          <w:rFonts w:hint="eastAsia" w:ascii="宋体" w:hAnsi="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sz w:val="24"/>
          <w:szCs w:val="24"/>
          <w:highlight w:val="none"/>
        </w:rPr>
        <w:t>递交投标文件起始时间：</w:t>
      </w:r>
      <w:r>
        <w:rPr>
          <w:rFonts w:hint="eastAsia" w:ascii="宋体" w:hAnsi="宋体" w:cs="宋体"/>
          <w:bCs/>
          <w:color w:val="auto"/>
          <w:sz w:val="24"/>
          <w:highlight w:val="none"/>
          <w:u w:val="single"/>
        </w:rPr>
        <w:t>202</w:t>
      </w:r>
      <w:r>
        <w:rPr>
          <w:rFonts w:hint="eastAsia" w:ascii="宋体" w:hAnsi="宋体" w:cs="宋体"/>
          <w:bCs/>
          <w:color w:val="auto"/>
          <w:sz w:val="24"/>
          <w:highlight w:val="none"/>
          <w:u w:val="single"/>
          <w:lang w:val="en-US" w:eastAsia="zh-CN"/>
        </w:rPr>
        <w:t>5</w:t>
      </w:r>
      <w:r>
        <w:rPr>
          <w:rFonts w:hint="eastAsia" w:ascii="宋体" w:hAnsi="宋体" w:cs="宋体"/>
          <w:color w:val="auto"/>
          <w:sz w:val="24"/>
          <w:szCs w:val="24"/>
          <w:highlight w:val="none"/>
          <w:u w:val="single"/>
        </w:rPr>
        <w:t>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日</w:t>
      </w:r>
      <w:r>
        <w:rPr>
          <w:rFonts w:hint="eastAsia" w:ascii="宋体" w:hAnsi="宋体"/>
          <w:color w:val="auto"/>
          <w:sz w:val="24"/>
          <w:highlight w:val="none"/>
          <w:u w:val="single"/>
          <w:lang w:val="en-US" w:eastAsia="zh-CN"/>
        </w:rPr>
        <w:t>00时00</w:t>
      </w:r>
      <w:r>
        <w:rPr>
          <w:rFonts w:hint="eastAsia" w:ascii="宋体" w:hAnsi="宋体"/>
          <w:color w:val="auto"/>
          <w:sz w:val="24"/>
          <w:highlight w:val="none"/>
          <w:u w:val="none"/>
          <w:lang w:val="en-US" w:eastAsia="zh-CN"/>
        </w:rPr>
        <w:t>分</w:t>
      </w:r>
      <w:r>
        <w:rPr>
          <w:rFonts w:hint="eastAsia" w:ascii="宋体" w:hAnsi="宋体" w:cs="宋体"/>
          <w:color w:val="auto"/>
          <w:sz w:val="24"/>
          <w:szCs w:val="24"/>
          <w:highlight w:val="none"/>
        </w:rPr>
        <w:t>；截止时间：</w:t>
      </w:r>
      <w:r>
        <w:rPr>
          <w:rFonts w:hint="eastAsia" w:ascii="宋体" w:hAnsi="宋体" w:cs="宋体"/>
          <w:bCs/>
          <w:color w:val="auto"/>
          <w:sz w:val="24"/>
          <w:highlight w:val="none"/>
          <w:u w:val="single"/>
        </w:rPr>
        <w:t>202</w:t>
      </w:r>
      <w:r>
        <w:rPr>
          <w:rFonts w:hint="eastAsia" w:ascii="宋体" w:hAnsi="宋体" w:cs="宋体"/>
          <w:bCs/>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cs="宋体"/>
          <w:color w:val="auto"/>
          <w:sz w:val="24"/>
          <w:highlight w:val="none"/>
          <w:u w:val="single"/>
        </w:rPr>
        <w:t>日</w:t>
      </w:r>
      <w:r>
        <w:rPr>
          <w:rFonts w:hint="eastAsia" w:ascii="宋体" w:hAnsi="宋体"/>
          <w:color w:val="auto"/>
          <w:sz w:val="24"/>
          <w:highlight w:val="none"/>
          <w:u w:val="single"/>
          <w:lang w:val="en-US" w:eastAsia="zh-CN"/>
        </w:rPr>
        <w:t>9</w:t>
      </w:r>
      <w:r>
        <w:rPr>
          <w:rFonts w:hint="eastAsia" w:ascii="宋体" w:hAnsi="宋体"/>
          <w:color w:val="auto"/>
          <w:sz w:val="24"/>
          <w:highlight w:val="none"/>
          <w:u w:val="none"/>
          <w:lang w:val="en-US" w:eastAsia="zh-CN"/>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u w:val="none"/>
          <w:lang w:val="en-US" w:eastAsia="zh-CN"/>
        </w:rPr>
        <w:t>分</w:t>
      </w:r>
      <w:r>
        <w:rPr>
          <w:rFonts w:hint="eastAsia" w:ascii="宋体" w:hAnsi="宋体" w:cs="宋体"/>
          <w:color w:val="auto"/>
          <w:sz w:val="24"/>
          <w:szCs w:val="24"/>
          <w:highlight w:val="none"/>
          <w:u w:val="single"/>
        </w:rPr>
        <w:t>。</w:t>
      </w:r>
    </w:p>
    <w:p w14:paraId="0370541D">
      <w:pPr>
        <w:widowControl/>
        <w:numPr>
          <w:ilvl w:val="0"/>
          <w:numId w:val="0"/>
        </w:numPr>
        <w:shd w:val="clear" w:color="auto" w:fill="FFFFFF"/>
        <w:snapToGrid w:val="0"/>
        <w:spacing w:line="480" w:lineRule="auto"/>
        <w:ind w:left="809" w:leftChars="214" w:hanging="360" w:hangingChars="150"/>
        <w:jc w:val="left"/>
        <w:rPr>
          <w:rFonts w:hint="eastAsia" w:ascii="宋体" w:hAnsi="宋体"/>
          <w:color w:val="auto"/>
          <w:sz w:val="24"/>
          <w:szCs w:val="24"/>
          <w:highlight w:val="none"/>
          <w:u w:val="single"/>
        </w:rPr>
      </w:pPr>
      <w:r>
        <w:rPr>
          <w:rFonts w:hint="eastAsia" w:ascii="宋体" w:hAnsi="宋体"/>
          <w:color w:val="auto"/>
          <w:sz w:val="24"/>
          <w:szCs w:val="24"/>
          <w:highlight w:val="none"/>
        </w:rPr>
        <w:t>递交投标文件备用光盘时间：</w:t>
      </w:r>
      <w:r>
        <w:rPr>
          <w:rFonts w:hint="eastAsia" w:ascii="宋体" w:hAnsi="宋体" w:cs="宋体"/>
          <w:bCs/>
          <w:color w:val="auto"/>
          <w:sz w:val="24"/>
          <w:highlight w:val="none"/>
          <w:u w:val="single"/>
        </w:rPr>
        <w:t>202</w:t>
      </w:r>
      <w:r>
        <w:rPr>
          <w:rFonts w:hint="eastAsia" w:ascii="宋体" w:hAnsi="宋体" w:cs="宋体"/>
          <w:bCs/>
          <w:color w:val="auto"/>
          <w:sz w:val="24"/>
          <w:highlight w:val="none"/>
          <w:u w:val="single"/>
          <w:lang w:val="en-US" w:eastAsia="zh-CN"/>
        </w:rPr>
        <w:t>5</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21</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8</w:t>
      </w:r>
      <w:r>
        <w:rPr>
          <w:rFonts w:hint="eastAsia" w:ascii="宋体" w:hAnsi="宋体" w:cs="宋体"/>
          <w:color w:val="auto"/>
          <w:sz w:val="24"/>
          <w:szCs w:val="24"/>
          <w:highlight w:val="none"/>
          <w:u w:val="single"/>
        </w:rPr>
        <w:t>时</w:t>
      </w:r>
      <w:r>
        <w:rPr>
          <w:rFonts w:hint="eastAsia" w:ascii="宋体" w:hAnsi="宋体" w:cs="宋体"/>
          <w:color w:val="auto"/>
          <w:sz w:val="24"/>
          <w:szCs w:val="24"/>
          <w:highlight w:val="none"/>
          <w:u w:val="single"/>
          <w:lang w:val="en-US" w:eastAsia="zh-CN"/>
        </w:rPr>
        <w:t>45</w:t>
      </w:r>
      <w:r>
        <w:rPr>
          <w:rFonts w:hint="eastAsia" w:ascii="宋体" w:hAnsi="宋体" w:cs="宋体"/>
          <w:color w:val="auto"/>
          <w:sz w:val="24"/>
          <w:szCs w:val="24"/>
          <w:highlight w:val="none"/>
          <w:u w:val="single"/>
        </w:rPr>
        <w:t>分</w:t>
      </w:r>
      <w:r>
        <w:rPr>
          <w:rFonts w:hint="eastAsia" w:ascii="宋体" w:hAnsi="宋体"/>
          <w:color w:val="auto"/>
          <w:sz w:val="24"/>
          <w:highlight w:val="none"/>
          <w:u w:val="none"/>
          <w:lang w:val="en-US" w:eastAsia="zh-CN"/>
        </w:rPr>
        <w:t>至</w:t>
      </w:r>
      <w:r>
        <w:rPr>
          <w:rFonts w:hint="eastAsia" w:ascii="宋体" w:hAnsi="宋体" w:cs="宋体"/>
          <w:bCs/>
          <w:color w:val="auto"/>
          <w:sz w:val="24"/>
          <w:highlight w:val="none"/>
          <w:u w:val="single"/>
        </w:rPr>
        <w:t>202</w:t>
      </w:r>
      <w:r>
        <w:rPr>
          <w:rFonts w:hint="eastAsia" w:ascii="宋体" w:hAnsi="宋体" w:cs="宋体"/>
          <w:bCs/>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cs="宋体"/>
          <w:color w:val="auto"/>
          <w:sz w:val="24"/>
          <w:highlight w:val="none"/>
          <w:u w:val="single"/>
        </w:rPr>
        <w:t>日</w:t>
      </w:r>
      <w:r>
        <w:rPr>
          <w:rFonts w:hint="eastAsia" w:ascii="宋体" w:hAnsi="宋体"/>
          <w:color w:val="auto"/>
          <w:sz w:val="24"/>
          <w:highlight w:val="none"/>
          <w:u w:val="single"/>
          <w:lang w:val="en-US" w:eastAsia="zh-CN"/>
        </w:rPr>
        <w:t>9时00分。</w:t>
      </w:r>
    </w:p>
    <w:p w14:paraId="08D6B765">
      <w:pPr>
        <w:widowControl/>
        <w:numPr>
          <w:ilvl w:val="-1"/>
          <w:numId w:val="0"/>
        </w:numPr>
        <w:shd w:val="clear" w:color="auto" w:fill="FFFFFF"/>
        <w:snapToGrid w:val="0"/>
        <w:spacing w:line="480" w:lineRule="auto"/>
        <w:ind w:left="0" w:leftChars="0" w:firstLine="480" w:firstLineChars="200"/>
        <w:jc w:val="left"/>
        <w:rPr>
          <w:rFonts w:hint="eastAsia" w:ascii="宋体" w:hAnsi="宋体" w:cs="宋体"/>
          <w:color w:val="auto"/>
          <w:sz w:val="24"/>
          <w:szCs w:val="24"/>
          <w:highlight w:val="none"/>
          <w:u w:val="single"/>
        </w:rPr>
      </w:pPr>
      <w:r>
        <w:rPr>
          <w:rFonts w:hint="eastAsia" w:ascii="宋体" w:hAnsi="宋体"/>
          <w:color w:val="auto"/>
          <w:sz w:val="24"/>
          <w:szCs w:val="24"/>
          <w:highlight w:val="none"/>
        </w:rPr>
        <w:t>递交投标文件备用光盘地点：</w:t>
      </w:r>
      <w:r>
        <w:rPr>
          <w:rFonts w:hint="eastAsia" w:ascii="宋体" w:hAnsi="宋体"/>
          <w:color w:val="auto"/>
          <w:sz w:val="24"/>
          <w:szCs w:val="24"/>
          <w:highlight w:val="none"/>
          <w:u w:val="single"/>
        </w:rPr>
        <w:t>本项目具体的招投标活动日程安排及场地安排以广州交易集团有限公司（广州公共资源交易中心）网站公布的为准</w:t>
      </w:r>
      <w:r>
        <w:rPr>
          <w:rFonts w:hint="eastAsia" w:ascii="宋体" w:hAnsi="宋体"/>
          <w:color w:val="auto"/>
          <w:sz w:val="24"/>
          <w:szCs w:val="24"/>
          <w:highlight w:val="none"/>
          <w:u w:val="single"/>
          <w:lang w:eastAsia="zh-CN"/>
        </w:rPr>
        <w:t>。电子光盘需按规定封装。投标人在将数据刻录到光盘之后，投标前自行检查文件是否可以读取。（投标人也可不提交备用光盘。）</w:t>
      </w:r>
    </w:p>
    <w:p w14:paraId="205291F7">
      <w:pPr>
        <w:widowControl/>
        <w:shd w:val="clear" w:color="auto" w:fill="FFFFFF"/>
        <w:snapToGrid w:val="0"/>
        <w:spacing w:line="480" w:lineRule="auto"/>
        <w:ind w:firstLine="48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、开标开始时间：</w:t>
      </w:r>
      <w:r>
        <w:rPr>
          <w:rFonts w:hint="eastAsia" w:ascii="宋体" w:hAnsi="宋体" w:cs="宋体"/>
          <w:bCs/>
          <w:color w:val="auto"/>
          <w:sz w:val="24"/>
          <w:highlight w:val="none"/>
          <w:u w:val="single"/>
        </w:rPr>
        <w:t>202</w:t>
      </w:r>
      <w:r>
        <w:rPr>
          <w:rFonts w:hint="eastAsia" w:ascii="宋体" w:hAnsi="宋体" w:cs="宋体"/>
          <w:bCs/>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cs="宋体"/>
          <w:color w:val="auto"/>
          <w:sz w:val="24"/>
          <w:highlight w:val="none"/>
          <w:u w:val="single"/>
        </w:rPr>
        <w:t>日</w:t>
      </w:r>
      <w:r>
        <w:rPr>
          <w:rFonts w:hint="eastAsia" w:ascii="宋体" w:hAnsi="宋体"/>
          <w:color w:val="auto"/>
          <w:sz w:val="24"/>
          <w:highlight w:val="none"/>
          <w:u w:val="single"/>
          <w:lang w:val="en-US" w:eastAsia="zh-CN"/>
        </w:rPr>
        <w:t>9时00分</w:t>
      </w:r>
      <w:r>
        <w:rPr>
          <w:rFonts w:hint="eastAsia" w:ascii="宋体" w:hAnsi="宋体" w:cs="宋体"/>
          <w:color w:val="auto"/>
          <w:sz w:val="24"/>
          <w:szCs w:val="24"/>
          <w:highlight w:val="none"/>
          <w:u w:val="single"/>
        </w:rPr>
        <w:t>。</w:t>
      </w:r>
    </w:p>
    <w:p w14:paraId="69AE1EF4">
      <w:pPr>
        <w:widowControl/>
        <w:shd w:val="clear" w:color="auto" w:fill="FFFFFF"/>
        <w:snapToGrid w:val="0"/>
        <w:spacing w:line="48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4713EDE8">
      <w:pPr>
        <w:snapToGrid w:val="0"/>
        <w:spacing w:line="480" w:lineRule="auto"/>
        <w:ind w:firstLine="480" w:firstLineChars="200"/>
        <w:rPr>
          <w:rFonts w:ascii="宋体" w:hAnsi="宋体"/>
          <w:color w:val="auto"/>
          <w:sz w:val="24"/>
          <w:szCs w:val="24"/>
          <w:highlight w:val="none"/>
          <w:u w:val="singl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bCs/>
          <w:color w:val="auto"/>
          <w:sz w:val="24"/>
          <w:highlight w:val="none"/>
        </w:rPr>
        <w:t>投标人通过广州交易集团有限公司（广州公共资源交易中心）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bCs/>
          <w:color w:val="auto"/>
          <w:sz w:val="24"/>
          <w:highlight w:val="non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bCs/>
          <w:color w:val="auto"/>
          <w:sz w:val="24"/>
          <w:highlight w:val="none"/>
          <w:u w:val="single"/>
        </w:rPr>
        <w:t>广州交易集团有限公司（广州公共资源交易中心）</w:t>
      </w:r>
      <w:r>
        <w:rPr>
          <w:rFonts w:hint="eastAsia" w:ascii="宋体" w:hAnsi="宋体" w:cs="仿宋_GB2312"/>
          <w:color w:val="auto"/>
          <w:sz w:val="24"/>
          <w:szCs w:val="24"/>
          <w:highlight w:val="none"/>
          <w:u w:val="single"/>
        </w:rPr>
        <w:t>网站</w:t>
      </w:r>
      <w:r>
        <w:rPr>
          <w:rFonts w:hint="eastAsia" w:ascii="宋体" w:hAnsi="宋体" w:cs="仿宋_GB2312"/>
          <w:color w:val="auto"/>
          <w:sz w:val="24"/>
          <w:szCs w:val="24"/>
          <w:highlight w:val="none"/>
        </w:rPr>
        <w:t xml:space="preserve">。 </w:t>
      </w:r>
    </w:p>
    <w:p w14:paraId="3AC5230F">
      <w:pPr>
        <w:widowControl/>
        <w:shd w:val="clear" w:color="auto" w:fill="FFFFFF"/>
        <w:snapToGrid w:val="0"/>
        <w:spacing w:line="480" w:lineRule="auto"/>
        <w:jc w:val="left"/>
        <w:rPr>
          <w:rFonts w:asci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14:paraId="261CC1FF">
      <w:pPr>
        <w:widowControl/>
        <w:shd w:val="clear" w:color="auto" w:fill="FFFFFF"/>
        <w:snapToGrid w:val="0"/>
        <w:spacing w:line="48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bCs/>
          <w:color w:val="auto"/>
          <w:sz w:val="24"/>
          <w:highlight w:val="non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ascii="宋体" w:hAnsi="宋体"/>
          <w:bCs/>
          <w:color w:val="auto"/>
          <w:sz w:val="24"/>
          <w:highlight w:val="non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发布，招标文件由投标人自行在</w:t>
      </w:r>
      <w:r>
        <w:rPr>
          <w:rFonts w:hint="eastAsia" w:ascii="宋体" w:hAnsi="宋体"/>
          <w:bCs/>
          <w:color w:val="auto"/>
          <w:sz w:val="24"/>
          <w:highlight w:val="non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14:paraId="59C3263F">
      <w:pPr>
        <w:spacing w:line="480" w:lineRule="auto"/>
        <w:ind w:firstLine="537" w:firstLineChars="224"/>
        <w:rPr>
          <w:rFonts w:ascii="宋体"/>
          <w:color w:val="auto"/>
          <w:sz w:val="24"/>
          <w:highlight w:val="none"/>
        </w:rPr>
      </w:pPr>
      <w:r>
        <w:rPr>
          <w:rFonts w:hint="eastAsia" w:ascii="宋体" w:hAnsi="宋体"/>
          <w:color w:val="auto"/>
          <w:sz w:val="24"/>
          <w:highlight w:val="none"/>
        </w:rPr>
        <w:t>九、投标人合格条件：</w:t>
      </w:r>
    </w:p>
    <w:p w14:paraId="1087C255">
      <w:pPr>
        <w:spacing w:line="480" w:lineRule="auto"/>
        <w:ind w:firstLine="537" w:firstLineChars="224"/>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14:paraId="18D3081E">
      <w:pPr>
        <w:spacing w:line="480" w:lineRule="auto"/>
        <w:ind w:firstLine="537" w:firstLineChars="224"/>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、投标人均具有独立法人资格，按国家法律经营。</w:t>
      </w:r>
    </w:p>
    <w:p w14:paraId="03194D8D">
      <w:pPr>
        <w:spacing w:line="480" w:lineRule="auto"/>
        <w:ind w:firstLine="537" w:firstLineChars="224"/>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、投标人均持有建设行政主管部门颁发的</w:t>
      </w:r>
      <w:r>
        <w:rPr>
          <w:rFonts w:hint="eastAsia" w:ascii="宋体" w:hAnsi="宋体" w:eastAsia="宋体" w:cs="Times New Roman"/>
          <w:b w:val="0"/>
          <w:bCs w:val="0"/>
          <w:color w:val="auto"/>
          <w:kern w:val="2"/>
          <w:sz w:val="24"/>
          <w:highlight w:val="none"/>
          <w:u w:val="none"/>
        </w:rPr>
        <w:t>有效期内的</w:t>
      </w:r>
      <w:r>
        <w:rPr>
          <w:rFonts w:hint="eastAsia" w:ascii="宋体" w:hAnsi="宋体"/>
          <w:color w:val="auto"/>
          <w:sz w:val="24"/>
          <w:highlight w:val="none"/>
        </w:rPr>
        <w:t>企业资质证书及安全生产许可证；</w:t>
      </w:r>
    </w:p>
    <w:p w14:paraId="779584CB">
      <w:pPr>
        <w:pStyle w:val="100"/>
        <w:spacing w:line="480" w:lineRule="auto"/>
        <w:ind w:firstLine="539"/>
        <w:jc w:val="left"/>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r>
        <w:rPr>
          <w:rFonts w:hint="eastAsia" w:ascii="宋体" w:hAnsi="宋体" w:eastAsia="宋体"/>
          <w:color w:val="auto"/>
          <w:sz w:val="24"/>
          <w:szCs w:val="24"/>
          <w:highlight w:val="none"/>
          <w:u w:val="single"/>
        </w:rPr>
        <w:t>投标人具有承接本工程所需的电力工程施工总承包三级（或以上）资质或输变电工程专业承包三级（或以上）资质，且同时具备</w:t>
      </w:r>
      <w:r>
        <w:rPr>
          <w:rFonts w:hint="eastAsia" w:ascii="宋体" w:hAnsi="宋体" w:eastAsia="宋体" w:cs="Times New Roman"/>
          <w:color w:val="auto"/>
          <w:sz w:val="24"/>
          <w:szCs w:val="24"/>
          <w:highlight w:val="none"/>
          <w:u w:val="single"/>
        </w:rPr>
        <w:t>《承装（修、试）电力设施许可证》</w:t>
      </w:r>
      <w:r>
        <w:rPr>
          <w:rFonts w:hint="eastAsia" w:ascii="宋体" w:hAnsi="宋体" w:eastAsia="宋体" w:cs="Times New Roman"/>
          <w:color w:val="auto"/>
          <w:sz w:val="24"/>
          <w:szCs w:val="24"/>
          <w:highlight w:val="none"/>
          <w:u w:val="single"/>
          <w:lang w:val="en-US" w:eastAsia="zh-CN"/>
        </w:rPr>
        <w:t>承试类</w:t>
      </w:r>
      <w:r>
        <w:rPr>
          <w:rFonts w:hint="eastAsia" w:ascii="宋体" w:hAnsi="宋体" w:eastAsia="宋体" w:cs="Times New Roman"/>
          <w:color w:val="auto"/>
          <w:sz w:val="24"/>
          <w:szCs w:val="24"/>
          <w:highlight w:val="none"/>
          <w:u w:val="single"/>
        </w:rPr>
        <w:t>（10千伏以下）</w:t>
      </w:r>
      <w:r>
        <w:rPr>
          <w:rFonts w:hint="eastAsia"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lang w:val="en-US" w:eastAsia="zh-CN"/>
        </w:rPr>
        <w:t>或</w:t>
      </w:r>
      <w:r>
        <w:rPr>
          <w:rFonts w:hint="eastAsia" w:ascii="宋体" w:hAnsi="宋体" w:eastAsia="宋体" w:cs="Times New Roman"/>
          <w:color w:val="auto"/>
          <w:sz w:val="24"/>
          <w:szCs w:val="24"/>
          <w:highlight w:val="none"/>
          <w:u w:val="single"/>
        </w:rPr>
        <w:t>以上</w:t>
      </w:r>
      <w:r>
        <w:rPr>
          <w:rFonts w:hint="eastAsia"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rPr>
        <w:t>许可</w:t>
      </w:r>
      <w:r>
        <w:rPr>
          <w:rFonts w:hint="eastAsia" w:ascii="宋体" w:hAnsi="宋体" w:eastAsia="宋体" w:cs="Times New Roman"/>
          <w:color w:val="auto"/>
          <w:sz w:val="24"/>
          <w:szCs w:val="24"/>
          <w:highlight w:val="none"/>
          <w:u w:val="single"/>
          <w:lang w:val="en-US" w:eastAsia="zh-CN"/>
        </w:rPr>
        <w:t>和</w:t>
      </w:r>
      <w:r>
        <w:rPr>
          <w:rFonts w:hint="eastAsia" w:ascii="宋体" w:hAnsi="宋体" w:eastAsia="宋体" w:cs="Times New Roman"/>
          <w:color w:val="auto"/>
          <w:sz w:val="24"/>
          <w:szCs w:val="24"/>
          <w:highlight w:val="none"/>
          <w:u w:val="single"/>
        </w:rPr>
        <w:t>承装类（10千伏以下）</w:t>
      </w:r>
      <w:r>
        <w:rPr>
          <w:rFonts w:hint="eastAsia"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lang w:val="en-US" w:eastAsia="zh-CN"/>
        </w:rPr>
        <w:t>或</w:t>
      </w:r>
      <w:r>
        <w:rPr>
          <w:rFonts w:hint="eastAsia" w:ascii="宋体" w:hAnsi="宋体" w:eastAsia="宋体" w:cs="Times New Roman"/>
          <w:color w:val="auto"/>
          <w:sz w:val="24"/>
          <w:szCs w:val="24"/>
          <w:highlight w:val="none"/>
          <w:u w:val="single"/>
        </w:rPr>
        <w:t>以上</w:t>
      </w:r>
      <w:r>
        <w:rPr>
          <w:rFonts w:hint="eastAsia"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rPr>
        <w:t>许可</w:t>
      </w:r>
      <w:r>
        <w:rPr>
          <w:rFonts w:hint="eastAsia" w:ascii="宋体" w:hAnsi="宋体" w:eastAsia="宋体" w:cs="Times New Roman"/>
          <w:color w:val="auto"/>
          <w:sz w:val="24"/>
          <w:szCs w:val="24"/>
          <w:highlight w:val="none"/>
          <w:u w:val="single"/>
          <w:lang w:val="en-US" w:eastAsia="zh-CN"/>
        </w:rPr>
        <w:t>或在国家发展改革委2025年第30号令实施后未换领电子证照的，须具备《承装（修、试）电力设施许可证》承装类五级及以上许可和承试类五级及以上许可。</w:t>
      </w:r>
      <w:r>
        <w:rPr>
          <w:rFonts w:hint="eastAsia" w:ascii="宋体" w:hAnsi="宋体" w:eastAsia="宋体" w:cs="Times New Roman"/>
          <w:color w:val="auto"/>
          <w:sz w:val="24"/>
          <w:szCs w:val="24"/>
          <w:highlight w:val="none"/>
          <w:u w:val="single"/>
        </w:rPr>
        <w:t xml:space="preserve"> 注：《承装（修、试）电力设施许可证管理办法》（国家发展改革委2025年第30号令）于2025年7月1日起施行，过渡期间按《国家能源局关于做好承装（修、试）电力设施许可证换领和延续工作的通知》（国能发资质〔2025〕44号）执行。</w:t>
      </w:r>
    </w:p>
    <w:p w14:paraId="76E5F84F">
      <w:pPr>
        <w:pStyle w:val="100"/>
        <w:spacing w:line="480" w:lineRule="auto"/>
        <w:ind w:firstLine="539"/>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投标人拟担任本工程项目负责人的人员为：</w:t>
      </w:r>
      <w:r>
        <w:rPr>
          <w:rFonts w:hint="eastAsia" w:ascii="宋体" w:hAnsi="宋体" w:eastAsia="宋体"/>
          <w:color w:val="auto"/>
          <w:sz w:val="24"/>
          <w:szCs w:val="24"/>
          <w:highlight w:val="none"/>
          <w:u w:val="single"/>
        </w:rPr>
        <w:t>机电工程专业</w:t>
      </w:r>
      <w:r>
        <w:rPr>
          <w:rFonts w:hint="eastAsia" w:ascii="宋体" w:hAnsi="宋体" w:eastAsia="宋体"/>
          <w:color w:val="auto"/>
          <w:sz w:val="24"/>
          <w:szCs w:val="24"/>
          <w:highlight w:val="none"/>
          <w:u w:val="single"/>
          <w:lang w:val="en-US" w:eastAsia="zh-CN"/>
        </w:rPr>
        <w:t>二</w:t>
      </w:r>
      <w:r>
        <w:rPr>
          <w:rFonts w:hint="eastAsia" w:ascii="宋体" w:hAnsi="宋体" w:eastAsia="宋体"/>
          <w:color w:val="auto"/>
          <w:sz w:val="24"/>
          <w:szCs w:val="24"/>
          <w:highlight w:val="none"/>
          <w:u w:val="single"/>
          <w:lang w:eastAsia="zh-CN"/>
        </w:rPr>
        <w:t>级或以上</w:t>
      </w:r>
      <w:r>
        <w:rPr>
          <w:rFonts w:hint="eastAsia" w:ascii="宋体" w:hAnsi="宋体" w:eastAsia="宋体"/>
          <w:color w:val="auto"/>
          <w:sz w:val="24"/>
          <w:szCs w:val="24"/>
          <w:highlight w:val="none"/>
          <w:u w:val="single"/>
        </w:rPr>
        <w:t>注册建造师；</w:t>
      </w:r>
    </w:p>
    <w:p w14:paraId="0A3772D7">
      <w:pPr>
        <w:spacing w:line="480" w:lineRule="auto"/>
        <w:ind w:firstLine="480" w:firstLineChars="200"/>
        <w:rPr>
          <w:rFonts w:hint="eastAsia"/>
          <w:color w:val="auto"/>
          <w:sz w:val="24"/>
          <w:highlight w:val="none"/>
        </w:rPr>
      </w:pPr>
      <w:r>
        <w:rPr>
          <w:rFonts w:hint="eastAsia"/>
          <w:color w:val="auto"/>
          <w:sz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2E9BEB7D">
      <w:pPr>
        <w:spacing w:line="480" w:lineRule="auto"/>
        <w:ind w:firstLine="480" w:firstLineChars="200"/>
        <w:rPr>
          <w:rFonts w:hint="eastAsia"/>
          <w:color w:val="auto"/>
          <w:sz w:val="24"/>
          <w:highlight w:val="none"/>
        </w:rPr>
      </w:pPr>
      <w:r>
        <w:rPr>
          <w:rFonts w:hint="eastAsia"/>
          <w:color w:val="auto"/>
          <w:sz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w:t>
      </w:r>
      <w:r>
        <w:rPr>
          <w:rFonts w:hint="eastAsia" w:ascii="宋体" w:hAnsi="宋体" w:eastAsia="宋体" w:cs="宋体"/>
          <w:color w:val="auto"/>
          <w:sz w:val="24"/>
          <w:szCs w:val="24"/>
          <w:highlight w:val="none"/>
        </w:rPr>
        <w:t>《住建部做好企业资质证书换领和延续工作的通知》（建办市〔2023〕47号）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u w:val="single"/>
        </w:rPr>
        <w:t>《广东省住房和城乡建设厅关于做好有关建设工程企业资质证书换领工作的通知》（粤建许函〔2024〕124号）</w:t>
      </w:r>
      <w:r>
        <w:rPr>
          <w:rFonts w:hint="eastAsia"/>
          <w:color w:val="auto"/>
          <w:sz w:val="24"/>
          <w:highlight w:val="none"/>
        </w:rPr>
        <w:t>等相关规定。根据上述文件的要求，投标人需办理企业资质有效期延续的，应当按照相关规定及时办理。投标人的资质不在有效期内，资质延续手续已通过政府有关部门核准的，投标人需提供经核准延续的相关证明材料，资质延续手续未通过政府有关部门核准的，提供延续申请的相关证明材料(如“三库一平台”提交申请截图、申请回执等可以证明已经办理核准延续手续的相关证明文件)，未能按要求提供相关资料的，视为资质已失效。招标期间如行政主管部门对建设工程企业资质有效期发布新规定的，按新规定相应调整执行。</w:t>
      </w:r>
    </w:p>
    <w:p w14:paraId="218D3C20">
      <w:pPr>
        <w:spacing w:line="480" w:lineRule="auto"/>
        <w:ind w:firstLine="480" w:firstLineChars="200"/>
        <w:rPr>
          <w:rFonts w:hint="eastAsia"/>
          <w:color w:val="auto"/>
          <w:sz w:val="24"/>
          <w:highlight w:val="none"/>
        </w:rPr>
      </w:pPr>
      <w:r>
        <w:rPr>
          <w:rFonts w:hint="eastAsia"/>
          <w:color w:val="auto"/>
          <w:sz w:val="24"/>
          <w:highlight w:val="none"/>
        </w:rPr>
        <w:t>②</w:t>
      </w:r>
      <w:r>
        <w:rPr>
          <w:rFonts w:hint="eastAsia"/>
          <w:strike w:val="0"/>
          <w:color w:val="auto"/>
          <w:sz w:val="24"/>
          <w:highlight w:val="none"/>
        </w:rPr>
        <w:t>根据《住房和城乡建设部办公厅关于全面实行一级建造师电子注册证书的通知》（建办市〔2021〕40号），自2022年1月1日起，一级建造师统一使用电子证书，纸质证书作废。</w:t>
      </w:r>
      <w:r>
        <w:rPr>
          <w:rFonts w:hint="eastAsia"/>
          <w:color w:val="auto"/>
          <w:sz w:val="24"/>
          <w:highlight w:val="none"/>
        </w:rPr>
        <w:t>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B98E17B">
      <w:pPr>
        <w:spacing w:line="480" w:lineRule="auto"/>
        <w:ind w:firstLine="480" w:firstLineChars="200"/>
        <w:rPr>
          <w:rFonts w:hint="eastAsia"/>
          <w:color w:val="auto"/>
          <w:sz w:val="24"/>
          <w:highlight w:val="none"/>
        </w:rPr>
      </w:pPr>
      <w:r>
        <w:rPr>
          <w:rFonts w:hint="eastAsia"/>
          <w:color w:val="auto"/>
          <w:sz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8FEE88B">
      <w:pPr>
        <w:spacing w:line="480" w:lineRule="auto"/>
        <w:ind w:firstLine="480" w:firstLineChars="200"/>
        <w:rPr>
          <w:rFonts w:hint="eastAsia"/>
          <w:color w:val="auto"/>
          <w:sz w:val="24"/>
          <w:highlight w:val="none"/>
        </w:rPr>
      </w:pPr>
      <w:r>
        <w:rPr>
          <w:rFonts w:hint="eastAsia"/>
          <w:color w:val="auto"/>
          <w:sz w:val="24"/>
          <w:highlight w:val="none"/>
        </w:rPr>
        <w:t>③</w:t>
      </w:r>
      <w:r>
        <w:rPr>
          <w:rFonts w:hint="eastAsia"/>
          <w:strike w:val="0"/>
          <w:color w:val="auto"/>
          <w:sz w:val="24"/>
          <w:highlight w:val="none"/>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color w:val="auto"/>
          <w:sz w:val="24"/>
          <w:highlight w:val="none"/>
        </w:rPr>
        <w:t>项目负责人在任职期间不得担任专职安全员，项目专职安全员在任职期间也不得担任项目负责人，项目负责人和专职安全员不为同一人。</w:t>
      </w:r>
    </w:p>
    <w:p w14:paraId="544C86A9">
      <w:pPr>
        <w:pStyle w:val="100"/>
        <w:spacing w:line="48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、项目负责人持有</w:t>
      </w:r>
      <w:r>
        <w:rPr>
          <w:rFonts w:hint="eastAsia" w:ascii="宋体" w:hAnsi="宋体" w:eastAsia="宋体"/>
          <w:color w:val="auto"/>
          <w:sz w:val="24"/>
          <w:szCs w:val="24"/>
          <w:highlight w:val="none"/>
          <w:lang w:eastAsia="zh-CN"/>
        </w:rPr>
        <w:t>有效的</w:t>
      </w:r>
      <w:r>
        <w:rPr>
          <w:rFonts w:hint="eastAsia" w:ascii="宋体" w:hAnsi="宋体" w:eastAsia="宋体"/>
          <w:color w:val="auto"/>
          <w:sz w:val="24"/>
          <w:szCs w:val="24"/>
          <w:highlight w:val="none"/>
        </w:rPr>
        <w:t>安全生产考核合格证（B类）或建筑施工企业项目负责人安全生产考核合格证书。</w:t>
      </w:r>
    </w:p>
    <w:p w14:paraId="16384753">
      <w:pPr>
        <w:pStyle w:val="100"/>
        <w:adjustRightInd w:val="0"/>
        <w:snapToGrid w:val="0"/>
        <w:spacing w:line="48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6、投标人拟担任本工程技术负责人的资格要求为：</w:t>
      </w:r>
      <w:r>
        <w:rPr>
          <w:rFonts w:hint="eastAsia" w:ascii="宋体" w:hAnsi="宋体" w:eastAsia="宋体"/>
          <w:color w:val="auto"/>
          <w:sz w:val="24"/>
          <w:szCs w:val="24"/>
          <w:highlight w:val="none"/>
          <w:u w:val="single"/>
        </w:rPr>
        <w:t>具有机电类或电气类相关专业工程师或以上技术职称，技术负责人和项目负责人不能为同一人。</w:t>
      </w:r>
    </w:p>
    <w:p w14:paraId="77EE94A1">
      <w:pPr>
        <w:spacing w:line="480" w:lineRule="auto"/>
        <w:ind w:firstLine="537" w:firstLineChars="224"/>
        <w:rPr>
          <w:rFonts w:ascii="宋体"/>
          <w:color w:val="auto"/>
          <w:kern w:val="0"/>
          <w:sz w:val="24"/>
          <w:highlight w:val="none"/>
        </w:rPr>
      </w:pPr>
      <w:r>
        <w:rPr>
          <w:rFonts w:hint="eastAsia" w:ascii="宋体" w:hAnsi="宋体"/>
          <w:color w:val="auto"/>
          <w:kern w:val="0"/>
          <w:sz w:val="24"/>
          <w:highlight w:val="none"/>
        </w:rPr>
        <w:t>7、</w:t>
      </w:r>
      <w:r>
        <w:rPr>
          <w:rFonts w:hint="eastAsia" w:ascii="宋体" w:hAnsi="宋体" w:eastAsia="宋体"/>
          <w:color w:val="auto"/>
          <w:sz w:val="24"/>
          <w:szCs w:val="24"/>
          <w:highlight w:val="none"/>
        </w:rPr>
        <w:t>投标人</w:t>
      </w:r>
      <w:r>
        <w:rPr>
          <w:rFonts w:hint="eastAsia" w:ascii="宋体" w:hAnsi="宋体" w:eastAsia="宋体" w:cs="宋体"/>
          <w:color w:val="auto"/>
          <w:sz w:val="24"/>
          <w:szCs w:val="22"/>
          <w:highlight w:val="none"/>
        </w:rPr>
        <w:t>拟担任本工程</w:t>
      </w:r>
      <w:r>
        <w:rPr>
          <w:rFonts w:hint="eastAsia" w:ascii="宋体" w:hAnsi="宋体" w:cs="宋体"/>
          <w:bCs w:val="0"/>
          <w:color w:val="auto"/>
          <w:sz w:val="24"/>
          <w:szCs w:val="22"/>
          <w:highlight w:val="none"/>
          <w:u w:val="none"/>
        </w:rPr>
        <w:t>专职安全员须具有</w:t>
      </w:r>
      <w:r>
        <w:rPr>
          <w:rFonts w:hint="eastAsia" w:ascii="宋体" w:hAnsi="宋体" w:cs="宋体"/>
          <w:color w:val="auto"/>
          <w:sz w:val="24"/>
          <w:highlight w:val="none"/>
        </w:rPr>
        <w:t>在有效期内的安全生产考核合格证（C类）或建筑施工企业专职安全生产管理人员安全生产考核合格证书（C3类）。</w:t>
      </w:r>
    </w:p>
    <w:p w14:paraId="1CEA29D4">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8、投标人已按照附件一的内容签署盖章的投标人声明。</w:t>
      </w:r>
    </w:p>
    <w:p w14:paraId="35C379E0">
      <w:pPr>
        <w:spacing w:line="480" w:lineRule="auto"/>
        <w:ind w:firstLine="537" w:firstLineChars="224"/>
        <w:rPr>
          <w:rFonts w:ascii="宋体"/>
          <w:color w:val="auto"/>
          <w:szCs w:val="21"/>
          <w:highlight w:val="none"/>
        </w:rPr>
      </w:pPr>
      <w:r>
        <w:rPr>
          <w:rFonts w:hint="eastAsia" w:ascii="宋体" w:hAnsi="宋体"/>
          <w:color w:val="auto"/>
          <w:sz w:val="24"/>
          <w:szCs w:val="22"/>
          <w:highlight w:val="none"/>
        </w:rPr>
        <w:t>9、关于联合体投标：</w:t>
      </w:r>
      <w:r>
        <w:rPr>
          <w:rFonts w:hint="eastAsia" w:ascii="宋体" w:hAnsi="宋体" w:cs="宋体"/>
          <w:color w:val="auto"/>
          <w:sz w:val="24"/>
          <w:szCs w:val="20"/>
          <w:highlight w:val="none"/>
          <w:u w:val="single"/>
        </w:rPr>
        <w:t>本项目不接受联合体投标。</w:t>
      </w:r>
    </w:p>
    <w:p w14:paraId="69EB7110">
      <w:pPr>
        <w:spacing w:line="480" w:lineRule="auto"/>
        <w:ind w:firstLine="480" w:firstLineChars="200"/>
        <w:rPr>
          <w:rFonts w:ascii="宋体"/>
          <w:color w:val="auto"/>
          <w:sz w:val="24"/>
          <w:highlight w:val="none"/>
        </w:rPr>
      </w:pPr>
      <w:r>
        <w:rPr>
          <w:rFonts w:hint="eastAsia" w:ascii="宋体" w:hAnsi="宋体"/>
          <w:color w:val="auto"/>
          <w:sz w:val="24"/>
          <w:highlight w:val="none"/>
        </w:rPr>
        <w:t>10、资格审查前，投标人须在</w:t>
      </w:r>
      <w:r>
        <w:rPr>
          <w:rFonts w:hint="eastAsia" w:ascii="宋体" w:hAnsi="宋体"/>
          <w:bCs/>
          <w:color w:val="auto"/>
          <w:sz w:val="24"/>
          <w:highlight w:val="none"/>
        </w:rPr>
        <w:t>广州交易集团有限公司（广州公共资源交易中心）</w:t>
      </w:r>
      <w:r>
        <w:rPr>
          <w:rFonts w:hint="eastAsia" w:ascii="宋体" w:hAnsi="宋体" w:cs="Times New Roman"/>
          <w:bCs w:val="0"/>
          <w:color w:val="auto"/>
          <w:sz w:val="24"/>
          <w:highlight w:val="none"/>
        </w:rPr>
        <w:t>办理信息登记等相关投标登记手续及拟担任本工程项目负责人、专职安全员须是本企业的在册人员且与</w:t>
      </w:r>
      <w:r>
        <w:rPr>
          <w:rFonts w:hint="eastAsia" w:ascii="宋体" w:hAnsi="宋体"/>
          <w:bCs/>
          <w:color w:val="auto"/>
          <w:sz w:val="24"/>
          <w:highlight w:val="none"/>
        </w:rPr>
        <w:t>广州交易集团有限公司（广州公共资源交易中心）</w:t>
      </w:r>
      <w:r>
        <w:rPr>
          <w:rFonts w:hint="eastAsia" w:ascii="宋体" w:hAnsi="宋体" w:cs="Times New Roman"/>
          <w:bCs w:val="0"/>
          <w:color w:val="auto"/>
          <w:sz w:val="24"/>
          <w:highlight w:val="none"/>
        </w:rPr>
        <w:t>办理信息登记一致。（若招标人延长递交投标文件截止时间，企业信息的评审时点也相应延长）。</w:t>
      </w:r>
    </w:p>
    <w:p w14:paraId="2DFCB051">
      <w:pPr>
        <w:spacing w:line="480" w:lineRule="auto"/>
        <w:ind w:firstLine="537" w:firstLineChars="224"/>
        <w:rPr>
          <w:rFonts w:ascii="宋体" w:hAnsi="宋体"/>
          <w:color w:val="auto"/>
          <w:sz w:val="24"/>
          <w:szCs w:val="24"/>
          <w:highlight w:val="none"/>
        </w:rPr>
      </w:pPr>
      <w:r>
        <w:rPr>
          <w:rFonts w:hint="eastAsia" w:ascii="宋体" w:hAnsi="宋体"/>
          <w:color w:val="auto"/>
          <w:sz w:val="24"/>
          <w:highlight w:val="none"/>
        </w:rPr>
        <w:t>11、</w:t>
      </w:r>
      <w:r>
        <w:rPr>
          <w:rFonts w:hint="eastAsia" w:ascii="宋体" w:hAnsi="宋体"/>
          <w:color w:val="auto"/>
          <w:sz w:val="24"/>
          <w:szCs w:val="24"/>
          <w:highlight w:val="none"/>
        </w:rPr>
        <w:t>投标人未出现以下情形：与其它投标人的单位负责人为同一人或者存在控股、管理关系的（按投标人提供的《投标人声明》第</w:t>
      </w:r>
      <w:r>
        <w:rPr>
          <w:rFonts w:hint="eastAsia" w:ascii="宋体" w:hAnsi="宋体"/>
          <w:color w:val="auto"/>
          <w:sz w:val="24"/>
          <w:szCs w:val="24"/>
          <w:highlight w:val="none"/>
          <w:lang w:eastAsia="zh-CN"/>
        </w:rPr>
        <w:t>九</w:t>
      </w:r>
      <w:r>
        <w:rPr>
          <w:rFonts w:hint="eastAsia" w:ascii="宋体" w:hAnsi="宋体"/>
          <w:color w:val="auto"/>
          <w:sz w:val="24"/>
          <w:szCs w:val="24"/>
          <w:highlight w:val="none"/>
        </w:rPr>
        <w:t>条内容进行评审）。如不同投标申请人出现单位负责人为同一人或者存在控股、管理关系的情形，则</w:t>
      </w:r>
      <w:r>
        <w:rPr>
          <w:rFonts w:hint="eastAsia" w:ascii="宋体" w:hAnsi="宋体" w:cs="宋体"/>
          <w:color w:val="auto"/>
          <w:sz w:val="24"/>
          <w:szCs w:val="24"/>
          <w:highlight w:val="none"/>
          <w:u w:val="single"/>
        </w:rPr>
        <w:t>相关投标均无效</w:t>
      </w:r>
      <w:r>
        <w:rPr>
          <w:rFonts w:hint="eastAsia" w:ascii="宋体" w:hAnsi="宋体"/>
          <w:color w:val="auto"/>
          <w:sz w:val="24"/>
          <w:szCs w:val="24"/>
          <w:highlight w:val="none"/>
        </w:rPr>
        <w:t>。</w:t>
      </w:r>
    </w:p>
    <w:p w14:paraId="76C08E86">
      <w:pPr>
        <w:spacing w:line="480" w:lineRule="auto"/>
        <w:ind w:firstLine="537" w:firstLineChars="224"/>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 投标人未被列入拖欠农民工工资失信联合惩戒对象名单。</w:t>
      </w:r>
    </w:p>
    <w:p w14:paraId="45BA4F66">
      <w:pPr>
        <w:spacing w:line="480" w:lineRule="auto"/>
        <w:ind w:firstLine="537" w:firstLineChars="224"/>
        <w:rPr>
          <w:rFonts w:hint="eastAsia" w:ascii="宋体" w:hAnsi="宋体"/>
          <w:color w:val="auto"/>
          <w:sz w:val="24"/>
          <w:highlight w:val="none"/>
          <w:u w:val="single"/>
        </w:rPr>
      </w:pPr>
      <w:r>
        <w:rPr>
          <w:rFonts w:hint="eastAsia" w:ascii="宋体" w:hAnsi="宋体"/>
          <w:color w:val="auto"/>
          <w:sz w:val="24"/>
          <w:highlight w:val="none"/>
          <w:u w:val="single"/>
        </w:rPr>
        <w:t>注：未在招标公告第九条单列的资审合格条件，不作为资审不合格的依据。</w:t>
      </w:r>
    </w:p>
    <w:p w14:paraId="1EF69836">
      <w:pPr>
        <w:snapToGrid w:val="0"/>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十、资格审查方式：</w:t>
      </w:r>
    </w:p>
    <w:p w14:paraId="62A47451">
      <w:pPr>
        <w:widowControl/>
        <w:snapToGrid w:val="0"/>
        <w:spacing w:line="48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14:paraId="00EE783D">
      <w:pPr>
        <w:snapToGrid w:val="0"/>
        <w:spacing w:line="480" w:lineRule="auto"/>
        <w:rPr>
          <w:rFonts w:ascii="宋体" w:hAnsi="宋体"/>
          <w:color w:val="auto"/>
          <w:sz w:val="24"/>
          <w:highlight w:val="none"/>
        </w:rPr>
      </w:pPr>
      <w:r>
        <w:rPr>
          <w:rFonts w:hint="eastAsia" w:ascii="宋体" w:hAnsi="宋体"/>
          <w:color w:val="auto"/>
          <w:sz w:val="24"/>
          <w:highlight w:val="none"/>
        </w:rPr>
        <w:t xml:space="preserve">    十一、资格审查结果将在</w:t>
      </w:r>
      <w:r>
        <w:rPr>
          <w:rFonts w:hint="eastAsia" w:ascii="宋体" w:hAnsi="宋体"/>
          <w:bCs/>
          <w:color w:val="auto"/>
          <w:sz w:val="24"/>
          <w:highlight w:val="non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14:paraId="2769906C">
      <w:pPr>
        <w:snapToGrid w:val="0"/>
        <w:spacing w:line="480" w:lineRule="auto"/>
        <w:rPr>
          <w:rFonts w:ascii="宋体" w:hAnsi="宋体"/>
          <w:color w:val="auto"/>
          <w:sz w:val="24"/>
          <w:highlight w:val="none"/>
        </w:rPr>
      </w:pPr>
      <w:r>
        <w:rPr>
          <w:rFonts w:hint="eastAsia" w:ascii="宋体" w:hAnsi="宋体"/>
          <w:color w:val="auto"/>
          <w:sz w:val="24"/>
          <w:highlight w:val="none"/>
        </w:rPr>
        <w:t xml:space="preserve">    十二、满足资格审查合格条件的投标人不足 3 名或通过有效性审查的投标人不足3名时为招标失败。招标人分析招标失败原因，修正招标方案，重新组织招标。</w:t>
      </w:r>
    </w:p>
    <w:p w14:paraId="2EBE0DDF">
      <w:pPr>
        <w:spacing w:line="480" w:lineRule="auto"/>
        <w:ind w:firstLine="537" w:firstLineChars="224"/>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B11B62A">
      <w:pPr>
        <w:spacing w:line="480" w:lineRule="auto"/>
        <w:ind w:firstLine="480" w:firstLineChars="200"/>
        <w:rPr>
          <w:rFonts w:ascii="宋体"/>
          <w:color w:val="auto"/>
          <w:sz w:val="24"/>
          <w:szCs w:val="24"/>
          <w:highlight w:val="none"/>
        </w:rPr>
      </w:pPr>
      <w:r>
        <w:rPr>
          <w:rFonts w:hint="eastAsia" w:ascii="宋体" w:hAnsi="宋体"/>
          <w:color w:val="auto"/>
          <w:sz w:val="24"/>
          <w:highlight w:val="none"/>
        </w:rPr>
        <w:t>十四、投标文件全部采用电子文档，投标人按招标文件要求提交投标文件。若投标文件中的部分内容要求取自</w:t>
      </w:r>
      <w:r>
        <w:rPr>
          <w:rFonts w:hint="eastAsia" w:ascii="宋体" w:hAnsi="宋体"/>
          <w:bCs/>
          <w:color w:val="auto"/>
          <w:sz w:val="24"/>
          <w:highlight w:val="none"/>
        </w:rPr>
        <w:t>广州交易集团有限公司（广州公共资源交易中心）</w:t>
      </w:r>
      <w:r>
        <w:rPr>
          <w:rFonts w:hint="eastAsia" w:ascii="宋体" w:hAnsi="宋体"/>
          <w:color w:val="auto"/>
          <w:sz w:val="24"/>
          <w:highlight w:val="none"/>
        </w:rPr>
        <w:t>企业信息库的，则投标人选择平台中记录的该部分上传件将被视为投标人递交投标文件的一部分，不需重复提交。评标委员会对该部分资料的审查将以递交投标文件截止时间在</w:t>
      </w:r>
      <w:r>
        <w:rPr>
          <w:rFonts w:hint="eastAsia" w:ascii="宋体" w:hAnsi="宋体"/>
          <w:bCs/>
          <w:color w:val="auto"/>
          <w:sz w:val="24"/>
          <w:highlight w:val="none"/>
        </w:rPr>
        <w:t>广州交易集团有限公司（广州公共资源交易中心）</w:t>
      </w:r>
      <w:r>
        <w:rPr>
          <w:rFonts w:hint="eastAsia" w:ascii="宋体" w:hAnsi="宋体"/>
          <w:color w:val="auto"/>
          <w:sz w:val="24"/>
          <w:highlight w:val="none"/>
        </w:rPr>
        <w:t>企业信息库内上传件为依据。若招标人延长递交投标文件截止时间的，以上资料的评审时点也相应延长。投标人应及时维护其在</w:t>
      </w:r>
      <w:r>
        <w:rPr>
          <w:rFonts w:hint="eastAsia" w:ascii="宋体" w:hAnsi="宋体"/>
          <w:bCs/>
          <w:color w:val="auto"/>
          <w:sz w:val="24"/>
          <w:highlight w:val="none"/>
        </w:rPr>
        <w:t>广州交易集团有限公司（广州公共资源交易中心）</w:t>
      </w:r>
      <w:r>
        <w:rPr>
          <w:rFonts w:hint="eastAsia" w:ascii="宋体" w:hAnsi="宋体"/>
          <w:color w:val="auto"/>
          <w:sz w:val="24"/>
          <w:highlight w:val="none"/>
        </w:rPr>
        <w:t>企业信息库登记的信息及上传件，确保各项信息及上传件在有效期内。</w:t>
      </w:r>
      <w:r>
        <w:rPr>
          <w:rFonts w:hint="eastAsia" w:ascii="宋体" w:hAnsi="宋体" w:eastAsia="宋体" w:cs="宋体"/>
          <w:b/>
          <w:bCs/>
          <w:color w:val="auto"/>
          <w:kern w:val="0"/>
          <w:sz w:val="24"/>
          <w:szCs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62FE5A36">
      <w:pPr>
        <w:spacing w:line="480" w:lineRule="auto"/>
        <w:ind w:left="538" w:leftChars="256"/>
        <w:rPr>
          <w:rFonts w:hint="eastAsia" w:ascii="宋体" w:eastAsia="宋体"/>
          <w:color w:val="auto"/>
          <w:sz w:val="24"/>
          <w:highlight w:val="none"/>
          <w:u w:val="single"/>
          <w:lang w:eastAsia="zh-CN"/>
        </w:rPr>
      </w:pPr>
      <w:r>
        <w:rPr>
          <w:rFonts w:hint="eastAsia" w:ascii="宋体" w:hAnsi="宋体"/>
          <w:color w:val="auto"/>
          <w:sz w:val="24"/>
          <w:highlight w:val="none"/>
        </w:rPr>
        <w:t>十五、潜在投标人或利害关系人对本招标公告及招标文件有异议的，向招标人书面提出。异议受理部门：</w:t>
      </w:r>
      <w:r>
        <w:rPr>
          <w:rFonts w:hint="eastAsia" w:ascii="宋体" w:hAnsi="宋体"/>
          <w:color w:val="auto"/>
          <w:sz w:val="24"/>
          <w:highlight w:val="none"/>
          <w:u w:val="single"/>
          <w:lang w:eastAsia="zh-CN"/>
        </w:rPr>
        <w:t>广州黄埔文冲东片投资有限公司</w:t>
      </w:r>
    </w:p>
    <w:p w14:paraId="5F0486A3">
      <w:pPr>
        <w:spacing w:line="480" w:lineRule="auto"/>
        <w:ind w:firstLine="537" w:firstLineChars="224"/>
        <w:rPr>
          <w:rFonts w:ascii="宋体"/>
          <w:color w:val="auto"/>
          <w:sz w:val="24"/>
          <w:highlight w:val="none"/>
          <w:u w:val="single"/>
        </w:rPr>
      </w:pPr>
      <w:r>
        <w:rPr>
          <w:rFonts w:hint="eastAsia" w:ascii="宋体" w:hAnsi="宋体"/>
          <w:color w:val="auto"/>
          <w:sz w:val="24"/>
          <w:highlight w:val="none"/>
        </w:rPr>
        <w:t>异议受理电话：</w:t>
      </w:r>
      <w:r>
        <w:rPr>
          <w:rFonts w:hint="eastAsia" w:ascii="宋体" w:hAnsi="宋体"/>
          <w:color w:val="auto"/>
          <w:sz w:val="24"/>
          <w:highlight w:val="none"/>
          <w:u w:val="single"/>
          <w:lang w:eastAsia="zh-CN"/>
        </w:rPr>
        <w:t>020-87597001</w:t>
      </w:r>
    </w:p>
    <w:p w14:paraId="00759A32">
      <w:pPr>
        <w:spacing w:line="480" w:lineRule="auto"/>
        <w:ind w:firstLine="537" w:firstLineChars="224"/>
        <w:rPr>
          <w:rFonts w:hint="eastAsia" w:ascii="宋体" w:hAnsi="宋体"/>
          <w:color w:val="auto"/>
          <w:sz w:val="24"/>
          <w:highlight w:val="none"/>
          <w:u w:val="single"/>
          <w:lang w:eastAsia="zh-CN"/>
        </w:rPr>
      </w:pPr>
      <w:r>
        <w:rPr>
          <w:rFonts w:hint="eastAsia" w:ascii="宋体" w:hAnsi="宋体"/>
          <w:color w:val="auto"/>
          <w:sz w:val="24"/>
          <w:highlight w:val="none"/>
        </w:rPr>
        <w:t>地址：</w:t>
      </w:r>
      <w:r>
        <w:rPr>
          <w:rFonts w:hint="eastAsia" w:ascii="宋体" w:hAnsi="宋体"/>
          <w:color w:val="auto"/>
          <w:sz w:val="24"/>
          <w:highlight w:val="none"/>
          <w:u w:val="single"/>
          <w:lang w:eastAsia="zh-CN"/>
        </w:rPr>
        <w:t>广州市黄埔区石化路108号201房</w:t>
      </w:r>
    </w:p>
    <w:p w14:paraId="65422262">
      <w:pPr>
        <w:spacing w:line="480" w:lineRule="auto"/>
        <w:ind w:left="239" w:leftChars="114" w:firstLine="297" w:firstLineChars="124"/>
        <w:rPr>
          <w:rFonts w:ascii="宋体" w:hAnsi="宋体"/>
          <w:color w:val="auto"/>
          <w:sz w:val="24"/>
          <w:highlight w:val="none"/>
        </w:rPr>
      </w:pPr>
      <w:r>
        <w:rPr>
          <w:rFonts w:hint="eastAsia" w:ascii="宋体" w:hAnsi="宋体"/>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7125882">
      <w:pPr>
        <w:spacing w:line="480" w:lineRule="auto"/>
        <w:ind w:left="0" w:leftChars="0" w:firstLine="537" w:firstLineChars="224"/>
        <w:rPr>
          <w:rFonts w:ascii="宋体"/>
          <w:color w:val="auto"/>
          <w:sz w:val="24"/>
          <w:highlight w:val="none"/>
        </w:rPr>
      </w:pPr>
      <w:r>
        <w:rPr>
          <w:rFonts w:hint="eastAsia" w:ascii="宋体" w:hAnsi="宋体"/>
          <w:color w:val="auto"/>
          <w:sz w:val="24"/>
          <w:highlight w:val="none"/>
        </w:rPr>
        <w:t>十六、</w:t>
      </w:r>
      <w:r>
        <w:rPr>
          <w:rFonts w:hint="eastAsia" w:ascii="宋体" w:hAnsi="宋体" w:eastAsia="宋体" w:cs="宋体"/>
          <w:color w:val="auto"/>
          <w:kern w:val="0"/>
          <w:sz w:val="24"/>
          <w:szCs w:val="24"/>
          <w:highlight w:val="none"/>
        </w:rPr>
        <w:t>本公告在</w:t>
      </w:r>
      <w:r>
        <w:rPr>
          <w:rFonts w:hint="eastAsia" w:ascii="宋体" w:hAnsi="宋体" w:eastAsia="宋体" w:cs="宋体"/>
          <w:b/>
          <w:bCs/>
          <w:color w:val="auto"/>
          <w:kern w:val="0"/>
          <w:sz w:val="24"/>
          <w:szCs w:val="24"/>
          <w:highlight w:val="none"/>
        </w:rPr>
        <w:t>广州交易集团有限公司</w:t>
      </w:r>
      <w:r>
        <w:rPr>
          <w:rFonts w:hint="eastAsia" w:ascii="宋体" w:hAnsi="宋体" w:eastAsia="宋体" w:cs="宋体"/>
          <w:color w:val="auto"/>
          <w:kern w:val="0"/>
          <w:sz w:val="24"/>
          <w:szCs w:val="24"/>
          <w:highlight w:val="none"/>
        </w:rPr>
        <w:t>（广州公共资源交易中心）官网（网址：http://www.gzggzy.cn）、广东省招标投标监管网（网址：</w:t>
      </w:r>
      <w:r>
        <w:rPr>
          <w:rFonts w:hint="eastAsia" w:ascii="宋体" w:hAnsi="宋体" w:eastAsia="宋体" w:cs="宋体"/>
          <w:b/>
          <w:color w:val="auto"/>
          <w:kern w:val="0"/>
          <w:sz w:val="24"/>
          <w:szCs w:val="24"/>
          <w:highlight w:val="none"/>
        </w:rPr>
        <w:t>https://zbtb.gd.gov.cn/</w:t>
      </w:r>
      <w:r>
        <w:rPr>
          <w:rFonts w:hint="eastAsia" w:ascii="宋体" w:hAnsi="宋体" w:eastAsia="宋体" w:cs="宋体"/>
          <w:color w:val="auto"/>
          <w:kern w:val="0"/>
          <w:sz w:val="24"/>
          <w:szCs w:val="24"/>
          <w:highlight w:val="none"/>
        </w:rPr>
        <w:t>）和中国招标投标公共服务平台（网址：http://www.cebpubservice.com/）发布，本公告的修改、补充，</w:t>
      </w:r>
      <w:r>
        <w:rPr>
          <w:rFonts w:hint="eastAsia" w:ascii="宋体" w:hAnsi="宋体" w:eastAsia="宋体" w:cs="宋体"/>
          <w:b/>
          <w:color w:val="auto"/>
          <w:kern w:val="0"/>
          <w:sz w:val="24"/>
          <w:szCs w:val="24"/>
          <w:highlight w:val="none"/>
        </w:rPr>
        <w:t>在广州交易集团有限公司</w:t>
      </w:r>
      <w:r>
        <w:rPr>
          <w:rFonts w:hint="eastAsia" w:ascii="宋体" w:hAnsi="宋体" w:eastAsia="宋体" w:cs="宋体"/>
          <w:color w:val="auto"/>
          <w:kern w:val="0"/>
          <w:sz w:val="24"/>
          <w:szCs w:val="24"/>
          <w:highlight w:val="none"/>
        </w:rPr>
        <w:t>（广州公共资源交易中心）官网发布。</w:t>
      </w:r>
    </w:p>
    <w:p w14:paraId="7C4D5749">
      <w:pPr>
        <w:spacing w:line="480" w:lineRule="auto"/>
        <w:ind w:firstLine="537" w:firstLineChars="224"/>
        <w:rPr>
          <w:rFonts w:asci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14:paraId="16196123">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十八、</w:t>
      </w:r>
      <w:r>
        <w:rPr>
          <w:rFonts w:hint="eastAsia" w:ascii="宋体" w:hAnsi="宋体" w:eastAsia="宋体" w:cs="宋体"/>
          <w:color w:val="auto"/>
          <w:kern w:val="0"/>
          <w:sz w:val="24"/>
          <w:szCs w:val="24"/>
          <w:highlight w:val="none"/>
        </w:rPr>
        <w:t>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eastAsia="宋体" w:cs="宋体"/>
          <w:b/>
          <w:color w:val="auto"/>
          <w:kern w:val="0"/>
          <w:sz w:val="24"/>
          <w:szCs w:val="24"/>
          <w:highlight w:val="none"/>
        </w:rPr>
        <w:t>招标人应综合考虑节假日因素，合理确定投标人编制投标文件所需要的时间，如遇春节、五一、十一等长假，建议招标人结合项目特点和实际需要适当延长备标期。</w:t>
      </w:r>
    </w:p>
    <w:p w14:paraId="01211EF6">
      <w:pPr>
        <w:spacing w:line="480" w:lineRule="auto"/>
        <w:ind w:firstLine="537" w:firstLineChars="224"/>
        <w:rPr>
          <w:rFonts w:hint="eastAsia" w:ascii="宋体"/>
          <w:color w:val="auto"/>
          <w:sz w:val="24"/>
          <w:highlight w:val="none"/>
        </w:rPr>
      </w:pPr>
      <w:r>
        <w:rPr>
          <w:rFonts w:hint="eastAsia" w:ascii="宋体"/>
          <w:color w:val="auto"/>
          <w:sz w:val="24"/>
          <w:highlight w:val="none"/>
        </w:rPr>
        <w:t>十九、 《投诉处理决定书》和《行政处理决定书》在</w:t>
      </w:r>
      <w:r>
        <w:rPr>
          <w:rFonts w:hint="eastAsia" w:ascii="宋体" w:hAnsi="宋体"/>
          <w:color w:val="auto"/>
          <w:sz w:val="24"/>
          <w:highlight w:val="none"/>
        </w:rPr>
        <w:t>广州市住房和城乡建设局</w:t>
      </w:r>
      <w:r>
        <w:rPr>
          <w:rFonts w:hint="eastAsia" w:ascii="宋体"/>
          <w:color w:val="auto"/>
          <w:sz w:val="24"/>
          <w:highlight w:val="none"/>
        </w:rPr>
        <w:t>网站上公布的，视为送达其他与决定书有关的当事人。</w:t>
      </w:r>
    </w:p>
    <w:p w14:paraId="140A8A95">
      <w:pPr>
        <w:spacing w:line="480" w:lineRule="auto"/>
        <w:ind w:firstLine="537" w:firstLineChars="224"/>
        <w:rPr>
          <w:rFonts w:hint="eastAsia" w:ascii="宋体" w:hAnsi="宋体"/>
          <w:color w:val="auto"/>
          <w:sz w:val="24"/>
          <w:highlight w:val="none"/>
        </w:rPr>
      </w:pPr>
      <w:r>
        <w:rPr>
          <w:rFonts w:hint="eastAsia" w:ascii="宋体" w:hAnsi="宋体"/>
          <w:color w:val="auto"/>
          <w:sz w:val="24"/>
          <w:highlight w:val="none"/>
        </w:rPr>
        <w:t>特别提示：投标人在本项目招标人的工程项目中存在下列行为的，将被拒绝</w:t>
      </w:r>
      <w:r>
        <w:rPr>
          <w:rFonts w:hint="eastAsia" w:ascii="宋体" w:hAnsi="宋体"/>
          <w:color w:val="auto"/>
          <w:sz w:val="24"/>
          <w:highlight w:val="none"/>
          <w:u w:val="single"/>
          <w:lang w:eastAsia="zh-CN"/>
        </w:rPr>
        <w:t>三个月</w:t>
      </w:r>
      <w:r>
        <w:rPr>
          <w:rFonts w:hint="eastAsia" w:ascii="宋体" w:hAnsi="宋体"/>
          <w:color w:val="auto"/>
          <w:sz w:val="24"/>
          <w:highlight w:val="none"/>
        </w:rPr>
        <w:t>内参与招标人后续工程投标。（注：拒绝投标时限由招标人视严重程度确定，最低三个月起，自招标人发出通知之日起计）：</w:t>
      </w:r>
    </w:p>
    <w:p w14:paraId="72993113">
      <w:pPr>
        <w:spacing w:line="480" w:lineRule="auto"/>
        <w:ind w:firstLine="537" w:firstLineChars="224"/>
        <w:rPr>
          <w:rFonts w:hint="eastAsia" w:ascii="宋体" w:hAnsi="宋体"/>
          <w:color w:val="auto"/>
          <w:sz w:val="24"/>
          <w:highlight w:val="none"/>
        </w:rPr>
      </w:pPr>
      <w:r>
        <w:rPr>
          <w:rFonts w:hint="eastAsia" w:ascii="宋体" w:hAnsi="宋体"/>
          <w:color w:val="auto"/>
          <w:sz w:val="24"/>
          <w:highlight w:val="none"/>
        </w:rPr>
        <w:t>1.将中标工程转包或者违法分包的</w:t>
      </w:r>
      <w:r>
        <w:rPr>
          <w:rFonts w:hint="eastAsia" w:ascii="宋体" w:hAnsi="宋体"/>
          <w:b w:val="0"/>
          <w:bCs w:val="0"/>
          <w:color w:val="auto"/>
          <w:sz w:val="24"/>
          <w:highlight w:val="none"/>
          <w:u w:val="single"/>
        </w:rPr>
        <w:t>；</w:t>
      </w:r>
    </w:p>
    <w:p w14:paraId="46905ECF">
      <w:pPr>
        <w:spacing w:line="480" w:lineRule="auto"/>
        <w:ind w:firstLine="537" w:firstLineChars="224"/>
        <w:rPr>
          <w:rFonts w:hint="eastAsia" w:ascii="宋体" w:hAnsi="宋体"/>
          <w:color w:val="auto"/>
          <w:sz w:val="24"/>
          <w:highlight w:val="none"/>
        </w:rPr>
      </w:pPr>
      <w:r>
        <w:rPr>
          <w:rFonts w:hint="eastAsia" w:ascii="宋体" w:hAnsi="宋体"/>
          <w:color w:val="auto"/>
          <w:sz w:val="24"/>
          <w:highlight w:val="none"/>
        </w:rPr>
        <w:t>2.在中标工程中不执行质量、安全生产相关规定的，造成质量或安全事故的；</w:t>
      </w:r>
    </w:p>
    <w:p w14:paraId="336F2983">
      <w:pPr>
        <w:spacing w:line="480" w:lineRule="auto"/>
        <w:ind w:firstLine="537" w:firstLineChars="224"/>
        <w:rPr>
          <w:rFonts w:hint="eastAsia" w:ascii="宋体" w:hAnsi="宋体"/>
          <w:color w:val="auto"/>
          <w:sz w:val="24"/>
          <w:highlight w:val="none"/>
          <w:u w:val="single"/>
        </w:rPr>
      </w:pPr>
      <w:r>
        <w:rPr>
          <w:rFonts w:hint="eastAsia" w:ascii="宋体" w:hAnsi="宋体"/>
          <w:color w:val="auto"/>
          <w:sz w:val="24"/>
          <w:highlight w:val="none"/>
        </w:rPr>
        <w:t>3</w:t>
      </w:r>
      <w:r>
        <w:rPr>
          <w:rFonts w:hint="eastAsia" w:ascii="宋体" w:hAnsi="宋体"/>
          <w:color w:val="auto"/>
          <w:sz w:val="24"/>
          <w:highlight w:val="none"/>
          <w:u w:val="single"/>
        </w:rPr>
        <w:t>.</w:t>
      </w:r>
      <w:r>
        <w:rPr>
          <w:rFonts w:hint="eastAsia" w:ascii="宋体" w:hAnsi="宋体"/>
          <w:b/>
          <w:bCs/>
          <w:color w:val="auto"/>
          <w:sz w:val="24"/>
          <w:highlight w:val="none"/>
          <w:u w:val="single"/>
        </w:rPr>
        <w:t>出让投标资格的</w:t>
      </w:r>
      <w:r>
        <w:rPr>
          <w:rFonts w:hint="eastAsia" w:ascii="宋体" w:hAnsi="宋体"/>
          <w:color w:val="auto"/>
          <w:sz w:val="24"/>
          <w:highlight w:val="none"/>
          <w:u w:val="single"/>
        </w:rPr>
        <w:t>；</w:t>
      </w:r>
    </w:p>
    <w:p w14:paraId="00D7974A">
      <w:pPr>
        <w:spacing w:line="480" w:lineRule="auto"/>
        <w:ind w:firstLine="537" w:firstLineChars="224"/>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rPr>
        <w:t>存在围标或串标情形的</w:t>
      </w:r>
      <w:r>
        <w:rPr>
          <w:rFonts w:hint="eastAsia" w:ascii="宋体" w:hAnsi="宋体"/>
          <w:color w:val="auto"/>
          <w:sz w:val="24"/>
          <w:highlight w:val="none"/>
          <w:lang w:eastAsia="zh-CN"/>
        </w:rPr>
        <w:t>；</w:t>
      </w:r>
    </w:p>
    <w:p w14:paraId="3A4AEE46">
      <w:pPr>
        <w:spacing w:line="480" w:lineRule="auto"/>
        <w:ind w:firstLine="537" w:firstLineChars="224"/>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.在投标文件中提供虚假材料的；</w:t>
      </w:r>
    </w:p>
    <w:p w14:paraId="0B8563FB">
      <w:pPr>
        <w:spacing w:line="480" w:lineRule="auto"/>
        <w:ind w:firstLine="540" w:firstLineChars="224"/>
        <w:rPr>
          <w:rFonts w:hint="eastAsia" w:ascii="宋体" w:hAnsi="宋体" w:eastAsia="宋体"/>
          <w:b/>
          <w:bCs/>
          <w:color w:val="auto"/>
          <w:sz w:val="24"/>
          <w:highlight w:val="none"/>
          <w:u w:val="single"/>
          <w:lang w:eastAsia="zh-CN"/>
        </w:rPr>
      </w:pPr>
      <w:r>
        <w:rPr>
          <w:rFonts w:hint="eastAsia" w:ascii="宋体" w:hAnsi="宋体"/>
          <w:b/>
          <w:bCs/>
          <w:color w:val="auto"/>
          <w:sz w:val="24"/>
          <w:highlight w:val="none"/>
          <w:u w:val="single"/>
        </w:rPr>
        <w:t>6. 存在少放、不放业绩、奖项等客观评审资料，减少自身竞争力情形的</w:t>
      </w:r>
      <w:r>
        <w:rPr>
          <w:rFonts w:hint="eastAsia" w:ascii="宋体" w:hAnsi="宋体"/>
          <w:b/>
          <w:bCs/>
          <w:color w:val="auto"/>
          <w:sz w:val="24"/>
          <w:highlight w:val="none"/>
          <w:u w:val="single"/>
          <w:lang w:eastAsia="zh-CN"/>
        </w:rPr>
        <w:t>；</w:t>
      </w:r>
    </w:p>
    <w:p w14:paraId="265A13C5">
      <w:pPr>
        <w:spacing w:line="480" w:lineRule="auto"/>
        <w:ind w:firstLine="537" w:firstLineChars="224"/>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7</w:t>
      </w:r>
      <w:r>
        <w:rPr>
          <w:rFonts w:hint="eastAsia" w:ascii="宋体" w:hAnsi="宋体"/>
          <w:color w:val="auto"/>
          <w:sz w:val="24"/>
          <w:highlight w:val="none"/>
        </w:rPr>
        <w:t>.存在行贿情形的</w:t>
      </w:r>
      <w:r>
        <w:rPr>
          <w:rFonts w:hint="eastAsia" w:ascii="宋体" w:hAnsi="宋体"/>
          <w:color w:val="auto"/>
          <w:sz w:val="24"/>
          <w:highlight w:val="none"/>
          <w:lang w:eastAsia="zh-CN"/>
        </w:rPr>
        <w:t>；</w:t>
      </w:r>
    </w:p>
    <w:p w14:paraId="49D9DB56">
      <w:pPr>
        <w:spacing w:line="480" w:lineRule="auto"/>
        <w:ind w:firstLine="537" w:firstLineChars="224"/>
        <w:rPr>
          <w:rFonts w:hint="eastAsia"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.拖欠农民工工资的；</w:t>
      </w:r>
    </w:p>
    <w:p w14:paraId="32F0CF38">
      <w:pPr>
        <w:spacing w:line="480" w:lineRule="auto"/>
        <w:ind w:firstLine="537" w:firstLineChars="224"/>
        <w:rPr>
          <w:rFonts w:hint="eastAsia"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.未按照国家、省、市有关建筑施工实名制管理和工人工资支付分账管理的规定执行，被行政监管部门处罚的。</w:t>
      </w:r>
    </w:p>
    <w:p w14:paraId="2CED1A04">
      <w:pPr>
        <w:spacing w:line="480" w:lineRule="auto"/>
        <w:ind w:firstLine="537" w:firstLineChars="224"/>
        <w:rPr>
          <w:rFonts w:hint="eastAsia" w:ascii="宋体" w:hAnsi="宋体"/>
          <w:color w:val="auto"/>
          <w:sz w:val="24"/>
          <w:highlight w:val="none"/>
          <w:u w:val="single"/>
        </w:rPr>
      </w:pPr>
      <w:r>
        <w:rPr>
          <w:rFonts w:hint="eastAsia" w:ascii="宋体" w:hAnsi="宋体"/>
          <w:color w:val="auto"/>
          <w:sz w:val="24"/>
          <w:highlight w:val="none"/>
          <w:u w:val="single"/>
          <w:lang w:val="en-US" w:eastAsia="zh-CN"/>
        </w:rPr>
        <w:t>10</w:t>
      </w:r>
      <w:r>
        <w:rPr>
          <w:rFonts w:hint="eastAsia" w:ascii="宋体" w:hAnsi="宋体"/>
          <w:color w:val="auto"/>
          <w:sz w:val="24"/>
          <w:highlight w:val="none"/>
          <w:u w:val="single"/>
        </w:rPr>
        <w:t xml:space="preserve">.中标人在递交招标文件之日起至本项目全部竣工验收完成期间，所委派的项目负责人和安全员在其他在建项目中任职的。  </w:t>
      </w:r>
    </w:p>
    <w:p w14:paraId="48078E4E">
      <w:pPr>
        <w:spacing w:line="480" w:lineRule="auto"/>
        <w:ind w:firstLine="537" w:firstLineChars="224"/>
        <w:rPr>
          <w:rFonts w:hint="eastAsia" w:ascii="宋体" w:hAnsi="宋体"/>
          <w:color w:val="auto"/>
          <w:sz w:val="24"/>
          <w:highlight w:val="none"/>
          <w:u w:val="single"/>
        </w:rPr>
      </w:pPr>
    </w:p>
    <w:p w14:paraId="4B5250CB">
      <w:pPr>
        <w:spacing w:line="480" w:lineRule="auto"/>
        <w:ind w:firstLine="537" w:firstLineChars="224"/>
        <w:rPr>
          <w:rFonts w:hint="eastAsia" w:ascii="宋体" w:hAnsi="宋体"/>
          <w:color w:val="auto"/>
          <w:sz w:val="24"/>
          <w:highlight w:val="none"/>
        </w:rPr>
      </w:pPr>
    </w:p>
    <w:p w14:paraId="195A7B1C">
      <w:pPr>
        <w:spacing w:line="480" w:lineRule="auto"/>
        <w:ind w:firstLine="537" w:firstLineChars="224"/>
        <w:rPr>
          <w:rFonts w:ascii="宋体"/>
          <w:color w:val="auto"/>
          <w:sz w:val="24"/>
          <w:highlight w:val="none"/>
        </w:rPr>
      </w:pPr>
    </w:p>
    <w:p w14:paraId="780BDFF7">
      <w:pPr>
        <w:spacing w:line="480" w:lineRule="auto"/>
        <w:ind w:right="1348" w:rightChars="642" w:firstLine="5760" w:firstLineChars="2400"/>
        <w:rPr>
          <w:rFonts w:ascii="宋体" w:hAnsi="宋体"/>
          <w:color w:val="auto"/>
          <w:sz w:val="24"/>
          <w:highlight w:val="none"/>
        </w:rPr>
      </w:pPr>
    </w:p>
    <w:p w14:paraId="0964E7B8">
      <w:pPr>
        <w:spacing w:line="480" w:lineRule="auto"/>
        <w:ind w:firstLine="537" w:firstLineChars="224"/>
        <w:rPr>
          <w:rFonts w:ascii="宋体"/>
          <w:color w:val="auto"/>
          <w:sz w:val="24"/>
          <w:highlight w:val="none"/>
        </w:rPr>
        <w:sectPr>
          <w:footerReference r:id="rId4" w:type="default"/>
          <w:endnotePr>
            <w:numFmt w:val="decimal"/>
          </w:endnotePr>
          <w:pgSz w:w="11906" w:h="16838"/>
          <w:pgMar w:top="1440" w:right="1134" w:bottom="1440" w:left="1134" w:header="851" w:footer="992" w:gutter="0"/>
          <w:pgNumType w:fmt="decimal" w:start="1"/>
          <w:cols w:space="425" w:num="1"/>
          <w:docGrid w:type="lines" w:linePitch="312" w:charSpace="0"/>
        </w:sectPr>
      </w:pPr>
    </w:p>
    <w:p w14:paraId="09DBC022">
      <w:pPr>
        <w:spacing w:line="360" w:lineRule="auto"/>
        <w:rPr>
          <w:b/>
          <w:color w:val="auto"/>
          <w:sz w:val="44"/>
          <w:highlight w:val="none"/>
        </w:rPr>
      </w:pPr>
      <w:r>
        <w:rPr>
          <w:rFonts w:hint="eastAsia" w:ascii="宋体" w:hAnsi="宋体"/>
          <w:color w:val="auto"/>
          <w:sz w:val="24"/>
          <w:highlight w:val="none"/>
        </w:rPr>
        <w:t>附件一：</w:t>
      </w:r>
    </w:p>
    <w:p w14:paraId="4824D21B">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14:paraId="6E778CCD">
      <w:pPr>
        <w:jc w:val="center"/>
        <w:rPr>
          <w:b/>
          <w:color w:val="auto"/>
          <w:sz w:val="44"/>
          <w:szCs w:val="44"/>
          <w:highlight w:val="none"/>
        </w:rPr>
      </w:pPr>
    </w:p>
    <w:p w14:paraId="2685B03D">
      <w:pPr>
        <w:pStyle w:val="100"/>
        <w:spacing w:line="48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本招标项目招标人及招标监管机构：</w:t>
      </w:r>
    </w:p>
    <w:p w14:paraId="3906E2F4">
      <w:pPr>
        <w:pStyle w:val="100"/>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lang w:val="en-US" w:eastAsia="zh-CN"/>
        </w:rPr>
        <w:t xml:space="preserve"> 文冲项目石化厂区6KV配电设施迁改工程 </w:t>
      </w:r>
      <w:r>
        <w:rPr>
          <w:rFonts w:hint="eastAsia" w:ascii="宋体" w:hAnsi="宋体" w:eastAsia="宋体"/>
          <w:color w:val="auto"/>
          <w:sz w:val="21"/>
          <w:szCs w:val="21"/>
          <w:highlight w:val="none"/>
        </w:rPr>
        <w:t>投标工作，作出郑重声明：</w:t>
      </w:r>
    </w:p>
    <w:p w14:paraId="52EA056D">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文件的人员、业绩、奖项等资料进行公开。我公司承诺投标文件中的一切资料、数据均属实，否则愿意承担相应的法律责任。如在本项目招投标法定期间，若</w:t>
      </w:r>
      <w:r>
        <w:rPr>
          <w:rFonts w:hint="eastAsia" w:ascii="宋体" w:hAnsi="宋体" w:eastAsia="宋体"/>
          <w:color w:val="auto"/>
          <w:sz w:val="21"/>
          <w:szCs w:val="21"/>
          <w:highlight w:val="none"/>
          <w:lang w:eastAsia="zh-CN"/>
        </w:rPr>
        <w:t>招</w:t>
      </w:r>
      <w:r>
        <w:rPr>
          <w:rFonts w:hint="eastAsia" w:ascii="宋体" w:hAnsi="宋体" w:eastAsia="宋体"/>
          <w:color w:val="auto"/>
          <w:sz w:val="21"/>
          <w:szCs w:val="21"/>
          <w:highlight w:val="none"/>
        </w:rPr>
        <w:t>标人收到任何针对我司的异议和投诉，我司应依法举证，否则愿意承担举证不能的法律后果。</w:t>
      </w:r>
    </w:p>
    <w:p w14:paraId="78FBF41A">
      <w:pPr>
        <w:pStyle w:val="2"/>
        <w:spacing w:line="48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32A44CCC">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14:paraId="7E92CA47">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14:paraId="0620C87A">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（二）为本标段前期准备提供设计或咨询服务或者与本项目设计人或提供咨询服务的机构存在附属关系的；</w:t>
      </w:r>
    </w:p>
    <w:p w14:paraId="043D7520">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14:paraId="7CC93AF1">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14:paraId="3526F6EE">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14:paraId="5DBD94FB">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14:paraId="54E69428">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14:paraId="221D0479">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14:paraId="0202A186">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14:paraId="6EEF1E3A">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14:paraId="37B57D28">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289BFC17">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（十二）被责令停产停业、暂扣或者吊销许可证、暂扣或者吊销执照的（本项事实应当以根据《中华人民共和国行政处罚法》依法作出并已经生效的行政处罚决定为认定依据。）；</w:t>
      </w:r>
    </w:p>
    <w:p w14:paraId="61E23A1C">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14:paraId="282E1013">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2361FE4">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14:paraId="05653C8D">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四、本公司保证：本项目拟派的项目负责人在</w:t>
      </w:r>
      <w:r>
        <w:rPr>
          <w:rFonts w:hint="eastAsia" w:ascii="宋体" w:hAnsi="宋体" w:eastAsia="宋体"/>
          <w:color w:val="auto"/>
          <w:sz w:val="21"/>
          <w:szCs w:val="21"/>
          <w:highlight w:val="none"/>
          <w:lang w:eastAsia="zh-CN"/>
        </w:rPr>
        <w:t>投标截止时没有在</w:t>
      </w:r>
      <w:r>
        <w:rPr>
          <w:rFonts w:hint="eastAsia" w:ascii="宋体" w:hAnsi="宋体" w:eastAsia="宋体"/>
          <w:color w:val="auto"/>
          <w:sz w:val="21"/>
          <w:szCs w:val="21"/>
          <w:highlight w:val="none"/>
        </w:rPr>
        <w:t>其他在建项目中任施工单位项目负责人，本项目拟派的专职安全员没有在其他在建项目中任职。</w:t>
      </w:r>
    </w:p>
    <w:p w14:paraId="047F1993">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40673DC4">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zh-CN"/>
        </w:rPr>
        <w:t>六、</w:t>
      </w:r>
      <w:r>
        <w:rPr>
          <w:rFonts w:hint="eastAsia" w:ascii="宋体" w:hAnsi="宋体" w:eastAsia="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5509289">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zh-CN"/>
        </w:rPr>
        <w:t>七</w:t>
      </w:r>
      <w:r>
        <w:rPr>
          <w:rFonts w:hint="eastAsia" w:ascii="宋体" w:hAnsi="宋体" w:eastAsia="宋体"/>
          <w:color w:val="auto"/>
          <w:sz w:val="21"/>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AFD6363">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zh-CN"/>
        </w:rPr>
        <w:t>八</w:t>
      </w:r>
      <w:r>
        <w:rPr>
          <w:rFonts w:hint="eastAsia" w:ascii="宋体" w:hAnsi="宋体" w:eastAsia="宋体"/>
          <w:color w:val="auto"/>
          <w:sz w:val="21"/>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0E29E816">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zh-CN"/>
        </w:rPr>
        <w:t>九</w:t>
      </w:r>
      <w:r>
        <w:rPr>
          <w:rFonts w:hint="eastAsia" w:ascii="宋体" w:hAnsi="宋体" w:eastAsia="宋体"/>
          <w:color w:val="auto"/>
          <w:sz w:val="21"/>
          <w:szCs w:val="21"/>
          <w:highlight w:val="none"/>
        </w:rPr>
        <w:t>、与本公司单位负责人为同一人或者与本公司存在控股、管理关系的其他单位包括：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。（注：本条由投标人如实填写，如有，应列出全部满足招标公告资质要求的相关单位的名称；如无，则填写“无”。）</w:t>
      </w:r>
    </w:p>
    <w:p w14:paraId="5625DD73">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zh-CN"/>
        </w:rPr>
        <w:t>十</w:t>
      </w:r>
      <w:r>
        <w:rPr>
          <w:rFonts w:hint="eastAsia" w:ascii="宋体" w:hAnsi="宋体" w:eastAsia="宋体"/>
          <w:color w:val="auto"/>
          <w:sz w:val="21"/>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72FE787B">
      <w:pPr>
        <w:pStyle w:val="100"/>
        <w:spacing w:line="480" w:lineRule="auto"/>
        <w:rPr>
          <w:rFonts w:hint="eastAsia" w:ascii="楷体" w:hAnsi="楷体" w:eastAsia="楷体" w:cs="宋体"/>
          <w:b/>
          <w:bCs/>
          <w:color w:val="auto"/>
          <w:sz w:val="22"/>
          <w:szCs w:val="22"/>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eastAsia="zh-CN"/>
        </w:rPr>
        <w:t>一</w:t>
      </w:r>
      <w:r>
        <w:rPr>
          <w:rFonts w:hint="eastAsia" w:ascii="宋体" w:hAnsi="宋体" w:eastAsia="宋体"/>
          <w:color w:val="auto"/>
          <w:sz w:val="21"/>
          <w:szCs w:val="21"/>
          <w:highlight w:val="none"/>
        </w:rPr>
        <w:t>、</w:t>
      </w:r>
      <w:r>
        <w:rPr>
          <w:rFonts w:hint="eastAsia" w:ascii="宋体" w:hAnsi="宋体" w:eastAsia="宋体" w:cs="宋体"/>
          <w:b/>
          <w:bCs/>
          <w:color w:val="auto"/>
          <w:sz w:val="21"/>
          <w:szCs w:val="21"/>
          <w:highlight w:val="none"/>
        </w:rPr>
        <w:t>本公司承诺，中标后将按招标人要求，积极响应广州市关于投身“百千万工程”的号召，主动参与建筑业结对帮扶。</w:t>
      </w:r>
    </w:p>
    <w:p w14:paraId="71F1BC87">
      <w:pPr>
        <w:pStyle w:val="100"/>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zh-CN"/>
        </w:rPr>
        <w:t>十二、</w:t>
      </w:r>
      <w:r>
        <w:rPr>
          <w:rFonts w:hint="eastAsia" w:ascii="宋体" w:hAnsi="宋体" w:eastAsia="宋体"/>
          <w:color w:val="auto"/>
          <w:sz w:val="21"/>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4E18E041">
      <w:pPr>
        <w:pStyle w:val="100"/>
        <w:spacing w:line="480" w:lineRule="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eastAsia="zh-CN"/>
        </w:rPr>
        <w:t>三</w:t>
      </w:r>
      <w:r>
        <w:rPr>
          <w:rFonts w:hint="eastAsia" w:ascii="宋体" w:hAnsi="宋体" w:eastAsia="宋体"/>
          <w:color w:val="auto"/>
          <w:sz w:val="21"/>
          <w:szCs w:val="21"/>
          <w:highlight w:val="none"/>
        </w:rPr>
        <w:t>、本公司违反上述保证，或本声明陈述与事实不符，一经查实将按相关规定进行信用记录。本公司对失信行为产生的一切后果已知悉。其中，本声明陈述与事实不符，属于弄虚作假骗取中标，将依法接受监管部门的处罚</w:t>
      </w:r>
      <w:r>
        <w:rPr>
          <w:rFonts w:hint="eastAsia" w:ascii="宋体" w:hAnsi="宋体" w:eastAsia="宋体"/>
          <w:color w:val="auto"/>
          <w:sz w:val="21"/>
          <w:szCs w:val="21"/>
          <w:highlight w:val="none"/>
          <w:lang w:eastAsia="zh-CN"/>
        </w:rPr>
        <w:t>。</w:t>
      </w:r>
    </w:p>
    <w:p w14:paraId="6087C035">
      <w:pPr>
        <w:pStyle w:val="100"/>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14:paraId="794915D6">
      <w:pPr>
        <w:pStyle w:val="102"/>
        <w:spacing w:line="480" w:lineRule="auto"/>
        <w:ind w:left="629"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声明企业：</w:t>
      </w:r>
    </w:p>
    <w:p w14:paraId="0AC9498A">
      <w:pPr>
        <w:pStyle w:val="100"/>
        <w:spacing w:line="48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项目负责人签字:</w:t>
      </w:r>
    </w:p>
    <w:p w14:paraId="2820F4F1">
      <w:pPr>
        <w:pStyle w:val="100"/>
        <w:spacing w:line="480" w:lineRule="auto"/>
        <w:ind w:right="879" w:firstLine="1890" w:firstLineChars="9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14:paraId="7F165FCF">
      <w:pPr>
        <w:pStyle w:val="100"/>
        <w:spacing w:line="480" w:lineRule="auto"/>
        <w:ind w:right="879" w:firstLine="1890" w:firstLineChars="90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日</w:t>
      </w:r>
    </w:p>
    <w:p w14:paraId="61938E33">
      <w:pPr>
        <w:widowControl/>
        <w:snapToGrid w:val="0"/>
        <w:spacing w:line="480" w:lineRule="auto"/>
        <w:ind w:right="102"/>
        <w:jc w:val="left"/>
        <w:rPr>
          <w:rFonts w:hint="eastAsia" w:ascii="宋体" w:hAnsi="宋体"/>
          <w:color w:val="auto"/>
          <w:szCs w:val="21"/>
          <w:highlight w:val="none"/>
        </w:rPr>
      </w:pPr>
      <w:r>
        <w:rPr>
          <w:rFonts w:hint="eastAsia" w:ascii="宋体" w:hAnsi="宋体"/>
          <w:color w:val="auto"/>
          <w:szCs w:val="21"/>
          <w:highlight w:val="none"/>
        </w:rPr>
        <w:t>注：招标人应当要求投标人的项目负责人和技术负责人签字。</w:t>
      </w:r>
    </w:p>
    <w:p w14:paraId="66978839">
      <w:pPr>
        <w:widowControl/>
        <w:jc w:val="left"/>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E961A">
    <w:pPr>
      <w:pStyle w:val="25"/>
      <w:framePr w:wrap="around" w:vAnchor="text" w:hAnchor="margin" w:xAlign="center" w:y="1"/>
      <w:rPr>
        <w:rStyle w:val="40"/>
      </w:rPr>
    </w:pPr>
    <w:r>
      <w:rPr>
        <w:rStyle w:val="40"/>
      </w:rPr>
      <w:fldChar w:fldCharType="begin"/>
    </w:r>
    <w:r>
      <w:rPr>
        <w:rStyle w:val="40"/>
      </w:rPr>
      <w:instrText xml:space="preserve">PAGE  </w:instrText>
    </w:r>
    <w:r>
      <w:rPr>
        <w:rStyle w:val="40"/>
      </w:rPr>
      <w:fldChar w:fldCharType="end"/>
    </w:r>
  </w:p>
  <w:p w14:paraId="0874A766">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E9D9F">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6738C8">
                          <w:pPr>
                            <w:pStyle w:val="2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fV2T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K&#10;8vQBK6q6D1QXh3d+SKVTHCmYWA8t2PQlPozyJO75Kq4aIpPp0nq1XpeUkpSbHcIpHq8HwPheecuS&#10;UXOg18uiitNHjGPpXJK6OX+njaG4qIxjfc1vXr8p84VrhsCNox6JxDhssuKwHyYGe9+ciVhPG1Bz&#10;RwvPmfngSOC0LLMBs7GfjWMAfehoxmXuh+HtMdI0ecjUYYSdGtPTZZrTmqXd+NvPVY+/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L1fV2TQAQAAogMAAA4AAAAAAAAAAQAgAAAAHwEAAGRy&#10;cy9lMm9Eb2MueG1sUEsFBgAAAAAGAAYAWQEAAGEFAAAAAA==&#10;">
              <v:fill on="f" focussize="0,0"/>
              <v:stroke on="f" weight="0.5pt"/>
              <v:imagedata o:title=""/>
              <o:lock v:ext="edit" aspectratio="f"/>
              <v:textbox inset="0mm,0mm,0mm,0mm" style="mso-fit-shape-to-text:t;">
                <w:txbxContent>
                  <w:p w14:paraId="1D6738C8">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DCA3B"/>
    <w:multiLevelType w:val="singleLevel"/>
    <w:tmpl w:val="1D0DCA3B"/>
    <w:lvl w:ilvl="0" w:tentative="0">
      <w:start w:val="1"/>
      <w:numFmt w:val="chineseCounting"/>
      <w:suff w:val="nothing"/>
      <w:lvlText w:val="%1、"/>
      <w:lvlJc w:val="left"/>
      <w:rPr>
        <w:rFonts w:hint="eastAsia"/>
      </w:rPr>
    </w:lvl>
  </w:abstractNum>
  <w:abstractNum w:abstractNumId="1">
    <w:nsid w:val="259905B5"/>
    <w:multiLevelType w:val="multilevel"/>
    <w:tmpl w:val="259905B5"/>
    <w:lvl w:ilvl="0" w:tentative="0">
      <w:start w:val="1"/>
      <w:numFmt w:val="chineseCountingThousand"/>
      <w:pStyle w:val="97"/>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2">
    <w:nsid w:val="5FA59117"/>
    <w:multiLevelType w:val="singleLevel"/>
    <w:tmpl w:val="5FA59117"/>
    <w:lvl w:ilvl="0" w:tentative="0">
      <w:start w:val="2"/>
      <w:numFmt w:val="chineseCounting"/>
      <w:suff w:val="nothing"/>
      <w:lvlText w:val="%1、"/>
      <w:lvlJc w:val="left"/>
      <w:rPr>
        <w:rFonts w:hint="eastAsia"/>
      </w:rPr>
    </w:lvl>
  </w:abstractNum>
  <w:abstractNum w:abstractNumId="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0NGVjZDRlN2Q2ZDU0ZThhMmFiNTE5M2NjMGI3ZjcifQ=="/>
  </w:docVars>
  <w:rsids>
    <w:rsidRoot w:val="007B41BE"/>
    <w:rsid w:val="000200EE"/>
    <w:rsid w:val="000575F8"/>
    <w:rsid w:val="000C1007"/>
    <w:rsid w:val="000C11E0"/>
    <w:rsid w:val="000C2710"/>
    <w:rsid w:val="000D396E"/>
    <w:rsid w:val="00181CAA"/>
    <w:rsid w:val="002F3DDA"/>
    <w:rsid w:val="00336AA3"/>
    <w:rsid w:val="003F0799"/>
    <w:rsid w:val="004370EC"/>
    <w:rsid w:val="004424B8"/>
    <w:rsid w:val="004514D6"/>
    <w:rsid w:val="004874D5"/>
    <w:rsid w:val="004B295D"/>
    <w:rsid w:val="005866FB"/>
    <w:rsid w:val="005C212B"/>
    <w:rsid w:val="006036EF"/>
    <w:rsid w:val="00673B83"/>
    <w:rsid w:val="00680BFD"/>
    <w:rsid w:val="006B6B0D"/>
    <w:rsid w:val="006F3576"/>
    <w:rsid w:val="007060D0"/>
    <w:rsid w:val="0073229B"/>
    <w:rsid w:val="00780094"/>
    <w:rsid w:val="00780EC8"/>
    <w:rsid w:val="007B41BE"/>
    <w:rsid w:val="007D6D06"/>
    <w:rsid w:val="00835C9E"/>
    <w:rsid w:val="008D2515"/>
    <w:rsid w:val="008E4AD1"/>
    <w:rsid w:val="00920E49"/>
    <w:rsid w:val="00991949"/>
    <w:rsid w:val="009A704D"/>
    <w:rsid w:val="00A0387A"/>
    <w:rsid w:val="00A0619D"/>
    <w:rsid w:val="00A20AF3"/>
    <w:rsid w:val="00A2579D"/>
    <w:rsid w:val="00A50D34"/>
    <w:rsid w:val="00A64E29"/>
    <w:rsid w:val="00AD3DEE"/>
    <w:rsid w:val="00AD6716"/>
    <w:rsid w:val="00BC7B91"/>
    <w:rsid w:val="00BE1732"/>
    <w:rsid w:val="00BE216D"/>
    <w:rsid w:val="00C267C0"/>
    <w:rsid w:val="00C32C1E"/>
    <w:rsid w:val="00C408D3"/>
    <w:rsid w:val="00C81F53"/>
    <w:rsid w:val="00C82C8A"/>
    <w:rsid w:val="00CD156B"/>
    <w:rsid w:val="00D75B45"/>
    <w:rsid w:val="00D84E64"/>
    <w:rsid w:val="00E22EAB"/>
    <w:rsid w:val="00E457F6"/>
    <w:rsid w:val="00E638F3"/>
    <w:rsid w:val="00EB6530"/>
    <w:rsid w:val="00EC014E"/>
    <w:rsid w:val="00F40301"/>
    <w:rsid w:val="00FA5926"/>
    <w:rsid w:val="00FC5596"/>
    <w:rsid w:val="010565E1"/>
    <w:rsid w:val="01445D9B"/>
    <w:rsid w:val="03B81FA1"/>
    <w:rsid w:val="0580532C"/>
    <w:rsid w:val="05935ABA"/>
    <w:rsid w:val="05C51508"/>
    <w:rsid w:val="06816D3D"/>
    <w:rsid w:val="072F44E3"/>
    <w:rsid w:val="073B7A14"/>
    <w:rsid w:val="073E1390"/>
    <w:rsid w:val="082878BD"/>
    <w:rsid w:val="090F096F"/>
    <w:rsid w:val="09EC0308"/>
    <w:rsid w:val="09F33618"/>
    <w:rsid w:val="0A803BD0"/>
    <w:rsid w:val="0E965BD1"/>
    <w:rsid w:val="0F7E4AB5"/>
    <w:rsid w:val="0FE268D2"/>
    <w:rsid w:val="0FEF45D8"/>
    <w:rsid w:val="107A71E9"/>
    <w:rsid w:val="114F6891"/>
    <w:rsid w:val="11BA3ED1"/>
    <w:rsid w:val="11E8746F"/>
    <w:rsid w:val="14D34591"/>
    <w:rsid w:val="15282B8B"/>
    <w:rsid w:val="16FD70D9"/>
    <w:rsid w:val="18151F96"/>
    <w:rsid w:val="181C07FE"/>
    <w:rsid w:val="1926444A"/>
    <w:rsid w:val="19ED18E3"/>
    <w:rsid w:val="1A2F4635"/>
    <w:rsid w:val="1AD03189"/>
    <w:rsid w:val="1B6D1CB8"/>
    <w:rsid w:val="1C613665"/>
    <w:rsid w:val="1DB52CFA"/>
    <w:rsid w:val="1E486D96"/>
    <w:rsid w:val="1EBA5A37"/>
    <w:rsid w:val="20EA0E22"/>
    <w:rsid w:val="21E57B60"/>
    <w:rsid w:val="220A48B1"/>
    <w:rsid w:val="22192029"/>
    <w:rsid w:val="2267183D"/>
    <w:rsid w:val="228D5BE8"/>
    <w:rsid w:val="235922E4"/>
    <w:rsid w:val="24A972CC"/>
    <w:rsid w:val="251B6A37"/>
    <w:rsid w:val="25ED6E07"/>
    <w:rsid w:val="266D4808"/>
    <w:rsid w:val="27FF5B33"/>
    <w:rsid w:val="28364495"/>
    <w:rsid w:val="284C60B8"/>
    <w:rsid w:val="28790229"/>
    <w:rsid w:val="293D2343"/>
    <w:rsid w:val="2A0F20FB"/>
    <w:rsid w:val="2A880A7B"/>
    <w:rsid w:val="2B004AE6"/>
    <w:rsid w:val="2B2B6538"/>
    <w:rsid w:val="2CC624DE"/>
    <w:rsid w:val="2D03629D"/>
    <w:rsid w:val="2DC4660F"/>
    <w:rsid w:val="305028B5"/>
    <w:rsid w:val="30997F39"/>
    <w:rsid w:val="310A5740"/>
    <w:rsid w:val="329365A6"/>
    <w:rsid w:val="32BF3509"/>
    <w:rsid w:val="3425066D"/>
    <w:rsid w:val="34E42621"/>
    <w:rsid w:val="365A0EE7"/>
    <w:rsid w:val="36E35DA3"/>
    <w:rsid w:val="375D203C"/>
    <w:rsid w:val="376B0DD8"/>
    <w:rsid w:val="38026A6F"/>
    <w:rsid w:val="38FB1777"/>
    <w:rsid w:val="39667549"/>
    <w:rsid w:val="39C15447"/>
    <w:rsid w:val="3A8F3C03"/>
    <w:rsid w:val="3BD042A8"/>
    <w:rsid w:val="3CC47406"/>
    <w:rsid w:val="3D60411F"/>
    <w:rsid w:val="3F227977"/>
    <w:rsid w:val="400A4F39"/>
    <w:rsid w:val="413D248A"/>
    <w:rsid w:val="41CE006B"/>
    <w:rsid w:val="41E657FF"/>
    <w:rsid w:val="434E4228"/>
    <w:rsid w:val="434E6AB7"/>
    <w:rsid w:val="438C49EC"/>
    <w:rsid w:val="43C95804"/>
    <w:rsid w:val="45172FBD"/>
    <w:rsid w:val="467A46AE"/>
    <w:rsid w:val="46A82598"/>
    <w:rsid w:val="48523C0A"/>
    <w:rsid w:val="48617EF0"/>
    <w:rsid w:val="4996659F"/>
    <w:rsid w:val="4AC62A9D"/>
    <w:rsid w:val="4B3F6B82"/>
    <w:rsid w:val="4B6465CF"/>
    <w:rsid w:val="4B6B7860"/>
    <w:rsid w:val="4B9C4B4C"/>
    <w:rsid w:val="4D6D2BF0"/>
    <w:rsid w:val="4DC77C39"/>
    <w:rsid w:val="4E303AFE"/>
    <w:rsid w:val="4E6C325B"/>
    <w:rsid w:val="4EA26E6D"/>
    <w:rsid w:val="4F245C07"/>
    <w:rsid w:val="50454464"/>
    <w:rsid w:val="51B67AC6"/>
    <w:rsid w:val="51BC407E"/>
    <w:rsid w:val="53DC149E"/>
    <w:rsid w:val="53F92C98"/>
    <w:rsid w:val="55F36478"/>
    <w:rsid w:val="577465E2"/>
    <w:rsid w:val="59C9560C"/>
    <w:rsid w:val="5BE752E2"/>
    <w:rsid w:val="5C396F43"/>
    <w:rsid w:val="5CDF456F"/>
    <w:rsid w:val="5D335CEE"/>
    <w:rsid w:val="5D572C78"/>
    <w:rsid w:val="5F0000C2"/>
    <w:rsid w:val="5F4B72E8"/>
    <w:rsid w:val="601722ED"/>
    <w:rsid w:val="605F50F7"/>
    <w:rsid w:val="60D43E23"/>
    <w:rsid w:val="61AC3C92"/>
    <w:rsid w:val="620C2B99"/>
    <w:rsid w:val="62750548"/>
    <w:rsid w:val="646C5FB1"/>
    <w:rsid w:val="64AF0F61"/>
    <w:rsid w:val="653505E7"/>
    <w:rsid w:val="66366EE4"/>
    <w:rsid w:val="66BB6F36"/>
    <w:rsid w:val="6A291816"/>
    <w:rsid w:val="6C7621DF"/>
    <w:rsid w:val="6C787452"/>
    <w:rsid w:val="6CDB0B01"/>
    <w:rsid w:val="6CEF4F0F"/>
    <w:rsid w:val="6DAB59DE"/>
    <w:rsid w:val="702646D0"/>
    <w:rsid w:val="70404F18"/>
    <w:rsid w:val="70F95AE2"/>
    <w:rsid w:val="71202F3C"/>
    <w:rsid w:val="7159238E"/>
    <w:rsid w:val="717770BD"/>
    <w:rsid w:val="72B43688"/>
    <w:rsid w:val="73CC483B"/>
    <w:rsid w:val="744D01AA"/>
    <w:rsid w:val="74BE41EE"/>
    <w:rsid w:val="7509254E"/>
    <w:rsid w:val="75097C90"/>
    <w:rsid w:val="752246FB"/>
    <w:rsid w:val="75486572"/>
    <w:rsid w:val="761E35B3"/>
    <w:rsid w:val="79F55712"/>
    <w:rsid w:val="7ADC31A8"/>
    <w:rsid w:val="7B3834EB"/>
    <w:rsid w:val="7C8C49A4"/>
    <w:rsid w:val="7D142945"/>
    <w:rsid w:val="7DF278DE"/>
    <w:rsid w:val="7DFB6309"/>
    <w:rsid w:val="7E22611A"/>
    <w:rsid w:val="7FB778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qFormat="1" w:unhideWhenUsed="0" w:uiPriority="0" w:semiHidden="0"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50"/>
    <w:qFormat/>
    <w:uiPriority w:val="0"/>
    <w:pPr>
      <w:keepNext/>
      <w:keepLines/>
      <w:spacing w:after="120" w:line="360" w:lineRule="auto"/>
      <w:outlineLvl w:val="0"/>
    </w:pPr>
    <w:rPr>
      <w:kern w:val="44"/>
      <w:sz w:val="28"/>
      <w:szCs w:val="28"/>
    </w:rPr>
  </w:style>
  <w:style w:type="paragraph" w:styleId="7">
    <w:name w:val="heading 2"/>
    <w:basedOn w:val="1"/>
    <w:next w:val="1"/>
    <w:link w:val="49"/>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60"/>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10"/>
    <w:link w:val="65"/>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11">
    <w:name w:val="heading 5"/>
    <w:basedOn w:val="9"/>
    <w:next w:val="10"/>
    <w:link w:val="66"/>
    <w:qFormat/>
    <w:uiPriority w:val="0"/>
    <w:pPr>
      <w:numPr>
        <w:ilvl w:val="4"/>
      </w:numPr>
      <w:spacing w:line="240" w:lineRule="exact"/>
      <w:outlineLvl w:val="4"/>
    </w:pPr>
  </w:style>
  <w:style w:type="paragraph" w:styleId="12">
    <w:name w:val="heading 6"/>
    <w:basedOn w:val="1"/>
    <w:next w:val="1"/>
    <w:link w:val="67"/>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10"/>
    <w:link w:val="68"/>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10"/>
    <w:link w:val="69"/>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10"/>
    <w:link w:val="70"/>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4"/>
    <w:qFormat/>
    <w:uiPriority w:val="0"/>
    <w:rPr>
      <w:rFonts w:ascii="宋体" w:hAnsi="Courier New"/>
      <w:szCs w:val="20"/>
    </w:rPr>
  </w:style>
  <w:style w:type="paragraph" w:styleId="4">
    <w:name w:val="Title"/>
    <w:basedOn w:val="1"/>
    <w:link w:val="72"/>
    <w:qFormat/>
    <w:uiPriority w:val="0"/>
    <w:pPr>
      <w:spacing w:before="120" w:after="60"/>
      <w:jc w:val="center"/>
    </w:pPr>
    <w:rPr>
      <w:rFonts w:ascii="Arial" w:hAnsi="Arial"/>
      <w:b/>
      <w:sz w:val="44"/>
      <w:szCs w:val="20"/>
    </w:rPr>
  </w:style>
  <w:style w:type="paragraph" w:styleId="5">
    <w:name w:val="Body Text First Indent"/>
    <w:basedOn w:val="6"/>
    <w:link w:val="76"/>
    <w:qFormat/>
    <w:uiPriority w:val="0"/>
    <w:pPr>
      <w:ind w:firstLine="420"/>
    </w:pPr>
  </w:style>
  <w:style w:type="paragraph" w:styleId="6">
    <w:name w:val="Body Text"/>
    <w:basedOn w:val="1"/>
    <w:link w:val="74"/>
    <w:qFormat/>
    <w:uiPriority w:val="0"/>
    <w:pPr>
      <w:spacing w:after="120"/>
    </w:pPr>
    <w:rPr>
      <w:rFonts w:ascii="Times New Roman" w:hAnsi="Times New Roman"/>
      <w:szCs w:val="20"/>
    </w:rPr>
  </w:style>
  <w:style w:type="paragraph" w:styleId="10">
    <w:name w:val="Normal Indent"/>
    <w:basedOn w:val="1"/>
    <w:qFormat/>
    <w:uiPriority w:val="0"/>
    <w:pPr>
      <w:ind w:firstLine="420"/>
    </w:pPr>
    <w:rPr>
      <w:rFonts w:ascii="Times New Roman" w:hAnsi="Times New Roman"/>
      <w:szCs w:val="20"/>
    </w:rPr>
  </w:style>
  <w:style w:type="paragraph" w:styleId="16">
    <w:name w:val="Note Heading"/>
    <w:basedOn w:val="1"/>
    <w:next w:val="1"/>
    <w:qFormat/>
    <w:uiPriority w:val="0"/>
    <w:pPr>
      <w:snapToGrid w:val="0"/>
      <w:spacing w:line="320" w:lineRule="exact"/>
      <w:ind w:firstLine="413" w:firstLineChars="200"/>
    </w:pPr>
    <w:rPr>
      <w:rFonts w:ascii="宋体" w:hAnsi="宋体"/>
      <w:b/>
      <w:color w:val="000000"/>
    </w:rPr>
  </w:style>
  <w:style w:type="paragraph" w:styleId="17">
    <w:name w:val="Document Map"/>
    <w:basedOn w:val="1"/>
    <w:link w:val="82"/>
    <w:qFormat/>
    <w:uiPriority w:val="0"/>
    <w:pPr>
      <w:shd w:val="clear" w:color="auto" w:fill="000080"/>
    </w:pPr>
    <w:rPr>
      <w:rFonts w:ascii="Times New Roman" w:hAnsi="Times New Roman"/>
      <w:szCs w:val="20"/>
    </w:rPr>
  </w:style>
  <w:style w:type="paragraph" w:styleId="18">
    <w:name w:val="annotation text"/>
    <w:basedOn w:val="1"/>
    <w:link w:val="108"/>
    <w:qFormat/>
    <w:uiPriority w:val="0"/>
    <w:pPr>
      <w:spacing w:line="360" w:lineRule="auto"/>
      <w:ind w:firstLine="523" w:firstLineChars="218"/>
      <w:jc w:val="left"/>
    </w:pPr>
    <w:rPr>
      <w:rFonts w:ascii="宋体" w:hAnsi="宋体"/>
      <w:sz w:val="24"/>
      <w:szCs w:val="24"/>
    </w:rPr>
  </w:style>
  <w:style w:type="paragraph" w:styleId="19">
    <w:name w:val="Body Text Indent"/>
    <w:basedOn w:val="1"/>
    <w:link w:val="80"/>
    <w:qFormat/>
    <w:uiPriority w:val="0"/>
    <w:pPr>
      <w:ind w:firstLine="570"/>
    </w:pPr>
    <w:rPr>
      <w:rFonts w:ascii="Times New Roman" w:hAnsi="Times New Roman"/>
      <w:sz w:val="28"/>
      <w:szCs w:val="20"/>
    </w:r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Date"/>
    <w:basedOn w:val="1"/>
    <w:next w:val="1"/>
    <w:link w:val="78"/>
    <w:qFormat/>
    <w:uiPriority w:val="0"/>
    <w:rPr>
      <w:rFonts w:ascii="Times New Roman" w:hAnsi="Times New Roman"/>
      <w:szCs w:val="20"/>
    </w:rPr>
  </w:style>
  <w:style w:type="paragraph" w:styleId="22">
    <w:name w:val="Body Text Indent 2"/>
    <w:basedOn w:val="1"/>
    <w:link w:val="86"/>
    <w:qFormat/>
    <w:uiPriority w:val="0"/>
    <w:pPr>
      <w:spacing w:line="400" w:lineRule="exact"/>
      <w:ind w:left="425"/>
    </w:pPr>
    <w:rPr>
      <w:rFonts w:ascii="Times New Roman" w:hAnsi="Times New Roman"/>
      <w:color w:val="000000"/>
      <w:sz w:val="24"/>
      <w:szCs w:val="20"/>
    </w:rPr>
  </w:style>
  <w:style w:type="paragraph" w:styleId="23">
    <w:name w:val="endnote text"/>
    <w:basedOn w:val="1"/>
    <w:link w:val="95"/>
    <w:qFormat/>
    <w:uiPriority w:val="0"/>
    <w:pPr>
      <w:snapToGrid w:val="0"/>
      <w:jc w:val="left"/>
    </w:pPr>
    <w:rPr>
      <w:rFonts w:ascii="Times New Roman" w:hAnsi="Times New Roman"/>
      <w:szCs w:val="20"/>
    </w:rPr>
  </w:style>
  <w:style w:type="paragraph" w:styleId="24">
    <w:name w:val="Balloon Text"/>
    <w:basedOn w:val="1"/>
    <w:link w:val="105"/>
    <w:qFormat/>
    <w:uiPriority w:val="0"/>
    <w:rPr>
      <w:rFonts w:ascii="Times New Roman" w:hAnsi="Times New Roman"/>
      <w:sz w:val="18"/>
      <w:szCs w:val="18"/>
    </w:rPr>
  </w:style>
  <w:style w:type="paragraph" w:styleId="25">
    <w:name w:val="footer"/>
    <w:basedOn w:val="1"/>
    <w:link w:val="64"/>
    <w:unhideWhenUsed/>
    <w:qFormat/>
    <w:uiPriority w:val="0"/>
    <w:pPr>
      <w:tabs>
        <w:tab w:val="center" w:pos="4153"/>
        <w:tab w:val="right" w:pos="8306"/>
      </w:tabs>
      <w:snapToGrid w:val="0"/>
      <w:jc w:val="left"/>
    </w:pPr>
    <w:rPr>
      <w:sz w:val="18"/>
      <w:szCs w:val="18"/>
    </w:rPr>
  </w:style>
  <w:style w:type="paragraph" w:styleId="26">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10"/>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8"/>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92"/>
    <w:qFormat/>
    <w:uiPriority w:val="0"/>
    <w:rPr>
      <w:rFonts w:ascii="宋体" w:hAnsi="宋体"/>
      <w:szCs w:val="24"/>
      <w:u w:val="single"/>
    </w:rPr>
  </w:style>
  <w:style w:type="paragraph" w:styleId="32">
    <w:name w:val="Normal (Web)"/>
    <w:basedOn w:val="1"/>
    <w:semiHidden/>
    <w:unhideWhenUsed/>
    <w:qFormat/>
    <w:uiPriority w:val="99"/>
    <w:rPr>
      <w:sz w:val="24"/>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8"/>
    <w:next w:val="18"/>
    <w:link w:val="112"/>
    <w:qFormat/>
    <w:uiPriority w:val="0"/>
    <w:rPr>
      <w:b/>
      <w:bCs/>
    </w:rPr>
  </w:style>
  <w:style w:type="table" w:styleId="36">
    <w:name w:val="Table Grid"/>
    <w:basedOn w:val="35"/>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b/>
      <w:bCs/>
    </w:rPr>
  </w:style>
  <w:style w:type="character" w:styleId="39">
    <w:name w:val="endnote reference"/>
    <w:qFormat/>
    <w:uiPriority w:val="0"/>
    <w:rPr>
      <w:vertAlign w:val="superscript"/>
    </w:rPr>
  </w:style>
  <w:style w:type="character" w:styleId="40">
    <w:name w:val="page number"/>
    <w:qFormat/>
    <w:uiPriority w:val="0"/>
    <w:rPr>
      <w:rFonts w:cs="Times New Roman"/>
    </w:rPr>
  </w:style>
  <w:style w:type="character" w:styleId="41">
    <w:name w:val="FollowedHyperlink"/>
    <w:semiHidden/>
    <w:unhideWhenUsed/>
    <w:qFormat/>
    <w:uiPriority w:val="99"/>
    <w:rPr>
      <w:color w:val="954F72"/>
      <w:u w:val="single"/>
    </w:rPr>
  </w:style>
  <w:style w:type="character" w:styleId="42">
    <w:name w:val="HTML Definition"/>
    <w:basedOn w:val="37"/>
    <w:semiHidden/>
    <w:unhideWhenUsed/>
    <w:qFormat/>
    <w:uiPriority w:val="99"/>
    <w:rPr>
      <w:i/>
      <w:iCs/>
    </w:rPr>
  </w:style>
  <w:style w:type="character" w:styleId="43">
    <w:name w:val="Hyperlink"/>
    <w:basedOn w:val="37"/>
    <w:qFormat/>
    <w:uiPriority w:val="99"/>
    <w:rPr>
      <w:rFonts w:ascii="微软雅黑" w:hAnsi="微软雅黑" w:eastAsia="微软雅黑" w:cs="微软雅黑"/>
      <w:color w:val="337AB7"/>
      <w:u w:val="none"/>
    </w:rPr>
  </w:style>
  <w:style w:type="character" w:styleId="44">
    <w:name w:val="HTML Code"/>
    <w:basedOn w:val="37"/>
    <w:semiHidden/>
    <w:unhideWhenUsed/>
    <w:qFormat/>
    <w:uiPriority w:val="99"/>
    <w:rPr>
      <w:rFonts w:ascii="Consolas" w:hAnsi="Consolas" w:eastAsia="Consolas" w:cs="Consolas"/>
      <w:color w:val="C7254E"/>
      <w:sz w:val="21"/>
      <w:szCs w:val="21"/>
      <w:bdr w:val="single" w:color="E1E1E1" w:sz="6" w:space="0"/>
      <w:shd w:val="clear" w:fill="F9F2F4"/>
    </w:rPr>
  </w:style>
  <w:style w:type="character" w:styleId="45">
    <w:name w:val="annotation reference"/>
    <w:qFormat/>
    <w:uiPriority w:val="0"/>
    <w:rPr>
      <w:sz w:val="21"/>
      <w:szCs w:val="21"/>
    </w:rPr>
  </w:style>
  <w:style w:type="character" w:styleId="46">
    <w:name w:val="footnote reference"/>
    <w:qFormat/>
    <w:uiPriority w:val="0"/>
    <w:rPr>
      <w:vertAlign w:val="superscript"/>
    </w:rPr>
  </w:style>
  <w:style w:type="character" w:styleId="47">
    <w:name w:val="HTML Keyboard"/>
    <w:basedOn w:val="37"/>
    <w:semiHidden/>
    <w:unhideWhenUsed/>
    <w:qFormat/>
    <w:uiPriority w:val="99"/>
    <w:rPr>
      <w:rFonts w:hint="default" w:ascii="Consolas" w:hAnsi="Consolas" w:eastAsia="Consolas" w:cs="Consolas"/>
      <w:color w:val="FFFFFF"/>
      <w:sz w:val="21"/>
      <w:szCs w:val="21"/>
      <w:shd w:val="clear" w:fill="333333"/>
    </w:rPr>
  </w:style>
  <w:style w:type="character" w:styleId="48">
    <w:name w:val="HTML Sample"/>
    <w:basedOn w:val="37"/>
    <w:semiHidden/>
    <w:unhideWhenUsed/>
    <w:qFormat/>
    <w:uiPriority w:val="99"/>
    <w:rPr>
      <w:rFonts w:hint="default" w:ascii="Consolas" w:hAnsi="Consolas" w:eastAsia="Consolas" w:cs="Consolas"/>
      <w:color w:val="5292C6"/>
      <w:sz w:val="21"/>
      <w:szCs w:val="21"/>
      <w:u w:val="none"/>
    </w:rPr>
  </w:style>
  <w:style w:type="character" w:customStyle="1" w:styleId="49">
    <w:name w:val="标题 2 Char"/>
    <w:link w:val="7"/>
    <w:qFormat/>
    <w:uiPriority w:val="0"/>
    <w:rPr>
      <w:rFonts w:ascii="Arial" w:hAnsi="Arial" w:eastAsia="宋体" w:cs="Times New Roman"/>
      <w:b/>
      <w:color w:val="000000"/>
      <w:sz w:val="24"/>
      <w:szCs w:val="24"/>
    </w:rPr>
  </w:style>
  <w:style w:type="character" w:customStyle="1" w:styleId="50">
    <w:name w:val="标题 1 Char"/>
    <w:link w:val="3"/>
    <w:qFormat/>
    <w:uiPriority w:val="0"/>
    <w:rPr>
      <w:rFonts w:ascii="Arial" w:hAnsi="Arial" w:eastAsia="宋体"/>
      <w:b/>
      <w:kern w:val="44"/>
      <w:sz w:val="28"/>
      <w:szCs w:val="28"/>
    </w:rPr>
  </w:style>
  <w:style w:type="character" w:customStyle="1" w:styleId="51">
    <w:name w:val="标题 1 字符"/>
    <w:qFormat/>
    <w:uiPriority w:val="9"/>
    <w:rPr>
      <w:rFonts w:ascii="Calibri" w:hAnsi="Calibri" w:eastAsia="宋体" w:cs="Times New Roman"/>
      <w:b/>
      <w:bCs/>
      <w:kern w:val="44"/>
      <w:sz w:val="44"/>
      <w:szCs w:val="44"/>
    </w:rPr>
  </w:style>
  <w:style w:type="character" w:customStyle="1" w:styleId="52">
    <w:name w:val="标题 2 字符"/>
    <w:semiHidden/>
    <w:qFormat/>
    <w:uiPriority w:val="9"/>
    <w:rPr>
      <w:rFonts w:ascii="等线 Light" w:hAnsi="等线 Light" w:eastAsia="等线 Light" w:cs="Times New Roman"/>
      <w:b/>
      <w:bCs/>
      <w:sz w:val="32"/>
      <w:szCs w:val="32"/>
    </w:rPr>
  </w:style>
  <w:style w:type="character" w:customStyle="1" w:styleId="53">
    <w:name w:val="标题 3 字符"/>
    <w:semiHidden/>
    <w:qFormat/>
    <w:uiPriority w:val="9"/>
    <w:rPr>
      <w:rFonts w:ascii="Calibri" w:hAnsi="Calibri" w:eastAsia="宋体" w:cs="Times New Roman"/>
      <w:b/>
      <w:bCs/>
      <w:sz w:val="32"/>
      <w:szCs w:val="32"/>
    </w:rPr>
  </w:style>
  <w:style w:type="character" w:customStyle="1" w:styleId="54">
    <w:name w:val="标题 4 字符"/>
    <w:semiHidden/>
    <w:qFormat/>
    <w:uiPriority w:val="9"/>
    <w:rPr>
      <w:rFonts w:ascii="等线 Light" w:hAnsi="等线 Light" w:eastAsia="等线 Light" w:cs="Times New Roman"/>
      <w:b/>
      <w:bCs/>
      <w:sz w:val="28"/>
      <w:szCs w:val="28"/>
    </w:rPr>
  </w:style>
  <w:style w:type="character" w:customStyle="1" w:styleId="55">
    <w:name w:val="标题 5 字符"/>
    <w:semiHidden/>
    <w:qFormat/>
    <w:uiPriority w:val="9"/>
    <w:rPr>
      <w:rFonts w:ascii="Calibri" w:hAnsi="Calibri" w:eastAsia="宋体" w:cs="Times New Roman"/>
      <w:b/>
      <w:bCs/>
      <w:sz w:val="28"/>
      <w:szCs w:val="28"/>
    </w:rPr>
  </w:style>
  <w:style w:type="character" w:customStyle="1" w:styleId="56">
    <w:name w:val="标题 6 字符"/>
    <w:semiHidden/>
    <w:qFormat/>
    <w:uiPriority w:val="9"/>
    <w:rPr>
      <w:rFonts w:ascii="等线 Light" w:hAnsi="等线 Light" w:eastAsia="等线 Light" w:cs="Times New Roman"/>
      <w:b/>
      <w:bCs/>
      <w:sz w:val="24"/>
      <w:szCs w:val="24"/>
    </w:rPr>
  </w:style>
  <w:style w:type="character" w:customStyle="1" w:styleId="57">
    <w:name w:val="标题 7 字符"/>
    <w:semiHidden/>
    <w:qFormat/>
    <w:uiPriority w:val="9"/>
    <w:rPr>
      <w:rFonts w:ascii="Calibri" w:hAnsi="Calibri" w:eastAsia="宋体" w:cs="Times New Roman"/>
      <w:b/>
      <w:bCs/>
      <w:sz w:val="24"/>
      <w:szCs w:val="24"/>
    </w:rPr>
  </w:style>
  <w:style w:type="character" w:customStyle="1" w:styleId="58">
    <w:name w:val="标题 8 字符"/>
    <w:semiHidden/>
    <w:qFormat/>
    <w:uiPriority w:val="9"/>
    <w:rPr>
      <w:rFonts w:ascii="等线 Light" w:hAnsi="等线 Light" w:eastAsia="等线 Light" w:cs="Times New Roman"/>
      <w:sz w:val="24"/>
      <w:szCs w:val="24"/>
    </w:rPr>
  </w:style>
  <w:style w:type="character" w:customStyle="1" w:styleId="59">
    <w:name w:val="标题 9 字符"/>
    <w:semiHidden/>
    <w:qFormat/>
    <w:uiPriority w:val="9"/>
    <w:rPr>
      <w:rFonts w:ascii="等线 Light" w:hAnsi="等线 Light" w:eastAsia="等线 Light" w:cs="Times New Roman"/>
      <w:szCs w:val="21"/>
    </w:rPr>
  </w:style>
  <w:style w:type="character" w:customStyle="1" w:styleId="60">
    <w:name w:val="标题 3 Char"/>
    <w:link w:val="8"/>
    <w:qFormat/>
    <w:uiPriority w:val="0"/>
    <w:rPr>
      <w:rFonts w:ascii="宋体" w:hAnsi="宋体" w:eastAsia="宋体" w:cs="宋体"/>
      <w:kern w:val="0"/>
      <w:sz w:val="27"/>
      <w:szCs w:val="27"/>
    </w:rPr>
  </w:style>
  <w:style w:type="character" w:customStyle="1" w:styleId="61">
    <w:name w:val="页眉 字符"/>
    <w:semiHidden/>
    <w:qFormat/>
    <w:uiPriority w:val="99"/>
    <w:rPr>
      <w:rFonts w:ascii="Calibri" w:hAnsi="Calibri" w:eastAsia="宋体" w:cs="Times New Roman"/>
      <w:sz w:val="18"/>
      <w:szCs w:val="18"/>
    </w:rPr>
  </w:style>
  <w:style w:type="character" w:customStyle="1" w:styleId="62">
    <w:name w:val="页眉 Char"/>
    <w:link w:val="26"/>
    <w:qFormat/>
    <w:uiPriority w:val="0"/>
    <w:rPr>
      <w:rFonts w:ascii="Calibri" w:hAnsi="Calibri" w:eastAsia="宋体" w:cs="Times New Roman"/>
      <w:sz w:val="18"/>
      <w:szCs w:val="18"/>
    </w:rPr>
  </w:style>
  <w:style w:type="character" w:customStyle="1" w:styleId="63">
    <w:name w:val="页脚 字符"/>
    <w:semiHidden/>
    <w:qFormat/>
    <w:uiPriority w:val="99"/>
    <w:rPr>
      <w:rFonts w:ascii="Calibri" w:hAnsi="Calibri" w:eastAsia="宋体" w:cs="Times New Roman"/>
      <w:sz w:val="18"/>
      <w:szCs w:val="18"/>
    </w:rPr>
  </w:style>
  <w:style w:type="character" w:customStyle="1" w:styleId="64">
    <w:name w:val="页脚 Char"/>
    <w:link w:val="25"/>
    <w:qFormat/>
    <w:uiPriority w:val="0"/>
    <w:rPr>
      <w:rFonts w:ascii="Calibri" w:hAnsi="Calibri" w:eastAsia="宋体" w:cs="Times New Roman"/>
      <w:sz w:val="18"/>
      <w:szCs w:val="18"/>
    </w:rPr>
  </w:style>
  <w:style w:type="character" w:customStyle="1" w:styleId="65">
    <w:name w:val="标题 4 Char"/>
    <w:link w:val="9"/>
    <w:qFormat/>
    <w:uiPriority w:val="0"/>
    <w:rPr>
      <w:rFonts w:ascii="Arial" w:hAnsi="Arial" w:eastAsia="宋体" w:cs="Times New Roman"/>
      <w:color w:val="000000"/>
      <w:szCs w:val="21"/>
    </w:rPr>
  </w:style>
  <w:style w:type="character" w:customStyle="1" w:styleId="66">
    <w:name w:val="标题 5 Char"/>
    <w:link w:val="11"/>
    <w:qFormat/>
    <w:uiPriority w:val="0"/>
    <w:rPr>
      <w:rFonts w:ascii="Arial" w:hAnsi="Arial" w:eastAsia="宋体" w:cs="Times New Roman"/>
      <w:color w:val="000000"/>
      <w:szCs w:val="21"/>
    </w:rPr>
  </w:style>
  <w:style w:type="character" w:customStyle="1" w:styleId="67">
    <w:name w:val="标题 6 Char"/>
    <w:link w:val="12"/>
    <w:qFormat/>
    <w:uiPriority w:val="0"/>
    <w:rPr>
      <w:rFonts w:ascii="Arial" w:hAnsi="Arial" w:eastAsia="黑体" w:cs="Times New Roman"/>
      <w:b/>
      <w:bCs/>
      <w:sz w:val="24"/>
      <w:szCs w:val="24"/>
    </w:rPr>
  </w:style>
  <w:style w:type="character" w:customStyle="1" w:styleId="68">
    <w:name w:val="标题 7 Char"/>
    <w:link w:val="13"/>
    <w:qFormat/>
    <w:uiPriority w:val="0"/>
    <w:rPr>
      <w:rFonts w:ascii="Times New Roman" w:hAnsi="Times New Roman" w:eastAsia="宋体" w:cs="Times New Roman"/>
      <w:b/>
      <w:sz w:val="24"/>
      <w:szCs w:val="20"/>
    </w:rPr>
  </w:style>
  <w:style w:type="character" w:customStyle="1" w:styleId="69">
    <w:name w:val="标题 8 Char"/>
    <w:link w:val="14"/>
    <w:qFormat/>
    <w:uiPriority w:val="0"/>
    <w:rPr>
      <w:rFonts w:ascii="Arial" w:hAnsi="Arial" w:eastAsia="黑体" w:cs="Times New Roman"/>
      <w:sz w:val="24"/>
      <w:szCs w:val="20"/>
    </w:rPr>
  </w:style>
  <w:style w:type="character" w:customStyle="1" w:styleId="70">
    <w:name w:val="标题 9 Char"/>
    <w:link w:val="15"/>
    <w:qFormat/>
    <w:uiPriority w:val="0"/>
    <w:rPr>
      <w:rFonts w:ascii="Arial" w:hAnsi="Arial" w:eastAsia="黑体" w:cs="Times New Roman"/>
      <w:szCs w:val="20"/>
    </w:rPr>
  </w:style>
  <w:style w:type="character" w:customStyle="1" w:styleId="71">
    <w:name w:val="标题 字符"/>
    <w:qFormat/>
    <w:uiPriority w:val="10"/>
    <w:rPr>
      <w:rFonts w:ascii="等线 Light" w:hAnsi="等线 Light" w:eastAsia="等线 Light" w:cs="Times New Roman"/>
      <w:b/>
      <w:bCs/>
      <w:sz w:val="32"/>
      <w:szCs w:val="32"/>
    </w:rPr>
  </w:style>
  <w:style w:type="character" w:customStyle="1" w:styleId="72">
    <w:name w:val="标题 Char"/>
    <w:link w:val="4"/>
    <w:qFormat/>
    <w:uiPriority w:val="0"/>
    <w:rPr>
      <w:rFonts w:ascii="Arial" w:hAnsi="Arial" w:eastAsia="宋体" w:cs="Times New Roman"/>
      <w:b/>
      <w:sz w:val="44"/>
      <w:szCs w:val="20"/>
    </w:rPr>
  </w:style>
  <w:style w:type="character" w:customStyle="1" w:styleId="73">
    <w:name w:val="正文文本 字符"/>
    <w:semiHidden/>
    <w:qFormat/>
    <w:uiPriority w:val="99"/>
    <w:rPr>
      <w:rFonts w:ascii="Calibri" w:hAnsi="Calibri" w:eastAsia="宋体" w:cs="Times New Roman"/>
    </w:rPr>
  </w:style>
  <w:style w:type="character" w:customStyle="1" w:styleId="74">
    <w:name w:val="正文文本 Char"/>
    <w:link w:val="6"/>
    <w:qFormat/>
    <w:uiPriority w:val="0"/>
    <w:rPr>
      <w:rFonts w:ascii="Times New Roman" w:hAnsi="Times New Roman" w:eastAsia="宋体" w:cs="Times New Roman"/>
      <w:szCs w:val="20"/>
    </w:rPr>
  </w:style>
  <w:style w:type="character" w:customStyle="1" w:styleId="75">
    <w:name w:val="正文首行缩进 字符"/>
    <w:basedOn w:val="73"/>
    <w:semiHidden/>
    <w:qFormat/>
    <w:uiPriority w:val="99"/>
    <w:rPr>
      <w:rFonts w:ascii="Calibri" w:hAnsi="Calibri" w:eastAsia="宋体" w:cs="Times New Roman"/>
    </w:rPr>
  </w:style>
  <w:style w:type="character" w:customStyle="1" w:styleId="76">
    <w:name w:val="正文首行缩进 Char"/>
    <w:link w:val="5"/>
    <w:qFormat/>
    <w:uiPriority w:val="0"/>
  </w:style>
  <w:style w:type="character" w:customStyle="1" w:styleId="77">
    <w:name w:val="日期 字符"/>
    <w:semiHidden/>
    <w:qFormat/>
    <w:uiPriority w:val="99"/>
    <w:rPr>
      <w:rFonts w:ascii="Calibri" w:hAnsi="Calibri" w:eastAsia="宋体" w:cs="Times New Roman"/>
    </w:rPr>
  </w:style>
  <w:style w:type="character" w:customStyle="1" w:styleId="78">
    <w:name w:val="日期 Char"/>
    <w:link w:val="21"/>
    <w:qFormat/>
    <w:uiPriority w:val="0"/>
    <w:rPr>
      <w:rFonts w:ascii="Times New Roman" w:hAnsi="Times New Roman" w:eastAsia="宋体" w:cs="Times New Roman"/>
      <w:szCs w:val="20"/>
    </w:rPr>
  </w:style>
  <w:style w:type="character" w:customStyle="1" w:styleId="79">
    <w:name w:val="正文文本缩进 字符"/>
    <w:semiHidden/>
    <w:qFormat/>
    <w:uiPriority w:val="99"/>
    <w:rPr>
      <w:rFonts w:ascii="Calibri" w:hAnsi="Calibri" w:eastAsia="宋体" w:cs="Times New Roman"/>
    </w:rPr>
  </w:style>
  <w:style w:type="character" w:customStyle="1" w:styleId="80">
    <w:name w:val="正文文本缩进 Char"/>
    <w:link w:val="19"/>
    <w:qFormat/>
    <w:uiPriority w:val="0"/>
    <w:rPr>
      <w:rFonts w:ascii="Times New Roman" w:hAnsi="Times New Roman" w:eastAsia="宋体" w:cs="Times New Roman"/>
      <w:sz w:val="28"/>
      <w:szCs w:val="20"/>
    </w:rPr>
  </w:style>
  <w:style w:type="character" w:customStyle="1" w:styleId="81">
    <w:name w:val="文档结构图 字符"/>
    <w:semiHidden/>
    <w:qFormat/>
    <w:uiPriority w:val="99"/>
    <w:rPr>
      <w:rFonts w:ascii="Microsoft YaHei UI" w:hAnsi="Calibri" w:eastAsia="Microsoft YaHei UI" w:cs="Times New Roman"/>
      <w:sz w:val="18"/>
      <w:szCs w:val="18"/>
    </w:rPr>
  </w:style>
  <w:style w:type="character" w:customStyle="1" w:styleId="82">
    <w:name w:val="文档结构图 Char"/>
    <w:link w:val="17"/>
    <w:qFormat/>
    <w:uiPriority w:val="0"/>
    <w:rPr>
      <w:rFonts w:ascii="Times New Roman" w:hAnsi="Times New Roman" w:eastAsia="宋体" w:cs="Times New Roman"/>
      <w:szCs w:val="20"/>
      <w:shd w:val="clear" w:color="auto" w:fill="000080"/>
    </w:rPr>
  </w:style>
  <w:style w:type="character" w:customStyle="1" w:styleId="83">
    <w:name w:val="纯文本 字符"/>
    <w:semiHidden/>
    <w:qFormat/>
    <w:uiPriority w:val="99"/>
    <w:rPr>
      <w:rFonts w:ascii="等线" w:hAnsi="Courier New" w:cs="Courier New"/>
    </w:rPr>
  </w:style>
  <w:style w:type="character" w:customStyle="1" w:styleId="84">
    <w:name w:val="纯文本 Char"/>
    <w:link w:val="2"/>
    <w:qFormat/>
    <w:uiPriority w:val="0"/>
    <w:rPr>
      <w:rFonts w:ascii="宋体" w:hAnsi="Courier New" w:eastAsia="宋体" w:cs="Times New Roman"/>
      <w:szCs w:val="20"/>
    </w:rPr>
  </w:style>
  <w:style w:type="character" w:customStyle="1" w:styleId="85">
    <w:name w:val="正文文本缩进 2 字符"/>
    <w:semiHidden/>
    <w:qFormat/>
    <w:uiPriority w:val="99"/>
    <w:rPr>
      <w:rFonts w:ascii="Calibri" w:hAnsi="Calibri" w:eastAsia="宋体" w:cs="Times New Roman"/>
    </w:rPr>
  </w:style>
  <w:style w:type="character" w:customStyle="1" w:styleId="86">
    <w:name w:val="正文文本缩进 2 Char"/>
    <w:link w:val="22"/>
    <w:qFormat/>
    <w:uiPriority w:val="0"/>
    <w:rPr>
      <w:rFonts w:ascii="Times New Roman" w:hAnsi="Times New Roman" w:eastAsia="宋体" w:cs="Times New Roman"/>
      <w:color w:val="000000"/>
      <w:sz w:val="24"/>
      <w:szCs w:val="20"/>
    </w:rPr>
  </w:style>
  <w:style w:type="character" w:customStyle="1" w:styleId="87">
    <w:name w:val="正文文本缩进 3 字符"/>
    <w:semiHidden/>
    <w:qFormat/>
    <w:uiPriority w:val="99"/>
    <w:rPr>
      <w:rFonts w:ascii="Calibri" w:hAnsi="Calibri" w:eastAsia="宋体" w:cs="Times New Roman"/>
      <w:sz w:val="16"/>
      <w:szCs w:val="16"/>
    </w:rPr>
  </w:style>
  <w:style w:type="character" w:customStyle="1" w:styleId="88">
    <w:name w:val="正文文本缩进 3 Char"/>
    <w:link w:val="29"/>
    <w:qFormat/>
    <w:uiPriority w:val="0"/>
    <w:rPr>
      <w:rFonts w:ascii="Times New Roman" w:hAnsi="Times New Roman" w:eastAsia="宋体" w:cs="Times New Roman"/>
      <w:color w:val="000000"/>
      <w:sz w:val="24"/>
      <w:szCs w:val="20"/>
    </w:rPr>
  </w:style>
  <w:style w:type="paragraph" w:customStyle="1" w:styleId="89">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0">
    <w:name w:val="_Style 69"/>
    <w:qFormat/>
    <w:uiPriority w:val="0"/>
    <w:rPr>
      <w:rFonts w:ascii="等线" w:hAnsi="等线" w:eastAsia="等线" w:cs="Times New Roman"/>
      <w:lang w:val="en-US" w:eastAsia="zh-CN" w:bidi="ar-SA"/>
    </w:rPr>
  </w:style>
  <w:style w:type="character" w:customStyle="1" w:styleId="91">
    <w:name w:val="正文文本 2 字符"/>
    <w:semiHidden/>
    <w:qFormat/>
    <w:uiPriority w:val="99"/>
    <w:rPr>
      <w:rFonts w:ascii="Calibri" w:hAnsi="Calibri" w:eastAsia="宋体" w:cs="Times New Roman"/>
    </w:rPr>
  </w:style>
  <w:style w:type="character" w:customStyle="1" w:styleId="92">
    <w:name w:val="正文文本 2 Char"/>
    <w:link w:val="31"/>
    <w:qFormat/>
    <w:uiPriority w:val="0"/>
    <w:rPr>
      <w:rFonts w:ascii="宋体" w:hAnsi="宋体" w:eastAsia="宋体" w:cs="Times New Roman"/>
      <w:szCs w:val="24"/>
      <w:u w:val="single"/>
    </w:rPr>
  </w:style>
  <w:style w:type="paragraph" w:customStyle="1" w:styleId="93">
    <w:name w:val="表头"/>
    <w:basedOn w:val="1"/>
    <w:qFormat/>
    <w:uiPriority w:val="0"/>
    <w:pPr>
      <w:spacing w:line="360" w:lineRule="auto"/>
      <w:jc w:val="center"/>
    </w:pPr>
    <w:rPr>
      <w:rFonts w:ascii="黑体" w:hAnsi="Times New Roman" w:eastAsia="黑体"/>
      <w:kern w:val="0"/>
      <w:sz w:val="24"/>
      <w:szCs w:val="20"/>
    </w:rPr>
  </w:style>
  <w:style w:type="character" w:customStyle="1" w:styleId="94">
    <w:name w:val="尾注文本 字符"/>
    <w:semiHidden/>
    <w:qFormat/>
    <w:uiPriority w:val="99"/>
    <w:rPr>
      <w:rFonts w:ascii="Calibri" w:hAnsi="Calibri" w:eastAsia="宋体" w:cs="Times New Roman"/>
    </w:rPr>
  </w:style>
  <w:style w:type="character" w:customStyle="1" w:styleId="95">
    <w:name w:val="尾注文本 Char"/>
    <w:link w:val="23"/>
    <w:qFormat/>
    <w:uiPriority w:val="0"/>
    <w:rPr>
      <w:rFonts w:ascii="Times New Roman" w:hAnsi="Times New Roman" w:eastAsia="宋体" w:cs="Times New Roman"/>
      <w:szCs w:val="20"/>
    </w:rPr>
  </w:style>
  <w:style w:type="paragraph" w:customStyle="1" w:styleId="96">
    <w:name w:val="Char"/>
    <w:basedOn w:val="1"/>
    <w:qFormat/>
    <w:uiPriority w:val="0"/>
    <w:rPr>
      <w:rFonts w:ascii="Tahoma" w:hAnsi="Tahoma"/>
      <w:sz w:val="24"/>
      <w:szCs w:val="20"/>
    </w:rPr>
  </w:style>
  <w:style w:type="paragraph" w:customStyle="1" w:styleId="97">
    <w:name w:val="Char1"/>
    <w:basedOn w:val="1"/>
    <w:qFormat/>
    <w:uiPriority w:val="0"/>
    <w:pPr>
      <w:numPr>
        <w:ilvl w:val="0"/>
        <w:numId w:val="1"/>
      </w:numPr>
    </w:pPr>
    <w:rPr>
      <w:rFonts w:ascii="Times New Roman" w:hAnsi="Times New Roman"/>
      <w:sz w:val="24"/>
      <w:szCs w:val="24"/>
    </w:rPr>
  </w:style>
  <w:style w:type="paragraph" w:customStyle="1" w:styleId="98">
    <w:name w:val="公文抬头"/>
    <w:basedOn w:val="10"/>
    <w:qFormat/>
    <w:uiPriority w:val="0"/>
    <w:pPr>
      <w:ind w:firstLine="0"/>
    </w:pPr>
    <w:rPr>
      <w:rFonts w:ascii="仿宋_GB2312" w:eastAsia="仿宋_GB2312"/>
      <w:sz w:val="30"/>
      <w:szCs w:val="24"/>
    </w:rPr>
  </w:style>
  <w:style w:type="paragraph" w:customStyle="1" w:styleId="99">
    <w:name w:val="Char Char Char1 Char"/>
    <w:basedOn w:val="17"/>
    <w:qFormat/>
    <w:uiPriority w:val="0"/>
    <w:rPr>
      <w:rFonts w:ascii="Tahoma" w:hAnsi="Tahoma"/>
      <w:sz w:val="24"/>
      <w:szCs w:val="24"/>
    </w:rPr>
  </w:style>
  <w:style w:type="paragraph" w:customStyle="1" w:styleId="10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1">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02">
    <w:name w:val="发文落款"/>
    <w:basedOn w:val="100"/>
    <w:qFormat/>
    <w:uiPriority w:val="0"/>
    <w:pPr>
      <w:ind w:left="4094" w:right="607" w:firstLine="0"/>
      <w:jc w:val="center"/>
    </w:pPr>
  </w:style>
  <w:style w:type="paragraph" w:customStyle="1" w:styleId="103">
    <w:name w:val="Char Char Char Char"/>
    <w:basedOn w:val="1"/>
    <w:qFormat/>
    <w:uiPriority w:val="0"/>
    <w:rPr>
      <w:rFonts w:ascii="Times New Roman" w:hAnsi="Times New Roman"/>
      <w:sz w:val="30"/>
      <w:szCs w:val="24"/>
    </w:rPr>
  </w:style>
  <w:style w:type="character" w:customStyle="1" w:styleId="104">
    <w:name w:val="批注框文本 字符"/>
    <w:semiHidden/>
    <w:qFormat/>
    <w:uiPriority w:val="99"/>
    <w:rPr>
      <w:rFonts w:ascii="Calibri" w:hAnsi="Calibri" w:eastAsia="宋体" w:cs="Times New Roman"/>
      <w:sz w:val="18"/>
      <w:szCs w:val="18"/>
    </w:rPr>
  </w:style>
  <w:style w:type="character" w:customStyle="1" w:styleId="105">
    <w:name w:val="批注框文本 Char"/>
    <w:link w:val="24"/>
    <w:qFormat/>
    <w:uiPriority w:val="0"/>
    <w:rPr>
      <w:rFonts w:ascii="Times New Roman" w:hAnsi="Times New Roman" w:eastAsia="宋体" w:cs="Times New Roman"/>
      <w:sz w:val="18"/>
      <w:szCs w:val="18"/>
    </w:rPr>
  </w:style>
  <w:style w:type="paragraph" w:customStyle="1" w:styleId="106">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7">
    <w:name w:val="批注文字 字符"/>
    <w:semiHidden/>
    <w:qFormat/>
    <w:uiPriority w:val="99"/>
    <w:rPr>
      <w:rFonts w:ascii="Calibri" w:hAnsi="Calibri" w:eastAsia="宋体" w:cs="Times New Roman"/>
    </w:rPr>
  </w:style>
  <w:style w:type="character" w:customStyle="1" w:styleId="108">
    <w:name w:val="批注文字 Char"/>
    <w:link w:val="18"/>
    <w:qFormat/>
    <w:uiPriority w:val="0"/>
    <w:rPr>
      <w:rFonts w:ascii="宋体" w:hAnsi="宋体" w:eastAsia="宋体" w:cs="Times New Roman"/>
      <w:sz w:val="24"/>
      <w:szCs w:val="24"/>
    </w:rPr>
  </w:style>
  <w:style w:type="character" w:customStyle="1" w:styleId="109">
    <w:name w:val="脚注文本 字符"/>
    <w:semiHidden/>
    <w:qFormat/>
    <w:uiPriority w:val="99"/>
    <w:rPr>
      <w:rFonts w:ascii="Calibri" w:hAnsi="Calibri" w:eastAsia="宋体" w:cs="Times New Roman"/>
      <w:sz w:val="18"/>
      <w:szCs w:val="18"/>
    </w:rPr>
  </w:style>
  <w:style w:type="character" w:customStyle="1" w:styleId="110">
    <w:name w:val="脚注文本 Char"/>
    <w:link w:val="28"/>
    <w:qFormat/>
    <w:uiPriority w:val="0"/>
    <w:rPr>
      <w:rFonts w:ascii="宋体" w:hAnsi="宋体" w:eastAsia="宋体" w:cs="Times New Roman"/>
      <w:sz w:val="18"/>
      <w:szCs w:val="18"/>
    </w:rPr>
  </w:style>
  <w:style w:type="character" w:customStyle="1" w:styleId="111">
    <w:name w:val="批注主题 字符"/>
    <w:semiHidden/>
    <w:qFormat/>
    <w:uiPriority w:val="99"/>
    <w:rPr>
      <w:rFonts w:ascii="Calibri" w:hAnsi="Calibri" w:eastAsia="宋体" w:cs="Times New Roman"/>
      <w:b/>
      <w:bCs/>
    </w:rPr>
  </w:style>
  <w:style w:type="character" w:customStyle="1" w:styleId="112">
    <w:name w:val="批注主题 Char"/>
    <w:link w:val="34"/>
    <w:qFormat/>
    <w:uiPriority w:val="0"/>
    <w:rPr>
      <w:rFonts w:ascii="宋体" w:hAnsi="宋体" w:eastAsia="宋体" w:cs="Times New Roman"/>
      <w:b/>
      <w:bCs/>
      <w:sz w:val="24"/>
      <w:szCs w:val="24"/>
    </w:rPr>
  </w:style>
  <w:style w:type="paragraph" w:styleId="113">
    <w:name w:val="List Paragraph"/>
    <w:basedOn w:val="1"/>
    <w:qFormat/>
    <w:uiPriority w:val="34"/>
    <w:pPr>
      <w:ind w:firstLine="420" w:firstLineChars="200"/>
    </w:pPr>
    <w:rPr>
      <w:rFonts w:ascii="Times New Roman" w:hAnsi="Times New Roman"/>
      <w:szCs w:val="20"/>
    </w:rPr>
  </w:style>
  <w:style w:type="paragraph" w:customStyle="1" w:styleId="114">
    <w:name w:val="修订1"/>
    <w:hidden/>
    <w:semiHidden/>
    <w:qFormat/>
    <w:uiPriority w:val="99"/>
    <w:rPr>
      <w:rFonts w:ascii="Times New Roman" w:hAnsi="Times New Roman" w:eastAsia="宋体" w:cs="Times New Roman"/>
      <w:kern w:val="2"/>
      <w:sz w:val="21"/>
      <w:lang w:val="en-US" w:eastAsia="zh-CN" w:bidi="ar-SA"/>
    </w:rPr>
  </w:style>
  <w:style w:type="character" w:customStyle="1" w:styleId="115">
    <w:name w:val="username"/>
    <w:basedOn w:val="37"/>
    <w:qFormat/>
    <w:uiPriority w:val="0"/>
  </w:style>
  <w:style w:type="character" w:customStyle="1" w:styleId="116">
    <w:name w:val="title24"/>
    <w:basedOn w:val="3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14</Pages>
  <Words>8167</Words>
  <Characters>8557</Characters>
  <Lines>51</Lines>
  <Paragraphs>14</Paragraphs>
  <TotalTime>1</TotalTime>
  <ScaleCrop>false</ScaleCrop>
  <LinksUpToDate>false</LinksUpToDate>
  <CharactersWithSpaces>8700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2019-10-12T07:40:00Z</dcterms:created>
  <dc:creator>管理员</dc:creator>
  <cp:lastModifiedBy>WPS用户</cp:lastModifiedBy>
  <dcterms:modified xsi:type="dcterms:W3CDTF">2025-09-30T07:08:45Z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DA531C17699148FDB43E431B7943A73B_13</vt:lpwstr>
  </property>
  <property fmtid="{D5CDD505-2E9C-101B-9397-08002B2CF9AE}" pid="4" name="KSOTemplateDocerSaveRecord">
    <vt:lpwstr>eyJoZGlkIjoiOTVlN2U3ODZlM2VhMDNlMjdhMzNmMDYzN2Q0NzA5OGYiLCJ1c2VySWQiOiI1NzA1MDI0MDUifQ==</vt:lpwstr>
  </property>
</Properties>
</file>