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2D442">
      <w:pPr>
        <w:widowControl/>
        <w:snapToGrid w:val="0"/>
        <w:spacing w:line="480" w:lineRule="auto"/>
        <w:ind w:right="102"/>
        <w:jc w:val="left"/>
        <w:rPr>
          <w:rFonts w:ascii="宋体" w:hAnsi="宋体"/>
          <w:color w:val="auto"/>
          <w:szCs w:val="21"/>
          <w:highlight w:val="none"/>
        </w:rPr>
      </w:pPr>
    </w:p>
    <w:p w14:paraId="727D56F0">
      <w:pPr>
        <w:spacing w:line="360" w:lineRule="auto"/>
        <w:ind w:left="359" w:leftChars="171"/>
        <w:jc w:val="left"/>
        <w:rPr>
          <w:rFonts w:ascii="宋体"/>
          <w:b/>
          <w:bCs/>
          <w:color w:val="auto"/>
          <w:spacing w:val="40"/>
          <w:sz w:val="44"/>
          <w:szCs w:val="44"/>
          <w:highlight w:val="none"/>
        </w:rPr>
      </w:pPr>
    </w:p>
    <w:p w14:paraId="4BD1A0D2">
      <w:pPr>
        <w:spacing w:line="360" w:lineRule="auto"/>
        <w:rPr>
          <w:rFonts w:ascii="宋体"/>
          <w:b/>
          <w:bCs/>
          <w:color w:val="auto"/>
          <w:spacing w:val="40"/>
          <w:sz w:val="44"/>
          <w:szCs w:val="44"/>
          <w:highlight w:val="none"/>
        </w:rPr>
      </w:pPr>
    </w:p>
    <w:p w14:paraId="63A553CB">
      <w:pPr>
        <w:adjustRightInd w:val="0"/>
        <w:snapToGrid w:val="0"/>
        <w:jc w:val="center"/>
        <w:rPr>
          <w:rFonts w:hint="eastAsia" w:ascii="宋体" w:hAnsi="宋体" w:eastAsia="宋体"/>
          <w:b/>
          <w:color w:val="auto"/>
          <w:sz w:val="72"/>
          <w:szCs w:val="72"/>
          <w:highlight w:val="none"/>
          <w:lang w:eastAsia="zh-CN"/>
        </w:rPr>
      </w:pPr>
      <w:r>
        <w:rPr>
          <w:rFonts w:hint="eastAsia" w:ascii="宋体" w:hAnsi="宋体"/>
          <w:b/>
          <w:color w:val="auto"/>
          <w:sz w:val="72"/>
          <w:szCs w:val="72"/>
          <w:highlight w:val="none"/>
          <w:lang w:eastAsia="zh-CN"/>
        </w:rPr>
        <w:t>文冲项目石化厂区6KV配电设施迁改工程施工</w:t>
      </w:r>
    </w:p>
    <w:p w14:paraId="5B1A53E8">
      <w:pPr>
        <w:spacing w:line="360" w:lineRule="auto"/>
        <w:jc w:val="center"/>
        <w:rPr>
          <w:color w:val="auto"/>
          <w:sz w:val="36"/>
          <w:highlight w:val="none"/>
          <w:u w:val="single"/>
        </w:rPr>
      </w:pPr>
    </w:p>
    <w:p w14:paraId="185781F3">
      <w:pPr>
        <w:pStyle w:val="9"/>
        <w:rPr>
          <w:color w:val="auto"/>
          <w:sz w:val="36"/>
          <w:highlight w:val="none"/>
          <w:u w:val="single"/>
        </w:rPr>
      </w:pPr>
    </w:p>
    <w:p w14:paraId="3B95E775">
      <w:pPr>
        <w:pStyle w:val="9"/>
        <w:rPr>
          <w:color w:val="auto"/>
          <w:sz w:val="36"/>
          <w:highlight w:val="none"/>
          <w:u w:val="single"/>
        </w:rPr>
      </w:pPr>
    </w:p>
    <w:p w14:paraId="316C8089">
      <w:pPr>
        <w:pStyle w:val="9"/>
        <w:rPr>
          <w:color w:val="auto"/>
          <w:sz w:val="36"/>
          <w:highlight w:val="none"/>
          <w:u w:val="single"/>
        </w:rPr>
      </w:pPr>
    </w:p>
    <w:p w14:paraId="0AEBFC95">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14:paraId="18461F94">
      <w:pPr>
        <w:spacing w:line="360" w:lineRule="auto"/>
        <w:jc w:val="center"/>
        <w:rPr>
          <w:color w:val="auto"/>
          <w:sz w:val="32"/>
          <w:highlight w:val="none"/>
        </w:rPr>
      </w:pPr>
      <w:bookmarkStart w:id="42" w:name="_GoBack"/>
      <w:bookmarkEnd w:id="42"/>
    </w:p>
    <w:p w14:paraId="5E61E8F6">
      <w:pPr>
        <w:spacing w:line="360" w:lineRule="auto"/>
        <w:ind w:firstLine="2560" w:firstLineChars="800"/>
        <w:rPr>
          <w:color w:val="auto"/>
          <w:sz w:val="32"/>
          <w:highlight w:val="none"/>
        </w:rPr>
      </w:pPr>
    </w:p>
    <w:p w14:paraId="51B9F254">
      <w:pPr>
        <w:spacing w:line="360" w:lineRule="auto"/>
        <w:rPr>
          <w:color w:val="auto"/>
          <w:sz w:val="52"/>
          <w:highlight w:val="none"/>
        </w:rPr>
      </w:pPr>
    </w:p>
    <w:p w14:paraId="451B0917">
      <w:pPr>
        <w:spacing w:line="360" w:lineRule="auto"/>
        <w:rPr>
          <w:color w:val="auto"/>
          <w:sz w:val="52"/>
          <w:highlight w:val="none"/>
        </w:rPr>
      </w:pPr>
    </w:p>
    <w:p w14:paraId="76E004BE">
      <w:pPr>
        <w:spacing w:line="360" w:lineRule="auto"/>
        <w:ind w:firstLine="1205" w:firstLineChars="400"/>
        <w:rPr>
          <w:rFonts w:hint="eastAsia" w:eastAsia="宋体"/>
          <w:b/>
          <w:bCs/>
          <w:color w:val="auto"/>
          <w:sz w:val="30"/>
          <w:szCs w:val="30"/>
          <w:highlight w:val="none"/>
          <w:u w:val="single"/>
          <w:lang w:eastAsia="zh-CN"/>
        </w:rPr>
      </w:pPr>
      <w:r>
        <w:rPr>
          <w:rFonts w:hint="eastAsia"/>
          <w:b/>
          <w:bCs/>
          <w:color w:val="auto"/>
          <w:sz w:val="30"/>
          <w:szCs w:val="30"/>
          <w:highlight w:val="none"/>
        </w:rPr>
        <w:t>招标单位：</w:t>
      </w:r>
      <w:r>
        <w:rPr>
          <w:rFonts w:hint="eastAsia"/>
          <w:b/>
          <w:bCs/>
          <w:color w:val="auto"/>
          <w:sz w:val="30"/>
          <w:szCs w:val="30"/>
          <w:highlight w:val="none"/>
          <w:u w:val="single"/>
          <w:lang w:eastAsia="zh-CN"/>
        </w:rPr>
        <w:t>广州黄埔文冲东片投资有限公司</w:t>
      </w:r>
    </w:p>
    <w:p w14:paraId="4E57359E">
      <w:pPr>
        <w:spacing w:line="360" w:lineRule="auto"/>
        <w:ind w:firstLine="1205" w:firstLineChars="400"/>
        <w:rPr>
          <w:rFonts w:hint="eastAsia" w:eastAsia="宋体"/>
          <w:b/>
          <w:bCs/>
          <w:color w:val="auto"/>
          <w:sz w:val="30"/>
          <w:szCs w:val="30"/>
          <w:highlight w:val="none"/>
          <w:u w:val="single"/>
          <w:lang w:eastAsia="zh-CN"/>
        </w:rPr>
      </w:pPr>
      <w:r>
        <w:rPr>
          <w:rFonts w:hint="eastAsia"/>
          <w:b/>
          <w:bCs/>
          <w:color w:val="auto"/>
          <w:sz w:val="30"/>
          <w:szCs w:val="30"/>
          <w:highlight w:val="none"/>
        </w:rPr>
        <w:t>招标代理单位：</w:t>
      </w:r>
      <w:r>
        <w:rPr>
          <w:rFonts w:hint="eastAsia"/>
          <w:b/>
          <w:bCs/>
          <w:color w:val="auto"/>
          <w:sz w:val="30"/>
          <w:szCs w:val="30"/>
          <w:highlight w:val="none"/>
          <w:u w:val="single"/>
          <w:lang w:eastAsia="zh-CN"/>
        </w:rPr>
        <w:t>广州市南粤工程建设监理有限公司</w:t>
      </w:r>
    </w:p>
    <w:p w14:paraId="0E5B5886">
      <w:pPr>
        <w:spacing w:line="360" w:lineRule="auto"/>
        <w:ind w:firstLine="1285" w:firstLineChars="400"/>
        <w:rPr>
          <w:color w:val="auto"/>
          <w:sz w:val="32"/>
          <w:highlight w:val="none"/>
        </w:rPr>
      </w:pPr>
      <w:r>
        <w:rPr>
          <w:rFonts w:hint="eastAsia"/>
          <w:b/>
          <w:bCs/>
          <w:color w:val="auto"/>
          <w:sz w:val="32"/>
          <w:highlight w:val="none"/>
        </w:rPr>
        <w:t>日期：</w:t>
      </w:r>
      <w:r>
        <w:rPr>
          <w:rFonts w:hint="eastAsia" w:ascii="宋体" w:hAnsi="宋体" w:cs="宋体"/>
          <w:b/>
          <w:bCs/>
          <w:color w:val="auto"/>
          <w:sz w:val="30"/>
          <w:szCs w:val="30"/>
          <w:highlight w:val="none"/>
          <w:u w:val="single"/>
        </w:rPr>
        <w:t>202</w:t>
      </w:r>
      <w:r>
        <w:rPr>
          <w:rFonts w:hint="eastAsia" w:ascii="宋体" w:hAnsi="宋体" w:cs="宋体"/>
          <w:b/>
          <w:bCs/>
          <w:color w:val="auto"/>
          <w:sz w:val="30"/>
          <w:szCs w:val="30"/>
          <w:highlight w:val="none"/>
          <w:u w:val="single"/>
          <w:lang w:val="en-US" w:eastAsia="zh-CN"/>
        </w:rPr>
        <w:t>5</w:t>
      </w:r>
      <w:r>
        <w:rPr>
          <w:rFonts w:hint="eastAsia" w:ascii="宋体" w:hAnsi="宋体" w:cs="宋体"/>
          <w:b/>
          <w:bCs/>
          <w:color w:val="auto"/>
          <w:sz w:val="30"/>
          <w:szCs w:val="30"/>
          <w:highlight w:val="none"/>
          <w:u w:val="single"/>
        </w:rPr>
        <w:t>年</w:t>
      </w:r>
      <w:r>
        <w:rPr>
          <w:rFonts w:hint="eastAsia" w:ascii="宋体" w:hAnsi="宋体" w:cs="宋体"/>
          <w:b/>
          <w:bCs/>
          <w:color w:val="auto"/>
          <w:sz w:val="30"/>
          <w:szCs w:val="30"/>
          <w:highlight w:val="none"/>
          <w:u w:val="single"/>
          <w:lang w:val="en-US" w:eastAsia="zh-CN"/>
        </w:rPr>
        <w:t>9</w:t>
      </w:r>
      <w:r>
        <w:rPr>
          <w:rFonts w:hint="eastAsia" w:ascii="宋体" w:hAnsi="宋体" w:cs="宋体"/>
          <w:b/>
          <w:bCs/>
          <w:color w:val="auto"/>
          <w:sz w:val="30"/>
          <w:szCs w:val="30"/>
          <w:highlight w:val="none"/>
          <w:u w:val="single"/>
        </w:rPr>
        <w:t>月</w:t>
      </w:r>
    </w:p>
    <w:p w14:paraId="35A752D4">
      <w:pPr>
        <w:jc w:val="center"/>
        <w:rPr>
          <w:rStyle w:val="41"/>
          <w:b/>
          <w:bCs/>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pgNumType w:fmt="decimal"/>
          <w:cols w:space="425" w:num="1"/>
          <w:titlePg/>
          <w:docGrid w:type="lines" w:linePitch="312" w:charSpace="0"/>
        </w:sectPr>
      </w:pPr>
    </w:p>
    <w:p w14:paraId="264EDA02">
      <w:pPr>
        <w:jc w:val="center"/>
        <w:rPr>
          <w:rFonts w:ascii="宋体" w:hAnsi="宋体"/>
          <w:b/>
          <w:caps/>
          <w:color w:val="auto"/>
          <w:kern w:val="0"/>
          <w:sz w:val="32"/>
          <w:szCs w:val="32"/>
          <w:highlight w:val="none"/>
        </w:rPr>
      </w:pPr>
      <w:r>
        <w:rPr>
          <w:rStyle w:val="41"/>
          <w:rFonts w:hint="eastAsia"/>
          <w:b/>
          <w:bCs/>
          <w:color w:val="auto"/>
          <w:sz w:val="32"/>
          <w:szCs w:val="32"/>
          <w:highlight w:val="none"/>
          <w:u w:val="none"/>
        </w:rPr>
        <w:t>目录</w:t>
      </w:r>
    </w:p>
    <w:p w14:paraId="4AB496CA">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"_Toc21525489" </w:instrText>
      </w:r>
      <w:r>
        <w:rPr>
          <w:color w:val="auto"/>
          <w:highlight w:val="none"/>
        </w:rPr>
        <w:fldChar w:fldCharType="separate"/>
      </w:r>
      <w:r>
        <w:rPr>
          <w:rStyle w:val="41"/>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_Toc21525489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FA0A2E5">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"_Toc21525490" </w:instrText>
      </w:r>
      <w:r>
        <w:rPr>
          <w:color w:val="auto"/>
          <w:highlight w:val="none"/>
        </w:rPr>
        <w:fldChar w:fldCharType="separate"/>
      </w:r>
      <w:r>
        <w:rPr>
          <w:rStyle w:val="41"/>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_Toc21525490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1AE96F68">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"_Toc21525491" </w:instrText>
      </w:r>
      <w:r>
        <w:rPr>
          <w:color w:val="auto"/>
          <w:highlight w:val="none"/>
        </w:rPr>
        <w:fldChar w:fldCharType="separate"/>
      </w:r>
      <w:r>
        <w:rPr>
          <w:rStyle w:val="41"/>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_Toc21525491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8C57235">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"_Toc21525492" </w:instrText>
      </w:r>
      <w:r>
        <w:rPr>
          <w:color w:val="auto"/>
          <w:highlight w:val="none"/>
        </w:rPr>
        <w:fldChar w:fldCharType="separate"/>
      </w:r>
      <w:r>
        <w:rPr>
          <w:rStyle w:val="41"/>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_Toc21525492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6030F51E">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"_Toc21525493" </w:instrText>
      </w:r>
      <w:r>
        <w:rPr>
          <w:color w:val="auto"/>
          <w:highlight w:val="none"/>
        </w:rPr>
        <w:fldChar w:fldCharType="separate"/>
      </w:r>
      <w:r>
        <w:rPr>
          <w:rStyle w:val="41"/>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_Toc21525493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3BAA8502">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"_Toc21525494" </w:instrText>
      </w:r>
      <w:r>
        <w:rPr>
          <w:color w:val="auto"/>
          <w:highlight w:val="none"/>
        </w:rPr>
        <w:fldChar w:fldCharType="separate"/>
      </w:r>
      <w:r>
        <w:rPr>
          <w:rStyle w:val="41"/>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_Toc21525494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3D2E5BB0">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"_Toc21525495" </w:instrText>
      </w:r>
      <w:r>
        <w:rPr>
          <w:color w:val="auto"/>
          <w:highlight w:val="none"/>
        </w:rPr>
        <w:fldChar w:fldCharType="separate"/>
      </w:r>
      <w:r>
        <w:rPr>
          <w:rStyle w:val="41"/>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_Toc21525495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8AA9F0E">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"_Toc21525496" </w:instrText>
      </w:r>
      <w:r>
        <w:rPr>
          <w:color w:val="auto"/>
          <w:highlight w:val="none"/>
        </w:rPr>
        <w:fldChar w:fldCharType="separate"/>
      </w:r>
      <w:r>
        <w:rPr>
          <w:rStyle w:val="41"/>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_Toc21525496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0D8E559B">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"_Toc21525497" </w:instrText>
      </w:r>
      <w:r>
        <w:rPr>
          <w:color w:val="auto"/>
          <w:highlight w:val="none"/>
        </w:rPr>
        <w:fldChar w:fldCharType="separate"/>
      </w:r>
      <w:r>
        <w:rPr>
          <w:rStyle w:val="41"/>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_Toc21525497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3A007806">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"_Toc21525498" </w:instrText>
      </w:r>
      <w:r>
        <w:rPr>
          <w:color w:val="auto"/>
          <w:highlight w:val="none"/>
        </w:rPr>
        <w:fldChar w:fldCharType="separate"/>
      </w:r>
      <w:r>
        <w:rPr>
          <w:rStyle w:val="41"/>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_Toc21525498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063976A1">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"_Toc21525499" </w:instrText>
      </w:r>
      <w:r>
        <w:rPr>
          <w:color w:val="auto"/>
          <w:highlight w:val="none"/>
        </w:rPr>
        <w:fldChar w:fldCharType="separate"/>
      </w:r>
      <w:r>
        <w:rPr>
          <w:rStyle w:val="41"/>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_Toc21525499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2C1FDC85">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"_Toc21525500" </w:instrText>
      </w:r>
      <w:r>
        <w:rPr>
          <w:color w:val="auto"/>
          <w:highlight w:val="none"/>
        </w:rPr>
        <w:fldChar w:fldCharType="separate"/>
      </w:r>
      <w:r>
        <w:rPr>
          <w:rStyle w:val="41"/>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_Toc21525500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524C4667">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"_Toc21525501" </w:instrText>
      </w:r>
      <w:r>
        <w:rPr>
          <w:color w:val="auto"/>
          <w:highlight w:val="none"/>
        </w:rPr>
        <w:fldChar w:fldCharType="separate"/>
      </w:r>
      <w:r>
        <w:rPr>
          <w:rStyle w:val="41"/>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_Toc21525501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6AF541B8">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"_Toc21525502" </w:instrText>
      </w:r>
      <w:r>
        <w:rPr>
          <w:color w:val="auto"/>
          <w:highlight w:val="none"/>
        </w:rPr>
        <w:fldChar w:fldCharType="separate"/>
      </w:r>
      <w:r>
        <w:rPr>
          <w:rStyle w:val="41"/>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_Toc21525502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3C315914">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"_Toc21525509" </w:instrText>
      </w:r>
      <w:r>
        <w:rPr>
          <w:color w:val="auto"/>
          <w:highlight w:val="none"/>
        </w:rPr>
        <w:fldChar w:fldCharType="separate"/>
      </w:r>
      <w:r>
        <w:rPr>
          <w:rStyle w:val="41"/>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_Toc21525509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9C9575C">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"_Toc21525511" </w:instrText>
      </w:r>
      <w:r>
        <w:rPr>
          <w:color w:val="auto"/>
          <w:highlight w:val="none"/>
        </w:rPr>
        <w:fldChar w:fldCharType="separate"/>
      </w:r>
      <w:r>
        <w:rPr>
          <w:rStyle w:val="41"/>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_Toc21525511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4BDFA10F">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"_Toc21525512" </w:instrText>
      </w:r>
      <w:r>
        <w:rPr>
          <w:color w:val="auto"/>
          <w:highlight w:val="none"/>
        </w:rPr>
        <w:fldChar w:fldCharType="separate"/>
      </w:r>
      <w:r>
        <w:rPr>
          <w:rStyle w:val="41"/>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_Toc21525512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35212913">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"_Toc21525513" </w:instrText>
      </w:r>
      <w:r>
        <w:rPr>
          <w:color w:val="auto"/>
          <w:highlight w:val="none"/>
        </w:rPr>
        <w:fldChar w:fldCharType="separate"/>
      </w:r>
      <w:r>
        <w:rPr>
          <w:rStyle w:val="41"/>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_Toc21525513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1F255782">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"_Toc21525514" </w:instrText>
      </w:r>
      <w:r>
        <w:rPr>
          <w:color w:val="auto"/>
          <w:highlight w:val="none"/>
        </w:rPr>
        <w:fldChar w:fldCharType="separate"/>
      </w:r>
      <w:r>
        <w:rPr>
          <w:rStyle w:val="41"/>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_Toc21525514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193BB5A7">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"_Toc21525515" </w:instrText>
      </w:r>
      <w:r>
        <w:rPr>
          <w:color w:val="auto"/>
          <w:highlight w:val="none"/>
        </w:rPr>
        <w:fldChar w:fldCharType="separate"/>
      </w:r>
      <w:r>
        <w:rPr>
          <w:rStyle w:val="41"/>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_Toc21525515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4B60199A">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"_Toc21525516" </w:instrText>
      </w:r>
      <w:r>
        <w:rPr>
          <w:color w:val="auto"/>
          <w:highlight w:val="none"/>
        </w:rPr>
        <w:fldChar w:fldCharType="separate"/>
      </w:r>
      <w:r>
        <w:rPr>
          <w:rStyle w:val="41"/>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_Toc21525516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1699C375">
      <w:pPr>
        <w:pStyle w:val="2"/>
        <w:rPr>
          <w:color w:val="auto"/>
          <w:highlight w:val="none"/>
        </w:rPr>
      </w:pPr>
      <w:r>
        <w:rPr>
          <w:color w:val="auto"/>
          <w:highlight w:val="none"/>
        </w:rPr>
        <w:fldChar w:fldCharType="end"/>
      </w:r>
      <w:bookmarkStart w:id="0" w:name="_Toc2272545"/>
      <w:bookmarkStart w:id="1" w:name="_Toc21525489"/>
    </w:p>
    <w:p w14:paraId="31AB3291">
      <w:pPr>
        <w:rPr>
          <w:color w:val="auto"/>
          <w:highlight w:val="none"/>
        </w:rPr>
      </w:pPr>
      <w:r>
        <w:rPr>
          <w:color w:val="auto"/>
          <w:highlight w:val="none"/>
        </w:rPr>
        <w:br w:type="page"/>
      </w:r>
    </w:p>
    <w:p w14:paraId="7D065ED3">
      <w:pPr>
        <w:pStyle w:val="2"/>
        <w:rPr>
          <w:color w:val="auto"/>
          <w:highlight w:val="none"/>
        </w:rPr>
      </w:pPr>
      <w:r>
        <w:rPr>
          <w:rFonts w:hint="eastAsia"/>
          <w:color w:val="auto"/>
          <w:highlight w:val="none"/>
        </w:rPr>
        <w:t>第一章投标须知</w:t>
      </w:r>
      <w:bookmarkEnd w:id="0"/>
      <w:bookmarkEnd w:id="1"/>
    </w:p>
    <w:p w14:paraId="0E1D60A6">
      <w:pPr>
        <w:pStyle w:val="6"/>
        <w:rPr>
          <w:color w:val="auto"/>
          <w:highlight w:val="none"/>
        </w:rPr>
      </w:pPr>
      <w:bookmarkStart w:id="2" w:name="_Toc2272546"/>
      <w:bookmarkStart w:id="3" w:name="_Toc21525490"/>
      <w:r>
        <w:rPr>
          <w:rFonts w:hint="eastAsia"/>
          <w:color w:val="auto"/>
          <w:highlight w:val="none"/>
        </w:rPr>
        <w:t>一、投标须知前附表</w:t>
      </w:r>
      <w:bookmarkEnd w:id="2"/>
      <w:bookmarkEnd w:id="3"/>
    </w:p>
    <w:p w14:paraId="2DC470EE">
      <w:pPr>
        <w:pStyle w:val="9"/>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4"/>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14:paraId="62658B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0D5A57C1">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7370DA1F">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14:paraId="52DBCF5D">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14:paraId="09C13FFA">
            <w:pPr>
              <w:pStyle w:val="21"/>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14:paraId="33F0AA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5EB9E460">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396C344E">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14:paraId="041B78A4">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14:paraId="17BB3F3B">
            <w:pPr>
              <w:rPr>
                <w:rFonts w:hint="eastAsia" w:ascii="宋体" w:hAnsi="宋体" w:eastAsia="宋体"/>
                <w:color w:val="auto"/>
                <w:szCs w:val="21"/>
                <w:highlight w:val="none"/>
                <w:lang w:eastAsia="zh-CN"/>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广州黄埔文冲东片投资有限公司</w:t>
            </w:r>
          </w:p>
          <w:p w14:paraId="6E6B5AFA">
            <w:pPr>
              <w:rPr>
                <w:rFonts w:ascii="宋体" w:hAnsi="宋体"/>
                <w:color w:val="auto"/>
                <w:szCs w:val="21"/>
                <w:highlight w:val="none"/>
              </w:rPr>
            </w:pPr>
            <w:r>
              <w:rPr>
                <w:rFonts w:hint="eastAsia" w:ascii="宋体" w:hAnsi="宋体"/>
                <w:color w:val="auto"/>
                <w:szCs w:val="21"/>
                <w:highlight w:val="none"/>
              </w:rPr>
              <w:t>项目建设管理单位：</w:t>
            </w:r>
            <w:r>
              <w:rPr>
                <w:rFonts w:hint="eastAsia" w:ascii="宋体" w:hAnsi="宋体"/>
                <w:color w:val="auto"/>
                <w:szCs w:val="21"/>
                <w:highlight w:val="none"/>
                <w:u w:val="single"/>
              </w:rPr>
              <w:t>/</w:t>
            </w:r>
          </w:p>
          <w:p w14:paraId="289256D0">
            <w:pPr>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olor w:val="auto"/>
                <w:szCs w:val="21"/>
                <w:highlight w:val="none"/>
                <w:u w:val="single"/>
                <w:lang w:eastAsia="zh-CN"/>
              </w:rPr>
              <w:t>广州市南粤工程建设监理有限公司</w:t>
            </w:r>
          </w:p>
          <w:p w14:paraId="03471796">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设计单位：</w:t>
            </w:r>
            <w:r>
              <w:rPr>
                <w:rFonts w:hint="eastAsia" w:ascii="宋体" w:hAnsi="宋体"/>
                <w:color w:val="auto"/>
                <w:szCs w:val="21"/>
                <w:highlight w:val="none"/>
                <w:u w:val="single"/>
              </w:rPr>
              <w:t>广州新网电力设计有限公司</w:t>
            </w:r>
          </w:p>
          <w:p w14:paraId="66B97A50">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监理单位：</w:t>
            </w:r>
            <w:r>
              <w:rPr>
                <w:rFonts w:hint="eastAsia" w:ascii="宋体" w:hAnsi="宋体"/>
                <w:color w:val="auto"/>
                <w:szCs w:val="21"/>
                <w:highlight w:val="none"/>
                <w:u w:val="single"/>
                <w:lang w:val="en-US" w:eastAsia="zh-CN"/>
              </w:rPr>
              <w:t xml:space="preserve">            /                   </w:t>
            </w:r>
          </w:p>
          <w:p w14:paraId="5E8812AC">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lang w:val="en-US" w:eastAsia="zh-CN"/>
              </w:rPr>
              <w:t xml:space="preserve">           /                     </w:t>
            </w:r>
          </w:p>
        </w:tc>
      </w:tr>
      <w:tr w14:paraId="12A899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14:paraId="7382B828">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373FF2AF">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44A4FB46">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14:paraId="62F3459B">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文冲项目石化厂区6KV配电设施迁改工程施工</w:t>
            </w:r>
          </w:p>
        </w:tc>
      </w:tr>
      <w:tr w14:paraId="122F11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3918C33E">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14:paraId="2CD2DBFE">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44390456">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14:paraId="7C6FBB6E">
            <w:pPr>
              <w:rPr>
                <w:rFonts w:ascii="宋体" w:hAnsi="宋体"/>
                <w:color w:val="auto"/>
                <w:szCs w:val="21"/>
                <w:highlight w:val="none"/>
                <w:u w:val="single"/>
              </w:rPr>
            </w:pPr>
            <w:r>
              <w:rPr>
                <w:rFonts w:hint="eastAsia" w:ascii="宋体" w:hAnsi="宋体"/>
                <w:color w:val="auto"/>
                <w:szCs w:val="21"/>
                <w:highlight w:val="none"/>
                <w:u w:val="single"/>
              </w:rPr>
              <w:t>项目位于</w:t>
            </w:r>
            <w:r>
              <w:rPr>
                <w:rFonts w:hint="eastAsia" w:ascii="宋体" w:hAnsi="宋体"/>
                <w:color w:val="auto"/>
                <w:szCs w:val="21"/>
                <w:highlight w:val="none"/>
                <w:u w:val="single"/>
                <w:lang w:eastAsia="zh-CN"/>
              </w:rPr>
              <w:t>广州市黄埔区</w:t>
            </w:r>
            <w:r>
              <w:rPr>
                <w:rFonts w:hint="eastAsia" w:ascii="宋体" w:hAnsi="宋体"/>
                <w:color w:val="auto"/>
                <w:szCs w:val="21"/>
                <w:highlight w:val="none"/>
                <w:u w:val="single"/>
              </w:rPr>
              <w:t>。</w:t>
            </w:r>
          </w:p>
        </w:tc>
      </w:tr>
      <w:tr w14:paraId="70A28F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3D967414">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2BF5A447">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FEE382E">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14:paraId="4173EF14">
            <w:pPr>
              <w:rPr>
                <w:rFonts w:hint="eastAsia" w:ascii="宋体" w:hAnsi="宋体" w:eastAsia="宋体"/>
                <w:color w:val="auto"/>
                <w:szCs w:val="21"/>
                <w:highlight w:val="none"/>
                <w:u w:val="single"/>
                <w:lang w:eastAsia="zh-CN"/>
              </w:rPr>
            </w:pPr>
            <w:r>
              <w:rPr>
                <w:rFonts w:hint="eastAsia" w:ascii="宋体" w:hAnsi="宋体" w:eastAsia="宋体" w:cs="宋体"/>
                <w:color w:val="auto"/>
                <w:szCs w:val="21"/>
                <w:highlight w:val="none"/>
                <w:u w:val="single"/>
              </w:rPr>
              <w:t>详见本工程招标公告</w:t>
            </w:r>
            <w:r>
              <w:rPr>
                <w:rFonts w:hint="eastAsia" w:ascii="宋体" w:hAnsi="宋体" w:cs="宋体"/>
                <w:color w:val="auto"/>
                <w:szCs w:val="21"/>
                <w:highlight w:val="none"/>
                <w:u w:val="single"/>
                <w:lang w:eastAsia="zh-CN"/>
              </w:rPr>
              <w:t>。</w:t>
            </w:r>
          </w:p>
        </w:tc>
      </w:tr>
      <w:tr w14:paraId="14E531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12C4BEBC">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14:paraId="478EDBA9">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21EDEAE">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14:paraId="442D203C">
            <w:pPr>
              <w:rPr>
                <w:rFonts w:hint="eastAsia" w:ascii="宋体" w:hAnsi="宋体" w:eastAsia="宋体"/>
                <w:color w:val="auto"/>
                <w:szCs w:val="21"/>
                <w:highlight w:val="none"/>
                <w:lang w:eastAsia="zh-CN"/>
              </w:rPr>
            </w:pPr>
            <w:r>
              <w:rPr>
                <w:rFonts w:hint="eastAsia"/>
                <w:color w:val="auto"/>
                <w:highlight w:val="none"/>
                <w:u w:val="single"/>
              </w:rPr>
              <w:t>包括但不限于包工、包料、包施工措施（含场地准备及临时设施费）、包质量、包安全生产、包文明施工、包工期、包施工承包管理和现场整体组织、包专业协调及配合、包施工图深化设计（如有）、包竣工图、包验收通过（含附属工程）、包照管、包移交、包资料整理移交档案、协助竣工联合验收、包结算、包保修等</w:t>
            </w:r>
            <w:r>
              <w:rPr>
                <w:rFonts w:hint="eastAsia" w:ascii="宋体" w:hAnsi="宋体"/>
                <w:color w:val="auto"/>
                <w:szCs w:val="21"/>
                <w:highlight w:val="none"/>
              </w:rPr>
              <w:t>。</w:t>
            </w:r>
            <w:r>
              <w:rPr>
                <w:rFonts w:hint="eastAsia"/>
                <w:color w:val="auto"/>
                <w:highlight w:val="none"/>
                <w:u w:val="single"/>
              </w:rPr>
              <w:t>具体以合同约定为准。</w:t>
            </w:r>
          </w:p>
        </w:tc>
      </w:tr>
      <w:tr w14:paraId="4972F1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3E1E4680">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14:paraId="5DE826E7">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73BDD371">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14:paraId="014507CD">
            <w:pPr>
              <w:rPr>
                <w:rFonts w:ascii="宋体" w:hAnsi="宋体"/>
                <w:color w:val="auto"/>
                <w:szCs w:val="21"/>
                <w:highlight w:val="none"/>
                <w:u w:val="single"/>
              </w:rPr>
            </w:pPr>
            <w:r>
              <w:rPr>
                <w:rFonts w:hint="eastAsia" w:ascii="宋体" w:hAnsi="宋体" w:cs="宋体"/>
                <w:color w:val="auto"/>
                <w:szCs w:val="21"/>
                <w:highlight w:val="none"/>
              </w:rPr>
              <w:t>工程质量符合现行《工程施工质量验收规范》合格标准。</w:t>
            </w:r>
          </w:p>
        </w:tc>
      </w:tr>
      <w:tr w14:paraId="359972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578F2B0C">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6D0A4BC1">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31457D4D">
            <w:pPr>
              <w:rPr>
                <w:rFonts w:ascii="宋体" w:hAnsi="宋体"/>
                <w:color w:val="auto"/>
                <w:szCs w:val="21"/>
                <w:highlight w:val="none"/>
              </w:rPr>
            </w:pPr>
            <w:r>
              <w:rPr>
                <w:rFonts w:hint="eastAsia" w:ascii="宋体" w:hAnsi="宋体"/>
                <w:color w:val="auto"/>
                <w:szCs w:val="21"/>
                <w:highlight w:val="none"/>
              </w:rPr>
              <w:t>招标</w:t>
            </w:r>
            <w:r>
              <w:rPr>
                <w:rFonts w:hint="eastAsia" w:ascii="宋体" w:hAnsi="宋体"/>
                <w:color w:val="auto"/>
                <w:szCs w:val="21"/>
                <w:highlight w:val="none"/>
                <w:lang w:eastAsia="zh-CN"/>
              </w:rPr>
              <w:t>内容</w:t>
            </w:r>
          </w:p>
        </w:tc>
        <w:tc>
          <w:tcPr>
            <w:tcW w:w="5857" w:type="dxa"/>
            <w:tcBorders>
              <w:top w:val="single" w:color="auto" w:sz="4" w:space="0"/>
              <w:left w:val="single" w:color="auto" w:sz="4" w:space="0"/>
              <w:bottom w:val="single" w:color="auto" w:sz="4" w:space="0"/>
              <w:right w:val="double" w:color="auto" w:sz="4" w:space="0"/>
            </w:tcBorders>
            <w:vAlign w:val="center"/>
          </w:tcPr>
          <w:p w14:paraId="1BC0EA09">
            <w:pPr>
              <w:rPr>
                <w:rFonts w:ascii="宋体" w:hAnsi="宋体"/>
                <w:color w:val="auto"/>
                <w:szCs w:val="21"/>
                <w:highlight w:val="none"/>
                <w:u w:val="single"/>
              </w:rPr>
            </w:pPr>
            <w:r>
              <w:rPr>
                <w:rFonts w:hint="eastAsia" w:ascii="宋体" w:hAnsi="宋体" w:cs="Times New Roman"/>
                <w:b w:val="0"/>
                <w:bCs w:val="0"/>
                <w:color w:val="auto"/>
                <w:sz w:val="21"/>
                <w:szCs w:val="21"/>
                <w:highlight w:val="none"/>
                <w:u w:val="none"/>
                <w:lang w:eastAsia="zh-CN"/>
              </w:rPr>
              <w:t>详见招标公告。</w:t>
            </w:r>
          </w:p>
        </w:tc>
      </w:tr>
      <w:tr w14:paraId="66D745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69BF852C">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14:paraId="0ECC2F0B">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14:paraId="6C0EC3B1">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14:paraId="0DFFA990">
            <w:pPr>
              <w:rPr>
                <w:rFonts w:hint="eastAsia" w:ascii="宋体" w:hAnsi="宋体"/>
                <w:color w:val="auto"/>
                <w:szCs w:val="21"/>
                <w:highlight w:val="none"/>
              </w:rPr>
            </w:pPr>
            <w:r>
              <w:rPr>
                <w:rFonts w:hint="eastAsia" w:ascii="宋体" w:hAnsi="宋体"/>
                <w:color w:val="auto"/>
                <w:szCs w:val="21"/>
                <w:highlight w:val="none"/>
              </w:rPr>
              <w:t>施工总期：</w:t>
            </w:r>
            <w:r>
              <w:rPr>
                <w:rFonts w:hint="eastAsia" w:ascii="宋体" w:hAnsi="宋体"/>
                <w:color w:val="auto"/>
                <w:szCs w:val="21"/>
                <w:highlight w:val="none"/>
                <w:lang w:val="en-US" w:eastAsia="zh-CN"/>
              </w:rPr>
              <w:t>45</w:t>
            </w:r>
            <w:r>
              <w:rPr>
                <w:rFonts w:hint="eastAsia" w:ascii="宋体" w:hAnsi="宋体"/>
                <w:color w:val="auto"/>
                <w:szCs w:val="21"/>
                <w:highlight w:val="none"/>
              </w:rPr>
              <w:t>日历天内完工，完工是指完成图纸施工内容，以发包人初验</w:t>
            </w:r>
            <w:r>
              <w:rPr>
                <w:rFonts w:hint="eastAsia" w:ascii="宋体" w:hAnsi="宋体"/>
                <w:color w:val="auto"/>
                <w:szCs w:val="21"/>
                <w:highlight w:val="none"/>
                <w:lang w:val="en-US" w:eastAsia="zh-CN"/>
              </w:rPr>
              <w:t>通过</w:t>
            </w:r>
            <w:r>
              <w:rPr>
                <w:rFonts w:hint="eastAsia" w:ascii="宋体" w:hAnsi="宋体"/>
                <w:color w:val="auto"/>
                <w:szCs w:val="21"/>
                <w:highlight w:val="none"/>
              </w:rPr>
              <w:t>时间为准。</w:t>
            </w:r>
          </w:p>
          <w:p w14:paraId="29049099">
            <w:pPr>
              <w:rPr>
                <w:rFonts w:hint="eastAsia" w:ascii="宋体" w:hAnsi="宋体"/>
                <w:color w:val="auto"/>
                <w:szCs w:val="21"/>
                <w:highlight w:val="none"/>
              </w:rPr>
            </w:pPr>
            <w:r>
              <w:rPr>
                <w:rFonts w:hint="eastAsia" w:ascii="宋体" w:hAnsi="宋体" w:eastAsia="宋体" w:cs="宋体"/>
                <w:color w:val="auto"/>
                <w:sz w:val="21"/>
                <w:szCs w:val="21"/>
                <w:highlight w:val="none"/>
                <w:u w:val="single"/>
                <w:lang w:val="en-US" w:eastAsia="zh-CN"/>
              </w:rPr>
              <w:t>实际</w:t>
            </w:r>
            <w:r>
              <w:rPr>
                <w:rFonts w:hint="eastAsia" w:ascii="宋体" w:hAnsi="宋体" w:eastAsia="宋体" w:cs="宋体"/>
                <w:color w:val="auto"/>
                <w:sz w:val="21"/>
                <w:szCs w:val="21"/>
                <w:highlight w:val="none"/>
                <w:u w:val="single"/>
              </w:rPr>
              <w:t>开工日期以招标人或总监理工程师发出的开工或进场通知为准。</w:t>
            </w:r>
          </w:p>
        </w:tc>
      </w:tr>
      <w:tr w14:paraId="43CB7E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E1F1A3F">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14:paraId="7246683E">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14:paraId="3093FA73">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14:paraId="017524CE">
            <w:pPr>
              <w:rPr>
                <w:rFonts w:ascii="宋体" w:hAnsi="宋体"/>
                <w:color w:val="auto"/>
                <w:szCs w:val="21"/>
                <w:highlight w:val="none"/>
                <w:u w:val="single"/>
              </w:rPr>
            </w:pPr>
            <w:r>
              <w:rPr>
                <w:rFonts w:hint="eastAsia" w:ascii="宋体" w:hAnsi="宋体" w:eastAsia="宋体" w:cs="宋体"/>
                <w:color w:val="auto"/>
                <w:sz w:val="21"/>
                <w:szCs w:val="21"/>
                <w:highlight w:val="none"/>
                <w:u w:val="single"/>
              </w:rPr>
              <w:t>详见本工程招标公告。</w:t>
            </w:r>
          </w:p>
        </w:tc>
      </w:tr>
      <w:tr w14:paraId="3ADC0A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3D15545B">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14:paraId="781BF70A">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14:paraId="485F866A">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14:paraId="45664E97">
            <w:pPr>
              <w:rPr>
                <w:rFonts w:ascii="宋体" w:hAnsi="宋体"/>
                <w:color w:val="auto"/>
                <w:szCs w:val="21"/>
                <w:highlight w:val="none"/>
              </w:rPr>
            </w:pPr>
            <w:r>
              <w:rPr>
                <w:rFonts w:hint="eastAsia" w:ascii="宋体" w:hAnsi="宋体"/>
                <w:color w:val="auto"/>
                <w:szCs w:val="21"/>
                <w:highlight w:val="none"/>
              </w:rPr>
              <w:t>详见本工程招标公告。</w:t>
            </w:r>
          </w:p>
        </w:tc>
      </w:tr>
      <w:tr w14:paraId="733152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299068E">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14:paraId="512383B1">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1388BBC1">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14:paraId="586A3936">
            <w:pPr>
              <w:rPr>
                <w:rFonts w:ascii="宋体" w:hAnsi="宋体"/>
                <w:color w:val="auto"/>
                <w:szCs w:val="21"/>
                <w:highlight w:val="none"/>
              </w:rPr>
            </w:pPr>
            <w:r>
              <w:rPr>
                <w:rFonts w:hint="eastAsia" w:ascii="宋体" w:hAnsi="宋体"/>
                <w:color w:val="auto"/>
                <w:szCs w:val="21"/>
                <w:highlight w:val="none"/>
              </w:rPr>
              <w:t>详见本工程招标公告。</w:t>
            </w:r>
          </w:p>
        </w:tc>
      </w:tr>
      <w:tr w14:paraId="575B03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64E7256">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14:paraId="15C2E560">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14:paraId="35F198F0">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14:paraId="6B9A951A">
            <w:pPr>
              <w:rPr>
                <w:rFonts w:ascii="宋体" w:hAnsi="宋体"/>
                <w:color w:val="auto"/>
                <w:szCs w:val="21"/>
                <w:highlight w:val="none"/>
              </w:rPr>
            </w:pPr>
            <w:r>
              <w:rPr>
                <w:rFonts w:hint="eastAsia" w:ascii="宋体" w:hAnsi="宋体"/>
                <w:color w:val="auto"/>
                <w:szCs w:val="21"/>
                <w:highlight w:val="none"/>
              </w:rPr>
              <w:t>工程量清单计价。</w:t>
            </w:r>
          </w:p>
        </w:tc>
      </w:tr>
      <w:tr w14:paraId="0C6D7C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BBF01AF">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14:paraId="7BC07D31">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14:paraId="0D40A736">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14:paraId="1CBF9B35">
            <w:pPr>
              <w:rPr>
                <w:rFonts w:ascii="宋体" w:hAnsi="宋体"/>
                <w:color w:val="auto"/>
                <w:szCs w:val="21"/>
                <w:highlight w:val="none"/>
                <w:u w:val="single"/>
              </w:rPr>
            </w:pPr>
            <w:r>
              <w:rPr>
                <w:rFonts w:hint="eastAsia" w:ascii="宋体" w:hAnsi="宋体"/>
                <w:color w:val="auto"/>
                <w:szCs w:val="21"/>
                <w:highlight w:val="none"/>
                <w:u w:val="single"/>
              </w:rPr>
              <w:t>90</w:t>
            </w:r>
            <w:r>
              <w:rPr>
                <w:rFonts w:hint="eastAsia" w:ascii="宋体" w:hAnsi="宋体"/>
                <w:color w:val="auto"/>
                <w:szCs w:val="21"/>
                <w:highlight w:val="none"/>
              </w:rPr>
              <w:t>日历天。（从投标截止之日计起）</w:t>
            </w:r>
          </w:p>
        </w:tc>
      </w:tr>
      <w:tr w14:paraId="0E1F05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702" w:type="dxa"/>
            <w:tcBorders>
              <w:top w:val="single" w:color="auto" w:sz="4" w:space="0"/>
              <w:left w:val="double" w:color="auto" w:sz="4" w:space="0"/>
              <w:bottom w:val="single" w:color="auto" w:sz="4" w:space="0"/>
              <w:right w:val="single" w:color="auto" w:sz="4" w:space="0"/>
            </w:tcBorders>
            <w:vAlign w:val="center"/>
          </w:tcPr>
          <w:p w14:paraId="0841AC8D">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14:paraId="1C5DCDFF">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14:paraId="683AE652">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14:paraId="06F5D160">
            <w:pPr>
              <w:rPr>
                <w:rFonts w:ascii="宋体" w:hAnsi="宋体" w:cs="宋体"/>
                <w:color w:val="auto"/>
                <w:szCs w:val="21"/>
                <w:highlight w:val="none"/>
              </w:rPr>
            </w:pPr>
            <w:r>
              <w:rPr>
                <w:rFonts w:ascii="宋体" w:hAnsi="宋体" w:cs="宋体"/>
                <w:color w:val="auto"/>
                <w:szCs w:val="21"/>
                <w:highlight w:val="none"/>
              </w:rPr>
              <w:t>1.本项目免收投标保证金，具体规定如下：提供《关于投标保证金的承诺》（详见附件）。</w:t>
            </w:r>
          </w:p>
          <w:p w14:paraId="4571C1E5">
            <w:pPr>
              <w:ind w:firstLine="0" w:firstLineChars="0"/>
              <w:rPr>
                <w:color w:val="auto"/>
                <w:highlight w:val="none"/>
              </w:rPr>
            </w:pPr>
            <w:r>
              <w:rPr>
                <w:rFonts w:ascii="宋体" w:hAnsi="宋体" w:cs="宋体"/>
                <w:color w:val="auto"/>
                <w:szCs w:val="21"/>
                <w:highlight w:val="none"/>
              </w:rPr>
              <w:t>2.对于投标人已提供《关于投标保证金的承诺》，若投标人存在16.4条款所列情形，该投标人应在发现存在16.4条款所列情形之日起5个工作日内补交人民</w:t>
            </w:r>
            <w:r>
              <w:rPr>
                <w:rFonts w:hint="eastAsia" w:ascii="宋体" w:hAnsi="宋体" w:cs="宋体"/>
                <w:color w:val="auto"/>
                <w:szCs w:val="21"/>
                <w:highlight w:val="none"/>
              </w:rPr>
              <w:t>币</w:t>
            </w:r>
            <w:r>
              <w:rPr>
                <w:rFonts w:hint="eastAsia" w:ascii="宋体" w:hAnsi="宋体" w:cs="宋体"/>
                <w:color w:val="auto"/>
                <w:szCs w:val="21"/>
                <w:highlight w:val="none"/>
                <w:u w:val="single"/>
                <w:lang w:val="en-US" w:eastAsia="zh-CN"/>
              </w:rPr>
              <w:t>3</w:t>
            </w:r>
            <w:r>
              <w:rPr>
                <w:rFonts w:ascii="宋体" w:hAnsi="宋体" w:cs="宋体"/>
                <w:color w:val="auto"/>
                <w:szCs w:val="21"/>
                <w:highlight w:val="none"/>
                <w:u w:val="single"/>
              </w:rPr>
              <w:t>万元</w:t>
            </w:r>
            <w:r>
              <w:rPr>
                <w:rFonts w:ascii="宋体" w:hAnsi="宋体" w:cs="宋体"/>
                <w:color w:val="auto"/>
                <w:szCs w:val="21"/>
                <w:highlight w:val="none"/>
              </w:rPr>
              <w:t>投标保证金；若未按要求补交投标保证金的将暂停其参与招标人后续工程投标，直至完成补交手续为止。</w:t>
            </w:r>
          </w:p>
        </w:tc>
      </w:tr>
      <w:tr w14:paraId="3E28C6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9996903">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14:paraId="1E6D63EE">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14:paraId="3CE11BDF">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14:paraId="49A9CBDC">
            <w:pPr>
              <w:pStyle w:val="21"/>
              <w:rPr>
                <w:rFonts w:ascii="宋体" w:hAnsi="宋体"/>
                <w:color w:val="auto"/>
                <w:szCs w:val="21"/>
                <w:highlight w:val="none"/>
              </w:rPr>
            </w:pPr>
            <w:r>
              <w:rPr>
                <w:rFonts w:hint="eastAsia" w:ascii="宋体" w:hAnsi="宋体"/>
                <w:color w:val="auto"/>
                <w:szCs w:val="21"/>
                <w:highlight w:val="none"/>
              </w:rPr>
              <w:t>自公告发布之日起具备现场踏勘条件；招标人不集中组织，由投标人自行踏勘。</w:t>
            </w:r>
          </w:p>
        </w:tc>
      </w:tr>
      <w:tr w14:paraId="59B711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0E5512F">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14:paraId="4776A108">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14:paraId="0201065D">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14:paraId="1DB9A629">
            <w:pPr>
              <w:rPr>
                <w:rFonts w:ascii="宋体" w:hAnsi="宋体"/>
                <w:color w:val="auto"/>
                <w:highlight w:val="none"/>
              </w:rPr>
            </w:pPr>
            <w:r>
              <w:rPr>
                <w:rFonts w:hint="eastAsia" w:ascii="宋体" w:hAnsi="宋体"/>
                <w:color w:val="auto"/>
                <w:highlight w:val="none"/>
              </w:rPr>
              <w:t>1.方式：网上答疑：</w:t>
            </w:r>
          </w:p>
          <w:p w14:paraId="0D907095">
            <w:pPr>
              <w:rPr>
                <w:rFonts w:hint="eastAsia" w:ascii="宋体" w:hAnsi="宋体" w:cs="宋体"/>
                <w:color w:val="auto"/>
                <w:highlight w:val="none"/>
              </w:rPr>
            </w:pPr>
            <w:r>
              <w:rPr>
                <w:rFonts w:hint="eastAsia" w:ascii="宋体" w:hAnsi="宋体"/>
                <w:color w:val="auto"/>
                <w:highlight w:val="none"/>
              </w:rPr>
              <w:t>2.投标人质疑期限：</w:t>
            </w:r>
            <w:r>
              <w:rPr>
                <w:rFonts w:hint="eastAsia" w:ascii="宋体" w:hAnsi="宋体" w:cs="宋体"/>
                <w:color w:val="auto"/>
                <w:highlight w:val="none"/>
                <w:lang w:eastAsia="zh-CN"/>
              </w:rPr>
              <w:t>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highlight w:val="none"/>
                <w:u w:val="single"/>
              </w:rPr>
              <w:t>网站发布</w:t>
            </w:r>
            <w:r>
              <w:rPr>
                <w:rFonts w:hint="eastAsia" w:ascii="宋体" w:hAnsi="宋体" w:cs="宋体"/>
                <w:color w:val="auto"/>
                <w:highlight w:val="none"/>
                <w:u w:val="single"/>
                <w:lang w:eastAsia="zh-CN"/>
              </w:rPr>
              <w:t>的日程安排为准</w:t>
            </w:r>
          </w:p>
          <w:p w14:paraId="60028BE5">
            <w:pPr>
              <w:rPr>
                <w:rFonts w:ascii="宋体" w:hAnsi="宋体"/>
                <w:color w:val="auto"/>
                <w:highlight w:val="none"/>
              </w:rPr>
            </w:pPr>
            <w:r>
              <w:rPr>
                <w:rFonts w:hint="eastAsia" w:ascii="宋体" w:hAnsi="宋体"/>
                <w:color w:val="auto"/>
                <w:highlight w:val="none"/>
              </w:rPr>
              <w:t>3.招标人澄清、修补或答疑期限：在递交投标文件截止日期前</w:t>
            </w:r>
            <w:r>
              <w:rPr>
                <w:rFonts w:hint="eastAsia" w:ascii="宋体" w:hAnsi="宋体"/>
                <w:color w:val="auto"/>
                <w:highlight w:val="none"/>
                <w:u w:val="single"/>
              </w:rPr>
              <w:t>15</w:t>
            </w:r>
            <w:r>
              <w:rPr>
                <w:rFonts w:hint="eastAsia" w:ascii="宋体" w:hAnsi="宋体"/>
                <w:color w:val="auto"/>
                <w:highlight w:val="none"/>
              </w:rPr>
              <w:t xml:space="preserve"> 日</w:t>
            </w:r>
          </w:p>
          <w:p w14:paraId="405ED809">
            <w:pPr>
              <w:rPr>
                <w:rFonts w:ascii="宋体" w:hAnsi="宋体"/>
                <w:color w:val="auto"/>
                <w:szCs w:val="21"/>
                <w:highlight w:val="none"/>
              </w:rPr>
            </w:pPr>
            <w:r>
              <w:rPr>
                <w:rFonts w:hint="eastAsia" w:ascii="宋体" w:hAnsi="宋体"/>
                <w:color w:val="auto"/>
                <w:szCs w:val="21"/>
                <w:highlight w:val="none"/>
              </w:rPr>
              <w:t>4.网上答疑的操作指南为：登陆</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rPr>
              <w:t>新建设工程交易平台中“我是投标人”→“我的投标”→“招标答疑提问”通过项目编号或名称找到所需的项目→在上述的答疑时间内点击“提问”→无记名或匿名提出问题以及查看所有的问题（提交问题时需插入投标人CA证书）。</w:t>
            </w:r>
          </w:p>
          <w:p w14:paraId="4679022A">
            <w:pPr>
              <w:rPr>
                <w:rFonts w:ascii="宋体" w:hAnsi="宋体"/>
                <w:color w:val="auto"/>
                <w:highlight w:val="none"/>
              </w:rPr>
            </w:pPr>
            <w:r>
              <w:rPr>
                <w:rFonts w:hint="eastAsia" w:ascii="宋体" w:hAnsi="宋体"/>
                <w:color w:val="auto"/>
                <w:highlight w:val="none"/>
              </w:rPr>
              <w:t>5.网上答疑的相关事项详见招标文件8款。</w:t>
            </w:r>
          </w:p>
          <w:p w14:paraId="4AAC023F">
            <w:pPr>
              <w:rPr>
                <w:rFonts w:ascii="宋体" w:hAnsi="宋体"/>
                <w:color w:val="auto"/>
                <w:szCs w:val="21"/>
                <w:highlight w:val="none"/>
              </w:rPr>
            </w:pPr>
            <w:r>
              <w:rPr>
                <w:rFonts w:hint="eastAsia" w:ascii="宋体" w:hAnsi="宋体"/>
                <w:color w:val="auto"/>
                <w:szCs w:val="21"/>
                <w:highlight w:val="none"/>
                <w:u w:val="single"/>
              </w:rPr>
              <w:t>6.答疑纪要在</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u w:val="single"/>
              </w:rPr>
              <w:t>网站“建设工程”→“项目查询（日程安排、答疑纪要）”专区发布。</w:t>
            </w:r>
          </w:p>
        </w:tc>
      </w:tr>
      <w:tr w14:paraId="7B02AF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716BDC3">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7CD7666B">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14:paraId="4634110D">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14:paraId="44855F58">
            <w:pPr>
              <w:ind w:firstLine="0" w:firstLineChars="0"/>
              <w:rPr>
                <w:rFonts w:hint="eastAsia" w:ascii="宋体" w:hAnsi="宋体" w:eastAsia="宋体"/>
                <w:strike/>
                <w:color w:val="auto"/>
                <w:szCs w:val="21"/>
                <w:highlight w:val="none"/>
                <w:lang w:eastAsia="zh-CN"/>
              </w:rPr>
            </w:pPr>
            <w:r>
              <w:rPr>
                <w:rFonts w:hint="eastAsia" w:ascii="宋体" w:hAnsi="宋体" w:eastAsia="宋体" w:cs="宋体"/>
                <w:color w:val="auto"/>
                <w:sz w:val="21"/>
                <w:szCs w:val="21"/>
                <w:highlight w:val="none"/>
                <w:u w:val="single"/>
                <w:lang w:val="en-US" w:eastAsia="zh-CN"/>
              </w:rPr>
              <w:t>具体时间详见广州交易集团有限公司（广州公共资源交易中心）网站公布的项目日程信息</w:t>
            </w:r>
            <w:r>
              <w:rPr>
                <w:rFonts w:hint="eastAsia" w:ascii="宋体" w:hAnsi="宋体"/>
                <w:color w:val="auto"/>
                <w:szCs w:val="21"/>
                <w:highlight w:val="none"/>
                <w:lang w:eastAsia="zh-CN"/>
              </w:rPr>
              <w:t>。</w:t>
            </w:r>
          </w:p>
        </w:tc>
      </w:tr>
      <w:tr w14:paraId="7AF8F9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right w:val="single" w:color="auto" w:sz="4" w:space="0"/>
            </w:tcBorders>
            <w:vAlign w:val="center"/>
          </w:tcPr>
          <w:p w14:paraId="38DC43D3">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right w:val="single" w:color="auto" w:sz="4" w:space="0"/>
            </w:tcBorders>
            <w:vAlign w:val="center"/>
          </w:tcPr>
          <w:p w14:paraId="25F51735">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14:paraId="79F73D3A">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14:paraId="4E791152">
            <w:pPr>
              <w:rPr>
                <w:rFonts w:ascii="宋体" w:hAnsi="宋体"/>
                <w:color w:val="auto"/>
                <w:szCs w:val="21"/>
                <w:highlight w:val="none"/>
              </w:rPr>
            </w:pPr>
            <w:r>
              <w:rPr>
                <w:rFonts w:hint="eastAsia" w:ascii="宋体" w:hAnsi="宋体"/>
                <w:color w:val="auto"/>
                <w:szCs w:val="21"/>
                <w:highlight w:val="none"/>
              </w:rPr>
              <w:t>（技术标和经济标同时开标）</w:t>
            </w:r>
          </w:p>
          <w:p w14:paraId="6620AAF2">
            <w:pPr>
              <w:widowControl/>
              <w:jc w:val="left"/>
              <w:rPr>
                <w:rFonts w:ascii="宋体" w:hAnsi="宋体" w:cs="宋体"/>
                <w:bCs/>
                <w:color w:val="auto"/>
                <w:kern w:val="0"/>
                <w:szCs w:val="21"/>
                <w:highlight w:val="none"/>
              </w:rPr>
            </w:pPr>
            <w:r>
              <w:rPr>
                <w:rFonts w:hint="eastAsia" w:ascii="宋体" w:hAnsi="宋体"/>
                <w:color w:val="auto"/>
                <w:szCs w:val="21"/>
                <w:highlight w:val="none"/>
              </w:rPr>
              <w:t>1、开标开始时间：</w:t>
            </w:r>
            <w:r>
              <w:rPr>
                <w:rFonts w:hint="eastAsia" w:ascii="宋体" w:hAnsi="宋体" w:eastAsia="宋体" w:cs="宋体"/>
                <w:color w:val="auto"/>
                <w:sz w:val="21"/>
                <w:szCs w:val="21"/>
                <w:highlight w:val="none"/>
                <w:u w:val="single"/>
                <w:lang w:val="en-US" w:eastAsia="zh-CN"/>
              </w:rPr>
              <w:t>具体时间详见广州交易集团有限公司（广州公共资源交易中心）网站公布的项目日程信息</w:t>
            </w:r>
            <w:r>
              <w:rPr>
                <w:rFonts w:hint="eastAsia" w:ascii="宋体" w:hAnsi="宋体"/>
                <w:color w:val="auto"/>
                <w:szCs w:val="21"/>
                <w:highlight w:val="none"/>
                <w:lang w:eastAsia="zh-CN"/>
              </w:rPr>
              <w:t>。</w:t>
            </w:r>
            <w:r>
              <w:rPr>
                <w:rFonts w:hint="eastAsia" w:ascii="宋体" w:hAnsi="宋体"/>
                <w:color w:val="auto"/>
                <w:szCs w:val="21"/>
                <w:highlight w:val="none"/>
              </w:rPr>
              <w:t>，地点：</w:t>
            </w:r>
            <w:r>
              <w:rPr>
                <w:rFonts w:hint="eastAsia" w:ascii="宋体" w:hAnsi="宋体" w:eastAsia="宋体" w:cs="宋体"/>
                <w:color w:val="auto"/>
                <w:sz w:val="21"/>
                <w:szCs w:val="21"/>
                <w:highlight w:val="none"/>
                <w:u w:val="single"/>
                <w:lang w:val="en-US" w:eastAsia="zh-CN"/>
              </w:rPr>
              <w:t>具体时间详见广州交易集团有限公司（广州公共资源交易中心）网站公布的项目日程信息</w:t>
            </w:r>
            <w:r>
              <w:rPr>
                <w:rFonts w:hint="eastAsia" w:ascii="宋体" w:hAnsi="宋体"/>
                <w:color w:val="auto"/>
                <w:szCs w:val="21"/>
                <w:highlight w:val="none"/>
                <w:lang w:eastAsia="zh-CN"/>
              </w:rPr>
              <w:t>。</w:t>
            </w:r>
            <w:r>
              <w:rPr>
                <w:rFonts w:hint="eastAsia" w:ascii="宋体" w:hAnsi="宋体" w:cs="宋体"/>
                <w:b/>
                <w:bCs/>
                <w:color w:val="auto"/>
                <w:kern w:val="0"/>
                <w:szCs w:val="21"/>
                <w:highlight w:val="none"/>
              </w:rPr>
              <w:t>投标人也可选择参加在线开标，具体按照广州交易集团有限公司（广州公共资源交易中心）交易平台相关</w:t>
            </w:r>
            <w:r>
              <w:rPr>
                <w:rFonts w:hint="eastAsia" w:ascii="宋体" w:hAnsi="宋体" w:cs="宋体"/>
                <w:b/>
                <w:bCs/>
                <w:color w:val="auto"/>
                <w:kern w:val="0"/>
                <w:szCs w:val="21"/>
                <w:highlight w:val="none"/>
                <w:lang w:eastAsia="zh-CN"/>
              </w:rPr>
              <w:t>最新</w:t>
            </w:r>
            <w:r>
              <w:rPr>
                <w:rFonts w:hint="eastAsia" w:ascii="宋体" w:hAnsi="宋体" w:cs="宋体"/>
                <w:b/>
                <w:bCs/>
                <w:color w:val="auto"/>
                <w:kern w:val="0"/>
                <w:szCs w:val="21"/>
                <w:highlight w:val="none"/>
              </w:rPr>
              <w:t>指南进行操作。</w:t>
            </w:r>
          </w:p>
          <w:p w14:paraId="672E6CE0">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14:paraId="19B8A011">
            <w:pPr>
              <w:rPr>
                <w:rFonts w:ascii="宋体" w:hAnsi="宋体"/>
                <w:color w:val="auto"/>
                <w:szCs w:val="21"/>
                <w:highlight w:val="none"/>
                <w:u w:val="single"/>
              </w:rPr>
            </w:pPr>
            <w:r>
              <w:rPr>
                <w:rFonts w:hint="eastAsia" w:ascii="宋体" w:hAnsi="宋体"/>
                <w:color w:val="auto"/>
                <w:szCs w:val="21"/>
                <w:highlight w:val="none"/>
              </w:rPr>
              <w:t>2、递交投标文件备用光盘时间：</w:t>
            </w:r>
            <w:r>
              <w:rPr>
                <w:rFonts w:hint="eastAsia" w:ascii="宋体" w:hAnsi="宋体" w:eastAsia="宋体" w:cs="宋体"/>
                <w:color w:val="auto"/>
                <w:sz w:val="21"/>
                <w:szCs w:val="21"/>
                <w:highlight w:val="none"/>
                <w:u w:val="single"/>
                <w:lang w:val="en-US" w:eastAsia="zh-CN"/>
              </w:rPr>
              <w:t>具体时间详见广州交易集团有限公司（广州公共资源交易中心）网站公布的项目日程信息</w:t>
            </w:r>
            <w:r>
              <w:rPr>
                <w:rFonts w:hint="eastAsia" w:ascii="宋体" w:hAnsi="宋体"/>
                <w:color w:val="auto"/>
                <w:szCs w:val="21"/>
                <w:highlight w:val="none"/>
                <w:lang w:eastAsia="zh-CN"/>
              </w:rPr>
              <w:t>。</w:t>
            </w:r>
          </w:p>
          <w:p w14:paraId="7682BC8E">
            <w:pPr>
              <w:rPr>
                <w:rFonts w:ascii="宋体" w:hAnsi="宋体"/>
                <w:color w:val="auto"/>
                <w:highlight w:val="none"/>
                <w:u w:val="single"/>
              </w:rPr>
            </w:pPr>
            <w:r>
              <w:rPr>
                <w:rFonts w:hint="eastAsia" w:ascii="宋体" w:hAnsi="宋体"/>
                <w:color w:val="auto"/>
                <w:szCs w:val="21"/>
                <w:highlight w:val="none"/>
              </w:rPr>
              <w:t>递交地点：</w:t>
            </w:r>
            <w:r>
              <w:rPr>
                <w:rFonts w:hint="eastAsia" w:ascii="宋体" w:hAnsi="宋体" w:eastAsia="宋体" w:cs="宋体"/>
                <w:color w:val="auto"/>
                <w:sz w:val="21"/>
                <w:szCs w:val="21"/>
                <w:highlight w:val="none"/>
                <w:u w:val="single"/>
              </w:rPr>
              <w:t>具体地点详见广州交易集团有限公司（广州公共资源交易中心）网站公布的项目日程信息</w:t>
            </w:r>
            <w:r>
              <w:rPr>
                <w:rFonts w:hint="eastAsia" w:ascii="宋体" w:hAnsi="宋体" w:eastAsia="宋体" w:cs="宋体"/>
                <w:color w:val="auto"/>
                <w:sz w:val="21"/>
                <w:szCs w:val="21"/>
                <w:highlight w:val="none"/>
              </w:rPr>
              <w:t>。(建议安排在投标文件截止时间前15分钟至投标文件截止时间）</w:t>
            </w:r>
          </w:p>
          <w:p w14:paraId="20DF1973">
            <w:pPr>
              <w:rPr>
                <w:rFonts w:ascii="宋体" w:hAnsi="宋体" w:cs="宋体"/>
                <w:b/>
                <w:bCs/>
                <w:color w:val="auto"/>
                <w:szCs w:val="21"/>
                <w:highlight w:val="none"/>
                <w:u w:val="single"/>
              </w:rPr>
            </w:pPr>
            <w:r>
              <w:rPr>
                <w:rFonts w:hint="eastAsia" w:ascii="宋体" w:hAnsi="宋体" w:cs="宋体"/>
                <w:b/>
                <w:bCs/>
                <w:color w:val="auto"/>
                <w:szCs w:val="21"/>
                <w:highlight w:val="none"/>
                <w:u w:val="single"/>
              </w:rPr>
              <w:t>3、本项目不设置项目负责人签到。</w:t>
            </w:r>
          </w:p>
          <w:p w14:paraId="0DD16FD8">
            <w:pPr>
              <w:rPr>
                <w:rFonts w:ascii="宋体" w:hAnsi="宋体"/>
                <w:color w:val="auto"/>
                <w:szCs w:val="21"/>
                <w:highlight w:val="none"/>
              </w:rPr>
            </w:pPr>
            <w:r>
              <w:rPr>
                <w:rFonts w:hint="eastAsia" w:ascii="宋体" w:hAnsi="宋体" w:cs="仿宋_GB2312"/>
                <w:color w:val="auto"/>
                <w:highlight w:val="none"/>
              </w:rPr>
              <w:t>上述时间及地点是否有改变，请密切留意</w:t>
            </w:r>
            <w:r>
              <w:rPr>
                <w:rFonts w:hint="eastAsia" w:ascii="宋体" w:hAnsi="宋体" w:cs="宋体"/>
                <w:b/>
                <w:color w:val="auto"/>
                <w:kern w:val="0"/>
                <w:szCs w:val="21"/>
                <w:highlight w:val="none"/>
              </w:rPr>
              <w:t>补充公告</w:t>
            </w:r>
            <w:r>
              <w:rPr>
                <w:rFonts w:hint="eastAsia" w:ascii="宋体" w:hAnsi="宋体" w:cs="宋体"/>
                <w:b/>
                <w:color w:val="auto"/>
                <w:kern w:val="0"/>
                <w:szCs w:val="21"/>
                <w:highlight w:val="none"/>
                <w:lang w:eastAsia="zh-CN"/>
              </w:rPr>
              <w:t>（如有）或</w:t>
            </w:r>
            <w:r>
              <w:rPr>
                <w:rFonts w:hint="eastAsia" w:ascii="宋体" w:hAnsi="宋体" w:cs="仿宋_GB2312"/>
                <w:color w:val="auto"/>
                <w:highlight w:val="none"/>
              </w:rPr>
              <w:t>招标答疑</w:t>
            </w:r>
            <w:r>
              <w:rPr>
                <w:rFonts w:hint="eastAsia" w:ascii="宋体" w:hAnsi="宋体" w:cs="仿宋_GB2312"/>
                <w:color w:val="auto"/>
                <w:highlight w:val="none"/>
                <w:lang w:eastAsia="zh-CN"/>
              </w:rPr>
              <w:t>澄清</w:t>
            </w:r>
            <w:r>
              <w:rPr>
                <w:rFonts w:hint="eastAsia" w:ascii="宋体" w:hAnsi="宋体" w:cs="仿宋_GB2312"/>
                <w:color w:val="auto"/>
                <w:highlight w:val="none"/>
              </w:rPr>
              <w:t>纪要的相关信息。</w:t>
            </w:r>
          </w:p>
        </w:tc>
      </w:tr>
      <w:tr w14:paraId="748F0B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3595F51C">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14:paraId="2FF2B4AE">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14:paraId="2EAE0DF4">
            <w:pPr>
              <w:rPr>
                <w:rFonts w:ascii="宋体" w:hAnsi="宋体"/>
                <w:color w:val="auto"/>
                <w:szCs w:val="21"/>
                <w:highlight w:val="none"/>
              </w:rPr>
            </w:pPr>
            <w:r>
              <w:rPr>
                <w:rFonts w:hint="eastAsia" w:ascii="新宋体" w:hAnsi="新宋体" w:eastAsia="新宋体" w:cs="新宋体"/>
                <w:b/>
                <w:bCs/>
                <w:color w:val="auto"/>
                <w:highlight w:val="none"/>
              </w:rPr>
              <w:t>采用评定分离定标办法</w:t>
            </w:r>
          </w:p>
        </w:tc>
        <w:tc>
          <w:tcPr>
            <w:tcW w:w="5857" w:type="dxa"/>
            <w:tcBorders>
              <w:top w:val="single" w:color="auto" w:sz="4" w:space="0"/>
              <w:left w:val="single" w:color="auto" w:sz="4" w:space="0"/>
              <w:bottom w:val="single" w:color="auto" w:sz="4" w:space="0"/>
              <w:right w:val="double" w:color="auto" w:sz="4" w:space="0"/>
            </w:tcBorders>
            <w:vAlign w:val="center"/>
          </w:tcPr>
          <w:p w14:paraId="3610964F">
            <w:pPr>
              <w:pStyle w:val="4"/>
              <w:numPr>
                <w:ilvl w:val="0"/>
                <w:numId w:val="0"/>
              </w:numPr>
              <w:spacing w:line="240" w:lineRule="auto"/>
              <w:ind w:firstLine="0"/>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color w:val="auto"/>
                <w:szCs w:val="21"/>
                <w:highlight w:val="none"/>
              </w:rPr>
              <w:t>评标办法：通过制评审法</w:t>
            </w:r>
          </w:p>
          <w:p w14:paraId="49C382CF">
            <w:pPr>
              <w:pStyle w:val="4"/>
              <w:spacing w:line="240" w:lineRule="auto"/>
              <w:ind w:firstLine="0"/>
              <w:rPr>
                <w:rFonts w:hint="eastAsia" w:ascii="宋体" w:hAnsi="宋体"/>
                <w:color w:val="auto"/>
                <w:szCs w:val="21"/>
                <w:highlight w:val="none"/>
              </w:rPr>
            </w:pPr>
            <w:r>
              <w:rPr>
                <w:rFonts w:hint="eastAsia" w:ascii="宋体" w:hAnsi="宋体"/>
                <w:color w:val="auto"/>
                <w:szCs w:val="21"/>
                <w:highlight w:val="none"/>
              </w:rPr>
              <w:t>评标委员会对投标文件进行资格审查，再对通过资格审查的投标文件进行有效性审查，将通过有效性审查的合格投标人全部推荐为中标候选人进入定标阶段。</w:t>
            </w:r>
          </w:p>
          <w:p w14:paraId="1D7F1E65">
            <w:pPr>
              <w:pStyle w:val="4"/>
              <w:spacing w:line="240" w:lineRule="auto"/>
              <w:ind w:firstLine="0"/>
              <w:rPr>
                <w:rFonts w:ascii="宋体" w:hAnsi="宋体"/>
                <w:color w:val="auto"/>
                <w:szCs w:val="21"/>
                <w:highlight w:val="none"/>
              </w:rPr>
            </w:pPr>
            <w:r>
              <w:rPr>
                <w:rFonts w:hint="eastAsia" w:ascii="宋体" w:hAnsi="宋体"/>
                <w:color w:val="auto"/>
                <w:szCs w:val="21"/>
                <w:highlight w:val="none"/>
              </w:rPr>
              <w:t>定标办法：票决定标法</w:t>
            </w:r>
            <w:r>
              <w:rPr>
                <w:rFonts w:hint="eastAsia" w:ascii="宋体" w:hAnsi="宋体"/>
                <w:color w:val="auto"/>
                <w:szCs w:val="21"/>
                <w:highlight w:val="none"/>
                <w:lang w:eastAsia="zh-CN"/>
              </w:rPr>
              <w:t>。</w:t>
            </w:r>
          </w:p>
          <w:p w14:paraId="7E039B14">
            <w:pPr>
              <w:pStyle w:val="4"/>
              <w:spacing w:line="240" w:lineRule="auto"/>
              <w:ind w:firstLine="0"/>
              <w:rPr>
                <w:rFonts w:ascii="宋体" w:hAnsi="宋体"/>
                <w:color w:val="auto"/>
                <w:szCs w:val="21"/>
                <w:highlight w:val="none"/>
              </w:rPr>
            </w:pPr>
            <w:r>
              <w:rPr>
                <w:rFonts w:hint="eastAsia" w:ascii="宋体" w:hAnsi="宋体"/>
                <w:color w:val="auto"/>
                <w:szCs w:val="21"/>
                <w:highlight w:val="none"/>
              </w:rPr>
              <w:t>注：本项目采用评定分离定标办法。</w:t>
            </w:r>
          </w:p>
        </w:tc>
      </w:tr>
      <w:tr w14:paraId="67976D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141C148">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14:paraId="0F421E3C">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14:paraId="49F28796">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14:paraId="227EB6D6">
            <w:pPr>
              <w:rPr>
                <w:rFonts w:ascii="宋体" w:hAnsi="宋体"/>
                <w:color w:val="auto"/>
                <w:highlight w:val="none"/>
              </w:rPr>
            </w:pPr>
            <w:r>
              <w:rPr>
                <w:rFonts w:hint="eastAsia" w:ascii="宋体" w:hAnsi="宋体"/>
                <w:color w:val="auto"/>
                <w:highlight w:val="none"/>
              </w:rPr>
              <w:t>方式一：中标人提供的履约</w:t>
            </w:r>
            <w:r>
              <w:rPr>
                <w:rFonts w:hint="eastAsia" w:ascii="宋体" w:hAnsi="宋体"/>
                <w:color w:val="auto"/>
                <w:highlight w:val="none"/>
                <w:lang w:val="en-US" w:eastAsia="zh-CN"/>
              </w:rPr>
              <w:t>担保</w:t>
            </w:r>
            <w:r>
              <w:rPr>
                <w:rFonts w:hint="eastAsia" w:ascii="宋体" w:hAnsi="宋体"/>
                <w:color w:val="auto"/>
                <w:highlight w:val="none"/>
              </w:rPr>
              <w:t>为中标价款的</w:t>
            </w:r>
            <w:r>
              <w:rPr>
                <w:rFonts w:hint="eastAsia" w:ascii="宋体" w:hAnsi="宋体"/>
                <w:color w:val="auto"/>
                <w:highlight w:val="none"/>
                <w:lang w:val="en-US" w:eastAsia="zh-CN"/>
              </w:rPr>
              <w:t>5</w:t>
            </w:r>
            <w:r>
              <w:rPr>
                <w:rFonts w:hint="eastAsia" w:ascii="宋体" w:hAnsi="宋体"/>
                <w:color w:val="auto"/>
                <w:highlight w:val="none"/>
              </w:rPr>
              <w:t>%。</w:t>
            </w:r>
          </w:p>
          <w:p w14:paraId="4BFB1414">
            <w:pPr>
              <w:rPr>
                <w:rFonts w:hint="eastAsia" w:hAnsi="宋体" w:cs="宋体"/>
                <w:color w:val="auto"/>
                <w:szCs w:val="21"/>
                <w:highlight w:val="none"/>
                <w:u w:val="single"/>
              </w:rPr>
            </w:pPr>
            <w:r>
              <w:rPr>
                <w:rFonts w:hint="eastAsia" w:hAnsi="宋体" w:cs="宋体"/>
                <w:color w:val="auto"/>
                <w:szCs w:val="21"/>
                <w:highlight w:val="none"/>
                <w:u w:val="single"/>
              </w:rPr>
              <w:t>中标人应以银行保函或支票</w:t>
            </w:r>
            <w:r>
              <w:rPr>
                <w:rFonts w:hint="eastAsia" w:hAnsi="宋体" w:cs="宋体"/>
                <w:color w:val="auto"/>
                <w:szCs w:val="21"/>
                <w:highlight w:val="none"/>
                <w:u w:val="single"/>
                <w:lang w:eastAsia="zh-CN"/>
              </w:rPr>
              <w:t>或保险或担保</w:t>
            </w:r>
            <w:r>
              <w:rPr>
                <w:rFonts w:hint="eastAsia" w:hAnsi="宋体" w:cs="宋体"/>
                <w:color w:val="auto"/>
                <w:szCs w:val="21"/>
                <w:highlight w:val="none"/>
                <w:u w:val="single"/>
              </w:rPr>
              <w:t>等有效方式向招标人递交履约担保。如果中标人的履约担保是以保函的形式提供，保函应由在中国注册的银行开具。</w:t>
            </w:r>
          </w:p>
          <w:p w14:paraId="3D27CF9A">
            <w:pPr>
              <w:rPr>
                <w:rFonts w:ascii="宋体" w:hAnsi="宋体"/>
                <w:color w:val="auto"/>
                <w:highlight w:val="none"/>
              </w:rPr>
            </w:pPr>
            <w:r>
              <w:rPr>
                <w:rFonts w:hint="eastAsia" w:ascii="宋体" w:hAnsi="宋体"/>
                <w:color w:val="auto"/>
                <w:highlight w:val="none"/>
              </w:rPr>
              <w:t>在中标通知书发放后15个日历天内，中标人未提交履约保担保且未征得招标人同意延期缴交的，招标人有权取消其中标资格并没收其投标保证金，并由其他中标候选人顺次序替补。</w:t>
            </w:r>
          </w:p>
          <w:p w14:paraId="7166B4AB">
            <w:pPr>
              <w:pStyle w:val="4"/>
              <w:spacing w:after="0"/>
              <w:ind w:firstLine="0"/>
              <w:rPr>
                <w:rFonts w:ascii="宋体" w:hAnsi="宋体"/>
                <w:color w:val="auto"/>
                <w:highlight w:val="none"/>
              </w:rPr>
            </w:pPr>
            <w:r>
              <w:rPr>
                <w:rFonts w:hint="eastAsia" w:ascii="宋体" w:hAnsi="宋体"/>
                <w:color w:val="auto"/>
                <w:highlight w:val="none"/>
              </w:rPr>
              <w:t>中标人须于中标通知书发出之日起，</w:t>
            </w:r>
            <w:r>
              <w:rPr>
                <w:rFonts w:hint="eastAsia" w:ascii="宋体" w:hAnsi="宋体"/>
                <w:color w:val="auto"/>
                <w:highlight w:val="none"/>
                <w:lang w:val="en-US" w:eastAsia="zh-CN"/>
              </w:rPr>
              <w:t>30</w:t>
            </w:r>
            <w:r>
              <w:rPr>
                <w:rFonts w:hint="eastAsia" w:ascii="宋体" w:hAnsi="宋体"/>
                <w:color w:val="auto"/>
                <w:highlight w:val="none"/>
              </w:rPr>
              <w:t>个日历天内完成签订施工合同的工作，并将中标人已签妥的施工合同及相关协议文件提交招标人。若不提交，招标人有权取消其中标资格。</w:t>
            </w:r>
          </w:p>
        </w:tc>
      </w:tr>
      <w:tr w14:paraId="0471B1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4CC9C2D6">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46620A28">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5ACD31EB">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14:paraId="5EA2A297">
            <w:pPr>
              <w:rPr>
                <w:rFonts w:ascii="宋体" w:hAnsi="宋体"/>
                <w:color w:val="auto"/>
                <w:szCs w:val="21"/>
                <w:highlight w:val="none"/>
              </w:rPr>
            </w:pPr>
            <w:r>
              <w:rPr>
                <w:rFonts w:hint="eastAsia" w:ascii="宋体" w:hAnsi="宋体"/>
                <w:color w:val="auto"/>
                <w:szCs w:val="21"/>
                <w:highlight w:val="none"/>
              </w:rPr>
              <w:t>本项目最高投标限价为人民币</w:t>
            </w:r>
            <w:r>
              <w:rPr>
                <w:rFonts w:hint="eastAsia" w:ascii="宋体" w:hAnsi="宋体"/>
                <w:color w:val="auto"/>
                <w:szCs w:val="21"/>
                <w:highlight w:val="none"/>
                <w:u w:val="single"/>
                <w:lang w:val="en-US" w:eastAsia="zh-CN"/>
              </w:rPr>
              <w:t xml:space="preserve"> 9523751.67   </w:t>
            </w:r>
            <w:r>
              <w:rPr>
                <w:rFonts w:hint="eastAsia" w:ascii="宋体" w:hAnsi="宋体"/>
                <w:color w:val="auto"/>
                <w:szCs w:val="21"/>
                <w:highlight w:val="none"/>
              </w:rPr>
              <w:t>元。详见本项目的《最高投标限价公布函》，投标价超过最高投标限价的投标文件将被拒绝。</w:t>
            </w:r>
          </w:p>
        </w:tc>
      </w:tr>
      <w:tr w14:paraId="471356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19F9DD35">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05FDD1AE">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29C9A545">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14:paraId="0F9FB510">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lang w:val="en-US" w:eastAsia="zh-CN"/>
              </w:rPr>
              <w:t>411140.43</w:t>
            </w:r>
            <w:r>
              <w:rPr>
                <w:rFonts w:hint="eastAsia" w:ascii="宋体" w:hAnsi="宋体"/>
                <w:color w:val="auto"/>
                <w:sz w:val="21"/>
                <w:szCs w:val="21"/>
                <w:highlight w:val="none"/>
                <w:u w:val="single"/>
                <w:lang w:val="en-US" w:eastAsia="zh-CN"/>
              </w:rPr>
              <w:t xml:space="preserve">元 </w:t>
            </w:r>
            <w:r>
              <w:rPr>
                <w:rFonts w:hint="eastAsia" w:ascii="宋体" w:hAnsi="宋体"/>
                <w:color w:val="auto"/>
                <w:szCs w:val="21"/>
                <w:highlight w:val="none"/>
              </w:rPr>
              <w:t>，暂列金额为</w:t>
            </w:r>
            <w:r>
              <w:rPr>
                <w:rFonts w:hint="eastAsia" w:ascii="宋体" w:hAnsi="宋体"/>
                <w:color w:val="auto"/>
                <w:szCs w:val="21"/>
                <w:highlight w:val="none"/>
                <w:u w:val="single"/>
                <w:lang w:val="en-US" w:eastAsia="zh-CN"/>
              </w:rPr>
              <w:t>0</w:t>
            </w:r>
            <w:r>
              <w:rPr>
                <w:rFonts w:hint="eastAsia" w:ascii="宋体" w:hAnsi="宋体"/>
                <w:color w:val="auto"/>
                <w:szCs w:val="21"/>
                <w:highlight w:val="none"/>
              </w:rPr>
              <w:t>元，暂估价为</w:t>
            </w:r>
            <w:r>
              <w:rPr>
                <w:rFonts w:hint="eastAsia" w:ascii="宋体" w:hAnsi="宋体"/>
                <w:color w:val="auto"/>
                <w:szCs w:val="21"/>
                <w:highlight w:val="none"/>
                <w:lang w:val="en-US" w:eastAsia="zh-CN"/>
              </w:rPr>
              <w:t>0</w:t>
            </w:r>
            <w:r>
              <w:rPr>
                <w:rFonts w:hint="eastAsia" w:ascii="宋体" w:hAnsi="宋体"/>
                <w:color w:val="auto"/>
                <w:szCs w:val="21"/>
                <w:highlight w:val="none"/>
              </w:rPr>
              <w:t>元。（未按招标文件规定的金额填写的，由评标委员会按照招标文件规定的金额进行修正）</w:t>
            </w:r>
          </w:p>
        </w:tc>
      </w:tr>
      <w:tr w14:paraId="6FFC4C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64CABBCB">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14:paraId="31FB5CD3">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6DC929CD">
            <w:pPr>
              <w:pStyle w:val="4"/>
              <w:ind w:firstLine="0"/>
              <w:rPr>
                <w:rFonts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14:paraId="4A91831A">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14:paraId="15D29E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702" w:type="dxa"/>
            <w:tcBorders>
              <w:top w:val="single" w:color="auto" w:sz="4" w:space="0"/>
              <w:left w:val="double" w:color="auto" w:sz="4" w:space="0"/>
              <w:bottom w:val="single" w:color="auto" w:sz="4" w:space="0"/>
              <w:right w:val="single" w:color="auto" w:sz="4" w:space="0"/>
            </w:tcBorders>
            <w:vAlign w:val="center"/>
          </w:tcPr>
          <w:p w14:paraId="31D89A46">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1954C5A9">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0E48876A">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14:paraId="4AD54788">
            <w:pPr>
              <w:rPr>
                <w:rFonts w:ascii="宋体" w:hAnsi="宋体"/>
                <w:color w:val="auto"/>
                <w:szCs w:val="21"/>
                <w:highlight w:val="none"/>
              </w:rPr>
            </w:pPr>
            <w:r>
              <w:rPr>
                <w:rFonts w:hint="eastAsia" w:ascii="宋体" w:hAnsi="宋体" w:cs="宋体"/>
                <w:color w:val="auto"/>
                <w:szCs w:val="21"/>
                <w:highlight w:val="none"/>
                <w:u w:val="single"/>
              </w:rPr>
              <w:t>本款不适用。</w:t>
            </w:r>
          </w:p>
        </w:tc>
      </w:tr>
      <w:tr w14:paraId="27FDD8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325721B">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14:paraId="49F6B46B">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36ADDE75">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14:paraId="4FAC650E">
            <w:pPr>
              <w:rPr>
                <w:rFonts w:ascii="宋体" w:hAnsi="宋体"/>
                <w:color w:val="auto"/>
                <w:szCs w:val="21"/>
                <w:highlight w:val="none"/>
              </w:rPr>
            </w:pPr>
            <w:r>
              <w:rPr>
                <w:rFonts w:hint="eastAsia" w:ascii="宋体" w:hAnsi="宋体"/>
                <w:color w:val="auto"/>
                <w:szCs w:val="21"/>
                <w:highlight w:val="none"/>
              </w:rPr>
              <w:t>工程成本警戒价为8095188.92元</w:t>
            </w:r>
            <w:r>
              <w:rPr>
                <w:rFonts w:hint="eastAsia" w:ascii="宋体" w:hAnsi="宋体" w:cs="宋体"/>
                <w:b/>
                <w:bCs/>
                <w:color w:val="auto"/>
                <w:szCs w:val="21"/>
                <w:highlight w:val="none"/>
              </w:rPr>
              <w:t>（最高投标限价的</w:t>
            </w:r>
            <w:r>
              <w:rPr>
                <w:rFonts w:hint="eastAsia" w:ascii="宋体" w:hAnsi="宋体" w:cs="宋体"/>
                <w:b/>
                <w:bCs/>
                <w:color w:val="auto"/>
                <w:szCs w:val="21"/>
                <w:highlight w:val="none"/>
                <w:lang w:val="en-US" w:eastAsia="zh-CN"/>
              </w:rPr>
              <w:t>85</w:t>
            </w:r>
            <w:r>
              <w:rPr>
                <w:rFonts w:hint="eastAsia" w:ascii="宋体" w:hAnsi="宋体" w:cs="宋体"/>
                <w:b/>
                <w:bCs/>
                <w:color w:val="auto"/>
                <w:szCs w:val="21"/>
                <w:highlight w:val="none"/>
              </w:rPr>
              <w:t>%）</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235C06D6">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14:paraId="2B21E1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702" w:type="dxa"/>
            <w:vMerge w:val="restart"/>
            <w:tcBorders>
              <w:top w:val="single" w:color="auto" w:sz="4" w:space="0"/>
              <w:left w:val="double" w:color="auto" w:sz="4" w:space="0"/>
              <w:right w:val="single" w:color="auto" w:sz="4" w:space="0"/>
            </w:tcBorders>
            <w:vAlign w:val="center"/>
          </w:tcPr>
          <w:p w14:paraId="4F7C76A3">
            <w:pPr>
              <w:rPr>
                <w:rFonts w:ascii="宋体" w:hAnsi="宋体"/>
                <w:color w:val="auto"/>
                <w:szCs w:val="21"/>
                <w:highlight w:val="none"/>
              </w:rPr>
            </w:pPr>
            <w:r>
              <w:rPr>
                <w:rFonts w:hint="eastAsia" w:ascii="宋体" w:hAnsi="宋体"/>
                <w:color w:val="auto"/>
                <w:szCs w:val="21"/>
                <w:highlight w:val="none"/>
              </w:rPr>
              <w:t>28</w:t>
            </w:r>
          </w:p>
        </w:tc>
        <w:tc>
          <w:tcPr>
            <w:tcW w:w="981" w:type="dxa"/>
            <w:vMerge w:val="restart"/>
            <w:tcBorders>
              <w:top w:val="single" w:color="auto" w:sz="4" w:space="0"/>
              <w:left w:val="single" w:color="auto" w:sz="4" w:space="0"/>
              <w:right w:val="single" w:color="auto" w:sz="4" w:space="0"/>
            </w:tcBorders>
            <w:vAlign w:val="center"/>
          </w:tcPr>
          <w:p w14:paraId="4D525ECD">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0FFFB600">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14:paraId="23B3F20C">
            <w:pPr>
              <w:rPr>
                <w:color w:val="auto"/>
                <w:highlight w:val="none"/>
              </w:rPr>
            </w:pPr>
            <w:r>
              <w:rPr>
                <w:rFonts w:hint="eastAsia"/>
                <w:color w:val="auto"/>
                <w:highlight w:val="none"/>
              </w:rPr>
              <w:t>评标委员会由招标人依法组建。</w:t>
            </w:r>
          </w:p>
        </w:tc>
      </w:tr>
      <w:tr w14:paraId="55B6AB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702" w:type="dxa"/>
            <w:vMerge w:val="continue"/>
            <w:tcBorders>
              <w:left w:val="double" w:color="auto" w:sz="4" w:space="0"/>
              <w:bottom w:val="single" w:color="auto" w:sz="4" w:space="0"/>
              <w:right w:val="single" w:color="auto" w:sz="4" w:space="0"/>
            </w:tcBorders>
            <w:vAlign w:val="center"/>
          </w:tcPr>
          <w:p w14:paraId="439960E5">
            <w:pPr>
              <w:rPr>
                <w:rFonts w:hint="eastAsia" w:ascii="宋体" w:hAnsi="宋体"/>
                <w:color w:val="auto"/>
                <w:szCs w:val="21"/>
                <w:highlight w:val="none"/>
              </w:rPr>
            </w:pPr>
          </w:p>
        </w:tc>
        <w:tc>
          <w:tcPr>
            <w:tcW w:w="981" w:type="dxa"/>
            <w:vMerge w:val="continue"/>
            <w:tcBorders>
              <w:left w:val="single" w:color="auto" w:sz="4" w:space="0"/>
              <w:bottom w:val="single" w:color="auto" w:sz="4" w:space="0"/>
              <w:right w:val="single" w:color="auto" w:sz="4" w:space="0"/>
            </w:tcBorders>
            <w:vAlign w:val="center"/>
          </w:tcPr>
          <w:p w14:paraId="4A2FCCFA">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2A30901D">
            <w:pP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定标委员会</w:t>
            </w:r>
          </w:p>
        </w:tc>
        <w:tc>
          <w:tcPr>
            <w:tcW w:w="5857" w:type="dxa"/>
            <w:tcBorders>
              <w:top w:val="single" w:color="auto" w:sz="4" w:space="0"/>
              <w:left w:val="single" w:color="auto" w:sz="4" w:space="0"/>
              <w:bottom w:val="single" w:color="auto" w:sz="4" w:space="0"/>
              <w:right w:val="double" w:color="auto" w:sz="4" w:space="0"/>
            </w:tcBorders>
            <w:vAlign w:val="center"/>
          </w:tcPr>
          <w:p w14:paraId="010D9172">
            <w:pPr>
              <w:pStyle w:val="9"/>
              <w:ind w:firstLine="0"/>
              <w:rPr>
                <w:rFonts w:hint="eastAsia" w:ascii="宋体" w:hAnsi="宋体"/>
                <w:color w:val="auto"/>
                <w:szCs w:val="21"/>
                <w:highlight w:val="none"/>
              </w:rPr>
            </w:pPr>
            <w:r>
              <w:rPr>
                <w:rFonts w:hint="eastAsia" w:ascii="宋体" w:hAnsi="宋体"/>
                <w:color w:val="auto"/>
                <w:szCs w:val="21"/>
                <w:highlight w:val="none"/>
              </w:rPr>
              <w:t>定标委员会由招标人依法依规组建。</w:t>
            </w:r>
          </w:p>
        </w:tc>
      </w:tr>
      <w:tr w14:paraId="748596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64A7427">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14:paraId="7AB100D2">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2F7FBB53">
            <w:pPr>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14:paraId="7AD88B09">
            <w:pPr>
              <w:rPr>
                <w:rFonts w:ascii="宋体" w:hAnsi="宋体"/>
                <w:color w:val="auto"/>
                <w:szCs w:val="21"/>
                <w:highlight w:val="none"/>
              </w:rPr>
            </w:pPr>
            <w:r>
              <w:rPr>
                <w:rFonts w:hint="eastAsia" w:ascii="宋体" w:hAnsi="宋体" w:cs="宋体"/>
                <w:color w:val="auto"/>
                <w:szCs w:val="21"/>
                <w:highlight w:val="none"/>
                <w:u w:val="single"/>
              </w:rPr>
              <w:t>本款不适用。</w:t>
            </w:r>
          </w:p>
        </w:tc>
      </w:tr>
      <w:tr w14:paraId="2BAEE8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E8F7B27">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14:paraId="0B808BF4">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14:paraId="52875AEF">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14:paraId="26AD9241">
            <w:pPr>
              <w:rPr>
                <w:rFonts w:ascii="宋体" w:hAnsi="宋体"/>
                <w:color w:val="auto"/>
                <w:szCs w:val="21"/>
                <w:highlight w:val="none"/>
                <w:u w:val="single"/>
              </w:rPr>
            </w:pPr>
            <w:r>
              <w:rPr>
                <w:rFonts w:hint="eastAsia" w:ascii="宋体" w:hAnsi="宋体"/>
                <w:color w:val="auto"/>
                <w:szCs w:val="21"/>
                <w:highlight w:val="none"/>
                <w:u w:val="single"/>
              </w:rPr>
              <w:t>详见</w:t>
            </w:r>
            <w:r>
              <w:rPr>
                <w:rFonts w:hint="eastAsia" w:ascii="宋体" w:hAnsi="宋体"/>
                <w:color w:val="auto"/>
                <w:szCs w:val="21"/>
                <w:highlight w:val="none"/>
                <w:u w:val="single"/>
                <w:lang w:eastAsia="zh-CN"/>
              </w:rPr>
              <w:t>施工</w:t>
            </w:r>
            <w:r>
              <w:rPr>
                <w:rFonts w:hint="eastAsia" w:ascii="宋体" w:hAnsi="宋体"/>
                <w:color w:val="auto"/>
                <w:szCs w:val="21"/>
                <w:highlight w:val="none"/>
                <w:u w:val="single"/>
              </w:rPr>
              <w:t>合同条款。</w:t>
            </w:r>
          </w:p>
        </w:tc>
      </w:tr>
      <w:tr w14:paraId="7D0E5F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2BD94E3">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18C2EA66">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16D7EF13">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14:paraId="0EA89B45">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3BC43A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348462F">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14:paraId="248CEBED">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2A95296E">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14:paraId="12095196">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14:paraId="631DB86E">
            <w:pPr>
              <w:rPr>
                <w:rFonts w:ascii="宋体" w:hAnsi="宋体"/>
                <w:color w:val="auto"/>
                <w:kern w:val="0"/>
                <w:szCs w:val="21"/>
                <w:highlight w:val="none"/>
                <w:lang w:val="zh-CN"/>
              </w:rPr>
            </w:pPr>
            <w:r>
              <w:rPr>
                <w:rFonts w:hint="eastAsia" w:ascii="宋体" w:hAnsi="宋体"/>
                <w:color w:val="auto"/>
                <w:kern w:val="0"/>
                <w:szCs w:val="21"/>
                <w:highlight w:val="none"/>
                <w:lang w:val="zh-CN"/>
              </w:rPr>
              <w:t>☑允许：允许非主体、非关键性工程进行分包，承包人不具备相应资质的，需经发包人审核批准后分包给具有相应资质和能力的专业单位实施。</w:t>
            </w:r>
          </w:p>
        </w:tc>
      </w:tr>
      <w:tr w14:paraId="6E7AB8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9C8EE3A">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14:paraId="54AE8A4F">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14:paraId="19B0089E">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14:paraId="541AA194">
            <w:pPr>
              <w:rPr>
                <w:rFonts w:ascii="宋体" w:hAnsi="宋体" w:cs="Courier New"/>
                <w:color w:val="auto"/>
                <w:szCs w:val="21"/>
                <w:highlight w:val="none"/>
              </w:rPr>
            </w:pPr>
            <w:r>
              <w:rPr>
                <w:rFonts w:hint="eastAsia" w:ascii="宋体" w:hAnsi="宋体" w:cs="Courier New"/>
                <w:color w:val="auto"/>
                <w:szCs w:val="21"/>
                <w:highlight w:val="none"/>
              </w:rPr>
              <w:t>1、按照</w:t>
            </w:r>
            <w:r>
              <w:rPr>
                <w:rFonts w:hint="eastAsia" w:ascii="宋体" w:hAnsi="宋体" w:cs="宋体"/>
                <w:color w:val="auto"/>
                <w:szCs w:val="21"/>
                <w:highlight w:val="none"/>
              </w:rPr>
              <w:t>广州交易集团有限公司（广州公共资源交易中心）</w:t>
            </w:r>
            <w:r>
              <w:rPr>
                <w:rFonts w:hint="eastAsia" w:ascii="宋体" w:hAnsi="宋体" w:cs="Courier New"/>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s="Courier New"/>
                <w:color w:val="auto"/>
                <w:szCs w:val="21"/>
                <w:highlight w:val="none"/>
                <w:u w:val="single"/>
              </w:rPr>
              <w:t xml:space="preserve">。 </w:t>
            </w:r>
            <w:r>
              <w:rPr>
                <w:rFonts w:hint="eastAsia" w:ascii="宋体" w:hAnsi="宋体" w:cs="Courier New"/>
                <w:color w:val="auto"/>
                <w:szCs w:val="21"/>
                <w:highlight w:val="none"/>
              </w:rPr>
              <w:t xml:space="preserve"> </w:t>
            </w:r>
          </w:p>
          <w:p w14:paraId="41115377">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14:paraId="6D87E5F3">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w:t>
            </w:r>
            <w:r>
              <w:rPr>
                <w:rFonts w:hint="eastAsia" w:ascii="宋体" w:hAnsi="宋体" w:eastAsia="宋体" w:cs="宋体"/>
                <w:b/>
                <w:bCs/>
                <w:color w:val="auto"/>
                <w:sz w:val="21"/>
                <w:szCs w:val="21"/>
                <w:highlight w:val="none"/>
                <w:u w:val="single"/>
              </w:rPr>
              <w:t>凭法定代表人明书及法定代表人授权委托书（授权代表递交时出具)递交投标文件备用光盘，并出示本人身份证原件</w:t>
            </w:r>
            <w:r>
              <w:rPr>
                <w:rFonts w:hint="eastAsia" w:ascii="宋体" w:hAnsi="宋体" w:cs="Courier New"/>
                <w:color w:val="auto"/>
                <w:szCs w:val="21"/>
                <w:highlight w:val="none"/>
              </w:rPr>
              <w:t>。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2CB0E349">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14:paraId="0D26411C">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14:paraId="5AC67C00">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5E5C39D">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14:paraId="408C7E7D">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14:paraId="01EB78D0">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14:paraId="4134EE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trPr>
        <w:tc>
          <w:tcPr>
            <w:tcW w:w="702" w:type="dxa"/>
            <w:tcBorders>
              <w:top w:val="single" w:color="auto" w:sz="4" w:space="0"/>
              <w:left w:val="double" w:color="auto" w:sz="4" w:space="0"/>
              <w:right w:val="single" w:color="auto" w:sz="4" w:space="0"/>
            </w:tcBorders>
            <w:vAlign w:val="center"/>
          </w:tcPr>
          <w:p w14:paraId="326E772E">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37</w:t>
            </w:r>
          </w:p>
        </w:tc>
        <w:tc>
          <w:tcPr>
            <w:tcW w:w="981" w:type="dxa"/>
            <w:tcBorders>
              <w:top w:val="single" w:color="auto" w:sz="4" w:space="0"/>
              <w:left w:val="single" w:color="auto" w:sz="4" w:space="0"/>
              <w:right w:val="single" w:color="auto" w:sz="4" w:space="0"/>
            </w:tcBorders>
            <w:vAlign w:val="center"/>
          </w:tcPr>
          <w:p w14:paraId="4FBBC748">
            <w:pPr>
              <w:spacing w:beforeLines="50" w:line="360" w:lineRule="auto"/>
              <w:contextualSpacing/>
              <w:jc w:val="center"/>
              <w:rPr>
                <w:rFonts w:hint="eastAsia" w:ascii="宋体" w:hAnsi="宋体" w:cs="宋体"/>
                <w:color w:val="auto"/>
                <w:kern w:val="2"/>
                <w:sz w:val="21"/>
                <w:szCs w:val="21"/>
                <w:highlight w:val="none"/>
                <w:lang w:val="en-US" w:eastAsia="zh-CN" w:bidi="ar-SA"/>
              </w:rPr>
            </w:pPr>
          </w:p>
        </w:tc>
        <w:tc>
          <w:tcPr>
            <w:tcW w:w="1810" w:type="dxa"/>
            <w:tcBorders>
              <w:top w:val="single" w:color="auto" w:sz="4" w:space="0"/>
              <w:left w:val="single" w:color="auto" w:sz="4" w:space="0"/>
              <w:right w:val="single" w:color="auto" w:sz="4" w:space="0"/>
            </w:tcBorders>
            <w:vAlign w:val="center"/>
          </w:tcPr>
          <w:p w14:paraId="6DA4FB1C">
            <w:pPr>
              <w:jc w:val="center"/>
              <w:rPr>
                <w:rFonts w:hint="eastAsia" w:ascii="宋体" w:hAnsi="宋体"/>
                <w:color w:val="auto"/>
                <w:highlight w:val="none"/>
                <w:lang w:val="en-US" w:eastAsia="zh-CN"/>
              </w:rPr>
            </w:pPr>
            <w:r>
              <w:rPr>
                <w:rFonts w:hint="eastAsia" w:ascii="宋体" w:hAnsi="宋体"/>
                <w:color w:val="auto"/>
                <w:highlight w:val="none"/>
                <w:lang w:val="en-US" w:eastAsia="zh-CN"/>
              </w:rPr>
              <w:t>其他</w:t>
            </w:r>
          </w:p>
        </w:tc>
        <w:tc>
          <w:tcPr>
            <w:tcW w:w="5857" w:type="dxa"/>
            <w:tcBorders>
              <w:top w:val="single" w:color="auto" w:sz="4" w:space="0"/>
              <w:left w:val="single" w:color="auto" w:sz="4" w:space="0"/>
              <w:bottom w:val="double" w:color="auto" w:sz="4" w:space="0"/>
              <w:right w:val="double" w:color="auto" w:sz="4" w:space="0"/>
            </w:tcBorders>
            <w:vAlign w:val="center"/>
          </w:tcPr>
          <w:p w14:paraId="3D45FA6A">
            <w:pPr>
              <w:pBdr>
                <w:bottom w:val="single" w:color="auto" w:sz="6" w:space="1"/>
              </w:pBdr>
              <w:spacing w:line="240" w:lineRule="auto"/>
              <w:rPr>
                <w:rFonts w:hint="eastAsia" w:ascii="宋体" w:hAnsi="宋体" w:eastAsia="宋体" w:cs="宋体"/>
                <w:color w:val="auto"/>
                <w:kern w:val="0"/>
                <w:szCs w:val="21"/>
                <w:highlight w:val="none"/>
              </w:rPr>
            </w:pPr>
            <w:r>
              <w:rPr>
                <w:rFonts w:hint="eastAsia" w:ascii="宋体" w:hAnsi="宋体" w:cs="宋体"/>
                <w:color w:val="auto"/>
                <w:szCs w:val="21"/>
                <w:highlight w:val="none"/>
                <w:u w:val="none"/>
              </w:rPr>
              <w:t>发放中标通知书后3个工作天内投标人将在</w:t>
            </w:r>
            <w:r>
              <w:rPr>
                <w:rFonts w:hint="eastAsia" w:ascii="宋体" w:hAnsi="宋体" w:eastAsia="宋体" w:cs="Calibri"/>
                <w:b w:val="0"/>
                <w:bCs w:val="0"/>
                <w:color w:val="auto"/>
                <w:kern w:val="2"/>
                <w:sz w:val="21"/>
                <w:szCs w:val="21"/>
                <w:highlight w:val="none"/>
                <w:u w:val="single"/>
              </w:rPr>
              <w:t>广州交易集团有限公司（广州公共资源交易中心）</w:t>
            </w:r>
            <w:r>
              <w:rPr>
                <w:rFonts w:hint="eastAsia" w:ascii="宋体" w:hAnsi="宋体" w:cs="宋体"/>
                <w:color w:val="auto"/>
                <w:szCs w:val="21"/>
                <w:highlight w:val="none"/>
                <w:u w:val="none"/>
              </w:rPr>
              <w:t>网站下载的投标文件打印，投标人加盖公章，共</w:t>
            </w:r>
            <w:r>
              <w:rPr>
                <w:rFonts w:hint="eastAsia" w:ascii="宋体" w:hAnsi="宋体" w:cs="宋体"/>
                <w:color w:val="auto"/>
                <w:szCs w:val="21"/>
                <w:highlight w:val="none"/>
                <w:u w:val="none"/>
                <w:lang w:eastAsia="zh-CN"/>
              </w:rPr>
              <w:t>4</w:t>
            </w:r>
            <w:r>
              <w:rPr>
                <w:rFonts w:hint="eastAsia" w:ascii="宋体" w:hAnsi="宋体" w:cs="宋体"/>
                <w:color w:val="auto"/>
                <w:szCs w:val="21"/>
                <w:highlight w:val="none"/>
                <w:u w:val="none"/>
              </w:rPr>
              <w:t>套投标文件提供给招标人，相关费用由投标人支付。</w:t>
            </w:r>
          </w:p>
        </w:tc>
      </w:tr>
    </w:tbl>
    <w:p w14:paraId="70DE2916">
      <w:pPr>
        <w:pStyle w:val="6"/>
        <w:spacing w:before="0" w:after="0" w:line="240" w:lineRule="auto"/>
        <w:ind w:left="0"/>
        <w:jc w:val="center"/>
        <w:rPr>
          <w:color w:val="auto"/>
          <w:highlight w:val="none"/>
        </w:rPr>
      </w:pPr>
      <w:bookmarkStart w:id="4" w:name="_Toc2272547"/>
      <w:bookmarkStart w:id="5" w:name="_Toc21525491"/>
    </w:p>
    <w:p w14:paraId="501AD3A5">
      <w:pPr>
        <w:pStyle w:val="6"/>
        <w:spacing w:before="0" w:after="0" w:line="240" w:lineRule="auto"/>
        <w:ind w:left="0"/>
        <w:jc w:val="center"/>
        <w:rPr>
          <w:rFonts w:hint="eastAsia"/>
          <w:color w:val="auto"/>
          <w:highlight w:val="none"/>
        </w:rPr>
      </w:pPr>
    </w:p>
    <w:p w14:paraId="7912CE40">
      <w:pPr>
        <w:rPr>
          <w:rFonts w:hint="eastAsia"/>
          <w:color w:val="auto"/>
          <w:highlight w:val="none"/>
        </w:rPr>
      </w:pPr>
    </w:p>
    <w:p w14:paraId="20B0647E">
      <w:pPr>
        <w:rPr>
          <w:rFonts w:hint="eastAsia"/>
          <w:color w:val="auto"/>
          <w:highlight w:val="none"/>
        </w:rPr>
      </w:pPr>
    </w:p>
    <w:p w14:paraId="5CB1F872">
      <w:pPr>
        <w:rPr>
          <w:rFonts w:hint="eastAsia"/>
          <w:color w:val="auto"/>
          <w:highlight w:val="none"/>
        </w:rPr>
      </w:pPr>
    </w:p>
    <w:p w14:paraId="50BE601A">
      <w:pPr>
        <w:rPr>
          <w:rFonts w:hint="eastAsia"/>
          <w:color w:val="auto"/>
          <w:highlight w:val="none"/>
        </w:rPr>
      </w:pPr>
    </w:p>
    <w:p w14:paraId="1013ED53">
      <w:pPr>
        <w:rPr>
          <w:rFonts w:hint="eastAsia"/>
          <w:color w:val="auto"/>
          <w:highlight w:val="none"/>
        </w:rPr>
      </w:pPr>
    </w:p>
    <w:p w14:paraId="79E2B50A">
      <w:pPr>
        <w:rPr>
          <w:rFonts w:hint="eastAsia"/>
          <w:color w:val="auto"/>
          <w:highlight w:val="none"/>
        </w:rPr>
      </w:pPr>
    </w:p>
    <w:p w14:paraId="59E1FF9D">
      <w:pPr>
        <w:rPr>
          <w:rFonts w:hint="eastAsia"/>
          <w:color w:val="auto"/>
          <w:highlight w:val="none"/>
        </w:rPr>
      </w:pPr>
    </w:p>
    <w:p w14:paraId="00FA6E26">
      <w:pPr>
        <w:rPr>
          <w:rFonts w:hint="eastAsia"/>
          <w:color w:val="auto"/>
          <w:highlight w:val="none"/>
        </w:rPr>
      </w:pPr>
    </w:p>
    <w:p w14:paraId="035D5132">
      <w:pPr>
        <w:rPr>
          <w:rFonts w:hint="eastAsia"/>
          <w:color w:val="auto"/>
          <w:highlight w:val="none"/>
        </w:rPr>
      </w:pPr>
    </w:p>
    <w:p w14:paraId="0AD1FEEF">
      <w:pPr>
        <w:pStyle w:val="6"/>
        <w:spacing w:before="0" w:after="0" w:line="240" w:lineRule="auto"/>
        <w:ind w:left="0"/>
        <w:jc w:val="center"/>
        <w:rPr>
          <w:color w:val="auto"/>
          <w:highlight w:val="none"/>
        </w:rPr>
      </w:pPr>
      <w:r>
        <w:rPr>
          <w:rFonts w:hint="eastAsia"/>
          <w:color w:val="auto"/>
          <w:highlight w:val="none"/>
        </w:rPr>
        <w:t>二、投标须知修改表</w:t>
      </w:r>
      <w:bookmarkEnd w:id="4"/>
      <w:bookmarkEnd w:id="5"/>
    </w:p>
    <w:p w14:paraId="605D3C07">
      <w:pPr>
        <w:pStyle w:val="4"/>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b/>
          <w:color w:val="auto"/>
          <w:szCs w:val="21"/>
          <w:highlight w:val="none"/>
        </w:rPr>
        <w:t>http://www.gzcc.gov.cn/</w:t>
      </w:r>
      <w:r>
        <w:rPr>
          <w:rFonts w:hint="eastAsia"/>
          <w:b/>
          <w:color w:val="auto"/>
          <w:szCs w:val="21"/>
          <w:highlight w:val="none"/>
        </w:rPr>
        <w:t>）下载查阅。</w:t>
      </w:r>
    </w:p>
    <w:p w14:paraId="63451EDC">
      <w:pPr>
        <w:pStyle w:val="4"/>
        <w:spacing w:line="360" w:lineRule="auto"/>
        <w:ind w:firstLine="0"/>
        <w:rPr>
          <w:rFonts w:hint="default"/>
          <w:b/>
          <w:color w:val="auto"/>
          <w:szCs w:val="21"/>
          <w:highlight w:val="none"/>
          <w:u w:val="single"/>
        </w:rPr>
      </w:pPr>
      <w:r>
        <w:rPr>
          <w:rFonts w:hint="eastAsia"/>
          <w:b/>
          <w:color w:val="auto"/>
          <w:szCs w:val="21"/>
          <w:highlight w:val="none"/>
          <w:u w:val="single"/>
          <w:lang w:val="en-US" w:eastAsia="zh-CN"/>
        </w:rPr>
        <w:t xml:space="preserve">                                                                                    </w:t>
      </w:r>
    </w:p>
    <w:p w14:paraId="448C62FC">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b/>
          <w:color w:val="auto"/>
          <w:szCs w:val="21"/>
          <w:highlight w:val="none"/>
        </w:rPr>
        <w:t xml:space="preserve">5.1                        </w:t>
      </w:r>
      <w:r>
        <w:rPr>
          <w:rFonts w:hint="eastAsia"/>
          <w:b/>
          <w:color w:val="auto"/>
          <w:szCs w:val="21"/>
          <w:highlight w:val="none"/>
        </w:rPr>
        <w:t>修改类型：</w:t>
      </w:r>
      <w:r>
        <w:rPr>
          <w:rFonts w:hint="eastAsia" w:ascii="宋体" w:hAnsi="宋体"/>
          <w:b/>
          <w:color w:val="auto"/>
          <w:szCs w:val="21"/>
          <w:highlight w:val="none"/>
        </w:rPr>
        <w:t>修改</w:t>
      </w:r>
    </w:p>
    <w:p w14:paraId="7B96FD0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7BCC068A">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Cs w:val="21"/>
          <w:highlight w:val="none"/>
          <w:u w:val="single"/>
        </w:rPr>
        <w:t>投标人不进行踏勘的，视为已熟知现场条件，自行承担相关风险。投标人需根据现场踏勘情况以及图纸及工程量清单，如有疑问的应在招标答疑时提出，招标答疑后经招标单位修正确认的工程量清单作为综合单价包干的结算依据，投标单位必须按此清单统一报价。</w:t>
      </w:r>
      <w:r>
        <w:rPr>
          <w:rFonts w:hint="eastAsia" w:ascii="宋体" w:hAnsi="宋体"/>
          <w:color w:val="auto"/>
          <w:szCs w:val="21"/>
          <w:highlight w:val="none"/>
        </w:rPr>
        <w:t>一旦中标，这种考察即被认为其结果已在中标文件中得到充分反映。考察现场的费用由投标人自己承担。</w:t>
      </w:r>
    </w:p>
    <w:p w14:paraId="4952DEB1">
      <w:pPr>
        <w:pStyle w:val="9"/>
        <w:ind w:firstLine="0"/>
        <w:rPr>
          <w:rFonts w:hint="default"/>
          <w:color w:val="auto"/>
          <w:highlight w:val="none"/>
          <w:u w:val="single"/>
        </w:rPr>
      </w:pPr>
      <w:r>
        <w:rPr>
          <w:rFonts w:hint="eastAsia"/>
          <w:color w:val="auto"/>
          <w:highlight w:val="none"/>
          <w:u w:val="none"/>
          <w:lang w:val="en-US" w:eastAsia="zh-CN"/>
        </w:rPr>
        <w:t xml:space="preserve"> </w:t>
      </w:r>
      <w:r>
        <w:rPr>
          <w:rFonts w:hint="eastAsia"/>
          <w:color w:val="auto"/>
          <w:highlight w:val="none"/>
          <w:u w:val="single"/>
          <w:lang w:val="en-US" w:eastAsia="zh-CN"/>
        </w:rPr>
        <w:t xml:space="preserve">                                                                                        </w:t>
      </w:r>
    </w:p>
    <w:p w14:paraId="68EC5A10">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b/>
          <w:color w:val="auto"/>
          <w:szCs w:val="21"/>
          <w:highlight w:val="none"/>
        </w:rPr>
        <w:t xml:space="preserve">8.1                        </w:t>
      </w:r>
      <w:r>
        <w:rPr>
          <w:rFonts w:hint="eastAsia"/>
          <w:b/>
          <w:color w:val="auto"/>
          <w:szCs w:val="21"/>
          <w:highlight w:val="none"/>
        </w:rPr>
        <w:t>修改类型：修改</w:t>
      </w:r>
    </w:p>
    <w:p w14:paraId="7D227D94">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 xml:space="preserve">8.1 </w:t>
      </w:r>
      <w:r>
        <w:rPr>
          <w:rFonts w:hint="eastAsia" w:ascii="宋体" w:hAnsi="宋体"/>
          <w:color w:val="auto"/>
          <w:szCs w:val="21"/>
          <w:highlight w:val="none"/>
        </w:rPr>
        <w:t>投标人若对招标文件（包括招标图纸）中有疑问，可以书面形式通过交易平台提交给招标人或招标代理人，提交形式见本须知前附表第</w:t>
      </w:r>
      <w:r>
        <w:rPr>
          <w:rFonts w:ascii="宋体" w:hAnsi="宋体"/>
          <w:color w:val="auto"/>
          <w:szCs w:val="21"/>
          <w:highlight w:val="none"/>
        </w:rPr>
        <w:t>16</w:t>
      </w:r>
      <w:r>
        <w:rPr>
          <w:rFonts w:hint="eastAsia" w:ascii="宋体" w:hAnsi="宋体"/>
          <w:color w:val="auto"/>
          <w:szCs w:val="21"/>
          <w:highlight w:val="none"/>
        </w:rPr>
        <w:t>项。</w:t>
      </w:r>
    </w:p>
    <w:p w14:paraId="1C087C2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 xml:space="preserve">8.1 </w:t>
      </w:r>
      <w:r>
        <w:rPr>
          <w:rFonts w:hint="eastAsia" w:ascii="宋体" w:hAnsi="宋体"/>
          <w:color w:val="auto"/>
          <w:szCs w:val="21"/>
          <w:highlight w:val="none"/>
        </w:rPr>
        <w:t>投标人若对招标文件（包括招标图纸）中有疑问，可以通过</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rPr>
        <w:t>交易平台提交给招标人或招标代理人，提交形式见本须知前附表第</w:t>
      </w:r>
      <w:r>
        <w:rPr>
          <w:rFonts w:ascii="宋体" w:hAnsi="宋体"/>
          <w:color w:val="auto"/>
          <w:szCs w:val="21"/>
          <w:highlight w:val="none"/>
        </w:rPr>
        <w:t>16</w:t>
      </w:r>
      <w:r>
        <w:rPr>
          <w:rFonts w:hint="eastAsia" w:ascii="宋体" w:hAnsi="宋体"/>
          <w:color w:val="auto"/>
          <w:szCs w:val="21"/>
          <w:highlight w:val="none"/>
        </w:rPr>
        <w:t>项。</w:t>
      </w:r>
    </w:p>
    <w:p w14:paraId="55014B8F">
      <w:pPr>
        <w:pBdr>
          <w:bottom w:val="single" w:color="auto" w:sz="6" w:space="1"/>
        </w:pBdr>
        <w:spacing w:line="360" w:lineRule="auto"/>
        <w:ind w:right="105" w:rightChars="50" w:firstLine="420" w:firstLineChars="200"/>
        <w:rPr>
          <w:color w:val="auto"/>
          <w:highlight w:val="none"/>
        </w:rPr>
      </w:pPr>
      <w:r>
        <w:rPr>
          <w:rFonts w:hint="eastAsia" w:ascii="宋体" w:hAnsi="宋体"/>
          <w:color w:val="auto"/>
          <w:szCs w:val="21"/>
          <w:highlight w:val="none"/>
          <w:u w:val="single"/>
        </w:rPr>
        <w:t>网上答疑的操作指南为：登陆</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u w:val="single"/>
        </w:rPr>
        <w:t>网站→进入“项目招标答疑”专区→通过项目编号或名称找到所需的项目→在上述的答疑时间内点击“提问”→提出问题以及查看所有的问题。</w:t>
      </w:r>
    </w:p>
    <w:p w14:paraId="1C448A1D">
      <w:pPr>
        <w:pStyle w:val="9"/>
        <w:rPr>
          <w:color w:val="auto"/>
          <w:highlight w:val="none"/>
        </w:rPr>
      </w:pPr>
    </w:p>
    <w:p w14:paraId="662EAF7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条款号：8.2                        修改类型：修改</w:t>
      </w:r>
    </w:p>
    <w:p w14:paraId="59F394B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8.2 招标答疑会会议纪要将在提交投标文件截止时间15日前在交易平台“项目答疑纪要”专区公开发布。答疑纪要一经在交易平台发布，视作已发放给所有投标人。</w:t>
      </w:r>
    </w:p>
    <w:p w14:paraId="63C24C7F">
      <w:pPr>
        <w:pBdr>
          <w:bottom w:val="single" w:color="auto" w:sz="6"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8.2 招标答疑会会议纪要将在提交投标文件截止时间15日前在</w:t>
      </w:r>
      <w:r>
        <w:rPr>
          <w:rFonts w:hint="eastAsia" w:ascii="宋体" w:hAnsi="宋体"/>
          <w:color w:val="auto"/>
          <w:szCs w:val="21"/>
          <w:highlight w:val="none"/>
          <w:u w:val="single"/>
        </w:rPr>
        <w:t xml:space="preserve"> </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交易平台“项目答疑纪要”专区公开发布。答疑纪要一经在</w:t>
      </w:r>
      <w:r>
        <w:rPr>
          <w:rFonts w:hint="eastAsia" w:ascii="宋体" w:hAnsi="宋体"/>
          <w:color w:val="auto"/>
          <w:szCs w:val="21"/>
          <w:highlight w:val="none"/>
          <w:u w:val="single"/>
        </w:rPr>
        <w:t xml:space="preserve"> </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交易平台发布，视作已发放给所有投标人。</w:t>
      </w:r>
    </w:p>
    <w:p w14:paraId="7BB54AFE">
      <w:pPr>
        <w:pStyle w:val="9"/>
        <w:rPr>
          <w:color w:val="auto"/>
          <w:highlight w:val="none"/>
        </w:rPr>
      </w:pPr>
    </w:p>
    <w:p w14:paraId="264E1D2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条款号：9.2                         修改类型：修改</w:t>
      </w:r>
    </w:p>
    <w:p w14:paraId="752DFFA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9.2 招标文件的澄清或修改将在交易平台“项目答疑纪要”专区公开发布。答疑纪要一经在交易平台发布，视作已发放给所有投标人，以交易平台上网发布时间作为送达时间。</w:t>
      </w:r>
    </w:p>
    <w:p w14:paraId="6018BCCB">
      <w:pPr>
        <w:pBdr>
          <w:bottom w:val="single" w:color="auto" w:sz="6" w:space="1"/>
        </w:pBd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9.2 招标文件的澄清或修改将在</w:t>
      </w:r>
      <w:r>
        <w:rPr>
          <w:rFonts w:hint="eastAsia" w:ascii="宋体" w:hAnsi="宋体"/>
          <w:color w:val="auto"/>
          <w:szCs w:val="21"/>
          <w:highlight w:val="none"/>
          <w:u w:val="single"/>
        </w:rPr>
        <w:t xml:space="preserve"> </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1"/>
          <w:highlight w:val="none"/>
          <w:u w:val="single"/>
        </w:rPr>
        <w:t>“建设工程”→“项目查询（日程安排、答疑纪要）”</w:t>
      </w:r>
      <w:r>
        <w:rPr>
          <w:rFonts w:hint="eastAsia" w:ascii="宋体" w:hAnsi="宋体"/>
          <w:color w:val="auto"/>
          <w:szCs w:val="21"/>
          <w:highlight w:val="none"/>
        </w:rPr>
        <w:t>专区公开发布。答疑纪要一经在</w:t>
      </w:r>
      <w:r>
        <w:rPr>
          <w:rFonts w:hint="eastAsia" w:ascii="宋体" w:hAnsi="宋体"/>
          <w:color w:val="auto"/>
          <w:szCs w:val="21"/>
          <w:highlight w:val="none"/>
          <w:u w:val="single"/>
        </w:rPr>
        <w:t xml:space="preserve"> </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交易平台发布，视作已发放给所有投标人，以</w:t>
      </w:r>
      <w:r>
        <w:rPr>
          <w:rFonts w:hint="eastAsia" w:ascii="宋体" w:hAnsi="宋体"/>
          <w:color w:val="auto"/>
          <w:szCs w:val="21"/>
          <w:highlight w:val="none"/>
          <w:u w:val="single"/>
        </w:rPr>
        <w:t xml:space="preserve"> </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交易平台上网发布时间作为送达时间。</w:t>
      </w:r>
    </w:p>
    <w:p w14:paraId="4C29EBBA">
      <w:pPr>
        <w:spacing w:line="360" w:lineRule="auto"/>
        <w:ind w:firstLine="527" w:firstLineChars="250"/>
        <w:rPr>
          <w:rFonts w:ascii="宋体" w:hAnsi="宋体"/>
          <w:b/>
          <w:color w:val="auto"/>
          <w:szCs w:val="21"/>
          <w:highlight w:val="none"/>
        </w:rPr>
      </w:pPr>
    </w:p>
    <w:p w14:paraId="46D051E7">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条款号：9.4                         修改类型：修改</w:t>
      </w:r>
    </w:p>
    <w:p w14:paraId="737059FA">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9.4 招标文件的澄清或修改均以书面形式明确的内容为准。当招标文件的澄清、修改、补充等在同一内容的表述不一致时，以最后发出的书面形式的文件为准。</w:t>
      </w:r>
    </w:p>
    <w:p w14:paraId="5201ECD9">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9.4 招标文件的澄清或修改均以</w:t>
      </w:r>
      <w:r>
        <w:rPr>
          <w:rFonts w:hint="eastAsia" w:ascii="宋体" w:hAnsi="宋体"/>
          <w:color w:val="auto"/>
          <w:szCs w:val="21"/>
          <w:highlight w:val="none"/>
          <w:u w:val="single"/>
        </w:rPr>
        <w:t>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u w:val="single"/>
        </w:rPr>
        <w:t>交易平台“建设工程”→“项目查询（日程安排、答疑纪要）”专区公开发布</w:t>
      </w:r>
      <w:r>
        <w:rPr>
          <w:rFonts w:hint="eastAsia" w:ascii="宋体" w:hAnsi="宋体"/>
          <w:color w:val="auto"/>
          <w:szCs w:val="21"/>
          <w:highlight w:val="none"/>
        </w:rPr>
        <w:t>的内容为准。当招标文件的澄清、修改、补充等在同一内容的表述不一致时，以最后发出的文件为准。</w:t>
      </w:r>
    </w:p>
    <w:p w14:paraId="39519AAA">
      <w:pPr>
        <w:spacing w:line="360" w:lineRule="auto"/>
        <w:ind w:firstLine="211" w:firstLineChars="100"/>
        <w:rPr>
          <w:b/>
          <w:color w:val="auto"/>
          <w:szCs w:val="21"/>
          <w:highlight w:val="none"/>
        </w:rPr>
      </w:pPr>
    </w:p>
    <w:p w14:paraId="7BC7BDFE">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条款号：11                         修改类型：修改</w:t>
      </w:r>
    </w:p>
    <w:p w14:paraId="34DEF2DB">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原文：11．投标文件的组成</w:t>
      </w:r>
    </w:p>
    <w:p w14:paraId="5F5973DA">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11.1 投标文件由技术部分（含资格审查文件）和经济部分二部分投标文件组成。</w:t>
      </w:r>
    </w:p>
    <w:p w14:paraId="38B2C84F">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 投标文件技术标部分主要包括下列内容:</w:t>
      </w:r>
    </w:p>
    <w:p w14:paraId="5A838A16">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11.2.1 技术投标文件(按招标文件的要求填写)；</w:t>
      </w:r>
    </w:p>
    <w:p w14:paraId="6B8130B1">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11.2.2 资格审查文件：</w:t>
      </w:r>
    </w:p>
    <w:p w14:paraId="7B46814B">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（1）投标人声明； </w:t>
      </w:r>
    </w:p>
    <w:p w14:paraId="29EBD7A2">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（2）法定代表人证明书、法定代表人签字或盖章的本投标文件授权委托证明书；</w:t>
      </w:r>
    </w:p>
    <w:p w14:paraId="6E6543F8">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（3）企业营业执照（取自库内上传件）；</w:t>
      </w:r>
    </w:p>
    <w:p w14:paraId="1217385E">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（4）企业资质证书（取自库内上传件）；</w:t>
      </w:r>
    </w:p>
    <w:p w14:paraId="7229F870">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（5）建筑施工企业安全生产许可证（取自库内上传件）；</w:t>
      </w:r>
    </w:p>
    <w:p w14:paraId="0615ECCE">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（6）项目负责人（按网上投标登记时选择拟投标的项目负责人）</w:t>
      </w:r>
    </w:p>
    <w:p w14:paraId="182AF2F8">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（7）专职安全员（按网上投标登记时选择拟投标的专职安全员）</w:t>
      </w:r>
    </w:p>
    <w:p w14:paraId="3E22089D">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（8）拟委托技术负责人的相关证书、资料（具体要求由招标人明确）</w:t>
      </w:r>
    </w:p>
    <w:p w14:paraId="7F8804B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（9）拟委派项目负责人的建造师或临时建造师证书或二级注册建造师电子注册证书相关证明（取自库内上传件）； </w:t>
      </w:r>
    </w:p>
    <w:p w14:paraId="11217DD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（10）项目负责人安全培训考核合格证明或在有效期内的安全考核合格证书（B类）（取自库内上传件），或提供广东省建筑施工企业管理人员安全生产考核信息系统安全生产管理人员证书信息的网页截图；</w:t>
      </w:r>
    </w:p>
    <w:p w14:paraId="4DA5CABB">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（11）专职安全员须具有在有效期内的安全考核合格证书（C类）（取自库内上传件），或提供广东省建筑施工企业管理人员安全生产考核信息系统安全生产管理人员证书信息的网页截图；</w:t>
      </w:r>
    </w:p>
    <w:p w14:paraId="47ADAE00">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（12）用于资格审查的业绩（设置业绩要求时选择此项，投标人须提供类似工程业绩的项目名称及项目编号，具体格式由招标人自定）；</w:t>
      </w:r>
    </w:p>
    <w:p w14:paraId="6819E769">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（13）资格审查前，投标人须在广州市住房和城乡建设局建立企业诚信档案，拟担任本工程项目负责人须是本企业诚信档案中的在册人员。</w:t>
      </w:r>
    </w:p>
    <w:p w14:paraId="25C2CDF9">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（14）列明主办单位的联合体工作协议（采用联合体投标时需递交，投标人拟任本工程项目负责人应为联合体主办方诚信档案中的在册人员，联合体工作协议应明确约定各方拟承担的工作和责任）； </w:t>
      </w:r>
    </w:p>
    <w:p w14:paraId="61A841C3">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3005EFCB">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11.2.3 项目管理机构配备。</w:t>
      </w:r>
    </w:p>
    <w:p w14:paraId="7210699C">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（1）投标人应列出该项目工程的施工组织机构构成和画出机构框架图及其负责人；</w:t>
      </w:r>
    </w:p>
    <w:p w14:paraId="0970DDB8">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14:paraId="44E06C9F">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（3）其他辅助说明资料。</w:t>
      </w:r>
    </w:p>
    <w:p w14:paraId="588DBC1C">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11.2.4 投标人在广州市可使用适合本工程的机械设备（附：机械设备为自有或租赁的说明；及承诺机械设备如属于租赁的，其租赁是不属于重复租赁）。</w:t>
      </w:r>
    </w:p>
    <w:p w14:paraId="469E2AC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11.2.5 施工组织设计或施工方案。</w:t>
      </w:r>
    </w:p>
    <w:p w14:paraId="1D6C824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11.2.6 按照招标文件要求填写的《参与编制技术标投标文件人员名单》。</w:t>
      </w:r>
    </w:p>
    <w:p w14:paraId="5D84FA6D">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 经济部分投标文件主要包括下列内容：</w:t>
      </w:r>
    </w:p>
    <w:p w14:paraId="5BDD2A9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11.3.1 经济投标文件(按招标文件的要求填写)。</w:t>
      </w:r>
    </w:p>
    <w:p w14:paraId="3DB20071">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1B3C531">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（1）投标总价封面、扉页；</w:t>
      </w:r>
    </w:p>
    <w:p w14:paraId="1A110A7E">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（2）总说明</w:t>
      </w:r>
    </w:p>
    <w:p w14:paraId="67213BFA">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（3）工程项目投标报价汇总表；</w:t>
      </w:r>
    </w:p>
    <w:p w14:paraId="1CB52B65">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（4）单项工程投标报价汇总表；</w:t>
      </w:r>
    </w:p>
    <w:p w14:paraId="00D464CB">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（5）单位工程投标报价汇总表；</w:t>
      </w:r>
    </w:p>
    <w:p w14:paraId="23FA9593">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（6）分部分项工程清单与计价表；</w:t>
      </w:r>
    </w:p>
    <w:p w14:paraId="71027D0E">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（7）单价措施项目清单与计价表；</w:t>
      </w:r>
    </w:p>
    <w:p w14:paraId="44C42681">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（8）总价措施项目清单与计价表；</w:t>
      </w:r>
    </w:p>
    <w:p w14:paraId="7692A090">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（9）综合单价分析表；</w:t>
      </w:r>
    </w:p>
    <w:p w14:paraId="7CC7F697">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（10）其他项目清单与计价汇总表；</w:t>
      </w:r>
    </w:p>
    <w:p w14:paraId="60185918">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（11）暂列金额明细表；</w:t>
      </w:r>
    </w:p>
    <w:p w14:paraId="7A3DD4EC">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（12）材料（工程设备）暂估价明细表；</w:t>
      </w:r>
    </w:p>
    <w:p w14:paraId="629C93D6">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（13）专业工程暂估价明细表；</w:t>
      </w:r>
    </w:p>
    <w:p w14:paraId="7AACA41F">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（14）计日工表；</w:t>
      </w:r>
    </w:p>
    <w:p w14:paraId="416BB82B">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（15）总承包服务计价表；</w:t>
      </w:r>
    </w:p>
    <w:p w14:paraId="6B35E08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（16）规费和税金项目计价表；</w:t>
      </w:r>
    </w:p>
    <w:p w14:paraId="736F893B">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（17）人工、主要材料和设备一览表</w:t>
      </w:r>
    </w:p>
    <w:p w14:paraId="278C3C2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11.3.3 按照招标文件要求填写的《参与编制经济标投标文件人员名单》。</w:t>
      </w:r>
    </w:p>
    <w:p w14:paraId="3AD23FF4">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11.3.4 若投标人的投标报价低于工程成本警戒价的，投标人还须提供详细的施工组织设计、单价、措施性费用、单价分析表、主要材料价格表、投标人成本分析供评标委员会评审。</w:t>
      </w:r>
    </w:p>
    <w:p w14:paraId="432A4B1F">
      <w:pPr>
        <w:pStyle w:val="4"/>
        <w:spacing w:after="0" w:line="360" w:lineRule="auto"/>
        <w:ind w:firstLine="422" w:firstLineChars="200"/>
        <w:rPr>
          <w:rFonts w:ascii="宋体"/>
          <w:b/>
          <w:bCs/>
          <w:color w:val="auto"/>
          <w:szCs w:val="21"/>
          <w:highlight w:val="none"/>
        </w:rPr>
      </w:pPr>
      <w:r>
        <w:rPr>
          <w:rFonts w:hint="eastAsia" w:ascii="宋体" w:hAnsi="宋体"/>
          <w:b/>
          <w:color w:val="auto"/>
          <w:szCs w:val="21"/>
          <w:highlight w:val="none"/>
        </w:rPr>
        <w:t>现文：</w:t>
      </w:r>
      <w:r>
        <w:rPr>
          <w:rFonts w:ascii="宋体" w:hAnsi="宋体"/>
          <w:b/>
          <w:bCs/>
          <w:color w:val="auto"/>
          <w:szCs w:val="21"/>
          <w:highlight w:val="none"/>
        </w:rPr>
        <w:t>11</w:t>
      </w:r>
      <w:r>
        <w:rPr>
          <w:rFonts w:hint="eastAsia" w:ascii="宋体" w:hAnsi="宋体"/>
          <w:b/>
          <w:bCs/>
          <w:color w:val="auto"/>
          <w:szCs w:val="21"/>
          <w:highlight w:val="none"/>
        </w:rPr>
        <w:t>．投标文件的组成</w:t>
      </w:r>
    </w:p>
    <w:p w14:paraId="0F9D588F">
      <w:pPr>
        <w:pStyle w:val="4"/>
        <w:spacing w:after="0" w:line="360" w:lineRule="auto"/>
        <w:ind w:firstLineChars="200"/>
        <w:rPr>
          <w:rFonts w:ascii="宋体"/>
          <w:b/>
          <w:color w:val="auto"/>
          <w:szCs w:val="21"/>
          <w:highlight w:val="none"/>
          <w:u w:val="single"/>
        </w:rPr>
      </w:pPr>
      <w:r>
        <w:rPr>
          <w:rFonts w:ascii="宋体" w:hAnsi="宋体"/>
          <w:color w:val="auto"/>
          <w:szCs w:val="21"/>
          <w:highlight w:val="none"/>
        </w:rPr>
        <w:t xml:space="preserve">11.1 </w:t>
      </w:r>
      <w:r>
        <w:rPr>
          <w:rFonts w:hint="eastAsia" w:ascii="宋体" w:hAnsi="宋体"/>
          <w:color w:val="auto"/>
          <w:szCs w:val="21"/>
          <w:highlight w:val="none"/>
          <w:u w:val="single"/>
        </w:rPr>
        <w:t>投标文件由评标部分及</w:t>
      </w:r>
      <w:r>
        <w:rPr>
          <w:rFonts w:hint="eastAsia" w:ascii="宋体" w:hAnsi="宋体"/>
          <w:bCs/>
          <w:color w:val="auto"/>
          <w:szCs w:val="21"/>
          <w:highlight w:val="none"/>
          <w:u w:val="single"/>
        </w:rPr>
        <w:t>定标部分两部分组成。其中评标部分</w:t>
      </w:r>
      <w:r>
        <w:rPr>
          <w:rFonts w:hint="eastAsia" w:ascii="宋体" w:hAnsi="宋体"/>
          <w:color w:val="auto"/>
          <w:szCs w:val="21"/>
          <w:highlight w:val="none"/>
          <w:u w:val="single"/>
        </w:rPr>
        <w:t>由技术标（含资格审查文件）和经济标组成</w:t>
      </w:r>
      <w:r>
        <w:rPr>
          <w:rFonts w:hint="eastAsia" w:ascii="宋体" w:hAnsi="宋体"/>
          <w:b w:val="0"/>
          <w:bCs/>
          <w:color w:val="auto"/>
          <w:szCs w:val="21"/>
          <w:highlight w:val="none"/>
          <w:u w:val="single"/>
        </w:rPr>
        <w:t>。</w:t>
      </w:r>
      <w:r>
        <w:rPr>
          <w:rFonts w:hint="eastAsia" w:ascii="宋体" w:hAnsi="宋体"/>
          <w:bCs/>
          <w:color w:val="auto"/>
          <w:szCs w:val="21"/>
          <w:highlight w:val="none"/>
          <w:u w:val="single"/>
        </w:rPr>
        <w:t>定标部分由拟派</w:t>
      </w:r>
      <w:r>
        <w:rPr>
          <w:rFonts w:hint="eastAsia"/>
          <w:color w:val="auto"/>
          <w:highlight w:val="none"/>
          <w:u w:val="single"/>
        </w:rPr>
        <w:t>施工履约能力与水平评价</w:t>
      </w:r>
      <w:r>
        <w:rPr>
          <w:rFonts w:hint="eastAsia" w:ascii="宋体" w:hAnsi="宋体"/>
          <w:bCs/>
          <w:color w:val="auto"/>
          <w:szCs w:val="21"/>
          <w:highlight w:val="none"/>
          <w:u w:val="single"/>
        </w:rPr>
        <w:t>、</w:t>
      </w:r>
      <w:r>
        <w:rPr>
          <w:rFonts w:hint="eastAsia"/>
          <w:color w:val="auto"/>
          <w:szCs w:val="22"/>
          <w:highlight w:val="none"/>
          <w:u w:val="single"/>
        </w:rPr>
        <w:t>服务保障能力</w:t>
      </w:r>
      <w:r>
        <w:rPr>
          <w:rFonts w:hint="eastAsia" w:ascii="宋体" w:hAnsi="宋体"/>
          <w:bCs/>
          <w:color w:val="auto"/>
          <w:szCs w:val="21"/>
          <w:highlight w:val="none"/>
          <w:u w:val="single"/>
        </w:rPr>
        <w:t>、</w:t>
      </w:r>
      <w:r>
        <w:rPr>
          <w:rFonts w:hint="eastAsia"/>
          <w:color w:val="auto"/>
          <w:highlight w:val="none"/>
          <w:u w:val="single"/>
        </w:rPr>
        <w:t>企业施工能力</w:t>
      </w:r>
      <w:r>
        <w:rPr>
          <w:rFonts w:hint="eastAsia" w:ascii="宋体" w:hAnsi="宋体"/>
          <w:bCs/>
          <w:color w:val="auto"/>
          <w:szCs w:val="21"/>
          <w:highlight w:val="none"/>
          <w:u w:val="single"/>
        </w:rPr>
        <w:t>组成</w:t>
      </w:r>
      <w:r>
        <w:rPr>
          <w:rFonts w:hint="eastAsia" w:ascii="宋体" w:hAnsi="宋体"/>
          <w:b w:val="0"/>
          <w:bCs/>
          <w:color w:val="auto"/>
          <w:szCs w:val="21"/>
          <w:highlight w:val="none"/>
          <w:u w:val="single"/>
        </w:rPr>
        <w:t>。</w:t>
      </w:r>
    </w:p>
    <w:p w14:paraId="3CE62BFF">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11.2</w:t>
      </w:r>
      <w:r>
        <w:rPr>
          <w:rFonts w:hint="eastAsia" w:ascii="宋体" w:hAnsi="宋体"/>
          <w:bCs/>
          <w:color w:val="auto"/>
          <w:szCs w:val="21"/>
          <w:highlight w:val="none"/>
        </w:rPr>
        <w:t>投标文件技术标部分主要包括下列内容</w:t>
      </w:r>
      <w:r>
        <w:rPr>
          <w:rFonts w:ascii="宋体" w:hAnsi="宋体"/>
          <w:bCs/>
          <w:color w:val="auto"/>
          <w:szCs w:val="21"/>
          <w:highlight w:val="none"/>
        </w:rPr>
        <w:t>:</w:t>
      </w:r>
    </w:p>
    <w:p w14:paraId="11EC9BC1">
      <w:pPr>
        <w:spacing w:line="360" w:lineRule="auto"/>
        <w:ind w:firstLine="420" w:firstLineChars="200"/>
        <w:rPr>
          <w:rFonts w:ascii="宋体"/>
          <w:bCs/>
          <w:color w:val="auto"/>
          <w:szCs w:val="21"/>
          <w:highlight w:val="none"/>
        </w:rPr>
      </w:pPr>
      <w:r>
        <w:rPr>
          <w:rFonts w:hint="eastAsia" w:ascii="宋体"/>
          <w:bCs/>
          <w:color w:val="auto"/>
          <w:szCs w:val="21"/>
          <w:highlight w:val="none"/>
        </w:rPr>
        <w:t>11.2.1 技术投标文件</w:t>
      </w:r>
      <w:r>
        <w:rPr>
          <w:rFonts w:ascii="宋体" w:hAnsi="宋体"/>
          <w:color w:val="auto"/>
          <w:szCs w:val="21"/>
          <w:highlight w:val="none"/>
        </w:rPr>
        <w:t>(</w:t>
      </w:r>
      <w:r>
        <w:rPr>
          <w:rFonts w:hint="eastAsia" w:ascii="宋体" w:hAnsi="宋体"/>
          <w:color w:val="auto"/>
          <w:szCs w:val="21"/>
          <w:highlight w:val="none"/>
        </w:rPr>
        <w:t>按招标文件的要求填写</w:t>
      </w:r>
      <w:r>
        <w:rPr>
          <w:rFonts w:ascii="宋体" w:hAnsi="宋体"/>
          <w:color w:val="auto"/>
          <w:szCs w:val="21"/>
          <w:highlight w:val="none"/>
        </w:rPr>
        <w:t>)</w:t>
      </w:r>
      <w:r>
        <w:rPr>
          <w:rFonts w:hint="eastAsia" w:ascii="宋体"/>
          <w:bCs/>
          <w:color w:val="auto"/>
          <w:szCs w:val="21"/>
          <w:highlight w:val="none"/>
        </w:rPr>
        <w:t>；</w:t>
      </w:r>
    </w:p>
    <w:p w14:paraId="329DDEBE">
      <w:pPr>
        <w:spacing w:line="360" w:lineRule="auto"/>
        <w:ind w:firstLine="420" w:firstLineChars="200"/>
        <w:rPr>
          <w:rFonts w:ascii="宋体" w:hAnsi="宋体" w:cs="Calibri"/>
          <w:bCs/>
          <w:color w:val="auto"/>
          <w:szCs w:val="21"/>
          <w:highlight w:val="none"/>
          <w:u w:val="single"/>
        </w:rPr>
      </w:pPr>
      <w:r>
        <w:rPr>
          <w:rFonts w:ascii="宋体" w:hAnsi="宋体" w:cs="Calibri"/>
          <w:bCs/>
          <w:color w:val="auto"/>
          <w:szCs w:val="21"/>
          <w:highlight w:val="none"/>
          <w:u w:val="single"/>
        </w:rPr>
        <w:t>11.2.2 资格审查文件：</w:t>
      </w:r>
    </w:p>
    <w:p w14:paraId="29868384">
      <w:pPr>
        <w:spacing w:line="360" w:lineRule="auto"/>
        <w:ind w:firstLine="420" w:firstLineChars="200"/>
        <w:rPr>
          <w:rFonts w:ascii="宋体" w:hAnsi="宋体" w:cs="Calibri"/>
          <w:bCs/>
          <w:color w:val="auto"/>
          <w:szCs w:val="21"/>
          <w:highlight w:val="none"/>
          <w:u w:val="single"/>
        </w:rPr>
      </w:pPr>
      <w:r>
        <w:rPr>
          <w:rFonts w:ascii="宋体" w:hAnsi="宋体" w:cs="Calibri"/>
          <w:bCs/>
          <w:color w:val="auto"/>
          <w:szCs w:val="21"/>
          <w:highlight w:val="none"/>
          <w:u w:val="single"/>
        </w:rPr>
        <w:t>（1）投标人声明（按招标</w:t>
      </w:r>
      <w:r>
        <w:rPr>
          <w:rFonts w:hint="eastAsia" w:ascii="宋体" w:hAnsi="宋体" w:cs="Calibri"/>
          <w:bCs/>
          <w:color w:val="auto"/>
          <w:szCs w:val="21"/>
          <w:highlight w:val="none"/>
          <w:u w:val="single"/>
        </w:rPr>
        <w:t>公告</w:t>
      </w:r>
      <w:r>
        <w:rPr>
          <w:rFonts w:ascii="宋体" w:hAnsi="宋体" w:cs="Calibri"/>
          <w:bCs/>
          <w:color w:val="auto"/>
          <w:szCs w:val="21"/>
          <w:highlight w:val="none"/>
          <w:u w:val="single"/>
        </w:rPr>
        <w:t xml:space="preserve">的要求填写）； </w:t>
      </w:r>
    </w:p>
    <w:p w14:paraId="3D81B8A6">
      <w:pPr>
        <w:spacing w:line="360" w:lineRule="auto"/>
        <w:ind w:firstLine="420" w:firstLineChars="200"/>
        <w:rPr>
          <w:rFonts w:ascii="宋体" w:hAnsi="宋体" w:cs="Calibri"/>
          <w:bCs/>
          <w:color w:val="auto"/>
          <w:szCs w:val="21"/>
          <w:highlight w:val="none"/>
          <w:u w:val="single"/>
        </w:rPr>
      </w:pPr>
      <w:r>
        <w:rPr>
          <w:rFonts w:ascii="宋体" w:hAnsi="宋体" w:cs="Calibri"/>
          <w:bCs/>
          <w:color w:val="auto"/>
          <w:szCs w:val="21"/>
          <w:highlight w:val="none"/>
          <w:u w:val="single"/>
        </w:rPr>
        <w:t>（2）法定代表人证明书、法定代表人签字或盖章的本投标文件授权委托证明书；</w:t>
      </w:r>
    </w:p>
    <w:p w14:paraId="5010AD8B">
      <w:pPr>
        <w:widowControl/>
        <w:spacing w:line="360" w:lineRule="auto"/>
        <w:ind w:firstLine="420" w:firstLineChars="200"/>
        <w:jc w:val="left"/>
        <w:rPr>
          <w:rFonts w:hint="eastAsia" w:ascii="宋体" w:hAnsi="宋体" w:eastAsia="宋体" w:cs="Calibri"/>
          <w:b w:val="0"/>
          <w:bCs/>
          <w:color w:val="auto"/>
          <w:kern w:val="2"/>
          <w:sz w:val="21"/>
          <w:szCs w:val="21"/>
          <w:highlight w:val="none"/>
          <w:u w:val="single"/>
        </w:rPr>
      </w:pPr>
      <w:r>
        <w:rPr>
          <w:rFonts w:hint="default" w:ascii="宋体" w:hAnsi="宋体" w:eastAsia="宋体" w:cs="Calibri"/>
          <w:b w:val="0"/>
          <w:bCs/>
          <w:color w:val="auto"/>
          <w:kern w:val="2"/>
          <w:sz w:val="21"/>
          <w:szCs w:val="21"/>
          <w:highlight w:val="none"/>
          <w:u w:val="single"/>
        </w:rPr>
        <w:t>（3）企业营业执照扫描件或电子证照；</w:t>
      </w:r>
    </w:p>
    <w:p w14:paraId="276C79BB">
      <w:pPr>
        <w:widowControl/>
        <w:spacing w:line="360" w:lineRule="auto"/>
        <w:ind w:firstLine="420" w:firstLineChars="200"/>
        <w:jc w:val="left"/>
        <w:rPr>
          <w:rFonts w:hint="eastAsia" w:ascii="宋体" w:hAnsi="宋体" w:eastAsia="宋体" w:cs="Calibri"/>
          <w:b w:val="0"/>
          <w:bCs/>
          <w:color w:val="auto"/>
          <w:kern w:val="2"/>
          <w:sz w:val="21"/>
          <w:szCs w:val="21"/>
          <w:highlight w:val="none"/>
          <w:u w:val="single"/>
        </w:rPr>
      </w:pPr>
      <w:r>
        <w:rPr>
          <w:rFonts w:hint="default" w:ascii="宋体" w:hAnsi="宋体" w:eastAsia="宋体" w:cs="Calibri"/>
          <w:b w:val="0"/>
          <w:bCs/>
          <w:color w:val="auto"/>
          <w:kern w:val="2"/>
          <w:sz w:val="21"/>
          <w:szCs w:val="21"/>
          <w:highlight w:val="none"/>
          <w:u w:val="single"/>
        </w:rPr>
        <w:t>（4）企业资质证书</w:t>
      </w:r>
      <w:r>
        <w:rPr>
          <w:rFonts w:hint="eastAsia" w:ascii="宋体" w:hAnsi="宋体" w:cs="Calibri"/>
          <w:b w:val="0"/>
          <w:bCs/>
          <w:color w:val="auto"/>
          <w:kern w:val="2"/>
          <w:sz w:val="21"/>
          <w:szCs w:val="21"/>
          <w:highlight w:val="none"/>
          <w:u w:val="single"/>
          <w:lang w:eastAsia="zh-CN"/>
        </w:rPr>
        <w:t>、</w:t>
      </w:r>
      <w:r>
        <w:rPr>
          <w:rFonts w:hint="eastAsia" w:ascii="宋体" w:hAnsi="宋体" w:cs="Calibri"/>
          <w:b w:val="0"/>
          <w:bCs/>
          <w:color w:val="auto"/>
          <w:kern w:val="2"/>
          <w:sz w:val="21"/>
          <w:szCs w:val="21"/>
          <w:highlight w:val="none"/>
          <w:u w:val="single"/>
          <w:lang w:val="en-US" w:eastAsia="zh-CN"/>
        </w:rPr>
        <w:t>承装（修、试）电力设施许可证</w:t>
      </w:r>
      <w:r>
        <w:rPr>
          <w:rFonts w:hint="default" w:ascii="宋体" w:hAnsi="宋体" w:eastAsia="宋体" w:cs="Calibri"/>
          <w:b w:val="0"/>
          <w:bCs/>
          <w:color w:val="auto"/>
          <w:kern w:val="2"/>
          <w:sz w:val="21"/>
          <w:szCs w:val="21"/>
          <w:highlight w:val="none"/>
          <w:u w:val="single"/>
        </w:rPr>
        <w:t>扫描件或电子证照；</w:t>
      </w:r>
    </w:p>
    <w:p w14:paraId="0EC548DC">
      <w:pPr>
        <w:widowControl/>
        <w:spacing w:line="360" w:lineRule="auto"/>
        <w:ind w:firstLine="420" w:firstLineChars="200"/>
        <w:jc w:val="left"/>
        <w:rPr>
          <w:rFonts w:hint="eastAsia" w:ascii="宋体" w:hAnsi="宋体" w:eastAsia="宋体" w:cs="Calibri"/>
          <w:b w:val="0"/>
          <w:bCs/>
          <w:color w:val="auto"/>
          <w:kern w:val="2"/>
          <w:sz w:val="21"/>
          <w:szCs w:val="21"/>
          <w:highlight w:val="none"/>
          <w:u w:val="single"/>
        </w:rPr>
      </w:pPr>
      <w:r>
        <w:rPr>
          <w:rFonts w:hint="default" w:ascii="宋体" w:hAnsi="宋体" w:eastAsia="宋体" w:cs="Calibri"/>
          <w:b w:val="0"/>
          <w:bCs/>
          <w:color w:val="auto"/>
          <w:kern w:val="2"/>
          <w:sz w:val="21"/>
          <w:szCs w:val="21"/>
          <w:highlight w:val="none"/>
          <w:u w:val="single"/>
        </w:rPr>
        <w:t>（5）建筑施工企业安全生产许可证扫描件或电子证照；</w:t>
      </w:r>
    </w:p>
    <w:p w14:paraId="038BC4E2">
      <w:pPr>
        <w:spacing w:line="360" w:lineRule="auto"/>
        <w:ind w:firstLine="420" w:firstLineChars="200"/>
        <w:rPr>
          <w:rFonts w:ascii="宋体" w:hAnsi="宋体" w:cs="Calibri"/>
          <w:bCs/>
          <w:color w:val="auto"/>
          <w:szCs w:val="21"/>
          <w:highlight w:val="none"/>
          <w:u w:val="single"/>
        </w:rPr>
      </w:pPr>
      <w:r>
        <w:rPr>
          <w:rFonts w:ascii="宋体" w:hAnsi="宋体" w:cs="Calibri"/>
          <w:bCs/>
          <w:color w:val="auto"/>
          <w:szCs w:val="21"/>
          <w:highlight w:val="none"/>
          <w:u w:val="single"/>
        </w:rPr>
        <w:t>（6）项目负责人（按网上投标登记时选择拟投标的项目负责人）</w:t>
      </w:r>
    </w:p>
    <w:p w14:paraId="4E9CBD8E">
      <w:pPr>
        <w:spacing w:line="360" w:lineRule="auto"/>
        <w:ind w:firstLine="420" w:firstLineChars="200"/>
        <w:rPr>
          <w:rFonts w:ascii="宋体" w:hAnsi="宋体" w:cs="Calibri"/>
          <w:bCs/>
          <w:color w:val="auto"/>
          <w:szCs w:val="21"/>
          <w:highlight w:val="none"/>
          <w:u w:val="single"/>
        </w:rPr>
      </w:pPr>
      <w:r>
        <w:rPr>
          <w:rFonts w:ascii="宋体" w:hAnsi="宋体" w:cs="Calibri"/>
          <w:bCs/>
          <w:color w:val="auto"/>
          <w:szCs w:val="21"/>
          <w:highlight w:val="none"/>
          <w:u w:val="single"/>
        </w:rPr>
        <w:t>（7）专职安全员（按网上投标登记时选择拟投标的专职安全员）</w:t>
      </w:r>
    </w:p>
    <w:p w14:paraId="0F7D8CF2">
      <w:pPr>
        <w:spacing w:line="360" w:lineRule="auto"/>
        <w:ind w:firstLine="420" w:firstLineChars="200"/>
        <w:rPr>
          <w:rFonts w:ascii="宋体" w:hAnsi="宋体" w:cs="Calibri"/>
          <w:bCs/>
          <w:strike/>
          <w:color w:val="auto"/>
          <w:szCs w:val="21"/>
          <w:highlight w:val="none"/>
          <w:u w:val="single"/>
        </w:rPr>
      </w:pPr>
      <w:r>
        <w:rPr>
          <w:rFonts w:ascii="宋体" w:hAnsi="宋体" w:cs="Calibri"/>
          <w:bCs/>
          <w:color w:val="auto"/>
          <w:szCs w:val="21"/>
          <w:highlight w:val="none"/>
          <w:u w:val="single"/>
        </w:rPr>
        <w:t>（8）拟委托技术负责人</w:t>
      </w:r>
      <w:r>
        <w:rPr>
          <w:rFonts w:hint="eastAsia" w:ascii="宋体" w:hAnsi="宋体" w:cs="Calibri"/>
          <w:bCs/>
          <w:color w:val="auto"/>
          <w:szCs w:val="21"/>
          <w:highlight w:val="none"/>
          <w:u w:val="single"/>
        </w:rPr>
        <w:t>：</w:t>
      </w:r>
      <w:r>
        <w:rPr>
          <w:rFonts w:hint="eastAsia" w:ascii="宋体" w:hAnsi="宋体" w:cs="Calibri"/>
          <w:bCs/>
          <w:color w:val="auto"/>
          <w:szCs w:val="21"/>
          <w:highlight w:val="none"/>
          <w:u w:val="single"/>
          <w:lang w:eastAsia="zh-CN"/>
        </w:rPr>
        <w:t>机电类或电气类相关专业工程师或以上技术职称</w:t>
      </w:r>
      <w:r>
        <w:rPr>
          <w:rFonts w:ascii="宋体" w:hAnsi="宋体" w:cs="Calibri"/>
          <w:bCs/>
          <w:color w:val="auto"/>
          <w:szCs w:val="21"/>
          <w:highlight w:val="none"/>
          <w:u w:val="single"/>
        </w:rPr>
        <w:t>的相关证书、资料</w:t>
      </w:r>
      <w:r>
        <w:rPr>
          <w:rFonts w:hint="eastAsia" w:ascii="宋体" w:hAnsi="宋体" w:cs="Calibri"/>
          <w:bCs/>
          <w:color w:val="auto"/>
          <w:szCs w:val="21"/>
          <w:highlight w:val="none"/>
          <w:u w:val="single"/>
        </w:rPr>
        <w:t>。</w:t>
      </w:r>
    </w:p>
    <w:p w14:paraId="3167B0A1">
      <w:pPr>
        <w:numPr>
          <w:ilvl w:val="-1"/>
          <w:numId w:val="0"/>
        </w:numPr>
        <w:spacing w:line="360" w:lineRule="auto"/>
        <w:ind w:firstLine="420" w:firstLineChars="200"/>
        <w:rPr>
          <w:rFonts w:hint="eastAsia" w:ascii="宋体" w:hAnsi="宋体" w:cs="Calibri"/>
          <w:color w:val="auto"/>
          <w:sz w:val="21"/>
          <w:szCs w:val="21"/>
          <w:highlight w:val="none"/>
          <w:u w:val="single"/>
          <w:lang w:val="en-US" w:eastAsia="zh-CN"/>
        </w:rPr>
      </w:pPr>
      <w:r>
        <w:rPr>
          <w:rFonts w:hint="eastAsia" w:ascii="宋体" w:hAnsi="宋体" w:cs="Calibri"/>
          <w:color w:val="auto"/>
          <w:sz w:val="21"/>
          <w:szCs w:val="21"/>
          <w:highlight w:val="none"/>
          <w:u w:val="single"/>
          <w:lang w:val="en-US" w:eastAsia="zh-CN"/>
        </w:rPr>
        <w:t xml:space="preserve">（9）拟委派项目负责人的有效期内的机电工程专业二级或以上建造师注册证书扫描件或电子证书；  </w:t>
      </w:r>
    </w:p>
    <w:p w14:paraId="56E61BEE">
      <w:pPr>
        <w:numPr>
          <w:ilvl w:val="-1"/>
          <w:numId w:val="0"/>
        </w:numPr>
        <w:spacing w:line="360" w:lineRule="auto"/>
        <w:ind w:firstLine="420" w:firstLineChars="200"/>
        <w:rPr>
          <w:rFonts w:hint="eastAsia" w:ascii="宋体" w:hAnsi="宋体" w:cs="Calibri"/>
          <w:color w:val="auto"/>
          <w:sz w:val="21"/>
          <w:szCs w:val="21"/>
          <w:highlight w:val="none"/>
          <w:u w:val="single"/>
          <w:lang w:val="en-US" w:eastAsia="zh-CN"/>
        </w:rPr>
      </w:pPr>
      <w:r>
        <w:rPr>
          <w:rFonts w:hint="eastAsia" w:ascii="宋体" w:hAnsi="宋体" w:cs="Calibri"/>
          <w:color w:val="auto"/>
          <w:sz w:val="21"/>
          <w:szCs w:val="21"/>
          <w:highlight w:val="none"/>
          <w:u w:val="single"/>
          <w:lang w:val="en-US" w:eastAsia="zh-CN"/>
        </w:rPr>
        <w:t>（10）项目负责人在有效期内的安全生产考核合格证书（B类）或建筑施工企业项目负责人安全生产考核合格证书扫描件或电子证书；</w:t>
      </w:r>
    </w:p>
    <w:p w14:paraId="4B5CAA32">
      <w:pPr>
        <w:numPr>
          <w:ilvl w:val="-1"/>
          <w:numId w:val="0"/>
        </w:numPr>
        <w:spacing w:line="360" w:lineRule="auto"/>
        <w:ind w:firstLine="420" w:firstLineChars="200"/>
        <w:rPr>
          <w:rFonts w:hint="eastAsia" w:ascii="宋体" w:hAnsi="宋体" w:cs="Calibri"/>
          <w:color w:val="auto"/>
          <w:sz w:val="21"/>
          <w:szCs w:val="21"/>
          <w:highlight w:val="none"/>
          <w:u w:val="single"/>
          <w:lang w:val="en-US" w:eastAsia="zh-CN"/>
        </w:rPr>
      </w:pPr>
      <w:r>
        <w:rPr>
          <w:rFonts w:hint="eastAsia" w:ascii="宋体" w:hAnsi="宋体" w:cs="Calibri"/>
          <w:color w:val="auto"/>
          <w:sz w:val="21"/>
          <w:szCs w:val="21"/>
          <w:highlight w:val="none"/>
          <w:u w:val="single"/>
          <w:lang w:val="en-US" w:eastAsia="zh-CN"/>
        </w:rPr>
        <w:t>（11）专职安全员须具有在有效期内的安全生产考核合格证书（C类）或建筑施工企业专职安全生产管理人员安全生产考核合格证书（C3类）扫描件或电子证书；</w:t>
      </w:r>
    </w:p>
    <w:p w14:paraId="1287F496">
      <w:pPr>
        <w:numPr>
          <w:ilvl w:val="0"/>
          <w:numId w:val="0"/>
        </w:numPr>
        <w:spacing w:line="360" w:lineRule="auto"/>
        <w:ind w:firstLine="420" w:firstLineChars="200"/>
        <w:rPr>
          <w:rFonts w:hint="eastAsia" w:ascii="宋体" w:hAnsi="宋体" w:cs="Calibri"/>
          <w:color w:val="auto"/>
          <w:szCs w:val="21"/>
          <w:highlight w:val="none"/>
          <w:u w:val="single"/>
        </w:rPr>
      </w:pPr>
      <w:r>
        <w:rPr>
          <w:rFonts w:hint="eastAsia" w:ascii="宋体" w:hAnsi="宋体" w:eastAsia="宋体" w:cs="Calibri"/>
          <w:color w:val="auto"/>
          <w:kern w:val="2"/>
          <w:sz w:val="21"/>
          <w:szCs w:val="21"/>
          <w:highlight w:val="none"/>
          <w:lang w:val="en-US" w:eastAsia="zh-CN" w:bidi="ar-SA"/>
        </w:rPr>
        <w:t>（12）</w:t>
      </w:r>
      <w:r>
        <w:rPr>
          <w:rFonts w:hint="eastAsia" w:ascii="宋体" w:hAnsi="宋体" w:cs="Calibri"/>
          <w:color w:val="auto"/>
          <w:szCs w:val="21"/>
          <w:highlight w:val="none"/>
          <w:u w:val="single"/>
        </w:rPr>
        <w:t>资格审查前，投标人须在</w:t>
      </w:r>
      <w:r>
        <w:rPr>
          <w:rFonts w:hint="eastAsia" w:ascii="宋体" w:hAnsi="宋体" w:eastAsia="宋体" w:cs="Calibri"/>
          <w:b w:val="0"/>
          <w:bCs w:val="0"/>
          <w:color w:val="auto"/>
          <w:kern w:val="2"/>
          <w:sz w:val="21"/>
          <w:szCs w:val="21"/>
          <w:highlight w:val="none"/>
          <w:u w:val="single"/>
        </w:rPr>
        <w:t>广州交易集团有限公司（广州公共资源交易中心）</w:t>
      </w:r>
      <w:r>
        <w:rPr>
          <w:rFonts w:hint="eastAsia" w:ascii="宋体" w:hAnsi="宋体" w:cs="Calibri"/>
          <w:color w:val="auto"/>
          <w:szCs w:val="21"/>
          <w:highlight w:val="none"/>
          <w:u w:val="single"/>
        </w:rPr>
        <w:t>办理信息登记等相关投标登记手续及拟担任本工程项目负责人、专职安全员须是本企业的在册人员且与</w:t>
      </w:r>
      <w:r>
        <w:rPr>
          <w:rFonts w:hint="eastAsia" w:ascii="宋体" w:hAnsi="宋体" w:eastAsia="宋体" w:cs="Calibri"/>
          <w:b w:val="0"/>
          <w:bCs w:val="0"/>
          <w:color w:val="auto"/>
          <w:kern w:val="2"/>
          <w:sz w:val="21"/>
          <w:szCs w:val="21"/>
          <w:highlight w:val="none"/>
          <w:u w:val="single"/>
        </w:rPr>
        <w:t>广州交易集团有限公司（广州公共资源交易中心）</w:t>
      </w:r>
      <w:r>
        <w:rPr>
          <w:rFonts w:hint="eastAsia" w:ascii="宋体" w:hAnsi="宋体" w:cs="Calibri"/>
          <w:color w:val="auto"/>
          <w:szCs w:val="21"/>
          <w:highlight w:val="none"/>
          <w:u w:val="single"/>
        </w:rPr>
        <w:t>办理信息登记一致</w:t>
      </w:r>
      <w:r>
        <w:rPr>
          <w:rFonts w:hint="eastAsia" w:ascii="宋体" w:hAnsi="宋体" w:cs="Calibri"/>
          <w:color w:val="auto"/>
          <w:szCs w:val="21"/>
          <w:highlight w:val="none"/>
          <w:u w:val="single"/>
          <w:lang w:eastAsia="zh-CN"/>
        </w:rPr>
        <w:t>。</w:t>
      </w:r>
    </w:p>
    <w:p w14:paraId="7749BD43">
      <w:pPr>
        <w:numPr>
          <w:ilvl w:val="0"/>
          <w:numId w:val="0"/>
        </w:numPr>
        <w:spacing w:line="360" w:lineRule="auto"/>
        <w:ind w:firstLine="420" w:firstLineChars="200"/>
        <w:rPr>
          <w:rFonts w:hint="eastAsia" w:ascii="宋体" w:hAnsi="宋体"/>
          <w:color w:val="auto"/>
          <w:szCs w:val="21"/>
          <w:highlight w:val="none"/>
          <w:u w:val="single"/>
        </w:rPr>
      </w:pPr>
      <w:r>
        <w:rPr>
          <w:rFonts w:hint="eastAsia" w:ascii="宋体" w:hAnsi="宋体" w:cs="Times New Roman"/>
          <w:color w:val="auto"/>
          <w:sz w:val="21"/>
          <w:szCs w:val="21"/>
          <w:highlight w:val="none"/>
          <w:u w:val="single"/>
          <w:lang w:val="en-US" w:eastAsia="zh-CN"/>
        </w:rPr>
        <w:t>（13）</w:t>
      </w:r>
      <w:r>
        <w:rPr>
          <w:rFonts w:hint="eastAsia" w:ascii="宋体" w:hAnsi="宋体"/>
          <w:color w:val="auto"/>
          <w:szCs w:val="21"/>
          <w:highlight w:val="none"/>
          <w:u w:val="single"/>
        </w:rPr>
        <w:t>其他投标人认为应该提供的资料</w:t>
      </w:r>
      <w:r>
        <w:rPr>
          <w:rFonts w:hint="eastAsia" w:ascii="宋体" w:hAnsi="宋体"/>
          <w:color w:val="auto"/>
          <w:szCs w:val="21"/>
          <w:highlight w:val="none"/>
          <w:u w:val="single"/>
          <w:lang w:eastAsia="zh-CN"/>
        </w:rPr>
        <w:t>（如有）</w:t>
      </w:r>
      <w:r>
        <w:rPr>
          <w:rFonts w:hint="eastAsia" w:ascii="宋体" w:hAnsi="宋体"/>
          <w:color w:val="auto"/>
          <w:szCs w:val="21"/>
          <w:highlight w:val="none"/>
          <w:u w:val="single"/>
        </w:rPr>
        <w:t>。</w:t>
      </w:r>
    </w:p>
    <w:p w14:paraId="3701D65B">
      <w:pPr>
        <w:widowControl/>
        <w:numPr>
          <w:ilvl w:val="0"/>
          <w:numId w:val="0"/>
        </w:numPr>
        <w:spacing w:line="360" w:lineRule="auto"/>
        <w:ind w:firstLine="420" w:firstLineChars="200"/>
        <w:jc w:val="left"/>
        <w:rPr>
          <w:rFonts w:hint="eastAsia" w:ascii="宋体" w:hAnsi="宋体" w:eastAsia="宋体" w:cs="Calibri"/>
          <w:b w:val="0"/>
          <w:bCs w:val="0"/>
          <w:color w:val="auto"/>
          <w:kern w:val="2"/>
          <w:sz w:val="21"/>
          <w:szCs w:val="21"/>
          <w:highlight w:val="none"/>
          <w:u w:val="single"/>
        </w:rPr>
      </w:pPr>
      <w:r>
        <w:rPr>
          <w:rFonts w:hint="eastAsia" w:ascii="宋体" w:hAnsi="宋体" w:eastAsia="宋体" w:cs="Calibri"/>
          <w:b w:val="0"/>
          <w:bCs w:val="0"/>
          <w:color w:val="auto"/>
          <w:kern w:val="2"/>
          <w:sz w:val="21"/>
          <w:szCs w:val="21"/>
          <w:highlight w:val="none"/>
          <w:u w:val="single"/>
        </w:rPr>
        <w:t>注：1.相关电子证书按规定需打印后手写本人签名的，应按照规定手写本人签名后再扫描提交。</w:t>
      </w:r>
    </w:p>
    <w:p w14:paraId="66ED6B64">
      <w:pPr>
        <w:numPr>
          <w:ilvl w:val="-1"/>
          <w:numId w:val="0"/>
        </w:numPr>
        <w:spacing w:line="360" w:lineRule="auto"/>
        <w:ind w:firstLine="420" w:firstLineChars="200"/>
        <w:rPr>
          <w:rFonts w:hint="eastAsia" w:ascii="宋体" w:hAnsi="宋体" w:cs="Calibri"/>
          <w:color w:val="auto"/>
          <w:szCs w:val="21"/>
          <w:highlight w:val="none"/>
          <w:u w:val="single"/>
        </w:rPr>
      </w:pPr>
      <w:r>
        <w:rPr>
          <w:rFonts w:hint="eastAsia" w:ascii="宋体" w:hAnsi="宋体" w:eastAsia="宋体" w:cs="Calibri"/>
          <w:b w:val="0"/>
          <w:bCs w:val="0"/>
          <w:color w:val="auto"/>
          <w:kern w:val="2"/>
          <w:sz w:val="21"/>
          <w:szCs w:val="21"/>
          <w:highlight w:val="none"/>
          <w:u w:val="single"/>
        </w:rPr>
        <w:t>2.投标人在投标登记时选择了拟投入本项目的项目负责人、专职安全员，即已满足“资格审查前，投标人须在广州交易集团有限公司（广州公共资源交易中心）办理信息登记，拟担任本工程项目负责人、专职安全员须是本企业</w:t>
      </w:r>
      <w:r>
        <w:rPr>
          <w:rFonts w:hint="eastAsia" w:ascii="宋体" w:hAnsi="宋体" w:cs="Calibri"/>
          <w:b w:val="0"/>
          <w:bCs w:val="0"/>
          <w:color w:val="auto"/>
          <w:kern w:val="2"/>
          <w:sz w:val="21"/>
          <w:szCs w:val="21"/>
          <w:highlight w:val="none"/>
          <w:u w:val="single"/>
          <w:lang w:eastAsia="zh-CN"/>
        </w:rPr>
        <w:t>信息登记</w:t>
      </w:r>
      <w:r>
        <w:rPr>
          <w:rFonts w:hint="eastAsia" w:ascii="宋体" w:hAnsi="宋体" w:eastAsia="宋体" w:cs="Calibri"/>
          <w:b w:val="0"/>
          <w:bCs w:val="0"/>
          <w:color w:val="auto"/>
          <w:kern w:val="2"/>
          <w:sz w:val="21"/>
          <w:szCs w:val="21"/>
          <w:highlight w:val="none"/>
          <w:u w:val="single"/>
        </w:rPr>
        <w:t>中的在册人员”的要求</w:t>
      </w:r>
      <w:r>
        <w:rPr>
          <w:rFonts w:hint="eastAsia" w:ascii="宋体" w:hAnsi="宋体" w:cs="Calibri"/>
          <w:b w:val="0"/>
          <w:bCs w:val="0"/>
          <w:color w:val="auto"/>
          <w:kern w:val="2"/>
          <w:sz w:val="21"/>
          <w:szCs w:val="21"/>
          <w:highlight w:val="none"/>
          <w:u w:val="single"/>
          <w:lang w:eastAsia="zh-CN"/>
        </w:rPr>
        <w:t>。</w:t>
      </w:r>
    </w:p>
    <w:p w14:paraId="0937BFB2">
      <w:pPr>
        <w:numPr>
          <w:ilvl w:val="-1"/>
          <w:numId w:val="0"/>
        </w:numPr>
        <w:spacing w:line="360" w:lineRule="auto"/>
        <w:ind w:firstLine="630" w:firstLineChars="300"/>
        <w:rPr>
          <w:rFonts w:asci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项目管理机构配备。</w:t>
      </w:r>
    </w:p>
    <w:p w14:paraId="0DFA44FA">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（1）本工程的施工组织机构图；</w:t>
      </w:r>
    </w:p>
    <w:p w14:paraId="509CE37A">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（2）施工组织机构主要成员的名单及有关证明材料扫描件；</w:t>
      </w:r>
    </w:p>
    <w:p w14:paraId="16EECE6D">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w:t>
      </w:r>
      <w:r>
        <w:rPr>
          <w:rFonts w:ascii="宋体" w:hAnsi="宋体"/>
          <w:color w:val="auto"/>
          <w:szCs w:val="21"/>
          <w:highlight w:val="none"/>
          <w:u w:val="single"/>
        </w:rPr>
        <w:t>1.2.4企业资信相关证明文件</w:t>
      </w:r>
      <w:r>
        <w:rPr>
          <w:rFonts w:hint="eastAsia" w:ascii="宋体" w:hAnsi="宋体"/>
          <w:color w:val="auto"/>
          <w:szCs w:val="21"/>
          <w:highlight w:val="none"/>
          <w:u w:val="single"/>
        </w:rPr>
        <w:t>；</w:t>
      </w:r>
    </w:p>
    <w:p w14:paraId="0F97A1DF">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w:t>
      </w:r>
      <w:r>
        <w:rPr>
          <w:rFonts w:ascii="宋体" w:hAnsi="宋体"/>
          <w:color w:val="auto"/>
          <w:szCs w:val="21"/>
          <w:highlight w:val="none"/>
          <w:u w:val="single"/>
        </w:rPr>
        <w:t>5</w:t>
      </w:r>
      <w:r>
        <w:rPr>
          <w:rFonts w:hint="eastAsia" w:ascii="宋体" w:hAnsi="宋体"/>
          <w:color w:val="auto"/>
          <w:szCs w:val="21"/>
          <w:highlight w:val="none"/>
          <w:u w:val="single"/>
        </w:rPr>
        <w:t>《投标函》（格式见第四章）；</w:t>
      </w:r>
    </w:p>
    <w:p w14:paraId="7773D5A8">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w:t>
      </w:r>
      <w:r>
        <w:rPr>
          <w:rFonts w:ascii="宋体" w:hAnsi="宋体"/>
          <w:color w:val="auto"/>
          <w:szCs w:val="21"/>
          <w:highlight w:val="none"/>
          <w:u w:val="single"/>
        </w:rPr>
        <w:t>6</w:t>
      </w:r>
      <w:r>
        <w:rPr>
          <w:rFonts w:hint="eastAsia" w:ascii="宋体" w:hAnsi="宋体"/>
          <w:color w:val="auto"/>
          <w:szCs w:val="21"/>
          <w:highlight w:val="none"/>
          <w:u w:val="single"/>
        </w:rPr>
        <w:t>《响应招标文件所附施工组织设计要点的承诺书》（格式见第四章）；</w:t>
      </w:r>
    </w:p>
    <w:p w14:paraId="6480F288">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w:t>
      </w:r>
      <w:r>
        <w:rPr>
          <w:rFonts w:ascii="宋体" w:hAnsi="宋体"/>
          <w:color w:val="auto"/>
          <w:szCs w:val="21"/>
          <w:highlight w:val="none"/>
          <w:u w:val="single"/>
        </w:rPr>
        <w:t>7</w:t>
      </w:r>
      <w:r>
        <w:rPr>
          <w:rFonts w:hint="eastAsia" w:ascii="宋体" w:hAnsi="宋体"/>
          <w:color w:val="auto"/>
          <w:szCs w:val="21"/>
          <w:highlight w:val="none"/>
          <w:u w:val="single"/>
        </w:rPr>
        <w:t>《技术承诺函》（格式见第四章）；</w:t>
      </w:r>
    </w:p>
    <w:p w14:paraId="3F1E54AD">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w:t>
      </w:r>
      <w:r>
        <w:rPr>
          <w:rFonts w:ascii="宋体" w:hAnsi="宋体"/>
          <w:color w:val="auto"/>
          <w:szCs w:val="21"/>
          <w:highlight w:val="none"/>
          <w:u w:val="single"/>
        </w:rPr>
        <w:t>8</w:t>
      </w:r>
      <w:r>
        <w:rPr>
          <w:rFonts w:hint="eastAsia" w:ascii="宋体" w:hAnsi="宋体"/>
          <w:color w:val="auto"/>
          <w:szCs w:val="21"/>
          <w:highlight w:val="none"/>
          <w:u w:val="single"/>
        </w:rPr>
        <w:t>《施工项目管理团队人员信息表》（格式见第四章）；</w:t>
      </w:r>
    </w:p>
    <w:p w14:paraId="73D6E8BF">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w:t>
      </w:r>
      <w:r>
        <w:rPr>
          <w:rFonts w:ascii="宋体" w:hAnsi="宋体"/>
          <w:color w:val="auto"/>
          <w:szCs w:val="21"/>
          <w:highlight w:val="none"/>
          <w:u w:val="single"/>
        </w:rPr>
        <w:t>9</w:t>
      </w:r>
      <w:r>
        <w:rPr>
          <w:rFonts w:hint="eastAsia" w:ascii="宋体" w:hAnsi="宋体"/>
          <w:color w:val="auto"/>
          <w:szCs w:val="21"/>
          <w:highlight w:val="none"/>
          <w:u w:val="single"/>
        </w:rPr>
        <w:t>《对投标文件编制的承诺》（格式见第四章）；</w:t>
      </w:r>
    </w:p>
    <w:p w14:paraId="6CECD1D3">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w:t>
      </w:r>
      <w:r>
        <w:rPr>
          <w:rFonts w:ascii="宋体" w:hAnsi="宋体"/>
          <w:color w:val="auto"/>
          <w:szCs w:val="21"/>
          <w:highlight w:val="none"/>
          <w:u w:val="single"/>
        </w:rPr>
        <w:t>10</w:t>
      </w:r>
      <w:r>
        <w:rPr>
          <w:rFonts w:hint="eastAsia" w:ascii="宋体" w:hAnsi="宋体"/>
          <w:color w:val="auto"/>
          <w:szCs w:val="21"/>
          <w:highlight w:val="none"/>
          <w:u w:val="single"/>
        </w:rPr>
        <w:t xml:space="preserve"> 《投标人基本资料》（格式见第四章，不作为废标条款）；</w:t>
      </w:r>
    </w:p>
    <w:p w14:paraId="309B5956">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w:t>
      </w:r>
      <w:r>
        <w:rPr>
          <w:rFonts w:ascii="宋体" w:hAnsi="宋体"/>
          <w:color w:val="auto"/>
          <w:szCs w:val="21"/>
          <w:highlight w:val="none"/>
          <w:u w:val="single"/>
        </w:rPr>
        <w:t>1</w:t>
      </w:r>
      <w:r>
        <w:rPr>
          <w:rFonts w:hint="eastAsia" w:ascii="宋体" w:hAnsi="宋体"/>
          <w:color w:val="auto"/>
          <w:szCs w:val="21"/>
          <w:highlight w:val="none"/>
          <w:u w:val="single"/>
        </w:rPr>
        <w:t>1 按照招标文件要求填写的《参与编制技术标投标文件人员名单》。</w:t>
      </w:r>
    </w:p>
    <w:p w14:paraId="68F89604">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11.2.12 《危险性较大的分部分项工程清单及超过一定规模的危险性较大的分部分项工程清单》（格式见第四章）；</w:t>
      </w:r>
    </w:p>
    <w:p w14:paraId="69CC08EE">
      <w:pPr>
        <w:spacing w:line="360" w:lineRule="auto"/>
        <w:ind w:firstLine="420" w:firstLineChars="200"/>
        <w:rPr>
          <w:rFonts w:hint="eastAsia" w:ascii="宋体" w:hAnsi="宋体"/>
          <w:color w:val="auto"/>
          <w:szCs w:val="21"/>
          <w:highlight w:val="none"/>
          <w:u w:val="single"/>
          <w:lang w:val="en-US" w:eastAsia="zh-CN"/>
        </w:rPr>
      </w:pPr>
      <w:r>
        <w:rPr>
          <w:rFonts w:hint="eastAsia" w:ascii="宋体" w:hAnsi="宋体"/>
          <w:color w:val="auto"/>
          <w:szCs w:val="21"/>
          <w:highlight w:val="none"/>
          <w:u w:val="single"/>
          <w:lang w:val="en-US" w:eastAsia="zh-CN"/>
        </w:rPr>
        <w:t>11.2.13《关于投标保证金的承诺》</w:t>
      </w:r>
    </w:p>
    <w:p w14:paraId="411620F6">
      <w:pPr>
        <w:spacing w:line="360" w:lineRule="auto"/>
        <w:ind w:firstLine="420" w:firstLineChars="200"/>
        <w:rPr>
          <w:rFonts w:hint="eastAsia" w:ascii="宋体" w:hAnsi="宋体"/>
          <w:color w:val="auto"/>
          <w:szCs w:val="21"/>
          <w:highlight w:val="none"/>
          <w:u w:val="single"/>
          <w:lang w:val="en-US" w:eastAsia="zh-CN"/>
        </w:rPr>
      </w:pPr>
      <w:r>
        <w:rPr>
          <w:rFonts w:hint="eastAsia" w:ascii="宋体" w:hAnsi="宋体"/>
          <w:color w:val="auto"/>
          <w:szCs w:val="21"/>
          <w:highlight w:val="none"/>
          <w:u w:val="single"/>
          <w:lang w:val="en-US" w:eastAsia="zh-CN"/>
        </w:rPr>
        <w:t>11.2.14其他投标人认为应该提供的资料（如有）。</w:t>
      </w:r>
    </w:p>
    <w:p w14:paraId="20C47DEE">
      <w:pPr>
        <w:spacing w:line="360" w:lineRule="auto"/>
        <w:ind w:firstLine="420" w:firstLineChars="200"/>
        <w:rPr>
          <w:rFonts w:ascii="宋体"/>
          <w:bCs/>
          <w:color w:val="auto"/>
          <w:szCs w:val="21"/>
          <w:highlight w:val="none"/>
        </w:rPr>
      </w:pPr>
      <w:r>
        <w:rPr>
          <w:rFonts w:ascii="宋体" w:hAnsi="宋体"/>
          <w:bCs/>
          <w:color w:val="auto"/>
          <w:szCs w:val="21"/>
          <w:highlight w:val="none"/>
        </w:rPr>
        <w:t xml:space="preserve">11.3 </w:t>
      </w:r>
      <w:r>
        <w:rPr>
          <w:rFonts w:hint="eastAsia" w:ascii="宋体" w:hAnsi="宋体"/>
          <w:bCs/>
          <w:color w:val="auto"/>
          <w:szCs w:val="21"/>
          <w:highlight w:val="none"/>
        </w:rPr>
        <w:t>经济部分投标文件主要包括下列内容：</w:t>
      </w:r>
    </w:p>
    <w:p w14:paraId="7C16A329">
      <w:pPr>
        <w:spacing w:line="360" w:lineRule="auto"/>
        <w:ind w:firstLine="420" w:firstLineChars="200"/>
        <w:rPr>
          <w:rFonts w:ascii="宋体"/>
          <w:color w:val="auto"/>
          <w:szCs w:val="21"/>
          <w:highlight w:val="none"/>
        </w:rPr>
      </w:pPr>
      <w:r>
        <w:rPr>
          <w:rFonts w:ascii="宋体" w:hAnsi="宋体"/>
          <w:color w:val="auto"/>
          <w:szCs w:val="21"/>
          <w:highlight w:val="none"/>
        </w:rPr>
        <w:t xml:space="preserve">11.3.1 </w:t>
      </w:r>
      <w:r>
        <w:rPr>
          <w:rFonts w:hint="eastAsia" w:ascii="宋体" w:hAnsi="宋体"/>
          <w:color w:val="auto"/>
          <w:szCs w:val="21"/>
          <w:highlight w:val="none"/>
        </w:rPr>
        <w:t>经济投标文件</w:t>
      </w:r>
      <w:r>
        <w:rPr>
          <w:rFonts w:ascii="宋体" w:hAnsi="宋体"/>
          <w:color w:val="auto"/>
          <w:szCs w:val="21"/>
          <w:highlight w:val="none"/>
        </w:rPr>
        <w:t>(</w:t>
      </w:r>
      <w:r>
        <w:rPr>
          <w:rFonts w:hint="eastAsia" w:ascii="宋体" w:hAnsi="宋体"/>
          <w:color w:val="auto"/>
          <w:szCs w:val="21"/>
          <w:highlight w:val="none"/>
        </w:rPr>
        <w:t>按招标文件的要求填写</w:t>
      </w:r>
      <w:r>
        <w:rPr>
          <w:rFonts w:ascii="宋体" w:hAnsi="宋体"/>
          <w:color w:val="auto"/>
          <w:szCs w:val="21"/>
          <w:highlight w:val="none"/>
        </w:rPr>
        <w:t>)</w:t>
      </w:r>
      <w:r>
        <w:rPr>
          <w:rFonts w:hint="eastAsia" w:ascii="宋体" w:hAnsi="宋体"/>
          <w:color w:val="auto"/>
          <w:szCs w:val="21"/>
          <w:highlight w:val="none"/>
        </w:rPr>
        <w:t>。</w:t>
      </w:r>
    </w:p>
    <w:p w14:paraId="03731EB5">
      <w:pPr>
        <w:spacing w:line="360" w:lineRule="auto"/>
        <w:ind w:firstLine="420" w:firstLineChars="200"/>
        <w:rPr>
          <w:rFonts w:ascii="宋体"/>
          <w:color w:val="auto"/>
          <w:szCs w:val="21"/>
          <w:highlight w:val="none"/>
        </w:rPr>
      </w:pPr>
      <w:r>
        <w:rPr>
          <w:rFonts w:ascii="宋体" w:hAnsi="宋体"/>
          <w:color w:val="auto"/>
          <w:szCs w:val="21"/>
          <w:highlight w:val="none"/>
        </w:rPr>
        <w:t>11.3.2</w:t>
      </w:r>
      <w:r>
        <w:rPr>
          <w:rFonts w:hint="eastAsia" w:ascii="宋体" w:hAnsi="宋体"/>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Cs w:val="21"/>
          <w:highlight w:val="none"/>
          <w:u w:val="single"/>
        </w:rPr>
        <w:t>（投标报价的工程量清单的组成、格式等按</w:t>
      </w:r>
      <w:r>
        <w:rPr>
          <w:rFonts w:hint="eastAsia" w:ascii="宋体" w:hAnsi="宋体" w:eastAsia="宋体" w:cs="Calibri"/>
          <w:b w:val="0"/>
          <w:bCs w:val="0"/>
          <w:color w:val="auto"/>
          <w:kern w:val="2"/>
          <w:sz w:val="21"/>
          <w:szCs w:val="21"/>
          <w:highlight w:val="none"/>
          <w:u w:val="single"/>
        </w:rPr>
        <w:t>广州交易集团有限公司（广州公共资源交易中心）</w:t>
      </w:r>
      <w:r>
        <w:rPr>
          <w:rFonts w:hint="eastAsia" w:ascii="宋体" w:hAnsi="宋体"/>
          <w:color w:val="auto"/>
          <w:szCs w:val="21"/>
          <w:highlight w:val="none"/>
          <w:u w:val="single"/>
        </w:rPr>
        <w:t>的投标文件管理软件自动生成）</w:t>
      </w:r>
      <w:r>
        <w:rPr>
          <w:rFonts w:hint="eastAsia" w:ascii="宋体" w:hAnsi="宋体"/>
          <w:color w:val="auto"/>
          <w:szCs w:val="21"/>
          <w:highlight w:val="none"/>
        </w:rPr>
        <w:t>。</w:t>
      </w:r>
    </w:p>
    <w:p w14:paraId="73CA995C">
      <w:pPr>
        <w:tabs>
          <w:tab w:val="left" w:pos="1125"/>
        </w:tabs>
        <w:spacing w:line="360" w:lineRule="auto"/>
        <w:ind w:firstLine="420" w:firstLineChars="200"/>
        <w:rPr>
          <w:rFonts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3按照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填写的《参与编制经济标投标文件人员名单》。</w:t>
      </w:r>
    </w:p>
    <w:p w14:paraId="2A7CA93F">
      <w:pPr>
        <w:tabs>
          <w:tab w:val="left" w:pos="1125"/>
        </w:tabs>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11.3.4 《对投标文件编制的承诺》。</w:t>
      </w:r>
    </w:p>
    <w:p w14:paraId="6B2BD39A">
      <w:pPr>
        <w:tabs>
          <w:tab w:val="left" w:pos="1125"/>
        </w:tabs>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11.3.5 若投标人的投标报价低于工程成本警戒价的，投标人还须提供详细的施工组织设计、单价、措施性费用、单价分析表、主要材料价格表、投标人成本分析供评标委员会评审。</w:t>
      </w:r>
    </w:p>
    <w:p w14:paraId="196B732F">
      <w:pPr>
        <w:spacing w:line="360" w:lineRule="auto"/>
        <w:ind w:firstLine="525" w:firstLineChars="250"/>
        <w:rPr>
          <w:rFonts w:ascii="宋体" w:hAnsi="宋体"/>
          <w:bCs/>
          <w:color w:val="auto"/>
          <w:szCs w:val="21"/>
          <w:highlight w:val="none"/>
          <w:u w:val="single"/>
        </w:rPr>
      </w:pPr>
      <w:r>
        <w:rPr>
          <w:rFonts w:hint="eastAsia" w:ascii="宋体" w:hAnsi="宋体"/>
          <w:bCs/>
          <w:color w:val="auto"/>
          <w:szCs w:val="21"/>
          <w:highlight w:val="none"/>
          <w:u w:val="single"/>
        </w:rPr>
        <w:t>11.3.</w:t>
      </w:r>
      <w:r>
        <w:rPr>
          <w:rFonts w:ascii="宋体" w:hAnsi="宋体"/>
          <w:bCs/>
          <w:color w:val="auto"/>
          <w:szCs w:val="21"/>
          <w:highlight w:val="none"/>
          <w:u w:val="single"/>
        </w:rPr>
        <w:t>6</w:t>
      </w:r>
      <w:r>
        <w:rPr>
          <w:rFonts w:hint="eastAsia" w:ascii="宋体" w:hAnsi="宋体"/>
          <w:bCs/>
          <w:color w:val="auto"/>
          <w:szCs w:val="21"/>
          <w:highlight w:val="none"/>
          <w:u w:val="single"/>
        </w:rPr>
        <w:t>投标人应认真核对图纸并复核清单的工程量及项目，如发现工程量清单与图纸内容不符，应在招标疑问收集期间提出质疑，并向招标人提出修正意见。承包人在招标疑问收集期间未对工程量清单提出质疑，即视为承包人对本项目清单中</w:t>
      </w:r>
      <w:r>
        <w:rPr>
          <w:rFonts w:hint="eastAsia" w:ascii="宋体" w:hAnsi="宋体"/>
          <w:bCs/>
          <w:color w:val="auto"/>
          <w:szCs w:val="21"/>
          <w:highlight w:val="none"/>
          <w:u w:val="single"/>
          <w:lang w:val="en-US" w:eastAsia="zh-CN"/>
        </w:rPr>
        <w:t>各</w:t>
      </w:r>
      <w:r>
        <w:rPr>
          <w:rFonts w:hint="eastAsia" w:ascii="宋体" w:hAnsi="宋体"/>
          <w:bCs/>
          <w:color w:val="auto"/>
          <w:szCs w:val="21"/>
          <w:highlight w:val="none"/>
          <w:u w:val="single"/>
        </w:rPr>
        <w:t>单一子项工程量的认可，</w:t>
      </w:r>
      <w:r>
        <w:rPr>
          <w:rFonts w:hint="eastAsia" w:ascii="宋体" w:hAnsi="宋体"/>
          <w:bCs/>
          <w:color w:val="auto"/>
          <w:szCs w:val="21"/>
          <w:highlight w:val="none"/>
          <w:u w:val="single"/>
          <w:lang w:val="en-US" w:eastAsia="zh-CN"/>
        </w:rPr>
        <w:t>若发生清单中单一子项工程金额达10万元及以上的漏项时，承包人须委托评审的社会中介机构或该工程或预算编制单位复核并出具工程漏项清单报告以书面形式单列提出，在工程结算时由评审单位审核通过后，发包人与承包人按照评审结果各承担50%的比例予以调整。</w:t>
      </w:r>
    </w:p>
    <w:p w14:paraId="46C23006">
      <w:pPr>
        <w:pStyle w:val="5"/>
        <w:ind w:firstLine="420"/>
        <w:rPr>
          <w:rFonts w:ascii="宋体" w:hAnsi="宋体"/>
          <w:bCs/>
          <w:color w:val="auto"/>
          <w:szCs w:val="21"/>
          <w:highlight w:val="none"/>
          <w:u w:val="single"/>
        </w:rPr>
      </w:pPr>
      <w:r>
        <w:rPr>
          <w:rFonts w:hint="eastAsia" w:ascii="宋体" w:hAnsi="宋体"/>
          <w:bCs/>
          <w:color w:val="auto"/>
          <w:szCs w:val="21"/>
          <w:highlight w:val="none"/>
          <w:u w:val="single"/>
        </w:rPr>
        <w:t>11.4 定标部分投标文件主要包括下列内容：</w:t>
      </w:r>
    </w:p>
    <w:p w14:paraId="0D1AE515">
      <w:pPr>
        <w:pStyle w:val="5"/>
        <w:ind w:firstLine="420"/>
        <w:rPr>
          <w:rFonts w:hint="eastAsia" w:ascii="宋体" w:hAnsi="宋体"/>
          <w:bCs/>
          <w:color w:val="auto"/>
          <w:szCs w:val="21"/>
          <w:highlight w:val="none"/>
          <w:u w:val="single"/>
        </w:rPr>
      </w:pPr>
      <w:r>
        <w:rPr>
          <w:rFonts w:hint="eastAsia" w:ascii="宋体" w:hAnsi="宋体"/>
          <w:bCs/>
          <w:color w:val="auto"/>
          <w:szCs w:val="21"/>
          <w:highlight w:val="none"/>
          <w:u w:val="single"/>
        </w:rPr>
        <w:t>投标人按《定标因素表》（详见第二章附表七）评审内容提供书面陈述，可附上包括但不限于企业业绩、信誉以及项目管理机构能力等相关的证明文件及以下证明文件：</w:t>
      </w:r>
    </w:p>
    <w:p w14:paraId="2EFAB3E6">
      <w:pPr>
        <w:pStyle w:val="5"/>
        <w:ind w:firstLine="420"/>
        <w:rPr>
          <w:rFonts w:hint="eastAsia" w:ascii="宋体" w:hAnsi="宋体"/>
          <w:bCs/>
          <w:color w:val="auto"/>
          <w:szCs w:val="21"/>
          <w:highlight w:val="none"/>
          <w:u w:val="single"/>
        </w:rPr>
      </w:pPr>
      <w:r>
        <w:rPr>
          <w:rFonts w:hint="eastAsia" w:ascii="宋体" w:hAnsi="宋体"/>
          <w:bCs/>
          <w:color w:val="auto"/>
          <w:szCs w:val="21"/>
          <w:highlight w:val="none"/>
          <w:u w:val="single"/>
        </w:rPr>
        <w:t>（1）投标人施工履约能力与水平评价的证明文件；</w:t>
      </w:r>
    </w:p>
    <w:p w14:paraId="269BBD55">
      <w:pPr>
        <w:pStyle w:val="5"/>
        <w:ind w:firstLine="420"/>
        <w:rPr>
          <w:rFonts w:hint="eastAsia" w:ascii="宋体" w:hAnsi="宋体"/>
          <w:bCs/>
          <w:color w:val="auto"/>
          <w:szCs w:val="21"/>
          <w:highlight w:val="none"/>
          <w:u w:val="single"/>
        </w:rPr>
      </w:pPr>
      <w:r>
        <w:rPr>
          <w:rFonts w:hint="eastAsia" w:ascii="宋体" w:hAnsi="宋体"/>
          <w:bCs/>
          <w:color w:val="auto"/>
          <w:szCs w:val="21"/>
          <w:highlight w:val="none"/>
          <w:u w:val="single"/>
        </w:rPr>
        <w:t>（2）对工程服务保障能力评价的证明文件；</w:t>
      </w:r>
    </w:p>
    <w:p w14:paraId="6F96D6B4">
      <w:pPr>
        <w:pStyle w:val="5"/>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（3）企业施工能力的证明文件</w:t>
      </w:r>
      <w:r>
        <w:rPr>
          <w:rFonts w:hint="eastAsia" w:ascii="宋体" w:hAnsi="宋体"/>
          <w:bCs/>
          <w:color w:val="auto"/>
          <w:szCs w:val="21"/>
          <w:highlight w:val="none"/>
          <w:u w:val="single"/>
          <w:lang w:eastAsia="zh-CN"/>
        </w:rPr>
        <w:t>；</w:t>
      </w:r>
    </w:p>
    <w:p w14:paraId="31682C48">
      <w:pPr>
        <w:pStyle w:val="5"/>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其他投标人认为应该提供的资料</w:t>
      </w:r>
      <w:r>
        <w:rPr>
          <w:rFonts w:hint="eastAsia" w:ascii="宋体" w:hAnsi="宋体"/>
          <w:bCs/>
          <w:color w:val="auto"/>
          <w:szCs w:val="21"/>
          <w:highlight w:val="none"/>
          <w:u w:val="single"/>
          <w:lang w:eastAsia="zh-CN"/>
        </w:rPr>
        <w:t>（如有）</w:t>
      </w:r>
      <w:r>
        <w:rPr>
          <w:rFonts w:hint="eastAsia" w:ascii="宋体" w:hAnsi="宋体"/>
          <w:bCs/>
          <w:color w:val="auto"/>
          <w:szCs w:val="21"/>
          <w:highlight w:val="none"/>
          <w:u w:val="single"/>
        </w:rPr>
        <w:t>。</w:t>
      </w:r>
    </w:p>
    <w:p w14:paraId="249F9634">
      <w:pPr>
        <w:pStyle w:val="5"/>
        <w:spacing w:line="360" w:lineRule="auto"/>
        <w:ind w:firstLine="420" w:firstLineChars="200"/>
        <w:rPr>
          <w:rFonts w:hint="eastAsia" w:ascii="宋体" w:hAnsi="宋体"/>
          <w:bCs/>
          <w:strike/>
          <w:color w:val="auto"/>
          <w:szCs w:val="21"/>
          <w:highlight w:val="none"/>
          <w:u w:val="none"/>
          <w:lang w:val="en-US" w:eastAsia="zh-CN"/>
        </w:rPr>
      </w:pPr>
      <w:r>
        <w:rPr>
          <w:rFonts w:hint="eastAsia" w:ascii="宋体" w:hAnsi="宋体"/>
          <w:bCs/>
          <w:strike/>
          <w:color w:val="auto"/>
          <w:sz w:val="21"/>
          <w:szCs w:val="21"/>
          <w:highlight w:val="none"/>
          <w:u w:val="none"/>
        </w:rPr>
        <w:t>注:投标文件定标部分需现场递交纸质</w:t>
      </w:r>
      <w:r>
        <w:rPr>
          <w:rFonts w:hint="eastAsia" w:ascii="宋体" w:hAnsi="宋体"/>
          <w:bCs/>
          <w:strike/>
          <w:color w:val="auto"/>
          <w:sz w:val="21"/>
          <w:szCs w:val="21"/>
          <w:highlight w:val="none"/>
          <w:u w:val="none"/>
          <w:lang w:eastAsia="zh-CN"/>
        </w:rPr>
        <w:t>投标</w:t>
      </w:r>
      <w:r>
        <w:rPr>
          <w:rFonts w:hint="eastAsia" w:ascii="宋体" w:hAnsi="宋体"/>
          <w:bCs/>
          <w:strike/>
          <w:color w:val="auto"/>
          <w:sz w:val="21"/>
          <w:szCs w:val="21"/>
          <w:highlight w:val="none"/>
          <w:u w:val="none"/>
        </w:rPr>
        <w:t>文件（</w:t>
      </w:r>
      <w:r>
        <w:rPr>
          <w:rFonts w:hint="eastAsia" w:ascii="宋体" w:hAnsi="宋体"/>
          <w:bCs/>
          <w:strike/>
          <w:color w:val="auto"/>
          <w:sz w:val="21"/>
          <w:szCs w:val="21"/>
          <w:highlight w:val="none"/>
          <w:u w:val="none"/>
          <w:lang w:eastAsia="zh-CN"/>
        </w:rPr>
        <w:t>含</w:t>
      </w:r>
      <w:r>
        <w:rPr>
          <w:rFonts w:hint="eastAsia" w:ascii="宋体" w:hAnsi="宋体"/>
          <w:bCs/>
          <w:strike/>
          <w:color w:val="auto"/>
          <w:sz w:val="21"/>
          <w:szCs w:val="21"/>
          <w:highlight w:val="none"/>
          <w:u w:val="none"/>
        </w:rPr>
        <w:t>电子文件）。</w:t>
      </w:r>
    </w:p>
    <w:p w14:paraId="13CFF515">
      <w:pPr>
        <w:pStyle w:val="5"/>
        <w:rPr>
          <w:rFonts w:ascii="宋体" w:hAnsi="宋体"/>
          <w:bCs/>
          <w:color w:val="auto"/>
          <w:szCs w:val="21"/>
          <w:highlight w:val="none"/>
          <w:u w:val="single"/>
        </w:rPr>
      </w:pPr>
      <w:r>
        <w:rPr>
          <w:rFonts w:hint="eastAsia" w:ascii="宋体" w:hAnsi="宋体"/>
          <w:bCs/>
          <w:color w:val="auto"/>
          <w:szCs w:val="21"/>
          <w:highlight w:val="none"/>
          <w:u w:val="none"/>
          <w:lang w:val="en-US" w:eastAsia="zh-CN"/>
        </w:rPr>
        <w:t xml:space="preserve">   </w:t>
      </w:r>
      <w:r>
        <w:rPr>
          <w:rFonts w:hint="eastAsia" w:ascii="宋体" w:hAnsi="宋体"/>
          <w:bCs/>
          <w:color w:val="auto"/>
          <w:szCs w:val="21"/>
          <w:highlight w:val="none"/>
          <w:u w:val="single"/>
          <w:lang w:val="en-US" w:eastAsia="zh-CN"/>
        </w:rPr>
        <w:t xml:space="preserve">                                                                                     </w:t>
      </w:r>
    </w:p>
    <w:p w14:paraId="735629E8">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条款号：12.2、12.3                 修改类型：修改</w:t>
      </w:r>
    </w:p>
    <w:p w14:paraId="0E10CC5C">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p>
    <w:p w14:paraId="17CCF373">
      <w:pPr>
        <w:pStyle w:val="4"/>
        <w:spacing w:after="0"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12.3 </w:t>
      </w:r>
      <w:r>
        <w:rPr>
          <w:rFonts w:hint="eastAsia" w:ascii="宋体" w:hAnsi="宋体"/>
          <w:bCs/>
          <w:color w:val="auto"/>
          <w:sz w:val="21"/>
          <w:szCs w:val="21"/>
          <w:highlight w:val="none"/>
        </w:rPr>
        <w:t>投标文件应按</w:t>
      </w:r>
      <w:r>
        <w:rPr>
          <w:rFonts w:hint="eastAsia" w:ascii="宋体" w:hAnsi="宋体"/>
          <w:color w:val="auto"/>
          <w:sz w:val="21"/>
          <w:szCs w:val="21"/>
          <w:highlight w:val="none"/>
        </w:rPr>
        <w:t xml:space="preserve">照交易平台关于全流程电子化项目的相关指南进行编制，详见：。               </w:t>
      </w:r>
    </w:p>
    <w:p w14:paraId="15F7C0F7">
      <w:pPr>
        <w:pStyle w:val="4"/>
        <w:spacing w:line="360" w:lineRule="auto"/>
        <w:ind w:firstLine="0"/>
        <w:rPr>
          <w:color w:val="auto"/>
          <w:szCs w:val="21"/>
          <w:highlight w:val="none"/>
        </w:rPr>
      </w:pPr>
      <w:r>
        <w:rPr>
          <w:rFonts w:hint="eastAsia" w:ascii="宋体" w:hAnsi="宋体"/>
          <w:bCs/>
          <w:color w:val="auto"/>
          <w:sz w:val="21"/>
          <w:szCs w:val="21"/>
          <w:highlight w:val="none"/>
        </w:rPr>
        <w:t>如不按上述要求编制引起系统无法检索、读取相关信息的，其后果由投标人承担。</w:t>
      </w:r>
    </w:p>
    <w:p w14:paraId="50627BEE">
      <w:pPr>
        <w:pStyle w:val="4"/>
        <w:spacing w:after="0"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12.2 投标文件全部采用电子文档，投标文件所附证书证件均为原件扫描件，并采用单位数字证书，</w:t>
      </w:r>
      <w:r>
        <w:rPr>
          <w:rFonts w:hint="eastAsia" w:ascii="宋体" w:hAnsi="宋体"/>
          <w:color w:val="auto"/>
          <w:szCs w:val="21"/>
          <w:highlight w:val="none"/>
          <w:lang w:eastAsia="zh-CN"/>
        </w:rPr>
        <w:t>对投标文件加盖</w:t>
      </w:r>
      <w:r>
        <w:rPr>
          <w:rFonts w:hint="eastAsia" w:ascii="宋体" w:hAnsi="宋体"/>
          <w:color w:val="auto"/>
          <w:szCs w:val="21"/>
          <w:highlight w:val="none"/>
        </w:rPr>
        <w:t>电子印章。投标文件中需个人签字或盖章的，应加盖个人电子印章或在线下完成后扫描上传。</w:t>
      </w:r>
      <w:r>
        <w:rPr>
          <w:rFonts w:hint="eastAsia" w:ascii="宋体" w:hAnsi="宋体"/>
          <w:color w:val="auto"/>
          <w:szCs w:val="21"/>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Cs w:val="21"/>
          <w:highlight w:val="none"/>
        </w:rPr>
        <w:t>按照</w:t>
      </w:r>
      <w:r>
        <w:rPr>
          <w:rFonts w:hint="eastAsia" w:ascii="宋体" w:hAnsi="宋体" w:cs="宋体"/>
          <w:bCs/>
          <w:color w:val="auto"/>
          <w:szCs w:val="21"/>
          <w:highlight w:val="none"/>
          <w:u w:val="single"/>
        </w:rPr>
        <w:t>广州交易集团有限公司（广州公共资源交易中心）</w:t>
      </w:r>
      <w:r>
        <w:rPr>
          <w:rFonts w:hint="eastAsia" w:ascii="宋体" w:hAnsi="宋体"/>
          <w:color w:val="auto"/>
          <w:szCs w:val="21"/>
          <w:highlight w:val="none"/>
        </w:rPr>
        <w:t>交易平台关于全流程电子化项目的相关指南进行操作。详见：</w:t>
      </w:r>
      <w:r>
        <w:rPr>
          <w:rFonts w:hint="eastAsia" w:ascii="宋体" w:hAnsi="宋体" w:cs="宋体"/>
          <w:bCs/>
          <w:color w:val="auto"/>
          <w:szCs w:val="21"/>
          <w:highlight w:val="none"/>
          <w:u w:val="single"/>
        </w:rPr>
        <w:t>广州交易集团有限公司（广州公共资源交易中心）网站最新指引</w:t>
      </w:r>
      <w:r>
        <w:rPr>
          <w:rFonts w:hint="eastAsia" w:ascii="宋体" w:hAnsi="宋体"/>
          <w:color w:val="auto"/>
          <w:szCs w:val="21"/>
          <w:highlight w:val="none"/>
        </w:rPr>
        <w:t>。</w:t>
      </w:r>
    </w:p>
    <w:p w14:paraId="56BB44FD">
      <w:pPr>
        <w:pStyle w:val="4"/>
        <w:spacing w:after="0"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12.3 </w:t>
      </w:r>
      <w:r>
        <w:rPr>
          <w:rFonts w:hint="eastAsia" w:ascii="宋体" w:hAnsi="宋体"/>
          <w:bCs/>
          <w:color w:val="auto"/>
          <w:sz w:val="21"/>
          <w:szCs w:val="21"/>
          <w:highlight w:val="none"/>
        </w:rPr>
        <w:t>投标文件应按</w:t>
      </w:r>
      <w:r>
        <w:rPr>
          <w:rFonts w:hint="eastAsia" w:ascii="宋体" w:hAnsi="宋体"/>
          <w:color w:val="auto"/>
          <w:sz w:val="21"/>
          <w:szCs w:val="21"/>
          <w:highlight w:val="none"/>
        </w:rPr>
        <w:t>照</w:t>
      </w:r>
      <w:r>
        <w:rPr>
          <w:rFonts w:hint="eastAsia" w:ascii="宋体" w:hAnsi="宋体" w:cs="宋体"/>
          <w:bCs/>
          <w:color w:val="auto"/>
          <w:szCs w:val="21"/>
          <w:highlight w:val="none"/>
          <w:u w:val="single"/>
        </w:rPr>
        <w:t>广州交易集团有限公司（广州公共资源交易中心）网站最新指引</w:t>
      </w:r>
      <w:r>
        <w:rPr>
          <w:rFonts w:hint="eastAsia" w:ascii="宋体" w:hAnsi="宋体"/>
          <w:color w:val="auto"/>
          <w:sz w:val="21"/>
          <w:szCs w:val="21"/>
          <w:highlight w:val="none"/>
        </w:rPr>
        <w:t>交易平台关于全流程电子化项目的相关指南进行编制，详见：</w:t>
      </w:r>
      <w:r>
        <w:rPr>
          <w:rFonts w:hint="eastAsia" w:ascii="宋体" w:hAnsi="宋体" w:cs="宋体"/>
          <w:bCs/>
          <w:color w:val="auto"/>
          <w:szCs w:val="21"/>
          <w:highlight w:val="none"/>
          <w:u w:val="single"/>
        </w:rPr>
        <w:t>广州交易集团有限公司（广州公共资源交易中心）网站最新指引</w:t>
      </w:r>
      <w:r>
        <w:rPr>
          <w:rFonts w:hint="eastAsia" w:ascii="宋体" w:hAnsi="宋体"/>
          <w:color w:val="auto"/>
          <w:sz w:val="21"/>
          <w:szCs w:val="21"/>
          <w:highlight w:val="none"/>
        </w:rPr>
        <w:t xml:space="preserve">。               </w:t>
      </w:r>
    </w:p>
    <w:p w14:paraId="78294344">
      <w:pPr>
        <w:pStyle w:val="4"/>
        <w:spacing w:line="360" w:lineRule="auto"/>
        <w:ind w:firstLine="0"/>
        <w:rPr>
          <w:color w:val="auto"/>
          <w:szCs w:val="21"/>
          <w:highlight w:val="none"/>
        </w:rPr>
      </w:pPr>
      <w:r>
        <w:rPr>
          <w:rFonts w:hint="eastAsia" w:ascii="宋体" w:hAnsi="宋体"/>
          <w:bCs/>
          <w:color w:val="auto"/>
          <w:sz w:val="21"/>
          <w:szCs w:val="21"/>
          <w:highlight w:val="none"/>
        </w:rPr>
        <w:t>如不按上述要求编制引起系统无法检索、读取相关信息的，其后果由投标人承担。</w:t>
      </w:r>
    </w:p>
    <w:p w14:paraId="5D01A1DB">
      <w:pPr>
        <w:pBdr>
          <w:bottom w:val="single" w:color="auto" w:sz="6" w:space="1"/>
        </w:pBdr>
        <w:spacing w:line="360" w:lineRule="auto"/>
        <w:ind w:firstLine="525" w:firstLineChars="250"/>
        <w:rPr>
          <w:rFonts w:ascii="宋体" w:hAnsi="宋体"/>
          <w:color w:val="auto"/>
          <w:szCs w:val="21"/>
          <w:highlight w:val="none"/>
        </w:rPr>
      </w:pPr>
    </w:p>
    <w:p w14:paraId="5A6FC9ED">
      <w:pPr>
        <w:pStyle w:val="9"/>
        <w:ind w:firstLine="0"/>
        <w:rPr>
          <w:color w:val="auto"/>
          <w:highlight w:val="none"/>
        </w:rPr>
      </w:pPr>
    </w:p>
    <w:p w14:paraId="01A0EEBE">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13.1.1    </w:t>
      </w:r>
      <w:r>
        <w:rPr>
          <w:rFonts w:hint="eastAsia" w:ascii="宋体" w:hAnsi="宋体"/>
          <w:b/>
          <w:color w:val="auto"/>
          <w:szCs w:val="21"/>
          <w:highlight w:val="none"/>
        </w:rPr>
        <w:t xml:space="preserve">               修改类型：增加</w:t>
      </w:r>
    </w:p>
    <w:p w14:paraId="53FEF878">
      <w:pPr>
        <w:pBdr>
          <w:bottom w:val="single" w:color="auto" w:sz="6" w:space="1"/>
        </w:pBdr>
        <w:spacing w:line="360" w:lineRule="auto"/>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13.1.1投标报价的计费依据：</w:t>
      </w:r>
    </w:p>
    <w:p w14:paraId="123C27B9">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13.1.1.1工程计价执行《广东省建设工程计价依据（2018）》等有关规定。</w:t>
      </w:r>
    </w:p>
    <w:p w14:paraId="517EF8D9">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13.1.1.2材料综合价格部分、人工日工资价格及机械台班价格执行本项目评审批复所参考的同期月度有关文件。</w:t>
      </w:r>
    </w:p>
    <w:p w14:paraId="606C3C4C">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13.1.1.3材料价格依据：本项目评审批复所参考的同期月度广州地区建设工程常用材料税前综合信息价，不足部分参考同期《广州地区建设工程材料（设备）厂商价格信息》及市场价等有关价格文件。</w:t>
      </w:r>
    </w:p>
    <w:p w14:paraId="36E4FCC4">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13.1.1.4本项目所使用的材料、其质量档次按本招标文件所附施工合同专用条款要求进行计价。</w:t>
      </w:r>
    </w:p>
    <w:p w14:paraId="505C46E6">
      <w:pPr>
        <w:pStyle w:val="9"/>
        <w:rPr>
          <w:color w:val="auto"/>
          <w:highlight w:val="none"/>
        </w:rPr>
      </w:pPr>
    </w:p>
    <w:p w14:paraId="21EE715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13.3.1-</w:t>
      </w:r>
      <w:r>
        <w:rPr>
          <w:rFonts w:hint="eastAsia" w:ascii="宋体" w:hAnsi="宋体"/>
          <w:b/>
          <w:color w:val="auto"/>
          <w:szCs w:val="21"/>
          <w:highlight w:val="none"/>
        </w:rPr>
        <w:t>13.3.9              修改类型：增加</w:t>
      </w:r>
    </w:p>
    <w:p w14:paraId="38F4ECBE">
      <w:pPr>
        <w:pBdr>
          <w:bottom w:val="single" w:color="auto" w:sz="6" w:space="1"/>
        </w:pBdr>
        <w:spacing w:line="360" w:lineRule="auto"/>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13.3.1技术措施项目费、绿色施工安全防护措施费、措施其它项目费〔包括夜间施工增加费、交通干扰工程施工增加费、赶工措施费、地下管线交叉降效费、特殊工程培训费、施工排水费、施工降水费、大型机械进出场费、泥浆池(槽)砌筑及拆除费、地上、地下设施、建筑物的临时保护设施、交通安全维护设施费、 道路交通疏导费、临时占用道路费、永久管线标志设置费、硬式扫床验收费、环境保护费、淤泥疏通费、环保报批费、施工便道、栈桥、机械浮船、工程保险费、工程保修费等费用〕、其它项目费用｛包括总承包服务费、管理配合费、材料保管费、预算包干费等费用｝、拟建工程(道路、建筑物等) 周边的房屋进行房屋鉴定费用（因施工原因引起的鉴定）费用等与工程有关的费用及保证质量、安全的各项技术措施费，由投标人自行考虑并计入投标报价。</w:t>
      </w:r>
    </w:p>
    <w:p w14:paraId="4A71BC08">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施工雨(污)水的排除、地下水的排除；因地形影响造成的场内料具二次运输；工程用水加压措施；完工清场后的垃圾外运;材料堆放场地的整理；水电安装后的补洞工料费；工程成品、半成品的保护、照顾费；施工中的临时停电停水的应急措施；基础埋深2米以内挖土方的塌方；日间照明施工增加费。由投标人自行考虑并计入投标报价。</w:t>
      </w:r>
    </w:p>
    <w:p w14:paraId="4BE6EE50">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13.3.2本次投标报价是包含施工过程风险的报价，承包人在施工过程所需的施工风险处理费用及不可预见费用在投标报价中已包含，承包人在施工过程造成附近建筑物、构筑物及现场已完成的构件破坏，由此引起的所有费用由承包人承担。</w:t>
      </w:r>
    </w:p>
    <w:p w14:paraId="123A2CBF">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13.3.3凡施工图纸中未有详细注明的做法，则按国家及广东省有关的设计规范及施工验收规范进行施工，投标人在投标报价时须将些因素考虑在内。</w:t>
      </w:r>
    </w:p>
    <w:p w14:paraId="717DAC6C">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13.3.4投标人还应在本次投标报价中充分考虑由招标人另外委托的其他专业承包人（例如各种专业设备安装等非本次招标范围的工程项目）等进入现场施工的管理配合费用，并须在施工过程中在人力和机械方面给予配合和管理。</w:t>
      </w:r>
    </w:p>
    <w:p w14:paraId="46774080">
      <w:pPr>
        <w:pBdr>
          <w:bottom w:val="single" w:color="auto" w:sz="6" w:space="1"/>
        </w:pBdr>
        <w:spacing w:line="360" w:lineRule="auto"/>
        <w:ind w:firstLine="525" w:firstLineChars="250"/>
        <w:rPr>
          <w:rFonts w:ascii="宋体" w:hAnsi="宋体"/>
          <w:strike w:val="0"/>
          <w:color w:val="auto"/>
          <w:szCs w:val="21"/>
          <w:highlight w:val="none"/>
          <w:u w:val="single"/>
        </w:rPr>
      </w:pPr>
      <w:r>
        <w:rPr>
          <w:rFonts w:hint="eastAsia" w:ascii="宋体" w:hAnsi="宋体"/>
          <w:strike w:val="0"/>
          <w:color w:val="auto"/>
          <w:szCs w:val="21"/>
          <w:highlight w:val="none"/>
          <w:u w:val="single"/>
        </w:rPr>
        <w:t>13.3.5承包人购买的“建筑意外伤害保险及工伤险”，所需费用由各投标人综合考虑在投标报价中。</w:t>
      </w:r>
    </w:p>
    <w:p w14:paraId="07468462">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13.3.6本工程开工日期以发包人书面通知时间为准，工期需与其它标段配合，施工需与其它标段穿插进行，相关费用及工期须在投标报价中考虑，发包人不再另行增加费用及工期。</w:t>
      </w:r>
    </w:p>
    <w:p w14:paraId="11014851">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13.3.7招标人不提供取土点，土方的运距按15公里考虑进行计价，因运距而引起造价变化属投标风险，招标人在项目实施时对相关影响不作增减。</w:t>
      </w:r>
    </w:p>
    <w:p w14:paraId="6FAAD75C">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13.3.8中标人需配合由发包人委托的检测项目的检测工作，负责按检测单位要求提供水源、电源、脚手架、修建检测车辆出入便道、检测场地平整、钻芯孔回灌封闭所需的水泥等、检测用桩帽的制作、相关预埋件的埋设、结构实体检测后的恢复工作等准备、配合工作，相关费用投标人须在投标报价中考虑，发包人不再另行增加费用。</w:t>
      </w:r>
    </w:p>
    <w:p w14:paraId="58588D2C">
      <w:pPr>
        <w:pBdr>
          <w:bottom w:val="single" w:color="auto" w:sz="6" w:space="1"/>
        </w:pBd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u w:val="single"/>
        </w:rPr>
        <w:t>13.3.9在编制本工程投标预算时，其他项目费中的材料检验试验费不应包含在投标报价中。</w:t>
      </w:r>
    </w:p>
    <w:p w14:paraId="4B6D859E">
      <w:pPr>
        <w:pStyle w:val="9"/>
        <w:ind w:firstLine="0"/>
        <w:rPr>
          <w:color w:val="auto"/>
          <w:highlight w:val="none"/>
        </w:rPr>
      </w:pPr>
    </w:p>
    <w:p w14:paraId="4239A685">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.4                       修改类型：修改</w:t>
      </w:r>
    </w:p>
    <w:p w14:paraId="503F4E02">
      <w:pPr>
        <w:pBdr>
          <w:bottom w:val="single" w:color="auto" w:sz="4" w:space="1"/>
        </w:pBd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A7BBD48">
      <w:pPr>
        <w:pBdr>
          <w:bottom w:val="single" w:color="auto" w:sz="4" w:space="1"/>
        </w:pBd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kern w:val="0"/>
          <w:szCs w:val="21"/>
          <w:highlight w:val="none"/>
        </w:rPr>
        <w:t>13.4投标人一旦中标，投标人对招标人提供的招标工程量清单中列出的工程项目所报出的综合单价，</w:t>
      </w:r>
      <w:r>
        <w:rPr>
          <w:rFonts w:hint="eastAsia" w:ascii="宋体" w:hAnsi="宋体"/>
          <w:color w:val="auto"/>
          <w:kern w:val="0"/>
          <w:szCs w:val="21"/>
          <w:highlight w:val="none"/>
          <w:u w:val="single"/>
        </w:rPr>
        <w:t>原则上不得变更，但涉及建设工程材料价格波动异常，超出发承包双方按以往经验所能预见与避免的范围和承担的风险的情况除外，由招标人在招标文件及合同中明确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7601E4F">
      <w:pPr>
        <w:pStyle w:val="9"/>
        <w:ind w:firstLine="0"/>
        <w:rPr>
          <w:color w:val="auto"/>
          <w:highlight w:val="none"/>
        </w:rPr>
      </w:pPr>
    </w:p>
    <w:p w14:paraId="098F63D3">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w:t>
      </w:r>
      <w:r>
        <w:rPr>
          <w:rFonts w:ascii="宋体" w:hAnsi="宋体"/>
          <w:b/>
          <w:color w:val="auto"/>
          <w:szCs w:val="21"/>
          <w:highlight w:val="none"/>
        </w:rPr>
        <w:t>5.2</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13.5.3</w:t>
      </w:r>
      <w:r>
        <w:rPr>
          <w:rFonts w:hint="eastAsia" w:ascii="宋体" w:hAnsi="宋体"/>
          <w:b/>
          <w:color w:val="auto"/>
          <w:szCs w:val="21"/>
          <w:highlight w:val="none"/>
        </w:rPr>
        <w:t xml:space="preserve">                    修改类型：修改</w:t>
      </w:r>
    </w:p>
    <w:p w14:paraId="495EC80A">
      <w:pPr>
        <w:spacing w:line="360" w:lineRule="auto"/>
        <w:ind w:firstLine="472" w:firstLineChars="224"/>
        <w:rPr>
          <w:rFonts w:hint="eastAsia" w:ascii="宋体" w:hAnsi="宋体"/>
          <w:color w:val="auto"/>
          <w:szCs w:val="21"/>
          <w:highlight w:val="none"/>
        </w:rPr>
      </w:pPr>
      <w:r>
        <w:rPr>
          <w:rFonts w:hint="eastAsia" w:ascii="宋体" w:hAnsi="宋体"/>
          <w:b/>
          <w:color w:val="auto"/>
          <w:szCs w:val="21"/>
          <w:highlight w:val="none"/>
        </w:rPr>
        <w:t>原文：</w:t>
      </w:r>
      <w:r>
        <w:rPr>
          <w:rFonts w:ascii="宋体" w:hAnsi="宋体"/>
          <w:b/>
          <w:color w:val="auto"/>
          <w:szCs w:val="21"/>
          <w:highlight w:val="none"/>
        </w:rPr>
        <w:t>13</w:t>
      </w:r>
      <w:r>
        <w:rPr>
          <w:rFonts w:hint="eastAsia" w:ascii="宋体" w:hAnsi="宋体"/>
          <w:b/>
          <w:color w:val="auto"/>
          <w:szCs w:val="21"/>
          <w:highlight w:val="none"/>
        </w:rPr>
        <w:t>.</w:t>
      </w:r>
      <w:r>
        <w:rPr>
          <w:rFonts w:ascii="宋体" w:hAnsi="宋体"/>
          <w:b/>
          <w:color w:val="auto"/>
          <w:szCs w:val="21"/>
          <w:highlight w:val="none"/>
        </w:rPr>
        <w:t>5.2</w:t>
      </w:r>
      <w:r>
        <w:rPr>
          <w:rFonts w:hint="eastAsia" w:ascii="宋体" w:hAnsi="宋体"/>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DF51E5B">
      <w:pPr>
        <w:spacing w:line="360" w:lineRule="auto"/>
        <w:ind w:firstLine="472" w:firstLineChars="224"/>
        <w:rPr>
          <w:rFonts w:hint="eastAsia" w:ascii="宋体" w:hAnsi="宋体"/>
          <w:color w:val="auto"/>
          <w:szCs w:val="21"/>
          <w:highlight w:val="none"/>
        </w:rPr>
      </w:pPr>
      <w:r>
        <w:rPr>
          <w:rFonts w:hint="eastAsia" w:ascii="宋体" w:hAnsi="宋体"/>
          <w:b/>
          <w:color w:val="auto"/>
          <w:szCs w:val="21"/>
          <w:highlight w:val="none"/>
          <w:lang w:val="en-US" w:eastAsia="zh-CN"/>
        </w:rPr>
        <w:t>13.5.3</w:t>
      </w:r>
      <w:r>
        <w:rPr>
          <w:rFonts w:hint="eastAsia" w:ascii="宋体" w:hAnsi="宋体"/>
          <w:bCs/>
          <w:color w:val="auto"/>
          <w:szCs w:val="21"/>
          <w:highlight w:val="none"/>
        </w:rPr>
        <w:t>中标的投标文件工程量清单中没有相同项目或类似项目的，如可套取相关定额，则以相关定额为基数下浮计算单价</w:t>
      </w:r>
      <w:r>
        <w:rPr>
          <w:rFonts w:ascii="宋体" w:hAnsi="宋体"/>
          <w:bCs/>
          <w:color w:val="auto"/>
          <w:szCs w:val="21"/>
          <w:highlight w:val="none"/>
        </w:rPr>
        <w:t>,</w:t>
      </w:r>
      <w:r>
        <w:rPr>
          <w:rFonts w:hint="eastAsia" w:ascii="宋体" w:hAnsi="宋体"/>
          <w:bCs/>
          <w:color w:val="auto"/>
          <w:szCs w:val="21"/>
          <w:highlight w:val="none"/>
        </w:rPr>
        <w:t>下浮率为中标价相对于最高投标限价的下浮率（下浮率</w:t>
      </w:r>
      <w:r>
        <w:rPr>
          <w:rFonts w:ascii="宋体" w:hAnsi="宋体"/>
          <w:bCs/>
          <w:color w:val="auto"/>
          <w:szCs w:val="21"/>
          <w:highlight w:val="none"/>
        </w:rPr>
        <w:t>=(</w:t>
      </w:r>
      <w:r>
        <w:rPr>
          <w:rFonts w:hint="eastAsia" w:ascii="宋体" w:hAnsi="宋体"/>
          <w:bCs/>
          <w:color w:val="auto"/>
          <w:szCs w:val="21"/>
          <w:highlight w:val="none"/>
        </w:rPr>
        <w:t>最高投标限价</w:t>
      </w:r>
      <w:r>
        <w:rPr>
          <w:rFonts w:ascii="宋体" w:hAnsi="宋体"/>
          <w:bCs/>
          <w:color w:val="auto"/>
          <w:szCs w:val="21"/>
          <w:highlight w:val="none"/>
        </w:rPr>
        <w:t>-</w:t>
      </w:r>
      <w:r>
        <w:rPr>
          <w:rFonts w:hint="eastAsia" w:ascii="宋体" w:hAnsi="宋体"/>
          <w:bCs/>
          <w:color w:val="auto"/>
          <w:szCs w:val="21"/>
          <w:highlight w:val="none"/>
        </w:rPr>
        <w:t>中标价</w:t>
      </w:r>
      <w:r>
        <w:rPr>
          <w:rFonts w:ascii="宋体" w:hAnsi="宋体"/>
          <w:bCs/>
          <w:color w:val="auto"/>
          <w:szCs w:val="21"/>
          <w:highlight w:val="none"/>
        </w:rPr>
        <w:t xml:space="preserve">)/ </w:t>
      </w:r>
      <w:r>
        <w:rPr>
          <w:rFonts w:hint="eastAsia" w:ascii="宋体" w:hAnsi="宋体"/>
          <w:bCs/>
          <w:color w:val="auto"/>
          <w:szCs w:val="21"/>
          <w:highlight w:val="none"/>
        </w:rPr>
        <w:t>最高投标限价）。</w:t>
      </w:r>
    </w:p>
    <w:p w14:paraId="7C4BDFA8">
      <w:pPr>
        <w:spacing w:line="360" w:lineRule="auto"/>
        <w:ind w:firstLine="472" w:firstLineChars="224"/>
        <w:rPr>
          <w:color w:val="auto"/>
          <w:highlight w:val="none"/>
          <w:u w:val="single"/>
        </w:rPr>
      </w:pPr>
      <w:r>
        <w:rPr>
          <w:rFonts w:hint="eastAsia" w:ascii="宋体" w:hAnsi="宋体"/>
          <w:b/>
          <w:color w:val="auto"/>
          <w:szCs w:val="21"/>
          <w:highlight w:val="none"/>
        </w:rPr>
        <w:t>现文：</w:t>
      </w:r>
      <w:r>
        <w:rPr>
          <w:rFonts w:hint="eastAsia" w:ascii="宋体" w:hAnsi="宋体"/>
          <w:b/>
          <w:color w:val="auto"/>
          <w:szCs w:val="21"/>
          <w:highlight w:val="none"/>
          <w:lang w:val="en-US" w:eastAsia="zh-CN"/>
        </w:rPr>
        <w:t>13.5</w:t>
      </w:r>
      <w:r>
        <w:rPr>
          <w:rFonts w:hint="eastAsia" w:ascii="宋体" w:hAnsi="宋体" w:eastAsia="宋体"/>
          <w:color w:val="auto"/>
          <w:sz w:val="24"/>
          <w:highlight w:val="none"/>
        </w:rPr>
        <w:t>变更结算方式按招标文件及施工合同相关规定执行。</w:t>
      </w:r>
    </w:p>
    <w:p w14:paraId="048D4BE3">
      <w:pPr>
        <w:pStyle w:val="9"/>
        <w:ind w:firstLine="0"/>
        <w:rPr>
          <w:rFonts w:hint="default"/>
          <w:color w:val="auto"/>
          <w:highlight w:val="none"/>
          <w:u w:val="single"/>
        </w:rPr>
      </w:pPr>
      <w:r>
        <w:rPr>
          <w:rFonts w:hint="eastAsia"/>
          <w:color w:val="auto"/>
          <w:highlight w:val="none"/>
          <w:u w:val="single"/>
          <w:lang w:val="en-US" w:eastAsia="zh-CN"/>
        </w:rPr>
        <w:t xml:space="preserve">                                                                                       </w:t>
      </w:r>
    </w:p>
    <w:p w14:paraId="59F39E45">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13</w:t>
      </w:r>
      <w:r>
        <w:rPr>
          <w:rFonts w:hint="eastAsia" w:ascii="宋体" w:hAnsi="宋体"/>
          <w:b/>
          <w:color w:val="auto"/>
          <w:szCs w:val="21"/>
          <w:highlight w:val="none"/>
        </w:rPr>
        <w:t>.</w:t>
      </w:r>
      <w:r>
        <w:rPr>
          <w:rFonts w:ascii="宋体" w:hAnsi="宋体"/>
          <w:b/>
          <w:color w:val="auto"/>
          <w:szCs w:val="21"/>
          <w:highlight w:val="none"/>
        </w:rPr>
        <w:t>10</w:t>
      </w:r>
      <w:r>
        <w:rPr>
          <w:rFonts w:hint="eastAsia" w:ascii="宋体" w:hAnsi="宋体"/>
          <w:b/>
          <w:color w:val="auto"/>
          <w:szCs w:val="21"/>
          <w:highlight w:val="none"/>
        </w:rPr>
        <w:t xml:space="preserve">         修改类型：增加</w:t>
      </w:r>
    </w:p>
    <w:p w14:paraId="7A69FCE1">
      <w:pP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13.10投标人一旦中标，中标价即为合同价，合同价款在合同条款签订后，任何一方不得擅自改变。投标人在报价时要充分考虑本工程的一切风险因素（如场地因素、地质资料和地下障碍物因素、材料设备价格因素、工程费用调整因素、外部环境影响因素等），在投标报价时作出最优和最合适、最有竞争力的报价。</w:t>
      </w:r>
    </w:p>
    <w:p w14:paraId="1D7E5868">
      <w:pPr>
        <w:pBdr>
          <w:bottom w:val="single" w:color="auto" w:sz="4" w:space="1"/>
        </w:pBdr>
        <w:spacing w:line="360" w:lineRule="auto"/>
        <w:ind w:firstLine="470" w:firstLineChars="224"/>
        <w:rPr>
          <w:rFonts w:ascii="宋体" w:hAnsi="宋体"/>
          <w:color w:val="auto"/>
          <w:szCs w:val="21"/>
          <w:highlight w:val="none"/>
          <w:u w:val="single"/>
        </w:rPr>
      </w:pPr>
    </w:p>
    <w:p w14:paraId="18E5B6BD">
      <w:pPr>
        <w:spacing w:line="360" w:lineRule="auto"/>
        <w:rPr>
          <w:rFonts w:ascii="宋体" w:hAnsi="宋体"/>
          <w:b/>
          <w:color w:val="auto"/>
          <w:szCs w:val="21"/>
          <w:highlight w:val="none"/>
        </w:rPr>
      </w:pPr>
    </w:p>
    <w:p w14:paraId="581DB877">
      <w:pPr>
        <w:spacing w:line="360" w:lineRule="auto"/>
        <w:ind w:firstLine="422" w:firstLineChars="200"/>
        <w:rPr>
          <w:rFonts w:hint="eastAsia" w:ascii="宋体" w:hAnsi="宋体" w:eastAsia="宋体"/>
          <w:b/>
          <w:color w:val="auto"/>
          <w:szCs w:val="21"/>
          <w:highlight w:val="none"/>
          <w:lang w:eastAsia="zh-CN"/>
        </w:rPr>
      </w:pPr>
      <w:r>
        <w:rPr>
          <w:rFonts w:hint="eastAsia" w:ascii="宋体" w:hAnsi="宋体"/>
          <w:b/>
          <w:color w:val="auto"/>
          <w:szCs w:val="21"/>
          <w:highlight w:val="none"/>
        </w:rPr>
        <w:t>条款号：16.1-16.6                  修改类型：</w:t>
      </w:r>
      <w:r>
        <w:rPr>
          <w:rFonts w:hint="eastAsia" w:ascii="宋体" w:hAnsi="宋体"/>
          <w:b/>
          <w:color w:val="auto"/>
          <w:szCs w:val="21"/>
          <w:highlight w:val="none"/>
          <w:lang w:eastAsia="zh-CN"/>
        </w:rPr>
        <w:t>修改</w:t>
      </w:r>
    </w:p>
    <w:p w14:paraId="3DB828FF">
      <w:pPr>
        <w:spacing w:line="360" w:lineRule="auto"/>
        <w:ind w:firstLine="470" w:firstLineChars="224"/>
        <w:rPr>
          <w:rFonts w:ascii="宋体" w:hAnsi="宋体"/>
          <w:strike w:val="0"/>
          <w:color w:val="auto"/>
          <w:szCs w:val="21"/>
          <w:highlight w:val="none"/>
        </w:rPr>
      </w:pPr>
      <w:r>
        <w:rPr>
          <w:rFonts w:hint="eastAsia" w:ascii="宋体" w:hAnsi="宋体"/>
          <w:color w:val="auto"/>
          <w:szCs w:val="21"/>
          <w:highlight w:val="none"/>
        </w:rPr>
        <w:t>原文：</w:t>
      </w:r>
      <w:r>
        <w:rPr>
          <w:rFonts w:hint="eastAsia" w:ascii="宋体" w:hAnsi="宋体"/>
          <w:strike w:val="0"/>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013C39B2">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16.1.1 采用现金或者支票形式提交的，投标保证金须从投标人的银行基本账户转出。</w:t>
      </w:r>
    </w:p>
    <w:p w14:paraId="3F417D0C">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16.1.2 依法必须招标的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A9E7E56">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16.1.3 采用电子形式的保函、担保或保证保险提交投标保证金的，应在招标文件中明确电子递交途径。</w:t>
      </w:r>
    </w:p>
    <w:p w14:paraId="65E2AFD0">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62E9D55">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16.3投标保证金应依据法律法规的相关规定退还。</w:t>
      </w:r>
    </w:p>
    <w:p w14:paraId="14515BA0">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16.4如有下列情况之一的，招标人可以不予退还投标保证金（是否退还投标保证金由招标人在招标文件中规定）：</w:t>
      </w:r>
    </w:p>
    <w:p w14:paraId="4A6DCBD7">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16.4.1因投标人原因造成投标文件未解密的；</w:t>
      </w:r>
    </w:p>
    <w:p w14:paraId="665B9C6A">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16.4.2投标人在投标有效期内撤销投标文件；</w:t>
      </w:r>
    </w:p>
    <w:p w14:paraId="281EFA84">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16.4.3中标人未能在规定期限内按要求提交履约担保；</w:t>
      </w:r>
    </w:p>
    <w:p w14:paraId="210A4F9A">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16.4.4中标人未能在规定期限内签署合同协议。</w:t>
      </w:r>
    </w:p>
    <w:p w14:paraId="78568717">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16.5投标人如存在下列情况之一的，将被拒绝在</w:t>
      </w:r>
      <w:r>
        <w:rPr>
          <w:rFonts w:ascii="宋体" w:hAnsi="宋体"/>
          <w:strike w:val="0"/>
          <w:color w:val="auto"/>
          <w:szCs w:val="21"/>
          <w:highlight w:val="none"/>
        </w:rPr>
        <w:t>一定时期</w:t>
      </w:r>
      <w:r>
        <w:rPr>
          <w:rFonts w:hint="eastAsia" w:ascii="宋体" w:hAnsi="宋体"/>
          <w:strike w:val="0"/>
          <w:color w:val="auto"/>
          <w:szCs w:val="21"/>
          <w:highlight w:val="none"/>
        </w:rPr>
        <w:t>内参与招标人后续工程投标（拒绝</w:t>
      </w:r>
    </w:p>
    <w:p w14:paraId="4441F895">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限需在招标文件中明确）：</w:t>
      </w:r>
    </w:p>
    <w:p w14:paraId="06D42896">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16.5.1投标人存在16.4条款所列情形且投标人提交的保函、担保或保证保险无法兑付的；</w:t>
      </w:r>
    </w:p>
    <w:p w14:paraId="16CA93EF">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16.5.2采用非电子形式提交投标保证金的投标人存在16.4条款所列情形，且未按招标人要求补交银行保函、专业工程担保公司担保或保证保险原件的；</w:t>
      </w:r>
    </w:p>
    <w:p w14:paraId="12B05097">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16.5.3按招标文件要求免于提供投标保证金的投标人存在16.4条款所列情形，且未按招标人要求补交投标保证金的；</w:t>
      </w:r>
    </w:p>
    <w:p w14:paraId="0EFD043B">
      <w:pPr>
        <w:spacing w:line="360" w:lineRule="auto"/>
        <w:ind w:firstLine="470" w:firstLineChars="224"/>
        <w:rPr>
          <w:rFonts w:ascii="宋体" w:hAnsi="宋体"/>
          <w:strike w:val="0"/>
          <w:color w:val="auto"/>
          <w:szCs w:val="21"/>
          <w:highlight w:val="none"/>
        </w:rPr>
      </w:pPr>
      <w:r>
        <w:rPr>
          <w:rFonts w:hint="eastAsia" w:ascii="宋体" w:hAnsi="宋体"/>
          <w:strike w:val="0"/>
          <w:color w:val="auto"/>
          <w:szCs w:val="21"/>
          <w:highlight w:val="none"/>
        </w:rPr>
        <w:t>16.5.3按招标文件要求免于提供投标保证金的投标人存在16.4条款所列情形的。</w:t>
      </w:r>
    </w:p>
    <w:p w14:paraId="53C2776B">
      <w:pPr>
        <w:spacing w:line="360" w:lineRule="auto"/>
        <w:ind w:firstLine="470" w:firstLineChars="224"/>
        <w:rPr>
          <w:rFonts w:hint="eastAsia" w:ascii="宋体" w:hAnsi="宋体"/>
          <w:strike w:val="0"/>
          <w:color w:val="auto"/>
          <w:szCs w:val="21"/>
          <w:highlight w:val="none"/>
        </w:rPr>
      </w:pPr>
      <w:r>
        <w:rPr>
          <w:rFonts w:hint="eastAsia" w:ascii="宋体" w:hAnsi="宋体"/>
          <w:strike w:val="0"/>
          <w:color w:val="auto"/>
          <w:szCs w:val="21"/>
          <w:highlight w:val="none"/>
        </w:rPr>
        <w:t>注：16.5.3款由招标人二选一，需在招标文件中明确。</w:t>
      </w:r>
    </w:p>
    <w:p w14:paraId="7B14B3C0">
      <w:pPr>
        <w:spacing w:line="360" w:lineRule="auto"/>
        <w:ind w:firstLine="472" w:firstLineChars="224"/>
        <w:rPr>
          <w:rFonts w:ascii="宋体" w:hAnsi="宋体"/>
          <w:color w:val="auto"/>
          <w:szCs w:val="21"/>
          <w:highlight w:val="none"/>
          <w:u w:val="single"/>
        </w:rPr>
      </w:pPr>
      <w:r>
        <w:rPr>
          <w:rFonts w:hint="eastAsia" w:hAnsi="宋体"/>
          <w:b/>
          <w:bCs/>
          <w:strike w:val="0"/>
          <w:color w:val="auto"/>
          <w:szCs w:val="21"/>
          <w:highlight w:val="none"/>
          <w:lang w:eastAsia="zh-CN"/>
        </w:rPr>
        <w:t>现文：</w:t>
      </w:r>
      <w:r>
        <w:rPr>
          <w:rFonts w:hint="eastAsia" w:ascii="宋体" w:hAnsi="宋体"/>
          <w:color w:val="auto"/>
          <w:szCs w:val="21"/>
          <w:highlight w:val="none"/>
          <w:u w:val="single"/>
        </w:rPr>
        <w:t>16.1本项目免收投标保证金，投标人提供《关于投标保证金的承诺》（详见附件）。</w:t>
      </w:r>
    </w:p>
    <w:p w14:paraId="14CD5395">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16.2对于投标人已提供《关于投标保证金的承诺》，若投标人存在16.4条款所列情形，该投标人应在发现存在16.4条款所列情形之日起5个工作日内按投标须知前附表第14项所述金额补交投标保证金。若未按要求补交投标保证金的将暂停其参与招标人后续工程投标，直至完成补交手续为止。</w:t>
      </w:r>
    </w:p>
    <w:p w14:paraId="7AF69B3C">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16.3开标时投标人没有按招标文件要求提交《关于投标保证金的承诺》的投标人，视为未按要求提供投标保证金。</w:t>
      </w:r>
    </w:p>
    <w:p w14:paraId="14061178">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16.4如有下列情况之一的，招标人可以不予退还投标保证金（是否退还投标保证金由招标人在招标文件中规定）：</w:t>
      </w:r>
    </w:p>
    <w:p w14:paraId="506CCA92">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16.4.1因投标人原因造成投标文件未解密的；</w:t>
      </w:r>
    </w:p>
    <w:p w14:paraId="3EC4E736">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16.4.2投标人在投标有效期内撤销投标文件；</w:t>
      </w:r>
    </w:p>
    <w:p w14:paraId="5E04327B">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16.4.3中标人未能在规定期限内按要求提交履约担保；</w:t>
      </w:r>
    </w:p>
    <w:p w14:paraId="7A287DC3">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16.4.4中标人未能在规定期限内签署合同协议。</w:t>
      </w:r>
    </w:p>
    <w:p w14:paraId="332B74F3">
      <w:pPr>
        <w:spacing w:line="360" w:lineRule="auto"/>
        <w:rPr>
          <w:rFonts w:hint="default"/>
          <w:b/>
          <w:color w:val="auto"/>
          <w:szCs w:val="21"/>
          <w:highlight w:val="none"/>
          <w:u w:val="single"/>
        </w:rPr>
      </w:pPr>
      <w:r>
        <w:rPr>
          <w:rFonts w:hint="eastAsia"/>
          <w:b/>
          <w:color w:val="auto"/>
          <w:szCs w:val="21"/>
          <w:highlight w:val="none"/>
          <w:u w:val="single"/>
          <w:lang w:val="en-US" w:eastAsia="zh-CN"/>
        </w:rPr>
        <w:t xml:space="preserve">                                                                                       </w:t>
      </w:r>
    </w:p>
    <w:p w14:paraId="2AE02A12">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条款号：17.1                      修改类型：修改</w:t>
      </w:r>
    </w:p>
    <w:p w14:paraId="165BD2A2">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17.1投标人应采用单位数字证书，按招标文件要求在相应位置加盖电子印章。投标文件中需个人签字或盖章的，应手签后扫描上传。按照交易平台关于全流程电子化项目的相关指南进行操作。详见：。</w:t>
      </w:r>
    </w:p>
    <w:p w14:paraId="2C9A4E25">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17.1投标人应采用单位数字证书，</w:t>
      </w:r>
      <w:r>
        <w:rPr>
          <w:rFonts w:hint="eastAsia" w:ascii="宋体" w:hAnsi="宋体"/>
          <w:color w:val="auto"/>
          <w:szCs w:val="21"/>
          <w:highlight w:val="none"/>
          <w:lang w:eastAsia="zh-CN"/>
        </w:rPr>
        <w:t>对投标文件</w:t>
      </w:r>
      <w:r>
        <w:rPr>
          <w:rFonts w:hint="eastAsia" w:ascii="宋体" w:hAnsi="宋体"/>
          <w:color w:val="auto"/>
          <w:szCs w:val="21"/>
          <w:highlight w:val="none"/>
        </w:rPr>
        <w:t>加盖电子印章。投标文件中需个人签字或盖章的，应加盖个人电子印章或在线下完成后扫描上传。</w:t>
      </w:r>
      <w:r>
        <w:rPr>
          <w:rFonts w:hint="eastAsia" w:ascii="宋体" w:hAnsi="宋体"/>
          <w:color w:val="auto"/>
          <w:szCs w:val="21"/>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Cs w:val="21"/>
          <w:highlight w:val="none"/>
        </w:rPr>
        <w:t>按照交易平台关于全流程电子化项目的相关指南进行操作。详见：广州交易集团有限公司（广州公共资源交易中心）网站最新指引。</w:t>
      </w:r>
    </w:p>
    <w:p w14:paraId="533A6720">
      <w:pPr>
        <w:spacing w:line="360" w:lineRule="auto"/>
        <w:ind w:firstLine="422" w:firstLineChars="200"/>
        <w:rPr>
          <w:b/>
          <w:color w:val="auto"/>
          <w:szCs w:val="21"/>
          <w:highlight w:val="none"/>
        </w:rPr>
      </w:pPr>
      <w:r>
        <w:rPr>
          <w:rFonts w:hint="eastAsia"/>
          <w:b/>
          <w:color w:val="auto"/>
          <w:szCs w:val="21"/>
          <w:highlight w:val="none"/>
        </w:rPr>
        <w:t>条款号：18.1～18.2                  修改类型：修改</w:t>
      </w:r>
    </w:p>
    <w:p w14:paraId="534A5950">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原文：</w:t>
      </w:r>
      <w:r>
        <w:rPr>
          <w:rFonts w:hint="eastAsia"/>
          <w:color w:val="auto"/>
          <w:szCs w:val="21"/>
          <w:highlight w:val="none"/>
        </w:rPr>
        <w:t>18.1递交的电子投标文件（不含备用光盘）必须进行加密。按照交易平台关于全流程电子化项目的相关指南进行操作。详见：</w:t>
      </w:r>
      <w:r>
        <w:rPr>
          <w:rFonts w:hint="eastAsia"/>
          <w:color w:val="auto"/>
          <w:szCs w:val="21"/>
          <w:highlight w:val="none"/>
          <w:u w:val="single"/>
        </w:rPr>
        <w:t xml:space="preserve">                   </w:t>
      </w:r>
      <w:r>
        <w:rPr>
          <w:rFonts w:hint="eastAsia"/>
          <w:color w:val="auto"/>
          <w:szCs w:val="21"/>
          <w:highlight w:val="none"/>
        </w:rPr>
        <w:t>。</w:t>
      </w:r>
    </w:p>
    <w:p w14:paraId="59A52801">
      <w:pPr>
        <w:pBdr>
          <w:bottom w:val="single" w:color="auto" w:sz="6" w:space="1"/>
        </w:pBdr>
        <w:spacing w:line="360" w:lineRule="auto"/>
        <w:ind w:firstLine="420" w:firstLineChars="200"/>
        <w:rPr>
          <w:color w:val="auto"/>
          <w:szCs w:val="21"/>
          <w:highlight w:val="none"/>
        </w:rPr>
      </w:pPr>
      <w:r>
        <w:rPr>
          <w:rFonts w:hint="eastAsia"/>
          <w:color w:val="auto"/>
          <w:szCs w:val="21"/>
          <w:highlight w:val="none"/>
        </w:rPr>
        <w:t>18.2 未按要求加密的投标文件，交易平台将予以拒收。</w:t>
      </w:r>
    </w:p>
    <w:p w14:paraId="6199CFCE">
      <w:pPr>
        <w:pBdr>
          <w:bottom w:val="single" w:color="auto" w:sz="6" w:space="1"/>
        </w:pBdr>
        <w:spacing w:line="360" w:lineRule="auto"/>
        <w:ind w:firstLine="422" w:firstLineChars="200"/>
        <w:rPr>
          <w:color w:val="auto"/>
          <w:szCs w:val="21"/>
          <w:highlight w:val="none"/>
        </w:rPr>
      </w:pPr>
      <w:r>
        <w:rPr>
          <w:rFonts w:hint="eastAsia"/>
          <w:b/>
          <w:bCs/>
          <w:color w:val="auto"/>
          <w:szCs w:val="21"/>
          <w:highlight w:val="none"/>
        </w:rPr>
        <w:t>现文：</w:t>
      </w:r>
      <w:r>
        <w:rPr>
          <w:rFonts w:hint="eastAsia"/>
          <w:color w:val="auto"/>
          <w:szCs w:val="21"/>
          <w:highlight w:val="none"/>
        </w:rPr>
        <w:t>18.1递交的电子投标文件评标部分</w:t>
      </w:r>
      <w:r>
        <w:rPr>
          <w:rFonts w:hint="eastAsia"/>
          <w:color w:val="auto"/>
          <w:szCs w:val="21"/>
          <w:highlight w:val="none"/>
          <w:lang w:eastAsia="zh-CN"/>
        </w:rPr>
        <w:t>和定标部分</w:t>
      </w:r>
      <w:r>
        <w:rPr>
          <w:rFonts w:hint="eastAsia"/>
          <w:color w:val="auto"/>
          <w:szCs w:val="21"/>
          <w:highlight w:val="none"/>
        </w:rPr>
        <w:t>（不含备用光盘）必须进行加密。按照</w:t>
      </w:r>
      <w:r>
        <w:rPr>
          <w:rFonts w:hint="eastAsia" w:ascii="宋体" w:hAnsi="宋体" w:cs="宋体"/>
          <w:color w:val="auto"/>
          <w:szCs w:val="21"/>
          <w:highlight w:val="none"/>
          <w:u w:val="single"/>
        </w:rPr>
        <w:t>广州交易集团有限公司（广州公共资源交易中心）</w:t>
      </w:r>
      <w:r>
        <w:rPr>
          <w:rFonts w:hint="eastAsia"/>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color w:val="auto"/>
          <w:szCs w:val="21"/>
          <w:highlight w:val="none"/>
        </w:rPr>
        <w:t>。</w:t>
      </w:r>
    </w:p>
    <w:p w14:paraId="06336425">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18.2 未按要求加密的投标文件评标部分</w:t>
      </w:r>
      <w:r>
        <w:rPr>
          <w:rFonts w:hint="eastAsia"/>
          <w:color w:val="auto"/>
          <w:szCs w:val="21"/>
          <w:highlight w:val="none"/>
          <w:lang w:eastAsia="zh-CN"/>
        </w:rPr>
        <w:t>和定标部分</w:t>
      </w:r>
      <w:r>
        <w:rPr>
          <w:rFonts w:hint="eastAsia"/>
          <w:color w:val="auto"/>
          <w:szCs w:val="21"/>
          <w:highlight w:val="none"/>
        </w:rPr>
        <w:t>，</w:t>
      </w:r>
      <w:r>
        <w:rPr>
          <w:rFonts w:hint="eastAsia" w:ascii="宋体" w:hAnsi="宋体" w:cs="宋体"/>
          <w:color w:val="auto"/>
          <w:szCs w:val="21"/>
          <w:highlight w:val="none"/>
          <w:u w:val="single"/>
        </w:rPr>
        <w:t>广州交易集团有限公司（广州公共资源交易中心）</w:t>
      </w:r>
      <w:r>
        <w:rPr>
          <w:rFonts w:hint="eastAsia"/>
          <w:color w:val="auto"/>
          <w:szCs w:val="21"/>
          <w:highlight w:val="none"/>
        </w:rPr>
        <w:t>交易平台将予以拒收。</w:t>
      </w:r>
    </w:p>
    <w:p w14:paraId="5835A711">
      <w:pPr>
        <w:spacing w:line="360" w:lineRule="auto"/>
        <w:ind w:firstLine="472" w:firstLineChars="224"/>
        <w:rPr>
          <w:b/>
          <w:color w:val="auto"/>
          <w:szCs w:val="21"/>
          <w:highlight w:val="none"/>
        </w:rPr>
      </w:pPr>
      <w:r>
        <w:rPr>
          <w:rFonts w:hint="eastAsia"/>
          <w:b/>
          <w:color w:val="auto"/>
          <w:szCs w:val="21"/>
          <w:highlight w:val="none"/>
        </w:rPr>
        <w:t>条款号：19.1～19.6                 修改类型：修改</w:t>
      </w:r>
    </w:p>
    <w:p w14:paraId="5CA910A0">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原文：</w:t>
      </w:r>
      <w:r>
        <w:rPr>
          <w:rFonts w:hint="eastAsia"/>
          <w:color w:val="auto"/>
          <w:szCs w:val="21"/>
          <w:highlight w:val="none"/>
        </w:rPr>
        <w:t>19.1投标人通过交易平台递交电子投标文件。</w:t>
      </w:r>
    </w:p>
    <w:p w14:paraId="5E219ACF">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19.2投标人完成电子投标文件上传后，交易平台即时向投标人发出递交回执通知。递交时间以递交回执通知载明的传输完成时间为准。</w:t>
      </w:r>
    </w:p>
    <w:p w14:paraId="010A77F6">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19.3逾期送达的电子投标文件，交易平台将予以拒收。</w:t>
      </w:r>
    </w:p>
    <w:p w14:paraId="67FF4139">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19.4 投标截止前，招标人拒绝接收符合条件的投标文件，投标人可向招标投标监督机构投诉。</w:t>
      </w:r>
    </w:p>
    <w:p w14:paraId="5A857BA5">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19.5如技术标和经济标先后分别开启，交易平台将按招标文件规定的时间分别开启技术标和经济标。</w:t>
      </w:r>
    </w:p>
    <w:p w14:paraId="0735F1C9">
      <w:pPr>
        <w:pBdr>
          <w:bottom w:val="single" w:color="auto" w:sz="6" w:space="1"/>
        </w:pBdr>
        <w:spacing w:line="360" w:lineRule="auto"/>
        <w:ind w:firstLine="525" w:firstLineChars="250"/>
        <w:rPr>
          <w:b/>
          <w:color w:val="auto"/>
          <w:szCs w:val="21"/>
          <w:highlight w:val="none"/>
        </w:rPr>
      </w:pPr>
      <w:r>
        <w:rPr>
          <w:rFonts w:hint="eastAsia"/>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482E287E">
      <w:pPr>
        <w:pBdr>
          <w:bottom w:val="single" w:color="auto" w:sz="6" w:space="1"/>
        </w:pBdr>
        <w:spacing w:line="360" w:lineRule="auto"/>
        <w:ind w:firstLine="527" w:firstLineChars="250"/>
        <w:rPr>
          <w:color w:val="auto"/>
          <w:szCs w:val="21"/>
          <w:highlight w:val="none"/>
        </w:rPr>
      </w:pPr>
      <w:r>
        <w:rPr>
          <w:rFonts w:hint="eastAsia"/>
          <w:b/>
          <w:color w:val="auto"/>
          <w:szCs w:val="21"/>
          <w:highlight w:val="none"/>
        </w:rPr>
        <w:t>现文：</w:t>
      </w:r>
      <w:r>
        <w:rPr>
          <w:rFonts w:hint="eastAsia"/>
          <w:color w:val="auto"/>
          <w:szCs w:val="21"/>
          <w:highlight w:val="none"/>
        </w:rPr>
        <w:t>19.1投标人通过</w:t>
      </w:r>
      <w:r>
        <w:rPr>
          <w:rFonts w:hint="eastAsia"/>
          <w:color w:val="auto"/>
          <w:szCs w:val="21"/>
          <w:highlight w:val="none"/>
          <w:u w:val="single"/>
        </w:rPr>
        <w:t>广州交易集团有限公司（广州公共资源交易中心）</w:t>
      </w:r>
      <w:r>
        <w:rPr>
          <w:rFonts w:hint="eastAsia"/>
          <w:color w:val="auto"/>
          <w:szCs w:val="21"/>
          <w:highlight w:val="none"/>
        </w:rPr>
        <w:t>交易平台递交电子投标文件</w:t>
      </w:r>
      <w:r>
        <w:rPr>
          <w:rFonts w:hint="eastAsia"/>
          <w:color w:val="auto"/>
          <w:szCs w:val="21"/>
          <w:highlight w:val="none"/>
          <w:u w:val="single"/>
        </w:rPr>
        <w:t>评标部分</w:t>
      </w:r>
      <w:r>
        <w:rPr>
          <w:rFonts w:hint="eastAsia"/>
          <w:color w:val="auto"/>
          <w:szCs w:val="21"/>
          <w:highlight w:val="none"/>
          <w:lang w:eastAsia="zh-CN"/>
        </w:rPr>
        <w:t>和定标部分</w:t>
      </w:r>
      <w:r>
        <w:rPr>
          <w:rFonts w:hint="eastAsia"/>
          <w:color w:val="auto"/>
          <w:szCs w:val="21"/>
          <w:highlight w:val="none"/>
        </w:rPr>
        <w:t>。</w:t>
      </w:r>
    </w:p>
    <w:p w14:paraId="6568CCB9">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19.2投标人完成电子投标文件</w:t>
      </w:r>
      <w:r>
        <w:rPr>
          <w:rFonts w:hint="eastAsia"/>
          <w:color w:val="auto"/>
          <w:szCs w:val="21"/>
          <w:highlight w:val="none"/>
          <w:u w:val="single"/>
        </w:rPr>
        <w:t>评标部分</w:t>
      </w:r>
      <w:r>
        <w:rPr>
          <w:rFonts w:hint="eastAsia"/>
          <w:color w:val="auto"/>
          <w:szCs w:val="21"/>
          <w:highlight w:val="none"/>
          <w:lang w:eastAsia="zh-CN"/>
        </w:rPr>
        <w:t>和定标部分</w:t>
      </w:r>
      <w:r>
        <w:rPr>
          <w:rFonts w:hint="eastAsia"/>
          <w:color w:val="auto"/>
          <w:szCs w:val="21"/>
          <w:highlight w:val="none"/>
        </w:rPr>
        <w:t>上传后，</w:t>
      </w:r>
      <w:r>
        <w:rPr>
          <w:rFonts w:hint="eastAsia"/>
          <w:color w:val="auto"/>
          <w:szCs w:val="21"/>
          <w:highlight w:val="none"/>
          <w:u w:val="single"/>
        </w:rPr>
        <w:t>广州交易集团有限公司（广州公共资源交易中心）</w:t>
      </w:r>
      <w:r>
        <w:rPr>
          <w:rFonts w:hint="eastAsia"/>
          <w:color w:val="auto"/>
          <w:szCs w:val="21"/>
          <w:highlight w:val="none"/>
        </w:rPr>
        <w:t>交易平台即时向投标人发出递交回执通知。递交时间以递交回执通知载明的传输完成时间为准。</w:t>
      </w:r>
    </w:p>
    <w:p w14:paraId="7A7A378D">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19.3逾期送达的电子投标文件</w:t>
      </w:r>
      <w:r>
        <w:rPr>
          <w:rFonts w:hint="eastAsia"/>
          <w:color w:val="auto"/>
          <w:szCs w:val="21"/>
          <w:highlight w:val="none"/>
          <w:u w:val="single"/>
        </w:rPr>
        <w:t>评标部分</w:t>
      </w:r>
      <w:r>
        <w:rPr>
          <w:rFonts w:hint="eastAsia"/>
          <w:color w:val="auto"/>
          <w:szCs w:val="21"/>
          <w:highlight w:val="none"/>
          <w:lang w:eastAsia="zh-CN"/>
        </w:rPr>
        <w:t>和定标部分</w:t>
      </w:r>
      <w:r>
        <w:rPr>
          <w:rFonts w:hint="eastAsia"/>
          <w:color w:val="auto"/>
          <w:szCs w:val="21"/>
          <w:highlight w:val="none"/>
        </w:rPr>
        <w:t>，</w:t>
      </w:r>
      <w:r>
        <w:rPr>
          <w:rFonts w:hint="eastAsia"/>
          <w:color w:val="auto"/>
          <w:szCs w:val="21"/>
          <w:highlight w:val="none"/>
          <w:u w:val="single"/>
        </w:rPr>
        <w:t>广州交易集团有限公司（广州公共资源交易中心）</w:t>
      </w:r>
      <w:r>
        <w:rPr>
          <w:rFonts w:hint="eastAsia"/>
          <w:color w:val="auto"/>
          <w:szCs w:val="21"/>
          <w:highlight w:val="none"/>
        </w:rPr>
        <w:t>交易平台将予以拒收。</w:t>
      </w:r>
    </w:p>
    <w:p w14:paraId="0F3DDB90">
      <w:pPr>
        <w:pBdr>
          <w:bottom w:val="single" w:color="auto" w:sz="6" w:space="1"/>
        </w:pBdr>
        <w:spacing w:line="360" w:lineRule="auto"/>
        <w:ind w:firstLine="525" w:firstLineChars="250"/>
        <w:rPr>
          <w:color w:val="auto"/>
          <w:szCs w:val="21"/>
          <w:highlight w:val="none"/>
        </w:rPr>
      </w:pPr>
      <w:r>
        <w:rPr>
          <w:rFonts w:hint="eastAsia"/>
          <w:color w:val="auto"/>
          <w:szCs w:val="21"/>
          <w:highlight w:val="none"/>
        </w:rPr>
        <w:t>19.4 投标截止前，招标人拒绝接收符合条件的投标文件</w:t>
      </w:r>
      <w:r>
        <w:rPr>
          <w:rFonts w:hint="eastAsia"/>
          <w:color w:val="auto"/>
          <w:szCs w:val="21"/>
          <w:highlight w:val="none"/>
          <w:u w:val="single"/>
        </w:rPr>
        <w:t>评标部分</w:t>
      </w:r>
      <w:r>
        <w:rPr>
          <w:rFonts w:hint="eastAsia"/>
          <w:color w:val="auto"/>
          <w:szCs w:val="21"/>
          <w:highlight w:val="none"/>
          <w:lang w:eastAsia="zh-CN"/>
        </w:rPr>
        <w:t>和定标部分</w:t>
      </w:r>
      <w:r>
        <w:rPr>
          <w:rFonts w:hint="eastAsia"/>
          <w:color w:val="auto"/>
          <w:szCs w:val="21"/>
          <w:highlight w:val="none"/>
        </w:rPr>
        <w:t>，投标人可向招标投标监督机构投诉。</w:t>
      </w:r>
    </w:p>
    <w:p w14:paraId="5E0863A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条款号：27.1                       修改类型：修改</w:t>
      </w:r>
    </w:p>
    <w:p w14:paraId="6D9B68AA">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27.1招标人将在交易平台、广东省招标投标监管网和中国招标投标公共服务平台公示中标候选人，公示期为三天。</w:t>
      </w:r>
    </w:p>
    <w:p w14:paraId="00980C40">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27.1</w:t>
      </w:r>
      <w:r>
        <w:rPr>
          <w:rFonts w:hint="eastAsia" w:ascii="宋体" w:hAnsi="宋体"/>
          <w:color w:val="auto"/>
          <w:szCs w:val="21"/>
          <w:highlight w:val="none"/>
        </w:rPr>
        <w:t>招标人将在</w:t>
      </w:r>
      <w:r>
        <w:rPr>
          <w:rFonts w:hint="eastAsia"/>
          <w:color w:val="auto"/>
          <w:szCs w:val="21"/>
          <w:highlight w:val="none"/>
          <w:u w:val="single"/>
        </w:rPr>
        <w:t>广州交易集团有限公司（广州公共资源交易中心）</w:t>
      </w:r>
      <w:r>
        <w:rPr>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682B31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条款号：27.4                修改类型：修改</w:t>
      </w:r>
    </w:p>
    <w:p w14:paraId="2FD17438">
      <w:pP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27.4在产生中标候选人后，招标人将中标候选人的投标文件商务部分文件的所有内容（包括报价清单、人员、业绩、奖项等资料）在广州公共资源交易中心交易平台和广东省招标投标监管网公开。</w:t>
      </w:r>
    </w:p>
    <w:p w14:paraId="47AFED8E">
      <w:pP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27.4在产生中标候选人后，招标人将中标候选人的投标文件商务部分文件的所有内容（包括人员、业绩、奖项等资料）在</w:t>
      </w:r>
      <w:r>
        <w:rPr>
          <w:rFonts w:hint="eastAsia"/>
          <w:color w:val="auto"/>
          <w:szCs w:val="21"/>
          <w:highlight w:val="none"/>
          <w:u w:val="single"/>
        </w:rPr>
        <w:t>广州交易集团有限公司（广州公共资源交易中心）</w:t>
      </w:r>
      <w:r>
        <w:rPr>
          <w:rFonts w:hint="eastAsia" w:ascii="宋体" w:hAnsi="宋体"/>
          <w:bCs/>
          <w:color w:val="auto"/>
          <w:szCs w:val="21"/>
          <w:highlight w:val="none"/>
        </w:rPr>
        <w:t>交易平台和广东省招标投标监管网公开。</w:t>
      </w:r>
    </w:p>
    <w:p w14:paraId="4D406DBA">
      <w:pPr>
        <w:spacing w:line="360" w:lineRule="auto"/>
        <w:rPr>
          <w:b/>
          <w:color w:val="auto"/>
          <w:szCs w:val="21"/>
          <w:highlight w:val="none"/>
          <w:u w:val="single"/>
        </w:rPr>
      </w:pPr>
      <w:r>
        <w:rPr>
          <w:rFonts w:hint="eastAsia"/>
          <w:b/>
          <w:color w:val="auto"/>
          <w:szCs w:val="21"/>
          <w:highlight w:val="none"/>
          <w:u w:val="single"/>
          <w:lang w:val="en-US" w:eastAsia="zh-CN"/>
        </w:rPr>
        <w:t xml:space="preserve">                                                                                        </w:t>
      </w:r>
    </w:p>
    <w:p w14:paraId="27A4BCB7">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条款号：27.5             修改类型：增加</w:t>
      </w:r>
    </w:p>
    <w:p w14:paraId="6411E099">
      <w:pP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27.5在</w:t>
      </w:r>
      <w:r>
        <w:rPr>
          <w:rFonts w:hint="eastAsia"/>
          <w:color w:val="auto"/>
          <w:szCs w:val="21"/>
          <w:highlight w:val="none"/>
          <w:u w:val="single"/>
        </w:rPr>
        <w:t>广州交易集团有限公司（广州公共资源交易中心）</w:t>
      </w:r>
      <w:r>
        <w:rPr>
          <w:rFonts w:hint="eastAsia" w:ascii="宋体" w:hAnsi="宋体"/>
          <w:color w:val="auto"/>
          <w:szCs w:val="21"/>
          <w:highlight w:val="none"/>
          <w:u w:val="single"/>
        </w:rPr>
        <w:t>交易平台发布中标通知书，即视为中标人确认收到中标通知书。中标人必须在3个工作日内由其委托代理人携带身份证及法人授权委托证明按招标人通知的时间和地点领取纸质图纸。中标人领取纸质图纸后必须与招标人在网上发布的电子版图纸进行核对，如有不符须于收到纸质图纸后五个工作日内将问题以书面形式向招标人提出；如纸质图纸和电子版图纸核对无误，中标人须于领取纸质图纸后五个工作日内在其中一套图纸上每页盖公章确认连同经盖公章的图纸确认函一并送回给招标人，表明中标人认同纸质图纸中内容与投标时的电子版图纸内容一致。</w:t>
      </w:r>
    </w:p>
    <w:p w14:paraId="480FA0D4">
      <w:pPr>
        <w:pStyle w:val="9"/>
        <w:ind w:firstLine="0"/>
        <w:rPr>
          <w:rFonts w:hint="default" w:eastAsia="宋体"/>
          <w:color w:val="auto"/>
          <w:highlight w:val="none"/>
          <w:u w:val="single"/>
          <w:lang w:val="en-US" w:eastAsia="zh-CN"/>
        </w:rPr>
      </w:pPr>
      <w:r>
        <w:rPr>
          <w:rFonts w:hint="eastAsia"/>
          <w:color w:val="auto"/>
          <w:highlight w:val="none"/>
          <w:u w:val="single"/>
          <w:lang w:val="en-US" w:eastAsia="zh-CN"/>
        </w:rPr>
        <w:t xml:space="preserve">                                                                                       </w:t>
      </w:r>
    </w:p>
    <w:p w14:paraId="47E887A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条款号：28                                  修改类型：修改</w:t>
      </w:r>
    </w:p>
    <w:p w14:paraId="7ACB8A38">
      <w:pPr>
        <w:spacing w:line="360" w:lineRule="auto"/>
        <w:ind w:firstLine="422" w:firstLineChars="200"/>
        <w:rPr>
          <w:rFonts w:ascii="宋体" w:hAnsi="宋体"/>
          <w:b/>
          <w:bCs/>
          <w:color w:val="auto"/>
          <w:szCs w:val="21"/>
          <w:highlight w:val="none"/>
        </w:rPr>
      </w:pPr>
      <w:r>
        <w:rPr>
          <w:rFonts w:hint="eastAsia" w:ascii="宋体" w:hAnsi="宋体"/>
          <w:b/>
          <w:color w:val="auto"/>
          <w:szCs w:val="21"/>
          <w:highlight w:val="none"/>
        </w:rPr>
        <w:t>原文：</w:t>
      </w:r>
      <w:r>
        <w:rPr>
          <w:rFonts w:ascii="宋体" w:hAnsi="宋体"/>
          <w:b/>
          <w:bCs/>
          <w:color w:val="auto"/>
          <w:szCs w:val="21"/>
          <w:highlight w:val="none"/>
        </w:rPr>
        <w:t>28</w:t>
      </w:r>
      <w:r>
        <w:rPr>
          <w:rFonts w:hint="eastAsia" w:ascii="宋体" w:hAnsi="宋体"/>
          <w:b/>
          <w:bCs/>
          <w:color w:val="auto"/>
          <w:szCs w:val="21"/>
          <w:highlight w:val="none"/>
        </w:rPr>
        <w:t>．合同协议书的签订</w:t>
      </w:r>
    </w:p>
    <w:p w14:paraId="66122D2C">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 xml:space="preserve">28.1 </w:t>
      </w:r>
      <w:r>
        <w:rPr>
          <w:rFonts w:hint="eastAsia" w:ascii="宋体" w:hAnsi="宋体"/>
          <w:bCs/>
          <w:color w:val="auto"/>
          <w:szCs w:val="21"/>
          <w:highlight w:val="none"/>
        </w:rPr>
        <w:t>招标人与中标人将于中标通知书发出之日起</w:t>
      </w:r>
      <w:r>
        <w:rPr>
          <w:rFonts w:ascii="宋体" w:hAnsi="宋体"/>
          <w:bCs/>
          <w:color w:val="auto"/>
          <w:szCs w:val="21"/>
          <w:highlight w:val="none"/>
        </w:rPr>
        <w:t>30</w:t>
      </w:r>
      <w:r>
        <w:rPr>
          <w:rFonts w:hint="eastAsia" w:ascii="宋体" w:hAnsi="宋体"/>
          <w:bCs/>
          <w:color w:val="auto"/>
          <w:szCs w:val="21"/>
          <w:highlight w:val="none"/>
        </w:rPr>
        <w:t>日内，按照招标文件和中标人的投标文件商定和签订合同，招标人和中标人不得再行订立背离合同实质性内容的其他协议。</w:t>
      </w:r>
    </w:p>
    <w:p w14:paraId="24150465">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28.2</w:t>
      </w:r>
      <w:r>
        <w:rPr>
          <w:rFonts w:hint="eastAsia" w:ascii="宋体" w:hAnsi="宋体"/>
          <w:bCs/>
          <w:color w:val="auto"/>
          <w:szCs w:val="21"/>
          <w:highlight w:val="none"/>
        </w:rPr>
        <w:t>中标通知书发出之日起</w:t>
      </w:r>
      <w:r>
        <w:rPr>
          <w:rFonts w:ascii="宋体" w:hAnsi="宋体"/>
          <w:bCs/>
          <w:color w:val="auto"/>
          <w:szCs w:val="21"/>
          <w:highlight w:val="none"/>
        </w:rPr>
        <w:t>30</w:t>
      </w:r>
      <w:r>
        <w:rPr>
          <w:rFonts w:hint="eastAsia" w:ascii="宋体" w:hAnsi="宋体"/>
          <w:bCs/>
          <w:color w:val="auto"/>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684D52C">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28.3</w:t>
      </w:r>
      <w:r>
        <w:rPr>
          <w:rFonts w:hint="eastAsia" w:ascii="宋体" w:hAnsi="宋体"/>
          <w:bCs/>
          <w:color w:val="auto"/>
          <w:szCs w:val="21"/>
          <w:highlight w:val="none"/>
        </w:rPr>
        <w:t>非经招标人同意，中标人在投标过程中使用的银行名称及帐号至完成竣工结算不得变更，否则招标人有权停止工程款项的拔付及至解除合同，由此造成的一切责任由中标人承担。</w:t>
      </w:r>
    </w:p>
    <w:p w14:paraId="04EE58A8">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28.4</w:t>
      </w:r>
      <w:r>
        <w:rPr>
          <w:rFonts w:hint="eastAsia" w:ascii="宋体" w:hAnsi="宋体"/>
          <w:bCs/>
          <w:color w:val="auto"/>
          <w:szCs w:val="21"/>
          <w:highlight w:val="none"/>
        </w:rPr>
        <w:t>招标人支付工程款时，中标人应提供工程所在地发票。</w:t>
      </w:r>
    </w:p>
    <w:p w14:paraId="34F43B3E">
      <w:pPr>
        <w:spacing w:line="360" w:lineRule="auto"/>
        <w:ind w:firstLine="422" w:firstLineChars="200"/>
        <w:rPr>
          <w:rFonts w:ascii="宋体" w:hAnsi="宋体"/>
          <w:b/>
          <w:bCs/>
          <w:color w:val="auto"/>
          <w:szCs w:val="21"/>
          <w:highlight w:val="none"/>
        </w:rPr>
      </w:pPr>
      <w:r>
        <w:rPr>
          <w:rFonts w:hint="eastAsia" w:ascii="宋体" w:hAnsi="宋体"/>
          <w:b/>
          <w:color w:val="auto"/>
          <w:szCs w:val="21"/>
          <w:highlight w:val="none"/>
        </w:rPr>
        <w:t>现文：28</w:t>
      </w:r>
      <w:r>
        <w:rPr>
          <w:rFonts w:hint="eastAsia" w:ascii="宋体" w:hAnsi="宋体"/>
          <w:b/>
          <w:bCs/>
          <w:color w:val="auto"/>
          <w:szCs w:val="21"/>
          <w:highlight w:val="none"/>
        </w:rPr>
        <w:t>．合同协议书的签订</w:t>
      </w:r>
    </w:p>
    <w:p w14:paraId="234EDF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28.1 招标人与中标人将于中标通知书发出之日起</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个</w:t>
      </w:r>
      <w:r>
        <w:rPr>
          <w:rFonts w:hint="eastAsia" w:ascii="宋体" w:hAnsi="宋体"/>
          <w:color w:val="auto"/>
          <w:szCs w:val="21"/>
          <w:highlight w:val="none"/>
        </w:rPr>
        <w:t>日历天内，按照招标文件和中标人的投标文件商定和签订合同，招标人和中标人不得再行订立背离合同实质性内容的其他协议。</w:t>
      </w:r>
      <w:r>
        <w:rPr>
          <w:rFonts w:hint="eastAsia" w:ascii="宋体" w:hAnsi="宋体"/>
          <w:color w:val="auto"/>
          <w:szCs w:val="21"/>
          <w:highlight w:val="none"/>
          <w:u w:val="single"/>
        </w:rPr>
        <w:t>施工合同价在5000万元以上的，书面合同应由招标人和中标人双方法定代表人当面签署</w:t>
      </w:r>
      <w:r>
        <w:rPr>
          <w:rFonts w:hint="eastAsia" w:ascii="宋体" w:hAnsi="宋体"/>
          <w:color w:val="auto"/>
          <w:szCs w:val="21"/>
          <w:highlight w:val="none"/>
        </w:rPr>
        <w:t>。</w:t>
      </w:r>
    </w:p>
    <w:p w14:paraId="396D328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28.2中标通知书发出之日起</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个</w:t>
      </w:r>
      <w:r>
        <w:rPr>
          <w:rFonts w:hint="eastAsia" w:ascii="宋体" w:hAnsi="宋体"/>
          <w:color w:val="auto"/>
          <w:szCs w:val="21"/>
          <w:highlight w:val="none"/>
        </w:rPr>
        <w:t>日历天后，中标人未按上款的规定与招标人订立合同，招标人</w:t>
      </w:r>
      <w:r>
        <w:rPr>
          <w:rFonts w:hint="eastAsia" w:ascii="宋体" w:hAnsi="宋体"/>
          <w:color w:val="auto"/>
          <w:szCs w:val="21"/>
          <w:highlight w:val="none"/>
          <w:u w:val="single"/>
        </w:rPr>
        <w:t>有权</w:t>
      </w:r>
      <w:r>
        <w:rPr>
          <w:rFonts w:hint="eastAsia" w:ascii="宋体" w:hAnsi="宋体"/>
          <w:color w:val="auto"/>
          <w:szCs w:val="21"/>
          <w:highlight w:val="none"/>
        </w:rPr>
        <w:t>解除中标通知书</w:t>
      </w:r>
      <w:r>
        <w:rPr>
          <w:rFonts w:hint="eastAsia" w:ascii="宋体" w:hAnsi="宋体"/>
          <w:strike w:val="0"/>
          <w:color w:val="auto"/>
          <w:szCs w:val="21"/>
          <w:highlight w:val="none"/>
        </w:rPr>
        <w:t>，原中标人的投标担保不予退还</w:t>
      </w:r>
      <w:r>
        <w:rPr>
          <w:rFonts w:hint="eastAsia" w:ascii="宋体" w:hAnsi="宋体"/>
          <w:color w:val="auto"/>
          <w:szCs w:val="21"/>
          <w:highlight w:val="none"/>
        </w:rPr>
        <w:t>，且依法承担相应法律责任</w:t>
      </w:r>
      <w:r>
        <w:rPr>
          <w:rFonts w:hint="eastAsia" w:ascii="宋体" w:hAnsi="宋体"/>
          <w:color w:val="auto"/>
          <w:szCs w:val="21"/>
          <w:highlight w:val="none"/>
          <w:u w:val="single"/>
        </w:rPr>
        <w:t>，招标人并且有权确定排名第二的中标候选人为中标人，排名第二的中标候选人出现前款所列的情形的，招标人可以确定排名第三的中标候选人为中标人</w:t>
      </w:r>
      <w:r>
        <w:rPr>
          <w:rFonts w:hint="eastAsia" w:ascii="宋体" w:hAnsi="宋体"/>
          <w:color w:val="auto"/>
          <w:szCs w:val="21"/>
          <w:highlight w:val="none"/>
        </w:rPr>
        <w:t>。原中标人给招标人造成</w:t>
      </w:r>
      <w:r>
        <w:rPr>
          <w:rFonts w:hint="eastAsia" w:ascii="宋体" w:hAnsi="宋体"/>
          <w:strike w:val="0"/>
          <w:color w:val="auto"/>
          <w:szCs w:val="21"/>
          <w:highlight w:val="none"/>
        </w:rPr>
        <w:t>的</w:t>
      </w:r>
      <w:r>
        <w:rPr>
          <w:rFonts w:hint="eastAsia" w:ascii="宋体" w:hAnsi="宋体"/>
          <w:color w:val="auto"/>
          <w:szCs w:val="21"/>
          <w:highlight w:val="none"/>
        </w:rPr>
        <w:t>损失</w:t>
      </w:r>
      <w:r>
        <w:rPr>
          <w:rFonts w:hint="eastAsia" w:ascii="宋体" w:hAnsi="宋体"/>
          <w:strike w:val="0"/>
          <w:color w:val="auto"/>
          <w:szCs w:val="21"/>
          <w:highlight w:val="none"/>
        </w:rPr>
        <w:t>超过投标担保数额</w:t>
      </w:r>
      <w:r>
        <w:rPr>
          <w:rFonts w:hint="eastAsia" w:ascii="宋体" w:hAnsi="宋体"/>
          <w:color w:val="auto"/>
          <w:szCs w:val="21"/>
          <w:highlight w:val="none"/>
        </w:rPr>
        <w:t>的，还应当</w:t>
      </w:r>
      <w:r>
        <w:rPr>
          <w:rFonts w:hint="eastAsia" w:ascii="宋体" w:hAnsi="宋体"/>
          <w:strike w:val="0"/>
          <w:color w:val="auto"/>
          <w:szCs w:val="21"/>
          <w:highlight w:val="none"/>
        </w:rPr>
        <w:t>对超过部分</w:t>
      </w:r>
      <w:r>
        <w:rPr>
          <w:rFonts w:hint="eastAsia" w:ascii="宋体" w:hAnsi="宋体"/>
          <w:color w:val="auto"/>
          <w:szCs w:val="21"/>
          <w:highlight w:val="none"/>
        </w:rPr>
        <w:t>予以赔偿。原中标人有异议的，可以向人民法院起诉。</w:t>
      </w:r>
    </w:p>
    <w:p w14:paraId="2F30C17A">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28.3</w:t>
      </w:r>
      <w:r>
        <w:rPr>
          <w:rFonts w:hint="eastAsia" w:ascii="宋体" w:hAnsi="宋体"/>
          <w:bCs/>
          <w:color w:val="auto"/>
          <w:szCs w:val="21"/>
          <w:highlight w:val="none"/>
        </w:rPr>
        <w:t>非经招标人同意，中标人在投标过程中使用的银行名称及帐号至完成竣工结算不得变更，否则招标人有权停止工程款项的拔付及至解除合同，由此造成的一切责任由中标人承担。</w:t>
      </w:r>
    </w:p>
    <w:p w14:paraId="75AD3CD6">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28.4</w:t>
      </w:r>
      <w:r>
        <w:rPr>
          <w:rFonts w:hint="eastAsia" w:ascii="宋体" w:hAnsi="宋体" w:eastAsia="宋体" w:cs="Times New Roman"/>
          <w:b w:val="0"/>
          <w:bCs w:val="0"/>
          <w:color w:val="auto"/>
          <w:sz w:val="21"/>
          <w:szCs w:val="21"/>
          <w:highlight w:val="none"/>
          <w:u w:val="single"/>
        </w:rPr>
        <w:t>工程进度款支付应不低于已完成工程价款的80%，</w:t>
      </w:r>
      <w:r>
        <w:rPr>
          <w:rFonts w:hint="eastAsia" w:ascii="宋体" w:hAnsi="宋体" w:eastAsia="宋体" w:cs="Times New Roman"/>
          <w:color w:val="auto"/>
          <w:sz w:val="21"/>
          <w:szCs w:val="21"/>
          <w:highlight w:val="none"/>
          <w:u w:val="single"/>
        </w:rPr>
        <w:t>招标人支付工程款时，中标人应按规定开具发票。</w:t>
      </w:r>
      <w:r>
        <w:rPr>
          <w:rFonts w:hint="eastAsia" w:ascii="宋体" w:hAnsi="宋体" w:eastAsia="宋体" w:cs="Times New Roman"/>
          <w:b w:val="0"/>
          <w:bCs w:val="0"/>
          <w:color w:val="auto"/>
          <w:sz w:val="21"/>
          <w:szCs w:val="21"/>
          <w:highlight w:val="none"/>
          <w:u w:val="single"/>
        </w:rPr>
        <w:t>质量保证金不超过工程价款总额3%。当年开工、当年不能竣工的新开工项目可以采用过程结算。</w:t>
      </w:r>
    </w:p>
    <w:p w14:paraId="68052F61">
      <w:pPr>
        <w:pBdr>
          <w:bottom w:val="single" w:color="auto" w:sz="6" w:space="1"/>
        </w:pBdr>
        <w:spacing w:line="360" w:lineRule="auto"/>
        <w:ind w:firstLine="0" w:firstLineChars="0"/>
        <w:rPr>
          <w:rFonts w:hint="eastAsia" w:ascii="宋体" w:hAnsi="宋体"/>
          <w:b/>
          <w:color w:val="auto"/>
          <w:szCs w:val="21"/>
          <w:highlight w:val="none"/>
        </w:rPr>
      </w:pPr>
    </w:p>
    <w:p w14:paraId="248A1385">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条款号：29           修改类型：修改</w:t>
      </w:r>
    </w:p>
    <w:p w14:paraId="2AEB35C2">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 xml:space="preserve">原文： </w:t>
      </w:r>
      <w:r>
        <w:rPr>
          <w:rFonts w:ascii="宋体" w:hAnsi="宋体"/>
          <w:b/>
          <w:color w:val="auto"/>
          <w:szCs w:val="21"/>
          <w:highlight w:val="none"/>
        </w:rPr>
        <w:t>29</w:t>
      </w:r>
      <w:r>
        <w:rPr>
          <w:rFonts w:hint="eastAsia" w:ascii="宋体" w:hAnsi="宋体"/>
          <w:b/>
          <w:color w:val="auto"/>
          <w:szCs w:val="21"/>
          <w:highlight w:val="none"/>
        </w:rPr>
        <w:t>．履约担保</w:t>
      </w:r>
    </w:p>
    <w:p w14:paraId="3A5A03B2">
      <w:pPr>
        <w:pBdr>
          <w:bottom w:val="single" w:color="auto" w:sz="6" w:space="1"/>
        </w:pBdr>
        <w:spacing w:line="360" w:lineRule="auto"/>
        <w:ind w:firstLine="525" w:firstLineChars="250"/>
        <w:rPr>
          <w:rFonts w:ascii="宋体" w:hAnsi="宋体"/>
          <w:bCs/>
          <w:color w:val="auto"/>
          <w:szCs w:val="21"/>
          <w:highlight w:val="none"/>
        </w:rPr>
      </w:pPr>
      <w:r>
        <w:rPr>
          <w:rFonts w:ascii="宋体" w:hAnsi="宋体"/>
          <w:bCs/>
          <w:color w:val="auto"/>
          <w:szCs w:val="21"/>
          <w:highlight w:val="none"/>
        </w:rPr>
        <w:t xml:space="preserve">29.1 </w:t>
      </w:r>
      <w:r>
        <w:rPr>
          <w:rFonts w:hint="eastAsia" w:ascii="宋体" w:hAnsi="宋体"/>
          <w:bCs/>
          <w:color w:val="auto"/>
          <w:szCs w:val="21"/>
          <w:highlight w:val="none"/>
        </w:rPr>
        <w:t>在收到中标通知书后的</w:t>
      </w:r>
      <w:r>
        <w:rPr>
          <w:rFonts w:ascii="宋体" w:hAnsi="宋体"/>
          <w:bCs/>
          <w:color w:val="auto"/>
          <w:szCs w:val="21"/>
          <w:highlight w:val="none"/>
        </w:rPr>
        <w:t>15</w:t>
      </w:r>
      <w:r>
        <w:rPr>
          <w:rFonts w:hint="eastAsia" w:ascii="宋体" w:hAnsi="宋体"/>
          <w:bCs/>
          <w:color w:val="auto"/>
          <w:szCs w:val="21"/>
          <w:highlight w:val="none"/>
        </w:rPr>
        <w:t>日内，中标人应按本须知前附表第</w:t>
      </w:r>
      <w:r>
        <w:rPr>
          <w:rFonts w:ascii="宋体" w:hAnsi="宋体"/>
          <w:bCs/>
          <w:color w:val="auto"/>
          <w:szCs w:val="21"/>
          <w:highlight w:val="none"/>
        </w:rPr>
        <w:t>2</w:t>
      </w:r>
      <w:r>
        <w:rPr>
          <w:rFonts w:hint="eastAsia" w:ascii="宋体" w:hAnsi="宋体"/>
          <w:bCs/>
          <w:color w:val="auto"/>
          <w:szCs w:val="21"/>
          <w:highlight w:val="none"/>
        </w:rPr>
        <w:t>0项的规定向招标人提交履约担保；如果中标人的履约担保是以银行保函的形式提供，则该银行保函应由在中国注册且营业地点在广州行政辖区内的银行开具。</w:t>
      </w:r>
    </w:p>
    <w:p w14:paraId="403F88DF">
      <w:pPr>
        <w:pBdr>
          <w:bottom w:val="single" w:color="auto" w:sz="6" w:space="1"/>
        </w:pBdr>
        <w:spacing w:line="360" w:lineRule="auto"/>
        <w:ind w:firstLine="525" w:firstLineChars="250"/>
        <w:rPr>
          <w:rFonts w:ascii="宋体" w:hAnsi="宋体"/>
          <w:color w:val="auto"/>
          <w:szCs w:val="21"/>
          <w:highlight w:val="none"/>
        </w:rPr>
      </w:pPr>
      <w:r>
        <w:rPr>
          <w:rFonts w:ascii="宋体" w:hAnsi="宋体"/>
          <w:bCs/>
          <w:color w:val="auto"/>
          <w:szCs w:val="21"/>
          <w:highlight w:val="none"/>
        </w:rPr>
        <w:t>29.2</w:t>
      </w:r>
      <w:r>
        <w:rPr>
          <w:rFonts w:hint="eastAsia" w:ascii="宋体" w:hAnsi="宋体"/>
          <w:bCs/>
          <w:color w:val="auto"/>
          <w:szCs w:val="21"/>
          <w:highlight w:val="none"/>
        </w:rPr>
        <w:t>中标通知书发出之日起</w:t>
      </w:r>
      <w:r>
        <w:rPr>
          <w:rFonts w:ascii="宋体" w:hAnsi="宋体"/>
          <w:bCs/>
          <w:color w:val="auto"/>
          <w:szCs w:val="21"/>
          <w:highlight w:val="none"/>
        </w:rPr>
        <w:t>15</w:t>
      </w:r>
      <w:r>
        <w:rPr>
          <w:rFonts w:hint="eastAsia" w:ascii="宋体" w:hAnsi="宋体"/>
          <w:bCs/>
          <w:color w:val="auto"/>
          <w:szCs w:val="21"/>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273253C">
      <w:pPr>
        <w:pBdr>
          <w:bottom w:val="single" w:color="auto" w:sz="6" w:space="1"/>
        </w:pBdr>
        <w:spacing w:line="360" w:lineRule="auto"/>
        <w:ind w:firstLine="527" w:firstLineChars="250"/>
        <w:rPr>
          <w:rFonts w:ascii="宋体" w:hAnsi="宋体"/>
          <w:bCs/>
          <w:color w:val="auto"/>
          <w:szCs w:val="21"/>
          <w:highlight w:val="none"/>
        </w:rPr>
      </w:pPr>
      <w:r>
        <w:rPr>
          <w:rFonts w:hint="eastAsia" w:ascii="宋体" w:hAnsi="宋体"/>
          <w:b/>
          <w:color w:val="auto"/>
          <w:szCs w:val="21"/>
          <w:highlight w:val="none"/>
        </w:rPr>
        <w:t>现文：</w:t>
      </w:r>
      <w:r>
        <w:rPr>
          <w:rFonts w:ascii="宋体" w:hAnsi="宋体"/>
          <w:b/>
          <w:bCs/>
          <w:color w:val="auto"/>
          <w:szCs w:val="21"/>
          <w:highlight w:val="none"/>
        </w:rPr>
        <w:t>29</w:t>
      </w:r>
      <w:r>
        <w:rPr>
          <w:rFonts w:hint="eastAsia" w:ascii="宋体" w:hAnsi="宋体"/>
          <w:b/>
          <w:bCs/>
          <w:color w:val="auto"/>
          <w:szCs w:val="21"/>
          <w:highlight w:val="none"/>
        </w:rPr>
        <w:t>．履约担保</w:t>
      </w:r>
    </w:p>
    <w:p w14:paraId="71C25B5F">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bCs/>
          <w:color w:val="auto"/>
          <w:szCs w:val="21"/>
          <w:highlight w:val="none"/>
        </w:rPr>
        <w:t>29.1 在收到中标通知书后的15个日历天内，中标人应按本须知前附表第</w:t>
      </w:r>
      <w:r>
        <w:rPr>
          <w:rFonts w:hint="eastAsia" w:ascii="宋体" w:hAnsi="宋体"/>
          <w:bCs/>
          <w:color w:val="auto"/>
          <w:szCs w:val="21"/>
          <w:highlight w:val="none"/>
          <w:lang w:val="en-US" w:eastAsia="zh-CN"/>
        </w:rPr>
        <w:t>20</w:t>
      </w:r>
      <w:r>
        <w:rPr>
          <w:rFonts w:hint="eastAsia" w:ascii="宋体" w:hAnsi="宋体"/>
          <w:bCs/>
          <w:color w:val="auto"/>
          <w:szCs w:val="21"/>
          <w:highlight w:val="none"/>
        </w:rPr>
        <w:t>项的</w:t>
      </w:r>
      <w:r>
        <w:rPr>
          <w:rFonts w:hint="eastAsia" w:ascii="宋体" w:hAnsi="宋体" w:cs="宋体"/>
          <w:color w:val="auto"/>
          <w:szCs w:val="21"/>
          <w:highlight w:val="none"/>
        </w:rPr>
        <w:t>规定向招标人递交履约担保；</w:t>
      </w:r>
      <w:r>
        <w:rPr>
          <w:rFonts w:hint="eastAsia" w:ascii="宋体" w:hAnsi="宋体"/>
          <w:bCs/>
          <w:color w:val="auto"/>
          <w:szCs w:val="21"/>
          <w:highlight w:val="none"/>
        </w:rPr>
        <w:t>如果中标人的履约担保是以银行保函的形式提供，则该银行保函应由在中国注册的银行开具。</w:t>
      </w:r>
    </w:p>
    <w:p w14:paraId="216B3F6D">
      <w:pPr>
        <w:pBdr>
          <w:bottom w:val="single" w:color="auto" w:sz="6" w:space="1"/>
        </w:pBdr>
        <w:spacing w:line="360" w:lineRule="auto"/>
        <w:ind w:firstLine="420" w:firstLineChars="200"/>
        <w:rPr>
          <w:b/>
          <w:color w:val="auto"/>
          <w:szCs w:val="21"/>
          <w:highlight w:val="none"/>
        </w:rPr>
      </w:pPr>
      <w:r>
        <w:rPr>
          <w:rFonts w:hint="eastAsia" w:ascii="宋体" w:hAnsi="宋体" w:cs="宋体"/>
          <w:color w:val="auto"/>
          <w:szCs w:val="21"/>
          <w:highlight w:val="none"/>
        </w:rPr>
        <w:t>29.2中标通知书发出之日起</w:t>
      </w:r>
      <w:r>
        <w:rPr>
          <w:rFonts w:hint="eastAsia" w:ascii="宋体" w:hAnsi="宋体" w:cs="宋体"/>
          <w:color w:val="auto"/>
          <w:szCs w:val="21"/>
          <w:highlight w:val="none"/>
          <w:u w:val="single"/>
        </w:rPr>
        <w:t>15个日历天</w:t>
      </w:r>
      <w:r>
        <w:rPr>
          <w:rFonts w:hint="eastAsia" w:ascii="宋体" w:hAnsi="宋体" w:cs="宋体"/>
          <w:color w:val="auto"/>
          <w:szCs w:val="21"/>
          <w:highlight w:val="none"/>
        </w:rPr>
        <w:t>内，中标人未按上款的规定递交履约担保</w:t>
      </w:r>
      <w:r>
        <w:rPr>
          <w:rFonts w:hint="eastAsia" w:ascii="宋体" w:hAnsi="宋体" w:cs="宋体"/>
          <w:color w:val="auto"/>
          <w:szCs w:val="21"/>
          <w:highlight w:val="none"/>
          <w:u w:val="single"/>
        </w:rPr>
        <w:t>且未征得招标人同意延期缴交的</w:t>
      </w:r>
      <w:r>
        <w:rPr>
          <w:rFonts w:hint="eastAsia" w:ascii="宋体" w:hAnsi="宋体" w:cs="宋体"/>
          <w:color w:val="auto"/>
          <w:szCs w:val="21"/>
          <w:highlight w:val="none"/>
        </w:rPr>
        <w:t>，招标人将解除中标通知书</w:t>
      </w:r>
      <w:r>
        <w:rPr>
          <w:rFonts w:hint="eastAsia" w:ascii="宋体" w:hAnsi="宋体" w:cs="宋体"/>
          <w:strike/>
          <w:color w:val="auto"/>
          <w:szCs w:val="21"/>
          <w:highlight w:val="none"/>
        </w:rPr>
        <w:t>，原中标人的投标担保不予退还</w:t>
      </w:r>
      <w:r>
        <w:rPr>
          <w:rFonts w:hint="eastAsia" w:ascii="宋体" w:hAnsi="宋体" w:cs="宋体"/>
          <w:color w:val="auto"/>
          <w:szCs w:val="21"/>
          <w:highlight w:val="none"/>
        </w:rPr>
        <w:t>，且依法承担相应法律责任。原中标人给招标人造成</w:t>
      </w:r>
      <w:r>
        <w:rPr>
          <w:rFonts w:hint="eastAsia" w:ascii="宋体" w:hAnsi="宋体" w:cs="宋体"/>
          <w:strike/>
          <w:color w:val="auto"/>
          <w:szCs w:val="21"/>
          <w:highlight w:val="none"/>
        </w:rPr>
        <w:t>的</w:t>
      </w:r>
      <w:r>
        <w:rPr>
          <w:rFonts w:hint="eastAsia" w:ascii="宋体" w:hAnsi="宋体" w:cs="宋体"/>
          <w:color w:val="auto"/>
          <w:szCs w:val="21"/>
          <w:highlight w:val="none"/>
        </w:rPr>
        <w:t>损失</w:t>
      </w:r>
      <w:r>
        <w:rPr>
          <w:rFonts w:hint="eastAsia" w:ascii="宋体" w:hAnsi="宋体" w:cs="宋体"/>
          <w:strike/>
          <w:color w:val="auto"/>
          <w:szCs w:val="21"/>
          <w:highlight w:val="none"/>
        </w:rPr>
        <w:t>超过投标担保数额</w:t>
      </w:r>
      <w:r>
        <w:rPr>
          <w:rFonts w:hint="eastAsia" w:ascii="宋体" w:hAnsi="宋体" w:cs="宋体"/>
          <w:color w:val="auto"/>
          <w:szCs w:val="21"/>
          <w:highlight w:val="none"/>
        </w:rPr>
        <w:t>的，还应当对超过部分予以赔偿。原中标人有异议的，可以向人民法院起诉。</w:t>
      </w:r>
    </w:p>
    <w:p w14:paraId="7A137291">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31</w:t>
      </w:r>
      <w:r>
        <w:rPr>
          <w:rFonts w:hint="eastAsia" w:ascii="宋体" w:hAnsi="宋体"/>
          <w:b/>
          <w:color w:val="auto"/>
          <w:szCs w:val="21"/>
          <w:highlight w:val="none"/>
        </w:rPr>
        <w:t xml:space="preserve">             修改类型：增加</w:t>
      </w:r>
    </w:p>
    <w:p w14:paraId="28867C2F">
      <w:pPr>
        <w:spacing w:line="360" w:lineRule="auto"/>
        <w:ind w:left="482"/>
        <w:rPr>
          <w:rFonts w:ascii="宋体" w:hAnsi="宋体"/>
          <w:b/>
          <w:bCs/>
          <w:color w:val="auto"/>
          <w:szCs w:val="21"/>
          <w:highlight w:val="none"/>
        </w:rPr>
      </w:pPr>
      <w:r>
        <w:rPr>
          <w:rFonts w:hint="eastAsia" w:ascii="宋体" w:hAnsi="宋体"/>
          <w:b/>
          <w:color w:val="auto"/>
          <w:szCs w:val="21"/>
          <w:highlight w:val="none"/>
        </w:rPr>
        <w:t>现文：</w:t>
      </w:r>
      <w:r>
        <w:rPr>
          <w:rFonts w:ascii="宋体" w:hAnsi="宋体"/>
          <w:b/>
          <w:bCs/>
          <w:color w:val="auto"/>
          <w:szCs w:val="21"/>
          <w:highlight w:val="none"/>
        </w:rPr>
        <w:t>31</w:t>
      </w:r>
      <w:r>
        <w:rPr>
          <w:rFonts w:hint="eastAsia" w:ascii="宋体" w:hAnsi="宋体"/>
          <w:b/>
          <w:bCs/>
          <w:color w:val="auto"/>
          <w:szCs w:val="21"/>
          <w:highlight w:val="none"/>
        </w:rPr>
        <w:t>．其它费用</w:t>
      </w:r>
    </w:p>
    <w:p w14:paraId="7891D35D">
      <w:pPr>
        <w:pBdr>
          <w:bottom w:val="single" w:color="auto" w:sz="6" w:space="1"/>
        </w:pBd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rPr>
        <w:t>中标人代缴公共资源交易服务费，</w:t>
      </w:r>
      <w:r>
        <w:rPr>
          <w:rFonts w:hint="eastAsia" w:ascii="宋体" w:hAnsi="宋体"/>
          <w:color w:val="auto"/>
          <w:spacing w:val="20"/>
          <w:szCs w:val="21"/>
          <w:highlight w:val="none"/>
          <w:u w:val="single"/>
        </w:rPr>
        <w:t>由广州交易集团有限公司</w:t>
      </w:r>
      <w:r>
        <w:rPr>
          <w:rFonts w:hint="eastAsia" w:ascii="宋体" w:hAnsi="宋体"/>
          <w:color w:val="auto"/>
          <w:szCs w:val="21"/>
          <w:highlight w:val="none"/>
          <w:u w:val="single"/>
        </w:rPr>
        <w:t>向中标人开具增值税发票。</w:t>
      </w:r>
      <w:r>
        <w:rPr>
          <w:rFonts w:hint="eastAsia" w:ascii="宋体" w:hAnsi="宋体" w:cs="宋体"/>
          <w:color w:val="auto"/>
          <w:szCs w:val="21"/>
          <w:highlight w:val="none"/>
          <w:u w:val="single"/>
        </w:rPr>
        <w:t>本项目招标代理费由</w:t>
      </w:r>
      <w:r>
        <w:rPr>
          <w:rFonts w:hint="eastAsia" w:ascii="宋体" w:hAnsi="宋体" w:cs="宋体"/>
          <w:color w:val="auto"/>
          <w:szCs w:val="21"/>
          <w:highlight w:val="none"/>
          <w:u w:val="single"/>
          <w:lang w:eastAsia="zh-CN"/>
        </w:rPr>
        <w:t>本项目</w:t>
      </w:r>
      <w:r>
        <w:rPr>
          <w:rFonts w:hint="eastAsia" w:ascii="宋体" w:hAnsi="宋体" w:cs="宋体"/>
          <w:color w:val="auto"/>
          <w:szCs w:val="21"/>
          <w:highlight w:val="none"/>
          <w:u w:val="single"/>
        </w:rPr>
        <w:t>中标单位向本项目招标代理支付5.5万元。</w:t>
      </w:r>
      <w:r>
        <w:rPr>
          <w:rFonts w:hint="eastAsia" w:ascii="宋体" w:hAnsi="宋体" w:cs="宋体"/>
          <w:color w:val="auto"/>
          <w:szCs w:val="21"/>
          <w:highlight w:val="none"/>
          <w:u w:val="single"/>
          <w:lang w:eastAsia="zh-CN"/>
        </w:rPr>
        <w:t>以上</w:t>
      </w:r>
      <w:r>
        <w:rPr>
          <w:rFonts w:hint="eastAsia" w:ascii="宋体" w:hAnsi="宋体"/>
          <w:color w:val="auto"/>
          <w:szCs w:val="21"/>
          <w:highlight w:val="none"/>
          <w:u w:val="single"/>
        </w:rPr>
        <w:t>费用包含在中标人投标报价中</w:t>
      </w:r>
      <w:r>
        <w:rPr>
          <w:rFonts w:hint="eastAsia" w:ascii="宋体" w:hAnsi="宋体"/>
          <w:color w:val="auto"/>
          <w:szCs w:val="21"/>
          <w:highlight w:val="none"/>
          <w:u w:val="single"/>
          <w:lang w:eastAsia="zh-CN"/>
        </w:rPr>
        <w:t>。</w:t>
      </w:r>
    </w:p>
    <w:p w14:paraId="4216DDA0">
      <w:pPr>
        <w:spacing w:line="360" w:lineRule="auto"/>
        <w:ind w:firstLine="422" w:firstLineChars="200"/>
        <w:rPr>
          <w:b/>
          <w:color w:val="auto"/>
          <w:szCs w:val="21"/>
          <w:highlight w:val="none"/>
        </w:rPr>
      </w:pPr>
    </w:p>
    <w:p w14:paraId="66906F78">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32.3</w:t>
      </w:r>
      <w:r>
        <w:rPr>
          <w:rFonts w:hint="eastAsia" w:ascii="宋体" w:hAnsi="宋体"/>
          <w:b/>
          <w:color w:val="auto"/>
          <w:szCs w:val="21"/>
          <w:highlight w:val="none"/>
        </w:rPr>
        <w:t xml:space="preserve">           修改类型：修改</w:t>
      </w:r>
    </w:p>
    <w:p w14:paraId="4D16A045">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color w:val="auto"/>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24622D22">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color w:val="auto"/>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r>
        <w:rPr>
          <w:rFonts w:hint="eastAsia" w:ascii="宋体" w:hAnsi="宋体"/>
          <w:color w:val="auto"/>
          <w:szCs w:val="21"/>
          <w:highlight w:val="none"/>
          <w:u w:val="single"/>
        </w:rPr>
        <w:t>行政监督部门将对其违法行为进行政处罚并通报。</w:t>
      </w:r>
    </w:p>
    <w:p w14:paraId="78C79B78">
      <w:pPr>
        <w:spacing w:line="360" w:lineRule="auto"/>
        <w:rPr>
          <w:b/>
          <w:color w:val="auto"/>
          <w:szCs w:val="21"/>
          <w:highlight w:val="none"/>
        </w:rPr>
      </w:pPr>
      <w:r>
        <w:rPr>
          <w:rFonts w:hint="eastAsia"/>
          <w:b/>
          <w:color w:val="auto"/>
          <w:szCs w:val="21"/>
          <w:highlight w:val="none"/>
        </w:rPr>
        <w:t>注：以上修改，仅限于本范本中有可供选择条款的情形。</w:t>
      </w:r>
    </w:p>
    <w:p w14:paraId="57FCADDC">
      <w:pPr>
        <w:spacing w:line="360" w:lineRule="auto"/>
        <w:rPr>
          <w:color w:val="auto"/>
          <w:highlight w:val="none"/>
        </w:rPr>
      </w:pPr>
      <w:r>
        <w:rPr>
          <w:rFonts w:hint="eastAsia"/>
          <w:b/>
          <w:color w:val="auto"/>
          <w:szCs w:val="21"/>
          <w:highlight w:val="none"/>
        </w:rPr>
        <w:t>（以下无正文）</w:t>
      </w:r>
    </w:p>
    <w:p w14:paraId="232F7408">
      <w:pPr>
        <w:pStyle w:val="6"/>
        <w:rPr>
          <w:color w:val="auto"/>
          <w:highlight w:val="none"/>
        </w:rPr>
      </w:pPr>
      <w:r>
        <w:rPr>
          <w:color w:val="auto"/>
          <w:highlight w:val="none"/>
        </w:rPr>
        <w:br w:type="page"/>
      </w:r>
      <w:bookmarkStart w:id="6" w:name="_Toc2272548"/>
      <w:bookmarkStart w:id="7" w:name="_Toc21525492"/>
      <w:r>
        <w:rPr>
          <w:rFonts w:hint="eastAsia"/>
          <w:color w:val="auto"/>
          <w:highlight w:val="none"/>
        </w:rPr>
        <w:t>三、投标须知通用条款</w:t>
      </w:r>
      <w:bookmarkEnd w:id="6"/>
      <w:bookmarkEnd w:id="7"/>
    </w:p>
    <w:p w14:paraId="10DC68CE">
      <w:pPr>
        <w:pStyle w:val="7"/>
        <w:spacing w:before="156" w:after="156"/>
        <w:rPr>
          <w:color w:val="auto"/>
          <w:highlight w:val="none"/>
        </w:rPr>
      </w:pPr>
      <w:bookmarkStart w:id="8" w:name="_Toc21525493"/>
      <w:bookmarkStart w:id="9" w:name="_Toc2272549"/>
      <w:r>
        <w:rPr>
          <w:rFonts w:hint="eastAsia"/>
          <w:color w:val="auto"/>
          <w:highlight w:val="none"/>
        </w:rPr>
        <w:t>（一）总则</w:t>
      </w:r>
      <w:bookmarkEnd w:id="8"/>
      <w:bookmarkEnd w:id="9"/>
    </w:p>
    <w:p w14:paraId="38A88363">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38CD492F">
      <w:pPr>
        <w:pStyle w:val="4"/>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6AE31EC0">
      <w:pPr>
        <w:pStyle w:val="4"/>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669E94B5">
      <w:pPr>
        <w:pStyle w:val="4"/>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p>
    <w:p w14:paraId="13512BDD">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79F6CF0C">
      <w:pPr>
        <w:pStyle w:val="4"/>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4E00E43F">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343A4AAF">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7EB75A12">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62C6208F">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2E6A4125">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w:t>
      </w:r>
      <w:r>
        <w:rPr>
          <w:rFonts w:hint="eastAsia" w:ascii="宋体" w:hAnsi="宋体"/>
          <w:bCs/>
          <w:color w:val="auto"/>
          <w:sz w:val="24"/>
          <w:highlight w:val="none"/>
          <w:lang w:eastAsia="zh-CN"/>
        </w:rPr>
        <w:t>内容</w:t>
      </w:r>
      <w:r>
        <w:rPr>
          <w:rFonts w:hint="eastAsia" w:ascii="宋体" w:hAnsi="宋体"/>
          <w:bCs/>
          <w:color w:val="auto"/>
          <w:sz w:val="24"/>
          <w:highlight w:val="none"/>
        </w:rPr>
        <w:t>、工期要求等均在投标须知前附表中列明。</w:t>
      </w:r>
    </w:p>
    <w:p w14:paraId="05B4BE40">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22700BD0">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211C7B98">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44680BD6">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6EBD3291">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6E11E7C7">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14:paraId="3D3F4697">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27B49636">
      <w:pPr>
        <w:spacing w:line="360" w:lineRule="auto"/>
        <w:ind w:firstLine="480" w:firstLineChars="200"/>
        <w:rPr>
          <w:rFonts w:ascii="宋体"/>
          <w:bCs/>
          <w:color w:val="auto"/>
          <w:sz w:val="24"/>
          <w:highlight w:val="none"/>
          <w:u w:val="single"/>
        </w:rPr>
      </w:pPr>
      <w:r>
        <w:rPr>
          <w:rFonts w:ascii="宋体" w:hAnsi="宋体"/>
          <w:bCs/>
          <w:color w:val="auto"/>
          <w:sz w:val="24"/>
          <w:szCs w:val="24"/>
          <w:highlight w:val="none"/>
        </w:rPr>
        <w:t>5.1</w:t>
      </w:r>
      <w:r>
        <w:rPr>
          <w:rFonts w:hint="eastAsia" w:ascii="宋体" w:hAnsi="宋体"/>
          <w:color w:val="auto"/>
          <w:sz w:val="24"/>
          <w:szCs w:val="24"/>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 w:val="24"/>
          <w:szCs w:val="24"/>
          <w:highlight w:val="none"/>
          <w:u w:val="single"/>
        </w:rPr>
        <w:t>投标人不进行踏勘的，视为已熟知现场条件，自行承担相关风险。投标人需根据现场踏勘情况以及图纸及工程量清单，如有疑问的应在招标答疑时提出，招标答疑后经招标单位修正确认的工程量清单作为综合单价包干的结算依据，投标单位必须按此清单统一报价。</w:t>
      </w:r>
      <w:r>
        <w:rPr>
          <w:rFonts w:hint="eastAsia" w:ascii="宋体" w:hAnsi="宋体"/>
          <w:color w:val="auto"/>
          <w:sz w:val="24"/>
          <w:szCs w:val="24"/>
          <w:highlight w:val="none"/>
        </w:rPr>
        <w:t>一旦中标，这种考察即被认为其结果已在中标文件中得到充分反映。考察现场的费用由投标人自己承担。</w:t>
      </w:r>
    </w:p>
    <w:p w14:paraId="77E359C6">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06503C2A">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34D32565">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60A0131C">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6948F1FE">
      <w:pPr>
        <w:pStyle w:val="7"/>
        <w:spacing w:before="156" w:after="156"/>
        <w:rPr>
          <w:color w:val="auto"/>
          <w:highlight w:val="none"/>
        </w:rPr>
      </w:pPr>
      <w:bookmarkStart w:id="10" w:name="_Toc2272550"/>
      <w:bookmarkStart w:id="11" w:name="_Toc21525494"/>
      <w:r>
        <w:rPr>
          <w:rFonts w:hint="eastAsia"/>
          <w:color w:val="auto"/>
          <w:highlight w:val="none"/>
        </w:rPr>
        <w:t>（二）招标文件</w:t>
      </w:r>
      <w:bookmarkEnd w:id="10"/>
      <w:bookmarkEnd w:id="11"/>
    </w:p>
    <w:p w14:paraId="32462574">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0E88E8A7">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14:paraId="7CD3810B">
      <w:pPr>
        <w:pStyle w:val="4"/>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第一章</w:t>
      </w:r>
      <w:r>
        <w:rPr>
          <w:rFonts w:hint="eastAsia" w:ascii="宋体" w:hAnsi="宋体"/>
          <w:color w:val="auto"/>
          <w:sz w:val="24"/>
          <w:highlight w:val="none"/>
        </w:rPr>
        <w:t>投标须知</w:t>
      </w:r>
    </w:p>
    <w:p w14:paraId="088632CB">
      <w:pPr>
        <w:pStyle w:val="4"/>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第二章</w:t>
      </w:r>
      <w:r>
        <w:rPr>
          <w:rFonts w:hint="eastAsia" w:ascii="宋体" w:hAnsi="宋体"/>
          <w:color w:val="auto"/>
          <w:sz w:val="24"/>
          <w:highlight w:val="none"/>
        </w:rPr>
        <w:t>开标、评标及定标办法</w:t>
      </w:r>
    </w:p>
    <w:p w14:paraId="5F7F1CD6">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第三章合同条款（另册）</w:t>
      </w:r>
    </w:p>
    <w:p w14:paraId="3C3185FA">
      <w:pPr>
        <w:pStyle w:val="4"/>
        <w:spacing w:after="0" w:line="360" w:lineRule="auto"/>
        <w:ind w:firstLine="480" w:firstLineChars="200"/>
        <w:rPr>
          <w:rFonts w:ascii="宋体"/>
          <w:color w:val="auto"/>
          <w:sz w:val="24"/>
          <w:highlight w:val="none"/>
        </w:rPr>
      </w:pPr>
      <w:r>
        <w:rPr>
          <w:rFonts w:hint="eastAsia" w:ascii="宋体" w:hAnsi="宋体"/>
          <w:bCs/>
          <w:color w:val="auto"/>
          <w:sz w:val="24"/>
          <w:highlight w:val="none"/>
        </w:rPr>
        <w:t>第四章</w:t>
      </w:r>
      <w:r>
        <w:rPr>
          <w:rFonts w:hint="eastAsia" w:ascii="宋体" w:hAnsi="宋体"/>
          <w:color w:val="auto"/>
          <w:sz w:val="24"/>
          <w:highlight w:val="none"/>
        </w:rPr>
        <w:t>投标文件格式</w:t>
      </w:r>
    </w:p>
    <w:p w14:paraId="7572DF22">
      <w:pPr>
        <w:pStyle w:val="4"/>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第五章</w:t>
      </w:r>
      <w:r>
        <w:rPr>
          <w:rFonts w:hint="eastAsia" w:ascii="宋体" w:hAnsi="宋体"/>
          <w:color w:val="auto"/>
          <w:sz w:val="24"/>
          <w:highlight w:val="none"/>
        </w:rPr>
        <w:t>技术条件（工程建设标准）</w:t>
      </w:r>
    </w:p>
    <w:p w14:paraId="24D0B3CB">
      <w:pPr>
        <w:pStyle w:val="4"/>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第六章</w:t>
      </w:r>
      <w:r>
        <w:rPr>
          <w:rFonts w:hint="eastAsia" w:ascii="宋体" w:hAnsi="宋体"/>
          <w:color w:val="auto"/>
          <w:sz w:val="24"/>
          <w:highlight w:val="none"/>
        </w:rPr>
        <w:t>图纸及勘察资料（另册）</w:t>
      </w:r>
    </w:p>
    <w:p w14:paraId="3E2DDFA7">
      <w:pPr>
        <w:pStyle w:val="4"/>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第七章招标</w:t>
      </w:r>
      <w:r>
        <w:rPr>
          <w:rFonts w:hint="eastAsia" w:ascii="宋体" w:hAnsi="宋体"/>
          <w:color w:val="auto"/>
          <w:sz w:val="24"/>
          <w:highlight w:val="none"/>
        </w:rPr>
        <w:t>工程量清单（另册）</w:t>
      </w:r>
    </w:p>
    <w:p w14:paraId="561637D1">
      <w:pPr>
        <w:pStyle w:val="4"/>
        <w:spacing w:after="0" w:line="360" w:lineRule="auto"/>
        <w:ind w:left="-2" w:firstLine="480" w:firstLineChars="200"/>
        <w:rPr>
          <w:rFonts w:ascii="宋体"/>
          <w:color w:val="auto"/>
          <w:sz w:val="24"/>
          <w:highlight w:val="none"/>
        </w:rPr>
      </w:pPr>
      <w:r>
        <w:rPr>
          <w:rFonts w:hint="eastAsia" w:ascii="宋体" w:hAnsi="宋体"/>
          <w:color w:val="auto"/>
          <w:sz w:val="24"/>
          <w:highlight w:val="none"/>
        </w:rPr>
        <w:t>第八章最高投标限价</w:t>
      </w:r>
    </w:p>
    <w:p w14:paraId="17CE10F4">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C94B36C">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39C30A2A">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57EB55E8">
      <w:pPr>
        <w:pStyle w:val="4"/>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w:t>
      </w:r>
      <w:r>
        <w:rPr>
          <w:rFonts w:hint="eastAsia" w:ascii="宋体" w:hAnsi="宋体"/>
          <w:color w:val="auto"/>
          <w:sz w:val="24"/>
          <w:highlight w:val="none"/>
          <w:u w:val="none"/>
        </w:rPr>
        <w:t>、</w:t>
      </w:r>
      <w:r>
        <w:rPr>
          <w:rFonts w:hint="eastAsia" w:ascii="宋体" w:hAnsi="宋体"/>
          <w:color w:val="auto"/>
          <w:sz w:val="24"/>
          <w:highlight w:val="none"/>
          <w:u w:val="single"/>
        </w:rPr>
        <w:t>清单、合同条款、最高投标限价等</w:t>
      </w:r>
      <w:r>
        <w:rPr>
          <w:rFonts w:hint="eastAsia" w:ascii="宋体" w:hAnsi="宋体"/>
          <w:color w:val="auto"/>
          <w:sz w:val="24"/>
          <w:highlight w:val="none"/>
        </w:rPr>
        <w:t>）中有疑问，可以通过</w:t>
      </w:r>
      <w:r>
        <w:rPr>
          <w:rFonts w:hint="eastAsia" w:ascii="宋体" w:hAnsi="宋体"/>
          <w:color w:val="auto"/>
          <w:sz w:val="24"/>
          <w:highlight w:val="none"/>
          <w:u w:val="single"/>
        </w:rPr>
        <w:t xml:space="preserve"> </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u w:val="single"/>
        </w:rPr>
        <w:t xml:space="preserve"> </w:t>
      </w:r>
      <w:r>
        <w:rPr>
          <w:rFonts w:hint="eastAsia" w:ascii="宋体" w:hAnsi="宋体"/>
          <w:color w:val="auto"/>
          <w:sz w:val="24"/>
          <w:highlight w:val="none"/>
        </w:rPr>
        <w:t>交易平台提交给招标人或招标代理人，提交形式见本须知前附表第16项。</w:t>
      </w:r>
    </w:p>
    <w:p w14:paraId="08421D13">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网上答疑的操作指南为：登陆广州交易集团有限公司（广州公共资源交易中心）新建设工程交易平台中“我是投标人”→“我的投标”→“招标答疑提问”通过项目编号或名称找到所需的项目→在上述的答疑时间内点击“提问”→无记名或匿名提出问题以及查看所有的问题（提交问题时需插入投标人CA证书）。</w:t>
      </w:r>
    </w:p>
    <w:p w14:paraId="017F2C3A">
      <w:pPr>
        <w:pStyle w:val="4"/>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8.2</w:t>
      </w:r>
      <w:r>
        <w:rPr>
          <w:rFonts w:hint="eastAsia" w:ascii="宋体"/>
          <w:color w:val="auto"/>
          <w:sz w:val="24"/>
          <w:szCs w:val="24"/>
          <w:highlight w:val="none"/>
        </w:rPr>
        <w:t>招标答疑纪要将在提交投标文件截止时间15日前在</w:t>
      </w:r>
      <w:r>
        <w:rPr>
          <w:rFonts w:hint="eastAsia" w:ascii="宋体"/>
          <w:color w:val="auto"/>
          <w:sz w:val="24"/>
          <w:szCs w:val="24"/>
          <w:highlight w:val="none"/>
          <w:u w:val="single"/>
        </w:rPr>
        <w:t xml:space="preserve"> </w:t>
      </w:r>
      <w:r>
        <w:rPr>
          <w:rFonts w:hint="eastAsia" w:ascii="宋体" w:hAnsi="宋体" w:cs="宋体"/>
          <w:color w:val="auto"/>
          <w:sz w:val="24"/>
          <w:szCs w:val="24"/>
          <w:highlight w:val="none"/>
          <w:u w:val="single"/>
        </w:rPr>
        <w:t>广州交易集团有限公司（广州公共资源交易中心）</w:t>
      </w:r>
      <w:r>
        <w:rPr>
          <w:rFonts w:hint="eastAsia" w:ascii="宋体"/>
          <w:color w:val="auto"/>
          <w:sz w:val="24"/>
          <w:szCs w:val="24"/>
          <w:highlight w:val="none"/>
          <w:u w:val="single"/>
        </w:rPr>
        <w:t xml:space="preserve"> </w:t>
      </w:r>
      <w:r>
        <w:rPr>
          <w:rFonts w:hint="eastAsia" w:ascii="宋体"/>
          <w:color w:val="auto"/>
          <w:sz w:val="24"/>
          <w:szCs w:val="24"/>
          <w:highlight w:val="none"/>
        </w:rPr>
        <w:t>交易平台“项目答疑纪要”专区公开发布。答疑纪要一经在</w:t>
      </w:r>
      <w:r>
        <w:rPr>
          <w:rFonts w:hint="eastAsia" w:ascii="宋体"/>
          <w:color w:val="auto"/>
          <w:sz w:val="24"/>
          <w:szCs w:val="24"/>
          <w:highlight w:val="none"/>
          <w:u w:val="single"/>
        </w:rPr>
        <w:t xml:space="preserve"> </w:t>
      </w:r>
      <w:r>
        <w:rPr>
          <w:rFonts w:hint="eastAsia" w:ascii="宋体" w:hAnsi="宋体" w:cs="宋体"/>
          <w:color w:val="auto"/>
          <w:sz w:val="24"/>
          <w:szCs w:val="24"/>
          <w:highlight w:val="none"/>
          <w:u w:val="single"/>
        </w:rPr>
        <w:t>广州交易集团有限公司（广州公共资源交易中心）</w:t>
      </w:r>
      <w:r>
        <w:rPr>
          <w:rFonts w:hint="eastAsia" w:ascii="宋体"/>
          <w:color w:val="auto"/>
          <w:sz w:val="24"/>
          <w:szCs w:val="24"/>
          <w:highlight w:val="none"/>
          <w:u w:val="single"/>
        </w:rPr>
        <w:t xml:space="preserve"> </w:t>
      </w:r>
      <w:r>
        <w:rPr>
          <w:rFonts w:hint="eastAsia" w:ascii="宋体"/>
          <w:color w:val="auto"/>
          <w:sz w:val="24"/>
          <w:szCs w:val="24"/>
          <w:highlight w:val="none"/>
        </w:rPr>
        <w:t>交易平台发布，视作已发放给所有投标人。</w:t>
      </w:r>
    </w:p>
    <w:p w14:paraId="70D1B3E2">
      <w:pPr>
        <w:pStyle w:val="4"/>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8.3</w:t>
      </w:r>
      <w:r>
        <w:rPr>
          <w:rFonts w:hint="eastAsia" w:ascii="宋体" w:hAnsi="宋体"/>
          <w:color w:val="auto"/>
          <w:sz w:val="24"/>
          <w:szCs w:val="24"/>
          <w:highlight w:val="none"/>
        </w:rPr>
        <w:t>答疑纪要为招标文件的一部分。</w:t>
      </w:r>
    </w:p>
    <w:p w14:paraId="4E228E42">
      <w:pPr>
        <w:pStyle w:val="4"/>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若招标答疑纪要与招标文件有矛盾，以答疑纪要最后发出的书面形式的文件为准。</w:t>
      </w:r>
    </w:p>
    <w:p w14:paraId="25238C1E">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0FBDEBD4">
      <w:pPr>
        <w:pStyle w:val="4"/>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208A814E">
      <w:pPr>
        <w:pStyle w:val="4"/>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9.2</w:t>
      </w:r>
      <w:r>
        <w:rPr>
          <w:rFonts w:hint="eastAsia" w:ascii="宋体"/>
          <w:color w:val="auto"/>
          <w:sz w:val="24"/>
          <w:szCs w:val="24"/>
          <w:highlight w:val="none"/>
        </w:rPr>
        <w:t>招标文件的澄清或修改将在</w:t>
      </w:r>
      <w:r>
        <w:rPr>
          <w:rFonts w:hint="eastAsia" w:ascii="宋体"/>
          <w:color w:val="auto"/>
          <w:sz w:val="24"/>
          <w:szCs w:val="24"/>
          <w:highlight w:val="none"/>
          <w:u w:val="single"/>
        </w:rPr>
        <w:t xml:space="preserve"> </w:t>
      </w:r>
      <w:r>
        <w:rPr>
          <w:rFonts w:hint="eastAsia" w:ascii="宋体" w:hAnsi="宋体" w:cs="宋体"/>
          <w:color w:val="auto"/>
          <w:sz w:val="24"/>
          <w:szCs w:val="24"/>
          <w:highlight w:val="none"/>
          <w:u w:val="single"/>
        </w:rPr>
        <w:t>广州交易集团有限公司（广州公共资源交易中心）</w:t>
      </w:r>
      <w:r>
        <w:rPr>
          <w:rFonts w:hint="eastAsia" w:ascii="宋体"/>
          <w:color w:val="auto"/>
          <w:sz w:val="24"/>
          <w:szCs w:val="24"/>
          <w:highlight w:val="none"/>
          <w:u w:val="single"/>
        </w:rPr>
        <w:t xml:space="preserve"> </w:t>
      </w:r>
      <w:r>
        <w:rPr>
          <w:rFonts w:hint="eastAsia" w:ascii="宋体"/>
          <w:color w:val="auto"/>
          <w:sz w:val="24"/>
          <w:szCs w:val="24"/>
          <w:highlight w:val="none"/>
        </w:rPr>
        <w:t>交易平台</w:t>
      </w:r>
      <w:r>
        <w:rPr>
          <w:rFonts w:hint="eastAsia" w:ascii="宋体"/>
          <w:color w:val="auto"/>
          <w:sz w:val="24"/>
          <w:szCs w:val="24"/>
          <w:highlight w:val="none"/>
          <w:u w:val="single"/>
        </w:rPr>
        <w:t>“建设工程”→“项目查询（日程安排、答疑纪要）”</w:t>
      </w:r>
      <w:r>
        <w:rPr>
          <w:rFonts w:hint="eastAsia" w:ascii="宋体"/>
          <w:color w:val="auto"/>
          <w:sz w:val="24"/>
          <w:szCs w:val="24"/>
          <w:highlight w:val="none"/>
        </w:rPr>
        <w:t>专区公开发布。答疑纪要一经在</w:t>
      </w:r>
      <w:r>
        <w:rPr>
          <w:rFonts w:hint="eastAsia" w:ascii="宋体"/>
          <w:color w:val="auto"/>
          <w:sz w:val="24"/>
          <w:szCs w:val="24"/>
          <w:highlight w:val="none"/>
          <w:u w:val="single"/>
        </w:rPr>
        <w:t xml:space="preserve"> </w:t>
      </w:r>
      <w:r>
        <w:rPr>
          <w:rFonts w:hint="eastAsia" w:ascii="宋体" w:hAnsi="宋体" w:cs="宋体"/>
          <w:color w:val="auto"/>
          <w:sz w:val="24"/>
          <w:szCs w:val="24"/>
          <w:highlight w:val="none"/>
          <w:u w:val="single"/>
        </w:rPr>
        <w:t>广州交易集团有限公司（广州公共资源交易中心）</w:t>
      </w:r>
      <w:r>
        <w:rPr>
          <w:rFonts w:hint="eastAsia" w:ascii="宋体"/>
          <w:color w:val="auto"/>
          <w:sz w:val="24"/>
          <w:szCs w:val="24"/>
          <w:highlight w:val="none"/>
          <w:u w:val="single"/>
        </w:rPr>
        <w:t xml:space="preserve"> </w:t>
      </w:r>
      <w:r>
        <w:rPr>
          <w:rFonts w:hint="eastAsia" w:ascii="宋体"/>
          <w:color w:val="auto"/>
          <w:sz w:val="24"/>
          <w:szCs w:val="24"/>
          <w:highlight w:val="none"/>
        </w:rPr>
        <w:t>交易平台发布，视作已发放给所有投标人，以</w:t>
      </w:r>
      <w:r>
        <w:rPr>
          <w:rFonts w:hint="eastAsia" w:ascii="宋体"/>
          <w:color w:val="auto"/>
          <w:sz w:val="24"/>
          <w:szCs w:val="24"/>
          <w:highlight w:val="none"/>
          <w:u w:val="single"/>
        </w:rPr>
        <w:t xml:space="preserve"> </w:t>
      </w:r>
      <w:r>
        <w:rPr>
          <w:rFonts w:hint="eastAsia" w:ascii="宋体" w:hAnsi="宋体" w:cs="宋体"/>
          <w:color w:val="auto"/>
          <w:sz w:val="24"/>
          <w:szCs w:val="24"/>
          <w:highlight w:val="none"/>
          <w:u w:val="single"/>
        </w:rPr>
        <w:t>广州交易集团有限公司（广州公共资源交易中心）</w:t>
      </w:r>
      <w:r>
        <w:rPr>
          <w:rFonts w:hint="eastAsia" w:ascii="宋体"/>
          <w:color w:val="auto"/>
          <w:sz w:val="24"/>
          <w:szCs w:val="24"/>
          <w:highlight w:val="none"/>
          <w:u w:val="single"/>
        </w:rPr>
        <w:t xml:space="preserve"> </w:t>
      </w:r>
      <w:r>
        <w:rPr>
          <w:rFonts w:hint="eastAsia" w:ascii="宋体"/>
          <w:color w:val="auto"/>
          <w:sz w:val="24"/>
          <w:szCs w:val="24"/>
          <w:highlight w:val="none"/>
        </w:rPr>
        <w:t>交易平台上网发布时间作为送达时间。</w:t>
      </w:r>
    </w:p>
    <w:p w14:paraId="073BD0EF">
      <w:pPr>
        <w:pStyle w:val="4"/>
        <w:spacing w:after="0" w:line="360" w:lineRule="auto"/>
        <w:ind w:firstLine="480" w:firstLineChars="200"/>
        <w:rPr>
          <w:rFonts w:ascii="宋体"/>
          <w:color w:val="auto"/>
          <w:sz w:val="24"/>
          <w:szCs w:val="24"/>
          <w:highlight w:val="none"/>
        </w:rPr>
      </w:pPr>
      <w:r>
        <w:rPr>
          <w:rFonts w:ascii="宋体" w:hAnsi="宋体"/>
          <w:color w:val="auto"/>
          <w:sz w:val="24"/>
          <w:szCs w:val="24"/>
          <w:highlight w:val="none"/>
        </w:rPr>
        <w:t>9.3</w:t>
      </w:r>
      <w:r>
        <w:rPr>
          <w:rFonts w:hint="eastAsia" w:ascii="宋体" w:hAnsi="宋体"/>
          <w:color w:val="auto"/>
          <w:sz w:val="24"/>
          <w:szCs w:val="24"/>
          <w:highlight w:val="none"/>
        </w:rPr>
        <w:t>招标文件的修改内容为招标文件的组成部分。</w:t>
      </w:r>
    </w:p>
    <w:p w14:paraId="43C998A5">
      <w:pPr>
        <w:pStyle w:val="4"/>
        <w:spacing w:after="0" w:line="360" w:lineRule="auto"/>
        <w:ind w:firstLine="480" w:firstLineChars="200"/>
        <w:rPr>
          <w:rFonts w:ascii="宋体"/>
          <w:color w:val="auto"/>
          <w:sz w:val="24"/>
          <w:highlight w:val="none"/>
        </w:rPr>
      </w:pPr>
      <w:r>
        <w:rPr>
          <w:rFonts w:ascii="宋体" w:hAnsi="宋体"/>
          <w:color w:val="auto"/>
          <w:sz w:val="24"/>
          <w:szCs w:val="24"/>
          <w:highlight w:val="none"/>
        </w:rPr>
        <w:t>9.4</w:t>
      </w:r>
      <w:r>
        <w:rPr>
          <w:rFonts w:hint="eastAsia" w:ascii="宋体" w:hAnsi="宋体"/>
          <w:color w:val="auto"/>
          <w:sz w:val="24"/>
          <w:szCs w:val="24"/>
          <w:highlight w:val="none"/>
        </w:rPr>
        <w:t>招标文件的澄清或修改均以</w:t>
      </w:r>
      <w:r>
        <w:rPr>
          <w:rFonts w:hint="eastAsia" w:ascii="宋体" w:hAnsi="宋体"/>
          <w:color w:val="auto"/>
          <w:sz w:val="24"/>
          <w:szCs w:val="24"/>
          <w:highlight w:val="none"/>
          <w:u w:val="single"/>
        </w:rPr>
        <w:t>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olor w:val="auto"/>
          <w:sz w:val="24"/>
          <w:szCs w:val="24"/>
          <w:highlight w:val="none"/>
          <w:u w:val="single"/>
        </w:rPr>
        <w:t>交易平台“建设工程”→“项目查询（日程安排、答疑纪要）”专区公开发布</w:t>
      </w:r>
      <w:r>
        <w:rPr>
          <w:rFonts w:hint="eastAsia" w:ascii="宋体" w:hAnsi="宋体"/>
          <w:color w:val="auto"/>
          <w:sz w:val="24"/>
          <w:szCs w:val="24"/>
          <w:highlight w:val="none"/>
        </w:rPr>
        <w:t>的内容为准。</w:t>
      </w:r>
      <w:r>
        <w:rPr>
          <w:rFonts w:hint="eastAsia" w:ascii="宋体" w:hAnsi="宋体"/>
          <w:color w:val="auto"/>
          <w:sz w:val="24"/>
          <w:highlight w:val="none"/>
        </w:rPr>
        <w:t>当招标文件的澄清、修改、补充等在同一内容的表述不一致时，以最后发出的文件为准。</w:t>
      </w:r>
    </w:p>
    <w:p w14:paraId="32EC120D">
      <w:pPr>
        <w:pStyle w:val="4"/>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1ADE52CE">
      <w:pPr>
        <w:pStyle w:val="7"/>
        <w:spacing w:before="156" w:after="156"/>
        <w:rPr>
          <w:color w:val="auto"/>
          <w:highlight w:val="none"/>
        </w:rPr>
      </w:pPr>
      <w:bookmarkStart w:id="12" w:name="_Toc21525495"/>
      <w:bookmarkStart w:id="13" w:name="_Toc2272551"/>
      <w:r>
        <w:rPr>
          <w:rFonts w:hint="eastAsia"/>
          <w:color w:val="auto"/>
          <w:highlight w:val="none"/>
        </w:rPr>
        <w:t>（三）投标文件的编制</w:t>
      </w:r>
      <w:bookmarkEnd w:id="12"/>
      <w:bookmarkEnd w:id="13"/>
    </w:p>
    <w:p w14:paraId="14A40AC6">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4F61133B">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7A9EB8F7">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2CC51FF2">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785D1DD6">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 xml:space="preserve">11.1 </w:t>
      </w:r>
      <w:r>
        <w:rPr>
          <w:rFonts w:hint="eastAsia" w:ascii="宋体" w:hAnsi="宋体"/>
          <w:color w:val="auto"/>
          <w:sz w:val="24"/>
          <w:szCs w:val="24"/>
          <w:highlight w:val="none"/>
          <w:u w:val="single"/>
        </w:rPr>
        <w:t>投标文件由评标部分及定标部分两部分组成。其中评标部分由技术标（含资格审查文件）和经济标组成。定标部分由拟派施工履约能力与水平评价、服务保障能力、企业施工能力组成。</w:t>
      </w:r>
    </w:p>
    <w:p w14:paraId="70FCB769">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11.2</w:t>
      </w:r>
      <w:r>
        <w:rPr>
          <w:rFonts w:hint="eastAsia" w:ascii="宋体" w:hAnsi="宋体"/>
          <w:bCs/>
          <w:color w:val="auto"/>
          <w:sz w:val="24"/>
          <w:szCs w:val="24"/>
          <w:highlight w:val="none"/>
        </w:rPr>
        <w:t>投标文件技术标部分主要包括下列内容</w:t>
      </w:r>
      <w:r>
        <w:rPr>
          <w:rFonts w:ascii="宋体" w:hAnsi="宋体"/>
          <w:bCs/>
          <w:color w:val="auto"/>
          <w:sz w:val="24"/>
          <w:szCs w:val="24"/>
          <w:highlight w:val="none"/>
        </w:rPr>
        <w:t>:</w:t>
      </w:r>
    </w:p>
    <w:p w14:paraId="62EE3D7F">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11.2.1 技术投标文件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bCs/>
          <w:color w:val="auto"/>
          <w:sz w:val="24"/>
          <w:szCs w:val="24"/>
          <w:highlight w:val="none"/>
        </w:rPr>
        <w:t>；</w:t>
      </w:r>
    </w:p>
    <w:p w14:paraId="6A15FF51">
      <w:pPr>
        <w:spacing w:line="360" w:lineRule="auto"/>
        <w:ind w:firstLine="480" w:firstLineChars="200"/>
        <w:rPr>
          <w:rFonts w:ascii="宋体" w:hAnsi="宋体" w:cs="Calibri"/>
          <w:bCs/>
          <w:color w:val="auto"/>
          <w:sz w:val="24"/>
          <w:szCs w:val="24"/>
          <w:highlight w:val="none"/>
          <w:u w:val="single"/>
        </w:rPr>
      </w:pPr>
      <w:r>
        <w:rPr>
          <w:rFonts w:ascii="宋体" w:hAnsi="宋体" w:cs="Calibri"/>
          <w:bCs/>
          <w:color w:val="auto"/>
          <w:sz w:val="24"/>
          <w:szCs w:val="24"/>
          <w:highlight w:val="none"/>
          <w:u w:val="single"/>
        </w:rPr>
        <w:t>11.2.2 资格审查文件：</w:t>
      </w:r>
    </w:p>
    <w:p w14:paraId="242C833C">
      <w:pPr>
        <w:spacing w:line="360" w:lineRule="auto"/>
        <w:ind w:firstLine="480" w:firstLineChars="200"/>
        <w:rPr>
          <w:rFonts w:ascii="宋体" w:hAnsi="宋体" w:cs="Calibri"/>
          <w:bCs/>
          <w:color w:val="auto"/>
          <w:sz w:val="24"/>
          <w:szCs w:val="24"/>
          <w:highlight w:val="none"/>
          <w:u w:val="single"/>
        </w:rPr>
      </w:pPr>
      <w:r>
        <w:rPr>
          <w:rFonts w:ascii="宋体" w:hAnsi="宋体" w:cs="Calibri"/>
          <w:bCs/>
          <w:color w:val="auto"/>
          <w:sz w:val="24"/>
          <w:szCs w:val="24"/>
          <w:highlight w:val="none"/>
          <w:u w:val="single"/>
        </w:rPr>
        <w:t>（1）投标人声明（按招标</w:t>
      </w:r>
      <w:r>
        <w:rPr>
          <w:rFonts w:hint="eastAsia" w:ascii="宋体" w:hAnsi="宋体" w:cs="Calibri"/>
          <w:bCs/>
          <w:color w:val="auto"/>
          <w:sz w:val="24"/>
          <w:szCs w:val="24"/>
          <w:highlight w:val="none"/>
          <w:u w:val="single"/>
        </w:rPr>
        <w:t>公告</w:t>
      </w:r>
      <w:r>
        <w:rPr>
          <w:rFonts w:ascii="宋体" w:hAnsi="宋体" w:cs="Calibri"/>
          <w:bCs/>
          <w:color w:val="auto"/>
          <w:sz w:val="24"/>
          <w:szCs w:val="24"/>
          <w:highlight w:val="none"/>
          <w:u w:val="single"/>
        </w:rPr>
        <w:t xml:space="preserve">的要求填写）； </w:t>
      </w:r>
    </w:p>
    <w:p w14:paraId="6063A2DC">
      <w:pPr>
        <w:spacing w:line="360" w:lineRule="auto"/>
        <w:ind w:firstLine="480" w:firstLineChars="200"/>
        <w:rPr>
          <w:rFonts w:ascii="宋体" w:hAnsi="宋体" w:cs="Calibri"/>
          <w:bCs/>
          <w:color w:val="auto"/>
          <w:sz w:val="24"/>
          <w:szCs w:val="24"/>
          <w:highlight w:val="none"/>
          <w:u w:val="single"/>
        </w:rPr>
      </w:pPr>
      <w:r>
        <w:rPr>
          <w:rFonts w:ascii="宋体" w:hAnsi="宋体" w:cs="Calibri"/>
          <w:bCs/>
          <w:color w:val="auto"/>
          <w:sz w:val="24"/>
          <w:szCs w:val="24"/>
          <w:highlight w:val="none"/>
          <w:u w:val="single"/>
        </w:rPr>
        <w:t>（2）法定代表人证明书、法定代表人签字或盖章的本投标文件授权委托证明书；</w:t>
      </w:r>
    </w:p>
    <w:p w14:paraId="1CDA6E2D">
      <w:pPr>
        <w:spacing w:line="360" w:lineRule="auto"/>
        <w:ind w:firstLine="480" w:firstLineChars="200"/>
        <w:rPr>
          <w:rFonts w:ascii="宋体" w:hAnsi="宋体" w:cs="Calibri"/>
          <w:bCs/>
          <w:color w:val="auto"/>
          <w:sz w:val="24"/>
          <w:szCs w:val="24"/>
          <w:highlight w:val="none"/>
          <w:u w:val="single"/>
        </w:rPr>
      </w:pPr>
      <w:r>
        <w:rPr>
          <w:rFonts w:hint="eastAsia" w:ascii="宋体" w:hAnsi="宋体" w:cs="Calibri"/>
          <w:bCs/>
          <w:color w:val="auto"/>
          <w:sz w:val="24"/>
          <w:szCs w:val="24"/>
          <w:highlight w:val="none"/>
          <w:u w:val="single"/>
        </w:rPr>
        <w:t>（3）企业营业执照扫描件或电子证照；</w:t>
      </w:r>
    </w:p>
    <w:p w14:paraId="7C74A4D0">
      <w:pPr>
        <w:spacing w:line="360" w:lineRule="auto"/>
        <w:ind w:firstLine="480" w:firstLineChars="200"/>
        <w:rPr>
          <w:rFonts w:ascii="宋体" w:hAnsi="宋体" w:cs="Calibri"/>
          <w:bCs/>
          <w:color w:val="auto"/>
          <w:sz w:val="24"/>
          <w:szCs w:val="24"/>
          <w:highlight w:val="none"/>
          <w:u w:val="single"/>
        </w:rPr>
      </w:pPr>
      <w:r>
        <w:rPr>
          <w:rFonts w:hint="eastAsia" w:ascii="宋体" w:hAnsi="宋体" w:cs="Calibri"/>
          <w:bCs/>
          <w:color w:val="auto"/>
          <w:sz w:val="24"/>
          <w:szCs w:val="24"/>
          <w:highlight w:val="none"/>
          <w:u w:val="single"/>
        </w:rPr>
        <w:t>（4）企业资质证书</w:t>
      </w:r>
      <w:r>
        <w:rPr>
          <w:rFonts w:hint="eastAsia" w:ascii="宋体" w:hAnsi="宋体" w:cs="Calibri"/>
          <w:bCs/>
          <w:color w:val="auto"/>
          <w:sz w:val="24"/>
          <w:szCs w:val="24"/>
          <w:highlight w:val="none"/>
          <w:u w:val="single"/>
          <w:lang w:eastAsia="zh-CN"/>
        </w:rPr>
        <w:t>、</w:t>
      </w:r>
      <w:r>
        <w:rPr>
          <w:rFonts w:hint="eastAsia" w:ascii="宋体" w:hAnsi="宋体" w:cs="Calibri"/>
          <w:bCs/>
          <w:color w:val="auto"/>
          <w:sz w:val="24"/>
          <w:szCs w:val="24"/>
          <w:highlight w:val="none"/>
          <w:u w:val="single"/>
          <w:lang w:val="en-US" w:eastAsia="zh-CN"/>
        </w:rPr>
        <w:t>承装（修、试）电力设施许可证</w:t>
      </w:r>
      <w:r>
        <w:rPr>
          <w:rFonts w:hint="eastAsia" w:ascii="宋体" w:hAnsi="宋体" w:cs="Calibri"/>
          <w:bCs/>
          <w:color w:val="auto"/>
          <w:sz w:val="24"/>
          <w:szCs w:val="24"/>
          <w:highlight w:val="none"/>
          <w:u w:val="single"/>
        </w:rPr>
        <w:t>扫描件或电子证照；</w:t>
      </w:r>
    </w:p>
    <w:p w14:paraId="0D8C0D24">
      <w:pPr>
        <w:spacing w:line="360" w:lineRule="auto"/>
        <w:ind w:firstLine="480" w:firstLineChars="200"/>
        <w:rPr>
          <w:rFonts w:ascii="宋体" w:hAnsi="宋体" w:cs="Calibri"/>
          <w:bCs/>
          <w:color w:val="auto"/>
          <w:sz w:val="24"/>
          <w:szCs w:val="24"/>
          <w:highlight w:val="none"/>
          <w:u w:val="single"/>
        </w:rPr>
      </w:pPr>
      <w:r>
        <w:rPr>
          <w:rFonts w:hint="eastAsia" w:ascii="宋体" w:hAnsi="宋体" w:cs="Calibri"/>
          <w:bCs/>
          <w:color w:val="auto"/>
          <w:sz w:val="24"/>
          <w:szCs w:val="24"/>
          <w:highlight w:val="none"/>
          <w:u w:val="single"/>
        </w:rPr>
        <w:t>（5）建筑施工企业安全生产许可证扫描件或电子证照；</w:t>
      </w:r>
    </w:p>
    <w:p w14:paraId="778882FA">
      <w:pPr>
        <w:spacing w:line="360" w:lineRule="auto"/>
        <w:ind w:firstLine="480" w:firstLineChars="200"/>
        <w:rPr>
          <w:rFonts w:hint="eastAsia" w:ascii="宋体" w:hAnsi="宋体" w:eastAsia="宋体" w:cs="Calibri"/>
          <w:bCs/>
          <w:color w:val="auto"/>
          <w:sz w:val="24"/>
          <w:szCs w:val="24"/>
          <w:highlight w:val="none"/>
          <w:u w:val="single"/>
          <w:lang w:eastAsia="zh-CN"/>
        </w:rPr>
      </w:pPr>
      <w:r>
        <w:rPr>
          <w:rFonts w:ascii="宋体" w:hAnsi="宋体" w:cs="Calibri"/>
          <w:bCs/>
          <w:color w:val="auto"/>
          <w:sz w:val="24"/>
          <w:szCs w:val="24"/>
          <w:highlight w:val="none"/>
          <w:u w:val="single"/>
        </w:rPr>
        <w:t>（6）项目负责人（按网上投标登记时选择拟</w:t>
      </w:r>
      <w:r>
        <w:rPr>
          <w:rFonts w:hint="eastAsia" w:ascii="宋体" w:hAnsi="宋体" w:cs="Calibri"/>
          <w:bCs/>
          <w:color w:val="auto"/>
          <w:sz w:val="24"/>
          <w:szCs w:val="24"/>
          <w:highlight w:val="none"/>
          <w:u w:val="single"/>
          <w:lang w:eastAsia="zh-CN"/>
        </w:rPr>
        <w:t>投</w:t>
      </w:r>
      <w:r>
        <w:rPr>
          <w:rFonts w:hint="eastAsia" w:ascii="宋体" w:hAnsi="宋体" w:cs="Calibri"/>
          <w:bCs/>
          <w:color w:val="auto"/>
          <w:sz w:val="24"/>
          <w:szCs w:val="24"/>
          <w:highlight w:val="none"/>
          <w:u w:val="single"/>
        </w:rPr>
        <w:t>入本项目</w:t>
      </w:r>
      <w:r>
        <w:rPr>
          <w:rFonts w:ascii="宋体" w:hAnsi="宋体" w:cs="Calibri"/>
          <w:bCs/>
          <w:color w:val="auto"/>
          <w:sz w:val="24"/>
          <w:szCs w:val="24"/>
          <w:highlight w:val="none"/>
          <w:u w:val="single"/>
        </w:rPr>
        <w:t>的项目负责人）</w:t>
      </w:r>
      <w:r>
        <w:rPr>
          <w:rFonts w:hint="eastAsia" w:ascii="宋体" w:hAnsi="宋体" w:cs="Calibri"/>
          <w:bCs/>
          <w:color w:val="auto"/>
          <w:sz w:val="24"/>
          <w:szCs w:val="24"/>
          <w:highlight w:val="none"/>
          <w:u w:val="single"/>
          <w:lang w:eastAsia="zh-CN"/>
        </w:rPr>
        <w:t>；</w:t>
      </w:r>
    </w:p>
    <w:p w14:paraId="40B43361">
      <w:pPr>
        <w:spacing w:line="360" w:lineRule="auto"/>
        <w:ind w:firstLine="480" w:firstLineChars="200"/>
        <w:rPr>
          <w:rFonts w:hint="eastAsia" w:ascii="宋体" w:hAnsi="宋体" w:eastAsia="宋体" w:cs="Calibri"/>
          <w:bCs/>
          <w:color w:val="auto"/>
          <w:sz w:val="24"/>
          <w:szCs w:val="24"/>
          <w:highlight w:val="none"/>
          <w:u w:val="single"/>
          <w:lang w:eastAsia="zh-CN"/>
        </w:rPr>
      </w:pPr>
      <w:r>
        <w:rPr>
          <w:rFonts w:ascii="宋体" w:hAnsi="宋体" w:cs="Calibri"/>
          <w:bCs/>
          <w:color w:val="auto"/>
          <w:sz w:val="24"/>
          <w:szCs w:val="24"/>
          <w:highlight w:val="none"/>
          <w:u w:val="single"/>
        </w:rPr>
        <w:t>（7）专职安全员（按网上投标登记时选择拟</w:t>
      </w:r>
      <w:r>
        <w:rPr>
          <w:rFonts w:hint="eastAsia" w:ascii="宋体" w:hAnsi="宋体" w:cs="Calibri"/>
          <w:bCs/>
          <w:color w:val="auto"/>
          <w:sz w:val="24"/>
          <w:szCs w:val="24"/>
          <w:highlight w:val="none"/>
          <w:u w:val="single"/>
          <w:lang w:eastAsia="zh-CN"/>
        </w:rPr>
        <w:t>投</w:t>
      </w:r>
      <w:r>
        <w:rPr>
          <w:rFonts w:hint="eastAsia" w:ascii="宋体" w:hAnsi="宋体" w:cs="Calibri"/>
          <w:bCs/>
          <w:color w:val="auto"/>
          <w:sz w:val="24"/>
          <w:szCs w:val="24"/>
          <w:highlight w:val="none"/>
          <w:u w:val="single"/>
        </w:rPr>
        <w:t>入本项目</w:t>
      </w:r>
      <w:r>
        <w:rPr>
          <w:rFonts w:ascii="宋体" w:hAnsi="宋体" w:cs="Calibri"/>
          <w:bCs/>
          <w:color w:val="auto"/>
          <w:sz w:val="24"/>
          <w:szCs w:val="24"/>
          <w:highlight w:val="none"/>
          <w:u w:val="single"/>
        </w:rPr>
        <w:t>的专职安全员）</w:t>
      </w:r>
      <w:r>
        <w:rPr>
          <w:rFonts w:hint="eastAsia" w:ascii="宋体" w:hAnsi="宋体" w:cs="Calibri"/>
          <w:bCs/>
          <w:color w:val="auto"/>
          <w:sz w:val="24"/>
          <w:szCs w:val="24"/>
          <w:highlight w:val="none"/>
          <w:u w:val="single"/>
          <w:lang w:eastAsia="zh-CN"/>
        </w:rPr>
        <w:t>；</w:t>
      </w:r>
    </w:p>
    <w:p w14:paraId="69E86B1D">
      <w:pPr>
        <w:spacing w:line="360" w:lineRule="auto"/>
        <w:ind w:firstLine="480" w:firstLineChars="200"/>
        <w:rPr>
          <w:rFonts w:ascii="宋体" w:hAnsi="宋体" w:cs="Calibri"/>
          <w:bCs/>
          <w:strike/>
          <w:color w:val="auto"/>
          <w:sz w:val="24"/>
          <w:szCs w:val="24"/>
          <w:highlight w:val="none"/>
          <w:u w:val="single"/>
        </w:rPr>
      </w:pPr>
      <w:r>
        <w:rPr>
          <w:rFonts w:ascii="宋体" w:hAnsi="宋体" w:cs="Calibri"/>
          <w:bCs/>
          <w:color w:val="auto"/>
          <w:sz w:val="24"/>
          <w:szCs w:val="24"/>
          <w:highlight w:val="none"/>
          <w:u w:val="single"/>
        </w:rPr>
        <w:t>（8）拟委托技术负责人</w:t>
      </w:r>
      <w:r>
        <w:rPr>
          <w:rFonts w:hint="eastAsia" w:ascii="宋体" w:hAnsi="宋体" w:cs="Calibri"/>
          <w:bCs/>
          <w:color w:val="auto"/>
          <w:sz w:val="24"/>
          <w:szCs w:val="24"/>
          <w:highlight w:val="none"/>
          <w:u w:val="single"/>
        </w:rPr>
        <w:t>：</w:t>
      </w:r>
      <w:r>
        <w:rPr>
          <w:rFonts w:hint="eastAsia" w:ascii="宋体" w:hAnsi="宋体"/>
          <w:color w:val="auto"/>
          <w:sz w:val="24"/>
          <w:szCs w:val="24"/>
          <w:highlight w:val="none"/>
          <w:u w:val="single"/>
          <w:lang w:eastAsia="zh-CN"/>
        </w:rPr>
        <w:t>机电类或电气类相关专业工程师或以上技术职称</w:t>
      </w:r>
      <w:r>
        <w:rPr>
          <w:rFonts w:ascii="宋体" w:hAnsi="宋体" w:cs="Calibri"/>
          <w:bCs/>
          <w:color w:val="auto"/>
          <w:sz w:val="24"/>
          <w:szCs w:val="24"/>
          <w:highlight w:val="none"/>
          <w:u w:val="single"/>
        </w:rPr>
        <w:t>的相关证书、资料</w:t>
      </w:r>
      <w:r>
        <w:rPr>
          <w:rFonts w:hint="eastAsia" w:ascii="宋体" w:hAnsi="宋体" w:cs="Calibri"/>
          <w:bCs/>
          <w:color w:val="auto"/>
          <w:sz w:val="24"/>
          <w:szCs w:val="24"/>
          <w:highlight w:val="none"/>
          <w:u w:val="single"/>
        </w:rPr>
        <w:t>扫描件或电子证照</w:t>
      </w:r>
      <w:r>
        <w:rPr>
          <w:rFonts w:hint="eastAsia" w:ascii="宋体" w:hAnsi="宋体" w:cs="Calibri"/>
          <w:bCs/>
          <w:color w:val="auto"/>
          <w:sz w:val="24"/>
          <w:szCs w:val="24"/>
          <w:highlight w:val="none"/>
          <w:u w:val="single"/>
          <w:lang w:eastAsia="zh-CN"/>
        </w:rPr>
        <w:t>；</w:t>
      </w:r>
    </w:p>
    <w:p w14:paraId="33FEA46D">
      <w:pPr>
        <w:numPr>
          <w:ilvl w:val="-1"/>
          <w:numId w:val="0"/>
        </w:numPr>
        <w:spacing w:line="360" w:lineRule="auto"/>
        <w:ind w:firstLine="480" w:firstLineChars="200"/>
        <w:rPr>
          <w:rFonts w:hint="eastAsia" w:ascii="宋体" w:hAnsi="宋体" w:cs="Calibri"/>
          <w:color w:val="auto"/>
          <w:sz w:val="24"/>
          <w:szCs w:val="24"/>
          <w:highlight w:val="none"/>
          <w:u w:val="single"/>
          <w:lang w:val="en-US" w:eastAsia="zh-CN"/>
        </w:rPr>
      </w:pPr>
      <w:r>
        <w:rPr>
          <w:rFonts w:hint="eastAsia" w:ascii="宋体" w:hAnsi="宋体" w:cs="Calibri"/>
          <w:color w:val="auto"/>
          <w:sz w:val="24"/>
          <w:szCs w:val="24"/>
          <w:highlight w:val="none"/>
          <w:u w:val="single"/>
          <w:lang w:val="en-US" w:eastAsia="zh-CN"/>
        </w:rPr>
        <w:t xml:space="preserve">（9）拟委派项目负责人的有效期内的机电工程专业二级或以上建造师注册证书扫描件或电子证书；  </w:t>
      </w:r>
    </w:p>
    <w:p w14:paraId="3B58B16E">
      <w:pPr>
        <w:numPr>
          <w:ilvl w:val="-1"/>
          <w:numId w:val="0"/>
        </w:numPr>
        <w:spacing w:line="360" w:lineRule="auto"/>
        <w:ind w:firstLine="480" w:firstLineChars="200"/>
        <w:rPr>
          <w:rFonts w:hint="eastAsia" w:ascii="宋体" w:hAnsi="宋体" w:cs="Calibri"/>
          <w:color w:val="auto"/>
          <w:sz w:val="24"/>
          <w:szCs w:val="24"/>
          <w:highlight w:val="none"/>
          <w:u w:val="single"/>
          <w:lang w:val="en-US" w:eastAsia="zh-CN"/>
        </w:rPr>
      </w:pPr>
      <w:r>
        <w:rPr>
          <w:rFonts w:hint="eastAsia" w:ascii="宋体" w:hAnsi="宋体" w:cs="Calibri"/>
          <w:color w:val="auto"/>
          <w:sz w:val="24"/>
          <w:szCs w:val="24"/>
          <w:highlight w:val="none"/>
          <w:u w:val="single"/>
          <w:lang w:val="en-US" w:eastAsia="zh-CN"/>
        </w:rPr>
        <w:t>（10）项目负责人在有效期内的安全生产考核合格证书（B类）或建筑施工企业项目负责人安全生产考核合格证书扫描件或电子证书；</w:t>
      </w:r>
    </w:p>
    <w:p w14:paraId="59537A36">
      <w:pPr>
        <w:numPr>
          <w:ilvl w:val="-1"/>
          <w:numId w:val="0"/>
        </w:numPr>
        <w:spacing w:line="360" w:lineRule="auto"/>
        <w:ind w:firstLine="480" w:firstLineChars="200"/>
        <w:rPr>
          <w:rFonts w:hint="eastAsia" w:ascii="宋体" w:hAnsi="宋体" w:eastAsia="宋体" w:cs="Calibri"/>
          <w:color w:val="auto"/>
          <w:sz w:val="24"/>
          <w:szCs w:val="24"/>
          <w:highlight w:val="none"/>
          <w:u w:val="single"/>
          <w:lang w:val="en-US" w:eastAsia="zh-CN"/>
        </w:rPr>
      </w:pPr>
      <w:r>
        <w:rPr>
          <w:rFonts w:hint="eastAsia" w:ascii="宋体" w:hAnsi="宋体" w:cs="Calibri"/>
          <w:color w:val="auto"/>
          <w:sz w:val="24"/>
          <w:szCs w:val="24"/>
          <w:highlight w:val="none"/>
          <w:u w:val="single"/>
          <w:lang w:val="en-US" w:eastAsia="zh-CN"/>
        </w:rPr>
        <w:t>（11）专职安全员须具有在有效期内的安全生产考核合格证书（C类）或建筑施工企业专职安全生产管理人员安全生产考核合格证书（C3类）扫描件或电子证书；</w:t>
      </w:r>
      <w:r>
        <w:rPr>
          <w:rFonts w:hint="eastAsia" w:ascii="宋体" w:hAnsi="宋体" w:eastAsia="宋体" w:cs="宋体"/>
          <w:bCs/>
          <w:color w:val="auto"/>
          <w:sz w:val="24"/>
          <w:szCs w:val="24"/>
          <w:highlight w:val="none"/>
          <w:u w:val="single"/>
        </w:rPr>
        <w:t>，</w:t>
      </w:r>
      <w:r>
        <w:rPr>
          <w:rFonts w:hint="eastAsia" w:ascii="宋体" w:hAnsi="宋体" w:eastAsia="宋体" w:cs="宋体"/>
          <w:b/>
          <w:bCs w:val="0"/>
          <w:color w:val="auto"/>
          <w:sz w:val="24"/>
          <w:szCs w:val="24"/>
          <w:highlight w:val="none"/>
          <w:u w:val="single"/>
        </w:rPr>
        <w:t>项目负责人和专职安全员不为同一人</w:t>
      </w:r>
      <w:r>
        <w:rPr>
          <w:rFonts w:hint="eastAsia" w:ascii="宋体" w:hAnsi="宋体" w:cs="宋体"/>
          <w:b/>
          <w:bCs w:val="0"/>
          <w:color w:val="auto"/>
          <w:sz w:val="24"/>
          <w:szCs w:val="24"/>
          <w:highlight w:val="none"/>
          <w:u w:val="single"/>
          <w:lang w:eastAsia="zh-CN"/>
        </w:rPr>
        <w:t>；</w:t>
      </w:r>
    </w:p>
    <w:p w14:paraId="2BE337FB">
      <w:pPr>
        <w:numPr>
          <w:ilvl w:val="-1"/>
          <w:numId w:val="0"/>
        </w:numPr>
        <w:spacing w:line="360" w:lineRule="auto"/>
        <w:ind w:firstLine="480" w:firstLineChars="200"/>
        <w:rPr>
          <w:rFonts w:hint="eastAsia" w:ascii="宋体" w:hAnsi="宋体" w:cs="Calibri"/>
          <w:color w:val="auto"/>
          <w:sz w:val="24"/>
          <w:szCs w:val="24"/>
          <w:highlight w:val="none"/>
          <w:u w:val="single"/>
        </w:rPr>
      </w:pPr>
      <w:r>
        <w:rPr>
          <w:rFonts w:hint="eastAsia" w:ascii="宋体" w:hAnsi="宋体" w:cs="Calibri"/>
          <w:color w:val="auto"/>
          <w:sz w:val="24"/>
          <w:szCs w:val="24"/>
          <w:highlight w:val="none"/>
          <w:u w:val="single"/>
          <w:lang w:val="en-US" w:eastAsia="zh-CN"/>
        </w:rPr>
        <w:t>(12)资格审查前，投标人须在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Calibri"/>
          <w:color w:val="auto"/>
          <w:sz w:val="24"/>
          <w:szCs w:val="24"/>
          <w:highlight w:val="none"/>
          <w:u w:val="single"/>
          <w:lang w:val="en-US" w:eastAsia="zh-CN"/>
        </w:rPr>
        <w:t>办理信息登记等相关投标登记手续及拟担任本工程项目负责人、专职安全员须是本企业的在册人员且与</w:t>
      </w:r>
      <w:r>
        <w:rPr>
          <w:rFonts w:hint="eastAsia" w:ascii="宋体" w:hAnsi="宋体" w:cs="宋体"/>
          <w:color w:val="auto"/>
          <w:sz w:val="24"/>
          <w:szCs w:val="24"/>
          <w:highlight w:val="none"/>
          <w:u w:val="single"/>
        </w:rPr>
        <w:t>广州交易集团有限公司（广州公共资源交易中心）</w:t>
      </w:r>
      <w:r>
        <w:rPr>
          <w:rFonts w:hint="eastAsia" w:ascii="宋体" w:hAnsi="宋体" w:cs="Calibri"/>
          <w:color w:val="auto"/>
          <w:sz w:val="24"/>
          <w:szCs w:val="24"/>
          <w:highlight w:val="none"/>
          <w:u w:val="single"/>
          <w:lang w:val="en-US" w:eastAsia="zh-CN"/>
        </w:rPr>
        <w:t>办理信息登记一致；</w:t>
      </w:r>
    </w:p>
    <w:p w14:paraId="2FB5D4C2">
      <w:pPr>
        <w:widowControl/>
        <w:spacing w:line="360" w:lineRule="exact"/>
        <w:ind w:firstLine="480" w:firstLineChars="200"/>
        <w:jc w:val="left"/>
        <w:rPr>
          <w:rFonts w:hint="eastAsia" w:ascii="宋体" w:hAnsi="宋体" w:cs="Calibri"/>
          <w:color w:val="auto"/>
          <w:sz w:val="24"/>
          <w:szCs w:val="24"/>
          <w:highlight w:val="none"/>
          <w:u w:val="single"/>
        </w:rPr>
      </w:pPr>
      <w:r>
        <w:rPr>
          <w:rFonts w:hint="eastAsia" w:ascii="宋体" w:hAnsi="宋体" w:cs="Calibri"/>
          <w:color w:val="auto"/>
          <w:sz w:val="24"/>
          <w:szCs w:val="24"/>
          <w:highlight w:val="none"/>
          <w:u w:val="single"/>
          <w:lang w:val="en-US" w:eastAsia="zh-CN"/>
        </w:rPr>
        <w:t>（13）</w:t>
      </w:r>
      <w:r>
        <w:rPr>
          <w:rFonts w:hint="eastAsia" w:ascii="宋体" w:hAnsi="宋体" w:cs="Calibri"/>
          <w:color w:val="auto"/>
          <w:sz w:val="24"/>
          <w:szCs w:val="24"/>
          <w:highlight w:val="none"/>
          <w:u w:val="single"/>
        </w:rPr>
        <w:t>其他投标人认为应该提供的资料</w:t>
      </w:r>
      <w:r>
        <w:rPr>
          <w:rFonts w:hint="eastAsia" w:ascii="宋体" w:hAnsi="宋体" w:cs="Calibri"/>
          <w:color w:val="auto"/>
          <w:sz w:val="24"/>
          <w:szCs w:val="24"/>
          <w:highlight w:val="none"/>
          <w:u w:val="single"/>
          <w:lang w:eastAsia="zh-CN"/>
        </w:rPr>
        <w:t>（如有）</w:t>
      </w:r>
      <w:r>
        <w:rPr>
          <w:rFonts w:hint="eastAsia" w:ascii="宋体" w:hAnsi="宋体" w:cs="Calibri"/>
          <w:color w:val="auto"/>
          <w:sz w:val="24"/>
          <w:szCs w:val="24"/>
          <w:highlight w:val="none"/>
          <w:u w:val="single"/>
        </w:rPr>
        <w:t>。</w:t>
      </w:r>
    </w:p>
    <w:p w14:paraId="11217B86">
      <w:pPr>
        <w:pStyle w:val="5"/>
        <w:spacing w:line="360" w:lineRule="auto"/>
        <w:ind w:firstLine="442" w:firstLineChars="200"/>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注：1.相关电子证书按规定需打印后手写本人签名的，应按照规定手写本人签名后再扫描提交。</w:t>
      </w:r>
    </w:p>
    <w:p w14:paraId="45BC141F">
      <w:pPr>
        <w:pStyle w:val="5"/>
        <w:spacing w:line="360" w:lineRule="auto"/>
        <w:ind w:firstLine="442" w:firstLineChars="200"/>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2.投标人在投标登记时选择了拟投入本项目的项目负责人、专职安全员，即已满足“资格审查前，投标人须在广州交易集团有限公司（广州公共资源交易中心）办理信息登记，拟担任本工程项目负责人、专职安全员须是本企业</w:t>
      </w:r>
      <w:r>
        <w:rPr>
          <w:rFonts w:hint="eastAsia" w:ascii="宋体" w:hAnsi="宋体" w:eastAsia="宋体" w:cs="宋体"/>
          <w:b/>
          <w:bCs/>
          <w:color w:val="auto"/>
          <w:kern w:val="0"/>
          <w:sz w:val="22"/>
          <w:highlight w:val="none"/>
          <w:lang w:eastAsia="zh-CN"/>
        </w:rPr>
        <w:t>信息登记</w:t>
      </w:r>
      <w:r>
        <w:rPr>
          <w:rFonts w:hint="eastAsia" w:ascii="宋体" w:hAnsi="宋体" w:eastAsia="宋体" w:cs="宋体"/>
          <w:b/>
          <w:bCs/>
          <w:color w:val="auto"/>
          <w:kern w:val="0"/>
          <w:sz w:val="22"/>
          <w:highlight w:val="none"/>
        </w:rPr>
        <w:t>中的在册人员”的要求</w:t>
      </w:r>
      <w:r>
        <w:rPr>
          <w:rFonts w:hint="eastAsia" w:ascii="宋体" w:hAnsi="宋体" w:eastAsia="宋体" w:cs="宋体"/>
          <w:b/>
          <w:bCs/>
          <w:color w:val="auto"/>
          <w:kern w:val="0"/>
          <w:sz w:val="22"/>
          <w:highlight w:val="none"/>
          <w:lang w:eastAsia="zh-CN"/>
        </w:rPr>
        <w:t>。</w:t>
      </w:r>
    </w:p>
    <w:p w14:paraId="4500F71C">
      <w:pPr>
        <w:numPr>
          <w:ilvl w:val="-1"/>
          <w:numId w:val="0"/>
        </w:numPr>
        <w:spacing w:line="360" w:lineRule="auto"/>
        <w:ind w:firstLine="480" w:firstLineChars="200"/>
        <w:rPr>
          <w:rFonts w:ascii="宋体"/>
          <w:color w:val="auto"/>
          <w:sz w:val="24"/>
          <w:szCs w:val="24"/>
          <w:highlight w:val="none"/>
        </w:rPr>
      </w:pPr>
      <w:r>
        <w:rPr>
          <w:rFonts w:ascii="宋体" w:hAnsi="宋体"/>
          <w:color w:val="auto"/>
          <w:sz w:val="24"/>
          <w:szCs w:val="24"/>
          <w:highlight w:val="none"/>
        </w:rPr>
        <w:t>11.2.3</w:t>
      </w:r>
      <w:r>
        <w:rPr>
          <w:rFonts w:hint="eastAsia" w:ascii="宋体" w:hAnsi="宋体"/>
          <w:color w:val="auto"/>
          <w:sz w:val="24"/>
          <w:szCs w:val="24"/>
          <w:highlight w:val="none"/>
        </w:rPr>
        <w:t>项目管理机构配备。</w:t>
      </w:r>
    </w:p>
    <w:p w14:paraId="45197814">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（1）本工程的施工组织机构图；</w:t>
      </w:r>
    </w:p>
    <w:p w14:paraId="354B14F8">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（2）施工组织机构主要成员的名单及有关证明材料扫描件；</w:t>
      </w:r>
    </w:p>
    <w:p w14:paraId="2D70D9D9">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w:t>
      </w:r>
      <w:r>
        <w:rPr>
          <w:rFonts w:ascii="宋体" w:hAnsi="宋体"/>
          <w:color w:val="auto"/>
          <w:sz w:val="24"/>
          <w:szCs w:val="24"/>
          <w:highlight w:val="none"/>
          <w:u w:val="single"/>
        </w:rPr>
        <w:t>1.2.4企业资信相关证明文件</w:t>
      </w:r>
      <w:r>
        <w:rPr>
          <w:rFonts w:hint="eastAsia" w:ascii="宋体" w:hAnsi="宋体"/>
          <w:color w:val="auto"/>
          <w:sz w:val="24"/>
          <w:szCs w:val="24"/>
          <w:highlight w:val="none"/>
          <w:u w:val="single"/>
        </w:rPr>
        <w:t>；</w:t>
      </w:r>
    </w:p>
    <w:p w14:paraId="6640AD8E">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11.2.</w:t>
      </w:r>
      <w:r>
        <w:rPr>
          <w:rFonts w:ascii="宋体" w:hAnsi="宋体"/>
          <w:color w:val="auto"/>
          <w:sz w:val="24"/>
          <w:szCs w:val="24"/>
          <w:highlight w:val="none"/>
          <w:u w:val="single"/>
        </w:rPr>
        <w:t>5</w:t>
      </w:r>
      <w:r>
        <w:rPr>
          <w:rFonts w:hint="eastAsia" w:ascii="宋体" w:hAnsi="宋体"/>
          <w:color w:val="auto"/>
          <w:sz w:val="24"/>
          <w:szCs w:val="24"/>
          <w:highlight w:val="none"/>
          <w:u w:val="single"/>
        </w:rPr>
        <w:t>《投标函》（格式见第四章）；</w:t>
      </w:r>
    </w:p>
    <w:p w14:paraId="62AF715A">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11.2.</w:t>
      </w:r>
      <w:r>
        <w:rPr>
          <w:rFonts w:ascii="宋体" w:hAnsi="宋体"/>
          <w:color w:val="auto"/>
          <w:sz w:val="24"/>
          <w:szCs w:val="24"/>
          <w:highlight w:val="none"/>
          <w:u w:val="single"/>
        </w:rPr>
        <w:t>6</w:t>
      </w:r>
      <w:r>
        <w:rPr>
          <w:rFonts w:hint="eastAsia" w:ascii="宋体" w:hAnsi="宋体"/>
          <w:color w:val="auto"/>
          <w:sz w:val="24"/>
          <w:szCs w:val="24"/>
          <w:highlight w:val="none"/>
          <w:u w:val="single"/>
        </w:rPr>
        <w:t>《响应招标文件所附施工组织设计要点的承诺书》（格式见第四章）；</w:t>
      </w:r>
    </w:p>
    <w:p w14:paraId="44B50F14">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11.2.</w:t>
      </w:r>
      <w:r>
        <w:rPr>
          <w:rFonts w:ascii="宋体" w:hAnsi="宋体"/>
          <w:color w:val="auto"/>
          <w:sz w:val="24"/>
          <w:szCs w:val="24"/>
          <w:highlight w:val="none"/>
          <w:u w:val="single"/>
        </w:rPr>
        <w:t>7</w:t>
      </w:r>
      <w:r>
        <w:rPr>
          <w:rFonts w:hint="eastAsia" w:ascii="宋体" w:hAnsi="宋体"/>
          <w:color w:val="auto"/>
          <w:sz w:val="24"/>
          <w:szCs w:val="24"/>
          <w:highlight w:val="none"/>
          <w:u w:val="single"/>
        </w:rPr>
        <w:t>《技术承诺函》（格式见第四章）；</w:t>
      </w:r>
    </w:p>
    <w:p w14:paraId="1C47F8F6">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11.2.</w:t>
      </w:r>
      <w:r>
        <w:rPr>
          <w:rFonts w:ascii="宋体" w:hAnsi="宋体"/>
          <w:color w:val="auto"/>
          <w:sz w:val="24"/>
          <w:szCs w:val="24"/>
          <w:highlight w:val="none"/>
          <w:u w:val="single"/>
        </w:rPr>
        <w:t>8</w:t>
      </w:r>
      <w:r>
        <w:rPr>
          <w:rFonts w:hint="eastAsia" w:ascii="宋体" w:hAnsi="宋体"/>
          <w:color w:val="auto"/>
          <w:sz w:val="24"/>
          <w:szCs w:val="24"/>
          <w:highlight w:val="none"/>
          <w:u w:val="single"/>
        </w:rPr>
        <w:t>《施工项目管理团队人员信息表》（格式见第四章）；</w:t>
      </w:r>
    </w:p>
    <w:p w14:paraId="1251CF0B">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11.2.</w:t>
      </w:r>
      <w:r>
        <w:rPr>
          <w:rFonts w:ascii="宋体" w:hAnsi="宋体"/>
          <w:color w:val="auto"/>
          <w:sz w:val="24"/>
          <w:szCs w:val="24"/>
          <w:highlight w:val="none"/>
          <w:u w:val="single"/>
        </w:rPr>
        <w:t>9</w:t>
      </w:r>
      <w:r>
        <w:rPr>
          <w:rFonts w:hint="eastAsia" w:ascii="宋体" w:hAnsi="宋体"/>
          <w:color w:val="auto"/>
          <w:sz w:val="24"/>
          <w:szCs w:val="24"/>
          <w:highlight w:val="none"/>
          <w:u w:val="single"/>
        </w:rPr>
        <w:t>《对投标文件编制的承诺》（格式见第四章）；</w:t>
      </w:r>
    </w:p>
    <w:p w14:paraId="0D857436">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11.2.</w:t>
      </w:r>
      <w:r>
        <w:rPr>
          <w:rFonts w:ascii="宋体" w:hAnsi="宋体"/>
          <w:color w:val="auto"/>
          <w:sz w:val="24"/>
          <w:szCs w:val="24"/>
          <w:highlight w:val="none"/>
          <w:u w:val="single"/>
        </w:rPr>
        <w:t>10</w:t>
      </w:r>
      <w:r>
        <w:rPr>
          <w:rFonts w:hint="eastAsia" w:ascii="宋体" w:hAnsi="宋体"/>
          <w:color w:val="auto"/>
          <w:sz w:val="24"/>
          <w:szCs w:val="24"/>
          <w:highlight w:val="none"/>
          <w:u w:val="single"/>
        </w:rPr>
        <w:t xml:space="preserve"> 《投标人基本资料》（格式见第四章，不作为废标条款）；</w:t>
      </w:r>
    </w:p>
    <w:p w14:paraId="2B1E7276">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11.2.</w:t>
      </w:r>
      <w:r>
        <w:rPr>
          <w:rFonts w:ascii="宋体" w:hAnsi="宋体"/>
          <w:color w:val="auto"/>
          <w:sz w:val="24"/>
          <w:szCs w:val="24"/>
          <w:highlight w:val="none"/>
          <w:u w:val="single"/>
        </w:rPr>
        <w:t>1</w:t>
      </w:r>
      <w:r>
        <w:rPr>
          <w:rFonts w:hint="eastAsia" w:ascii="宋体" w:hAnsi="宋体"/>
          <w:color w:val="auto"/>
          <w:sz w:val="24"/>
          <w:szCs w:val="24"/>
          <w:highlight w:val="none"/>
          <w:u w:val="single"/>
        </w:rPr>
        <w:t>1 按照招标文件要求填写的《参与编制技术标投标文件人员名单》。</w:t>
      </w:r>
    </w:p>
    <w:p w14:paraId="2360DD99">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11.2.12 《危险性较大的分部分项工程清单及超过一定规模的危险性较大的分部分项工程清单》（格式见第四章）；</w:t>
      </w:r>
    </w:p>
    <w:p w14:paraId="14B5D075">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11.2.13《关于投标保证金的承诺》</w:t>
      </w:r>
    </w:p>
    <w:p w14:paraId="192BE272">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lang w:val="en-US" w:eastAsia="zh-CN"/>
        </w:rPr>
        <w:t>11.2.14</w:t>
      </w:r>
      <w:r>
        <w:rPr>
          <w:rFonts w:hint="eastAsia" w:ascii="宋体" w:hAnsi="宋体"/>
          <w:color w:val="auto"/>
          <w:sz w:val="24"/>
          <w:szCs w:val="24"/>
          <w:highlight w:val="none"/>
          <w:u w:val="single"/>
        </w:rPr>
        <w:t>其他投标人认为应该提供的资料</w:t>
      </w:r>
      <w:r>
        <w:rPr>
          <w:rFonts w:hint="eastAsia" w:ascii="宋体" w:hAnsi="宋体"/>
          <w:color w:val="auto"/>
          <w:sz w:val="24"/>
          <w:szCs w:val="24"/>
          <w:highlight w:val="none"/>
          <w:u w:val="single"/>
          <w:lang w:eastAsia="zh-CN"/>
        </w:rPr>
        <w:t>（如有）</w:t>
      </w:r>
      <w:r>
        <w:rPr>
          <w:rFonts w:hint="eastAsia" w:ascii="宋体" w:hAnsi="宋体"/>
          <w:color w:val="auto"/>
          <w:sz w:val="24"/>
          <w:szCs w:val="24"/>
          <w:highlight w:val="none"/>
          <w:u w:val="single"/>
        </w:rPr>
        <w:t>。</w:t>
      </w:r>
    </w:p>
    <w:p w14:paraId="6CF161A2">
      <w:pPr>
        <w:spacing w:line="360" w:lineRule="auto"/>
        <w:ind w:firstLine="480" w:firstLineChars="200"/>
        <w:rPr>
          <w:rFonts w:ascii="宋体"/>
          <w:bCs/>
          <w:color w:val="auto"/>
          <w:sz w:val="24"/>
          <w:szCs w:val="24"/>
          <w:highlight w:val="none"/>
        </w:rPr>
      </w:pPr>
      <w:r>
        <w:rPr>
          <w:rFonts w:ascii="宋体" w:hAnsi="宋体"/>
          <w:bCs/>
          <w:color w:val="auto"/>
          <w:sz w:val="24"/>
          <w:szCs w:val="24"/>
          <w:highlight w:val="none"/>
        </w:rPr>
        <w:t xml:space="preserve">11.3 </w:t>
      </w:r>
      <w:r>
        <w:rPr>
          <w:rFonts w:hint="eastAsia" w:ascii="宋体" w:hAnsi="宋体"/>
          <w:bCs/>
          <w:color w:val="auto"/>
          <w:sz w:val="24"/>
          <w:szCs w:val="24"/>
          <w:highlight w:val="none"/>
        </w:rPr>
        <w:t>经济部分投标文件主要包括下列内容：</w:t>
      </w:r>
    </w:p>
    <w:p w14:paraId="04A17DD1">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 xml:space="preserve">11.3.1 </w:t>
      </w:r>
      <w:r>
        <w:rPr>
          <w:rFonts w:hint="eastAsia" w:ascii="宋体" w:hAnsi="宋体"/>
          <w:color w:val="auto"/>
          <w:sz w:val="24"/>
          <w:szCs w:val="24"/>
          <w:highlight w:val="none"/>
        </w:rPr>
        <w:t>经济投标文件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hAnsi="宋体"/>
          <w:color w:val="auto"/>
          <w:sz w:val="24"/>
          <w:szCs w:val="24"/>
          <w:highlight w:val="none"/>
        </w:rPr>
        <w:t>。</w:t>
      </w:r>
    </w:p>
    <w:p w14:paraId="1F046EAC">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11.3.2</w:t>
      </w:r>
      <w:r>
        <w:rPr>
          <w:rFonts w:hint="eastAsia" w:ascii="宋体" w:hAnsi="宋体"/>
          <w:color w:val="auto"/>
          <w:sz w:val="24"/>
          <w:szCs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u w:val="single"/>
        </w:rPr>
        <w:t>（投标报价的工程量清单的组成、格式等按广州公共资源交易中心的投标文件管理软件自动生成）</w:t>
      </w:r>
      <w:r>
        <w:rPr>
          <w:rFonts w:hint="eastAsia" w:ascii="宋体" w:hAnsi="宋体"/>
          <w:color w:val="auto"/>
          <w:sz w:val="24"/>
          <w:szCs w:val="24"/>
          <w:highlight w:val="none"/>
        </w:rPr>
        <w:t>。</w:t>
      </w:r>
    </w:p>
    <w:p w14:paraId="519E2544">
      <w:pPr>
        <w:tabs>
          <w:tab w:val="left" w:pos="1125"/>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11.3.</w:t>
      </w:r>
      <w:r>
        <w:rPr>
          <w:rFonts w:hint="eastAsia" w:ascii="宋体" w:hAnsi="宋体"/>
          <w:color w:val="auto"/>
          <w:sz w:val="24"/>
          <w:szCs w:val="24"/>
          <w:highlight w:val="none"/>
        </w:rPr>
        <w:t>3按照</w:t>
      </w:r>
      <w:r>
        <w:rPr>
          <w:rFonts w:hint="eastAsia" w:ascii="宋体" w:hAnsi="宋体"/>
          <w:bCs/>
          <w:color w:val="auto"/>
          <w:sz w:val="24"/>
          <w:szCs w:val="24"/>
          <w:highlight w:val="none"/>
        </w:rPr>
        <w:t>招标文件要求</w:t>
      </w:r>
      <w:r>
        <w:rPr>
          <w:rFonts w:hint="eastAsia" w:ascii="宋体" w:hAnsi="宋体"/>
          <w:color w:val="auto"/>
          <w:sz w:val="24"/>
          <w:szCs w:val="24"/>
          <w:highlight w:val="none"/>
        </w:rPr>
        <w:t>填写的《参与编制经济标投标文件人员名单》。</w:t>
      </w:r>
    </w:p>
    <w:p w14:paraId="4B1ED53D">
      <w:pPr>
        <w:tabs>
          <w:tab w:val="left" w:pos="1125"/>
        </w:tabs>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11.3.4 《对投标文件编制的承诺》。</w:t>
      </w:r>
    </w:p>
    <w:p w14:paraId="16411CD2">
      <w:pPr>
        <w:tabs>
          <w:tab w:val="left" w:pos="1125"/>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11.3.5 若投标人的投标报价低于工程成本警戒价的，投标人还须提供详细的施工组织设计、单价、措施性费用、单价分析表、主要材料价格表、投标人成本分析供评标委员会评审。</w:t>
      </w:r>
    </w:p>
    <w:p w14:paraId="7DBD124D">
      <w:pPr>
        <w:spacing w:line="360" w:lineRule="auto"/>
        <w:ind w:firstLine="600" w:firstLineChars="250"/>
        <w:rPr>
          <w:rFonts w:ascii="宋体" w:hAnsi="宋体"/>
          <w:bCs/>
          <w:color w:val="auto"/>
          <w:sz w:val="24"/>
          <w:szCs w:val="24"/>
          <w:highlight w:val="none"/>
          <w:u w:val="single"/>
        </w:rPr>
      </w:pPr>
      <w:r>
        <w:rPr>
          <w:rFonts w:hint="eastAsia" w:ascii="宋体" w:hAnsi="宋体"/>
          <w:bCs/>
          <w:color w:val="auto"/>
          <w:sz w:val="24"/>
          <w:szCs w:val="24"/>
          <w:highlight w:val="none"/>
          <w:u w:val="single"/>
        </w:rPr>
        <w:t>11.3.</w:t>
      </w:r>
      <w:r>
        <w:rPr>
          <w:rFonts w:ascii="宋体" w:hAnsi="宋体"/>
          <w:bCs/>
          <w:color w:val="auto"/>
          <w:sz w:val="24"/>
          <w:szCs w:val="24"/>
          <w:highlight w:val="none"/>
          <w:u w:val="single"/>
        </w:rPr>
        <w:t>6</w:t>
      </w:r>
      <w:r>
        <w:rPr>
          <w:rFonts w:hint="eastAsia" w:ascii="宋体" w:hAnsi="宋体"/>
          <w:bCs/>
          <w:color w:val="auto"/>
          <w:sz w:val="24"/>
          <w:szCs w:val="24"/>
          <w:highlight w:val="none"/>
          <w:u w:val="single"/>
        </w:rPr>
        <w:t>投标人应认真核对图纸并复核清单的工程量及项目，如发现工程量清单与图纸内容不符，应在招标疑问收集期间提出质疑，并向招标人提出修正意见。承包人在招标疑问收集期间未对工程量清单提出质疑，即视为承包人对本项目清单中</w:t>
      </w:r>
      <w:r>
        <w:rPr>
          <w:rFonts w:hint="eastAsia" w:ascii="宋体" w:hAnsi="宋体"/>
          <w:bCs/>
          <w:color w:val="auto"/>
          <w:sz w:val="24"/>
          <w:szCs w:val="24"/>
          <w:highlight w:val="none"/>
          <w:u w:val="single"/>
          <w:lang w:val="en-US" w:eastAsia="zh-CN"/>
        </w:rPr>
        <w:t>各</w:t>
      </w:r>
      <w:r>
        <w:rPr>
          <w:rFonts w:hint="eastAsia" w:ascii="宋体" w:hAnsi="宋体"/>
          <w:bCs/>
          <w:color w:val="auto"/>
          <w:sz w:val="24"/>
          <w:szCs w:val="24"/>
          <w:highlight w:val="none"/>
          <w:u w:val="single"/>
        </w:rPr>
        <w:t>单一子项工程量的认可。</w:t>
      </w:r>
    </w:p>
    <w:p w14:paraId="3E363AAB">
      <w:pPr>
        <w:pStyle w:val="5"/>
        <w:spacing w:line="360" w:lineRule="auto"/>
        <w:ind w:firstLine="420"/>
        <w:rPr>
          <w:rFonts w:ascii="宋体" w:hAnsi="宋体"/>
          <w:bCs/>
          <w:color w:val="auto"/>
          <w:sz w:val="24"/>
          <w:szCs w:val="24"/>
          <w:highlight w:val="none"/>
          <w:u w:val="single"/>
        </w:rPr>
      </w:pPr>
      <w:r>
        <w:rPr>
          <w:rFonts w:hint="eastAsia" w:ascii="宋体" w:hAnsi="宋体"/>
          <w:bCs/>
          <w:color w:val="auto"/>
          <w:sz w:val="24"/>
          <w:szCs w:val="24"/>
          <w:highlight w:val="none"/>
          <w:u w:val="single"/>
        </w:rPr>
        <w:t>11.4 定标部分投标文件主要包括下列内容：</w:t>
      </w:r>
    </w:p>
    <w:p w14:paraId="2EFD4FC5">
      <w:pPr>
        <w:pStyle w:val="5"/>
        <w:spacing w:line="360" w:lineRule="auto"/>
        <w:ind w:firstLine="42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lang w:eastAsia="zh-CN"/>
        </w:rPr>
        <w:t>投标人按</w:t>
      </w:r>
      <w:r>
        <w:rPr>
          <w:rFonts w:hint="eastAsia" w:ascii="宋体" w:hAnsi="宋体"/>
          <w:bCs/>
          <w:color w:val="auto"/>
          <w:sz w:val="24"/>
          <w:szCs w:val="24"/>
          <w:highlight w:val="none"/>
          <w:u w:val="single"/>
        </w:rPr>
        <w:t>《定标因素表》（详见第二章附表七）评审内容</w:t>
      </w:r>
      <w:r>
        <w:rPr>
          <w:rFonts w:hint="eastAsia" w:ascii="宋体" w:hAnsi="宋体"/>
          <w:bCs/>
          <w:color w:val="auto"/>
          <w:sz w:val="24"/>
          <w:szCs w:val="24"/>
          <w:highlight w:val="none"/>
          <w:u w:val="single"/>
          <w:lang w:eastAsia="zh-CN"/>
        </w:rPr>
        <w:t>提</w:t>
      </w:r>
      <w:r>
        <w:rPr>
          <w:rFonts w:hint="eastAsia" w:ascii="宋体" w:hAnsi="宋体"/>
          <w:bCs/>
          <w:strike w:val="0"/>
          <w:color w:val="auto"/>
          <w:sz w:val="24"/>
          <w:szCs w:val="24"/>
          <w:highlight w:val="none"/>
          <w:u w:val="single"/>
          <w:lang w:eastAsia="zh-CN"/>
        </w:rPr>
        <w:t>供</w:t>
      </w:r>
      <w:r>
        <w:rPr>
          <w:rFonts w:hint="eastAsia" w:ascii="宋体" w:hAnsi="宋体"/>
          <w:bCs/>
          <w:color w:val="auto"/>
          <w:sz w:val="24"/>
          <w:szCs w:val="24"/>
          <w:highlight w:val="none"/>
          <w:u w:val="single"/>
          <w:lang w:eastAsia="zh-CN"/>
        </w:rPr>
        <w:t>书面陈述，可附上包括但不限于企业业绩、信誉以及项目管理机构能力等相关的证明文件及以下证明文件：</w:t>
      </w:r>
    </w:p>
    <w:p w14:paraId="0F0A1A75">
      <w:pPr>
        <w:pStyle w:val="5"/>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（1）</w:t>
      </w:r>
      <w:r>
        <w:rPr>
          <w:rFonts w:hint="eastAsia" w:ascii="宋体" w:hAnsi="宋体"/>
          <w:bCs/>
          <w:color w:val="auto"/>
          <w:sz w:val="24"/>
          <w:szCs w:val="24"/>
          <w:highlight w:val="none"/>
          <w:u w:val="single"/>
          <w:lang w:eastAsia="zh-CN"/>
        </w:rPr>
        <w:t>投标</w:t>
      </w:r>
      <w:r>
        <w:rPr>
          <w:rFonts w:hint="eastAsia" w:ascii="宋体" w:hAnsi="宋体"/>
          <w:bCs/>
          <w:color w:val="auto"/>
          <w:sz w:val="24"/>
          <w:szCs w:val="24"/>
          <w:highlight w:val="none"/>
          <w:u w:val="single"/>
        </w:rPr>
        <w:t>人施工履约能力与水平评价的证明文件；</w:t>
      </w:r>
    </w:p>
    <w:p w14:paraId="0CCD2B96">
      <w:pPr>
        <w:pStyle w:val="5"/>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（2）对工程服务保障能力评价的证明文件；</w:t>
      </w:r>
    </w:p>
    <w:p w14:paraId="40728A1C">
      <w:pPr>
        <w:spacing w:line="360" w:lineRule="auto"/>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u w:val="single"/>
        </w:rPr>
        <w:t>（3）企业施工能力的证明文件</w:t>
      </w:r>
      <w:r>
        <w:rPr>
          <w:rFonts w:hint="eastAsia" w:ascii="宋体" w:hAnsi="宋体"/>
          <w:bCs/>
          <w:color w:val="auto"/>
          <w:sz w:val="24"/>
          <w:szCs w:val="24"/>
          <w:highlight w:val="none"/>
          <w:u w:val="single"/>
          <w:lang w:eastAsia="zh-CN"/>
        </w:rPr>
        <w:t>；</w:t>
      </w:r>
    </w:p>
    <w:p w14:paraId="423DF2A4">
      <w:pPr>
        <w:spacing w:line="360" w:lineRule="auto"/>
        <w:ind w:firstLine="480" w:firstLineChars="200"/>
        <w:rPr>
          <w:color w:val="auto"/>
          <w:highlight w:val="none"/>
        </w:rPr>
      </w:pP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lang w:val="en-US" w:eastAsia="zh-CN"/>
        </w:rPr>
        <w:t>4</w:t>
      </w: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rPr>
        <w:t>其他投标人认为应该提供的资料</w:t>
      </w:r>
      <w:r>
        <w:rPr>
          <w:rFonts w:hint="eastAsia" w:ascii="宋体" w:hAnsi="宋体"/>
          <w:bCs/>
          <w:color w:val="auto"/>
          <w:sz w:val="24"/>
          <w:szCs w:val="24"/>
          <w:highlight w:val="none"/>
          <w:u w:val="single"/>
          <w:lang w:eastAsia="zh-CN"/>
        </w:rPr>
        <w:t>（如有）</w:t>
      </w:r>
      <w:r>
        <w:rPr>
          <w:rFonts w:hint="eastAsia" w:ascii="宋体" w:hAnsi="宋体"/>
          <w:bCs/>
          <w:color w:val="auto"/>
          <w:sz w:val="24"/>
          <w:szCs w:val="24"/>
          <w:highlight w:val="none"/>
          <w:u w:val="single"/>
        </w:rPr>
        <w:t>。</w:t>
      </w:r>
    </w:p>
    <w:p w14:paraId="6A966FB3">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057AE814">
      <w:pPr>
        <w:pStyle w:val="4"/>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3E7EC9CD">
      <w:pPr>
        <w:pStyle w:val="4"/>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12.2 投标文件全部采用电子文档，投标文件所附证书证件均为</w:t>
      </w:r>
      <w:r>
        <w:rPr>
          <w:rFonts w:hint="eastAsia" w:ascii="宋体" w:hAnsi="宋体"/>
          <w:color w:val="auto"/>
          <w:sz w:val="24"/>
          <w:szCs w:val="24"/>
          <w:highlight w:val="none"/>
          <w:lang w:eastAsia="zh-CN"/>
        </w:rPr>
        <w:t>清晰</w:t>
      </w:r>
      <w:r>
        <w:rPr>
          <w:rFonts w:hint="eastAsia" w:ascii="宋体" w:hAnsi="宋体"/>
          <w:color w:val="auto"/>
          <w:sz w:val="24"/>
          <w:szCs w:val="24"/>
          <w:highlight w:val="none"/>
        </w:rPr>
        <w:t>扫描件，并采用单位数字证书，</w:t>
      </w:r>
      <w:r>
        <w:rPr>
          <w:rFonts w:hint="eastAsia" w:ascii="宋体" w:hAnsi="宋体"/>
          <w:color w:val="auto"/>
          <w:sz w:val="24"/>
          <w:szCs w:val="24"/>
          <w:highlight w:val="none"/>
          <w:lang w:eastAsia="zh-CN"/>
        </w:rPr>
        <w:t>对投标文件</w:t>
      </w:r>
      <w:r>
        <w:rPr>
          <w:rFonts w:hint="eastAsia" w:ascii="宋体" w:hAnsi="宋体"/>
          <w:color w:val="auto"/>
          <w:sz w:val="24"/>
          <w:szCs w:val="24"/>
          <w:highlight w:val="none"/>
        </w:rPr>
        <w:t>加盖电子印章。投标文件中需个人签字或盖章的，应加盖个人电子印章或在线下完成后扫描上传。</w:t>
      </w:r>
      <w:r>
        <w:rPr>
          <w:rFonts w:hint="eastAsia" w:ascii="宋体" w:hAnsi="宋体"/>
          <w:color w:val="auto"/>
          <w:sz w:val="24"/>
          <w:szCs w:val="24"/>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 w:val="24"/>
          <w:szCs w:val="24"/>
          <w:highlight w:val="none"/>
        </w:rPr>
        <w:t>按照</w:t>
      </w:r>
      <w:r>
        <w:rPr>
          <w:rFonts w:hint="eastAsia" w:ascii="宋体" w:hAnsi="宋体" w:cs="宋体"/>
          <w:bCs/>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交易平台关于全流程电子化项目的相关指南进行操作。详见：</w:t>
      </w:r>
      <w:r>
        <w:rPr>
          <w:rFonts w:hint="eastAsia" w:ascii="宋体" w:hAnsi="宋体" w:cs="宋体"/>
          <w:bCs/>
          <w:color w:val="auto"/>
          <w:sz w:val="24"/>
          <w:szCs w:val="24"/>
          <w:highlight w:val="none"/>
          <w:u w:val="single"/>
        </w:rPr>
        <w:t>广州交易集团有限公司（广州公共资源交易中心）网站最新指引</w:t>
      </w:r>
      <w:r>
        <w:rPr>
          <w:rFonts w:hint="eastAsia" w:ascii="宋体" w:hAnsi="宋体"/>
          <w:color w:val="auto"/>
          <w:sz w:val="24"/>
          <w:szCs w:val="24"/>
          <w:highlight w:val="none"/>
        </w:rPr>
        <w:t>。</w:t>
      </w:r>
    </w:p>
    <w:p w14:paraId="4426CE3E">
      <w:pPr>
        <w:pStyle w:val="4"/>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注：投标文件电子文档需要投标人单位盖章的材料，投标人加盖电子印章即可，不得将投标人未对电子文档加盖实物印章作为否决投标的情形。</w:t>
      </w:r>
    </w:p>
    <w:p w14:paraId="13341C35">
      <w:pPr>
        <w:pStyle w:val="4"/>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szCs w:val="24"/>
          <w:highlight w:val="none"/>
        </w:rPr>
        <w:t>照</w:t>
      </w:r>
      <w:r>
        <w:rPr>
          <w:rFonts w:hint="eastAsia" w:ascii="宋体" w:hAnsi="宋体" w:cs="宋体"/>
          <w:bCs/>
          <w:color w:val="auto"/>
          <w:sz w:val="24"/>
          <w:szCs w:val="24"/>
          <w:highlight w:val="none"/>
          <w:u w:val="single"/>
        </w:rPr>
        <w:t>广州交易集团有限公司（广州公共资源交易中心）网站最新指引</w:t>
      </w:r>
      <w:r>
        <w:rPr>
          <w:rFonts w:hint="eastAsia" w:ascii="宋体" w:hAnsi="宋体"/>
          <w:color w:val="auto"/>
          <w:sz w:val="24"/>
          <w:szCs w:val="24"/>
          <w:highlight w:val="none"/>
        </w:rPr>
        <w:t>交易平台关于全流程电子化项目的相关指南进行编制，详见：</w:t>
      </w:r>
      <w:r>
        <w:rPr>
          <w:rFonts w:hint="eastAsia" w:ascii="宋体" w:hAnsi="宋体" w:cs="宋体"/>
          <w:bCs/>
          <w:color w:val="auto"/>
          <w:sz w:val="24"/>
          <w:szCs w:val="24"/>
          <w:highlight w:val="none"/>
          <w:u w:val="single"/>
        </w:rPr>
        <w:t>广州交易集团有限公司（广州公共资源交易中心）网站最新指引</w:t>
      </w:r>
      <w:r>
        <w:rPr>
          <w:rFonts w:hint="eastAsia" w:ascii="宋体" w:hAnsi="宋体"/>
          <w:color w:val="auto"/>
          <w:sz w:val="24"/>
          <w:szCs w:val="24"/>
          <w:highlight w:val="none"/>
        </w:rPr>
        <w:t xml:space="preserve">。               </w:t>
      </w:r>
    </w:p>
    <w:p w14:paraId="0F1DCD42">
      <w:pPr>
        <w:pStyle w:val="4"/>
        <w:spacing w:line="360" w:lineRule="auto"/>
        <w:ind w:firstLine="480" w:firstLineChars="200"/>
        <w:rPr>
          <w:rFonts w:hint="eastAsia" w:ascii="宋体" w:hAnsi="宋体"/>
          <w:bCs/>
          <w:color w:val="auto"/>
          <w:sz w:val="21"/>
          <w:szCs w:val="21"/>
          <w:highlight w:val="none"/>
        </w:rPr>
      </w:pPr>
      <w:r>
        <w:rPr>
          <w:rFonts w:hint="eastAsia" w:ascii="宋体" w:hAnsi="宋体"/>
          <w:bCs/>
          <w:color w:val="auto"/>
          <w:sz w:val="24"/>
          <w:szCs w:val="24"/>
          <w:highlight w:val="none"/>
        </w:rPr>
        <w:t>如不按上述要求编制引起系统无法检索、读取相关信息的，其后果由投标人承担</w:t>
      </w:r>
      <w:r>
        <w:rPr>
          <w:rFonts w:hint="eastAsia" w:ascii="宋体" w:hAnsi="宋体"/>
          <w:bCs/>
          <w:color w:val="auto"/>
          <w:sz w:val="21"/>
          <w:szCs w:val="21"/>
          <w:highlight w:val="none"/>
        </w:rPr>
        <w:t>。</w:t>
      </w:r>
    </w:p>
    <w:p w14:paraId="6C2686D1">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r>
        <w:rPr>
          <w:rFonts w:hint="eastAsia" w:ascii="宋体" w:hAnsi="宋体" w:eastAsia="宋体" w:cs="宋体"/>
          <w:b/>
          <w:bCs/>
          <w:color w:val="auto"/>
          <w:sz w:val="24"/>
          <w:szCs w:val="24"/>
          <w:highlight w:val="none"/>
          <w:u w:val="single"/>
        </w:rPr>
        <w:t>（本条如与合同条款有矛盾，按合同条款执行）</w:t>
      </w:r>
    </w:p>
    <w:p w14:paraId="474654E0">
      <w:pPr>
        <w:pStyle w:val="4"/>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14:paraId="1D7FEED3">
      <w:pPr>
        <w:pStyle w:val="4"/>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13.1.1投标报价的计费依据：</w:t>
      </w:r>
    </w:p>
    <w:p w14:paraId="20C312F4">
      <w:pPr>
        <w:pStyle w:val="4"/>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13.1.1.1工程计价执行《广东省建设工程计价依据（2018）》等有关规定。</w:t>
      </w:r>
    </w:p>
    <w:p w14:paraId="5B90BB6B">
      <w:pPr>
        <w:pStyle w:val="4"/>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13.1.1.2材料综合价格部分、人工日工资价格及机械台班价格执行本项目评审批复所参考的同期月度有关文件。</w:t>
      </w:r>
    </w:p>
    <w:p w14:paraId="54EAD362">
      <w:pPr>
        <w:pStyle w:val="4"/>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13.1.1.3材料价格依据：本项目评审批复所参考的同期月度广州地区建设工程常用材料税前综合信息价，不足部分参考同期《广州地区建设工程材料（设备）厂商价格信息》及市场价等有关价格文件。</w:t>
      </w:r>
    </w:p>
    <w:p w14:paraId="345153A6">
      <w:pPr>
        <w:pStyle w:val="4"/>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13.1.1.4本项目所使用的材料、其质量档次按本招标文件所附施工合同专用条款要求进行计价。</w:t>
      </w:r>
    </w:p>
    <w:p w14:paraId="19449684">
      <w:pPr>
        <w:pStyle w:val="4"/>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37CFF80C">
      <w:pPr>
        <w:pStyle w:val="4"/>
        <w:spacing w:after="0" w:line="360" w:lineRule="auto"/>
        <w:ind w:firstLine="480" w:firstLineChars="200"/>
        <w:rPr>
          <w:rFonts w:ascii="宋体" w:hAnsi="宋体"/>
          <w:color w:val="auto"/>
          <w:sz w:val="24"/>
          <w:szCs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w:t>
      </w:r>
      <w:r>
        <w:rPr>
          <w:rFonts w:hint="eastAsia" w:ascii="宋体" w:hAnsi="宋体"/>
          <w:color w:val="auto"/>
          <w:sz w:val="24"/>
          <w:highlight w:val="none"/>
          <w:lang w:eastAsia="zh-CN"/>
        </w:rPr>
        <w:t>内容</w:t>
      </w:r>
      <w:r>
        <w:rPr>
          <w:rFonts w:hint="eastAsia" w:ascii="宋体" w:hAnsi="宋体"/>
          <w:color w:val="auto"/>
          <w:sz w:val="24"/>
          <w:highlight w:val="none"/>
        </w:rPr>
        <w:t>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D91FA50">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13.3.1技术措施项目费、绿色施工安全防护措施费、措施其它项目费〔包括夜间施工增加费、交通干扰工程施工增加费、赶工措施费、地下管线交叉降效费、特殊工程培训费、施工排水费、施工降水费、大型机械进出场费、泥浆池(槽)砌筑及拆除费、地上、地下设施、建筑物的临时保护设施、交通安全维护设施费、 道路交通疏导费、临时占用道路费、永久管线标志设置费、硬式扫床验收费、环境保护费、淤泥疏通费、环保报批费、施工便道、栈桥、机械浮船、工程保险费、工程保修费等费用〕、其它项目费用｛包括总承包服务费、管理配合费、材料保管费、预算包干费等费用｝、拟建工程(道路、建筑物等) 周边的房屋进行房屋鉴定费用（因施工原因引起的鉴定）费用等与工程有关的费用及保证质量、安全的各项技术措施费，由投标人自行考虑并计入投标报价。</w:t>
      </w:r>
    </w:p>
    <w:p w14:paraId="15565F34">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施工雨(污)水的排除、地下水的排除；因地形影响造成的场内料具二次运输；工程用水加压措施；完工清场后的垃圾外运;材料堆放场地的整理；水电安装后的补洞工料费；工程成品、半成品的保护、照顾费；施工中的临时停电停水的应急措施；基础埋深2米以内挖土方的塌方；日间照明施工增加费。由投标人自行考虑并计入投标报价。</w:t>
      </w:r>
    </w:p>
    <w:p w14:paraId="7BC59EEE">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13.3.2本次投标报价是包含施工过程风险的报价，承包人在施工过程所需的施工风险处理费用及不可预见费用在投标报价中已包含，承包人在施工过程造成附近建筑物、构筑物及现场已完成的构件破坏，由此引起的所有费用由承包人承担。</w:t>
      </w:r>
    </w:p>
    <w:p w14:paraId="0B999CCB">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13.3.3凡施工图纸中未有详细注明的做法，则按国家及广东省有关的设计规范及施工验收规范进行施工，投标人在投标报价时须将些因素考虑在内。</w:t>
      </w:r>
    </w:p>
    <w:p w14:paraId="0FD9C856">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13.3.4投标人还应在本次投标报价中充分考虑由招标人另外委托的其他专业承包人（例如各种专业设备安装等非本次招标范围的工程项目）等进入现场施工的管理配合费用，并须在施工过程中在人力和机械方面给予配合和管理。</w:t>
      </w:r>
    </w:p>
    <w:p w14:paraId="2BA15229">
      <w:pPr>
        <w:pStyle w:val="4"/>
        <w:spacing w:after="0" w:line="360" w:lineRule="auto"/>
        <w:ind w:firstLine="480" w:firstLineChars="200"/>
        <w:rPr>
          <w:rFonts w:ascii="宋体" w:hAnsi="宋体"/>
          <w:strike w:val="0"/>
          <w:color w:val="auto"/>
          <w:sz w:val="24"/>
          <w:szCs w:val="24"/>
          <w:highlight w:val="none"/>
          <w:u w:val="single"/>
        </w:rPr>
      </w:pPr>
      <w:r>
        <w:rPr>
          <w:rFonts w:hint="eastAsia" w:ascii="宋体" w:hAnsi="宋体"/>
          <w:strike w:val="0"/>
          <w:color w:val="auto"/>
          <w:sz w:val="24"/>
          <w:szCs w:val="24"/>
          <w:highlight w:val="none"/>
          <w:u w:val="single"/>
        </w:rPr>
        <w:t>13.3.5承包人购买的“建筑意外伤害保险及工伤险”，所需费用由各投标人综合考虑在投标报价中。</w:t>
      </w:r>
    </w:p>
    <w:p w14:paraId="61208BAA">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13.3.6本工程开工日期以发包人书面通知时间为准，工期需与其它标段配合，施工需与其它标段穿插进行，相关费用及工期须在投标报价中考虑，发包人不再另行增加费用及工期。</w:t>
      </w:r>
    </w:p>
    <w:p w14:paraId="508751CB">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13.3.7招标人不提供取土点，土方的运距按15公里考虑进行计价，因运距而引起造价变化属投标风险，招标人在项目实施时对相关影响不作增减。</w:t>
      </w:r>
    </w:p>
    <w:p w14:paraId="6164ABE4">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13.3.8中标人需配合由发包人委托的检测项目的检测工作，负责按检测单位要求提供水源、电源、脚手架、修建检测车辆出入便道、检测场地平整、钻芯孔回灌封闭所需的水泥等、检测用桩帽的制作、相关预埋件的埋设、结构实体检测后的恢复工作等准备、配合工作，相关费用投标人须在投标报价中考虑，发包人不再另行增加费用。</w:t>
      </w:r>
    </w:p>
    <w:p w14:paraId="04564F4F">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13.3.9在编制本工程投标预算时，其他项目费中的材料检验试验费不应包含在投标报价中。</w:t>
      </w:r>
    </w:p>
    <w:p w14:paraId="415500AF">
      <w:pPr>
        <w:pStyle w:val="4"/>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13.4投标人一旦中标，投标人对招标人提供的招标工程量清单中列出的工程项目所报出的综合单价，</w:t>
      </w:r>
      <w:r>
        <w:rPr>
          <w:rFonts w:hint="eastAsia" w:ascii="宋体" w:hAnsi="宋体"/>
          <w:color w:val="auto"/>
          <w:sz w:val="24"/>
          <w:highlight w:val="none"/>
          <w:u w:val="single"/>
        </w:rPr>
        <w:t>原则上不得变更，但涉及建设工程材料价格波动异常，超出发承包双方按以往经验所能预见与避免的范围和承担的风险的情况除外，由招标人在招标文件及合同中明确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DB5D1CB">
      <w:pPr>
        <w:pStyle w:val="4"/>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eastAsia="宋体"/>
          <w:color w:val="auto"/>
          <w:sz w:val="24"/>
          <w:highlight w:val="none"/>
          <w:u w:val="single"/>
        </w:rPr>
        <w:t>变更结算方式按招标文件及施工合同相关规定执行。</w:t>
      </w:r>
    </w:p>
    <w:p w14:paraId="52FE70EB">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0A37C82D">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71F57B0C">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57DA261F">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1B1679BA">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采购规定的，应按照采购规定确定承包人和承包价格。</w:t>
      </w:r>
    </w:p>
    <w:p w14:paraId="0F32E845">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593539C1">
      <w:pPr>
        <w:pStyle w:val="4"/>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721565F">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649BA820">
      <w:pPr>
        <w:pStyle w:val="4"/>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4D819F59">
      <w:pPr>
        <w:pStyle w:val="4"/>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24150E14">
      <w:pPr>
        <w:pStyle w:val="4"/>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268108A">
      <w:pPr>
        <w:spacing w:line="360" w:lineRule="auto"/>
        <w:ind w:firstLine="537" w:firstLineChars="224"/>
        <w:rPr>
          <w:rFonts w:ascii="宋体" w:hAnsi="宋体"/>
          <w:color w:val="auto"/>
          <w:sz w:val="24"/>
          <w:szCs w:val="24"/>
          <w:highlight w:val="none"/>
          <w:u w:val="single"/>
        </w:rPr>
      </w:pPr>
      <w:r>
        <w:rPr>
          <w:rFonts w:hint="eastAsia" w:ascii="宋体" w:hAnsi="宋体"/>
          <w:color w:val="auto"/>
          <w:sz w:val="24"/>
          <w:szCs w:val="24"/>
          <w:highlight w:val="none"/>
          <w:u w:val="single"/>
        </w:rPr>
        <w:t>13.10投标人一旦中标，中标价即为合同价，合同价款在合同条款签订后，任何一方不得擅自改变。投标人在报价时要充分考虑本工程的一切风险因素（如场地因素、地质资料和地下障碍物因素、材料设备价格因素、工程费用调整因素、外部环境影响因素等），在投标报价时作出最优和最合适、最有竞争力的报价。</w:t>
      </w:r>
    </w:p>
    <w:p w14:paraId="7D2FF7ED">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0692C573">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000D45F6">
      <w:pPr>
        <w:pStyle w:val="4"/>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0363CEF8">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14:paraId="34B01E91">
      <w:pPr>
        <w:pStyle w:val="4"/>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strike/>
          <w:color w:val="auto"/>
          <w:sz w:val="24"/>
          <w:highlight w:val="none"/>
        </w:rPr>
        <w:t>，而不影响退还其投标保证金</w:t>
      </w:r>
      <w:r>
        <w:rPr>
          <w:rFonts w:hint="eastAsia" w:ascii="宋体" w:hAnsi="宋体"/>
          <w:color w:val="auto"/>
          <w:sz w:val="24"/>
          <w:highlight w:val="none"/>
        </w:rPr>
        <w:t>。同意延长投标有效期的投标人既不能要求也不允许修改其投标文件</w:t>
      </w:r>
      <w:r>
        <w:rPr>
          <w:rFonts w:hint="eastAsia" w:ascii="宋体" w:hAnsi="宋体"/>
          <w:strike/>
          <w:color w:val="auto"/>
          <w:sz w:val="24"/>
          <w:highlight w:val="none"/>
        </w:rPr>
        <w:t>，但需要相应的延长投标保证金的有效期，在延长的投标有效期内，本须知第</w:t>
      </w:r>
      <w:r>
        <w:rPr>
          <w:rFonts w:ascii="宋体" w:hAnsi="宋体"/>
          <w:strike/>
          <w:color w:val="auto"/>
          <w:sz w:val="24"/>
          <w:highlight w:val="none"/>
        </w:rPr>
        <w:t>16</w:t>
      </w:r>
      <w:r>
        <w:rPr>
          <w:rFonts w:hint="eastAsia" w:ascii="宋体" w:hAnsi="宋体"/>
          <w:strike/>
          <w:color w:val="auto"/>
          <w:sz w:val="24"/>
          <w:highlight w:val="none"/>
        </w:rPr>
        <w:t>条关于投标保证金的退还与不予退还的规定仍然适用</w:t>
      </w:r>
      <w:r>
        <w:rPr>
          <w:rFonts w:hint="eastAsia" w:ascii="宋体" w:hAnsi="宋体"/>
          <w:color w:val="auto"/>
          <w:sz w:val="24"/>
          <w:highlight w:val="none"/>
        </w:rPr>
        <w:t>。</w:t>
      </w:r>
    </w:p>
    <w:p w14:paraId="79ED496C">
      <w:pPr>
        <w:pStyle w:val="4"/>
        <w:spacing w:after="0" w:line="360" w:lineRule="auto"/>
        <w:ind w:firstLine="482" w:firstLineChars="200"/>
        <w:rPr>
          <w:rFonts w:ascii="宋体"/>
          <w:b/>
          <w:bCs/>
          <w:strike w:val="0"/>
          <w:color w:val="auto"/>
          <w:sz w:val="24"/>
          <w:highlight w:val="none"/>
        </w:rPr>
      </w:pPr>
      <w:r>
        <w:rPr>
          <w:rFonts w:ascii="宋体" w:hAnsi="宋体"/>
          <w:b/>
          <w:bCs/>
          <w:strike w:val="0"/>
          <w:color w:val="auto"/>
          <w:sz w:val="24"/>
          <w:highlight w:val="none"/>
        </w:rPr>
        <w:t>16</w:t>
      </w:r>
      <w:r>
        <w:rPr>
          <w:rFonts w:hint="eastAsia" w:ascii="宋体" w:hAnsi="宋体"/>
          <w:b/>
          <w:bCs/>
          <w:strike w:val="0"/>
          <w:color w:val="auto"/>
          <w:sz w:val="24"/>
          <w:highlight w:val="none"/>
        </w:rPr>
        <w:t>．投标保证金</w:t>
      </w:r>
    </w:p>
    <w:p w14:paraId="5C0482C9">
      <w:pPr>
        <w:spacing w:line="360" w:lineRule="auto"/>
        <w:ind w:firstLine="480" w:firstLineChars="200"/>
        <w:rPr>
          <w:rFonts w:hint="eastAsia" w:ascii="宋体" w:hAnsi="宋体"/>
          <w:color w:val="auto"/>
          <w:sz w:val="24"/>
          <w:szCs w:val="22"/>
          <w:highlight w:val="none"/>
          <w:u w:val="single"/>
        </w:rPr>
      </w:pPr>
      <w:r>
        <w:rPr>
          <w:rFonts w:hint="eastAsia" w:ascii="宋体" w:hAnsi="宋体"/>
          <w:color w:val="auto"/>
          <w:sz w:val="24"/>
          <w:szCs w:val="22"/>
          <w:highlight w:val="none"/>
          <w:u w:val="single"/>
        </w:rPr>
        <w:t>16.1本项目免收投标保证金，投标人提供《关于投标保证金的承诺》（详见附件）。</w:t>
      </w:r>
    </w:p>
    <w:p w14:paraId="1D903B1A">
      <w:pPr>
        <w:spacing w:line="360" w:lineRule="auto"/>
        <w:ind w:firstLine="480" w:firstLineChars="200"/>
        <w:rPr>
          <w:rFonts w:hint="eastAsia" w:ascii="宋体" w:hAnsi="宋体"/>
          <w:color w:val="auto"/>
          <w:sz w:val="24"/>
          <w:szCs w:val="22"/>
          <w:highlight w:val="none"/>
          <w:u w:val="single"/>
        </w:rPr>
      </w:pPr>
      <w:r>
        <w:rPr>
          <w:rFonts w:hint="eastAsia" w:ascii="宋体" w:hAnsi="宋体"/>
          <w:color w:val="auto"/>
          <w:sz w:val="24"/>
          <w:szCs w:val="22"/>
          <w:highlight w:val="none"/>
          <w:u w:val="single"/>
        </w:rPr>
        <w:t>16.2对于投标人已提供《关于投标保证金的承诺》，若投标人存在16.4条款所列情形，该投标人应在发现存在16.4条款所列情形之日起5个工作日内按投标须知前附表第14项所述金额补交投标保证金。若未按要求补交投标保证金的将暂停其参与招标人后续工程投标，直至完成补交手续为止。</w:t>
      </w:r>
    </w:p>
    <w:p w14:paraId="319BAFB8">
      <w:pPr>
        <w:spacing w:line="360" w:lineRule="auto"/>
        <w:ind w:firstLine="480" w:firstLineChars="200"/>
        <w:rPr>
          <w:rFonts w:hint="eastAsia" w:ascii="宋体" w:hAnsi="宋体"/>
          <w:color w:val="auto"/>
          <w:sz w:val="24"/>
          <w:szCs w:val="22"/>
          <w:highlight w:val="none"/>
          <w:u w:val="single"/>
        </w:rPr>
      </w:pPr>
      <w:r>
        <w:rPr>
          <w:rFonts w:hint="eastAsia" w:ascii="宋体" w:hAnsi="宋体"/>
          <w:color w:val="auto"/>
          <w:sz w:val="24"/>
          <w:szCs w:val="22"/>
          <w:highlight w:val="none"/>
          <w:u w:val="single"/>
        </w:rPr>
        <w:t>16.3开标时投标人没有按招标文件要求提交《关于投标保证金的承诺》的投标人，视为未按要求提供投标保证金。</w:t>
      </w:r>
    </w:p>
    <w:p w14:paraId="48D08B1D">
      <w:pPr>
        <w:spacing w:line="360" w:lineRule="auto"/>
        <w:ind w:firstLine="480" w:firstLineChars="200"/>
        <w:rPr>
          <w:rFonts w:hint="eastAsia" w:ascii="宋体" w:hAnsi="宋体"/>
          <w:color w:val="auto"/>
          <w:sz w:val="24"/>
          <w:szCs w:val="22"/>
          <w:highlight w:val="none"/>
          <w:u w:val="single"/>
        </w:rPr>
      </w:pPr>
      <w:r>
        <w:rPr>
          <w:rFonts w:hint="eastAsia" w:ascii="宋体" w:hAnsi="宋体"/>
          <w:color w:val="auto"/>
          <w:sz w:val="24"/>
          <w:szCs w:val="22"/>
          <w:highlight w:val="none"/>
          <w:u w:val="single"/>
        </w:rPr>
        <w:t>16.4如有下列情况之一的，招标人可以不予退还投标保证金（是否退还投标保证金由招标人在招标文件中规定）：</w:t>
      </w:r>
    </w:p>
    <w:p w14:paraId="4ED933DA">
      <w:pPr>
        <w:spacing w:line="360" w:lineRule="auto"/>
        <w:ind w:firstLine="480" w:firstLineChars="200"/>
        <w:rPr>
          <w:rFonts w:hint="eastAsia" w:ascii="宋体" w:hAnsi="宋体"/>
          <w:color w:val="auto"/>
          <w:sz w:val="24"/>
          <w:szCs w:val="22"/>
          <w:highlight w:val="none"/>
          <w:u w:val="single"/>
        </w:rPr>
      </w:pPr>
      <w:r>
        <w:rPr>
          <w:rFonts w:hint="eastAsia" w:ascii="宋体" w:hAnsi="宋体"/>
          <w:color w:val="auto"/>
          <w:sz w:val="24"/>
          <w:szCs w:val="22"/>
          <w:highlight w:val="none"/>
          <w:u w:val="single"/>
        </w:rPr>
        <w:t>16.4.1因投标人原因造成投标文件未解密的；</w:t>
      </w:r>
    </w:p>
    <w:p w14:paraId="7FAA5147">
      <w:pPr>
        <w:spacing w:line="360" w:lineRule="auto"/>
        <w:ind w:firstLine="480" w:firstLineChars="200"/>
        <w:rPr>
          <w:rFonts w:hint="eastAsia" w:ascii="宋体" w:hAnsi="宋体"/>
          <w:color w:val="auto"/>
          <w:sz w:val="24"/>
          <w:szCs w:val="22"/>
          <w:highlight w:val="none"/>
          <w:u w:val="single"/>
        </w:rPr>
      </w:pPr>
      <w:r>
        <w:rPr>
          <w:rFonts w:hint="eastAsia" w:ascii="宋体" w:hAnsi="宋体"/>
          <w:color w:val="auto"/>
          <w:sz w:val="24"/>
          <w:szCs w:val="22"/>
          <w:highlight w:val="none"/>
          <w:u w:val="single"/>
        </w:rPr>
        <w:t>16.4.2投标人在投标有效期内撤销投标文件；</w:t>
      </w:r>
    </w:p>
    <w:p w14:paraId="17306C94">
      <w:pPr>
        <w:spacing w:line="360" w:lineRule="auto"/>
        <w:ind w:firstLine="480" w:firstLineChars="200"/>
        <w:rPr>
          <w:rFonts w:hint="eastAsia" w:ascii="宋体" w:hAnsi="宋体"/>
          <w:color w:val="auto"/>
          <w:sz w:val="24"/>
          <w:szCs w:val="22"/>
          <w:highlight w:val="none"/>
          <w:u w:val="single"/>
        </w:rPr>
      </w:pPr>
      <w:r>
        <w:rPr>
          <w:rFonts w:hint="eastAsia" w:ascii="宋体" w:hAnsi="宋体"/>
          <w:color w:val="auto"/>
          <w:sz w:val="24"/>
          <w:szCs w:val="22"/>
          <w:highlight w:val="none"/>
          <w:u w:val="single"/>
        </w:rPr>
        <w:t>16.4.3中标人未能在规定期限内按要求提交履约担保；</w:t>
      </w:r>
    </w:p>
    <w:p w14:paraId="476498AD">
      <w:pPr>
        <w:spacing w:line="360" w:lineRule="auto"/>
        <w:ind w:firstLine="480" w:firstLineChars="200"/>
        <w:rPr>
          <w:rFonts w:hint="eastAsia" w:ascii="宋体" w:hAnsi="宋体"/>
          <w:color w:val="auto"/>
          <w:sz w:val="24"/>
          <w:szCs w:val="22"/>
          <w:highlight w:val="none"/>
          <w:u w:val="single"/>
        </w:rPr>
      </w:pPr>
      <w:r>
        <w:rPr>
          <w:rFonts w:hint="eastAsia" w:ascii="宋体" w:hAnsi="宋体"/>
          <w:color w:val="auto"/>
          <w:sz w:val="24"/>
          <w:szCs w:val="22"/>
          <w:highlight w:val="none"/>
          <w:u w:val="single"/>
        </w:rPr>
        <w:t>16.4.4中标人未能在规定期限内签署合同协议。</w:t>
      </w:r>
    </w:p>
    <w:p w14:paraId="6F7F19CE">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7C6AE9A8">
      <w:pPr>
        <w:spacing w:line="360" w:lineRule="auto"/>
        <w:ind w:firstLine="480" w:firstLineChars="200"/>
        <w:rPr>
          <w:rFonts w:ascii="宋体" w:hAnsi="宋体"/>
          <w:bCs/>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w:t>
      </w:r>
      <w:r>
        <w:rPr>
          <w:rFonts w:hint="eastAsia" w:ascii="宋体" w:hAnsi="宋体"/>
          <w:color w:val="auto"/>
          <w:sz w:val="24"/>
          <w:highlight w:val="none"/>
          <w:lang w:eastAsia="zh-CN"/>
        </w:rPr>
        <w:t>对投标文件</w:t>
      </w:r>
      <w:r>
        <w:rPr>
          <w:rFonts w:hint="eastAsia" w:ascii="宋体" w:hAnsi="宋体"/>
          <w:color w:val="auto"/>
          <w:sz w:val="24"/>
          <w:highlight w:val="none"/>
        </w:rPr>
        <w:t>加盖电子印章。投标文件中需个人签字或盖章的，应加盖个人电子印章或在线下完成后扫描上传。</w:t>
      </w:r>
      <w:r>
        <w:rPr>
          <w:rFonts w:hint="eastAsia" w:ascii="宋体" w:hAnsi="宋体"/>
          <w:color w:val="auto"/>
          <w:sz w:val="24"/>
          <w:highlight w:val="none"/>
          <w:u w:val="single"/>
        </w:rPr>
        <w:t>由广州投标文件管理专用软件系统生成的“工程量清单主表--工程量清单报价表”封面页及扉页可以仅采用单位数字证书加盖电子印章处理。</w:t>
      </w:r>
      <w:r>
        <w:rPr>
          <w:rFonts w:hint="eastAsia" w:ascii="宋体" w:hAnsi="宋体"/>
          <w:color w:val="auto"/>
          <w:sz w:val="24"/>
          <w:highlight w:val="none"/>
        </w:rPr>
        <w:t>按照交易平台关于全流程电子化项目的相关指南进行操作。</w:t>
      </w:r>
      <w:r>
        <w:rPr>
          <w:rFonts w:hint="eastAsia" w:ascii="宋体" w:hAnsi="宋体"/>
          <w:color w:val="auto"/>
          <w:sz w:val="24"/>
          <w:highlight w:val="none"/>
          <w:u w:val="single"/>
        </w:rPr>
        <w:t>详见：</w:t>
      </w:r>
      <w:r>
        <w:rPr>
          <w:rStyle w:val="114"/>
          <w:rFonts w:hint="eastAsia" w:ascii="宋体" w:hAnsi="宋体" w:eastAsia="宋体" w:cs="宋体"/>
          <w:color w:val="auto"/>
          <w:sz w:val="24"/>
          <w:szCs w:val="24"/>
          <w:highlight w:val="none"/>
          <w:u w:val="single"/>
        </w:rPr>
        <w:t>广州交易集团有限公司（广州公共资源交易中心）网站</w:t>
      </w:r>
      <w:r>
        <w:rPr>
          <w:rFonts w:hint="eastAsia" w:ascii="宋体" w:hAnsi="宋体"/>
          <w:bCs/>
          <w:color w:val="auto"/>
          <w:sz w:val="24"/>
          <w:highlight w:val="none"/>
          <w:u w:val="single"/>
        </w:rPr>
        <w:t>最新指引</w:t>
      </w:r>
      <w:r>
        <w:rPr>
          <w:rFonts w:hint="eastAsia" w:ascii="宋体" w:hAnsi="宋体"/>
          <w:bCs/>
          <w:color w:val="auto"/>
          <w:sz w:val="24"/>
          <w:highlight w:val="none"/>
        </w:rPr>
        <w:t>。</w:t>
      </w:r>
    </w:p>
    <w:p w14:paraId="73440BC5">
      <w:pPr>
        <w:spacing w:line="360" w:lineRule="auto"/>
        <w:ind w:firstLine="420" w:firstLineChars="200"/>
        <w:rPr>
          <w:color w:val="auto"/>
          <w:highlight w:val="none"/>
        </w:rPr>
      </w:pPr>
      <w:r>
        <w:rPr>
          <w:rFonts w:hint="eastAsia"/>
          <w:color w:val="auto"/>
          <w:highlight w:val="none"/>
        </w:rPr>
        <w:t>注</w:t>
      </w:r>
      <w:r>
        <w:rPr>
          <w:rFonts w:hint="eastAsia"/>
          <w:color w:val="auto"/>
          <w:highlight w:val="none"/>
          <w:lang w:eastAsia="zh-CN"/>
        </w:rPr>
        <w:t>：</w:t>
      </w:r>
      <w:r>
        <w:rPr>
          <w:rFonts w:hint="eastAsia"/>
          <w:color w:val="auto"/>
          <w:highlight w:val="none"/>
        </w:rPr>
        <w:t>投标文件电子文档需要投标人单位盖章的材料，投标人加盖电子印章即可，不得将投标人未对电子文档加盖实物印章作为否决投标的情形。</w:t>
      </w:r>
    </w:p>
    <w:p w14:paraId="47AD6563">
      <w:pPr>
        <w:pStyle w:val="7"/>
        <w:spacing w:before="156" w:after="156"/>
        <w:rPr>
          <w:color w:val="auto"/>
          <w:highlight w:val="none"/>
        </w:rPr>
      </w:pPr>
      <w:bookmarkStart w:id="14" w:name="_Toc2272552"/>
      <w:bookmarkStart w:id="15" w:name="_Toc21525496"/>
      <w:r>
        <w:rPr>
          <w:rFonts w:hint="eastAsia"/>
          <w:color w:val="auto"/>
          <w:highlight w:val="none"/>
        </w:rPr>
        <w:t>（四）投标文件的提交</w:t>
      </w:r>
      <w:bookmarkEnd w:id="14"/>
      <w:bookmarkEnd w:id="15"/>
    </w:p>
    <w:p w14:paraId="55C68F2D">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3D48085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18.1递交的电子投标文件评标部分</w:t>
      </w:r>
      <w:r>
        <w:rPr>
          <w:rFonts w:hint="eastAsia" w:ascii="宋体" w:hAnsi="宋体"/>
          <w:bCs/>
          <w:color w:val="auto"/>
          <w:sz w:val="24"/>
          <w:highlight w:val="none"/>
          <w:lang w:eastAsia="zh-CN"/>
        </w:rPr>
        <w:t>和定标部分</w:t>
      </w:r>
      <w:r>
        <w:rPr>
          <w:rFonts w:hint="eastAsia" w:ascii="宋体" w:hAnsi="宋体"/>
          <w:bCs/>
          <w:color w:val="auto"/>
          <w:sz w:val="24"/>
          <w:highlight w:val="none"/>
        </w:rPr>
        <w:t>（不含备用光盘）必须进行加密。按照</w:t>
      </w:r>
      <w:r>
        <w:rPr>
          <w:rFonts w:hint="eastAsia" w:ascii="宋体" w:hAnsi="宋体"/>
          <w:bCs/>
          <w:color w:val="auto"/>
          <w:sz w:val="24"/>
          <w:highlight w:val="none"/>
          <w:u w:val="single"/>
        </w:rPr>
        <w:t>广州交易集团有限公司（广州公共资源交易中心）</w:t>
      </w:r>
      <w:r>
        <w:rPr>
          <w:rFonts w:hint="eastAsia" w:ascii="宋体" w:hAnsi="宋体"/>
          <w:bCs/>
          <w:color w:val="auto"/>
          <w:sz w:val="24"/>
          <w:highlight w:val="none"/>
        </w:rPr>
        <w:t>交易平台关于全流程电子化项目的相关指南进行操作。详见：</w:t>
      </w:r>
      <w:r>
        <w:rPr>
          <w:rFonts w:hint="eastAsia" w:ascii="宋体" w:hAnsi="宋体"/>
          <w:bCs/>
          <w:color w:val="auto"/>
          <w:sz w:val="24"/>
          <w:highlight w:val="none"/>
          <w:u w:val="single"/>
        </w:rPr>
        <w:t>广州交易集团有限公司（广州公共资源交易中心）网站最新指引</w:t>
      </w:r>
      <w:r>
        <w:rPr>
          <w:rFonts w:hint="eastAsia" w:ascii="宋体" w:hAnsi="宋体"/>
          <w:bCs/>
          <w:color w:val="auto"/>
          <w:sz w:val="24"/>
          <w:highlight w:val="none"/>
        </w:rPr>
        <w:t>。</w:t>
      </w:r>
    </w:p>
    <w:p w14:paraId="13BEA55B">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18.2 未按要求加密的投标文件</w:t>
      </w:r>
      <w:r>
        <w:rPr>
          <w:rFonts w:hint="eastAsia" w:ascii="宋体" w:hAnsi="宋体"/>
          <w:bCs/>
          <w:color w:val="auto"/>
          <w:sz w:val="24"/>
          <w:highlight w:val="none"/>
          <w:u w:val="single"/>
        </w:rPr>
        <w:t>评标部分</w:t>
      </w:r>
      <w:r>
        <w:rPr>
          <w:rFonts w:hint="eastAsia" w:ascii="宋体" w:hAnsi="宋体"/>
          <w:bCs/>
          <w:color w:val="auto"/>
          <w:sz w:val="24"/>
          <w:highlight w:val="none"/>
          <w:lang w:eastAsia="zh-CN"/>
        </w:rPr>
        <w:t>和定标部分</w:t>
      </w:r>
      <w:r>
        <w:rPr>
          <w:rFonts w:hint="eastAsia" w:ascii="宋体" w:hAnsi="宋体"/>
          <w:bCs/>
          <w:color w:val="auto"/>
          <w:sz w:val="24"/>
          <w:highlight w:val="none"/>
        </w:rPr>
        <w:t>，</w:t>
      </w:r>
      <w:r>
        <w:rPr>
          <w:rFonts w:hint="eastAsia" w:ascii="宋体" w:hAnsi="宋体"/>
          <w:bCs/>
          <w:color w:val="auto"/>
          <w:sz w:val="24"/>
          <w:highlight w:val="none"/>
          <w:u w:val="single"/>
        </w:rPr>
        <w:t>广州交易集团有限公司（广州公共资源交易中心）</w:t>
      </w:r>
      <w:r>
        <w:rPr>
          <w:rFonts w:hint="eastAsia" w:ascii="宋体" w:hAnsi="宋体"/>
          <w:bCs/>
          <w:color w:val="auto"/>
          <w:sz w:val="24"/>
          <w:highlight w:val="none"/>
        </w:rPr>
        <w:t>交易平台将予以拒收。</w:t>
      </w:r>
    </w:p>
    <w:p w14:paraId="0906B297">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5795776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19.1投标人通过</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highlight w:val="none"/>
        </w:rPr>
        <w:t>交易平台递交电子投标文件评标部分</w:t>
      </w:r>
      <w:r>
        <w:rPr>
          <w:rFonts w:hint="eastAsia" w:ascii="宋体" w:hAnsi="宋体"/>
          <w:color w:val="auto"/>
          <w:sz w:val="24"/>
          <w:highlight w:val="none"/>
          <w:lang w:eastAsia="zh-CN"/>
        </w:rPr>
        <w:t>和定标部分</w:t>
      </w:r>
      <w:r>
        <w:rPr>
          <w:rFonts w:hint="eastAsia" w:ascii="宋体" w:hAnsi="宋体"/>
          <w:color w:val="auto"/>
          <w:sz w:val="24"/>
          <w:highlight w:val="none"/>
        </w:rPr>
        <w:t>。</w:t>
      </w:r>
    </w:p>
    <w:p w14:paraId="5A3677D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19.2投标人完成电子投标文件评标部分</w:t>
      </w:r>
      <w:r>
        <w:rPr>
          <w:rFonts w:hint="eastAsia" w:ascii="宋体" w:hAnsi="宋体"/>
          <w:color w:val="auto"/>
          <w:sz w:val="24"/>
          <w:highlight w:val="none"/>
          <w:lang w:eastAsia="zh-CN"/>
        </w:rPr>
        <w:t>和定标部分</w:t>
      </w:r>
      <w:r>
        <w:rPr>
          <w:rFonts w:hint="eastAsia" w:ascii="宋体" w:hAnsi="宋体"/>
          <w:color w:val="auto"/>
          <w:sz w:val="24"/>
          <w:highlight w:val="none"/>
        </w:rPr>
        <w:t>上传后，</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highlight w:val="none"/>
        </w:rPr>
        <w:t>交易平台即时向投标人发出递交回执通知。递交时间以递交回执通知载明的传输完成时间为准。</w:t>
      </w:r>
    </w:p>
    <w:p w14:paraId="5041660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19.3逾期送达的电子投标文件</w:t>
      </w:r>
      <w:r>
        <w:rPr>
          <w:rFonts w:hint="eastAsia" w:ascii="宋体" w:hAnsi="宋体"/>
          <w:color w:val="auto"/>
          <w:sz w:val="24"/>
          <w:highlight w:val="none"/>
          <w:u w:val="single"/>
        </w:rPr>
        <w:t>评标部分</w:t>
      </w:r>
      <w:r>
        <w:rPr>
          <w:rFonts w:hint="eastAsia" w:ascii="宋体" w:hAnsi="宋体"/>
          <w:color w:val="auto"/>
          <w:sz w:val="24"/>
          <w:highlight w:val="none"/>
          <w:lang w:eastAsia="zh-CN"/>
        </w:rPr>
        <w:t>和定标部分</w:t>
      </w:r>
      <w:r>
        <w:rPr>
          <w:rFonts w:hint="eastAsia" w:ascii="宋体" w:hAnsi="宋体"/>
          <w:color w:val="auto"/>
          <w:sz w:val="24"/>
          <w:highlight w:val="none"/>
        </w:rPr>
        <w:t>，</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highlight w:val="none"/>
        </w:rPr>
        <w:t>交易平台将予以拒收。</w:t>
      </w:r>
    </w:p>
    <w:p w14:paraId="3B574AF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19.4 投标截止前，招标人拒绝接收符合条件的投标文件</w:t>
      </w:r>
      <w:r>
        <w:rPr>
          <w:rFonts w:hint="eastAsia" w:ascii="宋体" w:hAnsi="宋体"/>
          <w:color w:val="auto"/>
          <w:sz w:val="24"/>
          <w:highlight w:val="none"/>
          <w:u w:val="single"/>
        </w:rPr>
        <w:t>评标部分</w:t>
      </w:r>
      <w:r>
        <w:rPr>
          <w:rFonts w:hint="eastAsia" w:ascii="宋体" w:hAnsi="宋体"/>
          <w:color w:val="auto"/>
          <w:sz w:val="24"/>
          <w:highlight w:val="none"/>
          <w:lang w:eastAsia="zh-CN"/>
        </w:rPr>
        <w:t>和定标部分</w:t>
      </w:r>
      <w:r>
        <w:rPr>
          <w:rFonts w:hint="eastAsia" w:ascii="宋体" w:hAnsi="宋体"/>
          <w:color w:val="auto"/>
          <w:sz w:val="24"/>
          <w:highlight w:val="none"/>
        </w:rPr>
        <w:t>，投标人可向招标投标监督机构投诉。</w:t>
      </w:r>
    </w:p>
    <w:p w14:paraId="51739E9C">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15AE0065">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14:paraId="4016F61F">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6700BA79">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14:paraId="43528A43">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56C47699">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49535550">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5F07E634">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2BDD10DF">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0E28E20C">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14:paraId="24CAC4D4">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4在投标截止时间之后，投标人不得补充、修改和更换投标文件。</w:t>
      </w:r>
    </w:p>
    <w:p w14:paraId="6DE2FB7C">
      <w:pPr>
        <w:pStyle w:val="7"/>
        <w:spacing w:before="156" w:after="156"/>
        <w:rPr>
          <w:color w:val="auto"/>
          <w:highlight w:val="none"/>
        </w:rPr>
      </w:pPr>
      <w:bookmarkStart w:id="16" w:name="_Toc2272553"/>
      <w:bookmarkStart w:id="17" w:name="_Toc21525497"/>
      <w:r>
        <w:rPr>
          <w:rFonts w:hint="eastAsia"/>
          <w:color w:val="auto"/>
          <w:highlight w:val="none"/>
        </w:rPr>
        <w:t>（五）开标、评标、定标及合同签定</w:t>
      </w:r>
      <w:bookmarkEnd w:id="16"/>
      <w:bookmarkEnd w:id="17"/>
    </w:p>
    <w:p w14:paraId="63AE2199">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4553A3D3">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14:paraId="0279917C">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7FD9DA5C">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14:paraId="1BC11991">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14:paraId="1380C13B">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35BD22A7">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14:paraId="5EE62043">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1D949BB3">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14:paraId="3D937C0E">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14:paraId="39795F01">
      <w:pPr>
        <w:spacing w:line="360" w:lineRule="auto"/>
        <w:ind w:firstLine="480" w:firstLineChars="200"/>
        <w:rPr>
          <w:rFonts w:asci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交易平台、广东省招标投标监管网和中国招标投标公共服务平台公示中标候选人，公示期为三天。</w:t>
      </w:r>
      <w:r>
        <w:rPr>
          <w:rFonts w:hint="eastAsia" w:ascii="宋体" w:hAnsi="宋体"/>
          <w:color w:val="auto"/>
          <w:sz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0C5B2FE">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14:paraId="39F609E7">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3B83A57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rFonts w:hint="eastAsia"/>
          <w:color w:val="auto"/>
          <w:sz w:val="24"/>
          <w:szCs w:val="24"/>
          <w:highlight w:val="none"/>
          <w:u w:val="single"/>
        </w:rPr>
        <w:t>广州交易集团有限公司（广州公共资源交易中心）</w:t>
      </w:r>
      <w:r>
        <w:rPr>
          <w:rFonts w:hint="eastAsia" w:ascii="宋体" w:hAnsi="宋体"/>
          <w:color w:val="auto"/>
          <w:sz w:val="24"/>
          <w:highlight w:val="none"/>
        </w:rPr>
        <w:t>交易平台和广东省招标投标监管网公开。</w:t>
      </w:r>
    </w:p>
    <w:p w14:paraId="0EDF5718">
      <w:pPr>
        <w:pStyle w:val="9"/>
        <w:spacing w:line="360" w:lineRule="auto"/>
        <w:rPr>
          <w:color w:val="auto"/>
          <w:sz w:val="24"/>
          <w:szCs w:val="24"/>
          <w:highlight w:val="none"/>
          <w:u w:val="single"/>
        </w:rPr>
      </w:pPr>
      <w:r>
        <w:rPr>
          <w:rFonts w:hint="eastAsia" w:ascii="宋体" w:hAnsi="宋体" w:cs="宋体"/>
          <w:color w:val="auto"/>
          <w:sz w:val="24"/>
          <w:szCs w:val="24"/>
          <w:highlight w:val="none"/>
          <w:u w:val="single"/>
        </w:rPr>
        <w:t>27.5</w:t>
      </w:r>
      <w:r>
        <w:rPr>
          <w:rFonts w:hint="eastAsia"/>
          <w:color w:val="auto"/>
          <w:sz w:val="24"/>
          <w:szCs w:val="24"/>
          <w:highlight w:val="none"/>
          <w:u w:val="single"/>
        </w:rPr>
        <w:t>在广州交易集团有限公司（广州公共资源交易中心）交易平台发布中标通知书，即视为中标人确认收到中标通知书。中标人必须在</w:t>
      </w:r>
      <w:r>
        <w:rPr>
          <w:rFonts w:hint="eastAsia" w:ascii="宋体" w:hAnsi="宋体" w:cs="宋体"/>
          <w:color w:val="auto"/>
          <w:sz w:val="24"/>
          <w:szCs w:val="24"/>
          <w:highlight w:val="none"/>
          <w:u w:val="single"/>
        </w:rPr>
        <w:t>3</w:t>
      </w:r>
      <w:r>
        <w:rPr>
          <w:rFonts w:hint="eastAsia"/>
          <w:color w:val="auto"/>
          <w:sz w:val="24"/>
          <w:szCs w:val="24"/>
          <w:highlight w:val="none"/>
          <w:u w:val="single"/>
        </w:rPr>
        <w:t>个工作日内由其委托代理人携带身份证及法人授权委托证明按招标人通知的时间和地点领取纸质图纸。中标人领取纸质图纸后必须与招标人在网上发布的电子版图纸进行核对，如有不符须于收到纸质图纸后五个工作日内将问题以书面形式向招标人提出；如纸质图纸和电子版图纸核对无误，中标人须于领取纸质图纸后五个工作日内在其中一套图纸上每页盖公章确认连同经盖公章的图纸确认函一并送回给招标人，表明中标人认同纸质图纸中内容与投标时的电子版图纸内容一致。</w:t>
      </w:r>
    </w:p>
    <w:p w14:paraId="290BB49B">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14:paraId="1688C07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28.1 招标人与中标人将于中标通知书发出之日起</w:t>
      </w:r>
      <w:r>
        <w:rPr>
          <w:rFonts w:hint="eastAsia" w:ascii="宋体" w:hAnsi="宋体"/>
          <w:color w:val="auto"/>
          <w:sz w:val="24"/>
          <w:highlight w:val="none"/>
          <w:lang w:val="en-US" w:eastAsia="zh-CN"/>
        </w:rPr>
        <w:t>30</w:t>
      </w:r>
      <w:r>
        <w:rPr>
          <w:rFonts w:hint="eastAsia" w:ascii="宋体" w:hAnsi="宋体"/>
          <w:color w:val="auto"/>
          <w:sz w:val="24"/>
          <w:highlight w:val="none"/>
        </w:rPr>
        <w:t>个日历天内，按照招标文件和中标人的投标文件商定和签订合同，招标人和中标人不得再行订立背离合同实质性内容的其他协议。</w:t>
      </w:r>
      <w:r>
        <w:rPr>
          <w:rFonts w:hint="eastAsia" w:ascii="宋体" w:hAnsi="宋体"/>
          <w:color w:val="auto"/>
          <w:sz w:val="24"/>
          <w:highlight w:val="none"/>
          <w:u w:val="single"/>
        </w:rPr>
        <w:t>施工合同价在5000万元以上的，书面合同应由招标人和中标人双方法定代表人当面签署。</w:t>
      </w:r>
    </w:p>
    <w:p w14:paraId="2F24630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28.2</w:t>
      </w:r>
      <w:r>
        <w:rPr>
          <w:rFonts w:hint="eastAsia" w:ascii="宋体" w:hAnsi="宋体"/>
          <w:color w:val="auto"/>
          <w:sz w:val="24"/>
          <w:szCs w:val="24"/>
          <w:highlight w:val="none"/>
        </w:rPr>
        <w:t>中标通知书发出之日起</w:t>
      </w:r>
      <w:r>
        <w:rPr>
          <w:rFonts w:hint="eastAsia" w:ascii="宋体" w:hAnsi="宋体"/>
          <w:color w:val="auto"/>
          <w:sz w:val="24"/>
          <w:szCs w:val="24"/>
          <w:highlight w:val="none"/>
          <w:u w:val="single"/>
          <w:lang w:val="en-US" w:eastAsia="zh-CN"/>
        </w:rPr>
        <w:t>30</w:t>
      </w:r>
      <w:r>
        <w:rPr>
          <w:rFonts w:hint="eastAsia" w:ascii="宋体" w:hAnsi="宋体"/>
          <w:color w:val="auto"/>
          <w:sz w:val="24"/>
          <w:szCs w:val="24"/>
          <w:highlight w:val="none"/>
          <w:u w:val="single"/>
        </w:rPr>
        <w:t>个</w:t>
      </w:r>
      <w:r>
        <w:rPr>
          <w:rFonts w:hint="eastAsia" w:ascii="宋体" w:hAnsi="宋体"/>
          <w:color w:val="auto"/>
          <w:sz w:val="24"/>
          <w:szCs w:val="24"/>
          <w:highlight w:val="none"/>
        </w:rPr>
        <w:t>日历天后，中标人未按上款的规定与招标人订立合同，招标人</w:t>
      </w:r>
      <w:r>
        <w:rPr>
          <w:rFonts w:hint="eastAsia" w:ascii="宋体" w:hAnsi="宋体"/>
          <w:color w:val="auto"/>
          <w:sz w:val="24"/>
          <w:szCs w:val="24"/>
          <w:highlight w:val="none"/>
          <w:u w:val="single"/>
        </w:rPr>
        <w:t>有权</w:t>
      </w:r>
      <w:r>
        <w:rPr>
          <w:rFonts w:hint="eastAsia" w:ascii="宋体" w:hAnsi="宋体"/>
          <w:color w:val="auto"/>
          <w:sz w:val="24"/>
          <w:szCs w:val="24"/>
          <w:highlight w:val="none"/>
        </w:rPr>
        <w:t>解除中标通知书</w:t>
      </w:r>
      <w:r>
        <w:rPr>
          <w:rFonts w:hint="eastAsia" w:ascii="宋体" w:hAnsi="宋体"/>
          <w:strike w:val="0"/>
          <w:color w:val="auto"/>
          <w:sz w:val="24"/>
          <w:szCs w:val="24"/>
          <w:highlight w:val="none"/>
        </w:rPr>
        <w:t>，原中标人的投标担保不予退还</w:t>
      </w:r>
      <w:r>
        <w:rPr>
          <w:rFonts w:hint="eastAsia" w:ascii="宋体" w:hAnsi="宋体"/>
          <w:color w:val="auto"/>
          <w:sz w:val="24"/>
          <w:szCs w:val="24"/>
          <w:highlight w:val="none"/>
        </w:rPr>
        <w:t>，且依法承担相应法律责任</w:t>
      </w:r>
      <w:r>
        <w:rPr>
          <w:rFonts w:hint="eastAsia" w:ascii="宋体" w:hAnsi="宋体"/>
          <w:color w:val="auto"/>
          <w:sz w:val="24"/>
          <w:szCs w:val="24"/>
          <w:highlight w:val="none"/>
          <w:u w:val="single"/>
        </w:rPr>
        <w:t>，招标人并且有权确定排名第二的中标候选人为中标人，排名第二的中标候选人出现前款所列的情形的，招标人可以确定排名第三的中标候选人为中标人</w:t>
      </w:r>
      <w:r>
        <w:rPr>
          <w:rFonts w:hint="eastAsia" w:ascii="宋体" w:hAnsi="宋体"/>
          <w:color w:val="auto"/>
          <w:sz w:val="24"/>
          <w:szCs w:val="24"/>
          <w:highlight w:val="none"/>
        </w:rPr>
        <w:t>。原中标人给招标人造成</w:t>
      </w:r>
      <w:r>
        <w:rPr>
          <w:rFonts w:hint="eastAsia" w:ascii="宋体" w:hAnsi="宋体"/>
          <w:strike w:val="0"/>
          <w:color w:val="auto"/>
          <w:sz w:val="24"/>
          <w:szCs w:val="24"/>
          <w:highlight w:val="none"/>
        </w:rPr>
        <w:t>的</w:t>
      </w:r>
      <w:r>
        <w:rPr>
          <w:rFonts w:hint="eastAsia" w:ascii="宋体" w:hAnsi="宋体"/>
          <w:color w:val="auto"/>
          <w:sz w:val="24"/>
          <w:szCs w:val="24"/>
          <w:highlight w:val="none"/>
        </w:rPr>
        <w:t>损失</w:t>
      </w:r>
      <w:r>
        <w:rPr>
          <w:rFonts w:hint="eastAsia" w:ascii="宋体" w:hAnsi="宋体"/>
          <w:strike w:val="0"/>
          <w:color w:val="auto"/>
          <w:sz w:val="24"/>
          <w:szCs w:val="24"/>
          <w:highlight w:val="none"/>
        </w:rPr>
        <w:t>超过投标担保数额</w:t>
      </w:r>
      <w:r>
        <w:rPr>
          <w:rFonts w:hint="eastAsia" w:ascii="宋体" w:hAnsi="宋体"/>
          <w:color w:val="auto"/>
          <w:sz w:val="24"/>
          <w:szCs w:val="24"/>
          <w:highlight w:val="none"/>
        </w:rPr>
        <w:t>的，还应当</w:t>
      </w:r>
      <w:r>
        <w:rPr>
          <w:rFonts w:hint="eastAsia" w:ascii="宋体" w:hAnsi="宋体"/>
          <w:strike w:val="0"/>
          <w:color w:val="auto"/>
          <w:sz w:val="24"/>
          <w:szCs w:val="24"/>
          <w:highlight w:val="none"/>
        </w:rPr>
        <w:t>对超过部分</w:t>
      </w:r>
      <w:r>
        <w:rPr>
          <w:rFonts w:hint="eastAsia" w:ascii="宋体" w:hAnsi="宋体"/>
          <w:color w:val="auto"/>
          <w:sz w:val="24"/>
          <w:szCs w:val="24"/>
          <w:highlight w:val="none"/>
        </w:rPr>
        <w:t>予以赔偿。原中标人有异议的，可以向人民法院起诉。</w:t>
      </w:r>
    </w:p>
    <w:p w14:paraId="38FAD58B">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14:paraId="191D6E4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28.</w:t>
      </w:r>
      <w:r>
        <w:rPr>
          <w:rFonts w:hint="eastAsia" w:ascii="宋体" w:hAnsi="宋体"/>
          <w:color w:val="auto"/>
          <w:sz w:val="24"/>
          <w:highlight w:val="none"/>
          <w:lang w:val="en-US" w:eastAsia="zh-CN"/>
        </w:rPr>
        <w:t>4工程进度款支付应不低于已完成工程价款的80%，招标人支付工程款时，中标人应按规定开具发票。质量保证金不超过工程价款总额3%。当年开工、当年不能竣工的新开工项目可以采用过程结算。</w:t>
      </w:r>
    </w:p>
    <w:p w14:paraId="3E91FC1E">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14:paraId="11B48D8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29.1 在收到中标通知书后的15个日历天内，中标人应按本须知前附表第24项的规定向招标人递交履约担保；如果中标人的履约担保是以银行保函的形式提供，则该银行保函应由在中国注册的银行开具</w:t>
      </w:r>
      <w:r>
        <w:rPr>
          <w:rFonts w:hint="eastAsia" w:ascii="宋体" w:hAnsi="宋体"/>
          <w:color w:val="auto"/>
          <w:sz w:val="24"/>
          <w:highlight w:val="none"/>
          <w:lang w:eastAsia="zh-CN"/>
        </w:rPr>
        <w:t>。</w:t>
      </w:r>
    </w:p>
    <w:p w14:paraId="4AADF72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29.2</w:t>
      </w:r>
      <w:r>
        <w:rPr>
          <w:rFonts w:hint="eastAsia" w:ascii="宋体" w:hAnsi="宋体" w:cs="宋体"/>
          <w:color w:val="auto"/>
          <w:sz w:val="24"/>
          <w:szCs w:val="24"/>
          <w:highlight w:val="none"/>
        </w:rPr>
        <w:t>中标通知书发出之日起</w:t>
      </w:r>
      <w:r>
        <w:rPr>
          <w:rFonts w:hint="eastAsia" w:ascii="宋体" w:hAnsi="宋体" w:cs="宋体"/>
          <w:color w:val="auto"/>
          <w:sz w:val="24"/>
          <w:szCs w:val="24"/>
          <w:highlight w:val="none"/>
          <w:u w:val="single"/>
        </w:rPr>
        <w:t>15个日历天</w:t>
      </w:r>
      <w:r>
        <w:rPr>
          <w:rFonts w:hint="eastAsia" w:ascii="宋体" w:hAnsi="宋体" w:cs="宋体"/>
          <w:color w:val="auto"/>
          <w:sz w:val="24"/>
          <w:szCs w:val="24"/>
          <w:highlight w:val="none"/>
        </w:rPr>
        <w:t>内，中标人未按上款的规定递交履约担保</w:t>
      </w:r>
      <w:r>
        <w:rPr>
          <w:rFonts w:hint="eastAsia" w:ascii="宋体" w:hAnsi="宋体" w:cs="宋体"/>
          <w:color w:val="auto"/>
          <w:sz w:val="24"/>
          <w:szCs w:val="24"/>
          <w:highlight w:val="none"/>
          <w:u w:val="single"/>
        </w:rPr>
        <w:t>且未征得招标人同意延期缴交的</w:t>
      </w:r>
      <w:r>
        <w:rPr>
          <w:rFonts w:hint="eastAsia" w:ascii="宋体" w:hAnsi="宋体" w:cs="宋体"/>
          <w:color w:val="auto"/>
          <w:sz w:val="24"/>
          <w:szCs w:val="24"/>
          <w:highlight w:val="none"/>
        </w:rPr>
        <w:t>，招标人将解除中标通知书</w:t>
      </w:r>
      <w:r>
        <w:rPr>
          <w:rFonts w:hint="eastAsia" w:ascii="宋体" w:hAnsi="宋体" w:cs="宋体"/>
          <w:strike/>
          <w:color w:val="auto"/>
          <w:sz w:val="24"/>
          <w:szCs w:val="24"/>
          <w:highlight w:val="none"/>
        </w:rPr>
        <w:t>，原中标人的投标担保不予退还</w:t>
      </w:r>
      <w:r>
        <w:rPr>
          <w:rFonts w:hint="eastAsia" w:ascii="宋体" w:hAnsi="宋体" w:cs="宋体"/>
          <w:color w:val="auto"/>
          <w:sz w:val="24"/>
          <w:szCs w:val="24"/>
          <w:highlight w:val="none"/>
        </w:rPr>
        <w:t>，且依法承担相应法律责任。原中标人给招标人造成</w:t>
      </w:r>
      <w:r>
        <w:rPr>
          <w:rFonts w:hint="eastAsia" w:ascii="宋体" w:hAnsi="宋体" w:cs="宋体"/>
          <w:strike/>
          <w:color w:val="auto"/>
          <w:sz w:val="24"/>
          <w:szCs w:val="24"/>
          <w:highlight w:val="none"/>
        </w:rPr>
        <w:t>的</w:t>
      </w:r>
      <w:r>
        <w:rPr>
          <w:rFonts w:hint="eastAsia" w:ascii="宋体" w:hAnsi="宋体" w:cs="宋体"/>
          <w:color w:val="auto"/>
          <w:sz w:val="24"/>
          <w:szCs w:val="24"/>
          <w:highlight w:val="none"/>
        </w:rPr>
        <w:t>损失</w:t>
      </w:r>
      <w:r>
        <w:rPr>
          <w:rFonts w:hint="eastAsia" w:ascii="宋体" w:hAnsi="宋体" w:cs="宋体"/>
          <w:strike/>
          <w:color w:val="auto"/>
          <w:sz w:val="24"/>
          <w:szCs w:val="24"/>
          <w:highlight w:val="none"/>
        </w:rPr>
        <w:t>超过投标担保数额</w:t>
      </w:r>
      <w:r>
        <w:rPr>
          <w:rFonts w:hint="eastAsia" w:ascii="宋体" w:hAnsi="宋体" w:cs="宋体"/>
          <w:color w:val="auto"/>
          <w:sz w:val="24"/>
          <w:szCs w:val="24"/>
          <w:highlight w:val="none"/>
        </w:rPr>
        <w:t>的，还应当对超过部分予以赔偿。原中标人有异议的，可以向人民法院起诉。</w:t>
      </w:r>
    </w:p>
    <w:p w14:paraId="62654A03">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14:paraId="735C6174">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14:paraId="7E2DDB6D">
      <w:pPr>
        <w:numPr>
          <w:ilvl w:val="0"/>
          <w:numId w:val="3"/>
        </w:num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其它费用</w:t>
      </w:r>
    </w:p>
    <w:p w14:paraId="057271DD">
      <w:pPr>
        <w:pStyle w:val="4"/>
        <w:spacing w:after="0" w:line="360" w:lineRule="auto"/>
        <w:ind w:firstLine="480" w:firstLineChars="200"/>
        <w:rPr>
          <w:rFonts w:ascii="宋体" w:hAnsi="宋体"/>
          <w:b/>
          <w:bCs/>
          <w:color w:val="auto"/>
          <w:sz w:val="24"/>
          <w:highlight w:val="none"/>
        </w:rPr>
      </w:pPr>
      <w:r>
        <w:rPr>
          <w:rFonts w:hint="eastAsia"/>
          <w:color w:val="auto"/>
          <w:sz w:val="24"/>
          <w:szCs w:val="24"/>
          <w:highlight w:val="none"/>
          <w:u w:val="single"/>
        </w:rPr>
        <w:t>中标人代缴公共资源交易服务费，由广州交易集团有限公司向中标人开具增值税发票。本项目招标代理费由本项目中标单位向本项目招标代理支付</w:t>
      </w:r>
      <w:r>
        <w:rPr>
          <w:rFonts w:hint="eastAsia" w:ascii="宋体" w:hAnsi="宋体" w:cs="宋体"/>
          <w:color w:val="auto"/>
          <w:sz w:val="24"/>
          <w:szCs w:val="24"/>
          <w:highlight w:val="none"/>
          <w:u w:val="single"/>
        </w:rPr>
        <w:t>5.5万元。</w:t>
      </w:r>
      <w:r>
        <w:rPr>
          <w:rFonts w:hint="eastAsia" w:ascii="宋体" w:hAnsi="宋体" w:eastAsia="宋体" w:cs="宋体"/>
          <w:color w:val="auto"/>
          <w:sz w:val="24"/>
          <w:szCs w:val="24"/>
          <w:highlight w:val="none"/>
          <w:u w:val="single"/>
          <w:lang w:eastAsia="zh-CN"/>
        </w:rPr>
        <w:t>以上</w:t>
      </w:r>
      <w:r>
        <w:rPr>
          <w:rFonts w:hint="eastAsia"/>
          <w:color w:val="auto"/>
          <w:sz w:val="24"/>
          <w:szCs w:val="24"/>
          <w:highlight w:val="none"/>
          <w:u w:val="single"/>
        </w:rPr>
        <w:t>费用包含在中标人投标报价中</w:t>
      </w:r>
      <w:r>
        <w:rPr>
          <w:rFonts w:hint="eastAsia"/>
          <w:color w:val="auto"/>
          <w:sz w:val="24"/>
          <w:szCs w:val="24"/>
          <w:highlight w:val="none"/>
          <w:u w:val="single"/>
          <w:lang w:eastAsia="zh-CN"/>
        </w:rPr>
        <w:t>。</w:t>
      </w:r>
    </w:p>
    <w:p w14:paraId="2D136A81">
      <w:pPr>
        <w:pStyle w:val="4"/>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14:paraId="50A6F203">
      <w:pPr>
        <w:pStyle w:val="4"/>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2E28E8B5">
      <w:pPr>
        <w:pStyle w:val="4"/>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20B02223">
      <w:pPr>
        <w:pStyle w:val="4"/>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47B96735">
      <w:pPr>
        <w:pStyle w:val="4"/>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462E9753">
      <w:pPr>
        <w:pStyle w:val="4"/>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14:paraId="688434E3">
      <w:pPr>
        <w:pStyle w:val="4"/>
        <w:spacing w:after="0" w:line="360" w:lineRule="auto"/>
        <w:ind w:firstLine="480" w:firstLineChars="200"/>
        <w:rPr>
          <w:rFonts w:ascii="宋体"/>
          <w:color w:val="auto"/>
          <w:sz w:val="24"/>
          <w:highlight w:val="none"/>
          <w:u w:val="single"/>
        </w:rPr>
      </w:pPr>
      <w:r>
        <w:rPr>
          <w:rFonts w:hint="eastAsia" w:ascii="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r>
        <w:rPr>
          <w:rFonts w:hint="eastAsia" w:ascii="宋体"/>
          <w:color w:val="auto"/>
          <w:sz w:val="24"/>
          <w:highlight w:val="none"/>
          <w:u w:val="single"/>
        </w:rPr>
        <w:t>行政监督部门将对其违法行为进行政处罚并通报。</w:t>
      </w:r>
    </w:p>
    <w:p w14:paraId="0DFC2956">
      <w:pPr>
        <w:pStyle w:val="4"/>
        <w:spacing w:after="0" w:line="360" w:lineRule="auto"/>
        <w:ind w:firstLine="480" w:firstLineChars="200"/>
        <w:rPr>
          <w:rFonts w:hint="eastAsia" w:ascii="宋体" w:hAnsi="宋体"/>
          <w:color w:val="auto"/>
          <w:sz w:val="24"/>
          <w:highlight w:val="none"/>
        </w:rPr>
      </w:pPr>
    </w:p>
    <w:p w14:paraId="7F4984AC">
      <w:pPr>
        <w:pStyle w:val="2"/>
        <w:rPr>
          <w:color w:val="auto"/>
          <w:highlight w:val="none"/>
        </w:rPr>
      </w:pPr>
      <w:r>
        <w:rPr>
          <w:rFonts w:ascii="宋体"/>
          <w:color w:val="auto"/>
          <w:sz w:val="24"/>
          <w:highlight w:val="none"/>
        </w:rPr>
        <w:br w:type="page"/>
      </w:r>
      <w:bookmarkStart w:id="18" w:name="_Toc21525498"/>
      <w:bookmarkStart w:id="19" w:name="_Toc2272554"/>
      <w:r>
        <w:rPr>
          <w:rFonts w:hint="eastAsia"/>
          <w:color w:val="auto"/>
          <w:highlight w:val="none"/>
        </w:rPr>
        <w:t>第二章开标、评标及定标办法</w:t>
      </w:r>
      <w:bookmarkEnd w:id="18"/>
      <w:bookmarkEnd w:id="19"/>
    </w:p>
    <w:p w14:paraId="42775651">
      <w:pPr>
        <w:pStyle w:val="6"/>
        <w:rPr>
          <w:color w:val="auto"/>
          <w:highlight w:val="none"/>
        </w:rPr>
      </w:pPr>
      <w:bookmarkStart w:id="20" w:name="_Toc21525499"/>
      <w:bookmarkStart w:id="21" w:name="_Toc2272555"/>
      <w:r>
        <w:rPr>
          <w:rFonts w:hint="eastAsia"/>
          <w:color w:val="auto"/>
          <w:sz w:val="28"/>
          <w:szCs w:val="28"/>
          <w:highlight w:val="none"/>
        </w:rPr>
        <w:t>一、</w:t>
      </w:r>
      <w:r>
        <w:rPr>
          <w:rFonts w:hint="eastAsia"/>
          <w:color w:val="auto"/>
          <w:highlight w:val="none"/>
        </w:rPr>
        <w:t>开标、评标及定标办法修改表</w:t>
      </w:r>
      <w:bookmarkEnd w:id="20"/>
      <w:bookmarkEnd w:id="21"/>
    </w:p>
    <w:p w14:paraId="51CED57F">
      <w:pPr>
        <w:pStyle w:val="4"/>
        <w:spacing w:after="0" w:line="360" w:lineRule="auto"/>
        <w:rPr>
          <w:b/>
          <w:color w:val="auto"/>
          <w:szCs w:val="21"/>
          <w:highlight w:val="none"/>
        </w:rPr>
      </w:pPr>
      <w:r>
        <w:rPr>
          <w:rFonts w:hint="eastAsia"/>
          <w:b/>
          <w:color w:val="auto"/>
          <w:szCs w:val="21"/>
          <w:highlight w:val="none"/>
        </w:rPr>
        <w:t>声明：本</w:t>
      </w:r>
      <w:r>
        <w:rPr>
          <w:rFonts w:hint="eastAsia"/>
          <w:b/>
          <w:color w:val="auto"/>
          <w:highlight w:val="none"/>
        </w:rPr>
        <w:t>开标、评标及定标办法使用GZZB2018-3招标文件范本的开标、评标及定标办法通用条款，与该通用条款不同之处，均在本表中列明，并以现文为准，原</w:t>
      </w:r>
      <w:r>
        <w:rPr>
          <w:rFonts w:hint="eastAsia"/>
          <w:b/>
          <w:color w:val="auto"/>
          <w:szCs w:val="21"/>
          <w:highlight w:val="none"/>
        </w:rPr>
        <w:t>文不再有效。本招标文件中不再转录</w:t>
      </w:r>
      <w:r>
        <w:rPr>
          <w:rFonts w:hint="eastAsia"/>
          <w:b/>
          <w:color w:val="auto"/>
          <w:highlight w:val="none"/>
        </w:rPr>
        <w:t>开标、评标及定标办法</w:t>
      </w:r>
      <w:r>
        <w:rPr>
          <w:rFonts w:hint="eastAsia"/>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1"/>
          <w:b/>
          <w:color w:val="auto"/>
          <w:szCs w:val="21"/>
          <w:highlight w:val="none"/>
        </w:rPr>
        <w:t>http://www.gzcc.gov.cn/</w:t>
      </w:r>
      <w:r>
        <w:rPr>
          <w:rStyle w:val="41"/>
          <w:rFonts w:hint="eastAsia"/>
          <w:b/>
          <w:color w:val="auto"/>
          <w:szCs w:val="21"/>
          <w:highlight w:val="none"/>
        </w:rPr>
        <w:t>）下载GZZB2018-3</w:t>
      </w:r>
      <w:r>
        <w:rPr>
          <w:rStyle w:val="41"/>
          <w:rFonts w:hint="eastAsia"/>
          <w:b/>
          <w:color w:val="auto"/>
          <w:szCs w:val="21"/>
          <w:highlight w:val="none"/>
        </w:rPr>
        <w:fldChar w:fldCharType="end"/>
      </w:r>
      <w:r>
        <w:rPr>
          <w:rFonts w:hint="eastAsia"/>
          <w:b/>
          <w:color w:val="auto"/>
          <w:szCs w:val="21"/>
          <w:highlight w:val="none"/>
        </w:rPr>
        <w:t>范本查阅。</w:t>
      </w:r>
    </w:p>
    <w:p w14:paraId="4A92F093">
      <w:pPr>
        <w:spacing w:line="360" w:lineRule="auto"/>
        <w:ind w:firstLine="472" w:firstLineChars="224"/>
        <w:rPr>
          <w:b/>
          <w:color w:val="auto"/>
          <w:szCs w:val="21"/>
          <w:highlight w:val="none"/>
        </w:rPr>
      </w:pPr>
      <w:r>
        <w:rPr>
          <w:rFonts w:hint="eastAsia"/>
          <w:b/>
          <w:color w:val="auto"/>
          <w:szCs w:val="21"/>
          <w:highlight w:val="none"/>
        </w:rPr>
        <w:t>条款号：可选办法一                 修改类型：删除</w:t>
      </w:r>
    </w:p>
    <w:p w14:paraId="6337D598">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可选办法一（适合综合评分法一，技术标与经济标先后分别开启）</w:t>
      </w:r>
    </w:p>
    <w:p w14:paraId="0EEBC44D">
      <w:pPr>
        <w:spacing w:line="360" w:lineRule="auto"/>
        <w:ind w:firstLine="472" w:firstLineChars="224"/>
        <w:rPr>
          <w:b/>
          <w:color w:val="auto"/>
          <w:szCs w:val="21"/>
          <w:highlight w:val="none"/>
        </w:rPr>
      </w:pPr>
      <w:r>
        <w:rPr>
          <w:rFonts w:hint="eastAsia"/>
          <w:b/>
          <w:color w:val="auto"/>
          <w:szCs w:val="21"/>
          <w:highlight w:val="none"/>
        </w:rPr>
        <w:t>条款号：可选办法二                 修改类型：删除</w:t>
      </w:r>
    </w:p>
    <w:p w14:paraId="146CBB60">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可选办法二（适合综合评分法一，技术标与经济标同时开启）</w:t>
      </w:r>
    </w:p>
    <w:p w14:paraId="4406484C">
      <w:pPr>
        <w:spacing w:line="360" w:lineRule="auto"/>
        <w:ind w:firstLine="472" w:firstLineChars="224"/>
        <w:rPr>
          <w:b/>
          <w:color w:val="auto"/>
          <w:szCs w:val="21"/>
          <w:highlight w:val="none"/>
        </w:rPr>
      </w:pPr>
      <w:r>
        <w:rPr>
          <w:rFonts w:hint="eastAsia"/>
          <w:b/>
          <w:color w:val="auto"/>
          <w:szCs w:val="21"/>
          <w:highlight w:val="none"/>
        </w:rPr>
        <w:t>条款号：可选办法三修改类型：删除</w:t>
      </w:r>
    </w:p>
    <w:p w14:paraId="45316240">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可选办法三</w:t>
      </w:r>
    </w:p>
    <w:p w14:paraId="572F2FFB">
      <w:pPr>
        <w:spacing w:line="360" w:lineRule="auto"/>
        <w:ind w:firstLine="472" w:firstLineChars="224"/>
        <w:rPr>
          <w:b/>
          <w:color w:val="auto"/>
          <w:szCs w:val="21"/>
          <w:highlight w:val="none"/>
        </w:rPr>
      </w:pPr>
      <w:r>
        <w:rPr>
          <w:rFonts w:hint="eastAsia"/>
          <w:b/>
          <w:color w:val="auto"/>
          <w:szCs w:val="21"/>
          <w:highlight w:val="none"/>
        </w:rPr>
        <w:t>条款号：可选办法四                 修改类型：删除</w:t>
      </w:r>
    </w:p>
    <w:p w14:paraId="24DF52E9">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可选办法四（适合综合评分法二，技术标与经济标同时开启）</w:t>
      </w:r>
    </w:p>
    <w:p w14:paraId="3A9B7C1C">
      <w:pPr>
        <w:spacing w:line="360" w:lineRule="auto"/>
        <w:ind w:firstLine="472" w:firstLineChars="224"/>
        <w:rPr>
          <w:b/>
          <w:color w:val="auto"/>
          <w:szCs w:val="21"/>
          <w:highlight w:val="none"/>
        </w:rPr>
      </w:pPr>
      <w:r>
        <w:rPr>
          <w:rFonts w:hint="eastAsia"/>
          <w:b/>
          <w:color w:val="auto"/>
          <w:szCs w:val="21"/>
          <w:highlight w:val="none"/>
        </w:rPr>
        <w:t>条款号：可选办法五                修改类型：删除</w:t>
      </w:r>
    </w:p>
    <w:p w14:paraId="32796B8C">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可选办法五（适合综合评分法三，技术标与经济标先后分别开启）</w:t>
      </w:r>
    </w:p>
    <w:p w14:paraId="1BA42490">
      <w:pPr>
        <w:spacing w:line="360" w:lineRule="auto"/>
        <w:ind w:firstLine="472" w:firstLineChars="224"/>
        <w:rPr>
          <w:b/>
          <w:color w:val="auto"/>
          <w:szCs w:val="21"/>
          <w:highlight w:val="none"/>
        </w:rPr>
      </w:pPr>
      <w:r>
        <w:rPr>
          <w:rFonts w:hint="eastAsia"/>
          <w:b/>
          <w:color w:val="auto"/>
          <w:szCs w:val="21"/>
          <w:highlight w:val="none"/>
        </w:rPr>
        <w:t>条款号：可选办法六                 修改类型：删除</w:t>
      </w:r>
    </w:p>
    <w:p w14:paraId="57E8142A">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可选办法六（适合综合评分法三，技术标与经济标同时开启）</w:t>
      </w:r>
    </w:p>
    <w:p w14:paraId="20245529">
      <w:pPr>
        <w:spacing w:line="360" w:lineRule="auto"/>
        <w:ind w:firstLine="472" w:firstLineChars="224"/>
        <w:rPr>
          <w:b/>
          <w:color w:val="auto"/>
          <w:szCs w:val="21"/>
          <w:highlight w:val="none"/>
        </w:rPr>
      </w:pPr>
      <w:r>
        <w:rPr>
          <w:rFonts w:hint="eastAsia"/>
          <w:b/>
          <w:color w:val="auto"/>
          <w:szCs w:val="21"/>
          <w:highlight w:val="none"/>
        </w:rPr>
        <w:t>条款号：可选办法八                 修改类型：删除</w:t>
      </w:r>
    </w:p>
    <w:p w14:paraId="3AE6ACFF">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原文：</w:t>
      </w:r>
      <w:r>
        <w:rPr>
          <w:rFonts w:hint="eastAsia"/>
          <w:color w:val="auto"/>
          <w:szCs w:val="21"/>
          <w:highlight w:val="none"/>
        </w:rPr>
        <w:t>可选办法八（适合经评审的最低投标价法，技术标与经济标同时开启）</w:t>
      </w:r>
    </w:p>
    <w:p w14:paraId="4334A30E">
      <w:pPr>
        <w:spacing w:line="360" w:lineRule="auto"/>
        <w:ind w:firstLine="472" w:firstLineChars="224"/>
        <w:rPr>
          <w:b/>
          <w:color w:val="auto"/>
          <w:szCs w:val="21"/>
          <w:highlight w:val="none"/>
        </w:rPr>
      </w:pPr>
      <w:r>
        <w:rPr>
          <w:rFonts w:hint="eastAsia"/>
          <w:b/>
          <w:color w:val="auto"/>
          <w:szCs w:val="21"/>
          <w:highlight w:val="none"/>
        </w:rPr>
        <w:t>条款号：</w:t>
      </w:r>
      <w:r>
        <w:rPr>
          <w:rFonts w:hint="eastAsia"/>
          <w:b w:val="0"/>
          <w:bCs/>
          <w:color w:val="auto"/>
          <w:szCs w:val="21"/>
          <w:highlight w:val="none"/>
        </w:rPr>
        <w:t xml:space="preserve">36.1 </w:t>
      </w:r>
      <w:r>
        <w:rPr>
          <w:rFonts w:hint="eastAsia"/>
          <w:b/>
          <w:color w:val="auto"/>
          <w:szCs w:val="21"/>
          <w:highlight w:val="none"/>
        </w:rPr>
        <w:t xml:space="preserve">                 修改类型：修改</w:t>
      </w:r>
    </w:p>
    <w:p w14:paraId="40AC7E56">
      <w:pPr>
        <w:pBdr>
          <w:bottom w:val="single" w:color="auto" w:sz="6" w:space="1"/>
        </w:pBdr>
        <w:spacing w:line="360" w:lineRule="auto"/>
        <w:ind w:firstLine="472" w:firstLineChars="224"/>
        <w:rPr>
          <w:rFonts w:hint="eastAsia"/>
          <w:b w:val="0"/>
          <w:bCs/>
          <w:color w:val="auto"/>
          <w:szCs w:val="21"/>
          <w:highlight w:val="none"/>
        </w:rPr>
      </w:pPr>
      <w:r>
        <w:rPr>
          <w:rFonts w:hint="eastAsia"/>
          <w:b/>
          <w:color w:val="auto"/>
          <w:szCs w:val="21"/>
          <w:highlight w:val="none"/>
        </w:rPr>
        <w:t>原文：</w:t>
      </w:r>
      <w:r>
        <w:rPr>
          <w:rFonts w:hint="eastAsia" w:ascii="宋体" w:hAnsi="宋体" w:cs="宋体"/>
          <w:b w:val="0"/>
          <w:bCs/>
          <w:color w:val="auto"/>
          <w:szCs w:val="21"/>
          <w:highlight w:val="none"/>
        </w:rPr>
        <w:t>36.1</w:t>
      </w:r>
      <w:r>
        <w:rPr>
          <w:rFonts w:hint="eastAsia"/>
          <w:b w:val="0"/>
          <w:bCs/>
          <w:color w:val="auto"/>
          <w:szCs w:val="21"/>
          <w:highlight w:val="none"/>
        </w:rPr>
        <w:t xml:space="preserve"> 招标人按投标须知前附表第18项所规定的时间和地点公开开标，并邀请所有投标人参加。截标后，开标开始时间因故推迟的，相关评标信息仍以原定的开标开始时间的信息为准</w:t>
      </w:r>
    </w:p>
    <w:p w14:paraId="75B5A68B">
      <w:pPr>
        <w:pBdr>
          <w:bottom w:val="single" w:color="auto" w:sz="6" w:space="1"/>
        </w:pBdr>
        <w:spacing w:line="360" w:lineRule="auto"/>
        <w:ind w:firstLine="472" w:firstLineChars="224"/>
        <w:rPr>
          <w:rFonts w:hint="eastAsia"/>
          <w:b w:val="0"/>
          <w:bCs/>
          <w:color w:val="auto"/>
          <w:szCs w:val="21"/>
          <w:highlight w:val="none"/>
        </w:rPr>
      </w:pPr>
      <w:r>
        <w:rPr>
          <w:rFonts w:hint="eastAsia"/>
          <w:b/>
          <w:color w:val="auto"/>
          <w:szCs w:val="21"/>
          <w:highlight w:val="none"/>
          <w:lang w:eastAsia="zh-CN"/>
        </w:rPr>
        <w:t>现</w:t>
      </w:r>
      <w:r>
        <w:rPr>
          <w:rFonts w:hint="eastAsia"/>
          <w:b/>
          <w:color w:val="auto"/>
          <w:szCs w:val="21"/>
          <w:highlight w:val="none"/>
        </w:rPr>
        <w:t>文：</w:t>
      </w:r>
      <w:r>
        <w:rPr>
          <w:rFonts w:hint="eastAsia" w:ascii="宋体" w:hAnsi="宋体" w:eastAsia="宋体" w:cs="宋体"/>
          <w:b w:val="0"/>
          <w:bCs/>
          <w:color w:val="auto"/>
          <w:szCs w:val="21"/>
          <w:highlight w:val="none"/>
        </w:rPr>
        <w:t>36.1</w:t>
      </w:r>
      <w:r>
        <w:rPr>
          <w:rFonts w:hint="eastAsia"/>
          <w:b w:val="0"/>
          <w:bCs/>
          <w:color w:val="auto"/>
          <w:szCs w:val="21"/>
          <w:highlight w:val="none"/>
        </w:rPr>
        <w:t>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14:paraId="5D599A4B">
      <w:pPr>
        <w:spacing w:line="360" w:lineRule="auto"/>
        <w:ind w:firstLine="472" w:firstLineChars="224"/>
        <w:rPr>
          <w:rFonts w:hint="eastAsia" w:eastAsia="宋体"/>
          <w:b/>
          <w:color w:val="auto"/>
          <w:szCs w:val="21"/>
          <w:highlight w:val="none"/>
          <w:lang w:eastAsia="zh-CN"/>
        </w:rPr>
      </w:pPr>
      <w:r>
        <w:rPr>
          <w:rFonts w:hint="eastAsia"/>
          <w:b/>
          <w:color w:val="auto"/>
          <w:szCs w:val="21"/>
          <w:highlight w:val="none"/>
        </w:rPr>
        <w:t>条款号：36.5.1                 修改类型：</w:t>
      </w:r>
      <w:r>
        <w:rPr>
          <w:rFonts w:hint="eastAsia"/>
          <w:b/>
          <w:color w:val="auto"/>
          <w:szCs w:val="21"/>
          <w:highlight w:val="none"/>
          <w:lang w:eastAsia="zh-CN"/>
        </w:rPr>
        <w:t>修改</w:t>
      </w:r>
    </w:p>
    <w:p w14:paraId="2C9238A5">
      <w:pPr>
        <w:pBdr>
          <w:bottom w:val="single" w:color="auto" w:sz="6" w:space="1"/>
        </w:pBdr>
        <w:spacing w:line="360" w:lineRule="auto"/>
        <w:ind w:firstLine="472" w:firstLineChars="224"/>
        <w:rPr>
          <w:rFonts w:hint="eastAsia"/>
          <w:b/>
          <w:color w:val="auto"/>
          <w:szCs w:val="21"/>
          <w:highlight w:val="none"/>
        </w:rPr>
      </w:pPr>
      <w:r>
        <w:rPr>
          <w:rFonts w:hint="eastAsia"/>
          <w:b/>
          <w:color w:val="auto"/>
          <w:szCs w:val="21"/>
          <w:highlight w:val="none"/>
        </w:rPr>
        <w:t>原文：</w:t>
      </w:r>
      <w:r>
        <w:rPr>
          <w:rFonts w:hint="eastAsia"/>
          <w:b w:val="0"/>
          <w:color w:val="auto"/>
          <w:szCs w:val="21"/>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1D4C3B71">
      <w:pPr>
        <w:pBdr>
          <w:bottom w:val="single" w:color="auto" w:sz="6" w:space="1"/>
        </w:pBdr>
        <w:spacing w:line="360" w:lineRule="auto"/>
        <w:ind w:firstLine="470" w:firstLineChars="224"/>
        <w:rPr>
          <w:rFonts w:hint="eastAsia" w:eastAsia="宋体"/>
          <w:color w:val="auto"/>
          <w:szCs w:val="21"/>
          <w:highlight w:val="none"/>
          <w:lang w:eastAsia="zh-CN"/>
        </w:rPr>
      </w:pPr>
      <w:r>
        <w:rPr>
          <w:rFonts w:hint="eastAsia"/>
          <w:color w:val="auto"/>
          <w:szCs w:val="21"/>
          <w:highlight w:val="none"/>
          <w:lang w:eastAsia="zh-CN"/>
        </w:rPr>
        <w:t>现文：</w:t>
      </w:r>
      <w:r>
        <w:rPr>
          <w:rFonts w:hint="eastAsia" w:eastAsia="宋体"/>
          <w:b w:val="0"/>
          <w:color w:val="auto"/>
          <w:szCs w:val="21"/>
          <w:highlight w:val="none"/>
        </w:rPr>
        <w:t>36.5.1在投标截止时间后</w:t>
      </w:r>
      <w:r>
        <w:rPr>
          <w:rFonts w:hint="eastAsia"/>
          <w:b w:val="0"/>
          <w:color w:val="auto"/>
          <w:szCs w:val="21"/>
          <w:highlight w:val="none"/>
          <w:lang w:eastAsia="zh-CN"/>
        </w:rPr>
        <w:t>一</w:t>
      </w:r>
      <w:r>
        <w:rPr>
          <w:rFonts w:hint="eastAsia" w:eastAsia="宋体"/>
          <w:b w:val="0"/>
          <w:color w:val="auto"/>
          <w:szCs w:val="21"/>
          <w:highlight w:val="none"/>
        </w:rPr>
        <w:t>小时内，投标人通过</w:t>
      </w:r>
      <w:r>
        <w:rPr>
          <w:rFonts w:hint="eastAsia" w:eastAsia="宋体"/>
          <w:b w:val="0"/>
          <w:color w:val="auto"/>
          <w:szCs w:val="21"/>
          <w:highlight w:val="none"/>
          <w:u w:val="single"/>
        </w:rPr>
        <w:t>广州交易集团有限公司（广州公共资源交易中心）</w:t>
      </w:r>
      <w:r>
        <w:rPr>
          <w:rFonts w:hint="eastAsia" w:eastAsia="宋体"/>
          <w:b w:val="0"/>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w:t>
      </w:r>
      <w:r>
        <w:rPr>
          <w:rFonts w:hint="eastAsia" w:eastAsia="宋体"/>
          <w:b w:val="0"/>
          <w:strike/>
          <w:color w:val="auto"/>
          <w:szCs w:val="21"/>
          <w:highlight w:val="none"/>
        </w:rPr>
        <w:t>投标保证金的递交情况、</w:t>
      </w:r>
      <w:r>
        <w:rPr>
          <w:rFonts w:hint="eastAsia" w:eastAsia="宋体"/>
          <w:b w:val="0"/>
          <w:color w:val="auto"/>
          <w:szCs w:val="21"/>
          <w:highlight w:val="none"/>
        </w:rPr>
        <w:t>投标报价、工期及其他内容；</w:t>
      </w:r>
    </w:p>
    <w:p w14:paraId="7CCED424">
      <w:pPr>
        <w:spacing w:line="360" w:lineRule="auto"/>
        <w:ind w:firstLine="472" w:firstLineChars="224"/>
        <w:rPr>
          <w:rFonts w:hint="eastAsia" w:eastAsia="宋体"/>
          <w:b/>
          <w:color w:val="auto"/>
          <w:szCs w:val="21"/>
          <w:highlight w:val="none"/>
          <w:lang w:eastAsia="zh-CN"/>
        </w:rPr>
      </w:pPr>
      <w:r>
        <w:rPr>
          <w:rFonts w:hint="eastAsia"/>
          <w:b/>
          <w:color w:val="auto"/>
          <w:szCs w:val="21"/>
          <w:highlight w:val="none"/>
        </w:rPr>
        <w:t>条款号：36.5.</w:t>
      </w:r>
      <w:r>
        <w:rPr>
          <w:rFonts w:hint="eastAsia"/>
          <w:b/>
          <w:color w:val="auto"/>
          <w:szCs w:val="21"/>
          <w:highlight w:val="none"/>
          <w:lang w:val="en-US" w:eastAsia="zh-CN"/>
        </w:rPr>
        <w:t>3</w:t>
      </w:r>
      <w:r>
        <w:rPr>
          <w:rFonts w:hint="eastAsia"/>
          <w:b/>
          <w:color w:val="auto"/>
          <w:szCs w:val="21"/>
          <w:highlight w:val="none"/>
        </w:rPr>
        <w:t xml:space="preserve">                 修改类型：</w:t>
      </w:r>
      <w:r>
        <w:rPr>
          <w:rFonts w:hint="eastAsia"/>
          <w:b/>
          <w:color w:val="auto"/>
          <w:szCs w:val="21"/>
          <w:highlight w:val="none"/>
          <w:lang w:eastAsia="zh-CN"/>
        </w:rPr>
        <w:t>修改</w:t>
      </w:r>
    </w:p>
    <w:p w14:paraId="67593690">
      <w:pPr>
        <w:pBdr>
          <w:bottom w:val="single" w:color="auto" w:sz="6" w:space="1"/>
        </w:pBdr>
        <w:spacing w:line="360" w:lineRule="auto"/>
        <w:ind w:firstLine="472" w:firstLineChars="224"/>
        <w:rPr>
          <w:rFonts w:hint="eastAsia"/>
          <w:b/>
          <w:color w:val="auto"/>
          <w:szCs w:val="21"/>
          <w:highlight w:val="none"/>
        </w:rPr>
      </w:pPr>
      <w:r>
        <w:rPr>
          <w:rFonts w:hint="eastAsia"/>
          <w:b/>
          <w:color w:val="auto"/>
          <w:szCs w:val="21"/>
          <w:highlight w:val="none"/>
          <w:lang w:eastAsia="zh-CN"/>
        </w:rPr>
        <w:t>原文：</w:t>
      </w:r>
      <w:r>
        <w:rPr>
          <w:rFonts w:hint="eastAsia"/>
          <w:b w:val="0"/>
          <w:bCs/>
          <w:color w:val="auto"/>
          <w:szCs w:val="21"/>
          <w:highlight w:val="none"/>
        </w:rPr>
        <w:t>36.5.3投标人代表、招标人代表、监标人、记录人等有关人员在开标记录上签字确认；若有关人员不签字的，不影响开标程序</w:t>
      </w:r>
      <w:r>
        <w:rPr>
          <w:rFonts w:hint="eastAsia"/>
          <w:b w:val="0"/>
          <w:bCs/>
          <w:color w:val="auto"/>
          <w:szCs w:val="21"/>
          <w:highlight w:val="none"/>
          <w:lang w:eastAsia="zh-CN"/>
        </w:rPr>
        <w:t>。</w:t>
      </w:r>
    </w:p>
    <w:p w14:paraId="5081CE56">
      <w:pPr>
        <w:pBdr>
          <w:bottom w:val="single" w:color="auto" w:sz="6" w:space="1"/>
        </w:pBdr>
        <w:spacing w:line="360" w:lineRule="auto"/>
        <w:ind w:firstLine="472" w:firstLineChars="224"/>
        <w:rPr>
          <w:rFonts w:hint="eastAsia"/>
          <w:b/>
          <w:color w:val="auto"/>
          <w:szCs w:val="21"/>
          <w:highlight w:val="none"/>
        </w:rPr>
      </w:pPr>
      <w:r>
        <w:rPr>
          <w:rFonts w:hint="eastAsia"/>
          <w:b/>
          <w:color w:val="auto"/>
          <w:szCs w:val="21"/>
          <w:highlight w:val="none"/>
          <w:lang w:eastAsia="zh-CN"/>
        </w:rPr>
        <w:t>现</w:t>
      </w:r>
      <w:r>
        <w:rPr>
          <w:rFonts w:hint="eastAsia"/>
          <w:b/>
          <w:color w:val="auto"/>
          <w:szCs w:val="21"/>
          <w:highlight w:val="none"/>
        </w:rPr>
        <w:t>文：</w:t>
      </w:r>
      <w:r>
        <w:rPr>
          <w:rFonts w:hint="eastAsia"/>
          <w:b w:val="0"/>
          <w:bCs/>
          <w:color w:val="auto"/>
          <w:szCs w:val="21"/>
          <w:highlight w:val="none"/>
        </w:rPr>
        <w:t>36.5.3投标人代表、招标人代表、监标人、记录人等有关人员在开标记录上签字确认；若有关人员不签字的，不影响开标程序；若投标人不参加开标会的，或不签字确认的，视同该投标人认可开标结果。</w:t>
      </w:r>
    </w:p>
    <w:p w14:paraId="5BEC4FBE">
      <w:pPr>
        <w:spacing w:line="480" w:lineRule="auto"/>
        <w:ind w:firstLine="422" w:firstLineChars="200"/>
        <w:rPr>
          <w:b/>
          <w:color w:val="auto"/>
          <w:szCs w:val="21"/>
          <w:highlight w:val="none"/>
        </w:rPr>
      </w:pPr>
      <w:r>
        <w:rPr>
          <w:rFonts w:hint="eastAsia"/>
          <w:b/>
          <w:color w:val="auto"/>
          <w:szCs w:val="21"/>
          <w:highlight w:val="none"/>
        </w:rPr>
        <w:t>条款号：37.2.2                       修改类型：修改</w:t>
      </w:r>
    </w:p>
    <w:p w14:paraId="27D04388">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37.2.2向招标人报告评审意见，推荐合格的中标候选人。</w:t>
      </w:r>
    </w:p>
    <w:p w14:paraId="56A5A531">
      <w:pPr>
        <w:pBdr>
          <w:bottom w:val="single" w:color="auto" w:sz="6" w:space="1"/>
        </w:pBdr>
        <w:spacing w:line="360" w:lineRule="auto"/>
        <w:ind w:firstLine="472" w:firstLineChars="224"/>
        <w:rPr>
          <w:b/>
          <w:color w:val="auto"/>
          <w:szCs w:val="21"/>
          <w:highlight w:val="none"/>
        </w:rPr>
      </w:pPr>
      <w:r>
        <w:rPr>
          <w:rFonts w:hint="eastAsia"/>
          <w:b/>
          <w:color w:val="auto"/>
          <w:szCs w:val="21"/>
          <w:highlight w:val="none"/>
        </w:rPr>
        <w:t>现文：</w:t>
      </w:r>
      <w:r>
        <w:rPr>
          <w:rFonts w:hint="eastAsia"/>
          <w:color w:val="auto"/>
          <w:szCs w:val="21"/>
          <w:highlight w:val="none"/>
        </w:rPr>
        <w:t>37.2.2</w:t>
      </w:r>
      <w:r>
        <w:rPr>
          <w:rFonts w:hint="eastAsia" w:ascii="宋体" w:hAnsi="宋体"/>
          <w:color w:val="auto"/>
          <w:sz w:val="21"/>
          <w:szCs w:val="21"/>
          <w:highlight w:val="none"/>
        </w:rPr>
        <w:t>本项目采用评定分离定标办法，其中：评标采用通过制评审，评标委员会对投标文件进行资格审查，再对通过资格审查的投标文件进行有效性审查，将通过有效性审查的合格投标人全部推荐为中标候选人进入定标阶段。定标采用直接票决定标法。</w:t>
      </w:r>
    </w:p>
    <w:p w14:paraId="2FB8D843">
      <w:pPr>
        <w:spacing w:line="360" w:lineRule="auto"/>
        <w:ind w:firstLine="472" w:firstLineChars="224"/>
        <w:rPr>
          <w:b/>
          <w:color w:val="auto"/>
          <w:szCs w:val="21"/>
          <w:highlight w:val="none"/>
        </w:rPr>
      </w:pPr>
      <w:r>
        <w:rPr>
          <w:rFonts w:hint="eastAsia"/>
          <w:b/>
          <w:color w:val="auto"/>
          <w:szCs w:val="21"/>
          <w:highlight w:val="none"/>
        </w:rPr>
        <w:t>条款号：37.3</w:t>
      </w:r>
      <w:r>
        <w:rPr>
          <w:rFonts w:hint="eastAsia"/>
          <w:b/>
          <w:color w:val="auto"/>
          <w:szCs w:val="21"/>
          <w:highlight w:val="none"/>
          <w:lang w:val="en-US" w:eastAsia="zh-CN"/>
        </w:rPr>
        <w:t>-37.4</w:t>
      </w:r>
      <w:r>
        <w:rPr>
          <w:rFonts w:hint="eastAsia"/>
          <w:b/>
          <w:color w:val="auto"/>
          <w:szCs w:val="21"/>
          <w:highlight w:val="none"/>
        </w:rPr>
        <w:t xml:space="preserve">                       修改类型：修改</w:t>
      </w:r>
    </w:p>
    <w:p w14:paraId="3C280D85">
      <w:pPr>
        <w:spacing w:line="360" w:lineRule="auto"/>
        <w:ind w:firstLine="472" w:firstLineChars="224"/>
        <w:rPr>
          <w:rFonts w:hint="eastAsia"/>
          <w:color w:val="auto"/>
          <w:szCs w:val="21"/>
          <w:highlight w:val="none"/>
        </w:rPr>
      </w:pPr>
      <w:r>
        <w:rPr>
          <w:rFonts w:hint="eastAsia"/>
          <w:b/>
          <w:color w:val="auto"/>
          <w:szCs w:val="21"/>
          <w:highlight w:val="none"/>
        </w:rPr>
        <w:t>原文：</w:t>
      </w:r>
      <w:r>
        <w:rPr>
          <w:rFonts w:hint="eastAsia"/>
          <w:color w:val="auto"/>
          <w:szCs w:val="21"/>
          <w:highlight w:val="none"/>
        </w:rPr>
        <w:t>37.3 评标结束后，评标委员会递交评标报告并依法推荐中标候选人</w:t>
      </w:r>
    </w:p>
    <w:p w14:paraId="1320AA02">
      <w:pPr>
        <w:spacing w:line="360" w:lineRule="auto"/>
        <w:ind w:firstLine="472" w:firstLineChars="224"/>
        <w:rPr>
          <w:rFonts w:hint="eastAsia" w:ascii="宋体" w:hAnsi="宋体"/>
          <w:b w:val="0"/>
          <w:bCs/>
          <w:color w:val="auto"/>
          <w:sz w:val="21"/>
          <w:szCs w:val="21"/>
          <w:highlight w:val="none"/>
        </w:rPr>
      </w:pPr>
      <w:r>
        <w:rPr>
          <w:rFonts w:hint="eastAsia"/>
          <w:b/>
          <w:color w:val="auto"/>
          <w:szCs w:val="21"/>
          <w:highlight w:val="none"/>
          <w:lang w:eastAsia="zh-CN"/>
        </w:rPr>
        <w:t>现文：</w:t>
      </w:r>
      <w:r>
        <w:rPr>
          <w:rFonts w:hint="eastAsia" w:ascii="宋体" w:hAnsi="宋体"/>
          <w:b w:val="0"/>
          <w:bCs/>
          <w:color w:val="auto"/>
          <w:sz w:val="21"/>
          <w:szCs w:val="21"/>
          <w:highlight w:val="none"/>
          <w:u w:val="single"/>
        </w:rPr>
        <w:t>37.3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8E37402">
      <w:pPr>
        <w:spacing w:line="360" w:lineRule="auto"/>
        <w:ind w:firstLine="470" w:firstLineChars="224"/>
        <w:rPr>
          <w:rFonts w:hint="eastAsia"/>
          <w:color w:val="auto"/>
          <w:szCs w:val="21"/>
          <w:highlight w:val="none"/>
        </w:rPr>
      </w:pPr>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en-US" w:eastAsia="zh-CN"/>
        </w:rPr>
        <w:t>4</w:t>
      </w:r>
      <w:r>
        <w:rPr>
          <w:rFonts w:hint="eastAsia" w:ascii="Calibri" w:hAnsi="Calibri"/>
          <w:bCs/>
          <w:color w:val="auto"/>
          <w:sz w:val="21"/>
          <w:szCs w:val="21"/>
          <w:highlight w:val="none"/>
          <w:u w:val="none"/>
        </w:rPr>
        <w:t>评标结束后，</w:t>
      </w:r>
      <w:r>
        <w:rPr>
          <w:rFonts w:hint="eastAsia"/>
          <w:bCs/>
          <w:color w:val="auto"/>
          <w:szCs w:val="21"/>
          <w:highlight w:val="none"/>
        </w:rPr>
        <w:t>向招标人</w:t>
      </w:r>
      <w:r>
        <w:rPr>
          <w:rFonts w:hint="eastAsia"/>
          <w:bCs/>
          <w:color w:val="auto"/>
          <w:szCs w:val="21"/>
          <w:highlight w:val="none"/>
          <w:lang w:eastAsia="zh-CN"/>
        </w:rPr>
        <w:t>递交</w:t>
      </w:r>
      <w:r>
        <w:rPr>
          <w:rFonts w:hint="eastAsia"/>
          <w:bCs/>
          <w:color w:val="auto"/>
          <w:szCs w:val="21"/>
          <w:highlight w:val="none"/>
        </w:rPr>
        <w:t>评审意见，推荐合格的中标候选人【不排序，按统一社会信用代码后4位（除校验码外）大小排位】。</w:t>
      </w:r>
    </w:p>
    <w:p w14:paraId="0FCBFF9A">
      <w:pPr>
        <w:pStyle w:val="20"/>
        <w:rPr>
          <w:rFonts w:hint="default"/>
          <w:color w:val="auto"/>
          <w:szCs w:val="21"/>
          <w:highlight w:val="none"/>
          <w:u w:val="single"/>
        </w:rPr>
      </w:pPr>
      <w:r>
        <w:rPr>
          <w:rFonts w:hint="eastAsia"/>
          <w:color w:val="auto"/>
          <w:szCs w:val="21"/>
          <w:highlight w:val="none"/>
          <w:u w:val="single"/>
          <w:lang w:val="en-US" w:eastAsia="zh-CN"/>
        </w:rPr>
        <w:t xml:space="preserve">                                                                                        </w:t>
      </w:r>
    </w:p>
    <w:p w14:paraId="3C487CAA">
      <w:pPr>
        <w:pStyle w:val="20"/>
        <w:rPr>
          <w:rFonts w:hint="default"/>
          <w:color w:val="auto"/>
          <w:highlight w:val="none"/>
          <w:lang w:val="en-US" w:eastAsia="zh-CN"/>
        </w:rPr>
      </w:pPr>
    </w:p>
    <w:p w14:paraId="2EEE40A3">
      <w:pPr>
        <w:spacing w:line="360" w:lineRule="auto"/>
        <w:ind w:firstLine="472" w:firstLineChars="224"/>
        <w:rPr>
          <w:b/>
          <w:color w:val="auto"/>
          <w:szCs w:val="21"/>
          <w:highlight w:val="none"/>
        </w:rPr>
      </w:pPr>
      <w:r>
        <w:rPr>
          <w:rFonts w:hint="eastAsia"/>
          <w:b/>
          <w:color w:val="auto"/>
          <w:szCs w:val="21"/>
          <w:highlight w:val="none"/>
        </w:rPr>
        <w:t>条款号：39.1、39.2、39.3</w:t>
      </w:r>
      <w:r>
        <w:rPr>
          <w:rFonts w:hint="eastAsia"/>
          <w:b/>
          <w:color w:val="auto"/>
          <w:szCs w:val="21"/>
          <w:highlight w:val="none"/>
          <w:lang w:eastAsia="zh-CN"/>
        </w:rPr>
        <w:t>、</w:t>
      </w:r>
      <w:r>
        <w:rPr>
          <w:rFonts w:hint="eastAsia"/>
          <w:b/>
          <w:color w:val="auto"/>
          <w:szCs w:val="21"/>
          <w:highlight w:val="none"/>
          <w:lang w:val="en-US" w:eastAsia="zh-CN"/>
        </w:rPr>
        <w:t>39.4</w:t>
      </w:r>
      <w:r>
        <w:rPr>
          <w:rFonts w:hint="eastAsia"/>
          <w:b/>
          <w:color w:val="auto"/>
          <w:szCs w:val="21"/>
          <w:highlight w:val="none"/>
        </w:rPr>
        <w:t xml:space="preserve">            修改类型：修改</w:t>
      </w:r>
    </w:p>
    <w:p w14:paraId="0481EE44">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原文：</w:t>
      </w:r>
      <w:r>
        <w:rPr>
          <w:rFonts w:hint="eastAsia"/>
          <w:color w:val="auto"/>
          <w:szCs w:val="21"/>
          <w:highlight w:val="none"/>
        </w:rPr>
        <w:t>39.1 招标人根据评标委员会递交的评标报告，最终审定中标人。</w:t>
      </w:r>
    </w:p>
    <w:p w14:paraId="516E75E4">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39.2 依法必须进行公开招标的项目，招标人应当确定排名第一的中标候选人为中标人。</w:t>
      </w:r>
    </w:p>
    <w:p w14:paraId="209F7888">
      <w:pPr>
        <w:pBdr>
          <w:bottom w:val="single" w:color="auto" w:sz="6" w:space="1"/>
        </w:pBdr>
        <w:spacing w:line="360" w:lineRule="auto"/>
        <w:ind w:firstLine="470" w:firstLineChars="224"/>
        <w:rPr>
          <w:rFonts w:hint="eastAsia" w:ascii="宋体" w:hAnsi="宋体"/>
          <w:color w:val="auto"/>
          <w:szCs w:val="21"/>
          <w:highlight w:val="none"/>
          <w:lang w:val="en-US" w:eastAsia="zh-CN"/>
        </w:rPr>
      </w:pPr>
      <w:r>
        <w:rPr>
          <w:rFonts w:ascii="宋体" w:hAnsi="宋体"/>
          <w:color w:val="auto"/>
          <w:szCs w:val="21"/>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r>
        <w:rPr>
          <w:rFonts w:hint="eastAsia" w:ascii="宋体" w:hAnsi="宋体"/>
          <w:color w:val="auto"/>
          <w:szCs w:val="21"/>
          <w:highlight w:val="none"/>
          <w:lang w:val="en-US" w:eastAsia="zh-CN"/>
        </w:rPr>
        <w:t xml:space="preserve">          </w:t>
      </w:r>
    </w:p>
    <w:p w14:paraId="76D7E401">
      <w:pPr>
        <w:pBdr>
          <w:bottom w:val="single" w:color="auto" w:sz="6" w:space="1"/>
        </w:pBdr>
        <w:spacing w:line="360" w:lineRule="auto"/>
        <w:ind w:firstLine="470" w:firstLineChars="224"/>
        <w:rPr>
          <w:rFonts w:hint="eastAsia" w:ascii="宋体" w:hAnsi="宋体"/>
          <w:color w:val="auto"/>
          <w:szCs w:val="21"/>
          <w:highlight w:val="none"/>
        </w:rPr>
      </w:pPr>
      <w:r>
        <w:rPr>
          <w:rFonts w:hint="eastAsia" w:ascii="Calibri" w:hAnsi="Calibri"/>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0DB9BB3A">
      <w:pPr>
        <w:pBdr>
          <w:bottom w:val="single" w:color="auto" w:sz="6" w:space="1"/>
        </w:pBdr>
        <w:spacing w:line="360" w:lineRule="auto"/>
        <w:ind w:firstLine="472" w:firstLineChars="224"/>
        <w:rPr>
          <w:color w:val="auto"/>
          <w:szCs w:val="21"/>
          <w:highlight w:val="none"/>
          <w:u w:val="single"/>
        </w:rPr>
      </w:pPr>
      <w:r>
        <w:rPr>
          <w:rFonts w:hint="eastAsia"/>
          <w:b/>
          <w:color w:val="auto"/>
          <w:szCs w:val="21"/>
          <w:highlight w:val="none"/>
        </w:rPr>
        <w:t>现文：</w:t>
      </w:r>
      <w:r>
        <w:rPr>
          <w:rFonts w:hint="eastAsia"/>
          <w:color w:val="auto"/>
          <w:szCs w:val="21"/>
          <w:highlight w:val="none"/>
        </w:rPr>
        <w:t>39.1 招标人</w:t>
      </w:r>
      <w:r>
        <w:rPr>
          <w:rFonts w:hint="eastAsia"/>
          <w:color w:val="auto"/>
          <w:szCs w:val="21"/>
          <w:highlight w:val="none"/>
          <w:u w:val="single"/>
        </w:rPr>
        <w:t>依法组建定标委员会，</w:t>
      </w:r>
      <w:r>
        <w:rPr>
          <w:rFonts w:hint="eastAsia"/>
          <w:color w:val="auto"/>
          <w:szCs w:val="21"/>
          <w:highlight w:val="none"/>
        </w:rPr>
        <w:t>根据定标委员会递交的</w:t>
      </w:r>
      <w:r>
        <w:rPr>
          <w:rFonts w:hint="eastAsia"/>
          <w:color w:val="auto"/>
          <w:szCs w:val="21"/>
          <w:highlight w:val="none"/>
          <w:u w:val="single"/>
        </w:rPr>
        <w:t>定</w:t>
      </w:r>
      <w:r>
        <w:rPr>
          <w:rFonts w:hint="eastAsia"/>
          <w:color w:val="auto"/>
          <w:szCs w:val="21"/>
          <w:highlight w:val="none"/>
        </w:rPr>
        <w:t>标报告，最终审定中标人。</w:t>
      </w:r>
    </w:p>
    <w:p w14:paraId="74CCFFFD">
      <w:pPr>
        <w:pBdr>
          <w:bottom w:val="single" w:color="auto" w:sz="6" w:space="1"/>
        </w:pBdr>
        <w:spacing w:line="360" w:lineRule="auto"/>
        <w:ind w:firstLine="470" w:firstLineChars="224"/>
        <w:rPr>
          <w:color w:val="auto"/>
          <w:szCs w:val="21"/>
          <w:highlight w:val="none"/>
        </w:rPr>
      </w:pPr>
      <w:r>
        <w:rPr>
          <w:rFonts w:hint="eastAsia"/>
          <w:color w:val="auto"/>
          <w:szCs w:val="21"/>
          <w:highlight w:val="none"/>
        </w:rPr>
        <w:t>39.2 依法必须进行公开招标的项目，招标人应当</w:t>
      </w:r>
      <w:r>
        <w:rPr>
          <w:rFonts w:hint="eastAsia"/>
          <w:color w:val="auto"/>
          <w:szCs w:val="21"/>
          <w:highlight w:val="none"/>
          <w:u w:val="single"/>
        </w:rPr>
        <w:t>根据定标报告</w:t>
      </w:r>
      <w:r>
        <w:rPr>
          <w:rFonts w:hint="eastAsia"/>
          <w:color w:val="auto"/>
          <w:szCs w:val="21"/>
          <w:highlight w:val="none"/>
        </w:rPr>
        <w:t>确定排名第一的中标候选人为中标人。</w:t>
      </w:r>
    </w:p>
    <w:p w14:paraId="5AE5417E">
      <w:pPr>
        <w:pBdr>
          <w:bottom w:val="single" w:color="auto" w:sz="6" w:space="1"/>
        </w:pBdr>
        <w:spacing w:line="360" w:lineRule="auto"/>
        <w:ind w:firstLine="470" w:firstLineChars="224"/>
        <w:rPr>
          <w:rFonts w:hint="eastAsia" w:ascii="宋体" w:hAnsi="宋体" w:eastAsia="宋体"/>
          <w:color w:val="auto"/>
          <w:szCs w:val="21"/>
          <w:highlight w:val="none"/>
          <w:u w:val="single"/>
          <w:lang w:eastAsia="zh-CN"/>
        </w:rPr>
      </w:pPr>
      <w:r>
        <w:rPr>
          <w:rFonts w:ascii="宋体" w:hAnsi="宋体"/>
          <w:color w:val="auto"/>
          <w:szCs w:val="21"/>
          <w:highlight w:val="none"/>
          <w:u w:val="single"/>
        </w:rPr>
        <w:t>39.3</w:t>
      </w:r>
      <w:r>
        <w:rPr>
          <w:rFonts w:hint="eastAsia" w:ascii="宋体" w:hAnsi="宋体"/>
          <w:color w:val="auto"/>
          <w:szCs w:val="21"/>
          <w:highlight w:val="none"/>
          <w:u w:val="single"/>
          <w:lang w:eastAsia="zh-CN"/>
        </w:rPr>
        <w:t>排名第一的中标候选人放弃中标、或因不可抗力不能履行合同，或者招标文件规定应当提交履约担保而在规定的期限内未能提交的，或者被查实存在影响中标结果的违法行为等情形，不符合中标条件的，招标人可以按照评标委员会推荐的中标候选人名单排序依次确定其他中标候选人为中标人，也可以重新招标。</w:t>
      </w:r>
    </w:p>
    <w:p w14:paraId="3647856D">
      <w:pPr>
        <w:pBdr>
          <w:bottom w:val="single" w:color="auto" w:sz="6" w:space="1"/>
        </w:pBdr>
        <w:spacing w:line="360" w:lineRule="auto"/>
        <w:ind w:firstLine="470" w:firstLineChars="224"/>
        <w:rPr>
          <w:rFonts w:ascii="宋体" w:hAnsi="宋体"/>
          <w:color w:val="auto"/>
          <w:szCs w:val="21"/>
          <w:highlight w:val="none"/>
          <w:u w:val="single"/>
        </w:rPr>
      </w:pPr>
      <w:r>
        <w:rPr>
          <w:rFonts w:hint="eastAsia" w:ascii="Calibri" w:hAnsi="Calibri"/>
          <w:strike/>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r>
        <w:rPr>
          <w:rFonts w:hint="eastAsia" w:ascii="Calibri" w:hAnsi="Calibri"/>
          <w:color w:val="auto"/>
          <w:szCs w:val="21"/>
          <w:highlight w:val="none"/>
        </w:rPr>
        <w:t>。</w:t>
      </w:r>
    </w:p>
    <w:p w14:paraId="3185FCB5">
      <w:pPr>
        <w:spacing w:line="360" w:lineRule="auto"/>
        <w:ind w:firstLine="472" w:firstLineChars="224"/>
        <w:rPr>
          <w:b/>
          <w:color w:val="auto"/>
          <w:szCs w:val="21"/>
          <w:highlight w:val="none"/>
        </w:rPr>
      </w:pPr>
      <w:r>
        <w:rPr>
          <w:rFonts w:hint="eastAsia"/>
          <w:b/>
          <w:color w:val="auto"/>
          <w:szCs w:val="21"/>
          <w:highlight w:val="none"/>
        </w:rPr>
        <w:t>条款号：39.6               修改类型：新增</w:t>
      </w:r>
    </w:p>
    <w:p w14:paraId="7ACF2BD2">
      <w:pPr>
        <w:pBdr>
          <w:bottom w:val="single" w:color="auto" w:sz="6" w:space="1"/>
        </w:pBdr>
        <w:spacing w:line="360" w:lineRule="auto"/>
        <w:ind w:firstLine="472" w:firstLineChars="224"/>
        <w:rPr>
          <w:color w:val="auto"/>
          <w:szCs w:val="21"/>
          <w:highlight w:val="none"/>
          <w:u w:val="single"/>
        </w:rPr>
      </w:pPr>
      <w:r>
        <w:rPr>
          <w:rFonts w:hint="eastAsia"/>
          <w:b/>
          <w:color w:val="auto"/>
          <w:szCs w:val="21"/>
          <w:highlight w:val="none"/>
        </w:rPr>
        <w:t>现文：</w:t>
      </w:r>
      <w:r>
        <w:rPr>
          <w:rFonts w:hint="eastAsia"/>
          <w:color w:val="auto"/>
          <w:szCs w:val="21"/>
          <w:highlight w:val="none"/>
          <w:u w:val="single"/>
        </w:rPr>
        <w:t>39.</w:t>
      </w:r>
      <w:r>
        <w:rPr>
          <w:rFonts w:hint="eastAsia"/>
          <w:color w:val="auto"/>
          <w:szCs w:val="21"/>
          <w:highlight w:val="none"/>
          <w:u w:val="single"/>
          <w:lang w:val="en-US" w:eastAsia="zh-CN"/>
        </w:rPr>
        <w:t>6</w:t>
      </w:r>
      <w:r>
        <w:rPr>
          <w:rFonts w:hint="eastAsia"/>
          <w:color w:val="auto"/>
          <w:szCs w:val="21"/>
          <w:highlight w:val="none"/>
          <w:u w:val="single"/>
        </w:rPr>
        <w:t>定标委员会在评标委员会评审的基础上，根据定标因素及投标人提供的投标文件定标部分，对进入定标阶段的N名入围候选人进行无记名投票，排序第一得N分，排序第二得N-1分，依此类推，排名第N名（即最后一名）得1分，将所有定标委员会成员对同一投标人的评分进行相加得出该投标人总得分，总得分由高至低排序入围候选人的名次，总得分最高的为第一入围候选人，总得分次高的为第二入围候选人，总得分第三高的为第三入围候选人，依此类推，至第N名入围候选人。</w:t>
      </w:r>
    </w:p>
    <w:p w14:paraId="0BBFFBBB">
      <w:pPr>
        <w:pBdr>
          <w:bottom w:val="single" w:color="auto" w:sz="6" w:space="1"/>
        </w:pBdr>
        <w:spacing w:line="360" w:lineRule="auto"/>
        <w:ind w:firstLine="470" w:firstLineChars="224"/>
        <w:rPr>
          <w:color w:val="auto"/>
          <w:szCs w:val="21"/>
          <w:highlight w:val="none"/>
          <w:u w:val="single"/>
        </w:rPr>
      </w:pPr>
      <w:r>
        <w:rPr>
          <w:rFonts w:hint="eastAsia"/>
          <w:color w:val="auto"/>
          <w:szCs w:val="21"/>
          <w:highlight w:val="none"/>
          <w:u w:val="single"/>
        </w:rPr>
        <w:t>若在第一轮投票出现总得分相同且影响入围候选人排序的，出现X家投标人名次排序并列的，则取消并列名次以后的X-1个名次，下一名次跳跃排列，并以总得分相同所有投标人为一组，由定标委员会分别对各组进行第二轮投票，每位定标委员会成员只有1票表决权（即只能对其中一家投标人投票），在本组中得票数最多的为本组第1名，得票数次多的为第2名，依此类推排序。若第二轮完成后，仍出现本组中票数相同的，则按第二轮方式进行票决，直至将各组全部投标人排列出不重叠排序为止；</w:t>
      </w:r>
    </w:p>
    <w:p w14:paraId="331EFAFD">
      <w:pPr>
        <w:pBdr>
          <w:bottom w:val="single" w:color="auto" w:sz="6" w:space="1"/>
        </w:pBdr>
        <w:spacing w:line="360" w:lineRule="auto"/>
        <w:ind w:firstLine="470" w:firstLineChars="224"/>
        <w:rPr>
          <w:rFonts w:ascii="宋体" w:hAnsi="宋体"/>
          <w:b/>
          <w:color w:val="auto"/>
          <w:szCs w:val="21"/>
          <w:highlight w:val="none"/>
        </w:rPr>
      </w:pPr>
      <w:r>
        <w:rPr>
          <w:rFonts w:hint="eastAsia"/>
          <w:color w:val="auto"/>
          <w:szCs w:val="21"/>
          <w:highlight w:val="none"/>
          <w:u w:val="single"/>
        </w:rPr>
        <w:t>定标委员会推荐排序第一的入围候选人为第一中标候选人、推荐排序第二的入围候选人为第二中标候选人、推荐排序第三的入围候选人为第三中标候选人，以此类推，直至排出所有入围候选人的中标候选人排序。</w:t>
      </w:r>
    </w:p>
    <w:p w14:paraId="2FD3FC3C">
      <w:pPr>
        <w:snapToGrid w:val="0"/>
        <w:spacing w:line="360" w:lineRule="auto"/>
        <w:ind w:firstLine="422" w:firstLineChars="200"/>
        <w:rPr>
          <w:rFonts w:ascii="宋体" w:hAnsi="宋体"/>
          <w:b/>
          <w:color w:val="auto"/>
          <w:szCs w:val="21"/>
          <w:highlight w:val="none"/>
        </w:rPr>
      </w:pPr>
    </w:p>
    <w:p w14:paraId="5CB02653">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条款号：40</w:t>
      </w:r>
      <w:r>
        <w:rPr>
          <w:rFonts w:hint="eastAsia" w:ascii="宋体" w:hAnsi="宋体"/>
          <w:b/>
          <w:color w:val="auto"/>
          <w:szCs w:val="21"/>
          <w:highlight w:val="none"/>
          <w:lang w:eastAsia="zh-CN"/>
        </w:rPr>
        <w:t>、</w:t>
      </w:r>
      <w:r>
        <w:rPr>
          <w:rFonts w:hint="eastAsia" w:ascii="宋体"/>
          <w:color w:val="auto"/>
          <w:sz w:val="21"/>
          <w:szCs w:val="21"/>
          <w:highlight w:val="none"/>
        </w:rPr>
        <w:t>40.1</w:t>
      </w:r>
      <w:r>
        <w:rPr>
          <w:rFonts w:hint="eastAsia" w:ascii="宋体"/>
          <w:color w:val="auto"/>
          <w:sz w:val="21"/>
          <w:szCs w:val="21"/>
          <w:highlight w:val="none"/>
          <w:lang w:val="en-US" w:eastAsia="zh-CN"/>
        </w:rPr>
        <w:t>-</w:t>
      </w:r>
      <w:r>
        <w:rPr>
          <w:rFonts w:hint="eastAsia" w:ascii="宋体" w:hAnsi="宋体"/>
          <w:b/>
          <w:color w:val="auto"/>
          <w:szCs w:val="21"/>
          <w:highlight w:val="none"/>
        </w:rPr>
        <w:t xml:space="preserve"> </w:t>
      </w:r>
      <w:r>
        <w:rPr>
          <w:rFonts w:hint="eastAsia" w:ascii="宋体"/>
          <w:color w:val="auto"/>
          <w:sz w:val="21"/>
          <w:szCs w:val="21"/>
          <w:highlight w:val="none"/>
        </w:rPr>
        <w:t>40.8</w:t>
      </w:r>
      <w:r>
        <w:rPr>
          <w:rFonts w:hint="eastAsia" w:ascii="宋体" w:hAnsi="宋体"/>
          <w:b/>
          <w:color w:val="auto"/>
          <w:szCs w:val="21"/>
          <w:highlight w:val="none"/>
        </w:rPr>
        <w:t xml:space="preserve">                      修改类型：修改</w:t>
      </w:r>
    </w:p>
    <w:p w14:paraId="39387D82">
      <w:pPr>
        <w:snapToGrid w:val="0"/>
        <w:spacing w:line="360" w:lineRule="auto"/>
        <w:ind w:firstLine="422" w:firstLineChars="200"/>
        <w:rPr>
          <w:rFonts w:ascii="宋体"/>
          <w:color w:val="auto"/>
          <w:sz w:val="21"/>
          <w:szCs w:val="21"/>
          <w:highlight w:val="none"/>
        </w:rPr>
      </w:pPr>
      <w:r>
        <w:rPr>
          <w:rFonts w:hint="eastAsia" w:ascii="宋体" w:hAnsi="宋体"/>
          <w:b/>
          <w:color w:val="auto"/>
          <w:szCs w:val="21"/>
          <w:highlight w:val="none"/>
        </w:rPr>
        <w:t>原文</w:t>
      </w:r>
      <w:r>
        <w:rPr>
          <w:rFonts w:hint="eastAsia" w:ascii="宋体"/>
          <w:color w:val="auto"/>
          <w:sz w:val="21"/>
          <w:szCs w:val="21"/>
          <w:highlight w:val="none"/>
        </w:rPr>
        <w:t>：40．开标和评标程序</w:t>
      </w:r>
    </w:p>
    <w:p w14:paraId="3C710E1C">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40.1技术标（含资格审查文件）与经济标投标文件同时公开开标；</w:t>
      </w:r>
    </w:p>
    <w:p w14:paraId="7B9200A1">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40.2由评标委员会对所有已公开开标的投标人进行资格审查；</w:t>
      </w:r>
    </w:p>
    <w:p w14:paraId="47633C01">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40.3技术标投标文件有效性审查；</w:t>
      </w:r>
    </w:p>
    <w:p w14:paraId="18B09627">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40.4技术标详细审查评分；</w:t>
      </w:r>
    </w:p>
    <w:p w14:paraId="0E6A1108">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40.5经济标详细审查评分；</w:t>
      </w:r>
      <w:r>
        <w:rPr>
          <w:rFonts w:ascii="宋体"/>
          <w:color w:val="auto"/>
          <w:sz w:val="21"/>
          <w:szCs w:val="21"/>
          <w:highlight w:val="none"/>
        </w:rPr>
        <w:t xml:space="preserve"> </w:t>
      </w:r>
    </w:p>
    <w:p w14:paraId="529A2C07">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40.6评标委员会按照投标人总得分由高至低排序；</w:t>
      </w:r>
    </w:p>
    <w:p w14:paraId="4F75E0AA">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40.7经济标投标文件有效性审查；</w:t>
      </w:r>
    </w:p>
    <w:p w14:paraId="7D8D0EEC">
      <w:pPr>
        <w:snapToGrid w:val="0"/>
        <w:spacing w:line="360" w:lineRule="auto"/>
        <w:ind w:firstLine="420" w:firstLineChars="200"/>
        <w:rPr>
          <w:rFonts w:ascii="宋体"/>
          <w:color w:val="auto"/>
          <w:szCs w:val="21"/>
          <w:highlight w:val="none"/>
        </w:rPr>
      </w:pPr>
      <w:r>
        <w:rPr>
          <w:rFonts w:hint="eastAsia" w:ascii="宋体"/>
          <w:color w:val="auto"/>
          <w:sz w:val="21"/>
          <w:szCs w:val="21"/>
          <w:highlight w:val="none"/>
        </w:rPr>
        <w:t>40.8评标委员会按排序向招标人推荐中标候选人名单，并递交资格审查报告及评标报告。</w:t>
      </w:r>
    </w:p>
    <w:p w14:paraId="7F87F5B7">
      <w:pPr>
        <w:snapToGrid w:val="0"/>
        <w:spacing w:line="360" w:lineRule="auto"/>
        <w:ind w:firstLine="422" w:firstLineChars="200"/>
        <w:rPr>
          <w:rFonts w:ascii="宋体"/>
          <w:color w:val="auto"/>
          <w:sz w:val="21"/>
          <w:szCs w:val="21"/>
          <w:highlight w:val="none"/>
        </w:rPr>
      </w:pPr>
      <w:r>
        <w:rPr>
          <w:rFonts w:hint="eastAsia" w:ascii="宋体" w:hAnsi="宋体"/>
          <w:b/>
          <w:color w:val="auto"/>
          <w:szCs w:val="21"/>
          <w:highlight w:val="none"/>
        </w:rPr>
        <w:t>现文：</w:t>
      </w:r>
      <w:r>
        <w:rPr>
          <w:rFonts w:hint="eastAsia" w:ascii="宋体"/>
          <w:color w:val="auto"/>
          <w:sz w:val="21"/>
          <w:szCs w:val="21"/>
          <w:highlight w:val="none"/>
        </w:rPr>
        <w:t>40．开标和评标程序</w:t>
      </w:r>
    </w:p>
    <w:p w14:paraId="423E3D8A">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40.1技术标（含资格审查文件）与经济标投标文件同时公开开标；</w:t>
      </w:r>
    </w:p>
    <w:p w14:paraId="5109356A">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40.2由评标委员会对所有已公开开标的投标人进行资格审查；</w:t>
      </w:r>
    </w:p>
    <w:p w14:paraId="41FB6DAC">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40.3技术标投标文件有效性审查；</w:t>
      </w:r>
    </w:p>
    <w:p w14:paraId="30B809FC">
      <w:pPr>
        <w:snapToGrid w:val="0"/>
        <w:spacing w:line="360" w:lineRule="auto"/>
        <w:ind w:firstLine="420" w:firstLineChars="200"/>
        <w:rPr>
          <w:rFonts w:ascii="宋体"/>
          <w:strike/>
          <w:color w:val="auto"/>
          <w:sz w:val="21"/>
          <w:szCs w:val="21"/>
          <w:highlight w:val="none"/>
        </w:rPr>
      </w:pPr>
      <w:r>
        <w:rPr>
          <w:rFonts w:hint="eastAsia" w:ascii="宋体"/>
          <w:strike/>
          <w:color w:val="auto"/>
          <w:sz w:val="21"/>
          <w:szCs w:val="21"/>
          <w:highlight w:val="none"/>
        </w:rPr>
        <w:t>40.4技术标详细审查评分；</w:t>
      </w:r>
    </w:p>
    <w:p w14:paraId="2AF7B281">
      <w:pPr>
        <w:snapToGrid w:val="0"/>
        <w:spacing w:line="360" w:lineRule="auto"/>
        <w:ind w:firstLine="420" w:firstLineChars="200"/>
        <w:rPr>
          <w:rFonts w:ascii="宋体"/>
          <w:strike/>
          <w:color w:val="auto"/>
          <w:sz w:val="21"/>
          <w:szCs w:val="21"/>
          <w:highlight w:val="none"/>
          <w:u w:val="single"/>
        </w:rPr>
      </w:pPr>
      <w:r>
        <w:rPr>
          <w:rFonts w:hint="eastAsia" w:ascii="宋体"/>
          <w:strike/>
          <w:color w:val="auto"/>
          <w:sz w:val="21"/>
          <w:szCs w:val="21"/>
          <w:highlight w:val="none"/>
          <w:u w:val="single"/>
        </w:rPr>
        <w:t>40.5经济标详细审查评分；</w:t>
      </w:r>
    </w:p>
    <w:p w14:paraId="6B66E714">
      <w:pPr>
        <w:snapToGrid w:val="0"/>
        <w:spacing w:line="360" w:lineRule="auto"/>
        <w:ind w:firstLine="420" w:firstLineChars="200"/>
        <w:rPr>
          <w:rFonts w:ascii="宋体"/>
          <w:strike/>
          <w:color w:val="auto"/>
          <w:sz w:val="21"/>
          <w:szCs w:val="21"/>
          <w:highlight w:val="none"/>
          <w:u w:val="none"/>
        </w:rPr>
      </w:pPr>
      <w:r>
        <w:rPr>
          <w:rFonts w:hint="eastAsia" w:ascii="宋体"/>
          <w:strike/>
          <w:color w:val="auto"/>
          <w:sz w:val="21"/>
          <w:szCs w:val="21"/>
          <w:highlight w:val="none"/>
          <w:u w:val="none"/>
        </w:rPr>
        <w:t>40.6评标委员会按照投标人总得分由高至低排序；</w:t>
      </w:r>
    </w:p>
    <w:p w14:paraId="06A1C664">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40.7经济标投标文件有效性审查；</w:t>
      </w:r>
    </w:p>
    <w:p w14:paraId="339B192F">
      <w:pPr>
        <w:pBdr>
          <w:bottom w:val="none" w:color="auto" w:sz="0" w:space="0"/>
        </w:pBdr>
        <w:snapToGrid w:val="0"/>
        <w:spacing w:line="360" w:lineRule="auto"/>
        <w:ind w:firstLine="420" w:firstLineChars="200"/>
        <w:rPr>
          <w:rFonts w:hint="eastAsia" w:ascii="宋体"/>
          <w:color w:val="auto"/>
          <w:sz w:val="21"/>
          <w:szCs w:val="21"/>
          <w:highlight w:val="none"/>
          <w:u w:val="single"/>
        </w:rPr>
      </w:pPr>
      <w:r>
        <w:rPr>
          <w:rFonts w:hint="eastAsia" w:ascii="宋体"/>
          <w:color w:val="auto"/>
          <w:sz w:val="21"/>
          <w:szCs w:val="21"/>
          <w:highlight w:val="none"/>
          <w:u w:val="single"/>
        </w:rPr>
        <w:t>40.8评标委员会向招标人递交资格审查报告及评标报告。评标采用通过制评审，评标委员会对投标文件进行资格审查，再对通过资格审查的投标文件进行有效性审查，将通过有效性审查的合格投标人全部推荐为中标候选人进入定标阶段。</w:t>
      </w:r>
    </w:p>
    <w:p w14:paraId="6781065A">
      <w:pPr>
        <w:pBdr>
          <w:bottom w:val="none" w:color="auto" w:sz="0" w:space="0"/>
        </w:pBdr>
        <w:snapToGrid w:val="0"/>
        <w:spacing w:line="360" w:lineRule="auto"/>
        <w:ind w:firstLine="0" w:firstLineChars="0"/>
        <w:rPr>
          <w:rFonts w:hint="default" w:ascii="宋体" w:eastAsia="宋体"/>
          <w:color w:val="auto"/>
          <w:sz w:val="21"/>
          <w:szCs w:val="21"/>
          <w:highlight w:val="none"/>
          <w:u w:val="single"/>
          <w:lang w:val="en-US" w:eastAsia="zh-CN"/>
        </w:rPr>
      </w:pPr>
      <w:r>
        <w:rPr>
          <w:rFonts w:hint="eastAsia" w:ascii="宋体"/>
          <w:color w:val="auto"/>
          <w:sz w:val="21"/>
          <w:szCs w:val="21"/>
          <w:highlight w:val="none"/>
          <w:u w:val="single"/>
          <w:lang w:val="en-US" w:eastAsia="zh-CN"/>
        </w:rPr>
        <w:t xml:space="preserve">                                                                                          </w:t>
      </w:r>
    </w:p>
    <w:p w14:paraId="5D50B687">
      <w:pPr>
        <w:snapToGrid w:val="0"/>
        <w:spacing w:beforeLines="-2147483648"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14:paraId="28A54CB0">
      <w:pPr>
        <w:spacing w:line="360" w:lineRule="auto"/>
        <w:ind w:firstLine="527" w:firstLineChars="250"/>
        <w:rPr>
          <w:rFonts w:ascii="宋体" w:hAnsi="宋体" w:cs="宋体"/>
          <w:color w:val="auto"/>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hAnsi="宋体" w:cs="宋体"/>
          <w:color w:val="auto"/>
          <w:szCs w:val="21"/>
          <w:highlight w:val="none"/>
        </w:rPr>
        <w:t>41.1开标由招标人主持；</w:t>
      </w:r>
    </w:p>
    <w:p w14:paraId="11E8E3AB">
      <w:pPr>
        <w:pBdr>
          <w:bottom w:val="single" w:color="auto" w:sz="6" w:space="1"/>
        </w:pBdr>
        <w:snapToGrid/>
        <w:spacing w:line="360" w:lineRule="auto"/>
        <w:ind w:firstLine="527" w:firstLineChars="250"/>
        <w:rPr>
          <w:rFonts w:ascii="宋体" w:hAnsi="宋体"/>
          <w:b w:val="0"/>
          <w:color w:val="auto"/>
          <w:szCs w:val="21"/>
          <w:highlight w:val="none"/>
          <w:u w:val="none"/>
        </w:rPr>
      </w:pPr>
      <w:r>
        <w:rPr>
          <w:rFonts w:hint="eastAsia" w:ascii="宋体" w:hAnsi="宋体"/>
          <w:b/>
          <w:color w:val="auto"/>
          <w:szCs w:val="21"/>
          <w:highlight w:val="none"/>
        </w:rPr>
        <w:t>现文：</w:t>
      </w:r>
      <w:r>
        <w:rPr>
          <w:rFonts w:hint="eastAsia" w:ascii="宋体" w:hAnsi="宋体"/>
          <w:color w:val="auto"/>
          <w:szCs w:val="21"/>
          <w:highlight w:val="none"/>
        </w:rPr>
        <w:t>41.1</w:t>
      </w:r>
      <w:r>
        <w:rPr>
          <w:rFonts w:hint="eastAsia" w:ascii="宋体" w:hAnsi="宋体"/>
          <w:color w:val="auto"/>
          <w:szCs w:val="21"/>
          <w:highlight w:val="none"/>
          <w:lang w:eastAsia="zh-CN"/>
        </w:rPr>
        <w:t>开标由招标人或其委托的招标代理机构主持</w:t>
      </w:r>
      <w:r>
        <w:rPr>
          <w:rFonts w:hint="eastAsia" w:ascii="宋体" w:hAnsi="宋体"/>
          <w:color w:val="auto"/>
          <w:szCs w:val="21"/>
          <w:highlight w:val="none"/>
        </w:rPr>
        <w:t>；</w:t>
      </w:r>
    </w:p>
    <w:p w14:paraId="67F7E466">
      <w:pPr>
        <w:snapToGrid w:val="0"/>
        <w:spacing w:beforeLines="-2147483648" w:line="360" w:lineRule="auto"/>
        <w:ind w:firstLine="422" w:firstLineChars="200"/>
        <w:jc w:val="left"/>
        <w:rPr>
          <w:rFonts w:hint="eastAsia" w:ascii="宋体" w:hAnsi="宋体" w:cs="宋体"/>
          <w:b/>
          <w:color w:val="auto"/>
          <w:szCs w:val="21"/>
          <w:highlight w:val="none"/>
        </w:rPr>
      </w:pPr>
    </w:p>
    <w:p w14:paraId="71AC4171">
      <w:pPr>
        <w:snapToGrid w:val="0"/>
        <w:spacing w:beforeLines="-2147483648" w:line="360" w:lineRule="auto"/>
        <w:ind w:firstLine="422" w:firstLineChars="200"/>
        <w:jc w:val="left"/>
        <w:rPr>
          <w:rFonts w:hint="eastAsia" w:ascii="宋体" w:hAnsi="宋体" w:cs="宋体"/>
          <w:b/>
          <w:color w:val="auto"/>
          <w:szCs w:val="21"/>
          <w:highlight w:val="none"/>
          <w:lang w:eastAsia="zh-CN"/>
        </w:rPr>
      </w:pPr>
      <w:r>
        <w:rPr>
          <w:rFonts w:hint="eastAsia" w:ascii="宋体" w:hAnsi="宋体" w:cs="宋体"/>
          <w:b/>
          <w:color w:val="auto"/>
          <w:szCs w:val="21"/>
          <w:highlight w:val="none"/>
        </w:rPr>
        <w:t>条款号：41.2.2                    修改类型：</w:t>
      </w:r>
      <w:r>
        <w:rPr>
          <w:rFonts w:hint="eastAsia" w:ascii="宋体" w:hAnsi="宋体" w:cs="宋体"/>
          <w:b/>
          <w:color w:val="auto"/>
          <w:szCs w:val="21"/>
          <w:highlight w:val="none"/>
          <w:lang w:eastAsia="zh-CN"/>
        </w:rPr>
        <w:t>删除</w:t>
      </w:r>
    </w:p>
    <w:p w14:paraId="4362DD73">
      <w:pPr>
        <w:snapToGrid w:val="0"/>
        <w:spacing w:line="360" w:lineRule="auto"/>
        <w:ind w:firstLine="422" w:firstLineChars="200"/>
        <w:rPr>
          <w:rFonts w:hint="eastAsia" w:ascii="宋体"/>
          <w:strike w:val="0"/>
          <w:color w:val="auto"/>
          <w:sz w:val="21"/>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strike w:val="0"/>
          <w:color w:val="auto"/>
          <w:sz w:val="21"/>
          <w:szCs w:val="21"/>
          <w:highlight w:val="none"/>
        </w:rPr>
        <w:t>41.2.2开标前，首先由招标人随机抽取确定该工程计算评标参考价的等分点值X。</w:t>
      </w:r>
    </w:p>
    <w:p w14:paraId="5AA4E1A3">
      <w:pPr>
        <w:pStyle w:val="20"/>
        <w:ind w:firstLine="0" w:firstLineChars="0"/>
        <w:rPr>
          <w:rFonts w:hint="default" w:ascii="宋体"/>
          <w:strike w:val="0"/>
          <w:color w:val="auto"/>
          <w:sz w:val="21"/>
          <w:szCs w:val="21"/>
          <w:highlight w:val="none"/>
          <w:u w:val="single"/>
        </w:rPr>
      </w:pPr>
      <w:r>
        <w:rPr>
          <w:rFonts w:hint="eastAsia"/>
          <w:strike w:val="0"/>
          <w:color w:val="auto"/>
          <w:sz w:val="21"/>
          <w:szCs w:val="21"/>
          <w:highlight w:val="none"/>
          <w:u w:val="single"/>
          <w:lang w:val="en-US" w:eastAsia="zh-CN"/>
        </w:rPr>
        <w:t xml:space="preserve">                                                                                       </w:t>
      </w:r>
    </w:p>
    <w:p w14:paraId="0C891D36">
      <w:pPr>
        <w:snapToGrid w:val="0"/>
        <w:spacing w:beforeLines="-2147483648" w:line="360" w:lineRule="auto"/>
        <w:ind w:firstLine="422" w:firstLineChars="200"/>
        <w:jc w:val="left"/>
        <w:rPr>
          <w:rFonts w:hint="eastAsia" w:ascii="宋体" w:hAnsi="宋体" w:cs="宋体"/>
          <w:b/>
          <w:color w:val="auto"/>
          <w:szCs w:val="21"/>
          <w:highlight w:val="none"/>
          <w:lang w:eastAsia="zh-CN"/>
        </w:rPr>
      </w:pPr>
      <w:r>
        <w:rPr>
          <w:rFonts w:hint="eastAsia" w:ascii="宋体" w:hAnsi="宋体" w:cs="宋体"/>
          <w:b/>
          <w:color w:val="auto"/>
          <w:szCs w:val="21"/>
          <w:highlight w:val="none"/>
        </w:rPr>
        <w:t>条款号：41.2.3                    修改类型：</w:t>
      </w:r>
      <w:r>
        <w:rPr>
          <w:rFonts w:hint="eastAsia" w:ascii="宋体" w:hAnsi="宋体" w:cs="宋体"/>
          <w:b/>
          <w:color w:val="auto"/>
          <w:szCs w:val="21"/>
          <w:highlight w:val="none"/>
          <w:lang w:eastAsia="zh-CN"/>
        </w:rPr>
        <w:t>删除</w:t>
      </w:r>
    </w:p>
    <w:p w14:paraId="45D3ACC5">
      <w:pPr>
        <w:snapToGrid w:val="0"/>
        <w:spacing w:line="360" w:lineRule="auto"/>
        <w:ind w:firstLine="422" w:firstLineChars="200"/>
        <w:rPr>
          <w:rFonts w:hint="eastAsia" w:ascii="宋体"/>
          <w:strike w:val="0"/>
          <w:color w:val="auto"/>
          <w:sz w:val="21"/>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strike w:val="0"/>
          <w:color w:val="auto"/>
          <w:sz w:val="21"/>
          <w:szCs w:val="21"/>
          <w:highlight w:val="none"/>
        </w:rPr>
        <w:t>41.2.3开标时，投标人代表有权出席开标会，也可以自主决定不参加开标会，若投标人代表对开标过程提出异议，该投标人代表须同时出示本人身份证原件。</w:t>
      </w:r>
    </w:p>
    <w:p w14:paraId="54F57983">
      <w:pPr>
        <w:snapToGrid w:val="0"/>
        <w:spacing w:line="360" w:lineRule="auto"/>
        <w:ind w:firstLine="422" w:firstLineChars="200"/>
        <w:rPr>
          <w:rFonts w:ascii="宋体"/>
          <w:color w:val="auto"/>
          <w:sz w:val="24"/>
          <w:szCs w:val="24"/>
          <w:highlight w:val="none"/>
        </w:rPr>
      </w:pPr>
      <w:r>
        <w:rPr>
          <w:rFonts w:hint="eastAsia" w:ascii="宋体" w:hAnsi="宋体"/>
          <w:b/>
          <w:strike w:val="0"/>
          <w:color w:val="auto"/>
          <w:sz w:val="21"/>
          <w:szCs w:val="21"/>
          <w:highlight w:val="none"/>
          <w:lang w:eastAsia="zh-CN"/>
        </w:rPr>
        <w:t>现文：</w:t>
      </w:r>
      <w:r>
        <w:rPr>
          <w:rFonts w:hint="eastAsia" w:ascii="宋体"/>
          <w:color w:val="auto"/>
          <w:sz w:val="21"/>
          <w:szCs w:val="21"/>
          <w:highlight w:val="none"/>
        </w:rPr>
        <w:t>41.2.3</w:t>
      </w:r>
      <w:r>
        <w:rPr>
          <w:rFonts w:hint="eastAsia" w:ascii="宋体"/>
          <w:bCs/>
          <w:color w:val="auto"/>
          <w:sz w:val="21"/>
          <w:szCs w:val="21"/>
          <w:highlight w:val="none"/>
        </w:rPr>
        <w:t>开标时，投标人代表有权参加现场开标或</w:t>
      </w:r>
      <w:r>
        <w:rPr>
          <w:rFonts w:hint="eastAsia" w:ascii="宋体"/>
          <w:b/>
          <w:bCs/>
          <w:color w:val="auto"/>
          <w:sz w:val="21"/>
          <w:szCs w:val="21"/>
          <w:highlight w:val="none"/>
        </w:rPr>
        <w:t>在线开标</w:t>
      </w:r>
      <w:r>
        <w:rPr>
          <w:rFonts w:hint="eastAsia" w:ascii="宋体"/>
          <w:bCs/>
          <w:color w:val="auto"/>
          <w:sz w:val="21"/>
          <w:szCs w:val="21"/>
          <w:highlight w:val="none"/>
        </w:rPr>
        <w:t>，也可以自主决定不参加开标，若投标人代表对开标过程有异议的，</w:t>
      </w:r>
      <w:r>
        <w:rPr>
          <w:rFonts w:hint="eastAsia" w:ascii="宋体"/>
          <w:b/>
          <w:bCs/>
          <w:color w:val="auto"/>
          <w:sz w:val="21"/>
          <w:szCs w:val="21"/>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69D7AFB2">
      <w:pPr>
        <w:pStyle w:val="20"/>
        <w:ind w:firstLine="0" w:firstLineChars="0"/>
        <w:rPr>
          <w:rFonts w:hint="default" w:ascii="宋体"/>
          <w:strike w:val="0"/>
          <w:color w:val="auto"/>
          <w:sz w:val="21"/>
          <w:szCs w:val="21"/>
          <w:highlight w:val="none"/>
          <w:u w:val="single"/>
        </w:rPr>
      </w:pPr>
      <w:r>
        <w:rPr>
          <w:rFonts w:hint="eastAsia"/>
          <w:strike w:val="0"/>
          <w:color w:val="auto"/>
          <w:sz w:val="21"/>
          <w:szCs w:val="21"/>
          <w:highlight w:val="none"/>
          <w:u w:val="single"/>
          <w:lang w:val="en-US" w:eastAsia="zh-CN"/>
        </w:rPr>
        <w:t xml:space="preserve">                                                                                     </w:t>
      </w:r>
    </w:p>
    <w:p w14:paraId="4918464E">
      <w:pPr>
        <w:snapToGrid w:val="0"/>
        <w:spacing w:beforeLines="-2147483648"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条款号：41.2.4.1                        修改类型：修改</w:t>
      </w:r>
    </w:p>
    <w:p w14:paraId="3AD49B11">
      <w:pPr>
        <w:spacing w:line="360" w:lineRule="auto"/>
        <w:ind w:firstLine="527" w:firstLineChars="250"/>
        <w:rPr>
          <w:rFonts w:ascii="宋体" w:hAnsi="宋体" w:cs="宋体"/>
          <w:color w:val="auto"/>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hAnsi="宋体" w:cs="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29B51840">
      <w:pPr>
        <w:pBdr>
          <w:bottom w:val="single" w:color="auto" w:sz="6" w:space="1"/>
        </w:pBdr>
        <w:snapToGrid/>
        <w:spacing w:line="360" w:lineRule="auto"/>
        <w:ind w:firstLine="527" w:firstLineChars="250"/>
        <w:rPr>
          <w:rFonts w:ascii="宋体" w:hAnsi="宋体"/>
          <w:b w:val="0"/>
          <w:color w:val="auto"/>
          <w:szCs w:val="21"/>
          <w:highlight w:val="none"/>
          <w:u w:val="none"/>
        </w:rPr>
      </w:pPr>
      <w:r>
        <w:rPr>
          <w:rFonts w:hint="eastAsia" w:ascii="宋体" w:hAnsi="宋体"/>
          <w:b/>
          <w:color w:val="auto"/>
          <w:szCs w:val="21"/>
          <w:highlight w:val="none"/>
        </w:rPr>
        <w:t>现文：</w:t>
      </w:r>
      <w:r>
        <w:rPr>
          <w:rFonts w:hint="eastAsia" w:ascii="宋体" w:hAnsi="宋体" w:cs="宋体"/>
          <w:color w:val="auto"/>
          <w:szCs w:val="21"/>
          <w:highlight w:val="none"/>
        </w:rPr>
        <w:t>41.2.4.1开标时，公布：a、投标人名称；b、投标文件密封情况；c、投标报价；</w:t>
      </w:r>
      <w:r>
        <w:rPr>
          <w:rFonts w:hint="eastAsia" w:ascii="宋体" w:hAnsi="宋体" w:cs="宋体"/>
          <w:strike/>
          <w:color w:val="auto"/>
          <w:szCs w:val="21"/>
          <w:highlight w:val="none"/>
        </w:rPr>
        <w:t>d、投标保证金；</w:t>
      </w:r>
      <w:r>
        <w:rPr>
          <w:rFonts w:hint="eastAsia" w:ascii="宋体" w:hAnsi="宋体" w:cs="宋体"/>
          <w:color w:val="auto"/>
          <w:szCs w:val="21"/>
          <w:highlight w:val="none"/>
        </w:rPr>
        <w:t>e、项目经理（负责人）名称；f、法定代表人证明及授权委托等主要内容及开标记录表中的其他必要内容。投标报价以数字和文字两种方式表述的，应公布文字表述的投标报价。</w:t>
      </w:r>
    </w:p>
    <w:p w14:paraId="5F4966ED">
      <w:pPr>
        <w:snapToGrid w:val="0"/>
        <w:spacing w:beforeLines="-2147483648" w:line="360" w:lineRule="auto"/>
        <w:ind w:firstLine="422" w:firstLineChars="200"/>
        <w:jc w:val="left"/>
        <w:rPr>
          <w:rFonts w:hint="eastAsia" w:ascii="宋体" w:hAnsi="宋体" w:cs="宋体"/>
          <w:b/>
          <w:color w:val="auto"/>
          <w:szCs w:val="21"/>
          <w:highlight w:val="none"/>
          <w:lang w:eastAsia="zh-CN"/>
        </w:rPr>
      </w:pPr>
      <w:r>
        <w:rPr>
          <w:rFonts w:hint="eastAsia" w:ascii="宋体" w:hAnsi="宋体" w:cs="宋体"/>
          <w:b/>
          <w:color w:val="auto"/>
          <w:szCs w:val="21"/>
          <w:highlight w:val="none"/>
        </w:rPr>
        <w:t>条款号：41.3                   修改类型：</w:t>
      </w:r>
      <w:r>
        <w:rPr>
          <w:rFonts w:hint="eastAsia" w:ascii="宋体" w:hAnsi="宋体" w:cs="宋体"/>
          <w:b/>
          <w:color w:val="auto"/>
          <w:szCs w:val="21"/>
          <w:highlight w:val="none"/>
          <w:lang w:eastAsia="zh-CN"/>
        </w:rPr>
        <w:t>修改</w:t>
      </w:r>
    </w:p>
    <w:p w14:paraId="03ED84A9">
      <w:pPr>
        <w:snapToGrid w:val="0"/>
        <w:spacing w:line="360" w:lineRule="auto"/>
        <w:ind w:firstLine="422" w:firstLineChars="200"/>
        <w:rPr>
          <w:rFonts w:hint="eastAsia" w:ascii="宋体"/>
          <w:strike w:val="0"/>
          <w:color w:val="auto"/>
          <w:sz w:val="21"/>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strike w:val="0"/>
          <w:color w:val="auto"/>
          <w:sz w:val="21"/>
          <w:szCs w:val="21"/>
          <w:highlight w:val="none"/>
        </w:rPr>
        <w:t>41.3招标人对开标过程进行记录，并存档备查，投标人在技术标开标记录上签字。</w:t>
      </w:r>
    </w:p>
    <w:p w14:paraId="7E1A48A7">
      <w:pPr>
        <w:pStyle w:val="20"/>
        <w:spacing w:line="360" w:lineRule="auto"/>
        <w:ind w:firstLine="422" w:firstLineChars="200"/>
        <w:rPr>
          <w:rFonts w:hint="eastAsia" w:eastAsia="宋体"/>
          <w:color w:val="auto"/>
          <w:szCs w:val="21"/>
          <w:highlight w:val="none"/>
          <w:lang w:eastAsia="zh-CN"/>
        </w:rPr>
      </w:pPr>
      <w:r>
        <w:rPr>
          <w:rFonts w:hint="eastAsia" w:ascii="宋体" w:hAnsi="宋体"/>
          <w:b/>
          <w:strike w:val="0"/>
          <w:color w:val="auto"/>
          <w:sz w:val="21"/>
          <w:szCs w:val="21"/>
          <w:highlight w:val="none"/>
          <w:lang w:eastAsia="zh-CN"/>
        </w:rPr>
        <w:t>现文：</w:t>
      </w:r>
      <w:r>
        <w:rPr>
          <w:rFonts w:hint="eastAsia" w:ascii="宋体"/>
          <w:strike w:val="0"/>
          <w:color w:val="auto"/>
          <w:sz w:val="21"/>
          <w:szCs w:val="21"/>
          <w:highlight w:val="none"/>
        </w:rPr>
        <w:t>41.3</w:t>
      </w:r>
      <w:r>
        <w:rPr>
          <w:rFonts w:hint="eastAsia"/>
          <w:color w:val="auto"/>
          <w:sz w:val="21"/>
          <w:szCs w:val="21"/>
          <w:highlight w:val="none"/>
        </w:rPr>
        <w:t>招标人</w:t>
      </w:r>
      <w:r>
        <w:rPr>
          <w:rFonts w:hint="eastAsia" w:ascii="宋体" w:hAnsi="宋体" w:cs="宋体"/>
          <w:color w:val="auto"/>
          <w:sz w:val="21"/>
          <w:szCs w:val="21"/>
          <w:highlight w:val="none"/>
          <w:u w:val="single"/>
        </w:rPr>
        <w:t>或招标代理</w:t>
      </w:r>
      <w:r>
        <w:rPr>
          <w:rFonts w:hint="eastAsia"/>
          <w:color w:val="auto"/>
          <w:sz w:val="21"/>
          <w:szCs w:val="21"/>
          <w:highlight w:val="none"/>
        </w:rPr>
        <w:t>对开标过程进行记录，并存档备查，投标人在技术标开标记录上签字</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投标人未签字且未提出异议的将被视为默认开标结果</w:t>
      </w:r>
      <w:r>
        <w:rPr>
          <w:rFonts w:hint="eastAsia"/>
          <w:color w:val="auto"/>
          <w:sz w:val="21"/>
          <w:szCs w:val="21"/>
          <w:highlight w:val="none"/>
        </w:rPr>
        <w:t>。</w:t>
      </w:r>
    </w:p>
    <w:p w14:paraId="4CC068FD">
      <w:pPr>
        <w:pStyle w:val="20"/>
        <w:ind w:firstLine="0" w:firstLineChars="0"/>
        <w:rPr>
          <w:rFonts w:hint="default" w:ascii="宋体"/>
          <w:strike w:val="0"/>
          <w:color w:val="auto"/>
          <w:sz w:val="21"/>
          <w:szCs w:val="21"/>
          <w:highlight w:val="none"/>
          <w:u w:val="single"/>
        </w:rPr>
      </w:pPr>
      <w:r>
        <w:rPr>
          <w:rFonts w:hint="eastAsia"/>
          <w:strike w:val="0"/>
          <w:color w:val="auto"/>
          <w:sz w:val="21"/>
          <w:szCs w:val="21"/>
          <w:highlight w:val="none"/>
          <w:u w:val="single"/>
          <w:lang w:val="en-US" w:eastAsia="zh-CN"/>
        </w:rPr>
        <w:t xml:space="preserve">                                                                                       </w:t>
      </w:r>
    </w:p>
    <w:p w14:paraId="1167A214">
      <w:pPr>
        <w:spacing w:beforeLines="50" w:line="360" w:lineRule="auto"/>
        <w:ind w:firstLine="632" w:firstLineChars="3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4</w:t>
      </w:r>
      <w:r>
        <w:rPr>
          <w:rFonts w:hint="eastAsia" w:ascii="宋体" w:hAnsi="宋体"/>
          <w:b/>
          <w:color w:val="auto"/>
          <w:szCs w:val="21"/>
          <w:highlight w:val="none"/>
        </w:rPr>
        <w:t>2</w:t>
      </w:r>
      <w:r>
        <w:rPr>
          <w:rFonts w:ascii="宋体" w:hAnsi="宋体"/>
          <w:b/>
          <w:color w:val="auto"/>
          <w:szCs w:val="21"/>
          <w:highlight w:val="none"/>
        </w:rPr>
        <w:t xml:space="preserve">.2          </w:t>
      </w:r>
      <w:r>
        <w:rPr>
          <w:rFonts w:hint="eastAsia" w:ascii="宋体" w:hAnsi="宋体"/>
          <w:b/>
          <w:color w:val="auto"/>
          <w:szCs w:val="21"/>
          <w:highlight w:val="none"/>
        </w:rPr>
        <w:t>修改类型：修改</w:t>
      </w:r>
    </w:p>
    <w:p w14:paraId="7CB7164F">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42.</w:t>
      </w:r>
      <w:r>
        <w:rPr>
          <w:rFonts w:ascii="宋体" w:hAnsi="宋体"/>
          <w:color w:val="auto"/>
          <w:szCs w:val="21"/>
          <w:highlight w:val="none"/>
        </w:rPr>
        <w:t>2</w:t>
      </w:r>
      <w:r>
        <w:rPr>
          <w:rFonts w:hint="eastAsia" w:ascii="宋体" w:hAnsi="宋体"/>
          <w:color w:val="auto"/>
          <w:szCs w:val="21"/>
          <w:highlight w:val="none"/>
        </w:rPr>
        <w:t>评标委员会的组成：方式。</w:t>
      </w:r>
    </w:p>
    <w:p w14:paraId="1428288F">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方式一：评标委员会为综合评标委员会，负责资格审查及评标工作。</w:t>
      </w:r>
    </w:p>
    <w:p w14:paraId="19AF02AC">
      <w:pPr>
        <w:spacing w:line="360" w:lineRule="auto"/>
        <w:ind w:firstLine="525" w:firstLineChars="250"/>
        <w:rPr>
          <w:rFonts w:ascii="宋体" w:hAnsi="宋体"/>
          <w:b/>
          <w:color w:val="auto"/>
          <w:szCs w:val="21"/>
          <w:highlight w:val="none"/>
        </w:rPr>
      </w:pPr>
      <w:r>
        <w:rPr>
          <w:rFonts w:hint="eastAsia" w:ascii="宋体" w:hAnsi="宋体"/>
          <w:color w:val="auto"/>
          <w:szCs w:val="21"/>
          <w:highlight w:val="none"/>
        </w:rPr>
        <w:t>方式二：评标委员会由技术评审组和经济评审组组成。其中：资格审查及技术评审由技术评标组负责，经济评审由经济评审组负责。</w:t>
      </w:r>
    </w:p>
    <w:p w14:paraId="30D80EC9">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42.</w:t>
      </w:r>
      <w:r>
        <w:rPr>
          <w:rFonts w:ascii="宋体" w:hAnsi="宋体"/>
          <w:color w:val="auto"/>
          <w:szCs w:val="21"/>
          <w:highlight w:val="none"/>
        </w:rPr>
        <w:t>2</w:t>
      </w:r>
      <w:r>
        <w:rPr>
          <w:rFonts w:hint="eastAsia" w:ascii="宋体" w:hAnsi="宋体"/>
          <w:color w:val="auto"/>
          <w:szCs w:val="21"/>
          <w:highlight w:val="none"/>
        </w:rPr>
        <w:t>评标委员会的组成：方式</w:t>
      </w:r>
      <w:r>
        <w:rPr>
          <w:rFonts w:hint="eastAsia" w:ascii="宋体" w:hAnsi="宋体"/>
          <w:color w:val="auto"/>
          <w:szCs w:val="21"/>
          <w:highlight w:val="none"/>
          <w:u w:val="single"/>
        </w:rPr>
        <w:t xml:space="preserve">  一  </w:t>
      </w:r>
      <w:r>
        <w:rPr>
          <w:rFonts w:hint="eastAsia" w:ascii="宋体" w:hAnsi="宋体"/>
          <w:color w:val="auto"/>
          <w:szCs w:val="21"/>
          <w:highlight w:val="none"/>
        </w:rPr>
        <w:t>。</w:t>
      </w:r>
    </w:p>
    <w:p w14:paraId="54FC0130">
      <w:pPr>
        <w:pBdr>
          <w:bottom w:val="single" w:color="auto" w:sz="6" w:space="1"/>
        </w:pBd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方式一：评标委员会为综合评标委员会，负责资格审查及评标工作。</w:t>
      </w:r>
    </w:p>
    <w:p w14:paraId="4A1B99AE">
      <w:pPr>
        <w:snapToGrid w:val="0"/>
        <w:spacing w:beforeLines="-2147483648" w:line="360" w:lineRule="auto"/>
        <w:ind w:firstLine="422" w:firstLineChars="200"/>
        <w:jc w:val="left"/>
        <w:rPr>
          <w:rFonts w:hint="eastAsia" w:ascii="宋体" w:hAnsi="宋体" w:cs="宋体"/>
          <w:b/>
          <w:color w:val="auto"/>
          <w:szCs w:val="21"/>
          <w:highlight w:val="none"/>
          <w:lang w:eastAsia="zh-CN"/>
        </w:rPr>
      </w:pPr>
      <w:r>
        <w:rPr>
          <w:rFonts w:hint="eastAsia" w:ascii="宋体" w:hAnsi="宋体" w:cs="宋体"/>
          <w:b/>
          <w:color w:val="auto"/>
          <w:szCs w:val="21"/>
          <w:highlight w:val="none"/>
        </w:rPr>
        <w:t>条款号：</w:t>
      </w:r>
      <w:r>
        <w:rPr>
          <w:rFonts w:hint="eastAsia" w:ascii="宋体"/>
          <w:strike w:val="0"/>
          <w:color w:val="auto"/>
          <w:sz w:val="21"/>
          <w:szCs w:val="21"/>
          <w:highlight w:val="none"/>
        </w:rPr>
        <w:t>43.1</w:t>
      </w:r>
      <w:r>
        <w:rPr>
          <w:rFonts w:hint="eastAsia" w:ascii="宋体" w:hAnsi="宋体" w:cs="宋体"/>
          <w:b/>
          <w:color w:val="auto"/>
          <w:szCs w:val="21"/>
          <w:highlight w:val="none"/>
        </w:rPr>
        <w:t xml:space="preserve">                  修改类型：</w:t>
      </w:r>
      <w:r>
        <w:rPr>
          <w:rFonts w:hint="eastAsia" w:ascii="宋体" w:hAnsi="宋体" w:cs="宋体"/>
          <w:b/>
          <w:color w:val="auto"/>
          <w:szCs w:val="21"/>
          <w:highlight w:val="none"/>
          <w:lang w:eastAsia="zh-CN"/>
        </w:rPr>
        <w:t>修改</w:t>
      </w:r>
    </w:p>
    <w:p w14:paraId="5E38BE13">
      <w:pPr>
        <w:snapToGrid w:val="0"/>
        <w:spacing w:line="360" w:lineRule="auto"/>
        <w:ind w:firstLine="422" w:firstLineChars="200"/>
        <w:rPr>
          <w:rFonts w:hint="eastAsia" w:ascii="宋体"/>
          <w:strike w:val="0"/>
          <w:color w:val="auto"/>
          <w:sz w:val="21"/>
          <w:szCs w:val="21"/>
          <w:highlight w:val="none"/>
        </w:rPr>
      </w:pPr>
      <w:r>
        <w:rPr>
          <w:rFonts w:hint="eastAsia" w:ascii="宋体" w:hAnsi="宋体"/>
          <w:b/>
          <w:color w:val="auto"/>
          <w:szCs w:val="21"/>
          <w:highlight w:val="none"/>
        </w:rPr>
        <w:t>原文</w:t>
      </w:r>
      <w:r>
        <w:rPr>
          <w:rFonts w:hint="eastAsia" w:ascii="宋体" w:hAnsi="宋体" w:cs="宋体"/>
          <w:b/>
          <w:color w:val="auto"/>
          <w:szCs w:val="21"/>
          <w:highlight w:val="none"/>
        </w:rPr>
        <w:t>：</w:t>
      </w:r>
      <w:r>
        <w:rPr>
          <w:rFonts w:hint="eastAsia" w:ascii="宋体"/>
          <w:strike w:val="0"/>
          <w:color w:val="auto"/>
          <w:sz w:val="21"/>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5C055093">
      <w:pPr>
        <w:pStyle w:val="4"/>
        <w:tabs>
          <w:tab w:val="left" w:pos="7380"/>
        </w:tabs>
        <w:snapToGrid w:val="0"/>
        <w:spacing w:after="0" w:line="360" w:lineRule="auto"/>
        <w:ind w:firstLine="422" w:firstLineChars="200"/>
        <w:rPr>
          <w:rFonts w:ascii="宋体"/>
          <w:color w:val="auto"/>
          <w:sz w:val="21"/>
          <w:szCs w:val="21"/>
          <w:highlight w:val="none"/>
        </w:rPr>
      </w:pPr>
      <w:r>
        <w:rPr>
          <w:rFonts w:hint="eastAsia" w:ascii="宋体" w:hAnsi="宋体" w:eastAsia="宋体"/>
          <w:b/>
          <w:strike w:val="0"/>
          <w:color w:val="auto"/>
          <w:sz w:val="21"/>
          <w:szCs w:val="21"/>
          <w:highlight w:val="none"/>
          <w:lang w:eastAsia="zh-CN"/>
        </w:rPr>
        <w:t>现文：</w:t>
      </w:r>
      <w:r>
        <w:rPr>
          <w:rFonts w:hint="eastAsia" w:ascii="宋体"/>
          <w:color w:val="auto"/>
          <w:sz w:val="21"/>
          <w:szCs w:val="21"/>
          <w:highlight w:val="none"/>
        </w:rPr>
        <w:t>43.1</w:t>
      </w:r>
      <w:r>
        <w:rPr>
          <w:rFonts w:hint="eastAsia" w:ascii="宋体"/>
          <w:bCs/>
          <w:color w:val="auto"/>
          <w:sz w:val="21"/>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color w:val="auto"/>
          <w:sz w:val="21"/>
          <w:szCs w:val="21"/>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14:paraId="57EE3552">
      <w:pPr>
        <w:pStyle w:val="20"/>
        <w:ind w:firstLine="0" w:firstLineChars="0"/>
        <w:rPr>
          <w:rFonts w:hint="default" w:ascii="宋体"/>
          <w:strike w:val="0"/>
          <w:color w:val="auto"/>
          <w:sz w:val="21"/>
          <w:szCs w:val="21"/>
          <w:highlight w:val="none"/>
          <w:u w:val="single"/>
        </w:rPr>
      </w:pPr>
      <w:r>
        <w:rPr>
          <w:rFonts w:hint="eastAsia"/>
          <w:strike w:val="0"/>
          <w:color w:val="auto"/>
          <w:sz w:val="21"/>
          <w:szCs w:val="21"/>
          <w:highlight w:val="none"/>
          <w:u w:val="single"/>
          <w:lang w:val="en-US" w:eastAsia="zh-CN"/>
        </w:rPr>
        <w:t xml:space="preserve">                                                                                       </w:t>
      </w:r>
    </w:p>
    <w:p w14:paraId="4304A911">
      <w:pPr>
        <w:spacing w:beforeLines="50"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w:t>
      </w:r>
      <w:r>
        <w:rPr>
          <w:rFonts w:hint="eastAsia" w:ascii="宋体" w:hAnsi="宋体"/>
          <w:b/>
          <w:color w:val="auto"/>
          <w:szCs w:val="21"/>
          <w:highlight w:val="none"/>
          <w:lang w:val="en-US" w:eastAsia="zh-CN"/>
        </w:rPr>
        <w:t>44.1</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37758679">
      <w:pPr>
        <w:spacing w:beforeLines="50"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lang w:eastAsia="zh-CN"/>
        </w:rPr>
        <w:t>原文：</w:t>
      </w:r>
      <w:r>
        <w:rPr>
          <w:rFonts w:hint="eastAsia" w:ascii="宋体"/>
          <w:color w:val="auto"/>
          <w:sz w:val="21"/>
          <w:szCs w:val="21"/>
          <w:highlight w:val="none"/>
        </w:rPr>
        <w:t>44.1</w:t>
      </w:r>
      <w:r>
        <w:rPr>
          <w:rFonts w:hint="eastAsia" w:ascii="宋体" w:hAnsi="宋体"/>
          <w:b w:val="0"/>
          <w:bCs/>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16CAD5BA">
      <w:pPr>
        <w:pStyle w:val="4"/>
        <w:tabs>
          <w:tab w:val="left" w:pos="7380"/>
        </w:tabs>
        <w:snapToGrid w:val="0"/>
        <w:spacing w:beforeLines="50" w:line="360" w:lineRule="auto"/>
        <w:ind w:firstLine="422" w:firstLineChars="200"/>
        <w:rPr>
          <w:rFonts w:hint="eastAsia" w:ascii="宋体"/>
          <w:color w:val="auto"/>
          <w:sz w:val="21"/>
          <w:szCs w:val="21"/>
          <w:highlight w:val="none"/>
        </w:rPr>
      </w:pPr>
      <w:r>
        <w:rPr>
          <w:rFonts w:hint="eastAsia" w:ascii="宋体" w:hAnsi="宋体"/>
          <w:b/>
          <w:color w:val="auto"/>
          <w:szCs w:val="21"/>
          <w:highlight w:val="none"/>
          <w:lang w:eastAsia="zh-CN"/>
        </w:rPr>
        <w:t>现文：</w:t>
      </w:r>
      <w:r>
        <w:rPr>
          <w:rFonts w:hint="eastAsia" w:ascii="宋体"/>
          <w:color w:val="auto"/>
          <w:sz w:val="21"/>
          <w:szCs w:val="21"/>
          <w:highlight w:val="none"/>
        </w:rPr>
        <w:t>44.1技术标的有效性审查：投标文件中没有任一种列于本办法附表二《技术标有效性审查表》中情形的，为有效投标文件。否则其投标文件将被否决。被否决的投标人不参与下一阶段评审</w:t>
      </w:r>
      <w:r>
        <w:rPr>
          <w:rFonts w:hint="eastAsia" w:ascii="宋体"/>
          <w:strike/>
          <w:color w:val="auto"/>
          <w:sz w:val="21"/>
          <w:szCs w:val="21"/>
          <w:highlight w:val="none"/>
        </w:rPr>
        <w:t>，不参与评标参考价的计算</w:t>
      </w:r>
      <w:r>
        <w:rPr>
          <w:rFonts w:hint="eastAsia" w:ascii="宋体"/>
          <w:strike w:val="0"/>
          <w:color w:val="auto"/>
          <w:sz w:val="21"/>
          <w:szCs w:val="21"/>
          <w:highlight w:val="none"/>
        </w:rPr>
        <w:t>。</w:t>
      </w:r>
      <w:r>
        <w:rPr>
          <w:rFonts w:hint="eastAsia" w:ascii="宋体"/>
          <w:color w:val="auto"/>
          <w:sz w:val="21"/>
          <w:szCs w:val="21"/>
          <w:highlight w:val="none"/>
        </w:rPr>
        <w:t>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r>
        <w:rPr>
          <w:rFonts w:hint="eastAsia" w:ascii="宋体"/>
          <w:b/>
          <w:bCs/>
          <w:color w:val="auto"/>
          <w:sz w:val="21"/>
          <w:szCs w:val="21"/>
          <w:highlight w:val="none"/>
        </w:rPr>
        <w:t>评委发现投标文件中含义不明确、对同类问题表述不一致、有明显文字和计算错误的，应当要求投标人作必要的澄清、说明后再判定投标人是否通过有效性审查，不得直接否决投标。</w:t>
      </w:r>
    </w:p>
    <w:p w14:paraId="3737905E">
      <w:pPr>
        <w:pStyle w:val="4"/>
        <w:tabs>
          <w:tab w:val="left" w:pos="7380"/>
        </w:tabs>
        <w:snapToGrid w:val="0"/>
        <w:spacing w:beforeLines="50" w:line="360" w:lineRule="auto"/>
        <w:ind w:firstLine="0" w:firstLineChars="0"/>
        <w:rPr>
          <w:rFonts w:hint="default" w:ascii="宋体" w:hAnsi="宋体" w:eastAsia="宋体"/>
          <w:b/>
          <w:color w:val="auto"/>
          <w:szCs w:val="21"/>
          <w:highlight w:val="none"/>
          <w:u w:val="single"/>
          <w:lang w:eastAsia="zh-CN"/>
        </w:rPr>
      </w:pPr>
      <w:r>
        <w:rPr>
          <w:rFonts w:hint="eastAsia" w:ascii="宋体" w:hAnsi="宋体"/>
          <w:b/>
          <w:color w:val="auto"/>
          <w:szCs w:val="21"/>
          <w:highlight w:val="none"/>
          <w:u w:val="single"/>
          <w:lang w:val="en-US" w:eastAsia="zh-CN"/>
        </w:rPr>
        <w:t xml:space="preserve">                                                                                       </w:t>
      </w:r>
    </w:p>
    <w:p w14:paraId="33A07B4B">
      <w:pPr>
        <w:spacing w:line="360" w:lineRule="auto"/>
        <w:ind w:firstLine="422" w:firstLineChars="200"/>
        <w:rPr>
          <w:rFonts w:hint="eastAsia" w:ascii="宋体" w:hAnsi="宋体"/>
          <w:b/>
          <w:color w:val="auto"/>
          <w:szCs w:val="21"/>
          <w:highlight w:val="none"/>
          <w:lang w:val="en-US" w:eastAsia="zh-CN"/>
        </w:rPr>
      </w:pPr>
      <w:r>
        <w:rPr>
          <w:rFonts w:hint="eastAsia" w:ascii="宋体" w:hAnsi="宋体"/>
          <w:b/>
          <w:color w:val="auto"/>
          <w:szCs w:val="21"/>
          <w:highlight w:val="none"/>
        </w:rPr>
        <w:t>条款号：</w:t>
      </w:r>
      <w:r>
        <w:rPr>
          <w:rFonts w:hint="eastAsia" w:ascii="宋体" w:hAnsi="宋体"/>
          <w:b/>
          <w:color w:val="auto"/>
          <w:szCs w:val="21"/>
          <w:highlight w:val="none"/>
          <w:lang w:val="en-US" w:eastAsia="zh-CN"/>
        </w:rPr>
        <w:t>44.2</w:t>
      </w:r>
      <w:r>
        <w:rPr>
          <w:rFonts w:ascii="宋体" w:hAnsi="宋体"/>
          <w:b/>
          <w:color w:val="auto"/>
          <w:szCs w:val="21"/>
          <w:highlight w:val="none"/>
        </w:rPr>
        <w:t xml:space="preserve">      </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修改类型：</w:t>
      </w:r>
      <w:r>
        <w:rPr>
          <w:rFonts w:hint="eastAsia" w:ascii="宋体" w:hAnsi="宋体"/>
          <w:b/>
          <w:color w:val="auto"/>
          <w:szCs w:val="21"/>
          <w:highlight w:val="none"/>
          <w:lang w:eastAsia="zh-CN"/>
        </w:rPr>
        <w:t>删除</w:t>
      </w:r>
      <w:r>
        <w:rPr>
          <w:rFonts w:hint="eastAsia" w:ascii="宋体" w:hAnsi="宋体"/>
          <w:b/>
          <w:color w:val="auto"/>
          <w:szCs w:val="21"/>
          <w:highlight w:val="none"/>
          <w:lang w:val="en-US" w:eastAsia="zh-CN"/>
        </w:rPr>
        <w:t xml:space="preserve"> </w:t>
      </w:r>
    </w:p>
    <w:p w14:paraId="1AAEB8A8">
      <w:pPr>
        <w:pStyle w:val="4"/>
        <w:tabs>
          <w:tab w:val="left" w:pos="7380"/>
        </w:tabs>
        <w:snapToGrid w:val="0"/>
        <w:spacing w:line="360" w:lineRule="auto"/>
        <w:ind w:firstLine="420" w:firstLineChars="200"/>
        <w:rPr>
          <w:rFonts w:ascii="宋体" w:hAnsi="宋体"/>
          <w:bCs/>
          <w:color w:val="auto"/>
          <w:szCs w:val="21"/>
          <w:highlight w:val="none"/>
          <w:u w:val="single"/>
        </w:rPr>
      </w:pPr>
      <w:r>
        <w:rPr>
          <w:rFonts w:hint="eastAsia" w:ascii="宋体"/>
          <w:strike w:val="0"/>
          <w:color w:val="auto"/>
          <w:sz w:val="21"/>
          <w:szCs w:val="21"/>
          <w:highlight w:val="none"/>
          <w:lang w:eastAsia="zh-CN"/>
        </w:rPr>
        <w:t>原文：</w:t>
      </w:r>
      <w:r>
        <w:rPr>
          <w:rFonts w:hint="eastAsia" w:ascii="宋体"/>
          <w:strike w:val="0"/>
          <w:color w:val="auto"/>
          <w:sz w:val="21"/>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4531E54B">
      <w:pPr>
        <w:pStyle w:val="20"/>
        <w:spacing w:line="360" w:lineRule="auto"/>
        <w:rPr>
          <w:rFonts w:hint="default" w:ascii="宋体" w:hAnsi="Courier New"/>
          <w:bCs w:val="0"/>
          <w:color w:val="auto"/>
          <w:szCs w:val="21"/>
          <w:highlight w:val="none"/>
          <w:u w:val="single"/>
        </w:rPr>
      </w:pPr>
      <w:r>
        <w:rPr>
          <w:rFonts w:hint="eastAsia"/>
          <w:bCs w:val="0"/>
          <w:color w:val="auto"/>
          <w:szCs w:val="21"/>
          <w:highlight w:val="none"/>
          <w:u w:val="single"/>
          <w:lang w:val="en-US" w:eastAsia="zh-CN"/>
        </w:rPr>
        <w:t xml:space="preserve">                                                                                        </w:t>
      </w:r>
    </w:p>
    <w:p w14:paraId="1075FBAF">
      <w:pPr>
        <w:spacing w:line="360" w:lineRule="auto"/>
        <w:ind w:firstLine="0" w:firstLineChars="0"/>
        <w:rPr>
          <w:rFonts w:hint="eastAsia" w:ascii="宋体" w:hAnsi="宋体" w:eastAsia="宋体"/>
          <w:b/>
          <w:color w:val="auto"/>
          <w:szCs w:val="21"/>
          <w:highlight w:val="none"/>
          <w:lang w:eastAsia="zh-CN"/>
        </w:rPr>
      </w:pPr>
      <w:r>
        <w:rPr>
          <w:rFonts w:hint="eastAsia"/>
          <w:color w:val="auto"/>
          <w:szCs w:val="21"/>
          <w:highlight w:val="none"/>
          <w:lang w:val="en-US" w:eastAsia="zh-CN"/>
        </w:rPr>
        <w:t xml:space="preserve">    </w:t>
      </w:r>
      <w:r>
        <w:rPr>
          <w:rFonts w:hint="eastAsia" w:ascii="宋体" w:hAnsi="宋体"/>
          <w:b/>
          <w:color w:val="auto"/>
          <w:szCs w:val="21"/>
          <w:highlight w:val="none"/>
        </w:rPr>
        <w:t>条款号：</w:t>
      </w:r>
      <w:r>
        <w:rPr>
          <w:rFonts w:hint="eastAsia" w:ascii="宋体" w:hAnsi="宋体"/>
          <w:b/>
          <w:color w:val="auto"/>
          <w:szCs w:val="21"/>
          <w:highlight w:val="none"/>
          <w:lang w:val="en-US" w:eastAsia="zh-CN"/>
        </w:rPr>
        <w:t>45、45.1、</w:t>
      </w:r>
      <w:r>
        <w:rPr>
          <w:rFonts w:hint="eastAsia" w:ascii="宋体" w:hAnsi="宋体"/>
          <w:b/>
          <w:color w:val="auto"/>
          <w:szCs w:val="21"/>
          <w:highlight w:val="none"/>
        </w:rPr>
        <w:t>4</w:t>
      </w:r>
      <w:r>
        <w:rPr>
          <w:rFonts w:ascii="宋体" w:hAnsi="宋体"/>
          <w:b/>
          <w:color w:val="auto"/>
          <w:szCs w:val="21"/>
          <w:highlight w:val="none"/>
        </w:rPr>
        <w:t>5.2</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45.3</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45.4</w:t>
      </w:r>
      <w:r>
        <w:rPr>
          <w:rFonts w:ascii="宋体" w:hAnsi="宋体"/>
          <w:b/>
          <w:color w:val="auto"/>
          <w:szCs w:val="21"/>
          <w:highlight w:val="none"/>
        </w:rPr>
        <w:t xml:space="preserve">         </w:t>
      </w:r>
      <w:r>
        <w:rPr>
          <w:rFonts w:hint="eastAsia" w:ascii="宋体" w:hAnsi="宋体"/>
          <w:b/>
          <w:color w:val="auto"/>
          <w:szCs w:val="21"/>
          <w:highlight w:val="none"/>
        </w:rPr>
        <w:t>修改类型：</w:t>
      </w:r>
      <w:r>
        <w:rPr>
          <w:rFonts w:hint="eastAsia" w:ascii="宋体" w:hAnsi="宋体"/>
          <w:b/>
          <w:color w:val="auto"/>
          <w:szCs w:val="21"/>
          <w:highlight w:val="none"/>
          <w:lang w:eastAsia="zh-CN"/>
        </w:rPr>
        <w:t>删除</w:t>
      </w:r>
    </w:p>
    <w:p w14:paraId="5B1C475E">
      <w:pPr>
        <w:pStyle w:val="4"/>
        <w:tabs>
          <w:tab w:val="left" w:pos="7380"/>
        </w:tabs>
        <w:snapToGrid w:val="0"/>
        <w:spacing w:after="0" w:line="360" w:lineRule="auto"/>
        <w:ind w:firstLine="422" w:firstLineChars="200"/>
        <w:rPr>
          <w:rFonts w:ascii="宋体"/>
          <w:strike w:val="0"/>
          <w:color w:val="auto"/>
          <w:sz w:val="21"/>
          <w:szCs w:val="21"/>
          <w:highlight w:val="none"/>
        </w:rPr>
      </w:pPr>
      <w:r>
        <w:rPr>
          <w:rFonts w:hint="eastAsia" w:ascii="宋体" w:hAnsi="宋体"/>
          <w:b/>
          <w:color w:val="auto"/>
          <w:szCs w:val="21"/>
          <w:highlight w:val="none"/>
        </w:rPr>
        <w:t>原文：</w:t>
      </w:r>
      <w:r>
        <w:rPr>
          <w:rFonts w:hint="eastAsia" w:ascii="宋体"/>
          <w:strike w:val="0"/>
          <w:color w:val="auto"/>
          <w:sz w:val="21"/>
          <w:szCs w:val="21"/>
          <w:highlight w:val="none"/>
        </w:rPr>
        <w:t>45．经济标评审和得分汇总</w:t>
      </w:r>
    </w:p>
    <w:p w14:paraId="46162164">
      <w:pPr>
        <w:pStyle w:val="4"/>
        <w:tabs>
          <w:tab w:val="left" w:pos="7380"/>
        </w:tabs>
        <w:snapToGrid w:val="0"/>
        <w:spacing w:after="0" w:line="360" w:lineRule="auto"/>
        <w:ind w:firstLine="420" w:firstLineChars="200"/>
        <w:rPr>
          <w:rFonts w:ascii="宋体" w:hAnsi="宋体"/>
          <w:strike w:val="0"/>
          <w:color w:val="auto"/>
          <w:sz w:val="21"/>
          <w:szCs w:val="21"/>
          <w:highlight w:val="none"/>
        </w:rPr>
      </w:pPr>
      <w:r>
        <w:rPr>
          <w:rFonts w:hint="eastAsia" w:ascii="宋体" w:hAnsi="宋体"/>
          <w:strike w:val="0"/>
          <w:color w:val="auto"/>
          <w:sz w:val="21"/>
          <w:szCs w:val="21"/>
          <w:highlight w:val="none"/>
        </w:rPr>
        <w:t>45.1若通过技术标有效性审查的投标人中所有投标报价均大于等于最高投标限价*D%（D的取值范围为[94,100],由招标人自主确定）的（具体金额为：</w:t>
      </w:r>
      <w:r>
        <w:rPr>
          <w:rFonts w:hint="eastAsia" w:ascii="宋体" w:hAnsi="宋体"/>
          <w:strike w:val="0"/>
          <w:color w:val="auto"/>
          <w:sz w:val="21"/>
          <w:szCs w:val="21"/>
          <w:highlight w:val="none"/>
          <w:u w:val="single"/>
        </w:rPr>
        <w:t xml:space="preserve">      </w:t>
      </w:r>
      <w:r>
        <w:rPr>
          <w:rFonts w:hint="eastAsia" w:ascii="宋体" w:hAnsi="宋体"/>
          <w:strike w:val="0"/>
          <w:color w:val="auto"/>
          <w:sz w:val="21"/>
          <w:szCs w:val="21"/>
          <w:highlight w:val="none"/>
        </w:rPr>
        <w:t>元），则本项目招标失败，由招标人依法重新招标。</w:t>
      </w:r>
    </w:p>
    <w:p w14:paraId="1B8682A8">
      <w:pPr>
        <w:pStyle w:val="4"/>
        <w:tabs>
          <w:tab w:val="left" w:pos="7380"/>
        </w:tabs>
        <w:snapToGrid w:val="0"/>
        <w:spacing w:after="0" w:line="360" w:lineRule="auto"/>
        <w:ind w:firstLine="420" w:firstLineChars="200"/>
        <w:rPr>
          <w:rFonts w:ascii="宋体"/>
          <w:strike w:val="0"/>
          <w:color w:val="auto"/>
          <w:sz w:val="21"/>
          <w:szCs w:val="21"/>
          <w:highlight w:val="none"/>
        </w:rPr>
      </w:pPr>
      <w:r>
        <w:rPr>
          <w:rFonts w:hint="eastAsia" w:ascii="宋体" w:hAnsi="宋体"/>
          <w:strike w:val="0"/>
          <w:color w:val="auto"/>
          <w:sz w:val="21"/>
          <w:szCs w:val="21"/>
          <w:highlight w:val="none"/>
        </w:rPr>
        <w:t xml:space="preserve"> 45.2按方法</w:t>
      </w:r>
      <w:r>
        <w:rPr>
          <w:rFonts w:hint="eastAsia" w:ascii="宋体" w:hAnsi="宋体"/>
          <w:strike w:val="0"/>
          <w:color w:val="auto"/>
          <w:sz w:val="21"/>
          <w:szCs w:val="21"/>
          <w:highlight w:val="none"/>
          <w:u w:val="single"/>
        </w:rPr>
        <w:t xml:space="preserve">    </w:t>
      </w:r>
      <w:r>
        <w:rPr>
          <w:rFonts w:hint="eastAsia" w:ascii="宋体" w:hAnsi="宋体"/>
          <w:strike w:val="0"/>
          <w:color w:val="auto"/>
          <w:sz w:val="21"/>
          <w:szCs w:val="21"/>
          <w:highlight w:val="none"/>
        </w:rPr>
        <w:t>计算评标参考价：</w:t>
      </w:r>
    </w:p>
    <w:p w14:paraId="543A2F7A">
      <w:pPr>
        <w:widowControl/>
        <w:spacing w:line="360" w:lineRule="auto"/>
        <w:ind w:firstLine="422" w:firstLineChars="200"/>
        <w:rPr>
          <w:rFonts w:ascii="宋体" w:hAnsi="宋体"/>
          <w:b/>
          <w:bCs/>
          <w:strike w:val="0"/>
          <w:color w:val="auto"/>
          <w:kern w:val="0"/>
          <w:sz w:val="21"/>
          <w:szCs w:val="21"/>
          <w:highlight w:val="none"/>
        </w:rPr>
      </w:pPr>
      <w:r>
        <w:rPr>
          <w:rFonts w:hint="eastAsia" w:ascii="宋体" w:hAnsi="宋体" w:cs="仿宋"/>
          <w:b/>
          <w:bCs/>
          <w:strike w:val="0"/>
          <w:color w:val="auto"/>
          <w:kern w:val="0"/>
          <w:sz w:val="21"/>
          <w:szCs w:val="21"/>
          <w:highlight w:val="none"/>
        </w:rPr>
        <w:t>方法一：加权平均法</w:t>
      </w:r>
    </w:p>
    <w:p w14:paraId="169529F7">
      <w:pPr>
        <w:spacing w:line="360" w:lineRule="auto"/>
        <w:ind w:firstLine="420" w:firstLineChars="200"/>
        <w:rPr>
          <w:rFonts w:ascii="宋体" w:hAnsi="宋体" w:cs="仿宋"/>
          <w:strike w:val="0"/>
          <w:color w:val="auto"/>
          <w:sz w:val="21"/>
          <w:szCs w:val="21"/>
          <w:highlight w:val="none"/>
        </w:rPr>
      </w:pPr>
      <w:r>
        <w:rPr>
          <w:rFonts w:hint="eastAsia" w:ascii="宋体" w:hAnsi="宋体" w:cs="仿宋"/>
          <w:strike w:val="0"/>
          <w:color w:val="auto"/>
          <w:sz w:val="21"/>
          <w:szCs w:val="21"/>
          <w:highlight w:val="none"/>
        </w:rPr>
        <w:t>技术标或技术标加诚信得分（具体由招标人自定）前</w:t>
      </w:r>
      <w:r>
        <w:rPr>
          <w:rFonts w:ascii="宋体" w:hAnsi="宋体" w:cs="仿宋"/>
          <w:strike w:val="0"/>
          <w:color w:val="auto"/>
          <w:sz w:val="21"/>
          <w:szCs w:val="21"/>
          <w:highlight w:val="none"/>
        </w:rPr>
        <w:t>N</w:t>
      </w:r>
      <w:r>
        <w:rPr>
          <w:rFonts w:hint="eastAsia" w:ascii="宋体" w:hAnsi="宋体" w:cs="仿宋"/>
          <w:strike w:val="0"/>
          <w:color w:val="auto"/>
          <w:sz w:val="21"/>
          <w:szCs w:val="21"/>
          <w:highlight w:val="none"/>
        </w:rPr>
        <w:t>名（N≥5，具体由招标人自定）的经济报价加权平均，计算评标参考价。公式如下：</w:t>
      </w:r>
    </w:p>
    <w:p w14:paraId="2416E607">
      <w:pPr>
        <w:spacing w:line="360" w:lineRule="auto"/>
        <w:ind w:firstLine="420" w:firstLineChars="200"/>
        <w:rPr>
          <w:rFonts w:ascii="宋体" w:hAnsi="宋体" w:cs="仿宋"/>
          <w:strike w:val="0"/>
          <w:color w:val="auto"/>
          <w:sz w:val="21"/>
          <w:szCs w:val="21"/>
          <w:highlight w:val="none"/>
        </w:rPr>
      </w:pPr>
      <w:r>
        <w:rPr>
          <w:rFonts w:hint="eastAsia" w:ascii="宋体" w:hAnsi="宋体" w:cs="仿宋"/>
          <w:strike w:val="0"/>
          <w:color w:val="auto"/>
          <w:sz w:val="21"/>
          <w:szCs w:val="21"/>
          <w:highlight w:val="none"/>
        </w:rPr>
        <w:t>评标参考价</w:t>
      </w:r>
      <w:r>
        <w:rPr>
          <w:rFonts w:ascii="宋体" w:hAnsi="宋体" w:cs="仿宋"/>
          <w:strike w:val="0"/>
          <w:color w:val="auto"/>
          <w:sz w:val="21"/>
          <w:szCs w:val="21"/>
          <w:highlight w:val="none"/>
        </w:rPr>
        <w:t>=</w:t>
      </w:r>
      <w:r>
        <w:rPr>
          <w:rFonts w:hint="eastAsia" w:ascii="宋体" w:hAnsi="宋体" w:cs="仿宋"/>
          <w:strike w:val="0"/>
          <w:color w:val="auto"/>
          <w:sz w:val="21"/>
          <w:szCs w:val="21"/>
          <w:highlight w:val="none"/>
        </w:rPr>
        <w:t>Σ（投标人的投标报价</w:t>
      </w:r>
      <w:r>
        <w:rPr>
          <w:rFonts w:ascii="宋体" w:hAnsi="宋体" w:cs="仿宋"/>
          <w:strike w:val="0"/>
          <w:color w:val="auto"/>
          <w:sz w:val="21"/>
          <w:szCs w:val="21"/>
          <w:highlight w:val="none"/>
        </w:rPr>
        <w:t>*</w:t>
      </w:r>
      <w:r>
        <w:rPr>
          <w:rFonts w:hint="eastAsia" w:ascii="宋体" w:hAnsi="宋体" w:cs="仿宋"/>
          <w:strike w:val="0"/>
          <w:color w:val="auto"/>
          <w:sz w:val="21"/>
          <w:szCs w:val="21"/>
          <w:highlight w:val="none"/>
        </w:rPr>
        <w:t>报价权重）。</w:t>
      </w:r>
    </w:p>
    <w:p w14:paraId="5E509372">
      <w:pPr>
        <w:spacing w:line="360" w:lineRule="auto"/>
        <w:ind w:firstLine="420" w:firstLineChars="200"/>
        <w:rPr>
          <w:rFonts w:ascii="宋体" w:hAnsi="宋体" w:cs="仿宋"/>
          <w:strike w:val="0"/>
          <w:color w:val="auto"/>
          <w:sz w:val="21"/>
          <w:szCs w:val="21"/>
          <w:highlight w:val="none"/>
        </w:rPr>
      </w:pPr>
      <w:r>
        <w:rPr>
          <w:rFonts w:hint="eastAsia" w:ascii="宋体" w:hAnsi="宋体" w:cs="仿宋"/>
          <w:strike w:val="0"/>
          <w:color w:val="auto"/>
          <w:sz w:val="21"/>
          <w:szCs w:val="21"/>
          <w:highlight w:val="none"/>
        </w:rPr>
        <w:t>其中：报价权重的计算方法为：将</w:t>
      </w:r>
      <w:r>
        <w:rPr>
          <w:rFonts w:ascii="宋体" w:hAnsi="宋体" w:cs="仿宋"/>
          <w:strike w:val="0"/>
          <w:color w:val="auto"/>
          <w:sz w:val="21"/>
          <w:szCs w:val="21"/>
          <w:highlight w:val="none"/>
        </w:rPr>
        <w:t>N</w:t>
      </w:r>
      <w:r>
        <w:rPr>
          <w:rFonts w:hint="eastAsia" w:ascii="宋体" w:hAnsi="宋体" w:cs="仿宋"/>
          <w:strike w:val="0"/>
          <w:color w:val="auto"/>
          <w:sz w:val="21"/>
          <w:szCs w:val="21"/>
          <w:highlight w:val="none"/>
        </w:rPr>
        <w:t>名投标人按技术分由高至低进行排序，第一名投标人的权重为（</w:t>
      </w:r>
      <w:r>
        <w:rPr>
          <w:rFonts w:ascii="宋体" w:hAnsi="宋体" w:cs="仿宋"/>
          <w:strike w:val="0"/>
          <w:color w:val="auto"/>
          <w:sz w:val="21"/>
          <w:szCs w:val="21"/>
          <w:highlight w:val="none"/>
        </w:rPr>
        <w:fldChar w:fldCharType="begin"/>
      </w:r>
      <w:r>
        <w:rPr>
          <w:rFonts w:ascii="宋体" w:hAnsi="宋体" w:cs="仿宋"/>
          <w:strike w:val="0"/>
          <w:color w:val="auto"/>
          <w:sz w:val="21"/>
          <w:szCs w:val="21"/>
          <w:highlight w:val="none"/>
        </w:rPr>
        <w:instrText xml:space="preserve"> QUOTE </w:instrText>
      </w:r>
      <w:r>
        <w:rPr>
          <w:rFonts w:ascii="宋体" w:hAnsi="宋体"/>
          <w:strike w:val="0"/>
          <w:color w:val="auto"/>
          <w:sz w:val="21"/>
          <w:szCs w:val="21"/>
          <w:highlight w:val="none"/>
        </w:rPr>
        <w:drawing>
          <wp:inline distT="0" distB="0" distL="0" distR="0">
            <wp:extent cx="381000" cy="447675"/>
            <wp:effectExtent l="0" t="0" r="0" b="952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trike w:val="0"/>
          <w:color w:val="auto"/>
          <w:sz w:val="21"/>
          <w:szCs w:val="21"/>
          <w:highlight w:val="none"/>
        </w:rPr>
        <w:fldChar w:fldCharType="separate"/>
      </w:r>
      <w:r>
        <w:rPr>
          <w:rFonts w:ascii="宋体" w:hAnsi="宋体"/>
          <w:strike w:val="0"/>
          <w:color w:val="auto"/>
          <w:sz w:val="21"/>
          <w:szCs w:val="21"/>
          <w:highlight w:val="none"/>
        </w:rPr>
        <w:drawing>
          <wp:inline distT="0" distB="0" distL="0" distR="0">
            <wp:extent cx="381000" cy="447675"/>
            <wp:effectExtent l="0" t="0" r="0" b="952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trike w:val="0"/>
          <w:color w:val="auto"/>
          <w:sz w:val="21"/>
          <w:szCs w:val="21"/>
          <w:highlight w:val="none"/>
        </w:rPr>
        <w:fldChar w:fldCharType="end"/>
      </w:r>
      <w:r>
        <w:rPr>
          <w:rFonts w:hint="eastAsia" w:ascii="宋体" w:hAnsi="宋体" w:cs="仿宋"/>
          <w:strike w:val="0"/>
          <w:color w:val="auto"/>
          <w:sz w:val="21"/>
          <w:szCs w:val="21"/>
          <w:highlight w:val="none"/>
        </w:rPr>
        <w:t>），第二名投标人的权重为（</w:t>
      </w:r>
      <w:r>
        <w:rPr>
          <w:rFonts w:ascii="宋体" w:hAnsi="宋体" w:cs="仿宋"/>
          <w:strike w:val="0"/>
          <w:color w:val="auto"/>
          <w:sz w:val="21"/>
          <w:szCs w:val="21"/>
          <w:highlight w:val="none"/>
        </w:rPr>
        <w:fldChar w:fldCharType="begin"/>
      </w:r>
      <w:r>
        <w:rPr>
          <w:rFonts w:ascii="宋体" w:hAnsi="宋体" w:cs="仿宋"/>
          <w:strike w:val="0"/>
          <w:color w:val="auto"/>
          <w:sz w:val="21"/>
          <w:szCs w:val="21"/>
          <w:highlight w:val="none"/>
        </w:rPr>
        <w:instrText xml:space="preserve"> QUOTE </w:instrText>
      </w:r>
      <w:r>
        <w:rPr>
          <w:rFonts w:ascii="宋体" w:hAnsi="宋体"/>
          <w:strike w:val="0"/>
          <w:color w:val="auto"/>
          <w:position w:val="-23"/>
          <w:sz w:val="21"/>
          <w:szCs w:val="21"/>
          <w:highlight w:val="none"/>
        </w:rPr>
        <w:drawing>
          <wp:inline distT="0" distB="0" distL="0" distR="0">
            <wp:extent cx="323850" cy="400050"/>
            <wp:effectExtent l="0" t="0" r="11430" b="1143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val="0"/>
          <w:color w:val="auto"/>
          <w:sz w:val="21"/>
          <w:szCs w:val="21"/>
          <w:highlight w:val="none"/>
        </w:rPr>
        <w:fldChar w:fldCharType="separate"/>
      </w:r>
      <w:r>
        <w:rPr>
          <w:rFonts w:ascii="宋体" w:hAnsi="宋体"/>
          <w:strike w:val="0"/>
          <w:color w:val="auto"/>
          <w:position w:val="-23"/>
          <w:sz w:val="21"/>
          <w:szCs w:val="21"/>
          <w:highlight w:val="none"/>
        </w:rPr>
        <w:drawing>
          <wp:inline distT="0" distB="0" distL="0" distR="0">
            <wp:extent cx="323850" cy="400050"/>
            <wp:effectExtent l="0" t="0" r="11430" b="1143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val="0"/>
          <w:color w:val="auto"/>
          <w:sz w:val="21"/>
          <w:szCs w:val="21"/>
          <w:highlight w:val="none"/>
        </w:rPr>
        <w:fldChar w:fldCharType="end"/>
      </w:r>
      <w:r>
        <w:rPr>
          <w:rFonts w:hint="eastAsia" w:ascii="宋体" w:hAnsi="宋体" w:cs="仿宋"/>
          <w:strike w:val="0"/>
          <w:color w:val="auto"/>
          <w:sz w:val="21"/>
          <w:szCs w:val="21"/>
          <w:highlight w:val="none"/>
        </w:rPr>
        <w:t>），以此类推，最后一名投标人的权重为（</w:t>
      </w:r>
      <w:r>
        <w:rPr>
          <w:rFonts w:ascii="宋体" w:hAnsi="宋体" w:cs="仿宋"/>
          <w:strike w:val="0"/>
          <w:color w:val="auto"/>
          <w:sz w:val="21"/>
          <w:szCs w:val="21"/>
          <w:highlight w:val="none"/>
        </w:rPr>
        <w:fldChar w:fldCharType="begin"/>
      </w:r>
      <w:r>
        <w:rPr>
          <w:rFonts w:ascii="宋体" w:hAnsi="宋体" w:cs="仿宋"/>
          <w:strike w:val="0"/>
          <w:color w:val="auto"/>
          <w:sz w:val="21"/>
          <w:szCs w:val="21"/>
          <w:highlight w:val="none"/>
        </w:rPr>
        <w:instrText xml:space="preserve"> QUOTE </w:instrText>
      </w:r>
      <w:r>
        <w:rPr>
          <w:rFonts w:ascii="宋体" w:hAnsi="宋体"/>
          <w:strike w:val="0"/>
          <w:color w:val="auto"/>
          <w:position w:val="-23"/>
          <w:sz w:val="21"/>
          <w:szCs w:val="21"/>
          <w:highlight w:val="none"/>
        </w:rPr>
        <w:drawing>
          <wp:inline distT="0" distB="0" distL="0" distR="0">
            <wp:extent cx="323850" cy="400050"/>
            <wp:effectExtent l="0" t="0" r="11430" b="1143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val="0"/>
          <w:color w:val="auto"/>
          <w:sz w:val="21"/>
          <w:szCs w:val="21"/>
          <w:highlight w:val="none"/>
        </w:rPr>
        <w:fldChar w:fldCharType="separate"/>
      </w:r>
      <w:r>
        <w:rPr>
          <w:rFonts w:ascii="宋体" w:hAnsi="宋体"/>
          <w:strike w:val="0"/>
          <w:color w:val="auto"/>
          <w:position w:val="-23"/>
          <w:sz w:val="21"/>
          <w:szCs w:val="21"/>
          <w:highlight w:val="none"/>
        </w:rPr>
        <w:drawing>
          <wp:inline distT="0" distB="0" distL="0" distR="0">
            <wp:extent cx="323850" cy="400050"/>
            <wp:effectExtent l="0" t="0" r="11430" b="1143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val="0"/>
          <w:color w:val="auto"/>
          <w:sz w:val="21"/>
          <w:szCs w:val="21"/>
          <w:highlight w:val="none"/>
        </w:rPr>
        <w:fldChar w:fldCharType="end"/>
      </w:r>
      <w:r>
        <w:rPr>
          <w:rFonts w:hint="eastAsia" w:ascii="宋体" w:hAnsi="宋体" w:cs="仿宋"/>
          <w:strike w:val="0"/>
          <w:color w:val="auto"/>
          <w:sz w:val="21"/>
          <w:szCs w:val="21"/>
          <w:highlight w:val="none"/>
        </w:rPr>
        <w:t>）。</w:t>
      </w:r>
    </w:p>
    <w:p w14:paraId="4FB66F48">
      <w:pPr>
        <w:widowControl/>
        <w:spacing w:line="360" w:lineRule="auto"/>
        <w:ind w:firstLine="422" w:firstLineChars="200"/>
        <w:rPr>
          <w:rFonts w:ascii="宋体" w:hAnsi="宋体"/>
          <w:b/>
          <w:bCs/>
          <w:strike w:val="0"/>
          <w:color w:val="auto"/>
          <w:kern w:val="0"/>
          <w:sz w:val="21"/>
          <w:szCs w:val="21"/>
          <w:highlight w:val="none"/>
        </w:rPr>
      </w:pPr>
      <w:r>
        <w:rPr>
          <w:rFonts w:hint="eastAsia" w:ascii="宋体" w:hAnsi="宋体" w:cs="仿宋"/>
          <w:b/>
          <w:bCs/>
          <w:strike w:val="0"/>
          <w:color w:val="auto"/>
          <w:kern w:val="0"/>
          <w:sz w:val="21"/>
          <w:szCs w:val="21"/>
          <w:highlight w:val="none"/>
        </w:rPr>
        <w:t>方法二：区间抽取法</w:t>
      </w:r>
    </w:p>
    <w:p w14:paraId="24D73625">
      <w:pPr>
        <w:widowControl/>
        <w:snapToGrid w:val="0"/>
        <w:spacing w:line="360" w:lineRule="auto"/>
        <w:ind w:firstLine="420" w:firstLineChars="200"/>
        <w:rPr>
          <w:rFonts w:ascii="宋体" w:hAnsi="宋体"/>
          <w:strike w:val="0"/>
          <w:color w:val="auto"/>
          <w:kern w:val="0"/>
          <w:sz w:val="21"/>
          <w:szCs w:val="21"/>
          <w:highlight w:val="none"/>
        </w:rPr>
      </w:pPr>
      <w:r>
        <w:rPr>
          <w:rFonts w:hint="eastAsia" w:ascii="宋体" w:hAnsi="宋体" w:cs="仿宋"/>
          <w:strike w:val="0"/>
          <w:color w:val="auto"/>
          <w:sz w:val="21"/>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4C8F74F">
      <w:pPr>
        <w:widowControl/>
        <w:snapToGrid w:val="0"/>
        <w:spacing w:line="360" w:lineRule="auto"/>
        <w:ind w:firstLine="420" w:firstLineChars="200"/>
        <w:rPr>
          <w:rFonts w:ascii="宋体" w:hAnsi="宋体"/>
          <w:strike w:val="0"/>
          <w:color w:val="auto"/>
          <w:kern w:val="0"/>
          <w:sz w:val="21"/>
          <w:szCs w:val="21"/>
          <w:highlight w:val="none"/>
          <w:vertAlign w:val="subscript"/>
        </w:rPr>
      </w:pPr>
      <w:r>
        <w:rPr>
          <w:rFonts w:hint="eastAsia" w:ascii="宋体" w:hAnsi="宋体" w:cs="仿宋"/>
          <w:strike w:val="0"/>
          <w:color w:val="auto"/>
          <w:kern w:val="0"/>
          <w:sz w:val="21"/>
          <w:szCs w:val="21"/>
          <w:highlight w:val="none"/>
        </w:rPr>
        <w:t>评标参考价</w:t>
      </w:r>
      <w:r>
        <w:rPr>
          <w:rFonts w:ascii="宋体" w:hAnsi="宋体" w:cs="仿宋"/>
          <w:strike w:val="0"/>
          <w:color w:val="auto"/>
          <w:kern w:val="0"/>
          <w:sz w:val="21"/>
          <w:szCs w:val="21"/>
          <w:highlight w:val="none"/>
        </w:rPr>
        <w:t>=</w:t>
      </w:r>
      <w:r>
        <w:rPr>
          <w:rFonts w:hint="eastAsia" w:ascii="宋体" w:hAnsi="宋体" w:cs="仿宋"/>
          <w:strike w:val="0"/>
          <w:color w:val="auto"/>
          <w:kern w:val="0"/>
          <w:sz w:val="21"/>
          <w:szCs w:val="21"/>
          <w:highlight w:val="none"/>
        </w:rPr>
        <w:t>（</w:t>
      </w:r>
      <w:r>
        <w:rPr>
          <w:rFonts w:ascii="宋体" w:hAnsi="宋体" w:cs="仿宋"/>
          <w:strike w:val="0"/>
          <w:color w:val="auto"/>
          <w:kern w:val="0"/>
          <w:sz w:val="21"/>
          <w:szCs w:val="21"/>
          <w:highlight w:val="none"/>
        </w:rPr>
        <w:t>Q</w:t>
      </w:r>
      <w:r>
        <w:rPr>
          <w:rFonts w:hint="eastAsia" w:ascii="宋体" w:hAnsi="宋体" w:cs="仿宋"/>
          <w:strike w:val="0"/>
          <w:color w:val="auto"/>
          <w:kern w:val="0"/>
          <w:sz w:val="21"/>
          <w:szCs w:val="21"/>
          <w:highlight w:val="none"/>
          <w:vertAlign w:val="subscript"/>
        </w:rPr>
        <w:t>高</w:t>
      </w:r>
      <w:r>
        <w:rPr>
          <w:rFonts w:ascii="宋体" w:hAnsi="宋体" w:cs="仿宋"/>
          <w:strike w:val="0"/>
          <w:color w:val="auto"/>
          <w:kern w:val="0"/>
          <w:sz w:val="21"/>
          <w:szCs w:val="21"/>
          <w:highlight w:val="none"/>
        </w:rPr>
        <w:t>-Q</w:t>
      </w:r>
      <w:r>
        <w:rPr>
          <w:rFonts w:hint="eastAsia" w:ascii="宋体" w:hAnsi="宋体" w:cs="仿宋"/>
          <w:strike w:val="0"/>
          <w:color w:val="auto"/>
          <w:kern w:val="0"/>
          <w:sz w:val="21"/>
          <w:szCs w:val="21"/>
          <w:highlight w:val="none"/>
          <w:vertAlign w:val="subscript"/>
        </w:rPr>
        <w:t>低</w:t>
      </w:r>
      <w:r>
        <w:rPr>
          <w:rFonts w:hint="eastAsia" w:ascii="宋体" w:hAnsi="宋体" w:cs="仿宋"/>
          <w:strike w:val="0"/>
          <w:color w:val="auto"/>
          <w:kern w:val="0"/>
          <w:sz w:val="21"/>
          <w:szCs w:val="21"/>
          <w:highlight w:val="none"/>
        </w:rPr>
        <w:t>）</w:t>
      </w:r>
      <w:r>
        <w:rPr>
          <w:rFonts w:ascii="宋体" w:hAnsi="宋体" w:cs="仿宋"/>
          <w:strike w:val="0"/>
          <w:color w:val="auto"/>
          <w:kern w:val="0"/>
          <w:sz w:val="21"/>
          <w:szCs w:val="21"/>
          <w:highlight w:val="none"/>
        </w:rPr>
        <w:t>/100*</w:t>
      </w:r>
      <w:r>
        <w:rPr>
          <w:rFonts w:hint="eastAsia" w:ascii="宋体" w:hAnsi="宋体" w:cs="仿宋"/>
          <w:strike w:val="0"/>
          <w:color w:val="auto"/>
          <w:kern w:val="0"/>
          <w:sz w:val="21"/>
          <w:szCs w:val="21"/>
          <w:highlight w:val="none"/>
        </w:rPr>
        <w:t>Ｘ</w:t>
      </w:r>
      <w:r>
        <w:rPr>
          <w:rFonts w:ascii="宋体" w:hAnsi="宋体" w:cs="仿宋"/>
          <w:strike w:val="0"/>
          <w:color w:val="auto"/>
          <w:kern w:val="0"/>
          <w:sz w:val="21"/>
          <w:szCs w:val="21"/>
          <w:highlight w:val="none"/>
        </w:rPr>
        <w:t>+Q</w:t>
      </w:r>
      <w:r>
        <w:rPr>
          <w:rFonts w:hint="eastAsia" w:ascii="宋体" w:hAnsi="宋体" w:cs="仿宋"/>
          <w:strike w:val="0"/>
          <w:color w:val="auto"/>
          <w:kern w:val="0"/>
          <w:sz w:val="21"/>
          <w:szCs w:val="21"/>
          <w:highlight w:val="none"/>
          <w:vertAlign w:val="subscript"/>
        </w:rPr>
        <w:t>低</w:t>
      </w:r>
    </w:p>
    <w:p w14:paraId="26F279F0">
      <w:pPr>
        <w:widowControl/>
        <w:snapToGrid w:val="0"/>
        <w:spacing w:line="360" w:lineRule="auto"/>
        <w:ind w:firstLine="420" w:firstLineChars="200"/>
        <w:rPr>
          <w:rFonts w:ascii="宋体" w:hAnsi="宋体"/>
          <w:strike w:val="0"/>
          <w:color w:val="auto"/>
          <w:sz w:val="21"/>
          <w:szCs w:val="21"/>
          <w:highlight w:val="none"/>
        </w:rPr>
      </w:pPr>
      <w:r>
        <w:rPr>
          <w:rFonts w:ascii="宋体" w:hAnsi="宋体" w:cs="仿宋"/>
          <w:strike w:val="0"/>
          <w:color w:val="auto"/>
          <w:sz w:val="21"/>
          <w:szCs w:val="21"/>
          <w:highlight w:val="none"/>
        </w:rPr>
        <w:t>Q</w:t>
      </w:r>
      <w:r>
        <w:rPr>
          <w:rFonts w:hint="eastAsia" w:ascii="宋体" w:hAnsi="宋体" w:cs="仿宋"/>
          <w:strike w:val="0"/>
          <w:color w:val="auto"/>
          <w:sz w:val="21"/>
          <w:szCs w:val="21"/>
          <w:highlight w:val="none"/>
          <w:vertAlign w:val="subscript"/>
        </w:rPr>
        <w:t>低</w:t>
      </w:r>
      <w:r>
        <w:rPr>
          <w:rFonts w:hint="eastAsia" w:ascii="宋体" w:hAnsi="宋体" w:cs="仿宋"/>
          <w:strike w:val="0"/>
          <w:color w:val="auto"/>
          <w:sz w:val="21"/>
          <w:szCs w:val="21"/>
          <w:highlight w:val="none"/>
        </w:rPr>
        <w:t>：为达到或超过技术标及格分数线的投标人最低报价与工程成本警示价两者中的较高值；</w:t>
      </w:r>
    </w:p>
    <w:p w14:paraId="0B3C8ECD">
      <w:pPr>
        <w:spacing w:line="360" w:lineRule="auto"/>
        <w:ind w:firstLine="420" w:firstLineChars="200"/>
        <w:rPr>
          <w:rFonts w:ascii="宋体" w:hAnsi="宋体" w:cs="仿宋"/>
          <w:strike w:val="0"/>
          <w:color w:val="auto"/>
          <w:sz w:val="21"/>
          <w:szCs w:val="21"/>
          <w:highlight w:val="none"/>
        </w:rPr>
      </w:pPr>
      <w:r>
        <w:rPr>
          <w:rFonts w:ascii="宋体" w:hAnsi="宋体" w:cs="仿宋"/>
          <w:strike w:val="0"/>
          <w:color w:val="auto"/>
          <w:kern w:val="0"/>
          <w:sz w:val="21"/>
          <w:szCs w:val="21"/>
          <w:highlight w:val="none"/>
        </w:rPr>
        <w:t>Q</w:t>
      </w:r>
      <w:r>
        <w:rPr>
          <w:rFonts w:hint="eastAsia" w:ascii="宋体" w:hAnsi="宋体" w:cs="仿宋"/>
          <w:strike w:val="0"/>
          <w:color w:val="auto"/>
          <w:kern w:val="0"/>
          <w:sz w:val="21"/>
          <w:szCs w:val="21"/>
          <w:highlight w:val="none"/>
          <w:vertAlign w:val="subscript"/>
        </w:rPr>
        <w:t>高</w:t>
      </w:r>
      <w:r>
        <w:rPr>
          <w:rFonts w:hint="eastAsia" w:ascii="宋体" w:hAnsi="宋体" w:cs="仿宋"/>
          <w:strike w:val="0"/>
          <w:color w:val="auto"/>
          <w:sz w:val="21"/>
          <w:szCs w:val="21"/>
          <w:highlight w:val="none"/>
        </w:rPr>
        <w:t>：为（最高投标限价</w:t>
      </w:r>
      <w:r>
        <w:rPr>
          <w:rFonts w:ascii="宋体" w:hAnsi="宋体" w:cs="仿宋"/>
          <w:strike w:val="0"/>
          <w:color w:val="auto"/>
          <w:sz w:val="21"/>
          <w:szCs w:val="21"/>
          <w:highlight w:val="none"/>
        </w:rPr>
        <w:t>*D%</w:t>
      </w:r>
      <w:r>
        <w:rPr>
          <w:rFonts w:hint="eastAsia" w:ascii="宋体" w:hAnsi="宋体" w:cs="仿宋"/>
          <w:strike w:val="0"/>
          <w:color w:val="auto"/>
          <w:sz w:val="21"/>
          <w:szCs w:val="21"/>
          <w:highlight w:val="none"/>
        </w:rPr>
        <w:t>）（</w:t>
      </w:r>
      <w:r>
        <w:rPr>
          <w:rFonts w:ascii="宋体" w:hAnsi="宋体" w:cs="仿宋"/>
          <w:strike w:val="0"/>
          <w:color w:val="auto"/>
          <w:sz w:val="21"/>
          <w:szCs w:val="21"/>
          <w:highlight w:val="none"/>
        </w:rPr>
        <w:t>D</w:t>
      </w:r>
      <w:r>
        <w:rPr>
          <w:rFonts w:hint="eastAsia" w:ascii="宋体" w:hAnsi="宋体" w:cs="仿宋"/>
          <w:strike w:val="0"/>
          <w:color w:val="auto"/>
          <w:sz w:val="21"/>
          <w:szCs w:val="21"/>
          <w:highlight w:val="none"/>
        </w:rPr>
        <w:t>的取值范围为</w:t>
      </w:r>
      <w:r>
        <w:rPr>
          <w:rFonts w:ascii="宋体" w:hAnsi="宋体" w:cs="仿宋"/>
          <w:strike w:val="0"/>
          <w:color w:val="auto"/>
          <w:sz w:val="21"/>
          <w:szCs w:val="21"/>
          <w:highlight w:val="none"/>
        </w:rPr>
        <w:t>[94,100],</w:t>
      </w:r>
      <w:r>
        <w:rPr>
          <w:rFonts w:hint="eastAsia" w:ascii="宋体" w:hAnsi="宋体" w:cs="仿宋"/>
          <w:strike w:val="0"/>
          <w:color w:val="auto"/>
          <w:sz w:val="21"/>
          <w:szCs w:val="21"/>
          <w:highlight w:val="none"/>
        </w:rPr>
        <w:t>由招标人自定）</w:t>
      </w:r>
    </w:p>
    <w:p w14:paraId="459A6869">
      <w:pPr>
        <w:spacing w:line="360" w:lineRule="auto"/>
        <w:ind w:firstLine="420" w:firstLineChars="200"/>
        <w:rPr>
          <w:rFonts w:ascii="宋体" w:hAnsi="宋体"/>
          <w:strike w:val="0"/>
          <w:color w:val="auto"/>
          <w:sz w:val="21"/>
          <w:szCs w:val="21"/>
          <w:highlight w:val="none"/>
        </w:rPr>
      </w:pPr>
      <w:r>
        <w:rPr>
          <w:rFonts w:ascii="宋体" w:hAnsi="宋体" w:cs="仿宋"/>
          <w:strike w:val="0"/>
          <w:color w:val="auto"/>
          <w:sz w:val="21"/>
          <w:szCs w:val="21"/>
          <w:highlight w:val="none"/>
        </w:rPr>
        <w:t>X:</w:t>
      </w:r>
      <w:r>
        <w:rPr>
          <w:rFonts w:hint="eastAsia" w:ascii="宋体" w:hAnsi="宋体" w:cs="仿宋"/>
          <w:strike w:val="0"/>
          <w:color w:val="auto"/>
          <w:sz w:val="21"/>
          <w:szCs w:val="21"/>
          <w:highlight w:val="none"/>
        </w:rPr>
        <w:t>为等分点值，在开标前从</w:t>
      </w:r>
      <w:r>
        <w:rPr>
          <w:rFonts w:ascii="宋体" w:hAnsi="宋体" w:cs="仿宋"/>
          <w:strike w:val="0"/>
          <w:color w:val="auto"/>
          <w:sz w:val="21"/>
          <w:szCs w:val="21"/>
          <w:highlight w:val="none"/>
        </w:rPr>
        <w:t>[0,100]</w:t>
      </w:r>
      <w:r>
        <w:rPr>
          <w:rFonts w:hint="eastAsia" w:ascii="宋体" w:hAnsi="宋体" w:cs="仿宋"/>
          <w:strike w:val="0"/>
          <w:color w:val="auto"/>
          <w:sz w:val="21"/>
          <w:szCs w:val="21"/>
          <w:highlight w:val="none"/>
        </w:rPr>
        <w:t>整数中随机抽取</w:t>
      </w:r>
    </w:p>
    <w:p w14:paraId="3DF57B61">
      <w:pPr>
        <w:spacing w:line="360" w:lineRule="auto"/>
        <w:ind w:firstLine="420" w:firstLineChars="200"/>
        <w:rPr>
          <w:rFonts w:ascii="宋体" w:hAnsi="宋体"/>
          <w:strike w:val="0"/>
          <w:color w:val="auto"/>
          <w:sz w:val="21"/>
          <w:szCs w:val="21"/>
          <w:highlight w:val="none"/>
        </w:rPr>
      </w:pPr>
      <w:r>
        <w:rPr>
          <w:rFonts w:hint="eastAsia" w:ascii="宋体" w:hAnsi="宋体" w:cs="宋体"/>
          <w:strike w:val="0"/>
          <w:color w:val="auto"/>
          <w:kern w:val="0"/>
          <w:sz w:val="21"/>
          <w:szCs w:val="21"/>
          <w:highlight w:val="none"/>
        </w:rPr>
        <w:t>45.3</w:t>
      </w:r>
      <w:r>
        <w:rPr>
          <w:rFonts w:hint="eastAsia" w:ascii="宋体" w:hAnsi="宋体"/>
          <w:strike w:val="0"/>
          <w:color w:val="auto"/>
          <w:sz w:val="21"/>
          <w:szCs w:val="21"/>
          <w:highlight w:val="none"/>
        </w:rPr>
        <w:t>当标价等于评标参考价时得</w:t>
      </w:r>
      <w:r>
        <w:rPr>
          <w:rFonts w:ascii="宋体" w:hAnsi="宋体"/>
          <w:strike w:val="0"/>
          <w:color w:val="auto"/>
          <w:sz w:val="21"/>
          <w:szCs w:val="21"/>
          <w:highlight w:val="none"/>
        </w:rPr>
        <w:t>100</w:t>
      </w:r>
      <w:r>
        <w:rPr>
          <w:rFonts w:hint="eastAsia" w:ascii="宋体" w:hAnsi="宋体"/>
          <w:strike w:val="0"/>
          <w:color w:val="auto"/>
          <w:sz w:val="21"/>
          <w:szCs w:val="21"/>
          <w:highlight w:val="none"/>
        </w:rPr>
        <w:t>分，标价每高于评标参考价</w:t>
      </w:r>
      <w:r>
        <w:rPr>
          <w:rFonts w:ascii="宋体" w:hAnsi="宋体"/>
          <w:strike w:val="0"/>
          <w:color w:val="auto"/>
          <w:sz w:val="21"/>
          <w:szCs w:val="21"/>
          <w:highlight w:val="none"/>
        </w:rPr>
        <w:t>1%</w:t>
      </w:r>
      <w:r>
        <w:rPr>
          <w:rFonts w:hint="eastAsia" w:ascii="宋体" w:hAnsi="宋体"/>
          <w:strike w:val="0"/>
          <w:color w:val="auto"/>
          <w:sz w:val="21"/>
          <w:szCs w:val="21"/>
          <w:highlight w:val="none"/>
        </w:rPr>
        <w:t>，扣</w:t>
      </w:r>
      <w:r>
        <w:rPr>
          <w:rFonts w:ascii="宋体" w:hAnsi="宋体"/>
          <w:strike w:val="0"/>
          <w:color w:val="auto"/>
          <w:sz w:val="21"/>
          <w:szCs w:val="21"/>
          <w:highlight w:val="none"/>
        </w:rPr>
        <w:t>1.5</w:t>
      </w:r>
      <w:r>
        <w:rPr>
          <w:rFonts w:hint="eastAsia" w:ascii="宋体" w:hAnsi="宋体"/>
          <w:strike w:val="0"/>
          <w:color w:val="auto"/>
          <w:sz w:val="21"/>
          <w:szCs w:val="21"/>
          <w:highlight w:val="none"/>
        </w:rPr>
        <w:t>分，每低于评标参考价</w:t>
      </w:r>
      <w:r>
        <w:rPr>
          <w:rFonts w:ascii="宋体" w:hAnsi="宋体"/>
          <w:strike w:val="0"/>
          <w:color w:val="auto"/>
          <w:sz w:val="21"/>
          <w:szCs w:val="21"/>
          <w:highlight w:val="none"/>
        </w:rPr>
        <w:t>1%</w:t>
      </w:r>
      <w:r>
        <w:rPr>
          <w:rFonts w:hint="eastAsia" w:ascii="宋体" w:hAnsi="宋体"/>
          <w:strike w:val="0"/>
          <w:color w:val="auto"/>
          <w:sz w:val="21"/>
          <w:szCs w:val="21"/>
          <w:highlight w:val="none"/>
        </w:rPr>
        <w:t>，扣</w:t>
      </w:r>
      <w:r>
        <w:rPr>
          <w:rFonts w:ascii="宋体" w:hAnsi="宋体"/>
          <w:strike w:val="0"/>
          <w:color w:val="auto"/>
          <w:sz w:val="21"/>
          <w:szCs w:val="21"/>
          <w:highlight w:val="none"/>
        </w:rPr>
        <w:t>1</w:t>
      </w:r>
      <w:r>
        <w:rPr>
          <w:rFonts w:hint="eastAsia" w:ascii="宋体" w:hAnsi="宋体"/>
          <w:strike w:val="0"/>
          <w:color w:val="auto"/>
          <w:sz w:val="21"/>
          <w:szCs w:val="21"/>
          <w:highlight w:val="none"/>
        </w:rPr>
        <w:t>分，扣至</w:t>
      </w:r>
      <w:r>
        <w:rPr>
          <w:rFonts w:ascii="宋体" w:hAnsi="宋体"/>
          <w:strike w:val="0"/>
          <w:color w:val="auto"/>
          <w:sz w:val="21"/>
          <w:szCs w:val="21"/>
          <w:highlight w:val="none"/>
        </w:rPr>
        <w:t>0</w:t>
      </w:r>
      <w:r>
        <w:rPr>
          <w:rFonts w:hint="eastAsia" w:ascii="宋体" w:hAnsi="宋体"/>
          <w:strike w:val="0"/>
          <w:color w:val="auto"/>
          <w:sz w:val="21"/>
          <w:szCs w:val="21"/>
          <w:highlight w:val="none"/>
        </w:rPr>
        <w:t>分为止，得出经济分，精确到小数点后两位。</w:t>
      </w:r>
    </w:p>
    <w:p w14:paraId="052F0F77">
      <w:pPr>
        <w:pStyle w:val="4"/>
        <w:pBdr>
          <w:bottom w:val="single" w:color="auto" w:sz="6" w:space="1"/>
        </w:pBdr>
        <w:tabs>
          <w:tab w:val="left" w:pos="7380"/>
        </w:tabs>
        <w:snapToGrid w:val="0"/>
        <w:spacing w:line="360" w:lineRule="auto"/>
        <w:ind w:firstLine="420" w:firstLineChars="200"/>
        <w:rPr>
          <w:rFonts w:hint="default" w:ascii="宋体"/>
          <w:strike w:val="0"/>
          <w:color w:val="auto"/>
          <w:sz w:val="21"/>
          <w:szCs w:val="21"/>
          <w:highlight w:val="none"/>
          <w:u w:val="single"/>
        </w:rPr>
      </w:pPr>
      <w:r>
        <w:rPr>
          <w:rFonts w:hint="eastAsia" w:ascii="宋体" w:hAnsi="宋体"/>
          <w:strike w:val="0"/>
          <w:color w:val="auto"/>
          <w:sz w:val="21"/>
          <w:szCs w:val="21"/>
          <w:highlight w:val="none"/>
        </w:rPr>
        <w:t>45.4</w:t>
      </w:r>
      <w:r>
        <w:rPr>
          <w:rFonts w:hint="eastAsia" w:ascii="宋体"/>
          <w:strike w:val="0"/>
          <w:color w:val="auto"/>
          <w:sz w:val="21"/>
          <w:szCs w:val="21"/>
          <w:highlight w:val="none"/>
        </w:rPr>
        <w:t>计算通过技术标有效性审查的投标人总得分。投标人总得分=（技术得分×技术得分权重</w:t>
      </w:r>
      <w:r>
        <w:rPr>
          <w:rFonts w:hint="eastAsia" w:ascii="宋体" w:cs="宋体"/>
          <w:strike w:val="0"/>
          <w:color w:val="auto"/>
          <w:sz w:val="21"/>
          <w:szCs w:val="21"/>
          <w:highlight w:val="none"/>
        </w:rPr>
        <w:t>＋</w:t>
      </w:r>
      <w:r>
        <w:rPr>
          <w:rFonts w:hint="eastAsia" w:ascii="宋体"/>
          <w:strike w:val="0"/>
          <w:color w:val="auto"/>
          <w:sz w:val="21"/>
          <w:szCs w:val="21"/>
          <w:highlight w:val="none"/>
        </w:rPr>
        <w:t>经济得分×经济得分权重）×（1-综合诚信评价分数权重）</w:t>
      </w:r>
      <w:r>
        <w:rPr>
          <w:rFonts w:hint="eastAsia" w:ascii="宋体" w:cs="宋体"/>
          <w:strike w:val="0"/>
          <w:color w:val="auto"/>
          <w:sz w:val="21"/>
          <w:szCs w:val="21"/>
          <w:highlight w:val="none"/>
        </w:rPr>
        <w:t>＋</w:t>
      </w:r>
      <w:r>
        <w:rPr>
          <w:rFonts w:hint="eastAsia" w:ascii="宋体"/>
          <w:strike w:val="0"/>
          <w:color w:val="auto"/>
          <w:sz w:val="21"/>
          <w:szCs w:val="21"/>
          <w:highlight w:val="none"/>
        </w:rPr>
        <w:t>综合诚信评价排名得分×综合诚信评价分数权重）。技术、经济得分权重按投标须知前附表的规定执行。总得分四舍五入保留两位小数。</w:t>
      </w:r>
    </w:p>
    <w:p w14:paraId="0E39211B">
      <w:pPr>
        <w:spacing w:line="360" w:lineRule="auto"/>
        <w:ind w:firstLine="422" w:firstLineChars="200"/>
        <w:rPr>
          <w:rFonts w:hint="eastAsia" w:eastAsia="宋体"/>
          <w:b/>
          <w:color w:val="auto"/>
          <w:szCs w:val="21"/>
          <w:highlight w:val="none"/>
          <w:lang w:eastAsia="zh-CN"/>
        </w:rPr>
      </w:pPr>
      <w:r>
        <w:rPr>
          <w:rFonts w:hint="eastAsia"/>
          <w:b/>
          <w:color w:val="auto"/>
          <w:szCs w:val="21"/>
          <w:highlight w:val="none"/>
        </w:rPr>
        <w:t>条款号：46.1                   修改类型：</w:t>
      </w:r>
      <w:r>
        <w:rPr>
          <w:rFonts w:hint="eastAsia"/>
          <w:b/>
          <w:color w:val="auto"/>
          <w:szCs w:val="21"/>
          <w:highlight w:val="none"/>
          <w:lang w:eastAsia="zh-CN"/>
        </w:rPr>
        <w:t>修改</w:t>
      </w:r>
    </w:p>
    <w:p w14:paraId="0DF08B76">
      <w:pPr>
        <w:pBdr>
          <w:bottom w:val="single" w:color="auto" w:sz="6" w:space="1"/>
        </w:pBdr>
        <w:spacing w:line="360" w:lineRule="auto"/>
        <w:ind w:firstLine="472" w:firstLineChars="224"/>
        <w:rPr>
          <w:rFonts w:hint="eastAsia" w:ascii="宋体" w:hAnsi="Times New Roman" w:eastAsia="宋体"/>
          <w:b w:val="0"/>
          <w:color w:val="auto"/>
          <w:szCs w:val="21"/>
          <w:highlight w:val="none"/>
        </w:rPr>
      </w:pPr>
      <w:r>
        <w:rPr>
          <w:rFonts w:hint="eastAsia"/>
          <w:b/>
          <w:color w:val="auto"/>
          <w:szCs w:val="21"/>
          <w:highlight w:val="none"/>
        </w:rPr>
        <w:t>原文：</w:t>
      </w:r>
      <w:r>
        <w:rPr>
          <w:rFonts w:hint="eastAsia" w:ascii="宋体" w:hAnsi="Times New Roman"/>
          <w:b w:val="0"/>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64ACCFEA">
      <w:pPr>
        <w:pBdr>
          <w:bottom w:val="single" w:color="auto" w:sz="6" w:space="1"/>
        </w:pBdr>
        <w:spacing w:line="360" w:lineRule="auto"/>
        <w:ind w:firstLine="472" w:firstLineChars="224"/>
        <w:rPr>
          <w:color w:val="auto"/>
          <w:szCs w:val="21"/>
          <w:highlight w:val="none"/>
        </w:rPr>
      </w:pPr>
      <w:r>
        <w:rPr>
          <w:rFonts w:hint="eastAsia" w:ascii="Calibri" w:hAnsi="Calibri" w:eastAsia="宋体"/>
          <w:b/>
          <w:color w:val="auto"/>
          <w:szCs w:val="21"/>
          <w:highlight w:val="none"/>
          <w:lang w:eastAsia="zh-CN"/>
        </w:rPr>
        <w:t>现文：</w:t>
      </w:r>
      <w:r>
        <w:rPr>
          <w:rFonts w:hint="eastAsia" w:ascii="宋体" w:hAnsi="宋体"/>
          <w:bCs/>
          <w:color w:val="auto"/>
          <w:sz w:val="21"/>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b/>
          <w:bCs/>
          <w:color w:val="auto"/>
          <w:sz w:val="21"/>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AB3D29E">
      <w:pPr>
        <w:spacing w:line="360" w:lineRule="auto"/>
        <w:ind w:firstLine="422" w:firstLineChars="200"/>
        <w:rPr>
          <w:rFonts w:hint="eastAsia" w:ascii="宋体" w:hAnsi="宋体" w:eastAsia="宋体" w:cs="宋体"/>
          <w:b/>
          <w:color w:val="auto"/>
          <w:szCs w:val="21"/>
          <w:highlight w:val="none"/>
          <w:lang w:eastAsia="zh-CN"/>
        </w:rPr>
      </w:pPr>
      <w:r>
        <w:rPr>
          <w:rFonts w:hint="eastAsia"/>
          <w:b/>
          <w:color w:val="auto"/>
          <w:szCs w:val="21"/>
          <w:highlight w:val="none"/>
        </w:rPr>
        <w:t>条款号</w:t>
      </w:r>
      <w:r>
        <w:rPr>
          <w:rFonts w:hint="eastAsia" w:ascii="宋体" w:hAnsi="宋体" w:cs="宋体"/>
          <w:b/>
          <w:color w:val="auto"/>
          <w:szCs w:val="21"/>
          <w:highlight w:val="none"/>
        </w:rPr>
        <w:t>：</w:t>
      </w:r>
      <w:r>
        <w:rPr>
          <w:rFonts w:hint="eastAsia" w:ascii="宋体" w:hAnsi="宋体" w:cs="宋体"/>
          <w:b w:val="0"/>
          <w:bCs/>
          <w:color w:val="auto"/>
          <w:szCs w:val="21"/>
          <w:highlight w:val="none"/>
        </w:rPr>
        <w:t>46.2.8</w:t>
      </w:r>
      <w:r>
        <w:rPr>
          <w:rFonts w:hint="eastAsia" w:ascii="宋体" w:hAnsi="宋体" w:cs="宋体"/>
          <w:b/>
          <w:color w:val="auto"/>
          <w:szCs w:val="21"/>
          <w:highlight w:val="none"/>
        </w:rPr>
        <w:t xml:space="preserve">                   修改类型：</w:t>
      </w:r>
      <w:r>
        <w:rPr>
          <w:rFonts w:hint="eastAsia" w:ascii="宋体" w:hAnsi="宋体" w:cs="宋体"/>
          <w:b/>
          <w:color w:val="auto"/>
          <w:szCs w:val="21"/>
          <w:highlight w:val="none"/>
          <w:lang w:eastAsia="zh-CN"/>
        </w:rPr>
        <w:t>修改</w:t>
      </w:r>
    </w:p>
    <w:p w14:paraId="606B5586">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63247361">
      <w:pPr>
        <w:pBdr>
          <w:bottom w:val="single" w:color="auto" w:sz="6" w:space="1"/>
        </w:pBdr>
        <w:spacing w:line="360" w:lineRule="auto"/>
        <w:ind w:firstLine="470" w:firstLineChars="224"/>
        <w:rPr>
          <w:color w:val="auto"/>
          <w:szCs w:val="21"/>
          <w:highlight w:val="none"/>
        </w:rPr>
      </w:pPr>
      <w:r>
        <w:rPr>
          <w:rFonts w:hint="eastAsia" w:ascii="宋体" w:hAnsi="宋体" w:cs="宋体"/>
          <w:color w:val="auto"/>
          <w:szCs w:val="21"/>
          <w:highlight w:val="none"/>
          <w:lang w:eastAsia="zh-CN"/>
        </w:rPr>
        <w:t>现文：</w:t>
      </w:r>
      <w:r>
        <w:rPr>
          <w:rFonts w:hint="eastAsia" w:ascii="宋体" w:hAnsi="宋体" w:cs="宋体"/>
          <w:b w:val="0"/>
          <w:bCs/>
          <w:color w:val="auto"/>
          <w:szCs w:val="21"/>
          <w:highlight w:val="none"/>
        </w:rPr>
        <w:t>46.2.8</w:t>
      </w:r>
      <w:r>
        <w:rPr>
          <w:rFonts w:hint="eastAsia"/>
          <w:b w:val="0"/>
          <w:bCs/>
          <w:color w:val="auto"/>
          <w:szCs w:val="21"/>
          <w:highlight w:val="none"/>
        </w:rPr>
        <w:t>按上述修正错误的原则及方法调整或修正投标文件的投标报价，调整后的投标报价对投标人起约束作用。如果投标人不接受修正后的报价，则取消其投标资格</w:t>
      </w:r>
      <w:r>
        <w:rPr>
          <w:rFonts w:hint="eastAsia"/>
          <w:b w:val="0"/>
          <w:bCs/>
          <w:strike/>
          <w:color w:val="auto"/>
          <w:szCs w:val="21"/>
          <w:highlight w:val="none"/>
          <w:u w:val="none"/>
        </w:rPr>
        <w:t>，并且其投标保证金也将不予退还</w:t>
      </w:r>
      <w:r>
        <w:rPr>
          <w:rFonts w:hint="eastAsia"/>
          <w:b w:val="0"/>
          <w:bCs/>
          <w:strike w:val="0"/>
          <w:color w:val="auto"/>
          <w:szCs w:val="21"/>
          <w:highlight w:val="none"/>
          <w:u w:val="none"/>
        </w:rPr>
        <w:t>。</w:t>
      </w:r>
    </w:p>
    <w:p w14:paraId="33C7CC23">
      <w:pPr>
        <w:spacing w:line="360" w:lineRule="auto"/>
        <w:ind w:firstLine="422" w:firstLineChars="200"/>
        <w:rPr>
          <w:rFonts w:hint="eastAsia" w:eastAsia="宋体"/>
          <w:b/>
          <w:color w:val="auto"/>
          <w:szCs w:val="21"/>
          <w:highlight w:val="none"/>
          <w:lang w:eastAsia="zh-CN"/>
        </w:rPr>
      </w:pPr>
      <w:r>
        <w:rPr>
          <w:rFonts w:hint="eastAsia"/>
          <w:b/>
          <w:color w:val="auto"/>
          <w:szCs w:val="21"/>
          <w:highlight w:val="none"/>
        </w:rPr>
        <w:t>条款号：47                   修改类型：</w:t>
      </w:r>
      <w:r>
        <w:rPr>
          <w:rFonts w:hint="eastAsia"/>
          <w:b/>
          <w:color w:val="auto"/>
          <w:szCs w:val="21"/>
          <w:highlight w:val="none"/>
          <w:lang w:eastAsia="zh-CN"/>
        </w:rPr>
        <w:t>删除</w:t>
      </w:r>
    </w:p>
    <w:p w14:paraId="62316F5E">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原文：</w:t>
      </w:r>
      <w:r>
        <w:rPr>
          <w:rFonts w:hint="eastAsia"/>
          <w:color w:val="auto"/>
          <w:szCs w:val="21"/>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4DF70D8">
      <w:pPr>
        <w:spacing w:line="360" w:lineRule="auto"/>
        <w:ind w:firstLine="472" w:firstLineChars="224"/>
        <w:rPr>
          <w:rFonts w:hint="eastAsia"/>
          <w:b/>
          <w:color w:val="auto"/>
          <w:szCs w:val="21"/>
          <w:highlight w:val="none"/>
        </w:rPr>
      </w:pPr>
      <w:r>
        <w:rPr>
          <w:rFonts w:hint="eastAsia"/>
          <w:b/>
          <w:color w:val="auto"/>
          <w:szCs w:val="21"/>
          <w:highlight w:val="none"/>
        </w:rPr>
        <w:t>条款号：48                    修改类型：修改</w:t>
      </w:r>
    </w:p>
    <w:p w14:paraId="60C0D743">
      <w:pPr>
        <w:pBdr>
          <w:bottom w:val="single" w:color="auto" w:sz="6" w:space="1"/>
        </w:pBdr>
        <w:spacing w:line="360" w:lineRule="auto"/>
        <w:ind w:firstLine="472" w:firstLineChars="224"/>
        <w:rPr>
          <w:rFonts w:hint="eastAsia"/>
          <w:color w:val="auto"/>
          <w:szCs w:val="21"/>
          <w:highlight w:val="none"/>
          <w:u w:val="none"/>
        </w:rPr>
      </w:pPr>
      <w:r>
        <w:rPr>
          <w:rFonts w:hint="eastAsia"/>
          <w:b/>
          <w:color w:val="auto"/>
          <w:szCs w:val="21"/>
          <w:highlight w:val="none"/>
          <w:lang w:eastAsia="zh-CN"/>
        </w:rPr>
        <w:t>原文：</w:t>
      </w:r>
      <w:r>
        <w:rPr>
          <w:rFonts w:hint="eastAsia"/>
          <w:color w:val="auto"/>
          <w:szCs w:val="21"/>
          <w:highlight w:val="none"/>
        </w:rPr>
        <w:t>48.评标委员会应在通过投标文件经济标有效性审查的投标人中，按步骤45.4确定的投</w:t>
      </w:r>
      <w:r>
        <w:rPr>
          <w:rFonts w:hint="eastAsia"/>
          <w:color w:val="auto"/>
          <w:szCs w:val="21"/>
          <w:highlight w:val="none"/>
          <w:u w:val="none"/>
        </w:rPr>
        <w:t>标人第二阶段排序，推荐前3名依次为第一中标候选人至第三中标候选人,并编制评标报告。</w:t>
      </w:r>
    </w:p>
    <w:p w14:paraId="7667C409">
      <w:pPr>
        <w:pBdr>
          <w:bottom w:val="single" w:color="auto" w:sz="6" w:space="1"/>
        </w:pBdr>
        <w:spacing w:line="360" w:lineRule="auto"/>
        <w:ind w:firstLine="472" w:firstLineChars="224"/>
        <w:rPr>
          <w:rFonts w:hint="eastAsia"/>
          <w:color w:val="auto"/>
          <w:szCs w:val="21"/>
          <w:highlight w:val="none"/>
          <w:u w:val="single"/>
        </w:rPr>
      </w:pPr>
      <w:r>
        <w:rPr>
          <w:rFonts w:hint="eastAsia"/>
          <w:b/>
          <w:bCs/>
          <w:color w:val="auto"/>
          <w:szCs w:val="21"/>
          <w:highlight w:val="none"/>
          <w:u w:val="none"/>
          <w:lang w:eastAsia="zh-CN"/>
        </w:rPr>
        <w:t>现文：</w:t>
      </w:r>
      <w:r>
        <w:rPr>
          <w:rFonts w:hint="eastAsia"/>
          <w:color w:val="auto"/>
          <w:szCs w:val="21"/>
          <w:highlight w:val="none"/>
          <w:u w:val="single"/>
        </w:rPr>
        <w:t>48.将通过经济标有效性审查的投标人全部推荐为中标候选人进入定标阶段。评标委员会按排序向招标人递交资格审查报告及评标报告。评标采用通过制评审，评标委员会对投标文件进行资格审查，再对通过资格审查的投标文件进行有效性审查，将通过有效性审查的合格投标人全部推荐为中标候选人进入定标阶段。</w:t>
      </w:r>
    </w:p>
    <w:p w14:paraId="214EBA4E">
      <w:pPr>
        <w:pBdr>
          <w:bottom w:val="single" w:color="auto" w:sz="6" w:space="1"/>
        </w:pBdr>
        <w:spacing w:line="360" w:lineRule="auto"/>
        <w:ind w:firstLine="472" w:firstLineChars="224"/>
        <w:rPr>
          <w:b/>
          <w:strike/>
          <w:color w:val="auto"/>
          <w:szCs w:val="21"/>
          <w:highlight w:val="none"/>
          <w:u w:val="single"/>
        </w:rPr>
      </w:pPr>
    </w:p>
    <w:p w14:paraId="5D24541D">
      <w:pPr>
        <w:pStyle w:val="9"/>
        <w:ind w:firstLine="0"/>
        <w:rPr>
          <w:color w:val="auto"/>
          <w:szCs w:val="21"/>
          <w:highlight w:val="none"/>
        </w:rPr>
      </w:pPr>
    </w:p>
    <w:p w14:paraId="7DB6DF79">
      <w:pPr>
        <w:pStyle w:val="9"/>
        <w:spacing w:line="360" w:lineRule="auto"/>
        <w:ind w:firstLine="422" w:firstLineChars="200"/>
        <w:rPr>
          <w:b/>
          <w:color w:val="auto"/>
          <w:szCs w:val="21"/>
          <w:highlight w:val="none"/>
        </w:rPr>
      </w:pPr>
      <w:r>
        <w:rPr>
          <w:rFonts w:hint="eastAsia"/>
          <w:b/>
          <w:color w:val="auto"/>
          <w:szCs w:val="21"/>
          <w:highlight w:val="none"/>
        </w:rPr>
        <w:t>条款号：附表一                      修改类型：修改</w:t>
      </w:r>
    </w:p>
    <w:p w14:paraId="0BB93BE8">
      <w:pP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《资格审查表》</w:t>
      </w:r>
    </w:p>
    <w:p w14:paraId="200E6664">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现文：</w:t>
      </w:r>
      <w:r>
        <w:rPr>
          <w:rFonts w:hint="eastAsia"/>
          <w:color w:val="auto"/>
          <w:szCs w:val="21"/>
          <w:highlight w:val="none"/>
        </w:rPr>
        <w:t>详见修改《资格审查表》</w:t>
      </w:r>
    </w:p>
    <w:p w14:paraId="6C44A3ED">
      <w:pPr>
        <w:snapToGrid w:val="0"/>
        <w:spacing w:line="360" w:lineRule="auto"/>
        <w:rPr>
          <w:rFonts w:ascii="宋体" w:hAnsi="宋体"/>
          <w:b/>
          <w:color w:val="auto"/>
          <w:szCs w:val="21"/>
          <w:highlight w:val="none"/>
        </w:rPr>
      </w:pPr>
    </w:p>
    <w:p w14:paraId="7AB05E26">
      <w:pPr>
        <w:spacing w:line="360" w:lineRule="auto"/>
        <w:ind w:firstLine="422" w:firstLineChars="200"/>
        <w:rPr>
          <w:b/>
          <w:color w:val="auto"/>
          <w:szCs w:val="21"/>
          <w:highlight w:val="none"/>
        </w:rPr>
      </w:pPr>
      <w:r>
        <w:rPr>
          <w:rFonts w:hint="eastAsia"/>
          <w:b/>
          <w:color w:val="auto"/>
          <w:szCs w:val="21"/>
          <w:highlight w:val="none"/>
        </w:rPr>
        <w:t>条款号：附表二                     修改类型：修改</w:t>
      </w:r>
    </w:p>
    <w:p w14:paraId="3A7F3ECF">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原文：</w:t>
      </w:r>
      <w:r>
        <w:rPr>
          <w:rFonts w:hint="eastAsia"/>
          <w:color w:val="auto"/>
          <w:szCs w:val="21"/>
          <w:highlight w:val="none"/>
        </w:rPr>
        <w:t>《技术标有效性审查表》</w:t>
      </w:r>
    </w:p>
    <w:p w14:paraId="33F98ACA">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现文：</w:t>
      </w:r>
      <w:r>
        <w:rPr>
          <w:rFonts w:hint="eastAsia"/>
          <w:color w:val="auto"/>
          <w:szCs w:val="21"/>
          <w:highlight w:val="none"/>
        </w:rPr>
        <w:t>详见修改《技术标有效性审查表》</w:t>
      </w:r>
    </w:p>
    <w:p w14:paraId="5C5A6F58">
      <w:pPr>
        <w:snapToGrid w:val="0"/>
        <w:spacing w:line="360" w:lineRule="auto"/>
        <w:rPr>
          <w:rFonts w:ascii="宋体" w:hAnsi="宋体"/>
          <w:b/>
          <w:color w:val="auto"/>
          <w:szCs w:val="21"/>
          <w:highlight w:val="none"/>
        </w:rPr>
      </w:pPr>
    </w:p>
    <w:p w14:paraId="35176ADB">
      <w:pPr>
        <w:spacing w:line="360" w:lineRule="auto"/>
        <w:ind w:firstLine="472" w:firstLineChars="224"/>
        <w:rPr>
          <w:b/>
          <w:color w:val="auto"/>
          <w:szCs w:val="21"/>
          <w:highlight w:val="none"/>
        </w:rPr>
      </w:pPr>
      <w:r>
        <w:rPr>
          <w:rFonts w:hint="eastAsia"/>
          <w:b/>
          <w:color w:val="auto"/>
          <w:szCs w:val="21"/>
          <w:highlight w:val="none"/>
        </w:rPr>
        <w:t>条款号：附表四</w:t>
      </w:r>
      <w:r>
        <w:rPr>
          <w:rFonts w:hint="eastAsia"/>
          <w:b/>
          <w:color w:val="auto"/>
          <w:szCs w:val="21"/>
          <w:highlight w:val="none"/>
          <w:lang w:eastAsia="zh-CN"/>
        </w:rPr>
        <w:t>、</w:t>
      </w:r>
      <w:r>
        <w:rPr>
          <w:rFonts w:hint="eastAsia"/>
          <w:b/>
          <w:color w:val="auto"/>
          <w:szCs w:val="21"/>
          <w:highlight w:val="none"/>
        </w:rPr>
        <w:t>附表五                     修改类型：删除</w:t>
      </w:r>
    </w:p>
    <w:p w14:paraId="464A1CF0">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原文：</w:t>
      </w:r>
      <w:r>
        <w:rPr>
          <w:rFonts w:hint="eastAsia"/>
          <w:b w:val="0"/>
          <w:bCs/>
          <w:color w:val="auto"/>
          <w:szCs w:val="21"/>
          <w:highlight w:val="none"/>
        </w:rPr>
        <w:t>附表四</w:t>
      </w:r>
      <w:r>
        <w:rPr>
          <w:rFonts w:hint="eastAsia"/>
          <w:b w:val="0"/>
          <w:bCs/>
          <w:color w:val="auto"/>
          <w:szCs w:val="21"/>
          <w:highlight w:val="none"/>
          <w:lang w:val="en-US" w:eastAsia="zh-CN"/>
        </w:rPr>
        <w:t xml:space="preserve"> </w:t>
      </w:r>
      <w:r>
        <w:rPr>
          <w:rFonts w:hint="eastAsia"/>
          <w:b w:val="0"/>
          <w:bCs/>
          <w:color w:val="auto"/>
          <w:szCs w:val="21"/>
          <w:highlight w:val="none"/>
        </w:rPr>
        <w:t>技术标详细审查评分表</w:t>
      </w:r>
      <w:r>
        <w:rPr>
          <w:rFonts w:hint="eastAsia"/>
          <w:b w:val="0"/>
          <w:bCs/>
          <w:color w:val="auto"/>
          <w:szCs w:val="21"/>
          <w:highlight w:val="none"/>
          <w:lang w:eastAsia="zh-CN"/>
        </w:rPr>
        <w:t>、</w:t>
      </w:r>
      <w:r>
        <w:rPr>
          <w:rFonts w:hint="eastAsia"/>
          <w:b w:val="0"/>
          <w:bCs/>
          <w:color w:val="auto"/>
          <w:szCs w:val="21"/>
          <w:highlight w:val="none"/>
        </w:rPr>
        <w:t>附表五（适用于区间抽取法）</w:t>
      </w:r>
    </w:p>
    <w:p w14:paraId="7D16B346">
      <w:pPr>
        <w:snapToGrid w:val="0"/>
        <w:spacing w:line="360" w:lineRule="auto"/>
        <w:rPr>
          <w:rFonts w:ascii="宋体" w:hAnsi="宋体"/>
          <w:b/>
          <w:color w:val="auto"/>
          <w:szCs w:val="21"/>
          <w:highlight w:val="none"/>
          <w:u w:val="single"/>
        </w:rPr>
      </w:pPr>
    </w:p>
    <w:p w14:paraId="15E1229C">
      <w:pPr>
        <w:spacing w:line="360" w:lineRule="auto"/>
        <w:ind w:firstLine="472" w:firstLineChars="224"/>
        <w:rPr>
          <w:b/>
          <w:color w:val="auto"/>
          <w:szCs w:val="21"/>
          <w:highlight w:val="none"/>
        </w:rPr>
      </w:pPr>
      <w:r>
        <w:rPr>
          <w:rFonts w:hint="eastAsia"/>
          <w:b/>
          <w:color w:val="auto"/>
          <w:szCs w:val="21"/>
          <w:highlight w:val="none"/>
        </w:rPr>
        <w:t>条款号：附件一                       修改类型：删除</w:t>
      </w:r>
    </w:p>
    <w:p w14:paraId="4E56A460">
      <w:pPr>
        <w:pBdr>
          <w:bottom w:val="single" w:color="auto" w:sz="6" w:space="1"/>
        </w:pBdr>
        <w:snapToGrid/>
        <w:spacing w:line="360" w:lineRule="auto"/>
        <w:ind w:firstLine="422" w:firstLineChars="200"/>
        <w:rPr>
          <w:rFonts w:ascii="Calibri" w:hAnsi="Calibri"/>
          <w:b/>
          <w:color w:val="auto"/>
          <w:szCs w:val="21"/>
          <w:highlight w:val="none"/>
        </w:rPr>
      </w:pPr>
      <w:r>
        <w:rPr>
          <w:rFonts w:hint="eastAsia"/>
          <w:b/>
          <w:color w:val="auto"/>
          <w:szCs w:val="21"/>
          <w:highlight w:val="none"/>
        </w:rPr>
        <w:t>原文：</w:t>
      </w:r>
      <w:r>
        <w:rPr>
          <w:rFonts w:hint="eastAsia"/>
          <w:color w:val="auto"/>
          <w:szCs w:val="21"/>
          <w:highlight w:val="none"/>
        </w:rPr>
        <w:t>附件一（适用于技术标与经济标分别开启）</w:t>
      </w:r>
    </w:p>
    <w:p w14:paraId="7A4E17A4">
      <w:pPr>
        <w:snapToGrid w:val="0"/>
        <w:spacing w:line="360" w:lineRule="auto"/>
        <w:rPr>
          <w:rFonts w:ascii="宋体" w:hAnsi="宋体"/>
          <w:b/>
          <w:color w:val="auto"/>
          <w:szCs w:val="21"/>
          <w:highlight w:val="none"/>
        </w:rPr>
      </w:pPr>
    </w:p>
    <w:p w14:paraId="54EDE28E">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14:paraId="64730953">
      <w:pPr>
        <w:spacing w:line="360" w:lineRule="auto"/>
        <w:rPr>
          <w:color w:val="auto"/>
          <w:szCs w:val="21"/>
          <w:highlight w:val="none"/>
        </w:rPr>
      </w:pPr>
      <w:r>
        <w:rPr>
          <w:rFonts w:hint="eastAsia"/>
          <w:b/>
          <w:color w:val="auto"/>
          <w:szCs w:val="21"/>
          <w:highlight w:val="none"/>
        </w:rPr>
        <w:t>（以下无正文）</w:t>
      </w:r>
    </w:p>
    <w:p w14:paraId="1060E289">
      <w:pPr>
        <w:pStyle w:val="9"/>
        <w:spacing w:line="360" w:lineRule="auto"/>
        <w:rPr>
          <w:color w:val="auto"/>
          <w:szCs w:val="21"/>
          <w:highlight w:val="none"/>
        </w:rPr>
      </w:pPr>
      <w:r>
        <w:rPr>
          <w:color w:val="auto"/>
          <w:szCs w:val="21"/>
          <w:highlight w:val="none"/>
        </w:rPr>
        <w:br w:type="page"/>
      </w:r>
    </w:p>
    <w:p w14:paraId="7796236D">
      <w:pPr>
        <w:pStyle w:val="6"/>
        <w:ind w:firstLine="525"/>
        <w:rPr>
          <w:color w:val="auto"/>
          <w:highlight w:val="none"/>
        </w:rPr>
      </w:pPr>
      <w:bookmarkStart w:id="22" w:name="_Toc21525500"/>
      <w:bookmarkStart w:id="23" w:name="_Toc2272556"/>
      <w:r>
        <w:rPr>
          <w:rFonts w:hint="eastAsia"/>
          <w:color w:val="auto"/>
          <w:highlight w:val="none"/>
        </w:rPr>
        <w:t>二、开标、评标及定标办法</w:t>
      </w:r>
      <w:r>
        <w:rPr>
          <w:rFonts w:hint="eastAsia"/>
          <w:color w:val="auto"/>
          <w:szCs w:val="30"/>
          <w:highlight w:val="none"/>
        </w:rPr>
        <w:t>通用条款</w:t>
      </w:r>
      <w:bookmarkEnd w:id="22"/>
      <w:bookmarkEnd w:id="23"/>
    </w:p>
    <w:p w14:paraId="75FEB3A3">
      <w:pPr>
        <w:pStyle w:val="7"/>
        <w:spacing w:before="156" w:after="156"/>
        <w:ind w:firstLine="540" w:firstLineChars="200"/>
        <w:rPr>
          <w:color w:val="auto"/>
          <w:highlight w:val="none"/>
        </w:rPr>
      </w:pPr>
      <w:bookmarkStart w:id="24" w:name="_Toc21525501"/>
      <w:bookmarkStart w:id="25" w:name="_Toc2272557"/>
      <w:r>
        <w:rPr>
          <w:rFonts w:hint="eastAsia"/>
          <w:color w:val="auto"/>
          <w:highlight w:val="none"/>
        </w:rPr>
        <w:t>（一）总则</w:t>
      </w:r>
      <w:bookmarkEnd w:id="24"/>
      <w:bookmarkEnd w:id="25"/>
    </w:p>
    <w:p w14:paraId="3C987224">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14:paraId="727F8BD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14:paraId="7408B68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14:paraId="14F7A84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14:paraId="76FE21C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14:paraId="042265D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14:paraId="75DFC61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14:paraId="620740F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35.7《财政部 工业和信息化部关于印发〈政府采购促进中小企业发展管理办法〉的通知》（财库〔2020〕46号）</w:t>
      </w:r>
      <w:r>
        <w:rPr>
          <w:rFonts w:hint="eastAsia" w:ascii="宋体" w:hAnsi="宋体"/>
          <w:color w:val="auto"/>
          <w:sz w:val="24"/>
          <w:szCs w:val="24"/>
          <w:highlight w:val="none"/>
          <w:lang w:eastAsia="zh-CN"/>
        </w:rPr>
        <w:t>；</w:t>
      </w:r>
    </w:p>
    <w:p w14:paraId="39A5C72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35.8《广东省加强建设工程招标投标监督管理的若干规定》（粤发[2004]4号）；</w:t>
      </w:r>
    </w:p>
    <w:p w14:paraId="4BE757A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35.9《广东省政府采购促进中小企业发展实施细则（试行）》</w:t>
      </w:r>
      <w:r>
        <w:rPr>
          <w:rFonts w:hint="eastAsia" w:ascii="宋体" w:hAnsi="宋体"/>
          <w:color w:val="auto"/>
          <w:sz w:val="24"/>
          <w:szCs w:val="24"/>
          <w:highlight w:val="none"/>
          <w:lang w:eastAsia="zh-CN"/>
        </w:rPr>
        <w:t>；</w:t>
      </w:r>
    </w:p>
    <w:p w14:paraId="4CF097F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35.10《广州市工程建设项目招标投标管理办法》（穗建规字〔2023〕12号）；</w:t>
      </w:r>
    </w:p>
    <w:p w14:paraId="67FADD8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0ED73B5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本项目招标文件。</w:t>
      </w:r>
    </w:p>
    <w:p w14:paraId="436321F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14:paraId="6629A75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14:paraId="3CB07A2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14:paraId="37F8BA49">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131405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14:paraId="4C08887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14:paraId="79E74FB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w:t>
      </w:r>
      <w:r>
        <w:rPr>
          <w:rFonts w:hint="eastAsia" w:ascii="宋体" w:hAnsi="宋体"/>
          <w:color w:val="auto"/>
          <w:sz w:val="24"/>
          <w:highlight w:val="none"/>
          <w:lang w:eastAsia="zh-CN"/>
        </w:rPr>
        <w:t>一</w:t>
      </w:r>
      <w:r>
        <w:rPr>
          <w:rFonts w:hint="eastAsia" w:ascii="宋体" w:hAnsi="宋体"/>
          <w:color w:val="auto"/>
          <w:sz w:val="24"/>
          <w:highlight w:val="none"/>
        </w:rPr>
        <w:t>小时内，投标人通过</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对已递交的电子投标文件进行解密。投标人完成解密后，再由招标人进行解密（如有项目负责人签到环节，应在项目负责人签到完成后，招标人再进行解密）。解密完成后，公布招标项目名称、投标人名称、</w:t>
      </w:r>
      <w:r>
        <w:rPr>
          <w:rFonts w:hint="eastAsia" w:ascii="宋体" w:hAnsi="宋体"/>
          <w:strike/>
          <w:color w:val="auto"/>
          <w:sz w:val="24"/>
          <w:highlight w:val="none"/>
        </w:rPr>
        <w:t>投标保证金的递交情况、</w:t>
      </w:r>
      <w:r>
        <w:rPr>
          <w:rFonts w:hint="eastAsia" w:ascii="宋体" w:hAnsi="宋体"/>
          <w:color w:val="auto"/>
          <w:sz w:val="24"/>
          <w:highlight w:val="none"/>
        </w:rPr>
        <w:t>投标报价、工期及其他内容；</w:t>
      </w:r>
    </w:p>
    <w:p w14:paraId="6FAE00F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14:paraId="6DA46988">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36.5.3投标人代表、招标人代表、监标人、记录人等有关人员在开标记录上签字确认；若有关人员不签字的，不影响开标程序；</w:t>
      </w:r>
      <w:r>
        <w:rPr>
          <w:rFonts w:hint="eastAsia" w:ascii="宋体" w:hAnsi="宋体"/>
          <w:color w:val="auto"/>
          <w:sz w:val="24"/>
          <w:highlight w:val="none"/>
          <w:u w:val="single"/>
        </w:rPr>
        <w:t>若投标人不参加开标会的，或不签字确认的，视同该投标人认可开标结果。</w:t>
      </w:r>
    </w:p>
    <w:p w14:paraId="6CF31E6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14:paraId="6CDEC18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BFFB41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14:paraId="607D8A4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14:paraId="6219F78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14:paraId="0CDA516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37.2评标委员会</w:t>
      </w:r>
      <w:r>
        <w:rPr>
          <w:rFonts w:hint="eastAsia" w:ascii="宋体" w:hAnsi="宋体"/>
          <w:color w:val="auto"/>
          <w:sz w:val="24"/>
          <w:szCs w:val="24"/>
          <w:highlight w:val="none"/>
        </w:rPr>
        <w:t>在开始评标前，应了解评标专家</w:t>
      </w:r>
      <w:r>
        <w:rPr>
          <w:rFonts w:ascii="宋体" w:hAnsi="宋体"/>
          <w:color w:val="auto"/>
          <w:sz w:val="24"/>
          <w:szCs w:val="24"/>
          <w:highlight w:val="none"/>
        </w:rPr>
        <w:t>的职责及守则</w:t>
      </w:r>
      <w:r>
        <w:rPr>
          <w:rFonts w:hint="eastAsia" w:ascii="宋体" w:hAnsi="宋体"/>
          <w:color w:val="auto"/>
          <w:sz w:val="24"/>
          <w:szCs w:val="24"/>
          <w:highlight w:val="none"/>
        </w:rPr>
        <w:t>，认真阅读附件</w:t>
      </w:r>
      <w:r>
        <w:rPr>
          <w:rFonts w:ascii="宋体" w:hAnsi="宋体"/>
          <w:color w:val="auto"/>
          <w:sz w:val="24"/>
          <w:szCs w:val="24"/>
          <w:highlight w:val="none"/>
        </w:rPr>
        <w:t>1《</w:t>
      </w:r>
      <w:r>
        <w:rPr>
          <w:rFonts w:hint="eastAsia" w:ascii="宋体" w:hAnsi="宋体"/>
          <w:color w:val="auto"/>
          <w:sz w:val="24"/>
          <w:szCs w:val="24"/>
          <w:highlight w:val="none"/>
        </w:rPr>
        <w:t>评标委员会成员声明》的内容并签名，签字后方可进行评标；</w:t>
      </w:r>
    </w:p>
    <w:p w14:paraId="04124C6E">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37.3评标委员会的职责及守则</w:t>
      </w:r>
      <w:r>
        <w:rPr>
          <w:rFonts w:hint="eastAsia" w:ascii="宋体" w:hAnsi="宋体"/>
          <w:color w:val="auto"/>
          <w:sz w:val="24"/>
          <w:szCs w:val="24"/>
          <w:highlight w:val="none"/>
        </w:rPr>
        <w:t>：</w:t>
      </w:r>
    </w:p>
    <w:p w14:paraId="2DD3DB6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14:paraId="71EC7146">
      <w:pPr>
        <w:spacing w:line="360" w:lineRule="auto"/>
        <w:ind w:firstLine="480" w:firstLineChars="200"/>
        <w:rPr>
          <w:rFonts w:ascii="宋体" w:hAnsi="宋体"/>
          <w:strike/>
          <w:color w:val="auto"/>
          <w:sz w:val="24"/>
          <w:szCs w:val="24"/>
          <w:highlight w:val="none"/>
          <w:u w:val="singl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.2</w:t>
      </w:r>
      <w:r>
        <w:rPr>
          <w:rFonts w:hint="eastAsia" w:ascii="宋体" w:hAnsi="宋体"/>
          <w:color w:val="auto"/>
          <w:sz w:val="24"/>
          <w:szCs w:val="24"/>
          <w:highlight w:val="none"/>
        </w:rPr>
        <w:t>本项目采用评定分离定标办法，其中：评标采用通过制评审，评标委员会对投标文件进行资格审查，再对通过资格审查的投标文件进行有效性审查，将通过有效性审查的合格投标人全部推荐为中标候选人进入定标阶段。定标采用直接票决定标法。</w:t>
      </w:r>
    </w:p>
    <w:p w14:paraId="7F6D5377">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w:t>
      </w:r>
      <w:r>
        <w:rPr>
          <w:rFonts w:hint="eastAsia" w:ascii="宋体" w:hAnsi="宋体"/>
          <w:bCs/>
          <w:color w:val="auto"/>
          <w:sz w:val="24"/>
          <w:szCs w:val="24"/>
          <w:highlight w:val="none"/>
          <w:lang w:val="en-US" w:eastAsia="zh-CN"/>
        </w:rPr>
        <w:t>3</w:t>
      </w:r>
      <w:r>
        <w:rPr>
          <w:rFonts w:ascii="宋体" w:hAnsi="宋体"/>
          <w:bCs/>
          <w:color w:val="auto"/>
          <w:sz w:val="24"/>
          <w:szCs w:val="24"/>
          <w:highlight w:val="none"/>
        </w:rPr>
        <w:t>.3</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7537CA2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14:paraId="2995387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14:paraId="449C531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14:paraId="5E961192">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14:paraId="658934A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14:paraId="6F968D1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14:paraId="65182AA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.4.6 </w:t>
      </w:r>
      <w:r>
        <w:rPr>
          <w:rFonts w:hint="eastAsia" w:ascii="宋体" w:hAnsi="宋体"/>
          <w:color w:val="auto"/>
          <w:sz w:val="24"/>
          <w:szCs w:val="24"/>
          <w:highlight w:val="none"/>
        </w:rPr>
        <w:t>必须严谨、不得随意马虎。</w:t>
      </w:r>
    </w:p>
    <w:p w14:paraId="57D19922">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37.</w:t>
      </w:r>
      <w:r>
        <w:rPr>
          <w:rFonts w:hint="eastAsia" w:ascii="宋体" w:hAnsi="宋体"/>
          <w:color w:val="auto"/>
          <w:sz w:val="24"/>
          <w:szCs w:val="24"/>
          <w:highlight w:val="none"/>
          <w:u w:val="single"/>
          <w:lang w:eastAsia="zh-CN"/>
        </w:rPr>
        <w:t>4</w:t>
      </w:r>
      <w:r>
        <w:rPr>
          <w:rFonts w:hint="eastAsia" w:ascii="宋体" w:hAnsi="宋体"/>
          <w:color w:val="auto"/>
          <w:sz w:val="24"/>
          <w:szCs w:val="24"/>
          <w:highlight w:val="none"/>
          <w:u w:val="single"/>
        </w:rPr>
        <w:t xml:space="preserve">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3D3BE48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评标结束后，向招标人</w:t>
      </w:r>
      <w:r>
        <w:rPr>
          <w:rFonts w:hint="eastAsia" w:ascii="宋体" w:hAnsi="宋体"/>
          <w:color w:val="auto"/>
          <w:sz w:val="24"/>
          <w:szCs w:val="24"/>
          <w:highlight w:val="none"/>
          <w:lang w:eastAsia="zh-CN"/>
        </w:rPr>
        <w:t>递交</w:t>
      </w:r>
      <w:r>
        <w:rPr>
          <w:rFonts w:hint="eastAsia" w:ascii="宋体" w:hAnsi="宋体"/>
          <w:color w:val="auto"/>
          <w:sz w:val="24"/>
          <w:szCs w:val="24"/>
          <w:highlight w:val="none"/>
        </w:rPr>
        <w:t>评审意见，推荐合格的中标候选人。</w:t>
      </w:r>
    </w:p>
    <w:p w14:paraId="6BABD13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14:paraId="31E8776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2B6862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27DEABC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14:paraId="7846081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690002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35C987A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14:paraId="7C41DF08">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39.1 招标人依法组建定标委员会，根据定标委员会递交的定标报告，最终审定中标人。</w:t>
      </w:r>
    </w:p>
    <w:p w14:paraId="382C404D">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39.2 依法必须进行公开招标的项目，招标人应当根据定标报告确定排名第一的中标候选人为中标人。</w:t>
      </w:r>
    </w:p>
    <w:p w14:paraId="60E3713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none"/>
        </w:rPr>
        <w:t>39.3</w:t>
      </w:r>
      <w:r>
        <w:rPr>
          <w:rFonts w:hint="eastAsia" w:ascii="宋体" w:hAnsi="宋体" w:eastAsia="宋体" w:cs="宋体"/>
          <w:color w:val="auto"/>
          <w:sz w:val="24"/>
          <w:szCs w:val="24"/>
          <w:highlight w:val="none"/>
        </w:rPr>
        <w:t>排名第一的中标候选人放弃中标、或因不可抗力不能履行合同，或者招标文件规定应当提交履约担保而在规定的期限内未能提交的</w:t>
      </w:r>
      <w:r>
        <w:rPr>
          <w:rFonts w:hint="eastAsia" w:ascii="宋体" w:hAnsi="宋体" w:eastAsia="宋体" w:cs="宋体"/>
          <w:color w:val="auto"/>
          <w:sz w:val="24"/>
          <w:szCs w:val="24"/>
          <w:highlight w:val="none"/>
          <w:u w:val="single"/>
        </w:rPr>
        <w:t>，或者被查实存在影响中标结果的违法行为等情形，不符合中标条件的，招标人可以按照评标委员会推荐的中标候选人名单排序依次确定其他中标候选人为中标人，也可以重新招标</w:t>
      </w:r>
      <w:r>
        <w:rPr>
          <w:rFonts w:hint="eastAsia" w:ascii="宋体" w:hAnsi="宋体"/>
          <w:color w:val="auto"/>
          <w:sz w:val="24"/>
          <w:szCs w:val="24"/>
          <w:highlight w:val="none"/>
        </w:rPr>
        <w:t>。</w:t>
      </w:r>
    </w:p>
    <w:p w14:paraId="3C05DEAF">
      <w:pPr>
        <w:spacing w:line="360" w:lineRule="auto"/>
        <w:ind w:firstLine="480" w:firstLineChars="200"/>
        <w:rPr>
          <w:rFonts w:ascii="宋体" w:hAnsi="宋体"/>
          <w:strike/>
          <w:color w:val="auto"/>
          <w:sz w:val="24"/>
          <w:szCs w:val="24"/>
          <w:highlight w:val="none"/>
        </w:rPr>
      </w:pPr>
      <w:r>
        <w:rPr>
          <w:rFonts w:ascii="宋体" w:hAnsi="宋体"/>
          <w:strike/>
          <w:color w:val="auto"/>
          <w:sz w:val="24"/>
          <w:szCs w:val="24"/>
          <w:highlight w:val="none"/>
        </w:rPr>
        <w:t>39.4</w:t>
      </w:r>
      <w:r>
        <w:rPr>
          <w:rFonts w:hint="eastAsia" w:ascii="宋体" w:hAnsi="宋体"/>
          <w:strike/>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7F535F5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7A194864">
      <w:pPr>
        <w:pStyle w:val="9"/>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39.</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定标委员会在评标委员会评审的基础上，根据定标因素及投标人提供的投标文件定标部分，对进入定标阶段的N名入围候选人进行无记名投票，排序第一得N分，排序第二得N-1分，依此类推，排名第N名（即最后一名）得1分，将所有定标委员会成员对同一投标人的评分进行相加得出该投标人总得分，总得分由高至低排序入围候选人的名次，总得分最高的为第一入围候选人，总得分次高的为第二入围候选人，总得分第三高的为第三入围候选人，依此类推，至第N名入围候选人。</w:t>
      </w:r>
    </w:p>
    <w:p w14:paraId="668D2C9D">
      <w:pPr>
        <w:pStyle w:val="9"/>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若在第一轮投票出现总得分相同且影响入围候选人排序的，出现X家投标人名次排序并列的，则取消并列名次以后的X-1个名次，下一名次跳跃排列，并以总得分相同所有投标人为一组，由定标委员会分别对各组进行第二轮投票，每位定标委员会成员只有1票表决权（即只能对其中一家投标人投票），在本组中得票数最多的为本组第1名，得票数次多的为第2名，依此类推排序。若第二轮完成后，仍出现本组中票数相同的，则按第二轮方式进行票决，直至将各组全部投标人排列出不重叠排序为止；</w:t>
      </w:r>
    </w:p>
    <w:p w14:paraId="7A82CA2B">
      <w:pPr>
        <w:pStyle w:val="9"/>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定标委员会推荐排序第一的入围候选人为第一中标候选人、推荐排序第二的入围候选人为第二中标候选人、推荐排序第三的入围候选人为第三中标候选人，以此类推，直至排出所有入围候选人的中标候选人排序。</w:t>
      </w:r>
    </w:p>
    <w:p w14:paraId="7F52619E">
      <w:pPr>
        <w:pStyle w:val="7"/>
        <w:spacing w:before="156" w:after="156" w:line="360" w:lineRule="auto"/>
        <w:ind w:firstLine="540" w:firstLineChars="200"/>
        <w:rPr>
          <w:color w:val="auto"/>
          <w:sz w:val="24"/>
          <w:szCs w:val="24"/>
          <w:highlight w:val="none"/>
        </w:rPr>
      </w:pPr>
      <w:bookmarkStart w:id="26" w:name="_Toc21525502"/>
      <w:bookmarkStart w:id="27" w:name="_Toc2272558"/>
      <w:r>
        <w:rPr>
          <w:rFonts w:hint="eastAsia"/>
          <w:color w:val="auto"/>
          <w:highlight w:val="none"/>
        </w:rPr>
        <w:t>（二）开标评标办法程序和细则</w:t>
      </w:r>
      <w:bookmarkEnd w:id="26"/>
      <w:bookmarkEnd w:id="27"/>
    </w:p>
    <w:p w14:paraId="3CE87831">
      <w:pPr>
        <w:pStyle w:val="7"/>
        <w:spacing w:before="156" w:after="156"/>
        <w:ind w:firstLine="542" w:firstLineChars="200"/>
        <w:rPr>
          <w:b/>
          <w:bCs/>
          <w:color w:val="auto"/>
          <w:highlight w:val="none"/>
        </w:rPr>
      </w:pPr>
      <w:bookmarkStart w:id="28" w:name="_Toc2272564"/>
      <w:bookmarkStart w:id="29" w:name="_Toc21525509"/>
      <w:r>
        <w:rPr>
          <w:rFonts w:hint="eastAsia"/>
          <w:b/>
          <w:bCs/>
          <w:color w:val="auto"/>
          <w:highlight w:val="none"/>
        </w:rPr>
        <w:t>可选办法七（适合综合评分法四，技术标与经济标同时开启）</w:t>
      </w:r>
      <w:bookmarkEnd w:id="28"/>
      <w:bookmarkEnd w:id="29"/>
    </w:p>
    <w:p w14:paraId="459C1C49">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14:paraId="198F8D0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14:paraId="4A0C29C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14:paraId="771E41D4">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14:paraId="5021019E">
      <w:pPr>
        <w:snapToGrid w:val="0"/>
        <w:spacing w:line="360" w:lineRule="auto"/>
        <w:ind w:firstLine="480" w:firstLineChars="200"/>
        <w:rPr>
          <w:rFonts w:ascii="宋体"/>
          <w:strike/>
          <w:color w:val="auto"/>
          <w:sz w:val="24"/>
          <w:szCs w:val="24"/>
          <w:highlight w:val="none"/>
        </w:rPr>
      </w:pPr>
      <w:r>
        <w:rPr>
          <w:rFonts w:hint="eastAsia" w:ascii="宋体"/>
          <w:strike/>
          <w:color w:val="auto"/>
          <w:sz w:val="24"/>
          <w:szCs w:val="24"/>
          <w:highlight w:val="none"/>
        </w:rPr>
        <w:t>40.4技术标详细审查评分；</w:t>
      </w:r>
    </w:p>
    <w:p w14:paraId="18B04EC5">
      <w:pPr>
        <w:snapToGrid w:val="0"/>
        <w:spacing w:line="360" w:lineRule="auto"/>
        <w:ind w:firstLine="480" w:firstLineChars="200"/>
        <w:rPr>
          <w:rFonts w:ascii="宋体"/>
          <w:strike/>
          <w:color w:val="auto"/>
          <w:sz w:val="24"/>
          <w:szCs w:val="24"/>
          <w:highlight w:val="none"/>
          <w:u w:val="single"/>
        </w:rPr>
      </w:pPr>
      <w:r>
        <w:rPr>
          <w:rFonts w:hint="eastAsia" w:ascii="宋体"/>
          <w:strike/>
          <w:color w:val="auto"/>
          <w:sz w:val="24"/>
          <w:szCs w:val="24"/>
          <w:highlight w:val="none"/>
          <w:u w:val="single"/>
        </w:rPr>
        <w:t>40.5经济标详细审查评分；</w:t>
      </w:r>
    </w:p>
    <w:p w14:paraId="54EA2DE9">
      <w:pPr>
        <w:snapToGrid w:val="0"/>
        <w:spacing w:line="360" w:lineRule="auto"/>
        <w:ind w:firstLine="480" w:firstLineChars="200"/>
        <w:rPr>
          <w:rFonts w:ascii="宋体"/>
          <w:strike/>
          <w:color w:val="auto"/>
          <w:sz w:val="24"/>
          <w:szCs w:val="24"/>
          <w:highlight w:val="none"/>
          <w:u w:val="none"/>
        </w:rPr>
      </w:pPr>
      <w:r>
        <w:rPr>
          <w:rFonts w:hint="eastAsia" w:ascii="宋体"/>
          <w:strike/>
          <w:color w:val="auto"/>
          <w:sz w:val="24"/>
          <w:szCs w:val="24"/>
          <w:highlight w:val="none"/>
          <w:u w:val="none"/>
        </w:rPr>
        <w:t>40.6评标委员会按照投标人总得分由高至低排序；</w:t>
      </w:r>
    </w:p>
    <w:p w14:paraId="403791EB">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14:paraId="3D3652BA">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40.8评标委员会向招标人递交资格审查报告及评标报告。评标采用通过制评审，评标委员会对投标文件进行资格审查，再对通过资格审查的投标文件进行有效性审查，将通过有效性审查的合格投标人全部推荐为中标候选人进入定标阶段。</w:t>
      </w:r>
    </w:p>
    <w:p w14:paraId="4BEA6CF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14:paraId="2916B925">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w:t>
      </w:r>
      <w:r>
        <w:rPr>
          <w:rFonts w:hint="eastAsia" w:ascii="宋体"/>
          <w:color w:val="auto"/>
          <w:sz w:val="24"/>
          <w:szCs w:val="24"/>
          <w:highlight w:val="none"/>
          <w:u w:val="single"/>
          <w:lang w:eastAsia="zh-CN"/>
        </w:rPr>
        <w:t>开标由招标人或其委托的招标代理机构主持</w:t>
      </w:r>
      <w:r>
        <w:rPr>
          <w:rFonts w:hint="eastAsia" w:ascii="宋体"/>
          <w:color w:val="auto"/>
          <w:sz w:val="24"/>
          <w:szCs w:val="24"/>
          <w:highlight w:val="none"/>
        </w:rPr>
        <w:t>；</w:t>
      </w:r>
    </w:p>
    <w:p w14:paraId="203D1657">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14:paraId="66AAA5E0">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w:t>
      </w:r>
      <w:r>
        <w:rPr>
          <w:rStyle w:val="114"/>
          <w:rFonts w:hint="eastAsia" w:ascii="宋体" w:hAnsi="宋体" w:eastAsia="宋体" w:cs="宋体"/>
          <w:color w:val="auto"/>
          <w:sz w:val="24"/>
          <w:szCs w:val="24"/>
          <w:highlight w:val="none"/>
          <w:u w:val="single"/>
        </w:rPr>
        <w:t>（含资格审查文件）</w:t>
      </w:r>
      <w:r>
        <w:rPr>
          <w:rFonts w:hint="eastAsia" w:ascii="宋体"/>
          <w:color w:val="auto"/>
          <w:sz w:val="24"/>
          <w:szCs w:val="24"/>
          <w:highlight w:val="none"/>
        </w:rPr>
        <w:t>、经济标投标文件</w:t>
      </w:r>
      <w:r>
        <w:rPr>
          <w:rFonts w:hint="eastAsia" w:ascii="宋体"/>
          <w:color w:val="auto"/>
          <w:sz w:val="24"/>
          <w:szCs w:val="24"/>
          <w:highlight w:val="none"/>
          <w:u w:val="single"/>
          <w:lang w:eastAsia="zh-CN"/>
        </w:rPr>
        <w:t>、定标文件</w:t>
      </w:r>
      <w:r>
        <w:rPr>
          <w:rFonts w:hint="eastAsia" w:ascii="宋体"/>
          <w:color w:val="auto"/>
          <w:sz w:val="24"/>
          <w:szCs w:val="24"/>
          <w:highlight w:val="none"/>
        </w:rPr>
        <w:t>）至</w:t>
      </w:r>
      <w:r>
        <w:rPr>
          <w:rFonts w:hint="eastAsia" w:ascii="宋体"/>
          <w:color w:val="auto"/>
          <w:sz w:val="24"/>
          <w:szCs w:val="24"/>
          <w:highlight w:val="none"/>
          <w:u w:val="single"/>
        </w:rPr>
        <w:t>广州交易集团有限公司（广州公共资源交易中心）</w:t>
      </w:r>
      <w:r>
        <w:rPr>
          <w:rFonts w:hint="eastAsia" w:ascii="宋体"/>
          <w:color w:val="auto"/>
          <w:sz w:val="24"/>
          <w:szCs w:val="24"/>
          <w:highlight w:val="none"/>
        </w:rPr>
        <w:t xml:space="preserve">交易平台。有关投标文件提交的事项详见第一章投标须知。 </w:t>
      </w:r>
    </w:p>
    <w:p w14:paraId="2E17B4CE">
      <w:pPr>
        <w:snapToGrid w:val="0"/>
        <w:spacing w:line="360" w:lineRule="auto"/>
        <w:ind w:firstLine="480" w:firstLineChars="200"/>
        <w:rPr>
          <w:rFonts w:ascii="宋体"/>
          <w:strike/>
          <w:color w:val="auto"/>
          <w:sz w:val="24"/>
          <w:szCs w:val="24"/>
          <w:highlight w:val="none"/>
        </w:rPr>
      </w:pPr>
      <w:r>
        <w:rPr>
          <w:rFonts w:hint="eastAsia" w:ascii="宋体"/>
          <w:strike/>
          <w:color w:val="auto"/>
          <w:sz w:val="24"/>
          <w:szCs w:val="24"/>
          <w:highlight w:val="none"/>
        </w:rPr>
        <w:t>41.2.2开标前，首先由招标人随机抽取确定该工程计算评标参考价的等分点值X。</w:t>
      </w:r>
    </w:p>
    <w:p w14:paraId="76FBB71C">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w:t>
      </w:r>
      <w:r>
        <w:rPr>
          <w:rFonts w:hint="eastAsia" w:ascii="宋体"/>
          <w:bCs/>
          <w:color w:val="auto"/>
          <w:sz w:val="24"/>
          <w:szCs w:val="24"/>
          <w:highlight w:val="none"/>
        </w:rPr>
        <w:t>开标时，投标人代表有权参加现场开标或</w:t>
      </w:r>
      <w:r>
        <w:rPr>
          <w:rFonts w:hint="eastAsia" w:ascii="宋体"/>
          <w:b/>
          <w:bCs/>
          <w:color w:val="auto"/>
          <w:sz w:val="24"/>
          <w:szCs w:val="24"/>
          <w:highlight w:val="none"/>
          <w:u w:val="single"/>
        </w:rPr>
        <w:t>在线开标</w:t>
      </w:r>
      <w:r>
        <w:rPr>
          <w:rFonts w:hint="eastAsia" w:ascii="宋体"/>
          <w:bCs/>
          <w:color w:val="auto"/>
          <w:sz w:val="24"/>
          <w:szCs w:val="24"/>
          <w:highlight w:val="none"/>
        </w:rPr>
        <w:t>，也可以自主决定不参加开标，若投标人代表对开标过程有异议的，</w:t>
      </w:r>
      <w:r>
        <w:rPr>
          <w:rFonts w:hint="eastAsia" w:ascii="宋体"/>
          <w:b/>
          <w:bCs/>
          <w:color w:val="auto"/>
          <w:sz w:val="24"/>
          <w:szCs w:val="24"/>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6460689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14:paraId="486461AF">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w:t>
      </w:r>
      <w:r>
        <w:rPr>
          <w:rFonts w:hint="eastAsia" w:ascii="宋体"/>
          <w:strike/>
          <w:color w:val="auto"/>
          <w:sz w:val="24"/>
          <w:szCs w:val="24"/>
          <w:highlight w:val="none"/>
        </w:rPr>
        <w:t>d、投标保证金；</w:t>
      </w:r>
      <w:r>
        <w:rPr>
          <w:rFonts w:hint="eastAsia" w:ascii="宋体"/>
          <w:color w:val="auto"/>
          <w:sz w:val="24"/>
          <w:szCs w:val="24"/>
          <w:highlight w:val="none"/>
        </w:rPr>
        <w:t>e、项目经理（负责人）名称；f、法定代表人证明及授权委托等主要内容及开标记录表中的其他必要内容。投标报价以数字和文字两种方式表述的，应公布文字表述的投标报价。</w:t>
      </w:r>
    </w:p>
    <w:p w14:paraId="6D9018C1">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w:t>
      </w:r>
      <w:r>
        <w:rPr>
          <w:rFonts w:hint="eastAsia"/>
          <w:color w:val="auto"/>
          <w:sz w:val="24"/>
          <w:szCs w:val="24"/>
          <w:highlight w:val="none"/>
        </w:rPr>
        <w:t>招标人</w:t>
      </w:r>
      <w:r>
        <w:rPr>
          <w:rFonts w:hint="eastAsia" w:ascii="宋体" w:hAnsi="宋体" w:cs="宋体"/>
          <w:color w:val="auto"/>
          <w:sz w:val="24"/>
          <w:szCs w:val="24"/>
          <w:highlight w:val="none"/>
          <w:u w:val="single"/>
        </w:rPr>
        <w:t>或招标代理</w:t>
      </w:r>
      <w:r>
        <w:rPr>
          <w:rFonts w:hint="eastAsia"/>
          <w:color w:val="auto"/>
          <w:sz w:val="24"/>
          <w:szCs w:val="24"/>
          <w:highlight w:val="none"/>
        </w:rPr>
        <w:t>对开标过程进行记录，并存档备查，投标人在开标记录上签字</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投标人未签字且未提出异议的将被视为默认开标结果</w:t>
      </w:r>
      <w:r>
        <w:rPr>
          <w:rFonts w:hint="eastAsia"/>
          <w:color w:val="auto"/>
          <w:sz w:val="24"/>
          <w:szCs w:val="24"/>
          <w:highlight w:val="none"/>
        </w:rPr>
        <w:t>。</w:t>
      </w:r>
    </w:p>
    <w:p w14:paraId="4020F3A2">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14:paraId="4DAB0816">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14:paraId="202C6C05">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290DB1BE">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一</w:t>
      </w:r>
      <w:r>
        <w:rPr>
          <w:rFonts w:hint="eastAsia" w:ascii="宋体"/>
          <w:color w:val="auto"/>
          <w:sz w:val="24"/>
          <w:szCs w:val="24"/>
          <w:highlight w:val="none"/>
        </w:rPr>
        <w:t>。</w:t>
      </w:r>
    </w:p>
    <w:p w14:paraId="1C99DD5C">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2838ECDC">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159802D9">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w:t>
      </w:r>
      <w:r>
        <w:rPr>
          <w:rFonts w:hint="eastAsia" w:ascii="宋体"/>
          <w:bCs/>
          <w:color w:val="auto"/>
          <w:sz w:val="24"/>
          <w:szCs w:val="24"/>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color w:val="auto"/>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14:paraId="3480E33F">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0CC22C70">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w:t>
      </w:r>
      <w:r>
        <w:rPr>
          <w:rFonts w:hint="eastAsia" w:ascii="宋体"/>
          <w:strike/>
          <w:color w:val="auto"/>
          <w:sz w:val="24"/>
          <w:szCs w:val="24"/>
          <w:highlight w:val="none"/>
        </w:rPr>
        <w:t>，不参与评标参考价的计算</w:t>
      </w:r>
      <w:r>
        <w:rPr>
          <w:rFonts w:hint="eastAsia" w:ascii="宋体"/>
          <w:color w:val="auto"/>
          <w:sz w:val="24"/>
          <w:szCs w:val="24"/>
          <w:highlight w:val="none"/>
        </w:rPr>
        <w:t>。</w:t>
      </w:r>
    </w:p>
    <w:p w14:paraId="7E7BDF66">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053730D5">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3E24C6A0">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w:t>
      </w:r>
      <w:r>
        <w:rPr>
          <w:rFonts w:hint="eastAsia" w:ascii="宋体"/>
          <w:strike/>
          <w:color w:val="auto"/>
          <w:sz w:val="24"/>
          <w:szCs w:val="24"/>
          <w:highlight w:val="none"/>
        </w:rPr>
        <w:t>（当N个标段同时招标且不允许兼中时，资格审查合格的投标人少于N+2名）</w:t>
      </w:r>
      <w:r>
        <w:rPr>
          <w:rFonts w:hint="eastAsia" w:ascii="宋体"/>
          <w:color w:val="auto"/>
          <w:sz w:val="24"/>
          <w:szCs w:val="24"/>
          <w:highlight w:val="none"/>
        </w:rPr>
        <w:t>，则本项目招标失败。</w:t>
      </w:r>
    </w:p>
    <w:p w14:paraId="1A65BE5A">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2C5AB191">
      <w:pPr>
        <w:pStyle w:val="4"/>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w:t>
      </w:r>
      <w:r>
        <w:rPr>
          <w:rFonts w:hint="eastAsia" w:ascii="宋体"/>
          <w:strike/>
          <w:color w:val="auto"/>
          <w:sz w:val="24"/>
          <w:szCs w:val="24"/>
          <w:highlight w:val="none"/>
        </w:rPr>
        <w:t>，不参与评标参考价的计算</w:t>
      </w:r>
      <w:r>
        <w:rPr>
          <w:rFonts w:hint="eastAsia" w:ascii="宋体"/>
          <w:strike w:val="0"/>
          <w:color w:val="auto"/>
          <w:sz w:val="24"/>
          <w:szCs w:val="24"/>
          <w:highlight w:val="none"/>
        </w:rPr>
        <w:t>。</w:t>
      </w:r>
      <w:r>
        <w:rPr>
          <w:rFonts w:hint="eastAsia" w:ascii="宋体"/>
          <w:color w:val="auto"/>
          <w:sz w:val="24"/>
          <w:szCs w:val="24"/>
          <w:highlight w:val="none"/>
        </w:rPr>
        <w:t>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r>
        <w:rPr>
          <w:rFonts w:hint="eastAsia" w:ascii="宋体"/>
          <w:b/>
          <w:bCs/>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14:paraId="248FA55F">
      <w:pPr>
        <w:pStyle w:val="4"/>
        <w:tabs>
          <w:tab w:val="left" w:pos="7380"/>
        </w:tabs>
        <w:snapToGrid w:val="0"/>
        <w:spacing w:after="0" w:line="360" w:lineRule="auto"/>
        <w:ind w:firstLine="480" w:firstLineChars="200"/>
        <w:rPr>
          <w:rFonts w:ascii="宋体"/>
          <w:strike/>
          <w:color w:val="auto"/>
          <w:sz w:val="24"/>
          <w:szCs w:val="24"/>
          <w:highlight w:val="none"/>
        </w:rPr>
      </w:pPr>
      <w:r>
        <w:rPr>
          <w:rFonts w:hint="eastAsia" w:ascii="宋体"/>
          <w:strike/>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4B7FC4C7">
      <w:pPr>
        <w:pStyle w:val="4"/>
        <w:tabs>
          <w:tab w:val="left" w:pos="7380"/>
        </w:tabs>
        <w:snapToGrid w:val="0"/>
        <w:spacing w:after="0" w:line="360" w:lineRule="auto"/>
        <w:ind w:firstLine="480" w:firstLineChars="200"/>
        <w:rPr>
          <w:rFonts w:ascii="宋体"/>
          <w:strike/>
          <w:color w:val="auto"/>
          <w:sz w:val="24"/>
          <w:szCs w:val="24"/>
          <w:highlight w:val="none"/>
        </w:rPr>
      </w:pPr>
      <w:r>
        <w:rPr>
          <w:rFonts w:hint="eastAsia" w:ascii="宋体"/>
          <w:strike/>
          <w:color w:val="auto"/>
          <w:sz w:val="24"/>
          <w:szCs w:val="24"/>
          <w:highlight w:val="none"/>
        </w:rPr>
        <w:t>45．经济标评审和得分汇总</w:t>
      </w:r>
    </w:p>
    <w:p w14:paraId="36DEADDC">
      <w:pPr>
        <w:pStyle w:val="4"/>
        <w:tabs>
          <w:tab w:val="left" w:pos="7380"/>
        </w:tabs>
        <w:snapToGrid w:val="0"/>
        <w:spacing w:after="0"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strike/>
          <w:color w:val="auto"/>
          <w:sz w:val="24"/>
          <w:szCs w:val="24"/>
          <w:highlight w:val="none"/>
          <w:u w:val="single"/>
        </w:rPr>
        <w:t xml:space="preserve">      </w:t>
      </w:r>
      <w:r>
        <w:rPr>
          <w:rFonts w:hint="eastAsia" w:ascii="宋体" w:hAnsi="宋体"/>
          <w:strike/>
          <w:color w:val="auto"/>
          <w:sz w:val="24"/>
          <w:szCs w:val="24"/>
          <w:highlight w:val="none"/>
        </w:rPr>
        <w:t>元），则本项目招标失败，由招标人依法重新招标。</w:t>
      </w:r>
    </w:p>
    <w:p w14:paraId="72095C60">
      <w:pPr>
        <w:pStyle w:val="4"/>
        <w:tabs>
          <w:tab w:val="left" w:pos="7380"/>
        </w:tabs>
        <w:snapToGrid w:val="0"/>
        <w:spacing w:after="0" w:line="360" w:lineRule="auto"/>
        <w:ind w:firstLine="480" w:firstLineChars="200"/>
        <w:rPr>
          <w:rFonts w:ascii="宋体"/>
          <w:strike/>
          <w:color w:val="auto"/>
          <w:sz w:val="24"/>
          <w:szCs w:val="24"/>
          <w:highlight w:val="none"/>
        </w:rPr>
      </w:pPr>
      <w:r>
        <w:rPr>
          <w:rFonts w:hint="eastAsia" w:ascii="宋体" w:hAnsi="宋体"/>
          <w:strike/>
          <w:color w:val="auto"/>
          <w:sz w:val="24"/>
          <w:szCs w:val="24"/>
          <w:highlight w:val="none"/>
        </w:rPr>
        <w:t xml:space="preserve"> 45.2按方法</w:t>
      </w:r>
      <w:r>
        <w:rPr>
          <w:rFonts w:hint="eastAsia" w:ascii="宋体" w:hAnsi="宋体"/>
          <w:strike/>
          <w:color w:val="auto"/>
          <w:sz w:val="24"/>
          <w:szCs w:val="24"/>
          <w:highlight w:val="none"/>
          <w:u w:val="single"/>
        </w:rPr>
        <w:t xml:space="preserve">    </w:t>
      </w:r>
      <w:r>
        <w:rPr>
          <w:rFonts w:hint="eastAsia" w:ascii="宋体" w:hAnsi="宋体"/>
          <w:strike/>
          <w:color w:val="auto"/>
          <w:sz w:val="24"/>
          <w:szCs w:val="24"/>
          <w:highlight w:val="none"/>
        </w:rPr>
        <w:t>计算评标参考价：</w:t>
      </w:r>
    </w:p>
    <w:p w14:paraId="0B987D3C">
      <w:pPr>
        <w:widowControl/>
        <w:spacing w:line="360" w:lineRule="auto"/>
        <w:ind w:firstLine="482" w:firstLineChars="200"/>
        <w:rPr>
          <w:rFonts w:ascii="宋体" w:hAnsi="宋体"/>
          <w:b/>
          <w:bCs/>
          <w:strike/>
          <w:color w:val="auto"/>
          <w:kern w:val="0"/>
          <w:sz w:val="24"/>
          <w:szCs w:val="24"/>
          <w:highlight w:val="none"/>
        </w:rPr>
      </w:pPr>
      <w:r>
        <w:rPr>
          <w:rFonts w:hint="eastAsia" w:ascii="宋体" w:hAnsi="宋体" w:cs="仿宋"/>
          <w:b/>
          <w:bCs/>
          <w:strike/>
          <w:color w:val="auto"/>
          <w:kern w:val="0"/>
          <w:sz w:val="24"/>
          <w:szCs w:val="24"/>
          <w:highlight w:val="none"/>
        </w:rPr>
        <w:t>方法一：加权平均法</w:t>
      </w:r>
    </w:p>
    <w:p w14:paraId="50F6B659">
      <w:pPr>
        <w:spacing w:line="360" w:lineRule="auto"/>
        <w:ind w:firstLine="480" w:firstLineChars="200"/>
        <w:rPr>
          <w:rFonts w:ascii="宋体" w:hAnsi="宋体" w:cs="仿宋"/>
          <w:strike/>
          <w:color w:val="auto"/>
          <w:sz w:val="24"/>
          <w:szCs w:val="24"/>
          <w:highlight w:val="none"/>
        </w:rPr>
      </w:pPr>
      <w:r>
        <w:rPr>
          <w:rFonts w:hint="eastAsia" w:ascii="宋体" w:hAnsi="宋体" w:cs="仿宋"/>
          <w:strike/>
          <w:color w:val="auto"/>
          <w:sz w:val="24"/>
          <w:szCs w:val="24"/>
          <w:highlight w:val="none"/>
        </w:rPr>
        <w:t>技术标或技术标加诚信得分（具体由招标人自定）前</w:t>
      </w:r>
      <w:r>
        <w:rPr>
          <w:rFonts w:ascii="宋体" w:hAnsi="宋体" w:cs="仿宋"/>
          <w:strike/>
          <w:color w:val="auto"/>
          <w:sz w:val="24"/>
          <w:szCs w:val="24"/>
          <w:highlight w:val="none"/>
        </w:rPr>
        <w:t>N</w:t>
      </w:r>
      <w:r>
        <w:rPr>
          <w:rFonts w:hint="eastAsia" w:ascii="宋体" w:hAnsi="宋体" w:cs="仿宋"/>
          <w:strike/>
          <w:color w:val="auto"/>
          <w:sz w:val="24"/>
          <w:szCs w:val="24"/>
          <w:highlight w:val="none"/>
        </w:rPr>
        <w:t>名（N≥5，具体由招标人自定）的经济报价加权平均，计算评标参考价。公式如下：</w:t>
      </w:r>
    </w:p>
    <w:p w14:paraId="1E22D053">
      <w:pPr>
        <w:spacing w:line="360" w:lineRule="auto"/>
        <w:ind w:firstLine="480" w:firstLineChars="200"/>
        <w:rPr>
          <w:rFonts w:ascii="宋体" w:hAnsi="宋体" w:cs="仿宋"/>
          <w:strike/>
          <w:color w:val="auto"/>
          <w:sz w:val="24"/>
          <w:szCs w:val="24"/>
          <w:highlight w:val="none"/>
        </w:rPr>
      </w:pPr>
      <w:r>
        <w:rPr>
          <w:rFonts w:hint="eastAsia" w:ascii="宋体" w:hAnsi="宋体" w:cs="仿宋"/>
          <w:strike/>
          <w:color w:val="auto"/>
          <w:sz w:val="24"/>
          <w:szCs w:val="24"/>
          <w:highlight w:val="none"/>
        </w:rPr>
        <w:t>评标参考价</w:t>
      </w:r>
      <w:r>
        <w:rPr>
          <w:rFonts w:ascii="宋体" w:hAnsi="宋体" w:cs="仿宋"/>
          <w:strike/>
          <w:color w:val="auto"/>
          <w:sz w:val="24"/>
          <w:szCs w:val="24"/>
          <w:highlight w:val="none"/>
        </w:rPr>
        <w:t>=</w:t>
      </w:r>
      <w:r>
        <w:rPr>
          <w:rFonts w:hint="eastAsia" w:ascii="宋体" w:hAnsi="宋体" w:cs="仿宋"/>
          <w:strike/>
          <w:color w:val="auto"/>
          <w:sz w:val="24"/>
          <w:szCs w:val="24"/>
          <w:highlight w:val="none"/>
        </w:rPr>
        <w:t>Σ（投标人的投标报价</w:t>
      </w:r>
      <w:r>
        <w:rPr>
          <w:rFonts w:ascii="宋体" w:hAnsi="宋体" w:cs="仿宋"/>
          <w:strike/>
          <w:color w:val="auto"/>
          <w:sz w:val="24"/>
          <w:szCs w:val="24"/>
          <w:highlight w:val="none"/>
        </w:rPr>
        <w:t>*</w:t>
      </w:r>
      <w:r>
        <w:rPr>
          <w:rFonts w:hint="eastAsia" w:ascii="宋体" w:hAnsi="宋体" w:cs="仿宋"/>
          <w:strike/>
          <w:color w:val="auto"/>
          <w:sz w:val="24"/>
          <w:szCs w:val="24"/>
          <w:highlight w:val="none"/>
        </w:rPr>
        <w:t>报价权重）。</w:t>
      </w:r>
    </w:p>
    <w:p w14:paraId="65E9FD5E">
      <w:pPr>
        <w:spacing w:line="360" w:lineRule="auto"/>
        <w:ind w:firstLine="480" w:firstLineChars="200"/>
        <w:rPr>
          <w:rFonts w:ascii="宋体" w:hAnsi="宋体" w:cs="仿宋"/>
          <w:strike/>
          <w:color w:val="auto"/>
          <w:sz w:val="24"/>
          <w:szCs w:val="24"/>
          <w:highlight w:val="none"/>
        </w:rPr>
      </w:pPr>
      <w:r>
        <w:rPr>
          <w:rFonts w:hint="eastAsia" w:ascii="宋体" w:hAnsi="宋体" w:cs="仿宋"/>
          <w:strike/>
          <w:color w:val="auto"/>
          <w:sz w:val="24"/>
          <w:szCs w:val="24"/>
          <w:highlight w:val="none"/>
        </w:rPr>
        <w:t>其中：报价权重的计算方法为：将</w:t>
      </w:r>
      <w:r>
        <w:rPr>
          <w:rFonts w:ascii="宋体" w:hAnsi="宋体" w:cs="仿宋"/>
          <w:strike/>
          <w:color w:val="auto"/>
          <w:sz w:val="24"/>
          <w:szCs w:val="24"/>
          <w:highlight w:val="none"/>
        </w:rPr>
        <w:t>N</w:t>
      </w:r>
      <w:r>
        <w:rPr>
          <w:rFonts w:hint="eastAsia" w:ascii="宋体" w:hAnsi="宋体" w:cs="仿宋"/>
          <w:strike/>
          <w:color w:val="auto"/>
          <w:sz w:val="24"/>
          <w:szCs w:val="24"/>
          <w:highlight w:val="none"/>
        </w:rPr>
        <w:t>名投标人按技术分由高至低进行排序，第一名投标人的权重为（</w:t>
      </w:r>
      <w:r>
        <w:rPr>
          <w:rFonts w:ascii="宋体" w:hAnsi="宋体" w:cs="仿宋"/>
          <w:strike/>
          <w:color w:val="auto"/>
          <w:sz w:val="24"/>
          <w:szCs w:val="24"/>
          <w:highlight w:val="none"/>
        </w:rPr>
        <w:fldChar w:fldCharType="begin"/>
      </w:r>
      <w:r>
        <w:rPr>
          <w:rFonts w:ascii="宋体" w:hAnsi="宋体" w:cs="仿宋"/>
          <w:strike/>
          <w:color w:val="auto"/>
          <w:sz w:val="24"/>
          <w:szCs w:val="24"/>
          <w:highlight w:val="none"/>
        </w:rPr>
        <w:instrText xml:space="preserve"> QUOTE </w:instrText>
      </w:r>
      <w:r>
        <w:rPr>
          <w:rFonts w:ascii="宋体" w:hAnsi="宋体"/>
          <w:strike/>
          <w:color w:val="auto"/>
          <w:sz w:val="24"/>
          <w:szCs w:val="24"/>
          <w:highlight w:val="none"/>
        </w:rPr>
        <w:drawing>
          <wp:inline distT="0" distB="0" distL="0" distR="0">
            <wp:extent cx="381000" cy="447675"/>
            <wp:effectExtent l="0" t="0" r="0" b="952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trike/>
          <w:color w:val="auto"/>
          <w:sz w:val="24"/>
          <w:szCs w:val="24"/>
          <w:highlight w:val="none"/>
        </w:rPr>
        <w:fldChar w:fldCharType="separate"/>
      </w:r>
      <w:r>
        <w:rPr>
          <w:rFonts w:ascii="宋体" w:hAnsi="宋体"/>
          <w:strike/>
          <w:color w:val="auto"/>
          <w:sz w:val="24"/>
          <w:szCs w:val="24"/>
          <w:highlight w:val="none"/>
        </w:rPr>
        <w:drawing>
          <wp:inline distT="0" distB="0" distL="0" distR="0">
            <wp:extent cx="381000" cy="447675"/>
            <wp:effectExtent l="0" t="0" r="0" b="9525"/>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trike/>
          <w:color w:val="auto"/>
          <w:sz w:val="24"/>
          <w:szCs w:val="24"/>
          <w:highlight w:val="none"/>
        </w:rPr>
        <w:fldChar w:fldCharType="end"/>
      </w:r>
      <w:r>
        <w:rPr>
          <w:rFonts w:hint="eastAsia" w:ascii="宋体" w:hAnsi="宋体" w:cs="仿宋"/>
          <w:strike/>
          <w:color w:val="auto"/>
          <w:sz w:val="24"/>
          <w:szCs w:val="24"/>
          <w:highlight w:val="none"/>
        </w:rPr>
        <w:t>），第二名投标人的权重为（</w:t>
      </w:r>
      <w:r>
        <w:rPr>
          <w:rFonts w:ascii="宋体" w:hAnsi="宋体" w:cs="仿宋"/>
          <w:strike/>
          <w:color w:val="auto"/>
          <w:sz w:val="24"/>
          <w:szCs w:val="24"/>
          <w:highlight w:val="none"/>
        </w:rPr>
        <w:fldChar w:fldCharType="begin"/>
      </w:r>
      <w:r>
        <w:rPr>
          <w:rFonts w:ascii="宋体" w:hAnsi="宋体" w:cs="仿宋"/>
          <w:strike/>
          <w:color w:val="auto"/>
          <w:sz w:val="24"/>
          <w:szCs w:val="24"/>
          <w:highlight w:val="none"/>
        </w:rPr>
        <w:instrText xml:space="preserve"> QUOTE </w:instrText>
      </w:r>
      <w:r>
        <w:rPr>
          <w:rFonts w:ascii="宋体" w:hAnsi="宋体"/>
          <w:strike/>
          <w:color w:val="auto"/>
          <w:position w:val="-23"/>
          <w:sz w:val="24"/>
          <w:szCs w:val="24"/>
          <w:highlight w:val="none"/>
        </w:rPr>
        <w:drawing>
          <wp:inline distT="0" distB="0" distL="0" distR="0">
            <wp:extent cx="323850" cy="400050"/>
            <wp:effectExtent l="0" t="0" r="11430" b="1143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color w:val="auto"/>
          <w:sz w:val="24"/>
          <w:szCs w:val="24"/>
          <w:highlight w:val="none"/>
        </w:rPr>
        <w:fldChar w:fldCharType="separate"/>
      </w:r>
      <w:r>
        <w:rPr>
          <w:rFonts w:ascii="宋体" w:hAnsi="宋体"/>
          <w:strike/>
          <w:color w:val="auto"/>
          <w:position w:val="-23"/>
          <w:sz w:val="24"/>
          <w:szCs w:val="24"/>
          <w:highlight w:val="none"/>
        </w:rPr>
        <w:drawing>
          <wp:inline distT="0" distB="0" distL="0" distR="0">
            <wp:extent cx="323850" cy="400050"/>
            <wp:effectExtent l="0" t="0" r="11430" b="1143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color w:val="auto"/>
          <w:sz w:val="24"/>
          <w:szCs w:val="24"/>
          <w:highlight w:val="none"/>
        </w:rPr>
        <w:fldChar w:fldCharType="end"/>
      </w:r>
      <w:r>
        <w:rPr>
          <w:rFonts w:hint="eastAsia" w:ascii="宋体" w:hAnsi="宋体" w:cs="仿宋"/>
          <w:strike/>
          <w:color w:val="auto"/>
          <w:sz w:val="24"/>
          <w:szCs w:val="24"/>
          <w:highlight w:val="none"/>
        </w:rPr>
        <w:t>），以此类推，最后一名投标人的权重为（</w:t>
      </w:r>
      <w:r>
        <w:rPr>
          <w:rFonts w:ascii="宋体" w:hAnsi="宋体" w:cs="仿宋"/>
          <w:strike/>
          <w:color w:val="auto"/>
          <w:sz w:val="24"/>
          <w:szCs w:val="24"/>
          <w:highlight w:val="none"/>
        </w:rPr>
        <w:fldChar w:fldCharType="begin"/>
      </w:r>
      <w:r>
        <w:rPr>
          <w:rFonts w:ascii="宋体" w:hAnsi="宋体" w:cs="仿宋"/>
          <w:strike/>
          <w:color w:val="auto"/>
          <w:sz w:val="24"/>
          <w:szCs w:val="24"/>
          <w:highlight w:val="none"/>
        </w:rPr>
        <w:instrText xml:space="preserve"> QUOTE </w:instrText>
      </w:r>
      <w:r>
        <w:rPr>
          <w:rFonts w:ascii="宋体" w:hAnsi="宋体"/>
          <w:strike/>
          <w:color w:val="auto"/>
          <w:position w:val="-23"/>
          <w:sz w:val="24"/>
          <w:szCs w:val="24"/>
          <w:highlight w:val="none"/>
        </w:rPr>
        <w:drawing>
          <wp:inline distT="0" distB="0" distL="0" distR="0">
            <wp:extent cx="323850" cy="400050"/>
            <wp:effectExtent l="0" t="0" r="11430" b="1143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color w:val="auto"/>
          <w:sz w:val="24"/>
          <w:szCs w:val="24"/>
          <w:highlight w:val="none"/>
        </w:rPr>
        <w:fldChar w:fldCharType="separate"/>
      </w:r>
      <w:r>
        <w:rPr>
          <w:rFonts w:ascii="宋体" w:hAnsi="宋体"/>
          <w:strike/>
          <w:color w:val="auto"/>
          <w:position w:val="-23"/>
          <w:sz w:val="24"/>
          <w:szCs w:val="24"/>
          <w:highlight w:val="none"/>
        </w:rPr>
        <w:drawing>
          <wp:inline distT="0" distB="0" distL="0" distR="0">
            <wp:extent cx="323850" cy="400050"/>
            <wp:effectExtent l="0" t="0" r="11430" b="1143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trike/>
          <w:color w:val="auto"/>
          <w:sz w:val="24"/>
          <w:szCs w:val="24"/>
          <w:highlight w:val="none"/>
        </w:rPr>
        <w:fldChar w:fldCharType="end"/>
      </w:r>
      <w:r>
        <w:rPr>
          <w:rFonts w:hint="eastAsia" w:ascii="宋体" w:hAnsi="宋体" w:cs="仿宋"/>
          <w:strike/>
          <w:color w:val="auto"/>
          <w:sz w:val="24"/>
          <w:szCs w:val="24"/>
          <w:highlight w:val="none"/>
        </w:rPr>
        <w:t>）。</w:t>
      </w:r>
    </w:p>
    <w:p w14:paraId="7344A25C">
      <w:pPr>
        <w:widowControl/>
        <w:spacing w:line="360" w:lineRule="auto"/>
        <w:ind w:firstLine="482" w:firstLineChars="200"/>
        <w:rPr>
          <w:rFonts w:ascii="宋体" w:hAnsi="宋体"/>
          <w:b/>
          <w:bCs/>
          <w:strike/>
          <w:color w:val="auto"/>
          <w:kern w:val="0"/>
          <w:sz w:val="24"/>
          <w:szCs w:val="24"/>
          <w:highlight w:val="none"/>
        </w:rPr>
      </w:pPr>
      <w:r>
        <w:rPr>
          <w:rFonts w:hint="eastAsia" w:ascii="宋体" w:hAnsi="宋体" w:cs="仿宋"/>
          <w:b/>
          <w:bCs/>
          <w:strike/>
          <w:color w:val="auto"/>
          <w:kern w:val="0"/>
          <w:sz w:val="24"/>
          <w:szCs w:val="24"/>
          <w:highlight w:val="none"/>
        </w:rPr>
        <w:t>方法二：区间抽取法</w:t>
      </w:r>
    </w:p>
    <w:p w14:paraId="4AAD8D5B">
      <w:pPr>
        <w:widowControl/>
        <w:snapToGrid w:val="0"/>
        <w:spacing w:line="360" w:lineRule="auto"/>
        <w:ind w:firstLine="480" w:firstLineChars="200"/>
        <w:rPr>
          <w:rFonts w:ascii="宋体" w:hAnsi="宋体"/>
          <w:strike/>
          <w:color w:val="auto"/>
          <w:kern w:val="0"/>
          <w:sz w:val="24"/>
          <w:szCs w:val="24"/>
          <w:highlight w:val="none"/>
        </w:rPr>
      </w:pPr>
      <w:r>
        <w:rPr>
          <w:rFonts w:hint="eastAsia" w:ascii="宋体" w:hAnsi="宋体" w:cs="仿宋"/>
          <w:strike/>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046FE5E">
      <w:pPr>
        <w:widowControl/>
        <w:snapToGrid w:val="0"/>
        <w:spacing w:line="360" w:lineRule="auto"/>
        <w:ind w:firstLine="480" w:firstLineChars="200"/>
        <w:rPr>
          <w:rFonts w:ascii="宋体" w:hAnsi="宋体"/>
          <w:strike/>
          <w:color w:val="auto"/>
          <w:kern w:val="0"/>
          <w:sz w:val="24"/>
          <w:szCs w:val="24"/>
          <w:highlight w:val="none"/>
          <w:vertAlign w:val="subscript"/>
        </w:rPr>
      </w:pPr>
      <w:r>
        <w:rPr>
          <w:rFonts w:hint="eastAsia" w:ascii="宋体" w:hAnsi="宋体" w:cs="仿宋"/>
          <w:strike/>
          <w:color w:val="auto"/>
          <w:kern w:val="0"/>
          <w:sz w:val="24"/>
          <w:szCs w:val="24"/>
          <w:highlight w:val="none"/>
        </w:rPr>
        <w:t>评标参考价</w:t>
      </w:r>
      <w:r>
        <w:rPr>
          <w:rFonts w:ascii="宋体" w:hAnsi="宋体" w:cs="仿宋"/>
          <w:strike/>
          <w:color w:val="auto"/>
          <w:kern w:val="0"/>
          <w:sz w:val="24"/>
          <w:szCs w:val="24"/>
          <w:highlight w:val="none"/>
        </w:rPr>
        <w:t>=</w:t>
      </w:r>
      <w:r>
        <w:rPr>
          <w:rFonts w:hint="eastAsia" w:ascii="宋体" w:hAnsi="宋体" w:cs="仿宋"/>
          <w:strike/>
          <w:color w:val="auto"/>
          <w:kern w:val="0"/>
          <w:sz w:val="24"/>
          <w:szCs w:val="24"/>
          <w:highlight w:val="none"/>
        </w:rPr>
        <w:t>（</w:t>
      </w:r>
      <w:r>
        <w:rPr>
          <w:rFonts w:ascii="宋体" w:hAnsi="宋体" w:cs="仿宋"/>
          <w:strike/>
          <w:color w:val="auto"/>
          <w:kern w:val="0"/>
          <w:sz w:val="24"/>
          <w:szCs w:val="24"/>
          <w:highlight w:val="none"/>
        </w:rPr>
        <w:t>Q</w:t>
      </w:r>
      <w:r>
        <w:rPr>
          <w:rFonts w:hint="eastAsia" w:ascii="宋体" w:hAnsi="宋体" w:cs="仿宋"/>
          <w:strike/>
          <w:color w:val="auto"/>
          <w:kern w:val="0"/>
          <w:sz w:val="24"/>
          <w:szCs w:val="24"/>
          <w:highlight w:val="none"/>
          <w:vertAlign w:val="subscript"/>
        </w:rPr>
        <w:t>高</w:t>
      </w:r>
      <w:r>
        <w:rPr>
          <w:rFonts w:ascii="宋体" w:hAnsi="宋体" w:cs="仿宋"/>
          <w:strike/>
          <w:color w:val="auto"/>
          <w:kern w:val="0"/>
          <w:sz w:val="24"/>
          <w:szCs w:val="24"/>
          <w:highlight w:val="none"/>
        </w:rPr>
        <w:t>-Q</w:t>
      </w:r>
      <w:r>
        <w:rPr>
          <w:rFonts w:hint="eastAsia" w:ascii="宋体" w:hAnsi="宋体" w:cs="仿宋"/>
          <w:strike/>
          <w:color w:val="auto"/>
          <w:kern w:val="0"/>
          <w:sz w:val="24"/>
          <w:szCs w:val="24"/>
          <w:highlight w:val="none"/>
          <w:vertAlign w:val="subscript"/>
        </w:rPr>
        <w:t>低</w:t>
      </w:r>
      <w:r>
        <w:rPr>
          <w:rFonts w:hint="eastAsia" w:ascii="宋体" w:hAnsi="宋体" w:cs="仿宋"/>
          <w:strike/>
          <w:color w:val="auto"/>
          <w:kern w:val="0"/>
          <w:sz w:val="24"/>
          <w:szCs w:val="24"/>
          <w:highlight w:val="none"/>
        </w:rPr>
        <w:t>）</w:t>
      </w:r>
      <w:r>
        <w:rPr>
          <w:rFonts w:ascii="宋体" w:hAnsi="宋体" w:cs="仿宋"/>
          <w:strike/>
          <w:color w:val="auto"/>
          <w:kern w:val="0"/>
          <w:sz w:val="24"/>
          <w:szCs w:val="24"/>
          <w:highlight w:val="none"/>
        </w:rPr>
        <w:t>/100*</w:t>
      </w:r>
      <w:r>
        <w:rPr>
          <w:rFonts w:hint="eastAsia" w:ascii="宋体" w:hAnsi="宋体" w:cs="仿宋"/>
          <w:strike/>
          <w:color w:val="auto"/>
          <w:kern w:val="0"/>
          <w:sz w:val="24"/>
          <w:szCs w:val="24"/>
          <w:highlight w:val="none"/>
        </w:rPr>
        <w:t>Ｘ</w:t>
      </w:r>
      <w:r>
        <w:rPr>
          <w:rFonts w:ascii="宋体" w:hAnsi="宋体" w:cs="仿宋"/>
          <w:strike/>
          <w:color w:val="auto"/>
          <w:kern w:val="0"/>
          <w:sz w:val="24"/>
          <w:szCs w:val="24"/>
          <w:highlight w:val="none"/>
        </w:rPr>
        <w:t>+Q</w:t>
      </w:r>
      <w:r>
        <w:rPr>
          <w:rFonts w:hint="eastAsia" w:ascii="宋体" w:hAnsi="宋体" w:cs="仿宋"/>
          <w:strike/>
          <w:color w:val="auto"/>
          <w:kern w:val="0"/>
          <w:sz w:val="24"/>
          <w:szCs w:val="24"/>
          <w:highlight w:val="none"/>
          <w:vertAlign w:val="subscript"/>
        </w:rPr>
        <w:t>低</w:t>
      </w:r>
    </w:p>
    <w:p w14:paraId="6D48F710">
      <w:pPr>
        <w:widowControl/>
        <w:snapToGrid w:val="0"/>
        <w:spacing w:line="360" w:lineRule="auto"/>
        <w:ind w:firstLine="480" w:firstLineChars="200"/>
        <w:rPr>
          <w:rFonts w:ascii="宋体" w:hAnsi="宋体"/>
          <w:strike/>
          <w:color w:val="auto"/>
          <w:sz w:val="24"/>
          <w:szCs w:val="24"/>
          <w:highlight w:val="none"/>
        </w:rPr>
      </w:pPr>
      <w:r>
        <w:rPr>
          <w:rFonts w:ascii="宋体" w:hAnsi="宋体" w:cs="仿宋"/>
          <w:strike/>
          <w:color w:val="auto"/>
          <w:sz w:val="24"/>
          <w:szCs w:val="24"/>
          <w:highlight w:val="none"/>
        </w:rPr>
        <w:t>Q</w:t>
      </w:r>
      <w:r>
        <w:rPr>
          <w:rFonts w:hint="eastAsia" w:ascii="宋体" w:hAnsi="宋体" w:cs="仿宋"/>
          <w:strike/>
          <w:color w:val="auto"/>
          <w:sz w:val="24"/>
          <w:szCs w:val="24"/>
          <w:highlight w:val="none"/>
          <w:vertAlign w:val="subscript"/>
        </w:rPr>
        <w:t>低</w:t>
      </w:r>
      <w:r>
        <w:rPr>
          <w:rFonts w:hint="eastAsia" w:ascii="宋体" w:hAnsi="宋体" w:cs="仿宋"/>
          <w:strike/>
          <w:color w:val="auto"/>
          <w:sz w:val="24"/>
          <w:szCs w:val="24"/>
          <w:highlight w:val="none"/>
        </w:rPr>
        <w:t>：为达到或超过技术标及格分数线的投标人最低报价与工程成本警示价两者中的较高值；</w:t>
      </w:r>
    </w:p>
    <w:p w14:paraId="78B7B6F9">
      <w:pPr>
        <w:spacing w:line="360" w:lineRule="auto"/>
        <w:ind w:firstLine="480" w:firstLineChars="200"/>
        <w:rPr>
          <w:rFonts w:ascii="宋体" w:hAnsi="宋体" w:cs="仿宋"/>
          <w:strike/>
          <w:color w:val="auto"/>
          <w:sz w:val="24"/>
          <w:szCs w:val="24"/>
          <w:highlight w:val="none"/>
        </w:rPr>
      </w:pPr>
      <w:r>
        <w:rPr>
          <w:rFonts w:ascii="宋体" w:hAnsi="宋体" w:cs="仿宋"/>
          <w:strike/>
          <w:color w:val="auto"/>
          <w:kern w:val="0"/>
          <w:sz w:val="24"/>
          <w:szCs w:val="24"/>
          <w:highlight w:val="none"/>
        </w:rPr>
        <w:t>Q</w:t>
      </w:r>
      <w:r>
        <w:rPr>
          <w:rFonts w:hint="eastAsia" w:ascii="宋体" w:hAnsi="宋体" w:cs="仿宋"/>
          <w:strike/>
          <w:color w:val="auto"/>
          <w:kern w:val="0"/>
          <w:sz w:val="24"/>
          <w:szCs w:val="24"/>
          <w:highlight w:val="none"/>
          <w:vertAlign w:val="subscript"/>
        </w:rPr>
        <w:t>高</w:t>
      </w:r>
      <w:r>
        <w:rPr>
          <w:rFonts w:hint="eastAsia" w:ascii="宋体" w:hAnsi="宋体" w:cs="仿宋"/>
          <w:strike/>
          <w:color w:val="auto"/>
          <w:sz w:val="24"/>
          <w:szCs w:val="24"/>
          <w:highlight w:val="none"/>
        </w:rPr>
        <w:t>：为（最高投标限价</w:t>
      </w:r>
      <w:r>
        <w:rPr>
          <w:rFonts w:ascii="宋体" w:hAnsi="宋体" w:cs="仿宋"/>
          <w:strike/>
          <w:color w:val="auto"/>
          <w:sz w:val="24"/>
          <w:szCs w:val="24"/>
          <w:highlight w:val="none"/>
        </w:rPr>
        <w:t>*D%</w:t>
      </w:r>
      <w:r>
        <w:rPr>
          <w:rFonts w:hint="eastAsia" w:ascii="宋体" w:hAnsi="宋体" w:cs="仿宋"/>
          <w:strike/>
          <w:color w:val="auto"/>
          <w:sz w:val="24"/>
          <w:szCs w:val="24"/>
          <w:highlight w:val="none"/>
        </w:rPr>
        <w:t>）（</w:t>
      </w:r>
      <w:r>
        <w:rPr>
          <w:rFonts w:ascii="宋体" w:hAnsi="宋体" w:cs="仿宋"/>
          <w:strike/>
          <w:color w:val="auto"/>
          <w:sz w:val="24"/>
          <w:szCs w:val="24"/>
          <w:highlight w:val="none"/>
        </w:rPr>
        <w:t>D</w:t>
      </w:r>
      <w:r>
        <w:rPr>
          <w:rFonts w:hint="eastAsia" w:ascii="宋体" w:hAnsi="宋体" w:cs="仿宋"/>
          <w:strike/>
          <w:color w:val="auto"/>
          <w:sz w:val="24"/>
          <w:szCs w:val="24"/>
          <w:highlight w:val="none"/>
        </w:rPr>
        <w:t>的取值范围为</w:t>
      </w:r>
      <w:r>
        <w:rPr>
          <w:rFonts w:ascii="宋体" w:hAnsi="宋体" w:cs="仿宋"/>
          <w:strike/>
          <w:color w:val="auto"/>
          <w:sz w:val="24"/>
          <w:szCs w:val="24"/>
          <w:highlight w:val="none"/>
        </w:rPr>
        <w:t>[94,100],</w:t>
      </w:r>
      <w:r>
        <w:rPr>
          <w:rFonts w:hint="eastAsia" w:ascii="宋体" w:hAnsi="宋体" w:cs="仿宋"/>
          <w:strike/>
          <w:color w:val="auto"/>
          <w:sz w:val="24"/>
          <w:szCs w:val="24"/>
          <w:highlight w:val="none"/>
        </w:rPr>
        <w:t>由招标人自定）</w:t>
      </w:r>
    </w:p>
    <w:p w14:paraId="52011E50">
      <w:pPr>
        <w:spacing w:line="360" w:lineRule="auto"/>
        <w:ind w:firstLine="480" w:firstLineChars="200"/>
        <w:rPr>
          <w:rFonts w:ascii="宋体" w:hAnsi="宋体"/>
          <w:strike/>
          <w:color w:val="auto"/>
          <w:sz w:val="24"/>
          <w:szCs w:val="24"/>
          <w:highlight w:val="none"/>
        </w:rPr>
      </w:pPr>
      <w:r>
        <w:rPr>
          <w:rFonts w:ascii="宋体" w:hAnsi="宋体" w:cs="仿宋"/>
          <w:strike/>
          <w:color w:val="auto"/>
          <w:sz w:val="24"/>
          <w:szCs w:val="24"/>
          <w:highlight w:val="none"/>
        </w:rPr>
        <w:t>X:</w:t>
      </w:r>
      <w:r>
        <w:rPr>
          <w:rFonts w:hint="eastAsia" w:ascii="宋体" w:hAnsi="宋体" w:cs="仿宋"/>
          <w:strike/>
          <w:color w:val="auto"/>
          <w:sz w:val="24"/>
          <w:szCs w:val="24"/>
          <w:highlight w:val="none"/>
        </w:rPr>
        <w:t>为等分点值，在开标前从</w:t>
      </w:r>
      <w:r>
        <w:rPr>
          <w:rFonts w:ascii="宋体" w:hAnsi="宋体" w:cs="仿宋"/>
          <w:strike/>
          <w:color w:val="auto"/>
          <w:sz w:val="24"/>
          <w:szCs w:val="24"/>
          <w:highlight w:val="none"/>
        </w:rPr>
        <w:t>[0,100]</w:t>
      </w:r>
      <w:r>
        <w:rPr>
          <w:rFonts w:hint="eastAsia" w:ascii="宋体" w:hAnsi="宋体" w:cs="仿宋"/>
          <w:strike/>
          <w:color w:val="auto"/>
          <w:sz w:val="24"/>
          <w:szCs w:val="24"/>
          <w:highlight w:val="none"/>
        </w:rPr>
        <w:t>整数中随机抽取</w:t>
      </w:r>
    </w:p>
    <w:p w14:paraId="2B827C84">
      <w:pPr>
        <w:spacing w:line="360" w:lineRule="auto"/>
        <w:ind w:firstLine="480" w:firstLineChars="200"/>
        <w:rPr>
          <w:rFonts w:ascii="宋体" w:hAnsi="宋体"/>
          <w:strike/>
          <w:color w:val="auto"/>
          <w:sz w:val="24"/>
          <w:szCs w:val="24"/>
          <w:highlight w:val="none"/>
        </w:rPr>
      </w:pPr>
      <w:r>
        <w:rPr>
          <w:rFonts w:hint="eastAsia" w:ascii="宋体" w:hAnsi="宋体" w:cs="宋体"/>
          <w:strike/>
          <w:color w:val="auto"/>
          <w:kern w:val="0"/>
          <w:sz w:val="24"/>
          <w:szCs w:val="24"/>
          <w:highlight w:val="none"/>
        </w:rPr>
        <w:t>45.3</w:t>
      </w:r>
      <w:r>
        <w:rPr>
          <w:rFonts w:hint="eastAsia" w:ascii="宋体" w:hAnsi="宋体"/>
          <w:strike/>
          <w:color w:val="auto"/>
          <w:sz w:val="24"/>
          <w:szCs w:val="24"/>
          <w:highlight w:val="none"/>
        </w:rPr>
        <w:t>当标价等于评标参考价时得</w:t>
      </w:r>
      <w:r>
        <w:rPr>
          <w:rFonts w:ascii="宋体" w:hAnsi="宋体"/>
          <w:strike/>
          <w:color w:val="auto"/>
          <w:sz w:val="24"/>
          <w:szCs w:val="24"/>
          <w:highlight w:val="none"/>
        </w:rPr>
        <w:t>100</w:t>
      </w:r>
      <w:r>
        <w:rPr>
          <w:rFonts w:hint="eastAsia" w:ascii="宋体" w:hAnsi="宋体"/>
          <w:strike/>
          <w:color w:val="auto"/>
          <w:sz w:val="24"/>
          <w:szCs w:val="24"/>
          <w:highlight w:val="none"/>
        </w:rPr>
        <w:t>分，标价每高于评标参考价</w:t>
      </w:r>
      <w:r>
        <w:rPr>
          <w:rFonts w:ascii="宋体" w:hAnsi="宋体"/>
          <w:strike/>
          <w:color w:val="auto"/>
          <w:sz w:val="24"/>
          <w:szCs w:val="24"/>
          <w:highlight w:val="none"/>
        </w:rPr>
        <w:t>1%</w:t>
      </w:r>
      <w:r>
        <w:rPr>
          <w:rFonts w:hint="eastAsia" w:ascii="宋体" w:hAnsi="宋体"/>
          <w:strike/>
          <w:color w:val="auto"/>
          <w:sz w:val="24"/>
          <w:szCs w:val="24"/>
          <w:highlight w:val="none"/>
        </w:rPr>
        <w:t>，扣</w:t>
      </w:r>
      <w:r>
        <w:rPr>
          <w:rFonts w:ascii="宋体" w:hAnsi="宋体"/>
          <w:strike/>
          <w:color w:val="auto"/>
          <w:sz w:val="24"/>
          <w:szCs w:val="24"/>
          <w:highlight w:val="none"/>
        </w:rPr>
        <w:t>1.5</w:t>
      </w:r>
      <w:r>
        <w:rPr>
          <w:rFonts w:hint="eastAsia" w:ascii="宋体" w:hAnsi="宋体"/>
          <w:strike/>
          <w:color w:val="auto"/>
          <w:sz w:val="24"/>
          <w:szCs w:val="24"/>
          <w:highlight w:val="none"/>
        </w:rPr>
        <w:t>分，每低于评标参考价</w:t>
      </w:r>
      <w:r>
        <w:rPr>
          <w:rFonts w:ascii="宋体" w:hAnsi="宋体"/>
          <w:strike/>
          <w:color w:val="auto"/>
          <w:sz w:val="24"/>
          <w:szCs w:val="24"/>
          <w:highlight w:val="none"/>
        </w:rPr>
        <w:t>1%</w:t>
      </w:r>
      <w:r>
        <w:rPr>
          <w:rFonts w:hint="eastAsia" w:ascii="宋体" w:hAnsi="宋体"/>
          <w:strike/>
          <w:color w:val="auto"/>
          <w:sz w:val="24"/>
          <w:szCs w:val="24"/>
          <w:highlight w:val="none"/>
        </w:rPr>
        <w:t>，扣</w:t>
      </w:r>
      <w:r>
        <w:rPr>
          <w:rFonts w:ascii="宋体" w:hAnsi="宋体"/>
          <w:strike/>
          <w:color w:val="auto"/>
          <w:sz w:val="24"/>
          <w:szCs w:val="24"/>
          <w:highlight w:val="none"/>
        </w:rPr>
        <w:t>1</w:t>
      </w:r>
      <w:r>
        <w:rPr>
          <w:rFonts w:hint="eastAsia" w:ascii="宋体" w:hAnsi="宋体"/>
          <w:strike/>
          <w:color w:val="auto"/>
          <w:sz w:val="24"/>
          <w:szCs w:val="24"/>
          <w:highlight w:val="none"/>
        </w:rPr>
        <w:t>分，扣至</w:t>
      </w:r>
      <w:r>
        <w:rPr>
          <w:rFonts w:ascii="宋体" w:hAnsi="宋体"/>
          <w:strike/>
          <w:color w:val="auto"/>
          <w:sz w:val="24"/>
          <w:szCs w:val="24"/>
          <w:highlight w:val="none"/>
        </w:rPr>
        <w:t>0</w:t>
      </w:r>
      <w:r>
        <w:rPr>
          <w:rFonts w:hint="eastAsia" w:ascii="宋体" w:hAnsi="宋体"/>
          <w:strike/>
          <w:color w:val="auto"/>
          <w:sz w:val="24"/>
          <w:szCs w:val="24"/>
          <w:highlight w:val="none"/>
        </w:rPr>
        <w:t>分为止，得出经济分，精确到小数点后两位。</w:t>
      </w:r>
    </w:p>
    <w:p w14:paraId="3BE6A08E">
      <w:pPr>
        <w:pStyle w:val="4"/>
        <w:tabs>
          <w:tab w:val="left" w:pos="7380"/>
        </w:tabs>
        <w:snapToGrid w:val="0"/>
        <w:spacing w:after="0" w:line="360" w:lineRule="auto"/>
        <w:ind w:firstLine="480" w:firstLineChars="200"/>
        <w:rPr>
          <w:rFonts w:ascii="宋体"/>
          <w:strike/>
          <w:color w:val="auto"/>
          <w:sz w:val="24"/>
          <w:szCs w:val="24"/>
          <w:highlight w:val="none"/>
        </w:rPr>
      </w:pPr>
      <w:r>
        <w:rPr>
          <w:rFonts w:hint="eastAsia" w:ascii="宋体" w:hAnsi="宋体"/>
          <w:strike/>
          <w:color w:val="auto"/>
          <w:sz w:val="24"/>
          <w:szCs w:val="24"/>
          <w:highlight w:val="none"/>
        </w:rPr>
        <w:t>45.4</w:t>
      </w:r>
      <w:r>
        <w:rPr>
          <w:rFonts w:hint="eastAsia" w:ascii="宋体"/>
          <w:strike/>
          <w:color w:val="auto"/>
          <w:sz w:val="24"/>
          <w:szCs w:val="24"/>
          <w:highlight w:val="none"/>
        </w:rPr>
        <w:t>计算通过技术标有效性审查的投标人总得分。投标人总得分=（技术得分×技术得分权重</w:t>
      </w:r>
      <w:r>
        <w:rPr>
          <w:rFonts w:hint="eastAsia" w:ascii="宋体" w:cs="宋体"/>
          <w:strike/>
          <w:color w:val="auto"/>
          <w:sz w:val="24"/>
          <w:szCs w:val="24"/>
          <w:highlight w:val="none"/>
        </w:rPr>
        <w:t>＋</w:t>
      </w:r>
      <w:r>
        <w:rPr>
          <w:rFonts w:hint="eastAsia" w:ascii="宋体"/>
          <w:strike/>
          <w:color w:val="auto"/>
          <w:sz w:val="24"/>
          <w:szCs w:val="24"/>
          <w:highlight w:val="none"/>
        </w:rPr>
        <w:t>经济得分×经济得分权重）×（1-综合诚信评价分数权重）</w:t>
      </w:r>
      <w:r>
        <w:rPr>
          <w:rFonts w:hint="eastAsia" w:ascii="宋体" w:cs="宋体"/>
          <w:strike/>
          <w:color w:val="auto"/>
          <w:sz w:val="24"/>
          <w:szCs w:val="24"/>
          <w:highlight w:val="none"/>
        </w:rPr>
        <w:t>＋</w:t>
      </w:r>
      <w:r>
        <w:rPr>
          <w:rFonts w:hint="eastAsia" w:ascii="宋体"/>
          <w:strike/>
          <w:color w:val="auto"/>
          <w:sz w:val="24"/>
          <w:szCs w:val="24"/>
          <w:highlight w:val="none"/>
        </w:rPr>
        <w:t>综合诚信评价排名得分×综合诚信评价分数权重）。技术、经济得分权重按投标须知前附表的规定执行。总得分四舍五入保留两位小数。</w:t>
      </w:r>
    </w:p>
    <w:p w14:paraId="5C008D94">
      <w:pPr>
        <w:pStyle w:val="4"/>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14:paraId="0261CC7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w:t>
      </w:r>
      <w:r>
        <w:rPr>
          <w:rFonts w:hint="eastAsia" w:ascii="宋体" w:hAnsi="宋体"/>
          <w:b/>
          <w:bCs/>
          <w:color w:val="auto"/>
          <w:sz w:val="24"/>
          <w:szCs w:val="24"/>
          <w:highlight w:val="non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10C8CD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14:paraId="3BA75D1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14:paraId="43B82B6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14:paraId="621B8FD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5BBA69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170C237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14:paraId="44001C1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DBBF8C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7256B11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w:t>
      </w:r>
      <w:r>
        <w:rPr>
          <w:rFonts w:hint="eastAsia" w:ascii="宋体" w:hAnsi="宋体"/>
          <w:strike/>
          <w:color w:val="auto"/>
          <w:sz w:val="24"/>
          <w:szCs w:val="24"/>
          <w:highlight w:val="none"/>
        </w:rPr>
        <w:t>，并且其投标保证金也将不予退还</w:t>
      </w:r>
      <w:r>
        <w:rPr>
          <w:rFonts w:hint="eastAsia" w:ascii="宋体" w:hAnsi="宋体"/>
          <w:color w:val="auto"/>
          <w:sz w:val="24"/>
          <w:szCs w:val="24"/>
          <w:highlight w:val="none"/>
        </w:rPr>
        <w:t>。</w:t>
      </w:r>
    </w:p>
    <w:p w14:paraId="4A91C4E1">
      <w:pPr>
        <w:spacing w:line="360" w:lineRule="auto"/>
        <w:ind w:firstLine="480" w:firstLineChars="200"/>
        <w:rPr>
          <w:rFonts w:ascii="宋体" w:hAnsi="宋体"/>
          <w:strike/>
          <w:color w:val="auto"/>
          <w:sz w:val="24"/>
          <w:szCs w:val="24"/>
          <w:highlight w:val="none"/>
          <w:u w:val="single"/>
        </w:rPr>
      </w:pPr>
      <w:r>
        <w:rPr>
          <w:rFonts w:hint="eastAsia" w:ascii="宋体" w:hAnsi="宋体"/>
          <w:strike/>
          <w:color w:val="auto"/>
          <w:sz w:val="24"/>
          <w:szCs w:val="24"/>
          <w:highlight w:val="none"/>
          <w:u w:val="none"/>
        </w:rPr>
        <w:t>47.</w:t>
      </w:r>
      <w:r>
        <w:rPr>
          <w:rFonts w:hint="eastAsia" w:ascii="宋体" w:hAnsi="宋体"/>
          <w:strike/>
          <w:color w:val="auto"/>
          <w:sz w:val="24"/>
          <w:szCs w:val="24"/>
          <w:highlight w:val="none"/>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27C9B81">
      <w:pPr>
        <w:snapToGrid w:val="0"/>
        <w:spacing w:line="360" w:lineRule="auto"/>
        <w:ind w:firstLine="480" w:firstLineChars="200"/>
        <w:rPr>
          <w:rFonts w:hint="eastAsia" w:ascii="宋体"/>
          <w:color w:val="auto"/>
          <w:sz w:val="24"/>
          <w:szCs w:val="24"/>
          <w:highlight w:val="none"/>
        </w:rPr>
      </w:pPr>
      <w:r>
        <w:rPr>
          <w:rFonts w:hint="eastAsia" w:ascii="宋体" w:hAnsi="宋体"/>
          <w:color w:val="auto"/>
          <w:sz w:val="24"/>
          <w:szCs w:val="24"/>
          <w:highlight w:val="none"/>
          <w:u w:val="none"/>
        </w:rPr>
        <w:t>48.</w:t>
      </w:r>
      <w:r>
        <w:rPr>
          <w:rFonts w:hint="eastAsia" w:ascii="宋体" w:hAnsi="宋体"/>
          <w:color w:val="auto"/>
          <w:sz w:val="24"/>
          <w:szCs w:val="24"/>
          <w:highlight w:val="none"/>
          <w:u w:val="none"/>
          <w:lang w:val="en-US" w:eastAsia="zh-CN"/>
        </w:rPr>
        <w:t>将</w:t>
      </w:r>
      <w:r>
        <w:rPr>
          <w:rFonts w:hint="eastAsia" w:ascii="宋体" w:hAnsi="宋体"/>
          <w:color w:val="auto"/>
          <w:sz w:val="24"/>
          <w:szCs w:val="24"/>
          <w:highlight w:val="none"/>
        </w:rPr>
        <w:t>通过经济标有效性审查的投标人</w:t>
      </w:r>
      <w:r>
        <w:rPr>
          <w:rFonts w:hint="eastAsia" w:ascii="宋体"/>
          <w:color w:val="auto"/>
          <w:sz w:val="24"/>
          <w:szCs w:val="24"/>
          <w:highlight w:val="none"/>
        </w:rPr>
        <w:t>全部推荐为中标候选人进入定标阶段。评标委员会向招标人递交资格审查报告及评标报告。评标采用通过制评审，评标委员会对投标文件进行资格审查，再对通过资格审查的投标文件进行有效性审查，将通过有效性审查的合格投标人全部推荐为中标候选人进入定标阶段。</w:t>
      </w:r>
    </w:p>
    <w:p w14:paraId="0436CEFF">
      <w:pPr>
        <w:spacing w:line="360" w:lineRule="auto"/>
        <w:ind w:firstLine="480" w:firstLineChars="200"/>
        <w:rPr>
          <w:rFonts w:hint="eastAsia" w:ascii="宋体" w:hAnsi="宋体" w:eastAsia="宋体"/>
          <w:color w:val="auto"/>
          <w:sz w:val="24"/>
          <w:szCs w:val="24"/>
          <w:highlight w:val="none"/>
          <w:lang w:eastAsia="zh-CN"/>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w:t>
      </w:r>
      <w:r>
        <w:rPr>
          <w:rFonts w:hint="eastAsia" w:ascii="宋体" w:hAnsi="宋体"/>
          <w:strike/>
          <w:color w:val="auto"/>
          <w:sz w:val="24"/>
          <w:szCs w:val="24"/>
          <w:highlight w:val="none"/>
        </w:rPr>
        <w:t>（当</w:t>
      </w:r>
      <w:r>
        <w:rPr>
          <w:rFonts w:ascii="宋体" w:hAnsi="宋体"/>
          <w:strike/>
          <w:color w:val="auto"/>
          <w:sz w:val="24"/>
          <w:szCs w:val="24"/>
          <w:highlight w:val="none"/>
        </w:rPr>
        <w:t>N</w:t>
      </w:r>
      <w:r>
        <w:rPr>
          <w:rFonts w:hint="eastAsia" w:ascii="宋体" w:hAnsi="宋体"/>
          <w:strike/>
          <w:color w:val="auto"/>
          <w:sz w:val="24"/>
          <w:szCs w:val="24"/>
          <w:highlight w:val="none"/>
        </w:rPr>
        <w:t>个标段同时招标且不允许兼中时，若有效投标人不足</w:t>
      </w:r>
      <w:r>
        <w:rPr>
          <w:rFonts w:ascii="宋体" w:hAnsi="宋体"/>
          <w:strike/>
          <w:color w:val="auto"/>
          <w:sz w:val="24"/>
          <w:szCs w:val="24"/>
          <w:highlight w:val="none"/>
        </w:rPr>
        <w:t>N+2</w:t>
      </w:r>
      <w:r>
        <w:rPr>
          <w:rFonts w:hint="eastAsia" w:ascii="宋体" w:hAnsi="宋体"/>
          <w:strike/>
          <w:color w:val="auto"/>
          <w:sz w:val="24"/>
          <w:szCs w:val="24"/>
          <w:highlight w:val="none"/>
        </w:rPr>
        <w:t>家，应当依法重新招标）</w:t>
      </w:r>
      <w:r>
        <w:rPr>
          <w:rFonts w:hint="eastAsia" w:ascii="宋体" w:hAnsi="宋体"/>
          <w:color w:val="auto"/>
          <w:sz w:val="24"/>
          <w:szCs w:val="24"/>
          <w:highlight w:val="none"/>
          <w:lang w:eastAsia="zh-CN"/>
        </w:rPr>
        <w:t>。</w:t>
      </w:r>
    </w:p>
    <w:p w14:paraId="4E130F67">
      <w:pPr>
        <w:pStyle w:val="20"/>
        <w:rPr>
          <w:rFonts w:hint="default"/>
          <w:color w:val="auto"/>
          <w:highlight w:val="none"/>
          <w:lang w:val="en-US" w:eastAsia="zh-CN"/>
        </w:rPr>
      </w:pPr>
    </w:p>
    <w:p w14:paraId="489FE23E">
      <w:pPr>
        <w:rPr>
          <w:rFonts w:hint="default"/>
          <w:color w:val="auto"/>
          <w:highlight w:val="none"/>
          <w:lang w:val="en-US" w:eastAsia="zh-CN"/>
        </w:rPr>
      </w:pPr>
    </w:p>
    <w:p w14:paraId="6FF9BB76">
      <w:pPr>
        <w:spacing w:line="360" w:lineRule="auto"/>
        <w:rPr>
          <w:rFonts w:ascii="宋体" w:hAnsi="宋体"/>
          <w:color w:val="auto"/>
          <w:sz w:val="24"/>
          <w:szCs w:val="24"/>
          <w:highlight w:val="none"/>
        </w:rPr>
      </w:pPr>
      <w:r>
        <w:rPr>
          <w:rFonts w:ascii="宋体" w:hAnsi="宋体"/>
          <w:color w:val="auto"/>
          <w:sz w:val="24"/>
          <w:szCs w:val="24"/>
          <w:highlight w:val="none"/>
        </w:rPr>
        <w:br w:type="page"/>
      </w:r>
    </w:p>
    <w:p w14:paraId="65C5DA70">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w:t>
      </w:r>
    </w:p>
    <w:p w14:paraId="2753FB14">
      <w:pPr>
        <w:ind w:firstLine="482" w:firstLineChars="20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评标委员会成员声明</w:t>
      </w:r>
    </w:p>
    <w:p w14:paraId="7403A66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本项目招标人  </w:t>
      </w:r>
      <w:r>
        <w:rPr>
          <w:rFonts w:hint="eastAsia" w:ascii="宋体" w:hAnsi="宋体" w:eastAsia="宋体" w:cs="宋体"/>
          <w:color w:val="auto"/>
          <w:sz w:val="24"/>
          <w:szCs w:val="24"/>
          <w:highlight w:val="none"/>
        </w:rPr>
        <w:t>：</w:t>
      </w:r>
    </w:p>
    <w:p w14:paraId="7D102DF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14:paraId="464E1FE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79B844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62886E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B600C9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F05F50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E634DB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39E386BC">
      <w:pPr>
        <w:spacing w:line="360" w:lineRule="auto"/>
        <w:ind w:firstLine="480" w:firstLineChars="200"/>
        <w:rPr>
          <w:rFonts w:ascii="宋体" w:hAnsi="宋体" w:eastAsia="宋体" w:cs="宋体"/>
          <w:color w:val="auto"/>
          <w:sz w:val="24"/>
          <w:szCs w:val="24"/>
          <w:highlight w:val="none"/>
        </w:rPr>
      </w:pPr>
    </w:p>
    <w:p w14:paraId="14706314">
      <w:pPr>
        <w:spacing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声明人：</w:t>
      </w:r>
      <w:r>
        <w:rPr>
          <w:rFonts w:hint="eastAsia" w:ascii="宋体" w:hAnsi="宋体" w:eastAsia="宋体" w:cs="宋体"/>
          <w:color w:val="auto"/>
          <w:sz w:val="24"/>
          <w:szCs w:val="24"/>
          <w:highlight w:val="none"/>
          <w:u w:val="single"/>
        </w:rPr>
        <w:t xml:space="preserve">（签名）  </w:t>
      </w:r>
    </w:p>
    <w:p w14:paraId="543064A5">
      <w:pPr>
        <w:widowControl/>
        <w:snapToGrid w:val="0"/>
        <w:spacing w:line="360" w:lineRule="auto"/>
        <w:ind w:right="102"/>
        <w:jc w:val="left"/>
        <w:rPr>
          <w:rFonts w:hint="eastAsia" w:ascii="宋体" w:hAnsi="宋体"/>
          <w:color w:val="auto"/>
          <w:szCs w:val="21"/>
          <w:highlight w:val="none"/>
        </w:rPr>
      </w:pPr>
    </w:p>
    <w:p w14:paraId="24158BBC">
      <w:pPr>
        <w:widowControl/>
        <w:snapToGrid w:val="0"/>
        <w:spacing w:line="360" w:lineRule="auto"/>
        <w:ind w:right="102"/>
        <w:jc w:val="left"/>
        <w:rPr>
          <w:rFonts w:hint="eastAsia" w:ascii="宋体" w:hAnsi="宋体"/>
          <w:color w:val="auto"/>
          <w:szCs w:val="21"/>
          <w:highlight w:val="none"/>
        </w:rPr>
      </w:pPr>
    </w:p>
    <w:p w14:paraId="15471B4E">
      <w:pPr>
        <w:widowControl/>
        <w:snapToGrid w:val="0"/>
        <w:spacing w:line="360" w:lineRule="auto"/>
        <w:ind w:right="102"/>
        <w:jc w:val="left"/>
        <w:rPr>
          <w:rFonts w:hint="eastAsia" w:ascii="宋体" w:hAnsi="宋体"/>
          <w:color w:val="auto"/>
          <w:szCs w:val="21"/>
          <w:highlight w:val="none"/>
        </w:rPr>
      </w:pPr>
    </w:p>
    <w:p w14:paraId="2CCBFD60">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14:paraId="1FC09F3E">
      <w:pPr>
        <w:jc w:val="center"/>
        <w:rPr>
          <w:b/>
          <w:color w:val="auto"/>
          <w:sz w:val="32"/>
          <w:szCs w:val="32"/>
          <w:highlight w:val="none"/>
        </w:rPr>
      </w:pPr>
      <w:r>
        <w:rPr>
          <w:rFonts w:hint="eastAsia"/>
          <w:b/>
          <w:color w:val="auto"/>
          <w:sz w:val="32"/>
          <w:szCs w:val="32"/>
          <w:highlight w:val="none"/>
        </w:rPr>
        <w:t>资格审查表</w:t>
      </w:r>
    </w:p>
    <w:p w14:paraId="5AC0BF85">
      <w:pPr>
        <w:spacing w:line="480" w:lineRule="auto"/>
        <w:rPr>
          <w:color w:val="auto"/>
          <w:sz w:val="24"/>
          <w:szCs w:val="24"/>
          <w:highlight w:val="none"/>
        </w:rPr>
      </w:pPr>
      <w:r>
        <w:rPr>
          <w:rFonts w:hint="eastAsia"/>
          <w:color w:val="auto"/>
          <w:sz w:val="24"/>
          <w:szCs w:val="24"/>
          <w:highlight w:val="none"/>
        </w:rPr>
        <w:t>工程名称：</w:t>
      </w:r>
    </w:p>
    <w:p w14:paraId="62A87A74">
      <w:pPr>
        <w:spacing w:line="480" w:lineRule="auto"/>
        <w:rPr>
          <w:color w:val="auto"/>
          <w:sz w:val="24"/>
          <w:szCs w:val="24"/>
          <w:highlight w:val="none"/>
        </w:rPr>
      </w:pPr>
      <w:r>
        <w:rPr>
          <w:rFonts w:hint="eastAsia"/>
          <w:color w:val="auto"/>
          <w:sz w:val="24"/>
          <w:szCs w:val="24"/>
          <w:highlight w:val="none"/>
        </w:rPr>
        <w:t>投标人名称：</w:t>
      </w:r>
    </w:p>
    <w:tbl>
      <w:tblPr>
        <w:tblStyle w:val="34"/>
        <w:tblW w:w="8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1153"/>
      </w:tblGrid>
      <w:tr w14:paraId="48F8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E193691">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14:paraId="0BD4A060">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14:paraId="38A429BE">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153" w:type="dxa"/>
            <w:tcBorders>
              <w:top w:val="single" w:color="auto" w:sz="4" w:space="0"/>
              <w:left w:val="single" w:color="auto" w:sz="4" w:space="0"/>
              <w:bottom w:val="single" w:color="auto" w:sz="4" w:space="0"/>
              <w:right w:val="single" w:color="auto" w:sz="4" w:space="0"/>
            </w:tcBorders>
            <w:vAlign w:val="center"/>
          </w:tcPr>
          <w:p w14:paraId="1F9E020D">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14:paraId="21DC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6C87111">
            <w:pPr>
              <w:spacing w:before="120" w:after="60"/>
              <w:jc w:val="center"/>
              <w:rPr>
                <w:rFonts w:ascii="宋体" w:hAnsi="宋体"/>
                <w:color w:val="auto"/>
                <w:szCs w:val="21"/>
                <w:highlight w:val="none"/>
              </w:rPr>
            </w:pPr>
            <w:r>
              <w:rPr>
                <w:rFonts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14:paraId="2E273254">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投标人参加投标的意思表达清楚，投标人代表被授权有效</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2641CB53">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r>
              <w:rPr>
                <w:rFonts w:hint="eastAsia" w:ascii="宋体" w:hAnsi="宋体" w:cs="宋体"/>
                <w:color w:val="auto"/>
                <w:szCs w:val="21"/>
                <w:highlight w:val="none"/>
                <w:u w:val="single"/>
              </w:rPr>
              <w:t>（按招标公告的要求填写）</w:t>
            </w:r>
            <w:r>
              <w:rPr>
                <w:rFonts w:hint="eastAsia" w:ascii="宋体" w:hAnsi="宋体"/>
                <w:color w:val="auto"/>
                <w:szCs w:val="21"/>
                <w:highlight w:val="none"/>
              </w:rPr>
              <w:t>、法定代表人证明书；委托投标的还应提供法人授权委托证明书</w:t>
            </w:r>
          </w:p>
        </w:tc>
        <w:tc>
          <w:tcPr>
            <w:tcW w:w="1153" w:type="dxa"/>
            <w:tcBorders>
              <w:top w:val="single" w:color="auto" w:sz="4" w:space="0"/>
              <w:left w:val="single" w:color="auto" w:sz="4" w:space="0"/>
              <w:bottom w:val="single" w:color="auto" w:sz="4" w:space="0"/>
              <w:right w:val="single" w:color="auto" w:sz="4" w:space="0"/>
            </w:tcBorders>
            <w:vAlign w:val="center"/>
          </w:tcPr>
          <w:p w14:paraId="488F27B1">
            <w:pPr>
              <w:spacing w:before="120" w:after="60"/>
              <w:jc w:val="center"/>
              <w:rPr>
                <w:rFonts w:ascii="宋体" w:hAnsi="宋体"/>
                <w:color w:val="auto"/>
                <w:szCs w:val="21"/>
                <w:highlight w:val="none"/>
              </w:rPr>
            </w:pPr>
          </w:p>
        </w:tc>
      </w:tr>
      <w:tr w14:paraId="5AAD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75F91EF">
            <w:pPr>
              <w:spacing w:before="120" w:after="60"/>
              <w:jc w:val="center"/>
              <w:rPr>
                <w:rFonts w:ascii="宋体" w:hAnsi="宋体"/>
                <w:color w:val="auto"/>
                <w:szCs w:val="21"/>
                <w:highlight w:val="none"/>
              </w:rPr>
            </w:pPr>
            <w:r>
              <w:rPr>
                <w:rFonts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14:paraId="0EF007FC">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投标人均具有独立法人资格，按国家法律经营</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1567D177">
            <w:pPr>
              <w:spacing w:before="120" w:after="60"/>
              <w:jc w:val="center"/>
              <w:rPr>
                <w:rFonts w:ascii="宋体" w:hAnsi="宋体"/>
                <w:color w:val="auto"/>
                <w:szCs w:val="21"/>
                <w:highlight w:val="none"/>
              </w:rPr>
            </w:pPr>
            <w:r>
              <w:rPr>
                <w:rFonts w:hint="eastAsia" w:ascii="宋体" w:hAnsi="宋体"/>
                <w:color w:val="auto"/>
                <w:szCs w:val="21"/>
                <w:highlight w:val="none"/>
              </w:rPr>
              <w:t>营业执照扫描件或电子证照</w:t>
            </w:r>
          </w:p>
        </w:tc>
        <w:tc>
          <w:tcPr>
            <w:tcW w:w="1153" w:type="dxa"/>
            <w:tcBorders>
              <w:top w:val="single" w:color="auto" w:sz="4" w:space="0"/>
              <w:left w:val="single" w:color="auto" w:sz="4" w:space="0"/>
              <w:bottom w:val="single" w:color="auto" w:sz="4" w:space="0"/>
              <w:right w:val="single" w:color="auto" w:sz="4" w:space="0"/>
            </w:tcBorders>
            <w:vAlign w:val="center"/>
          </w:tcPr>
          <w:p w14:paraId="7D0365DB">
            <w:pPr>
              <w:spacing w:before="120" w:after="60"/>
              <w:jc w:val="center"/>
              <w:rPr>
                <w:rFonts w:ascii="宋体" w:hAnsi="宋体"/>
                <w:color w:val="auto"/>
                <w:szCs w:val="21"/>
                <w:highlight w:val="none"/>
              </w:rPr>
            </w:pPr>
          </w:p>
        </w:tc>
      </w:tr>
      <w:tr w14:paraId="40A3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68" w:type="dxa"/>
            <w:tcBorders>
              <w:top w:val="single" w:color="auto" w:sz="4" w:space="0"/>
              <w:left w:val="single" w:color="auto" w:sz="4" w:space="0"/>
              <w:bottom w:val="single" w:color="auto" w:sz="4" w:space="0"/>
              <w:right w:val="single" w:color="auto" w:sz="4" w:space="0"/>
            </w:tcBorders>
            <w:vAlign w:val="center"/>
          </w:tcPr>
          <w:p w14:paraId="7CEA76FE">
            <w:pPr>
              <w:spacing w:before="120" w:after="60"/>
              <w:jc w:val="center"/>
              <w:rPr>
                <w:rFonts w:ascii="宋体" w:hAnsi="宋体"/>
                <w:color w:val="auto"/>
                <w:szCs w:val="21"/>
                <w:highlight w:val="none"/>
              </w:rPr>
            </w:pPr>
            <w:r>
              <w:rPr>
                <w:rFonts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tcPr>
          <w:p w14:paraId="7646DC77">
            <w:pPr>
              <w:spacing w:before="120" w:after="60"/>
              <w:rPr>
                <w:rFonts w:hint="eastAsia" w:ascii="宋体" w:hAnsi="宋体" w:eastAsia="宋体"/>
                <w:color w:val="auto"/>
                <w:szCs w:val="21"/>
                <w:highlight w:val="none"/>
                <w:lang w:eastAsia="zh-CN"/>
              </w:rPr>
            </w:pPr>
            <w:r>
              <w:rPr>
                <w:rFonts w:hint="eastAsia" w:ascii="宋体" w:hAnsi="宋体"/>
                <w:color w:val="auto"/>
                <w:szCs w:val="21"/>
                <w:highlight w:val="none"/>
              </w:rPr>
              <w:t>投标人均持有建设行政主管部门颁发的有效期内的企业资质证书</w:t>
            </w:r>
            <w:r>
              <w:rPr>
                <w:rFonts w:hint="eastAsia" w:ascii="宋体" w:hAnsi="宋体"/>
                <w:color w:val="auto"/>
                <w:szCs w:val="21"/>
                <w:highlight w:val="none"/>
                <w:lang w:val="en-US" w:eastAsia="zh-CN"/>
              </w:rPr>
              <w:t>、</w:t>
            </w:r>
            <w:r>
              <w:rPr>
                <w:rFonts w:hint="eastAsia" w:ascii="宋体" w:hAnsi="宋体"/>
                <w:color w:val="auto"/>
                <w:szCs w:val="21"/>
                <w:highlight w:val="none"/>
              </w:rPr>
              <w:t>安全生产许可证符合</w:t>
            </w:r>
            <w:r>
              <w:rPr>
                <w:rFonts w:hint="eastAsia" w:ascii="宋体" w:hAnsi="宋体"/>
                <w:color w:val="auto"/>
                <w:szCs w:val="21"/>
                <w:highlight w:val="none"/>
                <w:lang w:eastAsia="zh-CN"/>
              </w:rPr>
              <w:t>招标</w:t>
            </w:r>
            <w:r>
              <w:rPr>
                <w:rFonts w:hint="eastAsia" w:ascii="宋体" w:hAnsi="宋体"/>
                <w:color w:val="auto"/>
                <w:szCs w:val="21"/>
                <w:highlight w:val="none"/>
              </w:rPr>
              <w:t>公告要求</w:t>
            </w:r>
            <w:r>
              <w:rPr>
                <w:rFonts w:hint="eastAsia" w:ascii="宋体" w:hAnsi="宋体"/>
                <w:color w:val="auto"/>
                <w:szCs w:val="21"/>
                <w:highlight w:val="none"/>
                <w:lang w:eastAsia="zh-CN"/>
              </w:rPr>
              <w:t>，</w:t>
            </w:r>
            <w:r>
              <w:rPr>
                <w:rFonts w:hint="eastAsia" w:ascii="宋体" w:hAnsi="宋体"/>
                <w:color w:val="auto"/>
                <w:szCs w:val="21"/>
                <w:highlight w:val="none"/>
              </w:rPr>
              <w:t>有效期内</w:t>
            </w:r>
            <w:r>
              <w:rPr>
                <w:rFonts w:hint="eastAsia" w:ascii="宋体" w:hAnsi="宋体"/>
                <w:color w:val="auto"/>
                <w:szCs w:val="21"/>
                <w:highlight w:val="none"/>
                <w:lang w:eastAsia="zh-CN"/>
              </w:rPr>
              <w:t>的承装（修、试）电力设施许可证</w:t>
            </w:r>
            <w:r>
              <w:rPr>
                <w:rFonts w:hint="eastAsia" w:ascii="宋体" w:hAnsi="宋体"/>
                <w:color w:val="auto"/>
                <w:szCs w:val="21"/>
                <w:highlight w:val="none"/>
              </w:rPr>
              <w:t>符合</w:t>
            </w:r>
            <w:r>
              <w:rPr>
                <w:rFonts w:hint="eastAsia" w:ascii="宋体" w:hAnsi="宋体"/>
                <w:color w:val="auto"/>
                <w:szCs w:val="21"/>
                <w:highlight w:val="none"/>
                <w:lang w:eastAsia="zh-CN"/>
              </w:rPr>
              <w:t>招标</w:t>
            </w:r>
            <w:r>
              <w:rPr>
                <w:rFonts w:hint="eastAsia" w:ascii="宋体" w:hAnsi="宋体"/>
                <w:color w:val="auto"/>
                <w:szCs w:val="21"/>
                <w:highlight w:val="none"/>
              </w:rPr>
              <w:t>公告要求</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7E6901D7">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资质证书扫描件或电子证照、安全生产许可证扫描件或电子证照</w:t>
            </w:r>
            <w:r>
              <w:rPr>
                <w:rFonts w:hint="eastAsia" w:ascii="宋体" w:hAnsi="宋体"/>
                <w:color w:val="auto"/>
                <w:szCs w:val="21"/>
                <w:highlight w:val="none"/>
                <w:lang w:eastAsia="zh-CN"/>
              </w:rPr>
              <w:t>和承装（修、试）电力设施许可证</w:t>
            </w:r>
            <w:r>
              <w:rPr>
                <w:rFonts w:hint="eastAsia" w:ascii="宋体" w:hAnsi="宋体"/>
                <w:color w:val="auto"/>
                <w:szCs w:val="21"/>
                <w:highlight w:val="none"/>
              </w:rPr>
              <w:t>扫描件或电子证照</w:t>
            </w:r>
          </w:p>
        </w:tc>
        <w:tc>
          <w:tcPr>
            <w:tcW w:w="1153" w:type="dxa"/>
            <w:tcBorders>
              <w:top w:val="single" w:color="auto" w:sz="4" w:space="0"/>
              <w:left w:val="single" w:color="auto" w:sz="4" w:space="0"/>
              <w:bottom w:val="single" w:color="auto" w:sz="4" w:space="0"/>
              <w:right w:val="single" w:color="auto" w:sz="4" w:space="0"/>
            </w:tcBorders>
            <w:vAlign w:val="center"/>
          </w:tcPr>
          <w:p w14:paraId="4AD2CA28">
            <w:pPr>
              <w:spacing w:before="120" w:after="60"/>
              <w:jc w:val="center"/>
              <w:rPr>
                <w:rFonts w:ascii="宋体" w:hAnsi="宋体"/>
                <w:color w:val="auto"/>
                <w:szCs w:val="21"/>
                <w:highlight w:val="none"/>
              </w:rPr>
            </w:pPr>
          </w:p>
        </w:tc>
      </w:tr>
      <w:tr w14:paraId="2B07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BBBBCE7">
            <w:pPr>
              <w:spacing w:before="120" w:after="60"/>
              <w:jc w:val="center"/>
              <w:rPr>
                <w:rFonts w:ascii="宋体" w:hAnsi="宋体"/>
                <w:color w:val="auto"/>
                <w:szCs w:val="21"/>
                <w:highlight w:val="none"/>
              </w:rPr>
            </w:pPr>
            <w:r>
              <w:rPr>
                <w:rFonts w:ascii="宋体" w:hAnsi="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14:paraId="1DA88963">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投标人拟担任本工程项目负责人符合公告要求</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2D5BDECE">
            <w:pPr>
              <w:spacing w:before="120" w:after="60"/>
              <w:jc w:val="center"/>
              <w:rPr>
                <w:rFonts w:ascii="宋体" w:hAnsi="宋体"/>
                <w:color w:val="auto"/>
                <w:szCs w:val="21"/>
                <w:highlight w:val="none"/>
              </w:rPr>
            </w:pPr>
            <w:r>
              <w:rPr>
                <w:rFonts w:hint="eastAsia" w:ascii="宋体" w:hAnsi="宋体" w:eastAsia="宋体" w:cs="宋体"/>
                <w:color w:val="auto"/>
                <w:szCs w:val="21"/>
                <w:highlight w:val="none"/>
                <w:u w:val="single"/>
              </w:rPr>
              <w:t>有效</w:t>
            </w:r>
            <w:r>
              <w:rPr>
                <w:rFonts w:hint="eastAsia" w:ascii="宋体" w:hAnsi="宋体" w:cs="宋体"/>
                <w:color w:val="auto"/>
                <w:szCs w:val="21"/>
                <w:highlight w:val="none"/>
                <w:u w:val="single"/>
                <w:lang w:eastAsia="zh-CN"/>
              </w:rPr>
              <w:t>期内</w:t>
            </w:r>
            <w:r>
              <w:rPr>
                <w:rFonts w:hint="eastAsia" w:ascii="宋体" w:hAnsi="宋体" w:eastAsia="宋体" w:cs="宋体"/>
                <w:color w:val="auto"/>
                <w:szCs w:val="21"/>
                <w:highlight w:val="none"/>
                <w:u w:val="single"/>
              </w:rPr>
              <w:t>的</w:t>
            </w:r>
            <w:r>
              <w:rPr>
                <w:rFonts w:hint="eastAsia" w:ascii="宋体" w:hAnsi="宋体" w:cs="宋体"/>
                <w:color w:val="auto"/>
                <w:szCs w:val="21"/>
                <w:highlight w:val="none"/>
                <w:u w:val="single"/>
              </w:rPr>
              <w:t>机电工程</w:t>
            </w:r>
            <w:r>
              <w:rPr>
                <w:rFonts w:ascii="宋体" w:hAnsi="宋体" w:eastAsia="宋体" w:cs="宋体"/>
                <w:color w:val="auto"/>
                <w:szCs w:val="21"/>
                <w:highlight w:val="none"/>
                <w:u w:val="single"/>
              </w:rPr>
              <w:t>专业</w:t>
            </w:r>
            <w:r>
              <w:rPr>
                <w:rFonts w:hint="eastAsia" w:ascii="宋体" w:hAnsi="宋体" w:cs="宋体"/>
                <w:color w:val="auto"/>
                <w:szCs w:val="21"/>
                <w:highlight w:val="none"/>
                <w:u w:val="single"/>
                <w:lang w:val="en-US" w:eastAsia="zh-CN"/>
              </w:rPr>
              <w:t>贰</w:t>
            </w:r>
            <w:r>
              <w:rPr>
                <w:rFonts w:ascii="宋体" w:hAnsi="宋体" w:eastAsia="宋体" w:cs="宋体"/>
                <w:color w:val="auto"/>
                <w:szCs w:val="21"/>
                <w:highlight w:val="none"/>
                <w:u w:val="single"/>
              </w:rPr>
              <w:t>级</w:t>
            </w:r>
            <w:r>
              <w:rPr>
                <w:rFonts w:hint="eastAsia" w:ascii="宋体" w:hAnsi="宋体" w:cs="宋体"/>
                <w:color w:val="auto"/>
                <w:szCs w:val="21"/>
                <w:highlight w:val="none"/>
                <w:u w:val="single"/>
                <w:lang w:eastAsia="zh-CN"/>
              </w:rPr>
              <w:t>或以上</w:t>
            </w:r>
            <w:r>
              <w:rPr>
                <w:rFonts w:hint="eastAsia" w:ascii="宋体" w:hAnsi="宋体" w:eastAsia="宋体" w:cs="宋体"/>
                <w:color w:val="auto"/>
                <w:szCs w:val="21"/>
                <w:highlight w:val="none"/>
                <w:u w:val="single"/>
              </w:rPr>
              <w:t>注册建造师注册证书</w:t>
            </w:r>
            <w:r>
              <w:rPr>
                <w:rFonts w:hint="eastAsia"/>
                <w:color w:val="auto"/>
                <w:highlight w:val="none"/>
                <w:u w:val="single"/>
              </w:rPr>
              <w:t>扫描件或电子证书</w:t>
            </w:r>
            <w:r>
              <w:rPr>
                <w:rFonts w:hint="eastAsia" w:ascii="宋体" w:hAnsi="宋体" w:eastAsia="宋体" w:cs="宋体"/>
                <w:color w:val="auto"/>
                <w:szCs w:val="21"/>
                <w:highlight w:val="none"/>
                <w:u w:val="single"/>
              </w:rPr>
              <w:t>。项目负责人在任职期间不得担任专职安全员，项目专职安全员在任职期间也不得担任项目负责人，项目负责人和安全员不为同一人</w:t>
            </w:r>
          </w:p>
        </w:tc>
        <w:tc>
          <w:tcPr>
            <w:tcW w:w="1153" w:type="dxa"/>
            <w:tcBorders>
              <w:top w:val="single" w:color="auto" w:sz="4" w:space="0"/>
              <w:left w:val="single" w:color="auto" w:sz="4" w:space="0"/>
              <w:bottom w:val="single" w:color="auto" w:sz="4" w:space="0"/>
              <w:right w:val="single" w:color="auto" w:sz="4" w:space="0"/>
            </w:tcBorders>
            <w:vAlign w:val="center"/>
          </w:tcPr>
          <w:p w14:paraId="5A456B58">
            <w:pPr>
              <w:spacing w:before="120" w:after="60"/>
              <w:jc w:val="center"/>
              <w:rPr>
                <w:rFonts w:ascii="宋体" w:hAnsi="宋体"/>
                <w:color w:val="auto"/>
                <w:szCs w:val="21"/>
                <w:highlight w:val="none"/>
              </w:rPr>
            </w:pPr>
          </w:p>
        </w:tc>
      </w:tr>
      <w:tr w14:paraId="1535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826155B">
            <w:pPr>
              <w:spacing w:before="120" w:after="60"/>
              <w:jc w:val="center"/>
              <w:rPr>
                <w:rFonts w:ascii="宋体" w:hAnsi="宋体"/>
                <w:color w:val="auto"/>
                <w:szCs w:val="21"/>
                <w:highlight w:val="none"/>
              </w:rPr>
            </w:pPr>
            <w:r>
              <w:rPr>
                <w:rFonts w:ascii="宋体" w:hAnsi="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14:paraId="62066DCD">
            <w:pPr>
              <w:spacing w:before="120" w:after="60"/>
              <w:jc w:val="center"/>
              <w:rPr>
                <w:rFonts w:hint="eastAsia" w:ascii="宋体" w:hAnsi="宋体" w:eastAsia="宋体"/>
                <w:color w:val="auto"/>
                <w:szCs w:val="21"/>
                <w:highlight w:val="none"/>
                <w:lang w:eastAsia="zh-CN"/>
              </w:rPr>
            </w:pPr>
            <w:r>
              <w:rPr>
                <w:rFonts w:hint="eastAsia" w:ascii="宋体" w:hAnsi="宋体" w:eastAsia="宋体" w:cs="宋体"/>
                <w:color w:val="auto"/>
                <w:szCs w:val="21"/>
                <w:highlight w:val="none"/>
              </w:rPr>
              <w:t>持有项目负责人安全生产考核合格证（B类）或建筑施工企业项目负责人安全生产考核合格证书</w:t>
            </w:r>
            <w:r>
              <w:rPr>
                <w:rFonts w:hint="eastAsia" w:ascii="宋体" w:hAnsi="宋体" w:cs="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31F7D785">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项目负责人安全生产考核合格证（B类）或建筑施工企业项目负责人安全生产考核合格证证书扫描件或电子证书</w:t>
            </w:r>
          </w:p>
        </w:tc>
        <w:tc>
          <w:tcPr>
            <w:tcW w:w="1153" w:type="dxa"/>
            <w:tcBorders>
              <w:top w:val="single" w:color="auto" w:sz="4" w:space="0"/>
              <w:left w:val="single" w:color="auto" w:sz="4" w:space="0"/>
              <w:bottom w:val="single" w:color="auto" w:sz="4" w:space="0"/>
              <w:right w:val="single" w:color="auto" w:sz="4" w:space="0"/>
            </w:tcBorders>
            <w:vAlign w:val="center"/>
          </w:tcPr>
          <w:p w14:paraId="5D7AC029">
            <w:pPr>
              <w:spacing w:before="120" w:after="60"/>
              <w:jc w:val="center"/>
              <w:rPr>
                <w:rFonts w:ascii="宋体" w:hAnsi="宋体"/>
                <w:color w:val="auto"/>
                <w:szCs w:val="21"/>
                <w:highlight w:val="none"/>
              </w:rPr>
            </w:pPr>
          </w:p>
        </w:tc>
      </w:tr>
      <w:tr w14:paraId="2B4F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60CDEB8">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14:paraId="19FF1534">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投标人拟担任本工程技术负责人符合公告要求</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3208B262">
            <w:pPr>
              <w:spacing w:before="120" w:after="60"/>
              <w:jc w:val="center"/>
              <w:rPr>
                <w:rFonts w:ascii="宋体" w:hAnsi="宋体"/>
                <w:color w:val="auto"/>
                <w:szCs w:val="21"/>
                <w:highlight w:val="none"/>
              </w:rPr>
            </w:pPr>
            <w:r>
              <w:rPr>
                <w:rFonts w:hint="eastAsia" w:ascii="宋体" w:hAnsi="宋体"/>
                <w:color w:val="auto"/>
                <w:szCs w:val="21"/>
                <w:highlight w:val="none"/>
              </w:rPr>
              <w:t>拟委托技术负责人的相关证书、资料扫描件或电子证照</w:t>
            </w:r>
          </w:p>
        </w:tc>
        <w:tc>
          <w:tcPr>
            <w:tcW w:w="1153" w:type="dxa"/>
            <w:tcBorders>
              <w:top w:val="single" w:color="auto" w:sz="4" w:space="0"/>
              <w:left w:val="single" w:color="auto" w:sz="4" w:space="0"/>
              <w:bottom w:val="single" w:color="auto" w:sz="4" w:space="0"/>
              <w:right w:val="single" w:color="auto" w:sz="4" w:space="0"/>
            </w:tcBorders>
            <w:vAlign w:val="center"/>
          </w:tcPr>
          <w:p w14:paraId="079D0BDB">
            <w:pPr>
              <w:spacing w:before="120" w:after="60"/>
              <w:jc w:val="center"/>
              <w:rPr>
                <w:rFonts w:ascii="宋体" w:hAnsi="宋体"/>
                <w:color w:val="auto"/>
                <w:szCs w:val="21"/>
                <w:highlight w:val="none"/>
              </w:rPr>
            </w:pPr>
          </w:p>
        </w:tc>
      </w:tr>
      <w:tr w14:paraId="381C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C33B930">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14:paraId="4D01E45E">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专职安全员须具有安全生产考核合格证（</w:t>
            </w:r>
            <w:r>
              <w:rPr>
                <w:rFonts w:ascii="宋体" w:hAnsi="宋体"/>
                <w:color w:val="auto"/>
                <w:szCs w:val="21"/>
                <w:highlight w:val="none"/>
              </w:rPr>
              <w:t>C</w:t>
            </w:r>
            <w:r>
              <w:rPr>
                <w:rFonts w:hint="eastAsia" w:ascii="宋体" w:hAnsi="宋体"/>
                <w:color w:val="auto"/>
                <w:szCs w:val="21"/>
                <w:highlight w:val="none"/>
              </w:rPr>
              <w:t>证）或建筑施工企业专职安全生产管理人员安全生产考核合格证</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696BD7DF">
            <w:pPr>
              <w:spacing w:before="120" w:after="60"/>
              <w:jc w:val="center"/>
              <w:rPr>
                <w:rFonts w:ascii="宋体" w:hAnsi="宋体"/>
                <w:color w:val="auto"/>
                <w:szCs w:val="21"/>
                <w:highlight w:val="none"/>
              </w:rPr>
            </w:pPr>
            <w:r>
              <w:rPr>
                <w:rFonts w:hint="eastAsia" w:ascii="宋体" w:hAnsi="宋体" w:eastAsia="宋体"/>
                <w:color w:val="auto"/>
                <w:szCs w:val="21"/>
                <w:highlight w:val="none"/>
                <w:u w:val="single"/>
              </w:rPr>
              <w:t>专职安全员的安全生产考核合格证（</w:t>
            </w:r>
            <w:r>
              <w:rPr>
                <w:rFonts w:ascii="宋体" w:hAnsi="宋体" w:eastAsia="宋体"/>
                <w:color w:val="auto"/>
                <w:szCs w:val="21"/>
                <w:highlight w:val="none"/>
                <w:u w:val="single"/>
              </w:rPr>
              <w:t>C证）</w:t>
            </w:r>
            <w:r>
              <w:rPr>
                <w:rFonts w:hint="eastAsia" w:ascii="宋体" w:hAnsi="宋体" w:eastAsia="宋体"/>
                <w:color w:val="auto"/>
                <w:szCs w:val="21"/>
                <w:highlight w:val="none"/>
                <w:u w:val="single"/>
              </w:rPr>
              <w:t>或建筑施工企业专职安全生产管理人员安全生产考核合格证</w:t>
            </w:r>
            <w:r>
              <w:rPr>
                <w:rFonts w:hint="eastAsia" w:ascii="宋体" w:hAnsi="宋体" w:eastAsia="宋体" w:cs="宋体"/>
                <w:color w:val="auto"/>
                <w:kern w:val="0"/>
                <w:sz w:val="22"/>
                <w:highlight w:val="none"/>
              </w:rPr>
              <w:t>（C3）</w:t>
            </w:r>
            <w:r>
              <w:rPr>
                <w:rFonts w:hint="eastAsia" w:ascii="宋体" w:hAnsi="宋体"/>
                <w:color w:val="auto"/>
                <w:szCs w:val="21"/>
                <w:highlight w:val="none"/>
              </w:rPr>
              <w:t>扫描件或电子证书</w:t>
            </w:r>
          </w:p>
        </w:tc>
        <w:tc>
          <w:tcPr>
            <w:tcW w:w="1153" w:type="dxa"/>
            <w:tcBorders>
              <w:top w:val="single" w:color="auto" w:sz="4" w:space="0"/>
              <w:left w:val="single" w:color="auto" w:sz="4" w:space="0"/>
              <w:bottom w:val="single" w:color="auto" w:sz="4" w:space="0"/>
              <w:right w:val="single" w:color="auto" w:sz="4" w:space="0"/>
            </w:tcBorders>
            <w:vAlign w:val="center"/>
          </w:tcPr>
          <w:p w14:paraId="332C236C">
            <w:pPr>
              <w:spacing w:before="120" w:after="60"/>
              <w:jc w:val="center"/>
              <w:rPr>
                <w:rFonts w:ascii="宋体" w:hAnsi="宋体"/>
                <w:color w:val="auto"/>
                <w:szCs w:val="21"/>
                <w:highlight w:val="none"/>
              </w:rPr>
            </w:pPr>
          </w:p>
        </w:tc>
      </w:tr>
      <w:tr w14:paraId="77B5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D022F98">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14:paraId="55D6C5B1">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投标人提供的投标人声明符合公告要求</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7F5B3A36">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r>
              <w:rPr>
                <w:rFonts w:hint="eastAsia" w:ascii="宋体" w:hAnsi="宋体" w:cs="宋体"/>
                <w:color w:val="auto"/>
                <w:szCs w:val="21"/>
                <w:highlight w:val="none"/>
                <w:u w:val="single"/>
              </w:rPr>
              <w:t>（按招标公告的要求填写）</w:t>
            </w:r>
          </w:p>
        </w:tc>
        <w:tc>
          <w:tcPr>
            <w:tcW w:w="1153" w:type="dxa"/>
            <w:tcBorders>
              <w:top w:val="single" w:color="auto" w:sz="4" w:space="0"/>
              <w:left w:val="single" w:color="auto" w:sz="4" w:space="0"/>
              <w:bottom w:val="single" w:color="auto" w:sz="4" w:space="0"/>
              <w:right w:val="single" w:color="auto" w:sz="4" w:space="0"/>
            </w:tcBorders>
            <w:vAlign w:val="center"/>
          </w:tcPr>
          <w:p w14:paraId="34896F5A">
            <w:pPr>
              <w:spacing w:before="120" w:after="60"/>
              <w:jc w:val="center"/>
              <w:rPr>
                <w:rFonts w:ascii="宋体" w:hAnsi="宋体"/>
                <w:color w:val="auto"/>
                <w:szCs w:val="21"/>
                <w:highlight w:val="none"/>
              </w:rPr>
            </w:pPr>
          </w:p>
        </w:tc>
      </w:tr>
      <w:tr w14:paraId="2BCB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B2D0A2F">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14:paraId="4D2B0834">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投标人声明中签字的项目负责人和技术负责人与本项目拟派的项目负责人和技术负责人一致</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671B46C5">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153" w:type="dxa"/>
            <w:tcBorders>
              <w:top w:val="single" w:color="auto" w:sz="4" w:space="0"/>
              <w:left w:val="single" w:color="auto" w:sz="4" w:space="0"/>
              <w:bottom w:val="single" w:color="auto" w:sz="4" w:space="0"/>
              <w:right w:val="single" w:color="auto" w:sz="4" w:space="0"/>
            </w:tcBorders>
            <w:vAlign w:val="center"/>
          </w:tcPr>
          <w:p w14:paraId="73488E07">
            <w:pPr>
              <w:spacing w:before="120" w:after="60"/>
              <w:jc w:val="center"/>
              <w:rPr>
                <w:rFonts w:ascii="宋体" w:hAnsi="宋体"/>
                <w:color w:val="auto"/>
                <w:szCs w:val="21"/>
                <w:highlight w:val="none"/>
              </w:rPr>
            </w:pPr>
          </w:p>
        </w:tc>
      </w:tr>
      <w:tr w14:paraId="3A99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E7527F4">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14:paraId="3D02F936">
            <w:pPr>
              <w:spacing w:before="120" w:after="60"/>
              <w:jc w:val="center"/>
              <w:rPr>
                <w:rFonts w:ascii="宋体" w:hAnsi="宋体"/>
                <w:color w:val="auto"/>
                <w:szCs w:val="21"/>
                <w:highlight w:val="none"/>
              </w:rPr>
            </w:pPr>
            <w:r>
              <w:rPr>
                <w:rFonts w:hint="eastAsia" w:ascii="宋体" w:hAnsi="宋体" w:cs="宋体"/>
                <w:color w:val="auto"/>
                <w:szCs w:val="21"/>
                <w:highlight w:val="none"/>
              </w:rPr>
              <w:t>关于联合体投标：本项目不接受联合体投标。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14:paraId="28842E6D">
            <w:pPr>
              <w:spacing w:before="120" w:after="60"/>
              <w:jc w:val="center"/>
              <w:rPr>
                <w:rFonts w:ascii="宋体" w:hAnsi="宋体"/>
                <w:color w:val="auto"/>
                <w:szCs w:val="21"/>
                <w:highlight w:val="none"/>
              </w:rPr>
            </w:pPr>
            <w:r>
              <w:rPr>
                <w:rFonts w:hint="eastAsia" w:ascii="宋体" w:hAnsi="宋体" w:cs="宋体"/>
                <w:color w:val="auto"/>
                <w:szCs w:val="21"/>
                <w:highlight w:val="none"/>
              </w:rPr>
              <w:t>非联合体投标</w:t>
            </w:r>
          </w:p>
        </w:tc>
        <w:tc>
          <w:tcPr>
            <w:tcW w:w="1153" w:type="dxa"/>
            <w:tcBorders>
              <w:top w:val="single" w:color="auto" w:sz="4" w:space="0"/>
              <w:left w:val="single" w:color="auto" w:sz="4" w:space="0"/>
              <w:bottom w:val="single" w:color="auto" w:sz="4" w:space="0"/>
              <w:right w:val="single" w:color="auto" w:sz="4" w:space="0"/>
            </w:tcBorders>
            <w:vAlign w:val="center"/>
          </w:tcPr>
          <w:p w14:paraId="77702556">
            <w:pPr>
              <w:spacing w:before="120" w:after="60"/>
              <w:jc w:val="center"/>
              <w:rPr>
                <w:rFonts w:ascii="宋体" w:hAnsi="宋体"/>
                <w:color w:val="auto"/>
                <w:szCs w:val="21"/>
                <w:highlight w:val="none"/>
              </w:rPr>
            </w:pPr>
          </w:p>
        </w:tc>
      </w:tr>
      <w:tr w14:paraId="75ED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378ACE3E">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780" w:type="dxa"/>
            <w:tcBorders>
              <w:top w:val="single" w:color="auto" w:sz="4" w:space="0"/>
              <w:left w:val="single" w:color="auto" w:sz="4" w:space="0"/>
              <w:bottom w:val="single" w:color="auto" w:sz="4" w:space="0"/>
              <w:right w:val="single" w:color="auto" w:sz="4" w:space="0"/>
            </w:tcBorders>
            <w:vAlign w:val="center"/>
          </w:tcPr>
          <w:p w14:paraId="0A1FEAA3">
            <w:pPr>
              <w:spacing w:before="120" w:after="60" w:line="240" w:lineRule="exact"/>
              <w:jc w:val="left"/>
              <w:rPr>
                <w:rFonts w:ascii="宋体" w:hAnsi="宋体"/>
                <w:color w:val="auto"/>
                <w:szCs w:val="21"/>
                <w:highlight w:val="none"/>
              </w:rPr>
            </w:pPr>
            <w:r>
              <w:rPr>
                <w:rFonts w:hint="eastAsia" w:ascii="宋体" w:hAnsi="宋体" w:eastAsia="宋体"/>
                <w:color w:val="auto"/>
                <w:szCs w:val="21"/>
                <w:highlight w:val="none"/>
                <w:u w:val="single"/>
              </w:rPr>
              <w:t>资格审查前，投标人须在广州交易集团有限公司（广州公共资源交易中心）办理信息登记等相关投标登记手续及拟担任本工程项目负责人、专职安全员须是本企业的在册人员且与广州交易集团有限公司（广州公共资源交易中心）办理信息登记一致。</w:t>
            </w:r>
          </w:p>
        </w:tc>
        <w:tc>
          <w:tcPr>
            <w:tcW w:w="3420" w:type="dxa"/>
            <w:tcBorders>
              <w:top w:val="single" w:color="auto" w:sz="4" w:space="0"/>
              <w:left w:val="single" w:color="auto" w:sz="4" w:space="0"/>
              <w:bottom w:val="single" w:color="auto" w:sz="4" w:space="0"/>
              <w:right w:val="single" w:color="auto" w:sz="4" w:space="0"/>
            </w:tcBorders>
            <w:vAlign w:val="center"/>
          </w:tcPr>
          <w:p w14:paraId="771ADF20">
            <w:pPr>
              <w:spacing w:before="120" w:after="60" w:line="240" w:lineRule="exact"/>
              <w:jc w:val="center"/>
              <w:rPr>
                <w:rFonts w:ascii="宋体" w:hAnsi="宋体"/>
                <w:color w:val="auto"/>
                <w:szCs w:val="21"/>
                <w:highlight w:val="none"/>
              </w:rPr>
            </w:pPr>
            <w:r>
              <w:rPr>
                <w:rFonts w:hint="eastAsia" w:ascii="宋体" w:hAnsi="宋体" w:eastAsia="宋体" w:cs="宋体"/>
                <w:color w:val="auto"/>
                <w:szCs w:val="21"/>
                <w:highlight w:val="none"/>
                <w:u w:val="single"/>
              </w:rPr>
              <w:t>提供相关网页截图</w:t>
            </w:r>
          </w:p>
        </w:tc>
        <w:tc>
          <w:tcPr>
            <w:tcW w:w="1153" w:type="dxa"/>
            <w:tcBorders>
              <w:top w:val="single" w:color="auto" w:sz="4" w:space="0"/>
              <w:left w:val="single" w:color="auto" w:sz="4" w:space="0"/>
              <w:bottom w:val="single" w:color="auto" w:sz="4" w:space="0"/>
              <w:right w:val="single" w:color="auto" w:sz="4" w:space="0"/>
            </w:tcBorders>
            <w:vAlign w:val="center"/>
          </w:tcPr>
          <w:p w14:paraId="5EEFCE20">
            <w:pPr>
              <w:spacing w:before="120" w:after="60"/>
              <w:jc w:val="center"/>
              <w:rPr>
                <w:rFonts w:ascii="宋体" w:hAnsi="宋体"/>
                <w:color w:val="auto"/>
                <w:szCs w:val="21"/>
                <w:highlight w:val="none"/>
              </w:rPr>
            </w:pPr>
          </w:p>
        </w:tc>
      </w:tr>
      <w:tr w14:paraId="4CB4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136BBD5">
            <w:pPr>
              <w:spacing w:before="120" w:after="60"/>
              <w:jc w:val="center"/>
              <w:rPr>
                <w:rFonts w:ascii="宋体" w:hAnsi="宋体"/>
                <w:color w:val="auto"/>
                <w:szCs w:val="21"/>
                <w:highlight w:val="none"/>
              </w:rPr>
            </w:pPr>
            <w:r>
              <w:rPr>
                <w:rFonts w:hint="eastAsia" w:ascii="宋体" w:hAnsi="宋体"/>
                <w:color w:val="auto"/>
                <w:szCs w:val="21"/>
                <w:highlight w:val="none"/>
              </w:rPr>
              <w:t>12</w:t>
            </w:r>
          </w:p>
        </w:tc>
        <w:tc>
          <w:tcPr>
            <w:tcW w:w="3780" w:type="dxa"/>
            <w:tcBorders>
              <w:top w:val="single" w:color="auto" w:sz="4" w:space="0"/>
              <w:left w:val="single" w:color="auto" w:sz="4" w:space="0"/>
              <w:bottom w:val="single" w:color="auto" w:sz="4" w:space="0"/>
              <w:right w:val="single" w:color="auto" w:sz="4" w:space="0"/>
            </w:tcBorders>
            <w:vAlign w:val="center"/>
          </w:tcPr>
          <w:p w14:paraId="59266B8A">
            <w:pPr>
              <w:spacing w:before="120" w:after="60"/>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投标人未出现以下情形：与其它投标人的单位负责人为同一人或者存在控股、管理关系的。</w:t>
            </w:r>
          </w:p>
        </w:tc>
        <w:tc>
          <w:tcPr>
            <w:tcW w:w="3420" w:type="dxa"/>
            <w:tcBorders>
              <w:top w:val="single" w:color="auto" w:sz="4" w:space="0"/>
              <w:left w:val="single" w:color="auto" w:sz="4" w:space="0"/>
              <w:bottom w:val="single" w:color="auto" w:sz="4" w:space="0"/>
              <w:right w:val="single" w:color="auto" w:sz="4" w:space="0"/>
            </w:tcBorders>
            <w:vAlign w:val="center"/>
          </w:tcPr>
          <w:p w14:paraId="007731CE">
            <w:pPr>
              <w:spacing w:before="120" w:after="60"/>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按投标人提供的《投标人声明》第</w:t>
            </w:r>
            <w:r>
              <w:rPr>
                <w:rFonts w:hint="eastAsia" w:ascii="宋体" w:hAnsi="宋体"/>
                <w:color w:val="auto"/>
                <w:szCs w:val="21"/>
                <w:highlight w:val="none"/>
                <w:lang w:eastAsia="zh-CN"/>
              </w:rPr>
              <w:t>九</w:t>
            </w:r>
            <w:r>
              <w:rPr>
                <w:rFonts w:hint="eastAsia" w:ascii="宋体" w:hAnsi="宋体"/>
                <w:color w:val="auto"/>
                <w:szCs w:val="21"/>
                <w:highlight w:val="none"/>
              </w:rPr>
              <w:t>条内容进行评审</w:t>
            </w:r>
          </w:p>
        </w:tc>
        <w:tc>
          <w:tcPr>
            <w:tcW w:w="1153" w:type="dxa"/>
            <w:tcBorders>
              <w:top w:val="single" w:color="auto" w:sz="4" w:space="0"/>
              <w:left w:val="single" w:color="auto" w:sz="4" w:space="0"/>
              <w:bottom w:val="single" w:color="auto" w:sz="4" w:space="0"/>
              <w:right w:val="single" w:color="auto" w:sz="4" w:space="0"/>
            </w:tcBorders>
            <w:vAlign w:val="center"/>
          </w:tcPr>
          <w:p w14:paraId="757DC284">
            <w:pPr>
              <w:spacing w:before="120" w:after="60"/>
              <w:jc w:val="center"/>
              <w:rPr>
                <w:rFonts w:ascii="宋体" w:hAnsi="宋体"/>
                <w:color w:val="auto"/>
                <w:szCs w:val="21"/>
                <w:highlight w:val="none"/>
              </w:rPr>
            </w:pPr>
          </w:p>
        </w:tc>
      </w:tr>
      <w:tr w14:paraId="6F22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7D58BC0">
            <w:pPr>
              <w:spacing w:before="120" w:after="60"/>
              <w:jc w:val="center"/>
              <w:rPr>
                <w:rFonts w:ascii="宋体" w:hAnsi="宋体"/>
                <w:color w:val="auto"/>
                <w:szCs w:val="21"/>
                <w:highlight w:val="none"/>
              </w:rPr>
            </w:pPr>
            <w:r>
              <w:rPr>
                <w:rFonts w:hint="eastAsia" w:ascii="宋体" w:hAnsi="宋体"/>
                <w:color w:val="auto"/>
                <w:szCs w:val="21"/>
                <w:highlight w:val="none"/>
              </w:rPr>
              <w:t>13</w:t>
            </w:r>
          </w:p>
        </w:tc>
        <w:tc>
          <w:tcPr>
            <w:tcW w:w="3780" w:type="dxa"/>
            <w:tcBorders>
              <w:top w:val="single" w:color="auto" w:sz="4" w:space="0"/>
              <w:left w:val="single" w:color="auto" w:sz="4" w:space="0"/>
              <w:bottom w:val="single" w:color="auto" w:sz="4" w:space="0"/>
              <w:right w:val="single" w:color="auto" w:sz="4" w:space="0"/>
            </w:tcBorders>
            <w:vAlign w:val="center"/>
          </w:tcPr>
          <w:p w14:paraId="7A5C3A02">
            <w:pPr>
              <w:spacing w:before="120" w:after="6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bCs/>
                <w:color w:val="auto"/>
                <w:szCs w:val="21"/>
                <w:highlight w:val="none"/>
              </w:rPr>
              <w:t>未被列入拖欠农民工工资失信联合惩戒对象名单</w:t>
            </w:r>
            <w:r>
              <w:rPr>
                <w:rFonts w:hint="eastAsia" w:ascii="宋体" w:hAnsi="宋体"/>
                <w:bCs/>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14:paraId="50346574">
            <w:pPr>
              <w:spacing w:before="120" w:after="60"/>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投标人无需提供资料，按</w:t>
            </w:r>
            <w:r>
              <w:rPr>
                <w:rFonts w:hint="eastAsia" w:ascii="宋体" w:hAnsi="宋体"/>
                <w:color w:val="auto"/>
                <w:szCs w:val="21"/>
                <w:highlight w:val="none"/>
                <w:lang w:eastAsia="zh-CN"/>
              </w:rPr>
              <w:t>投标截止时</w:t>
            </w:r>
            <w:r>
              <w:rPr>
                <w:rFonts w:hint="eastAsia" w:ascii="宋体" w:hAnsi="宋体"/>
                <w:color w:val="auto"/>
                <w:szCs w:val="21"/>
                <w:highlight w:val="none"/>
              </w:rPr>
              <w:t>交易系统比对的结果进行评审</w:t>
            </w:r>
          </w:p>
        </w:tc>
        <w:tc>
          <w:tcPr>
            <w:tcW w:w="1153" w:type="dxa"/>
            <w:tcBorders>
              <w:top w:val="single" w:color="auto" w:sz="4" w:space="0"/>
              <w:left w:val="single" w:color="auto" w:sz="4" w:space="0"/>
              <w:bottom w:val="single" w:color="auto" w:sz="4" w:space="0"/>
              <w:right w:val="single" w:color="auto" w:sz="4" w:space="0"/>
            </w:tcBorders>
            <w:vAlign w:val="center"/>
          </w:tcPr>
          <w:p w14:paraId="14296001">
            <w:pPr>
              <w:spacing w:before="120" w:after="60"/>
              <w:jc w:val="center"/>
              <w:rPr>
                <w:rFonts w:ascii="宋体" w:hAnsi="宋体"/>
                <w:color w:val="auto"/>
                <w:szCs w:val="21"/>
                <w:highlight w:val="none"/>
              </w:rPr>
            </w:pPr>
          </w:p>
        </w:tc>
      </w:tr>
    </w:tbl>
    <w:p w14:paraId="0F15956A">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14:paraId="77212F82">
      <w:pPr>
        <w:spacing w:line="48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w:t>
      </w:r>
      <w:r>
        <w:rPr>
          <w:rFonts w:hint="eastAsia" w:ascii="宋体" w:hAnsi="宋体"/>
          <w:color w:val="auto"/>
          <w:szCs w:val="21"/>
          <w:highlight w:val="none"/>
          <w:lang w:eastAsia="zh-CN"/>
        </w:rPr>
        <w:t>√</w:t>
      </w:r>
      <w:r>
        <w:rPr>
          <w:rFonts w:hint="eastAsia" w:ascii="宋体" w:hAnsi="宋体"/>
          <w:color w:val="auto"/>
          <w:szCs w:val="21"/>
          <w:highlight w:val="none"/>
        </w:rPr>
        <w:t>”，不符合的打“×”；</w:t>
      </w:r>
    </w:p>
    <w:p w14:paraId="593C6F2D">
      <w:pPr>
        <w:spacing w:line="480" w:lineRule="auto"/>
        <w:ind w:firstLine="470" w:firstLineChars="22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14:paraId="37EE22B9">
      <w:pPr>
        <w:spacing w:line="480" w:lineRule="auto"/>
        <w:ind w:firstLine="470" w:firstLineChars="224"/>
        <w:rPr>
          <w:rFonts w:hint="eastAsia" w:ascii="宋体" w:hAnsi="宋体"/>
          <w:color w:val="auto"/>
          <w:szCs w:val="21"/>
          <w:highlight w:val="none"/>
          <w:u w:val="single"/>
        </w:rPr>
      </w:pPr>
      <w:r>
        <w:rPr>
          <w:rFonts w:hint="eastAsia" w:ascii="宋体" w:hAnsi="宋体"/>
          <w:color w:val="auto"/>
          <w:szCs w:val="21"/>
          <w:highlight w:val="none"/>
          <w:u w:val="single"/>
        </w:rPr>
        <w:t>3.</w:t>
      </w:r>
      <w:r>
        <w:rPr>
          <w:rFonts w:ascii="宋体" w:hAnsi="宋体"/>
          <w:color w:val="auto"/>
          <w:szCs w:val="21"/>
          <w:highlight w:val="none"/>
          <w:u w:val="single"/>
        </w:rPr>
        <w:t>不得将</w:t>
      </w:r>
      <w:r>
        <w:rPr>
          <w:rFonts w:hint="eastAsia" w:ascii="宋体" w:hAnsi="宋体"/>
          <w:color w:val="auto"/>
          <w:szCs w:val="21"/>
          <w:highlight w:val="none"/>
          <w:u w:val="single"/>
        </w:rPr>
        <w:t>文件顺序、</w:t>
      </w:r>
      <w:r>
        <w:rPr>
          <w:rFonts w:ascii="宋体" w:hAnsi="宋体"/>
          <w:color w:val="auto"/>
          <w:szCs w:val="21"/>
          <w:highlight w:val="none"/>
          <w:u w:val="single"/>
        </w:rPr>
        <w:t>明显的文字错误等列为否</w:t>
      </w:r>
      <w:r>
        <w:rPr>
          <w:rFonts w:hint="eastAsia" w:ascii="宋体" w:hAnsi="宋体"/>
          <w:color w:val="auto"/>
          <w:szCs w:val="21"/>
          <w:highlight w:val="none"/>
          <w:u w:val="single"/>
        </w:rPr>
        <w:t>决</w:t>
      </w:r>
      <w:r>
        <w:rPr>
          <w:rFonts w:ascii="宋体" w:hAnsi="宋体"/>
          <w:color w:val="auto"/>
          <w:szCs w:val="21"/>
          <w:highlight w:val="none"/>
          <w:u w:val="single"/>
        </w:rPr>
        <w:t>投标的</w:t>
      </w:r>
      <w:r>
        <w:rPr>
          <w:rFonts w:hint="eastAsia" w:ascii="宋体" w:hAnsi="宋体"/>
          <w:color w:val="auto"/>
          <w:szCs w:val="21"/>
          <w:highlight w:val="none"/>
          <w:u w:val="single"/>
        </w:rPr>
        <w:t>情形。评委</w:t>
      </w:r>
      <w:r>
        <w:rPr>
          <w:rFonts w:ascii="宋体" w:hAnsi="宋体"/>
          <w:color w:val="auto"/>
          <w:szCs w:val="21"/>
          <w:highlight w:val="none"/>
          <w:u w:val="single"/>
        </w:rPr>
        <w:t>发现</w:t>
      </w:r>
      <w:r>
        <w:rPr>
          <w:rFonts w:hint="eastAsia" w:ascii="宋体" w:hAnsi="宋体"/>
          <w:color w:val="auto"/>
          <w:szCs w:val="21"/>
          <w:highlight w:val="none"/>
          <w:u w:val="single"/>
        </w:rPr>
        <w:t>资格审查文件</w:t>
      </w:r>
      <w:r>
        <w:rPr>
          <w:rFonts w:ascii="宋体" w:hAnsi="宋体"/>
          <w:color w:val="auto"/>
          <w:szCs w:val="21"/>
          <w:highlight w:val="none"/>
          <w:u w:val="single"/>
        </w:rPr>
        <w:t>中</w:t>
      </w:r>
      <w:r>
        <w:rPr>
          <w:rFonts w:hint="eastAsia" w:ascii="宋体" w:hAnsi="宋体"/>
          <w:color w:val="auto"/>
          <w:szCs w:val="21"/>
          <w:highlight w:val="none"/>
          <w:u w:val="single"/>
        </w:rPr>
        <w:t>含义不明确</w:t>
      </w:r>
      <w:r>
        <w:rPr>
          <w:rFonts w:ascii="宋体" w:hAnsi="宋体"/>
          <w:color w:val="auto"/>
          <w:szCs w:val="21"/>
          <w:highlight w:val="none"/>
          <w:u w:val="single"/>
        </w:rPr>
        <w:t>、对同类问题表述不一致、有明显</w:t>
      </w:r>
      <w:r>
        <w:rPr>
          <w:rFonts w:hint="eastAsia" w:ascii="宋体" w:hAnsi="宋体"/>
          <w:color w:val="auto"/>
          <w:szCs w:val="21"/>
          <w:highlight w:val="none"/>
          <w:u w:val="single"/>
        </w:rPr>
        <w:t>文字</w:t>
      </w:r>
      <w:r>
        <w:rPr>
          <w:rFonts w:ascii="宋体" w:hAnsi="宋体"/>
          <w:color w:val="auto"/>
          <w:szCs w:val="21"/>
          <w:highlight w:val="none"/>
          <w:u w:val="single"/>
        </w:rPr>
        <w:t>和计算错误的，应当</w:t>
      </w:r>
      <w:r>
        <w:rPr>
          <w:rFonts w:hint="eastAsia" w:ascii="宋体" w:hAnsi="宋体"/>
          <w:color w:val="auto"/>
          <w:szCs w:val="21"/>
          <w:highlight w:val="none"/>
          <w:u w:val="single"/>
        </w:rPr>
        <w:t>要求</w:t>
      </w:r>
      <w:r>
        <w:rPr>
          <w:rFonts w:ascii="宋体" w:hAnsi="宋体"/>
          <w:color w:val="auto"/>
          <w:szCs w:val="21"/>
          <w:highlight w:val="none"/>
          <w:u w:val="single"/>
        </w:rPr>
        <w:t>投标人作必要的澄清、说明</w:t>
      </w:r>
      <w:r>
        <w:rPr>
          <w:rFonts w:hint="eastAsia" w:ascii="宋体" w:hAnsi="宋体"/>
          <w:color w:val="auto"/>
          <w:szCs w:val="21"/>
          <w:highlight w:val="none"/>
          <w:u w:val="single"/>
        </w:rPr>
        <w:t>后再判定投标人是否通过资格审查</w:t>
      </w:r>
      <w:r>
        <w:rPr>
          <w:rFonts w:ascii="宋体" w:hAnsi="宋体"/>
          <w:color w:val="auto"/>
          <w:szCs w:val="21"/>
          <w:highlight w:val="none"/>
          <w:u w:val="single"/>
        </w:rPr>
        <w:t>，不得直接</w:t>
      </w:r>
      <w:r>
        <w:rPr>
          <w:rFonts w:hint="eastAsia" w:ascii="宋体" w:hAnsi="宋体"/>
          <w:color w:val="auto"/>
          <w:szCs w:val="21"/>
          <w:highlight w:val="none"/>
          <w:u w:val="single"/>
        </w:rPr>
        <w:t>认定其不通过资格审查。</w:t>
      </w:r>
    </w:p>
    <w:p w14:paraId="067587ED">
      <w:pPr>
        <w:pStyle w:val="20"/>
        <w:rPr>
          <w:color w:val="auto"/>
          <w:highlight w:val="none"/>
        </w:rPr>
        <w:sectPr>
          <w:footerReference r:id="rId10" w:type="first"/>
          <w:footerReference r:id="rId9" w:type="default"/>
          <w:endnotePr>
            <w:numFmt w:val="decimal"/>
          </w:endnotePr>
          <w:pgSz w:w="11906" w:h="16838"/>
          <w:pgMar w:top="1134" w:right="1418" w:bottom="1247" w:left="1418" w:header="851" w:footer="907" w:gutter="0"/>
          <w:pgNumType w:fmt="decimal" w:start="1"/>
          <w:cols w:space="425" w:num="1"/>
          <w:titlePg/>
          <w:docGrid w:type="lines" w:linePitch="312" w:charSpace="0"/>
        </w:sectPr>
      </w:pPr>
    </w:p>
    <w:p w14:paraId="37961813">
      <w:pPr>
        <w:rPr>
          <w:color w:val="auto"/>
          <w:szCs w:val="21"/>
          <w:highlight w:val="none"/>
        </w:rPr>
      </w:pPr>
      <w:r>
        <w:rPr>
          <w:rFonts w:hint="eastAsia"/>
          <w:color w:val="auto"/>
          <w:szCs w:val="21"/>
          <w:highlight w:val="none"/>
        </w:rPr>
        <w:t>附表二</w:t>
      </w:r>
    </w:p>
    <w:p w14:paraId="5BC7A577">
      <w:pPr>
        <w:jc w:val="center"/>
        <w:rPr>
          <w:b/>
          <w:color w:val="auto"/>
          <w:sz w:val="36"/>
          <w:szCs w:val="36"/>
          <w:highlight w:val="none"/>
        </w:rPr>
      </w:pPr>
      <w:r>
        <w:rPr>
          <w:rFonts w:hint="eastAsia"/>
          <w:b/>
          <w:color w:val="auto"/>
          <w:sz w:val="36"/>
          <w:szCs w:val="36"/>
          <w:highlight w:val="none"/>
        </w:rPr>
        <w:t>技术标有效性审查表</w:t>
      </w:r>
    </w:p>
    <w:p w14:paraId="417B4512">
      <w:pPr>
        <w:rPr>
          <w:color w:val="auto"/>
          <w:szCs w:val="21"/>
          <w:highlight w:val="none"/>
        </w:rPr>
      </w:pPr>
      <w:r>
        <w:rPr>
          <w:rFonts w:hint="eastAsia"/>
          <w:color w:val="auto"/>
          <w:szCs w:val="21"/>
          <w:highlight w:val="none"/>
        </w:rPr>
        <w:t>工程名称：</w:t>
      </w:r>
    </w:p>
    <w:tbl>
      <w:tblPr>
        <w:tblStyle w:val="34"/>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14:paraId="3078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C7EF418">
            <w:pPr>
              <w:adjustRightInd w:val="0"/>
              <w:rPr>
                <w:rFonts w:ascii="宋体" w:hAnsi="宋体"/>
                <w:color w:val="auto"/>
                <w:szCs w:val="21"/>
                <w:highlight w:val="none"/>
              </w:rPr>
            </w:pPr>
            <w:r>
              <w:rPr>
                <w:rFonts w:hint="eastAsia" w:ascii="宋体" w:hAnsi="宋体"/>
                <w:color w:val="auto"/>
                <w:szCs w:val="21"/>
                <w:highlight w:val="none"/>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14:paraId="5E5EBC67">
            <w:pPr>
              <w:adjustRightInd w:val="0"/>
              <w:ind w:firstLine="2940" w:firstLineChars="1400"/>
              <w:rPr>
                <w:rFonts w:ascii="宋体" w:hAnsi="宋体"/>
                <w:color w:val="auto"/>
                <w:szCs w:val="21"/>
                <w:highlight w:val="none"/>
              </w:rPr>
            </w:pPr>
            <w:r>
              <w:rPr>
                <w:rFonts w:hint="eastAsia" w:ascii="宋体" w:hAnsi="宋体"/>
                <w:color w:val="auto"/>
                <w:szCs w:val="21"/>
                <w:highlight w:val="none"/>
              </w:rPr>
              <w:t>投标人</w:t>
            </w:r>
          </w:p>
          <w:p w14:paraId="415132C9">
            <w:pPr>
              <w:adjustRightInd w:val="0"/>
              <w:rPr>
                <w:rFonts w:ascii="宋体" w:hAnsi="宋体"/>
                <w:color w:val="auto"/>
                <w:szCs w:val="21"/>
                <w:highlight w:val="none"/>
              </w:rPr>
            </w:pPr>
          </w:p>
          <w:p w14:paraId="06E1B748">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602" w:type="dxa"/>
            <w:tcBorders>
              <w:top w:val="single" w:color="auto" w:sz="4" w:space="0"/>
              <w:left w:val="single" w:color="auto" w:sz="4" w:space="0"/>
              <w:bottom w:val="single" w:color="auto" w:sz="4" w:space="0"/>
              <w:right w:val="single" w:color="auto" w:sz="4" w:space="0"/>
            </w:tcBorders>
          </w:tcPr>
          <w:p w14:paraId="1DD1658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AF003D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A7433B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7015409">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1A2431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7B800C1">
            <w:pPr>
              <w:adjustRightInd w:val="0"/>
              <w:rPr>
                <w:rFonts w:ascii="宋体" w:hAnsi="宋体"/>
                <w:color w:val="auto"/>
                <w:szCs w:val="21"/>
                <w:highlight w:val="none"/>
              </w:rPr>
            </w:pPr>
          </w:p>
        </w:tc>
      </w:tr>
      <w:tr w14:paraId="2330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A3743B6">
            <w:pPr>
              <w:adjustRightInd w:val="0"/>
              <w:rPr>
                <w:rFonts w:ascii="宋体" w:hAnsi="宋体"/>
                <w:color w:val="auto"/>
                <w:szCs w:val="21"/>
                <w:highlight w:val="none"/>
              </w:rPr>
            </w:pPr>
            <w:r>
              <w:rPr>
                <w:rFonts w:hint="eastAsia" w:ascii="宋体" w:hAnsi="宋体"/>
                <w:color w:val="auto"/>
                <w:szCs w:val="21"/>
                <w:highlight w:val="none"/>
              </w:rPr>
              <w:t>1</w:t>
            </w:r>
          </w:p>
        </w:tc>
        <w:tc>
          <w:tcPr>
            <w:tcW w:w="4299" w:type="dxa"/>
            <w:tcBorders>
              <w:top w:val="single" w:color="auto" w:sz="4" w:space="0"/>
              <w:left w:val="single" w:color="auto" w:sz="4" w:space="0"/>
              <w:bottom w:val="single" w:color="auto" w:sz="4" w:space="0"/>
              <w:right w:val="single" w:color="auto" w:sz="4" w:space="0"/>
            </w:tcBorders>
            <w:vAlign w:val="center"/>
          </w:tcPr>
          <w:p w14:paraId="796A8B33">
            <w:pPr>
              <w:adjustRightInd w:val="0"/>
              <w:rPr>
                <w:rFonts w:ascii="宋体" w:hAnsi="宋体"/>
                <w:color w:val="auto"/>
                <w:szCs w:val="21"/>
                <w:highlight w:val="none"/>
              </w:rPr>
            </w:pPr>
            <w:r>
              <w:rPr>
                <w:rFonts w:hint="eastAsia" w:ascii="宋体" w:hAnsi="宋体"/>
                <w:color w:val="auto"/>
                <w:szCs w:val="21"/>
                <w:highlight w:val="none"/>
              </w:rPr>
              <w:t>不能满足完成投标项目工期的；</w:t>
            </w:r>
          </w:p>
        </w:tc>
        <w:tc>
          <w:tcPr>
            <w:tcW w:w="1602" w:type="dxa"/>
            <w:tcBorders>
              <w:top w:val="single" w:color="auto" w:sz="4" w:space="0"/>
              <w:left w:val="single" w:color="auto" w:sz="4" w:space="0"/>
              <w:bottom w:val="single" w:color="auto" w:sz="4" w:space="0"/>
              <w:right w:val="single" w:color="auto" w:sz="4" w:space="0"/>
            </w:tcBorders>
          </w:tcPr>
          <w:p w14:paraId="1F1DC3D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99F4A9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4C87CE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CAA65B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ECA41D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C3087B4">
            <w:pPr>
              <w:adjustRightInd w:val="0"/>
              <w:rPr>
                <w:rFonts w:ascii="宋体" w:hAnsi="宋体"/>
                <w:color w:val="auto"/>
                <w:szCs w:val="21"/>
                <w:highlight w:val="none"/>
              </w:rPr>
            </w:pPr>
          </w:p>
        </w:tc>
      </w:tr>
      <w:tr w14:paraId="0034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C1DFE98">
            <w:pPr>
              <w:adjustRightInd w:val="0"/>
              <w:rPr>
                <w:rFonts w:ascii="宋体" w:hAnsi="宋体"/>
                <w:color w:val="auto"/>
                <w:szCs w:val="21"/>
                <w:highlight w:val="none"/>
              </w:rPr>
            </w:pPr>
            <w:r>
              <w:rPr>
                <w:rFonts w:hint="eastAsia" w:ascii="宋体" w:hAnsi="宋体"/>
                <w:color w:val="auto"/>
                <w:szCs w:val="21"/>
                <w:highlight w:val="none"/>
              </w:rPr>
              <w:t>2</w:t>
            </w:r>
          </w:p>
        </w:tc>
        <w:tc>
          <w:tcPr>
            <w:tcW w:w="4299" w:type="dxa"/>
            <w:tcBorders>
              <w:top w:val="single" w:color="auto" w:sz="4" w:space="0"/>
              <w:left w:val="single" w:color="auto" w:sz="4" w:space="0"/>
              <w:bottom w:val="single" w:color="auto" w:sz="4" w:space="0"/>
              <w:right w:val="single" w:color="auto" w:sz="4" w:space="0"/>
            </w:tcBorders>
            <w:vAlign w:val="center"/>
          </w:tcPr>
          <w:p w14:paraId="33BAB788">
            <w:pPr>
              <w:adjustRightInd w:val="0"/>
              <w:rPr>
                <w:rFonts w:ascii="宋体" w:hAnsi="宋体"/>
                <w:color w:val="auto"/>
                <w:szCs w:val="21"/>
                <w:highlight w:val="none"/>
              </w:rPr>
            </w:pPr>
            <w:r>
              <w:rPr>
                <w:rFonts w:hint="eastAsia" w:ascii="宋体" w:hAnsi="宋体" w:cs="宋体"/>
                <w:color w:val="auto"/>
                <w:szCs w:val="21"/>
                <w:highlight w:val="none"/>
                <w:u w:val="single"/>
              </w:rPr>
              <w:t>不符合招标文件要求的质量标准；</w:t>
            </w:r>
          </w:p>
        </w:tc>
        <w:tc>
          <w:tcPr>
            <w:tcW w:w="1602" w:type="dxa"/>
            <w:tcBorders>
              <w:top w:val="single" w:color="auto" w:sz="4" w:space="0"/>
              <w:left w:val="single" w:color="auto" w:sz="4" w:space="0"/>
              <w:bottom w:val="single" w:color="auto" w:sz="4" w:space="0"/>
              <w:right w:val="single" w:color="auto" w:sz="4" w:space="0"/>
            </w:tcBorders>
          </w:tcPr>
          <w:p w14:paraId="3556A42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460FD81">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0FC896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A9DD6A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079104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218B472">
            <w:pPr>
              <w:adjustRightInd w:val="0"/>
              <w:rPr>
                <w:rFonts w:ascii="宋体" w:hAnsi="宋体"/>
                <w:color w:val="auto"/>
                <w:szCs w:val="21"/>
                <w:highlight w:val="none"/>
              </w:rPr>
            </w:pPr>
          </w:p>
        </w:tc>
      </w:tr>
      <w:tr w14:paraId="1B71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31" w:type="dxa"/>
            <w:tcBorders>
              <w:top w:val="single" w:color="auto" w:sz="4" w:space="0"/>
              <w:left w:val="single" w:color="auto" w:sz="4" w:space="0"/>
              <w:bottom w:val="single" w:color="auto" w:sz="4" w:space="0"/>
              <w:right w:val="single" w:color="auto" w:sz="4" w:space="0"/>
            </w:tcBorders>
            <w:vAlign w:val="center"/>
          </w:tcPr>
          <w:p w14:paraId="7F6BEACC">
            <w:pPr>
              <w:adjustRightInd w:val="0"/>
              <w:rPr>
                <w:rFonts w:ascii="宋体" w:hAnsi="宋体"/>
                <w:color w:val="auto"/>
                <w:szCs w:val="21"/>
                <w:highlight w:val="none"/>
              </w:rPr>
            </w:pPr>
            <w:r>
              <w:rPr>
                <w:rFonts w:hint="eastAsia" w:ascii="宋体" w:hAnsi="宋体"/>
                <w:color w:val="auto"/>
                <w:szCs w:val="21"/>
                <w:highlight w:val="none"/>
              </w:rPr>
              <w:t>3</w:t>
            </w:r>
          </w:p>
        </w:tc>
        <w:tc>
          <w:tcPr>
            <w:tcW w:w="4299" w:type="dxa"/>
            <w:tcBorders>
              <w:top w:val="single" w:color="auto" w:sz="4" w:space="0"/>
              <w:left w:val="single" w:color="auto" w:sz="4" w:space="0"/>
              <w:bottom w:val="single" w:color="auto" w:sz="4" w:space="0"/>
              <w:right w:val="single" w:color="auto" w:sz="4" w:space="0"/>
            </w:tcBorders>
            <w:vAlign w:val="center"/>
          </w:tcPr>
          <w:p w14:paraId="0E075726">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w:t>
            </w:r>
            <w:r>
              <w:rPr>
                <w:rFonts w:hint="eastAsia" w:ascii="宋体" w:hAnsi="宋体"/>
                <w:color w:val="auto"/>
                <w:szCs w:val="21"/>
                <w:highlight w:val="none"/>
                <w:u w:val="single"/>
              </w:rPr>
              <w:t>签</w:t>
            </w:r>
            <w:r>
              <w:rPr>
                <w:rFonts w:hint="eastAsia" w:ascii="宋体" w:hAnsi="宋体"/>
                <w:color w:val="auto"/>
                <w:szCs w:val="21"/>
                <w:highlight w:val="none"/>
                <w:u w:val="single"/>
                <w:lang w:val="en-US" w:eastAsia="zh-CN"/>
              </w:rPr>
              <w:t>字或盖章</w:t>
            </w:r>
            <w:r>
              <w:rPr>
                <w:rFonts w:hint="eastAsia" w:ascii="宋体" w:hAnsi="宋体"/>
                <w:color w:val="auto"/>
                <w:szCs w:val="21"/>
                <w:highlight w:val="none"/>
              </w:rPr>
              <w:t>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14:paraId="5A0223F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A23291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8BD2E2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FD2219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32703B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24C5A06">
            <w:pPr>
              <w:adjustRightInd w:val="0"/>
              <w:rPr>
                <w:rFonts w:ascii="宋体" w:hAnsi="宋体"/>
                <w:color w:val="auto"/>
                <w:szCs w:val="21"/>
                <w:highlight w:val="none"/>
              </w:rPr>
            </w:pPr>
          </w:p>
        </w:tc>
      </w:tr>
      <w:tr w14:paraId="078D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520236F">
            <w:pPr>
              <w:adjustRightInd w:val="0"/>
              <w:rPr>
                <w:rFonts w:ascii="宋体" w:hAnsi="宋体"/>
                <w:color w:val="auto"/>
                <w:szCs w:val="21"/>
                <w:highlight w:val="none"/>
              </w:rPr>
            </w:pPr>
            <w:r>
              <w:rPr>
                <w:rFonts w:hint="eastAsia" w:ascii="宋体" w:hAnsi="宋体"/>
                <w:color w:val="auto"/>
                <w:szCs w:val="21"/>
                <w:highlight w:val="none"/>
              </w:rPr>
              <w:t>4</w:t>
            </w:r>
          </w:p>
        </w:tc>
        <w:tc>
          <w:tcPr>
            <w:tcW w:w="4299" w:type="dxa"/>
            <w:tcBorders>
              <w:top w:val="single" w:color="auto" w:sz="4" w:space="0"/>
              <w:left w:val="single" w:color="auto" w:sz="4" w:space="0"/>
              <w:bottom w:val="single" w:color="auto" w:sz="4" w:space="0"/>
              <w:right w:val="single" w:color="auto" w:sz="4" w:space="0"/>
            </w:tcBorders>
            <w:vAlign w:val="center"/>
          </w:tcPr>
          <w:p w14:paraId="14D0DFE2">
            <w:pPr>
              <w:adjustRightInd w:val="0"/>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14:paraId="44B1120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943963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BD1685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A7DC3C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7BB7C4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8C365A3">
            <w:pPr>
              <w:adjustRightInd w:val="0"/>
              <w:rPr>
                <w:rFonts w:ascii="宋体" w:hAnsi="宋体"/>
                <w:color w:val="auto"/>
                <w:szCs w:val="21"/>
                <w:highlight w:val="none"/>
              </w:rPr>
            </w:pPr>
          </w:p>
        </w:tc>
      </w:tr>
      <w:tr w14:paraId="3C85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FB50041">
            <w:pPr>
              <w:adjustRightInd w:val="0"/>
              <w:rPr>
                <w:rFonts w:ascii="宋体" w:hAnsi="宋体"/>
                <w:color w:val="auto"/>
                <w:szCs w:val="21"/>
                <w:highlight w:val="none"/>
              </w:rPr>
            </w:pPr>
            <w:r>
              <w:rPr>
                <w:rFonts w:ascii="宋体" w:hAnsi="宋体"/>
                <w:color w:val="auto"/>
                <w:szCs w:val="21"/>
                <w:highlight w:val="none"/>
              </w:rPr>
              <w:t>5</w:t>
            </w:r>
          </w:p>
        </w:tc>
        <w:tc>
          <w:tcPr>
            <w:tcW w:w="4299" w:type="dxa"/>
            <w:tcBorders>
              <w:top w:val="single" w:color="auto" w:sz="4" w:space="0"/>
              <w:left w:val="single" w:color="auto" w:sz="4" w:space="0"/>
              <w:bottom w:val="single" w:color="auto" w:sz="4" w:space="0"/>
              <w:right w:val="single" w:color="auto" w:sz="4" w:space="0"/>
            </w:tcBorders>
            <w:vAlign w:val="center"/>
          </w:tcPr>
          <w:p w14:paraId="7EF50673">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14:paraId="6AC0793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E15B71A">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0F25C3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C3F111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D4DB54A">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4EF3799">
            <w:pPr>
              <w:adjustRightInd w:val="0"/>
              <w:rPr>
                <w:rFonts w:ascii="宋体" w:hAnsi="宋体"/>
                <w:color w:val="auto"/>
                <w:szCs w:val="21"/>
                <w:highlight w:val="none"/>
              </w:rPr>
            </w:pPr>
          </w:p>
        </w:tc>
      </w:tr>
      <w:tr w14:paraId="5884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12DBEE7">
            <w:pPr>
              <w:adjustRightInd w:val="0"/>
              <w:rPr>
                <w:rFonts w:ascii="宋体" w:hAnsi="宋体"/>
                <w:color w:val="auto"/>
                <w:szCs w:val="21"/>
                <w:highlight w:val="none"/>
              </w:rPr>
            </w:pPr>
            <w:r>
              <w:rPr>
                <w:rFonts w:ascii="宋体" w:hAnsi="宋体"/>
                <w:color w:val="auto"/>
                <w:szCs w:val="21"/>
                <w:highlight w:val="none"/>
              </w:rPr>
              <w:t>6</w:t>
            </w:r>
          </w:p>
        </w:tc>
        <w:tc>
          <w:tcPr>
            <w:tcW w:w="4299" w:type="dxa"/>
            <w:tcBorders>
              <w:top w:val="single" w:color="auto" w:sz="4" w:space="0"/>
              <w:left w:val="single" w:color="auto" w:sz="4" w:space="0"/>
              <w:bottom w:val="single" w:color="auto" w:sz="4" w:space="0"/>
              <w:right w:val="single" w:color="auto" w:sz="4" w:space="0"/>
            </w:tcBorders>
            <w:vAlign w:val="center"/>
          </w:tcPr>
          <w:p w14:paraId="71F7D102">
            <w:pPr>
              <w:adjustRightInd w:val="0"/>
              <w:rPr>
                <w:rFonts w:ascii="宋体" w:hAnsi="宋体"/>
                <w:color w:val="auto"/>
                <w:szCs w:val="21"/>
                <w:highlight w:val="none"/>
              </w:rPr>
            </w:pPr>
            <w:r>
              <w:rPr>
                <w:rFonts w:hint="eastAsia" w:ascii="宋体" w:hAnsi="宋体"/>
                <w:color w:val="auto"/>
                <w:szCs w:val="21"/>
                <w:highlight w:val="none"/>
                <w:u w:val="single"/>
              </w:rPr>
              <w:t>投标人未按规定的格式及内容要求签署《投标函》；</w:t>
            </w:r>
          </w:p>
        </w:tc>
        <w:tc>
          <w:tcPr>
            <w:tcW w:w="1602" w:type="dxa"/>
            <w:tcBorders>
              <w:top w:val="single" w:color="auto" w:sz="4" w:space="0"/>
              <w:left w:val="single" w:color="auto" w:sz="4" w:space="0"/>
              <w:bottom w:val="single" w:color="auto" w:sz="4" w:space="0"/>
              <w:right w:val="single" w:color="auto" w:sz="4" w:space="0"/>
            </w:tcBorders>
          </w:tcPr>
          <w:p w14:paraId="45CCF97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5CCB08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B72AB1C">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D322AF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A789E2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B7D9249">
            <w:pPr>
              <w:adjustRightInd w:val="0"/>
              <w:rPr>
                <w:rFonts w:ascii="宋体" w:hAnsi="宋体"/>
                <w:color w:val="auto"/>
                <w:szCs w:val="21"/>
                <w:highlight w:val="none"/>
              </w:rPr>
            </w:pPr>
          </w:p>
        </w:tc>
      </w:tr>
      <w:tr w14:paraId="4F8A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7B631C1">
            <w:pPr>
              <w:adjustRightInd w:val="0"/>
              <w:rPr>
                <w:rFonts w:ascii="宋体" w:hAnsi="宋体"/>
                <w:color w:val="auto"/>
                <w:szCs w:val="21"/>
                <w:highlight w:val="none"/>
              </w:rPr>
            </w:pPr>
            <w:r>
              <w:rPr>
                <w:rFonts w:ascii="宋体" w:hAnsi="宋体"/>
                <w:color w:val="auto"/>
                <w:szCs w:val="21"/>
                <w:highlight w:val="none"/>
              </w:rPr>
              <w:t>7</w:t>
            </w:r>
          </w:p>
        </w:tc>
        <w:tc>
          <w:tcPr>
            <w:tcW w:w="4299" w:type="dxa"/>
            <w:tcBorders>
              <w:top w:val="single" w:color="auto" w:sz="4" w:space="0"/>
              <w:left w:val="single" w:color="auto" w:sz="4" w:space="0"/>
              <w:bottom w:val="single" w:color="auto" w:sz="4" w:space="0"/>
              <w:right w:val="single" w:color="auto" w:sz="4" w:space="0"/>
            </w:tcBorders>
            <w:vAlign w:val="center"/>
          </w:tcPr>
          <w:p w14:paraId="5F1D3918">
            <w:pPr>
              <w:adjustRightInd w:val="0"/>
              <w:rPr>
                <w:rFonts w:ascii="宋体" w:hAnsi="宋体"/>
                <w:color w:val="auto"/>
                <w:szCs w:val="21"/>
                <w:highlight w:val="none"/>
              </w:rPr>
            </w:pPr>
            <w:r>
              <w:rPr>
                <w:rFonts w:hint="eastAsia" w:ascii="宋体" w:hAnsi="宋体"/>
                <w:color w:val="auto"/>
                <w:szCs w:val="21"/>
                <w:highlight w:val="none"/>
                <w:u w:val="single"/>
              </w:rPr>
              <w:t>投标人未按规定的格式及内容要求签署《技术承诺函》；</w:t>
            </w:r>
          </w:p>
        </w:tc>
        <w:tc>
          <w:tcPr>
            <w:tcW w:w="1602" w:type="dxa"/>
            <w:tcBorders>
              <w:top w:val="single" w:color="auto" w:sz="4" w:space="0"/>
              <w:left w:val="single" w:color="auto" w:sz="4" w:space="0"/>
              <w:bottom w:val="single" w:color="auto" w:sz="4" w:space="0"/>
              <w:right w:val="single" w:color="auto" w:sz="4" w:space="0"/>
            </w:tcBorders>
          </w:tcPr>
          <w:p w14:paraId="20A344B8">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7C906CA4">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769F8649">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53E5B46E">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15912553">
            <w:pPr>
              <w:adjustRightInd w:val="0"/>
              <w:rPr>
                <w:rFonts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14:paraId="7628E24C">
            <w:pPr>
              <w:adjustRightInd w:val="0"/>
              <w:rPr>
                <w:rFonts w:ascii="宋体" w:hAnsi="宋体"/>
                <w:color w:val="auto"/>
                <w:szCs w:val="21"/>
                <w:highlight w:val="none"/>
                <w:shd w:val="pct10" w:color="auto" w:fill="FFFFFF"/>
              </w:rPr>
            </w:pPr>
          </w:p>
        </w:tc>
      </w:tr>
      <w:tr w14:paraId="7AA2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AB14A9D">
            <w:pPr>
              <w:adjustRightInd w:val="0"/>
              <w:rPr>
                <w:rFonts w:ascii="宋体" w:hAnsi="宋体"/>
                <w:color w:val="auto"/>
                <w:szCs w:val="21"/>
                <w:highlight w:val="none"/>
              </w:rPr>
            </w:pPr>
            <w:r>
              <w:rPr>
                <w:rFonts w:ascii="宋体" w:hAnsi="宋体"/>
                <w:color w:val="auto"/>
                <w:szCs w:val="21"/>
                <w:highlight w:val="none"/>
              </w:rPr>
              <w:t>8</w:t>
            </w:r>
          </w:p>
        </w:tc>
        <w:tc>
          <w:tcPr>
            <w:tcW w:w="4299" w:type="dxa"/>
            <w:tcBorders>
              <w:top w:val="single" w:color="auto" w:sz="4" w:space="0"/>
              <w:left w:val="single" w:color="auto" w:sz="4" w:space="0"/>
              <w:bottom w:val="single" w:color="auto" w:sz="4" w:space="0"/>
              <w:right w:val="single" w:color="auto" w:sz="4" w:space="0"/>
            </w:tcBorders>
            <w:vAlign w:val="center"/>
          </w:tcPr>
          <w:p w14:paraId="790A95A0">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u w:val="single"/>
              </w:rPr>
              <w:t>投标人未按规定的格式及内容要求签署《施工项目管理团队人员信息表》</w:t>
            </w:r>
            <w:r>
              <w:rPr>
                <w:rFonts w:hint="eastAsia" w:ascii="宋体" w:hAnsi="宋体"/>
                <w:color w:val="auto"/>
                <w:szCs w:val="21"/>
                <w:highlight w:val="none"/>
                <w:u w:val="single"/>
                <w:lang w:eastAsia="zh-CN"/>
              </w:rPr>
              <w:t>；</w:t>
            </w:r>
          </w:p>
        </w:tc>
        <w:tc>
          <w:tcPr>
            <w:tcW w:w="1602" w:type="dxa"/>
            <w:tcBorders>
              <w:top w:val="single" w:color="auto" w:sz="4" w:space="0"/>
              <w:left w:val="single" w:color="auto" w:sz="4" w:space="0"/>
              <w:bottom w:val="single" w:color="auto" w:sz="4" w:space="0"/>
              <w:right w:val="single" w:color="auto" w:sz="4" w:space="0"/>
            </w:tcBorders>
          </w:tcPr>
          <w:p w14:paraId="1DC12C2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54FD96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95886AE">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17E958A">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760993B">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186A5A8">
            <w:pPr>
              <w:adjustRightInd w:val="0"/>
              <w:rPr>
                <w:rFonts w:ascii="宋体" w:hAnsi="宋体"/>
                <w:color w:val="auto"/>
                <w:szCs w:val="21"/>
                <w:highlight w:val="none"/>
              </w:rPr>
            </w:pPr>
          </w:p>
        </w:tc>
      </w:tr>
      <w:tr w14:paraId="561A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1795F0C3">
            <w:pPr>
              <w:adjustRightInd w:val="0"/>
              <w:rPr>
                <w:rFonts w:ascii="宋体" w:hAnsi="宋体"/>
                <w:color w:val="auto"/>
                <w:szCs w:val="21"/>
                <w:highlight w:val="none"/>
              </w:rPr>
            </w:pPr>
            <w:r>
              <w:rPr>
                <w:rFonts w:ascii="宋体" w:hAnsi="宋体"/>
                <w:color w:val="auto"/>
                <w:szCs w:val="21"/>
                <w:highlight w:val="none"/>
              </w:rPr>
              <w:t>9</w:t>
            </w:r>
          </w:p>
        </w:tc>
        <w:tc>
          <w:tcPr>
            <w:tcW w:w="4299" w:type="dxa"/>
            <w:tcBorders>
              <w:top w:val="single" w:color="auto" w:sz="4" w:space="0"/>
              <w:left w:val="single" w:color="auto" w:sz="4" w:space="0"/>
              <w:bottom w:val="single" w:color="auto" w:sz="4" w:space="0"/>
              <w:right w:val="single" w:color="auto" w:sz="4" w:space="0"/>
            </w:tcBorders>
            <w:vAlign w:val="center"/>
          </w:tcPr>
          <w:p w14:paraId="6472F3A8">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rPr>
              <w:t>投标人未按规定的格式及内容要求签署《响应招标文件所附施工组织设计要点的承诺书》</w:t>
            </w:r>
            <w:r>
              <w:rPr>
                <w:rFonts w:hint="eastAsia" w:ascii="宋体" w:hAnsi="宋体"/>
                <w:color w:val="auto"/>
                <w:szCs w:val="21"/>
                <w:highlight w:val="none"/>
                <w:lang w:eastAsia="zh-CN"/>
              </w:rPr>
              <w:t>；</w:t>
            </w:r>
          </w:p>
        </w:tc>
        <w:tc>
          <w:tcPr>
            <w:tcW w:w="1602" w:type="dxa"/>
            <w:tcBorders>
              <w:top w:val="single" w:color="auto" w:sz="4" w:space="0"/>
              <w:left w:val="single" w:color="auto" w:sz="4" w:space="0"/>
              <w:bottom w:val="single" w:color="auto" w:sz="4" w:space="0"/>
              <w:right w:val="single" w:color="auto" w:sz="4" w:space="0"/>
            </w:tcBorders>
          </w:tcPr>
          <w:p w14:paraId="3DD1A4C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73F0264">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65469E1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BD74F52">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C5494C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6B882AE">
            <w:pPr>
              <w:adjustRightInd w:val="0"/>
              <w:rPr>
                <w:rFonts w:ascii="宋体" w:hAnsi="宋体"/>
                <w:color w:val="auto"/>
                <w:szCs w:val="21"/>
                <w:highlight w:val="none"/>
              </w:rPr>
            </w:pPr>
          </w:p>
        </w:tc>
      </w:tr>
      <w:tr w14:paraId="61CD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4AA0D0BD">
            <w:pPr>
              <w:adjustRightInd w:val="0"/>
              <w:rPr>
                <w:rFonts w:ascii="宋体" w:hAnsi="宋体"/>
                <w:color w:val="auto"/>
                <w:szCs w:val="21"/>
                <w:highlight w:val="none"/>
              </w:rPr>
            </w:pPr>
            <w:r>
              <w:rPr>
                <w:rFonts w:hint="eastAsia" w:ascii="宋体" w:hAnsi="宋体"/>
                <w:color w:val="auto"/>
                <w:szCs w:val="21"/>
                <w:highlight w:val="none"/>
              </w:rPr>
              <w:t>10</w:t>
            </w:r>
          </w:p>
        </w:tc>
        <w:tc>
          <w:tcPr>
            <w:tcW w:w="4299" w:type="dxa"/>
            <w:tcBorders>
              <w:top w:val="single" w:color="auto" w:sz="4" w:space="0"/>
              <w:left w:val="single" w:color="auto" w:sz="4" w:space="0"/>
              <w:bottom w:val="single" w:color="auto" w:sz="4" w:space="0"/>
              <w:right w:val="single" w:color="auto" w:sz="4" w:space="0"/>
            </w:tcBorders>
            <w:vAlign w:val="center"/>
          </w:tcPr>
          <w:p w14:paraId="77826214">
            <w:pPr>
              <w:adjustRightInd w:val="0"/>
              <w:rPr>
                <w:rFonts w:hint="eastAsia" w:ascii="宋体" w:hAnsi="宋体" w:eastAsia="宋体"/>
                <w:strike/>
                <w:color w:val="auto"/>
                <w:szCs w:val="21"/>
                <w:highlight w:val="none"/>
                <w:lang w:eastAsia="zh-CN"/>
              </w:rPr>
            </w:pPr>
            <w:r>
              <w:rPr>
                <w:rFonts w:hint="eastAsia" w:ascii="宋体" w:hAnsi="宋体"/>
                <w:strike w:val="0"/>
                <w:color w:val="auto"/>
                <w:szCs w:val="21"/>
                <w:highlight w:val="none"/>
              </w:rPr>
              <w:t>投标人未按规定的格式及内容要求签署《对投标文件编制的承诺》</w:t>
            </w:r>
            <w:r>
              <w:rPr>
                <w:rFonts w:hint="eastAsia" w:ascii="宋体" w:hAnsi="宋体"/>
                <w:strike w:val="0"/>
                <w:color w:val="auto"/>
                <w:szCs w:val="21"/>
                <w:highlight w:val="none"/>
                <w:lang w:eastAsia="zh-CN"/>
              </w:rPr>
              <w:t>；</w:t>
            </w:r>
          </w:p>
        </w:tc>
        <w:tc>
          <w:tcPr>
            <w:tcW w:w="1602" w:type="dxa"/>
            <w:tcBorders>
              <w:top w:val="single" w:color="auto" w:sz="4" w:space="0"/>
              <w:left w:val="single" w:color="auto" w:sz="4" w:space="0"/>
              <w:bottom w:val="single" w:color="auto" w:sz="4" w:space="0"/>
              <w:right w:val="single" w:color="auto" w:sz="4" w:space="0"/>
            </w:tcBorders>
          </w:tcPr>
          <w:p w14:paraId="40D80D3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912FDB4">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8A09C6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D837A3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ED08951">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517032E7">
            <w:pPr>
              <w:adjustRightInd w:val="0"/>
              <w:rPr>
                <w:rFonts w:ascii="宋体" w:hAnsi="宋体"/>
                <w:color w:val="auto"/>
                <w:szCs w:val="21"/>
                <w:highlight w:val="none"/>
              </w:rPr>
            </w:pPr>
          </w:p>
        </w:tc>
      </w:tr>
      <w:tr w14:paraId="0451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21786A3">
            <w:pPr>
              <w:adjustRightInd w:val="0"/>
              <w:rPr>
                <w:rFonts w:ascii="宋体" w:hAnsi="宋体"/>
                <w:color w:val="auto"/>
                <w:szCs w:val="21"/>
                <w:highlight w:val="none"/>
              </w:rPr>
            </w:pPr>
            <w:r>
              <w:rPr>
                <w:rFonts w:hint="eastAsia" w:ascii="宋体" w:hAnsi="宋体"/>
                <w:color w:val="auto"/>
                <w:szCs w:val="21"/>
                <w:highlight w:val="none"/>
              </w:rPr>
              <w:t>11</w:t>
            </w:r>
          </w:p>
        </w:tc>
        <w:tc>
          <w:tcPr>
            <w:tcW w:w="4299" w:type="dxa"/>
            <w:tcBorders>
              <w:top w:val="single" w:color="auto" w:sz="4" w:space="0"/>
              <w:left w:val="single" w:color="auto" w:sz="4" w:space="0"/>
              <w:bottom w:val="single" w:color="auto" w:sz="4" w:space="0"/>
              <w:right w:val="single" w:color="auto" w:sz="4" w:space="0"/>
            </w:tcBorders>
            <w:shd w:val="clear" w:color="auto" w:fill="auto"/>
            <w:vAlign w:val="center"/>
          </w:tcPr>
          <w:p w14:paraId="7D231B8C">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14:paraId="3393607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4C46ED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086DBAA">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FBE16C3">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C3A3497">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34B2DAD">
            <w:pPr>
              <w:adjustRightInd w:val="0"/>
              <w:rPr>
                <w:rFonts w:ascii="宋体" w:hAnsi="宋体"/>
                <w:color w:val="auto"/>
                <w:szCs w:val="21"/>
                <w:highlight w:val="none"/>
              </w:rPr>
            </w:pPr>
          </w:p>
        </w:tc>
      </w:tr>
      <w:tr w14:paraId="0743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686EEFA">
            <w:pPr>
              <w:adjustRightInd w:val="0"/>
              <w:rPr>
                <w:rFonts w:ascii="宋体" w:hAnsi="宋体"/>
                <w:color w:val="auto"/>
                <w:szCs w:val="21"/>
                <w:highlight w:val="none"/>
              </w:rPr>
            </w:pPr>
            <w:r>
              <w:rPr>
                <w:rFonts w:hint="eastAsia" w:ascii="宋体" w:hAnsi="宋体"/>
                <w:color w:val="auto"/>
                <w:szCs w:val="21"/>
                <w:highlight w:val="none"/>
              </w:rPr>
              <w:t>12</w:t>
            </w:r>
          </w:p>
        </w:tc>
        <w:tc>
          <w:tcPr>
            <w:tcW w:w="4299" w:type="dxa"/>
            <w:tcBorders>
              <w:top w:val="single" w:color="auto" w:sz="4" w:space="0"/>
              <w:left w:val="single" w:color="auto" w:sz="4" w:space="0"/>
              <w:bottom w:val="single" w:color="auto" w:sz="4" w:space="0"/>
              <w:right w:val="single" w:color="auto" w:sz="4" w:space="0"/>
            </w:tcBorders>
            <w:shd w:val="clear" w:color="auto" w:fill="auto"/>
            <w:vAlign w:val="center"/>
          </w:tcPr>
          <w:p w14:paraId="755DBB5C">
            <w:pPr>
              <w:adjustRightInd w:val="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u w:val="single"/>
              </w:rPr>
              <w:t>投标人未按规定的格式及内容要求签署《危险性较大的分部分项工程清单及超过一定规模的危险性较大的分部分项工程清单》</w:t>
            </w:r>
            <w:r>
              <w:rPr>
                <w:rFonts w:hint="eastAsia" w:ascii="宋体" w:hAnsi="宋体"/>
                <w:color w:val="auto"/>
                <w:szCs w:val="21"/>
                <w:highlight w:val="none"/>
                <w:u w:val="single"/>
                <w:lang w:eastAsia="zh-CN"/>
              </w:rPr>
              <w:t>；</w:t>
            </w:r>
          </w:p>
        </w:tc>
        <w:tc>
          <w:tcPr>
            <w:tcW w:w="1602" w:type="dxa"/>
            <w:tcBorders>
              <w:top w:val="single" w:color="auto" w:sz="4" w:space="0"/>
              <w:left w:val="single" w:color="auto" w:sz="4" w:space="0"/>
              <w:bottom w:val="single" w:color="auto" w:sz="4" w:space="0"/>
              <w:right w:val="single" w:color="auto" w:sz="4" w:space="0"/>
            </w:tcBorders>
          </w:tcPr>
          <w:p w14:paraId="6E0A4B16">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601C5CF">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706B5DD">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EA6ACA4">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65F05A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817C97E">
            <w:pPr>
              <w:adjustRightInd w:val="0"/>
              <w:rPr>
                <w:rFonts w:ascii="宋体" w:hAnsi="宋体"/>
                <w:color w:val="auto"/>
                <w:szCs w:val="21"/>
                <w:highlight w:val="none"/>
              </w:rPr>
            </w:pPr>
          </w:p>
        </w:tc>
      </w:tr>
      <w:tr w14:paraId="1E35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54CD8B0">
            <w:pPr>
              <w:adjustRightInd w:val="0"/>
              <w:rPr>
                <w:rFonts w:ascii="宋体" w:hAnsi="宋体"/>
                <w:color w:val="auto"/>
                <w:szCs w:val="21"/>
                <w:highlight w:val="none"/>
              </w:rPr>
            </w:pPr>
            <w:r>
              <w:rPr>
                <w:rFonts w:hint="eastAsia" w:ascii="宋体" w:hAnsi="宋体"/>
                <w:color w:val="auto"/>
                <w:szCs w:val="21"/>
                <w:highlight w:val="none"/>
              </w:rPr>
              <w:t>13</w:t>
            </w:r>
          </w:p>
        </w:tc>
        <w:tc>
          <w:tcPr>
            <w:tcW w:w="4299" w:type="dxa"/>
            <w:tcBorders>
              <w:top w:val="single" w:color="auto" w:sz="4" w:space="0"/>
              <w:left w:val="single" w:color="auto" w:sz="4" w:space="0"/>
              <w:bottom w:val="single" w:color="auto" w:sz="4" w:space="0"/>
              <w:right w:val="single" w:color="auto" w:sz="4" w:space="0"/>
            </w:tcBorders>
            <w:vAlign w:val="center"/>
          </w:tcPr>
          <w:p w14:paraId="4F1333CB">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rPr>
              <w:t>投标人与本项目其他投标人加密打包投标文件电脑机器特征码一致的(以交易平台评标系统的检索信息为准)</w:t>
            </w:r>
            <w:r>
              <w:rPr>
                <w:rFonts w:hint="eastAsia" w:ascii="宋体" w:hAnsi="宋体"/>
                <w:color w:val="auto"/>
                <w:szCs w:val="21"/>
                <w:highlight w:val="none"/>
                <w:lang w:eastAsia="zh-CN"/>
              </w:rPr>
              <w:t>；</w:t>
            </w:r>
          </w:p>
        </w:tc>
        <w:tc>
          <w:tcPr>
            <w:tcW w:w="1602" w:type="dxa"/>
            <w:tcBorders>
              <w:top w:val="single" w:color="auto" w:sz="4" w:space="0"/>
              <w:left w:val="single" w:color="auto" w:sz="4" w:space="0"/>
              <w:bottom w:val="single" w:color="auto" w:sz="4" w:space="0"/>
              <w:right w:val="single" w:color="auto" w:sz="4" w:space="0"/>
            </w:tcBorders>
          </w:tcPr>
          <w:p w14:paraId="63064695">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EEB2CC3">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12A8EBA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51CD787">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2D244CA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A63755A">
            <w:pPr>
              <w:adjustRightInd w:val="0"/>
              <w:rPr>
                <w:rFonts w:ascii="宋体" w:hAnsi="宋体"/>
                <w:color w:val="auto"/>
                <w:szCs w:val="21"/>
                <w:highlight w:val="none"/>
              </w:rPr>
            </w:pPr>
          </w:p>
        </w:tc>
      </w:tr>
      <w:tr w14:paraId="5212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8959657">
            <w:pPr>
              <w:adjustRightInd w:val="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4</w:t>
            </w:r>
          </w:p>
        </w:tc>
        <w:tc>
          <w:tcPr>
            <w:tcW w:w="4299" w:type="dxa"/>
            <w:tcBorders>
              <w:top w:val="single" w:color="auto" w:sz="4" w:space="0"/>
              <w:left w:val="single" w:color="auto" w:sz="4" w:space="0"/>
              <w:bottom w:val="single" w:color="auto" w:sz="4" w:space="0"/>
              <w:right w:val="single" w:color="auto" w:sz="4" w:space="0"/>
            </w:tcBorders>
            <w:shd w:val="clear" w:color="auto" w:fill="auto"/>
            <w:vAlign w:val="center"/>
          </w:tcPr>
          <w:p w14:paraId="4E9278EC">
            <w:pPr>
              <w:adjustRightInd w:val="0"/>
              <w:rPr>
                <w:rFonts w:hint="eastAsia" w:ascii="宋体" w:hAnsi="宋体" w:eastAsia="宋体" w:cs="Times New Roman"/>
                <w:color w:val="auto"/>
                <w:kern w:val="2"/>
                <w:sz w:val="21"/>
                <w:szCs w:val="21"/>
                <w:highlight w:val="none"/>
                <w:lang w:val="en-US" w:eastAsia="zh-CN" w:bidi="ar-SA"/>
              </w:rPr>
            </w:pPr>
            <w:r>
              <w:rPr>
                <w:rFonts w:hint="eastAsia" w:ascii="宋体" w:hAnsi="宋体" w:eastAsia="Times New Roman"/>
                <w:color w:val="auto"/>
                <w:szCs w:val="21"/>
                <w:highlight w:val="none"/>
                <w:u w:val="single"/>
              </w:rPr>
              <w:t>投标人未按规定的格式及内容要求签署《关于投标保证金的承诺》</w:t>
            </w:r>
            <w:r>
              <w:rPr>
                <w:rFonts w:hint="eastAsia" w:ascii="宋体" w:hAnsi="宋体" w:eastAsia="宋体"/>
                <w:color w:val="auto"/>
                <w:szCs w:val="21"/>
                <w:highlight w:val="none"/>
                <w:u w:val="single"/>
                <w:lang w:eastAsia="zh-CN"/>
              </w:rPr>
              <w:t>。</w:t>
            </w:r>
          </w:p>
        </w:tc>
        <w:tc>
          <w:tcPr>
            <w:tcW w:w="1602" w:type="dxa"/>
            <w:tcBorders>
              <w:top w:val="single" w:color="auto" w:sz="4" w:space="0"/>
              <w:left w:val="single" w:color="auto" w:sz="4" w:space="0"/>
              <w:bottom w:val="single" w:color="auto" w:sz="4" w:space="0"/>
              <w:right w:val="single" w:color="auto" w:sz="4" w:space="0"/>
            </w:tcBorders>
          </w:tcPr>
          <w:p w14:paraId="1DFC2A6A">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3A3F64C3">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436CD510">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450C389">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7B101EC8">
            <w:pPr>
              <w:adjustRightInd w:val="0"/>
              <w:rPr>
                <w:rFonts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14:paraId="0E2F28C2">
            <w:pPr>
              <w:adjustRightInd w:val="0"/>
              <w:rPr>
                <w:rFonts w:ascii="宋体" w:hAnsi="宋体"/>
                <w:color w:val="auto"/>
                <w:szCs w:val="21"/>
                <w:highlight w:val="none"/>
              </w:rPr>
            </w:pPr>
          </w:p>
        </w:tc>
      </w:tr>
    </w:tbl>
    <w:p w14:paraId="5ACCA60D">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14:paraId="56EB8EBC">
      <w:pPr>
        <w:widowControl/>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 xml:space="preserve">    2</w:t>
      </w:r>
      <w:r>
        <w:rPr>
          <w:rFonts w:ascii="宋体" w:hAnsi="宋体"/>
          <w:color w:val="auto"/>
          <w:szCs w:val="21"/>
          <w:highlight w:val="none"/>
        </w:rPr>
        <w:t>.</w:t>
      </w:r>
      <w:r>
        <w:rPr>
          <w:rFonts w:ascii="宋体" w:hAnsi="宋体"/>
          <w:color w:val="auto"/>
          <w:szCs w:val="21"/>
          <w:highlight w:val="none"/>
          <w:u w:val="single"/>
        </w:rPr>
        <w:t>不得将</w:t>
      </w:r>
      <w:r>
        <w:rPr>
          <w:rFonts w:hint="eastAsia" w:ascii="宋体" w:hAnsi="宋体"/>
          <w:color w:val="auto"/>
          <w:szCs w:val="21"/>
          <w:highlight w:val="none"/>
          <w:u w:val="single"/>
        </w:rPr>
        <w:t>文件顺序、</w:t>
      </w:r>
      <w:r>
        <w:rPr>
          <w:rFonts w:ascii="宋体" w:hAnsi="宋体"/>
          <w:color w:val="auto"/>
          <w:szCs w:val="21"/>
          <w:highlight w:val="none"/>
          <w:u w:val="single"/>
        </w:rPr>
        <w:t>明显的文字错误等列为否</w:t>
      </w:r>
      <w:r>
        <w:rPr>
          <w:rFonts w:hint="eastAsia" w:ascii="宋体" w:hAnsi="宋体"/>
          <w:color w:val="auto"/>
          <w:szCs w:val="21"/>
          <w:highlight w:val="none"/>
          <w:u w:val="single"/>
        </w:rPr>
        <w:t>决</w:t>
      </w:r>
      <w:r>
        <w:rPr>
          <w:rFonts w:ascii="宋体" w:hAnsi="宋体"/>
          <w:color w:val="auto"/>
          <w:szCs w:val="21"/>
          <w:highlight w:val="none"/>
          <w:u w:val="single"/>
        </w:rPr>
        <w:t>投标的</w:t>
      </w:r>
      <w:r>
        <w:rPr>
          <w:rFonts w:hint="eastAsia" w:ascii="宋体" w:hAnsi="宋体"/>
          <w:color w:val="auto"/>
          <w:szCs w:val="21"/>
          <w:highlight w:val="none"/>
          <w:u w:val="single"/>
        </w:rPr>
        <w:t>情形。评委</w:t>
      </w:r>
      <w:r>
        <w:rPr>
          <w:rFonts w:ascii="宋体" w:hAnsi="宋体"/>
          <w:color w:val="auto"/>
          <w:szCs w:val="21"/>
          <w:highlight w:val="none"/>
          <w:u w:val="single"/>
        </w:rPr>
        <w:t>发现投标</w:t>
      </w:r>
      <w:r>
        <w:rPr>
          <w:rFonts w:hint="eastAsia" w:ascii="宋体" w:hAnsi="宋体"/>
          <w:color w:val="auto"/>
          <w:szCs w:val="21"/>
          <w:highlight w:val="none"/>
          <w:u w:val="single"/>
        </w:rPr>
        <w:t>文件</w:t>
      </w:r>
      <w:r>
        <w:rPr>
          <w:rFonts w:ascii="宋体" w:hAnsi="宋体"/>
          <w:color w:val="auto"/>
          <w:szCs w:val="21"/>
          <w:highlight w:val="none"/>
          <w:u w:val="single"/>
        </w:rPr>
        <w:t>中</w:t>
      </w:r>
      <w:r>
        <w:rPr>
          <w:rFonts w:hint="eastAsia" w:ascii="宋体" w:hAnsi="宋体"/>
          <w:color w:val="auto"/>
          <w:szCs w:val="21"/>
          <w:highlight w:val="none"/>
          <w:u w:val="single"/>
        </w:rPr>
        <w:t>含义不明确</w:t>
      </w:r>
      <w:r>
        <w:rPr>
          <w:rFonts w:ascii="宋体" w:hAnsi="宋体"/>
          <w:color w:val="auto"/>
          <w:szCs w:val="21"/>
          <w:highlight w:val="none"/>
          <w:u w:val="single"/>
        </w:rPr>
        <w:t>、对同类问题表述不一致、有明显</w:t>
      </w:r>
      <w:r>
        <w:rPr>
          <w:rFonts w:hint="eastAsia" w:ascii="宋体" w:hAnsi="宋体"/>
          <w:color w:val="auto"/>
          <w:szCs w:val="21"/>
          <w:highlight w:val="none"/>
          <w:u w:val="single"/>
        </w:rPr>
        <w:t>文字</w:t>
      </w:r>
      <w:r>
        <w:rPr>
          <w:rFonts w:ascii="宋体" w:hAnsi="宋体"/>
          <w:color w:val="auto"/>
          <w:szCs w:val="21"/>
          <w:highlight w:val="none"/>
          <w:u w:val="single"/>
        </w:rPr>
        <w:t>和计算错误</w:t>
      </w:r>
      <w:r>
        <w:rPr>
          <w:rFonts w:hint="eastAsia" w:ascii="宋体" w:hAnsi="宋体"/>
          <w:color w:val="auto"/>
          <w:szCs w:val="21"/>
          <w:highlight w:val="none"/>
          <w:u w:val="single"/>
        </w:rPr>
        <w:t>的，</w:t>
      </w:r>
      <w:r>
        <w:rPr>
          <w:rFonts w:ascii="宋体" w:hAnsi="宋体"/>
          <w:color w:val="auto"/>
          <w:szCs w:val="21"/>
          <w:highlight w:val="none"/>
          <w:u w:val="single"/>
        </w:rPr>
        <w:t>应当</w:t>
      </w:r>
      <w:r>
        <w:rPr>
          <w:rFonts w:hint="eastAsia" w:ascii="宋体" w:hAnsi="宋体"/>
          <w:color w:val="auto"/>
          <w:szCs w:val="21"/>
          <w:highlight w:val="none"/>
          <w:u w:val="single"/>
        </w:rPr>
        <w:t>要求</w:t>
      </w:r>
      <w:r>
        <w:rPr>
          <w:rFonts w:ascii="宋体" w:hAnsi="宋体"/>
          <w:color w:val="auto"/>
          <w:szCs w:val="21"/>
          <w:highlight w:val="none"/>
          <w:u w:val="single"/>
        </w:rPr>
        <w:t>投标人作必要的澄清、说明</w:t>
      </w:r>
      <w:r>
        <w:rPr>
          <w:rFonts w:hint="eastAsia" w:ascii="宋体" w:hAnsi="宋体"/>
          <w:color w:val="auto"/>
          <w:szCs w:val="21"/>
          <w:highlight w:val="none"/>
          <w:u w:val="single"/>
        </w:rPr>
        <w:t>后再判定投标人是否通过有效性审查</w:t>
      </w:r>
      <w:r>
        <w:rPr>
          <w:rFonts w:ascii="宋体" w:hAnsi="宋体"/>
          <w:color w:val="auto"/>
          <w:szCs w:val="21"/>
          <w:highlight w:val="none"/>
          <w:u w:val="single"/>
        </w:rPr>
        <w:t>，不得直接否决投标</w:t>
      </w:r>
      <w:r>
        <w:rPr>
          <w:rFonts w:hint="eastAsia" w:ascii="宋体" w:hAnsi="宋体"/>
          <w:color w:val="auto"/>
          <w:szCs w:val="21"/>
          <w:highlight w:val="none"/>
          <w:u w:val="single"/>
        </w:rPr>
        <w:t>，若出现评标委员会否决投标的，应在评标报告中载明否决投标的具体情形、原因</w:t>
      </w:r>
      <w:r>
        <w:rPr>
          <w:rFonts w:hint="eastAsia" w:ascii="宋体" w:hAnsi="宋体"/>
          <w:color w:val="auto"/>
          <w:szCs w:val="21"/>
          <w:highlight w:val="none"/>
          <w:u w:val="single"/>
          <w:lang w:eastAsia="zh-CN"/>
        </w:rPr>
        <w:t>。</w:t>
      </w:r>
    </w:p>
    <w:p w14:paraId="003FC211">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若出现评标委员会否决投标的，应在评标报告中载明否决投标的具体情形、原因。</w:t>
      </w:r>
    </w:p>
    <w:p w14:paraId="5BD796DA">
      <w:pPr>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14:paraId="06902334">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14:paraId="04BBC230">
      <w:pPr>
        <w:rPr>
          <w:rFonts w:ascii="宋体" w:hAnsi="宋体"/>
          <w:color w:val="auto"/>
          <w:szCs w:val="21"/>
          <w:highlight w:val="none"/>
        </w:rPr>
      </w:pPr>
      <w:r>
        <w:rPr>
          <w:rFonts w:hint="eastAsia" w:ascii="宋体" w:hAnsi="宋体"/>
          <w:color w:val="auto"/>
          <w:szCs w:val="21"/>
          <w:highlight w:val="none"/>
        </w:rPr>
        <w:t>评委签名：</w:t>
      </w:r>
    </w:p>
    <w:p w14:paraId="4F479844">
      <w:pPr>
        <w:rPr>
          <w:color w:val="auto"/>
          <w:szCs w:val="21"/>
          <w:highlight w:val="none"/>
        </w:rPr>
      </w:pPr>
      <w:r>
        <w:rPr>
          <w:color w:val="auto"/>
          <w:highlight w:val="none"/>
        </w:rPr>
        <w:br w:type="page"/>
      </w:r>
      <w:r>
        <w:rPr>
          <w:rFonts w:hint="eastAsia"/>
          <w:color w:val="auto"/>
          <w:szCs w:val="21"/>
          <w:highlight w:val="none"/>
        </w:rPr>
        <w:t>附表三</w:t>
      </w:r>
    </w:p>
    <w:p w14:paraId="160F517A">
      <w:pPr>
        <w:jc w:val="center"/>
        <w:rPr>
          <w:b/>
          <w:color w:val="auto"/>
          <w:sz w:val="36"/>
          <w:szCs w:val="36"/>
          <w:highlight w:val="none"/>
        </w:rPr>
      </w:pPr>
      <w:r>
        <w:rPr>
          <w:rFonts w:hint="eastAsia"/>
          <w:b/>
          <w:color w:val="auto"/>
          <w:sz w:val="36"/>
          <w:szCs w:val="36"/>
          <w:highlight w:val="none"/>
        </w:rPr>
        <w:t>经济标有效性审查表</w:t>
      </w:r>
    </w:p>
    <w:p w14:paraId="5D8A5ABE">
      <w:pPr>
        <w:rPr>
          <w:color w:val="auto"/>
          <w:szCs w:val="21"/>
          <w:highlight w:val="none"/>
        </w:rPr>
      </w:pPr>
      <w:r>
        <w:rPr>
          <w:rFonts w:hint="eastAsia"/>
          <w:color w:val="auto"/>
          <w:szCs w:val="21"/>
          <w:highlight w:val="none"/>
        </w:rPr>
        <w:t>工程名称：</w:t>
      </w:r>
    </w:p>
    <w:tbl>
      <w:tblPr>
        <w:tblStyle w:val="34"/>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59AE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532" w:type="dxa"/>
            <w:tcBorders>
              <w:top w:val="single" w:color="auto" w:sz="4" w:space="0"/>
              <w:left w:val="single" w:color="auto" w:sz="4" w:space="0"/>
              <w:bottom w:val="single" w:color="auto" w:sz="4" w:space="0"/>
              <w:right w:val="single" w:color="auto" w:sz="4" w:space="0"/>
            </w:tcBorders>
            <w:vAlign w:val="center"/>
          </w:tcPr>
          <w:p w14:paraId="1BF871FC">
            <w:pPr>
              <w:rPr>
                <w:rFonts w:ascii="宋体" w:hAnsi="宋体"/>
                <w:color w:val="auto"/>
                <w:szCs w:val="21"/>
                <w:highlight w:val="none"/>
              </w:rPr>
            </w:pPr>
            <w:r>
              <w:rPr>
                <w:rFonts w:hint="eastAsia" w:ascii="宋体" w:hAnsi="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14:paraId="572C9D85">
            <w:pPr>
              <w:ind w:firstLine="4620" w:firstLineChars="2200"/>
              <w:rPr>
                <w:rFonts w:ascii="宋体" w:hAnsi="宋体"/>
                <w:color w:val="auto"/>
                <w:szCs w:val="21"/>
                <w:highlight w:val="none"/>
              </w:rPr>
            </w:pPr>
            <w:r>
              <w:rPr>
                <w:rFonts w:hint="eastAsia" w:ascii="宋体" w:hAnsi="宋体"/>
                <w:color w:val="auto"/>
                <w:szCs w:val="21"/>
                <w:highlight w:val="none"/>
              </w:rPr>
              <w:t>投标人</w:t>
            </w:r>
          </w:p>
          <w:p w14:paraId="19B7A79A">
            <w:pPr>
              <w:rPr>
                <w:rFonts w:ascii="宋体" w:hAnsi="宋体"/>
                <w:color w:val="auto"/>
                <w:szCs w:val="21"/>
                <w:highlight w:val="none"/>
              </w:rPr>
            </w:pPr>
          </w:p>
          <w:p w14:paraId="63E8A79F">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14:paraId="62CEC943">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90DDE0A">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4FED908">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106B78D5">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FA8DED7">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21C8AB3">
            <w:pPr>
              <w:rPr>
                <w:rFonts w:ascii="宋体" w:hAnsi="宋体"/>
                <w:color w:val="auto"/>
                <w:szCs w:val="21"/>
                <w:highlight w:val="none"/>
              </w:rPr>
            </w:pPr>
          </w:p>
        </w:tc>
      </w:tr>
      <w:tr w14:paraId="3DC0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3494E01">
            <w:pPr>
              <w:jc w:val="center"/>
              <w:rPr>
                <w:rFonts w:ascii="宋体" w:hAnsi="宋体"/>
                <w:color w:val="auto"/>
                <w:szCs w:val="21"/>
                <w:highlight w:val="none"/>
              </w:rPr>
            </w:pPr>
            <w:r>
              <w:rPr>
                <w:rFonts w:ascii="宋体" w:hAnsi="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14:paraId="7F1CFCCB">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02FB3526">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949AA17">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D795C6C">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02063BFC">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05C38F7">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EC36A51">
            <w:pPr>
              <w:rPr>
                <w:rFonts w:ascii="宋体" w:hAnsi="宋体"/>
                <w:color w:val="auto"/>
                <w:szCs w:val="21"/>
                <w:highlight w:val="none"/>
              </w:rPr>
            </w:pPr>
          </w:p>
        </w:tc>
      </w:tr>
      <w:tr w14:paraId="1D98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35DD6D1">
            <w:pPr>
              <w:jc w:val="center"/>
              <w:rPr>
                <w:rFonts w:ascii="宋体" w:hAnsi="宋体"/>
                <w:color w:val="auto"/>
                <w:szCs w:val="21"/>
                <w:highlight w:val="none"/>
              </w:rPr>
            </w:pPr>
            <w:r>
              <w:rPr>
                <w:rFonts w:ascii="宋体" w:hAnsi="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14:paraId="76E9B5A3">
            <w:pPr>
              <w:rPr>
                <w:rFonts w:ascii="宋体" w:hAnsi="宋体"/>
                <w:color w:val="auto"/>
                <w:szCs w:val="21"/>
                <w:highlight w:val="none"/>
              </w:rPr>
            </w:pPr>
            <w:r>
              <w:rPr>
                <w:rFonts w:hint="eastAsia" w:ascii="宋体" w:hAnsi="宋体"/>
                <w:color w:val="auto"/>
                <w:szCs w:val="21"/>
                <w:highlight w:val="none"/>
                <w:u w:val="single"/>
              </w:rPr>
              <w:t>投标总报价高于最高投标限价；</w:t>
            </w:r>
          </w:p>
        </w:tc>
        <w:tc>
          <w:tcPr>
            <w:tcW w:w="1397" w:type="dxa"/>
            <w:tcBorders>
              <w:top w:val="single" w:color="auto" w:sz="4" w:space="0"/>
              <w:left w:val="single" w:color="auto" w:sz="4" w:space="0"/>
              <w:bottom w:val="single" w:color="auto" w:sz="4" w:space="0"/>
              <w:right w:val="single" w:color="auto" w:sz="4" w:space="0"/>
            </w:tcBorders>
          </w:tcPr>
          <w:p w14:paraId="1AF023EA">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CA2B271">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AABBE3F">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6829913">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3DA916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4D4AD6A">
            <w:pPr>
              <w:rPr>
                <w:rFonts w:ascii="宋体" w:hAnsi="宋体"/>
                <w:color w:val="auto"/>
                <w:szCs w:val="21"/>
                <w:highlight w:val="none"/>
              </w:rPr>
            </w:pPr>
          </w:p>
        </w:tc>
      </w:tr>
      <w:tr w14:paraId="1E1D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4ED4C86">
            <w:pPr>
              <w:jc w:val="center"/>
              <w:rPr>
                <w:rFonts w:ascii="宋体" w:hAnsi="宋体"/>
                <w:color w:val="auto"/>
                <w:szCs w:val="21"/>
                <w:highlight w:val="none"/>
              </w:rPr>
            </w:pPr>
            <w:r>
              <w:rPr>
                <w:rFonts w:ascii="宋体" w:hAnsi="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14:paraId="1D80C66B">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u w:val="single"/>
              </w:rPr>
              <w:t>投标报价低于工程成本警戒价的</w:t>
            </w:r>
            <w:r>
              <w:rPr>
                <w:rFonts w:hint="eastAsia" w:ascii="宋体" w:hAnsi="宋体" w:cs="宋体"/>
                <w:color w:val="auto"/>
                <w:szCs w:val="21"/>
                <w:highlight w:val="none"/>
              </w:rPr>
              <w:t>（投标人的报价明显低于其他投标报价，使得其投标报价可能低于其个别成本，</w:t>
            </w:r>
            <w:r>
              <w:rPr>
                <w:rFonts w:hint="eastAsia" w:ascii="宋体" w:hAnsi="宋体" w:cs="宋体"/>
                <w:color w:val="auto"/>
                <w:szCs w:val="21"/>
                <w:highlight w:val="none"/>
                <w:lang w:eastAsia="zh-CN"/>
              </w:rPr>
              <w:t>不</w:t>
            </w:r>
            <w:r>
              <w:rPr>
                <w:rFonts w:hint="eastAsia" w:ascii="宋体" w:hAnsi="宋体" w:cs="宋体"/>
                <w:color w:val="auto"/>
                <w:szCs w:val="21"/>
                <w:highlight w:val="none"/>
              </w:rPr>
              <w:t>能合理说明或者</w:t>
            </w:r>
            <w:r>
              <w:rPr>
                <w:rFonts w:hint="eastAsia" w:ascii="宋体" w:hAnsi="宋体" w:cs="宋体"/>
                <w:color w:val="auto"/>
                <w:szCs w:val="21"/>
                <w:highlight w:val="none"/>
                <w:lang w:eastAsia="zh-CN"/>
              </w:rPr>
              <w:t>不</w:t>
            </w:r>
            <w:r>
              <w:rPr>
                <w:rFonts w:hint="eastAsia" w:ascii="宋体" w:hAnsi="宋体" w:cs="宋体"/>
                <w:color w:val="auto"/>
                <w:szCs w:val="21"/>
                <w:highlight w:val="none"/>
              </w:rPr>
              <w:t>能提供相关证明材料，评标委员会认定该投标人低于成本报价的）</w:t>
            </w:r>
            <w:r>
              <w:rPr>
                <w:rFonts w:hint="eastAsia" w:ascii="宋体" w:hAnsi="宋体"/>
                <w:color w:val="auto"/>
                <w:szCs w:val="21"/>
                <w:highlight w:val="none"/>
                <w:u w:val="single"/>
              </w:rPr>
              <w:t>；</w:t>
            </w:r>
          </w:p>
        </w:tc>
        <w:tc>
          <w:tcPr>
            <w:tcW w:w="1397" w:type="dxa"/>
            <w:tcBorders>
              <w:top w:val="single" w:color="auto" w:sz="4" w:space="0"/>
              <w:left w:val="single" w:color="auto" w:sz="4" w:space="0"/>
              <w:bottom w:val="single" w:color="auto" w:sz="4" w:space="0"/>
              <w:right w:val="single" w:color="auto" w:sz="4" w:space="0"/>
            </w:tcBorders>
          </w:tcPr>
          <w:p w14:paraId="4DD23A38">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764DE8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7D75171">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695F2929">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6FE5FC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A6CC8BE">
            <w:pPr>
              <w:rPr>
                <w:rFonts w:ascii="宋体" w:hAnsi="宋体"/>
                <w:color w:val="auto"/>
                <w:szCs w:val="21"/>
                <w:highlight w:val="none"/>
              </w:rPr>
            </w:pPr>
          </w:p>
        </w:tc>
      </w:tr>
      <w:tr w14:paraId="46D0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FE58935">
            <w:pPr>
              <w:jc w:val="center"/>
              <w:rPr>
                <w:rFonts w:ascii="宋体" w:hAnsi="宋体"/>
                <w:strike/>
                <w:color w:val="auto"/>
                <w:szCs w:val="21"/>
                <w:highlight w:val="none"/>
              </w:rPr>
            </w:pPr>
            <w:r>
              <w:rPr>
                <w:rFonts w:ascii="宋体" w:hAnsi="宋体"/>
                <w:strike/>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14:paraId="74F2A235">
            <w:pPr>
              <w:autoSpaceDE w:val="0"/>
              <w:autoSpaceDN w:val="0"/>
              <w:adjustRightInd w:val="0"/>
              <w:ind w:left="-2" w:leftChars="-1"/>
              <w:jc w:val="left"/>
              <w:rPr>
                <w:rFonts w:ascii="宋体" w:hAnsi="宋体"/>
                <w:strike/>
                <w:color w:val="auto"/>
                <w:szCs w:val="21"/>
                <w:highlight w:val="none"/>
                <w:u w:val="single"/>
              </w:rPr>
            </w:pPr>
            <w:r>
              <w:rPr>
                <w:rFonts w:hint="eastAsia" w:ascii="宋体" w:hAnsi="宋体"/>
                <w:strike/>
                <w:color w:val="auto"/>
                <w:szCs w:val="21"/>
                <w:highlight w:val="none"/>
              </w:rPr>
              <w:t>算术复核后的投标报价与原投标报价相比存在</w:t>
            </w:r>
            <w:r>
              <w:rPr>
                <w:rFonts w:ascii="宋体" w:hAnsi="宋体"/>
                <w:strike/>
                <w:color w:val="auto"/>
                <w:szCs w:val="21"/>
                <w:highlight w:val="none"/>
              </w:rPr>
              <w:t>1%</w:t>
            </w:r>
            <w:r>
              <w:rPr>
                <w:rFonts w:hint="eastAsia" w:ascii="宋体" w:hAnsi="宋体"/>
                <w:strike/>
                <w:color w:val="auto"/>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14:paraId="4FEC8E00">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D3841BD">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B13B033">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233E3E2B">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622FDF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5A26F06">
            <w:pPr>
              <w:rPr>
                <w:rFonts w:ascii="宋体" w:hAnsi="宋体"/>
                <w:color w:val="auto"/>
                <w:szCs w:val="21"/>
                <w:highlight w:val="none"/>
              </w:rPr>
            </w:pPr>
          </w:p>
        </w:tc>
      </w:tr>
      <w:tr w14:paraId="7445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61231B8">
            <w:pPr>
              <w:jc w:val="center"/>
              <w:rPr>
                <w:rFonts w:ascii="宋体" w:hAnsi="宋体"/>
                <w:color w:val="auto"/>
                <w:szCs w:val="21"/>
                <w:highlight w:val="none"/>
              </w:rPr>
            </w:pPr>
            <w:r>
              <w:rPr>
                <w:rFonts w:ascii="宋体" w:hAnsi="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14:paraId="17FA7C06">
            <w:pPr>
              <w:rPr>
                <w:rFonts w:ascii="宋体" w:hAnsi="宋体"/>
                <w:color w:val="auto"/>
                <w:szCs w:val="21"/>
                <w:highlight w:val="none"/>
              </w:rPr>
            </w:pPr>
            <w:r>
              <w:rPr>
                <w:rFonts w:hint="eastAsia" w:ascii="宋体" w:hAnsi="宋体"/>
                <w:color w:val="auto"/>
                <w:szCs w:val="21"/>
                <w:highlight w:val="none"/>
                <w:u w:val="single"/>
              </w:rPr>
              <w:t>投标报价中对招标文件规定的绿色施工安全防护措施费进行浮动或改变；</w:t>
            </w:r>
          </w:p>
        </w:tc>
        <w:tc>
          <w:tcPr>
            <w:tcW w:w="1397" w:type="dxa"/>
            <w:tcBorders>
              <w:top w:val="single" w:color="auto" w:sz="4" w:space="0"/>
              <w:left w:val="single" w:color="auto" w:sz="4" w:space="0"/>
              <w:bottom w:val="single" w:color="auto" w:sz="4" w:space="0"/>
              <w:right w:val="single" w:color="auto" w:sz="4" w:space="0"/>
            </w:tcBorders>
          </w:tcPr>
          <w:p w14:paraId="020025B6">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AEB2E9A">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890A0C9">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187015FC">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E7719CC">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9D1631A">
            <w:pPr>
              <w:rPr>
                <w:rFonts w:ascii="宋体" w:hAnsi="宋体"/>
                <w:color w:val="auto"/>
                <w:szCs w:val="21"/>
                <w:highlight w:val="none"/>
              </w:rPr>
            </w:pPr>
          </w:p>
        </w:tc>
      </w:tr>
      <w:tr w14:paraId="08BD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8227FCF">
            <w:pPr>
              <w:jc w:val="center"/>
              <w:rPr>
                <w:rFonts w:ascii="宋体" w:hAnsi="宋体"/>
                <w:color w:val="auto"/>
                <w:szCs w:val="21"/>
                <w:highlight w:val="none"/>
              </w:rPr>
            </w:pPr>
            <w:r>
              <w:rPr>
                <w:rFonts w:ascii="宋体" w:hAnsi="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14:paraId="3979EB08">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14:paraId="3FFB3E83">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A322353">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98A6D29">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58315266">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E0C43F1">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C548AE4">
            <w:pPr>
              <w:rPr>
                <w:rFonts w:ascii="宋体" w:hAnsi="宋体"/>
                <w:color w:val="auto"/>
                <w:szCs w:val="21"/>
                <w:highlight w:val="none"/>
              </w:rPr>
            </w:pPr>
          </w:p>
        </w:tc>
      </w:tr>
      <w:tr w14:paraId="53CF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32" w:type="dxa"/>
            <w:tcBorders>
              <w:top w:val="single" w:color="auto" w:sz="4" w:space="0"/>
              <w:left w:val="single" w:color="auto" w:sz="4" w:space="0"/>
              <w:bottom w:val="single" w:color="auto" w:sz="4" w:space="0"/>
              <w:right w:val="single" w:color="auto" w:sz="4" w:space="0"/>
            </w:tcBorders>
            <w:vAlign w:val="center"/>
          </w:tcPr>
          <w:p w14:paraId="5580B6FB">
            <w:pPr>
              <w:jc w:val="center"/>
              <w:rPr>
                <w:rFonts w:ascii="宋体" w:hAnsi="宋体"/>
                <w:strike/>
                <w:color w:val="auto"/>
                <w:szCs w:val="21"/>
                <w:highlight w:val="none"/>
              </w:rPr>
            </w:pPr>
            <w:r>
              <w:rPr>
                <w:rFonts w:ascii="宋体" w:hAnsi="宋体"/>
                <w:strike/>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14:paraId="4E481266">
            <w:pPr>
              <w:rPr>
                <w:rFonts w:ascii="宋体" w:hAnsi="宋体"/>
                <w:strike/>
                <w:color w:val="auto"/>
                <w:szCs w:val="21"/>
                <w:highlight w:val="none"/>
              </w:rPr>
            </w:pPr>
            <w:r>
              <w:rPr>
                <w:rFonts w:hint="eastAsia" w:ascii="宋体" w:hAnsi="宋体"/>
                <w:strike/>
                <w:color w:val="auto"/>
                <w:szCs w:val="21"/>
                <w:highlight w:val="none"/>
              </w:rPr>
              <w:t>不同投标人的投标报价中分部分项工程量清单综合单价相似度达到80%及以上的(以交易平台评标系统的检索信息为准)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14:paraId="67D0BF1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EE36D87">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015375A">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02AB9427">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BFFE52A">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0A56880">
            <w:pPr>
              <w:rPr>
                <w:rFonts w:ascii="宋体" w:hAnsi="宋体"/>
                <w:color w:val="auto"/>
                <w:szCs w:val="21"/>
                <w:highlight w:val="none"/>
              </w:rPr>
            </w:pPr>
          </w:p>
        </w:tc>
      </w:tr>
      <w:tr w14:paraId="0D9A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792CEB6">
            <w:pPr>
              <w:jc w:val="center"/>
              <w:rPr>
                <w:rFonts w:ascii="宋体" w:hAnsi="宋体"/>
                <w:color w:val="auto"/>
                <w:szCs w:val="21"/>
                <w:highlight w:val="none"/>
              </w:rPr>
            </w:pPr>
            <w:r>
              <w:rPr>
                <w:rFonts w:ascii="宋体" w:hAnsi="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14:paraId="782BAB4F">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6F81961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33D42BB">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402226A">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F5CDF1A">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A320AAD">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DDBF911">
            <w:pPr>
              <w:rPr>
                <w:rFonts w:ascii="宋体" w:hAnsi="宋体"/>
                <w:color w:val="auto"/>
                <w:szCs w:val="21"/>
                <w:highlight w:val="none"/>
              </w:rPr>
            </w:pPr>
          </w:p>
        </w:tc>
      </w:tr>
      <w:tr w14:paraId="35BD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82E0D93">
            <w:pPr>
              <w:jc w:val="center"/>
              <w:rPr>
                <w:rFonts w:ascii="宋体" w:hAnsi="宋体"/>
                <w:color w:val="auto"/>
                <w:szCs w:val="21"/>
                <w:highlight w:val="none"/>
              </w:rPr>
            </w:pPr>
            <w:r>
              <w:rPr>
                <w:rFonts w:ascii="宋体" w:hAnsi="宋体"/>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14:paraId="09E6D713">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14:paraId="7A92CEC6">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BB42685">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DCCAB64">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22BA6DA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443B88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9A8504D">
            <w:pPr>
              <w:rPr>
                <w:rFonts w:ascii="宋体" w:hAnsi="宋体"/>
                <w:color w:val="auto"/>
                <w:szCs w:val="21"/>
                <w:highlight w:val="none"/>
              </w:rPr>
            </w:pPr>
          </w:p>
        </w:tc>
      </w:tr>
      <w:tr w14:paraId="445E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51A6A13">
            <w:pPr>
              <w:rPr>
                <w:rFonts w:ascii="宋体" w:hAnsi="宋体"/>
                <w:color w:val="auto"/>
                <w:szCs w:val="21"/>
                <w:highlight w:val="none"/>
              </w:rPr>
            </w:pPr>
            <w:r>
              <w:rPr>
                <w:rFonts w:hint="eastAsia" w:ascii="宋体" w:hAnsi="宋体"/>
                <w:color w:val="auto"/>
                <w:szCs w:val="21"/>
                <w:highlight w:val="none"/>
              </w:rPr>
              <w:t>10</w:t>
            </w:r>
          </w:p>
        </w:tc>
        <w:tc>
          <w:tcPr>
            <w:tcW w:w="6102" w:type="dxa"/>
            <w:tcBorders>
              <w:top w:val="single" w:color="auto" w:sz="4" w:space="0"/>
              <w:left w:val="single" w:color="auto" w:sz="4" w:space="0"/>
              <w:bottom w:val="single" w:color="auto" w:sz="4" w:space="0"/>
              <w:right w:val="single" w:color="auto" w:sz="4" w:space="0"/>
            </w:tcBorders>
            <w:vAlign w:val="center"/>
          </w:tcPr>
          <w:p w14:paraId="5E9BD2FC">
            <w:pPr>
              <w:rPr>
                <w:rFonts w:hint="eastAsia" w:ascii="宋体" w:hAnsi="宋体" w:eastAsia="宋体"/>
                <w:color w:val="auto"/>
                <w:szCs w:val="21"/>
                <w:highlight w:val="none"/>
                <w:lang w:eastAsia="zh-CN"/>
              </w:rPr>
            </w:pPr>
            <w:r>
              <w:rPr>
                <w:rFonts w:hint="eastAsia" w:ascii="宋体" w:hAnsi="宋体"/>
                <w:color w:val="auto"/>
                <w:szCs w:val="21"/>
                <w:highlight w:val="none"/>
              </w:rPr>
              <w:t>无《对投标文件编制的承诺》</w:t>
            </w:r>
            <w:r>
              <w:rPr>
                <w:rFonts w:hint="eastAsia" w:ascii="宋体" w:hAnsi="宋体"/>
                <w:color w:val="auto"/>
                <w:szCs w:val="21"/>
                <w:highlight w:val="none"/>
                <w:lang w:eastAsia="zh-CN"/>
              </w:rPr>
              <w:t>；</w:t>
            </w:r>
          </w:p>
        </w:tc>
        <w:tc>
          <w:tcPr>
            <w:tcW w:w="1397" w:type="dxa"/>
            <w:tcBorders>
              <w:top w:val="single" w:color="auto" w:sz="4" w:space="0"/>
              <w:left w:val="single" w:color="auto" w:sz="4" w:space="0"/>
              <w:bottom w:val="single" w:color="auto" w:sz="4" w:space="0"/>
              <w:right w:val="single" w:color="auto" w:sz="4" w:space="0"/>
            </w:tcBorders>
          </w:tcPr>
          <w:p w14:paraId="1D6352E3">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0999104">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E0D9235">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50FD8A6A">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65B2594">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1BE207A">
            <w:pPr>
              <w:rPr>
                <w:rFonts w:ascii="宋体" w:hAnsi="宋体"/>
                <w:color w:val="auto"/>
                <w:szCs w:val="21"/>
                <w:highlight w:val="none"/>
              </w:rPr>
            </w:pPr>
          </w:p>
        </w:tc>
      </w:tr>
      <w:tr w14:paraId="2367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F1B98BF">
            <w:pPr>
              <w:rPr>
                <w:rFonts w:ascii="宋体" w:hAnsi="宋体"/>
                <w:color w:val="auto"/>
                <w:szCs w:val="21"/>
                <w:highlight w:val="none"/>
              </w:rPr>
            </w:pPr>
            <w:r>
              <w:rPr>
                <w:rFonts w:hint="eastAsia" w:ascii="宋体" w:hAnsi="宋体"/>
                <w:color w:val="auto"/>
                <w:szCs w:val="21"/>
                <w:highlight w:val="none"/>
              </w:rPr>
              <w:t>11</w:t>
            </w:r>
          </w:p>
        </w:tc>
        <w:tc>
          <w:tcPr>
            <w:tcW w:w="6102" w:type="dxa"/>
            <w:tcBorders>
              <w:top w:val="single" w:color="auto" w:sz="4" w:space="0"/>
              <w:left w:val="single" w:color="auto" w:sz="4" w:space="0"/>
              <w:bottom w:val="single" w:color="auto" w:sz="4" w:space="0"/>
              <w:right w:val="single" w:color="auto" w:sz="4" w:space="0"/>
            </w:tcBorders>
            <w:vAlign w:val="center"/>
          </w:tcPr>
          <w:p w14:paraId="0CAB900D">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s="宋体"/>
                <w:color w:val="auto"/>
                <w:sz w:val="21"/>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r>
              <w:rPr>
                <w:rFonts w:hint="eastAsia" w:ascii="宋体" w:hAnsi="宋体"/>
                <w:color w:val="auto"/>
                <w:szCs w:val="21"/>
                <w:highlight w:val="none"/>
                <w:lang w:eastAsia="zh-CN"/>
              </w:rPr>
              <w:t>。</w:t>
            </w:r>
          </w:p>
        </w:tc>
        <w:tc>
          <w:tcPr>
            <w:tcW w:w="1397" w:type="dxa"/>
            <w:tcBorders>
              <w:top w:val="single" w:color="auto" w:sz="4" w:space="0"/>
              <w:left w:val="single" w:color="auto" w:sz="4" w:space="0"/>
              <w:bottom w:val="single" w:color="auto" w:sz="4" w:space="0"/>
              <w:right w:val="single" w:color="auto" w:sz="4" w:space="0"/>
            </w:tcBorders>
          </w:tcPr>
          <w:p w14:paraId="77074B40">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0B7F4AD">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5F586E8">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2508A06">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C27BC40">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858DF78">
            <w:pPr>
              <w:rPr>
                <w:rFonts w:ascii="宋体" w:hAnsi="宋体"/>
                <w:color w:val="auto"/>
                <w:szCs w:val="21"/>
                <w:highlight w:val="none"/>
              </w:rPr>
            </w:pPr>
          </w:p>
        </w:tc>
      </w:tr>
    </w:tbl>
    <w:p w14:paraId="01B7DB8E">
      <w:pPr>
        <w:spacing w:line="240" w:lineRule="exact"/>
        <w:ind w:firstLine="459"/>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14:paraId="30145717">
      <w:pPr>
        <w:spacing w:line="240" w:lineRule="exact"/>
        <w:ind w:firstLine="459"/>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14:paraId="60714272">
      <w:pPr>
        <w:spacing w:line="240" w:lineRule="exact"/>
        <w:ind w:firstLine="459"/>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14:paraId="5FEFD22F">
      <w:pPr>
        <w:spacing w:line="240" w:lineRule="exact"/>
        <w:ind w:firstLine="459"/>
        <w:rPr>
          <w:rFonts w:hint="eastAsia"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E2078FD">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若出现评标委员会否决投标的，应在评标报告中载明否决投标的具体情形、原因。</w:t>
      </w:r>
    </w:p>
    <w:p w14:paraId="34BFB3FF">
      <w:pPr>
        <w:spacing w:line="240" w:lineRule="exact"/>
        <w:ind w:firstLine="459"/>
        <w:rPr>
          <w:rFonts w:hint="default" w:ascii="宋体" w:hAnsi="宋体" w:eastAsia="宋体"/>
          <w:color w:val="auto"/>
          <w:szCs w:val="21"/>
          <w:highlight w:val="none"/>
          <w:lang w:val="en-US" w:eastAsia="zh-CN"/>
        </w:rPr>
      </w:pPr>
    </w:p>
    <w:p w14:paraId="49FCF75A">
      <w:pPr>
        <w:spacing w:line="240" w:lineRule="exact"/>
        <w:ind w:firstLine="459"/>
        <w:rPr>
          <w:rFonts w:ascii="宋体" w:hAnsi="宋体"/>
          <w:color w:val="auto"/>
          <w:szCs w:val="21"/>
          <w:highlight w:val="none"/>
        </w:rPr>
        <w:sectPr>
          <w:endnotePr>
            <w:numFmt w:val="decimal"/>
          </w:endnotePr>
          <w:pgSz w:w="16838" w:h="11906" w:orient="landscape"/>
          <w:pgMar w:top="1418" w:right="1247" w:bottom="1418" w:left="1134" w:header="851" w:footer="907" w:gutter="0"/>
          <w:pgNumType w:fmt="decimal"/>
          <w:cols w:space="425" w:num="1"/>
          <w:titlePg/>
          <w:docGrid w:type="lines" w:linePitch="312" w:charSpace="0"/>
        </w:sectPr>
      </w:pPr>
      <w:r>
        <w:rPr>
          <w:rFonts w:hint="eastAsia" w:ascii="宋体" w:hAnsi="宋体"/>
          <w:color w:val="auto"/>
          <w:szCs w:val="21"/>
          <w:highlight w:val="none"/>
        </w:rPr>
        <w:t>评委签名：</w:t>
      </w:r>
    </w:p>
    <w:p w14:paraId="7ACFA49B">
      <w:pPr>
        <w:rPr>
          <w:strike/>
          <w:color w:val="auto"/>
          <w:szCs w:val="21"/>
          <w:highlight w:val="none"/>
        </w:rPr>
      </w:pPr>
      <w:r>
        <w:rPr>
          <w:rFonts w:hint="eastAsia"/>
          <w:strike/>
          <w:color w:val="auto"/>
          <w:szCs w:val="21"/>
          <w:highlight w:val="none"/>
        </w:rPr>
        <w:t>附表四</w:t>
      </w:r>
    </w:p>
    <w:p w14:paraId="1805E386">
      <w:pPr>
        <w:jc w:val="center"/>
        <w:rPr>
          <w:b/>
          <w:strike/>
          <w:color w:val="auto"/>
          <w:sz w:val="36"/>
          <w:szCs w:val="36"/>
          <w:highlight w:val="none"/>
        </w:rPr>
      </w:pPr>
      <w:r>
        <w:rPr>
          <w:rFonts w:hint="eastAsia"/>
          <w:b/>
          <w:strike/>
          <w:color w:val="auto"/>
          <w:sz w:val="36"/>
          <w:szCs w:val="36"/>
          <w:highlight w:val="none"/>
        </w:rPr>
        <w:t>技术标详细审查评分表</w:t>
      </w:r>
    </w:p>
    <w:p w14:paraId="39AD88C1">
      <w:pPr>
        <w:spacing w:line="360" w:lineRule="auto"/>
        <w:ind w:firstLine="459"/>
        <w:rPr>
          <w:rFonts w:ascii="宋体" w:hAnsi="宋体"/>
          <w:strike/>
          <w:color w:val="auto"/>
          <w:szCs w:val="21"/>
          <w:highlight w:val="none"/>
        </w:rPr>
      </w:pPr>
      <w:r>
        <w:rPr>
          <w:rFonts w:hint="eastAsia" w:ascii="宋体" w:hAnsi="宋体"/>
          <w:strike/>
          <w:color w:val="auto"/>
          <w:szCs w:val="21"/>
          <w:highlight w:val="none"/>
        </w:rPr>
        <w:t>注：1、本标准由招标人自行制定。</w:t>
      </w:r>
    </w:p>
    <w:p w14:paraId="705217BF">
      <w:pPr>
        <w:spacing w:line="360" w:lineRule="auto"/>
        <w:ind w:firstLine="459"/>
        <w:rPr>
          <w:rFonts w:ascii="宋体" w:hAnsi="宋体" w:cs="仿宋_GB2312"/>
          <w:strike/>
          <w:color w:val="auto"/>
          <w:szCs w:val="21"/>
          <w:highlight w:val="none"/>
        </w:rPr>
      </w:pPr>
      <w:r>
        <w:rPr>
          <w:rFonts w:hint="eastAsia" w:ascii="宋体" w:hAnsi="宋体" w:cs="仿宋_GB2312"/>
          <w:strike/>
          <w:color w:val="auto"/>
          <w:szCs w:val="21"/>
          <w:highlight w:val="none"/>
        </w:rPr>
        <w:t>2、采用综合评分法的，技术标指标设置、分值设置等应符合法律、法规、《广州市工程建设项目招标投标管理办法》及行政监管部门的要求。</w:t>
      </w:r>
    </w:p>
    <w:p w14:paraId="3B07E8AE">
      <w:pPr>
        <w:spacing w:line="360" w:lineRule="auto"/>
        <w:ind w:firstLine="420"/>
        <w:rPr>
          <w:rFonts w:ascii="宋体" w:hAnsi="宋体" w:cs="仿宋_GB2312"/>
          <w:strike/>
          <w:color w:val="auto"/>
          <w:szCs w:val="21"/>
          <w:highlight w:val="none"/>
        </w:rPr>
      </w:pPr>
      <w:r>
        <w:rPr>
          <w:rFonts w:hint="eastAsia" w:ascii="宋体" w:hAnsi="宋体" w:cs="仿宋_GB2312"/>
          <w:strike/>
          <w:color w:val="auto"/>
          <w:szCs w:val="21"/>
          <w:highlight w:val="none"/>
        </w:rPr>
        <w:t>3、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选择性条款）。</w:t>
      </w:r>
    </w:p>
    <w:p w14:paraId="72A4445B">
      <w:pPr>
        <w:spacing w:line="360" w:lineRule="auto"/>
        <w:ind w:firstLine="420"/>
        <w:rPr>
          <w:rFonts w:ascii="宋体" w:hAnsi="宋体" w:cs="仿宋_GB2312"/>
          <w:strike/>
          <w:color w:val="auto"/>
          <w:szCs w:val="21"/>
          <w:highlight w:val="none"/>
        </w:rPr>
      </w:pPr>
      <w:r>
        <w:rPr>
          <w:rFonts w:hint="eastAsia" w:ascii="宋体" w:hAnsi="宋体" w:cs="仿宋_GB2312"/>
          <w:strike/>
          <w:color w:val="auto"/>
          <w:szCs w:val="21"/>
          <w:highlight w:val="none"/>
        </w:rPr>
        <w:t>4、如评标办法对投标人拟投入的项目管理人员进行评审的，应当要求投标人提供拟委派的项目管理人员近一个月（具体时间在招标文件中约定，如2021年4月，且时间不宜延长）在投标单位缴纳社保的记录。</w:t>
      </w:r>
    </w:p>
    <w:p w14:paraId="5C12065D">
      <w:pPr>
        <w:spacing w:line="360" w:lineRule="auto"/>
        <w:ind w:firstLine="420"/>
        <w:rPr>
          <w:rFonts w:ascii="宋体" w:hAnsi="宋体" w:cs="仿宋_GB2312"/>
          <w:strike/>
          <w:color w:val="auto"/>
          <w:szCs w:val="21"/>
          <w:highlight w:val="none"/>
        </w:rPr>
      </w:pPr>
    </w:p>
    <w:p w14:paraId="4D119046">
      <w:pPr>
        <w:rPr>
          <w:rFonts w:hint="eastAsia"/>
          <w:strike/>
          <w:color w:val="auto"/>
          <w:szCs w:val="21"/>
          <w:highlight w:val="none"/>
        </w:rPr>
      </w:pPr>
      <w:r>
        <w:rPr>
          <w:rFonts w:hint="eastAsia"/>
          <w:strike/>
          <w:color w:val="auto"/>
          <w:szCs w:val="21"/>
          <w:highlight w:val="none"/>
        </w:rPr>
        <w:br w:type="page"/>
      </w:r>
    </w:p>
    <w:p w14:paraId="3E8037E5">
      <w:pPr>
        <w:rPr>
          <w:strike/>
          <w:color w:val="auto"/>
          <w:szCs w:val="21"/>
          <w:highlight w:val="none"/>
        </w:rPr>
      </w:pPr>
      <w:r>
        <w:rPr>
          <w:rFonts w:hint="eastAsia"/>
          <w:strike/>
          <w:color w:val="auto"/>
          <w:szCs w:val="21"/>
          <w:highlight w:val="none"/>
        </w:rPr>
        <w:t>附表五（适用于加权平均法）</w:t>
      </w:r>
    </w:p>
    <w:p w14:paraId="49C510E7">
      <w:pPr>
        <w:jc w:val="center"/>
        <w:rPr>
          <w:b/>
          <w:strike/>
          <w:color w:val="auto"/>
          <w:sz w:val="36"/>
          <w:szCs w:val="36"/>
          <w:highlight w:val="none"/>
        </w:rPr>
      </w:pPr>
      <w:r>
        <w:rPr>
          <w:rFonts w:hint="eastAsia"/>
          <w:b/>
          <w:strike/>
          <w:color w:val="auto"/>
          <w:sz w:val="36"/>
          <w:szCs w:val="36"/>
          <w:highlight w:val="none"/>
        </w:rPr>
        <w:t>经济标评分表</w:t>
      </w:r>
    </w:p>
    <w:p w14:paraId="295322AB">
      <w:pPr>
        <w:rPr>
          <w:strike/>
          <w:color w:val="auto"/>
          <w:szCs w:val="21"/>
          <w:highlight w:val="none"/>
        </w:rPr>
      </w:pPr>
      <w:r>
        <w:rPr>
          <w:rFonts w:hint="eastAsia"/>
          <w:strike/>
          <w:color w:val="auto"/>
          <w:szCs w:val="21"/>
          <w:highlight w:val="none"/>
        </w:rPr>
        <w:t>工程名称：</w:t>
      </w:r>
    </w:p>
    <w:tbl>
      <w:tblPr>
        <w:tblStyle w:val="34"/>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14:paraId="3672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14:paraId="34E302C4">
            <w:pPr>
              <w:rPr>
                <w:rFonts w:ascii="宋体" w:hAnsi="宋体"/>
                <w:strike/>
                <w:color w:val="auto"/>
                <w:szCs w:val="21"/>
                <w:highlight w:val="none"/>
              </w:rPr>
            </w:pPr>
            <w:r>
              <w:rPr>
                <w:rFonts w:hint="eastAsia" w:ascii="宋体" w:hAnsi="宋体"/>
                <w:strike/>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6D1459F3">
            <w:pPr>
              <w:rPr>
                <w:rFonts w:ascii="宋体" w:hAnsi="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5DD6FF0F">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5DC1EAD">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0A9F2EF">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E8FB739">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3DC36DA">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0D7F464">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7B9BA11">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4C17A57">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B35B448">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7202317">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3555F4F">
            <w:pPr>
              <w:rPr>
                <w:rFonts w:ascii="宋体" w:hAnsi="宋体"/>
                <w:strike/>
                <w:color w:val="auto"/>
                <w:szCs w:val="21"/>
                <w:highlight w:val="none"/>
              </w:rPr>
            </w:pPr>
          </w:p>
        </w:tc>
      </w:tr>
      <w:tr w14:paraId="03D9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14:paraId="2FDCA426">
            <w:pPr>
              <w:rPr>
                <w:rFonts w:ascii="宋体" w:hAnsi="宋体"/>
                <w:strike/>
                <w:color w:val="auto"/>
                <w:szCs w:val="21"/>
                <w:highlight w:val="none"/>
              </w:rPr>
            </w:pPr>
            <w:r>
              <w:rPr>
                <w:rFonts w:hint="eastAsia" w:ascii="宋体" w:hAnsi="宋体"/>
                <w:strike/>
                <w:color w:val="auto"/>
                <w:szCs w:val="21"/>
                <w:highlight w:val="none"/>
              </w:rPr>
              <w:t>投标报价</w:t>
            </w:r>
            <w:r>
              <w:rPr>
                <w:rFonts w:ascii="宋体" w:hAnsi="宋体"/>
                <w:strike/>
                <w:color w:val="auto"/>
                <w:szCs w:val="21"/>
                <w:highlight w:val="none"/>
              </w:rPr>
              <w:t>PT</w:t>
            </w:r>
            <w:r>
              <w:rPr>
                <w:rFonts w:hint="eastAsia" w:ascii="宋体" w:hAnsi="宋体"/>
                <w:strike/>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6B65DBAF">
            <w:pPr>
              <w:rPr>
                <w:rFonts w:ascii="宋体" w:hAnsi="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03AFFEB6">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AF48030">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57C9546">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B1F0732">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431C741">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78C7317">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4218C06">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F6D21B1">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8FDF781">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B589AEE">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264B676">
            <w:pPr>
              <w:rPr>
                <w:rFonts w:ascii="宋体" w:hAnsi="宋体"/>
                <w:strike/>
                <w:color w:val="auto"/>
                <w:szCs w:val="21"/>
                <w:highlight w:val="none"/>
              </w:rPr>
            </w:pPr>
          </w:p>
        </w:tc>
      </w:tr>
      <w:tr w14:paraId="4566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0136BA7F">
            <w:pPr>
              <w:rPr>
                <w:rFonts w:ascii="宋体" w:hAnsi="宋体"/>
                <w:strike/>
                <w:color w:val="auto"/>
                <w:szCs w:val="21"/>
                <w:highlight w:val="none"/>
              </w:rPr>
            </w:pPr>
            <w:r>
              <w:rPr>
                <w:rFonts w:hint="eastAsia" w:ascii="宋体" w:hAnsi="宋体"/>
                <w:strike/>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14:paraId="31B7EF3E">
            <w:pPr>
              <w:rPr>
                <w:rFonts w:ascii="宋体" w:hAnsi="宋体"/>
                <w:strike/>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14:paraId="6361986A">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9B05C95">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D38412C">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3A814AF">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A0A636E">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0C00395">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D523DCD">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F303850">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81E482B">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8FB0602">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F977075">
            <w:pPr>
              <w:rPr>
                <w:rFonts w:ascii="宋体" w:hAnsi="宋体"/>
                <w:strike/>
                <w:color w:val="auto"/>
                <w:szCs w:val="21"/>
                <w:highlight w:val="none"/>
              </w:rPr>
            </w:pPr>
          </w:p>
        </w:tc>
      </w:tr>
      <w:tr w14:paraId="06A3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63C7D3C1">
            <w:pPr>
              <w:rPr>
                <w:rFonts w:ascii="宋体" w:hAnsi="宋体"/>
                <w:strike/>
                <w:color w:val="auto"/>
                <w:szCs w:val="21"/>
                <w:highlight w:val="none"/>
              </w:rPr>
            </w:pPr>
            <w:r>
              <w:rPr>
                <w:rFonts w:hint="eastAsia" w:ascii="宋体" w:hAnsi="宋体"/>
                <w:strike/>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14:paraId="6CFA4DE3">
            <w:pPr>
              <w:rPr>
                <w:rFonts w:ascii="宋体" w:hAnsi="宋体"/>
                <w:strike/>
                <w:color w:val="auto"/>
                <w:szCs w:val="21"/>
                <w:highlight w:val="none"/>
              </w:rPr>
            </w:pPr>
          </w:p>
        </w:tc>
      </w:tr>
      <w:tr w14:paraId="5D11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7216B773">
            <w:pPr>
              <w:rPr>
                <w:rFonts w:ascii="宋体" w:hAnsi="宋体"/>
                <w:strike/>
                <w:color w:val="auto"/>
                <w:szCs w:val="21"/>
                <w:highlight w:val="none"/>
              </w:rPr>
            </w:pPr>
            <w:r>
              <w:rPr>
                <w:rFonts w:hint="eastAsia" w:ascii="宋体" w:hAnsi="宋体"/>
                <w:strike/>
                <w:color w:val="auto"/>
                <w:szCs w:val="21"/>
                <w:highlight w:val="none"/>
              </w:rPr>
              <w:t>偏差（（</w:t>
            </w:r>
            <w:r>
              <w:rPr>
                <w:rFonts w:ascii="宋体" w:hAnsi="宋体"/>
                <w:strike/>
                <w:color w:val="auto"/>
                <w:szCs w:val="21"/>
                <w:highlight w:val="none"/>
              </w:rPr>
              <w:t>PT-PC</w:t>
            </w:r>
            <w:r>
              <w:rPr>
                <w:rFonts w:hint="eastAsia" w:ascii="宋体" w:hAnsi="宋体"/>
                <w:strike/>
                <w:color w:val="auto"/>
                <w:szCs w:val="21"/>
                <w:highlight w:val="none"/>
              </w:rPr>
              <w:t>）</w:t>
            </w:r>
            <w:r>
              <w:rPr>
                <w:rFonts w:ascii="宋体" w:hAnsi="宋体"/>
                <w:strike/>
                <w:color w:val="auto"/>
                <w:szCs w:val="21"/>
                <w:highlight w:val="none"/>
              </w:rPr>
              <w:t>/PC</w:t>
            </w:r>
            <w:r>
              <w:rPr>
                <w:rFonts w:hint="eastAsia" w:ascii="宋体" w:hAnsi="宋体"/>
                <w:strike/>
                <w:color w:val="auto"/>
                <w:szCs w:val="21"/>
                <w:highlight w:val="none"/>
              </w:rPr>
              <w:t>）（</w:t>
            </w:r>
            <w:r>
              <w:rPr>
                <w:rFonts w:ascii="宋体" w:hAnsi="宋体"/>
                <w:strike/>
                <w:color w:val="auto"/>
                <w:szCs w:val="21"/>
                <w:highlight w:val="none"/>
              </w:rPr>
              <w:t>%</w:t>
            </w:r>
            <w:r>
              <w:rPr>
                <w:rFonts w:hint="eastAsia" w:ascii="宋体" w:hAnsi="宋体"/>
                <w:strike/>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6BCE1E4C">
            <w:pPr>
              <w:rPr>
                <w:rFonts w:ascii="宋体" w:hAnsi="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64236AB">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DAD529B">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424CE05">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E649207">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49D5CD2">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7EE5E96">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168109A">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E329751">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EB86239">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11B244A">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2B878DE">
            <w:pPr>
              <w:rPr>
                <w:rFonts w:ascii="宋体" w:hAnsi="宋体"/>
                <w:strike/>
                <w:color w:val="auto"/>
                <w:szCs w:val="21"/>
                <w:highlight w:val="none"/>
              </w:rPr>
            </w:pPr>
          </w:p>
        </w:tc>
      </w:tr>
      <w:tr w14:paraId="4DA1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14:paraId="34EABD5A">
            <w:pPr>
              <w:rPr>
                <w:rFonts w:ascii="宋体" w:hAnsi="宋体"/>
                <w:strike/>
                <w:color w:val="auto"/>
                <w:szCs w:val="21"/>
                <w:highlight w:val="none"/>
              </w:rPr>
            </w:pPr>
            <w:r>
              <w:rPr>
                <w:rFonts w:hint="eastAsia" w:ascii="宋体" w:hAnsi="宋体"/>
                <w:strike/>
                <w:color w:val="auto"/>
                <w:szCs w:val="21"/>
                <w:highlight w:val="none"/>
              </w:rPr>
              <w:t>减分（</w:t>
            </w:r>
            <w:r>
              <w:rPr>
                <w:rFonts w:ascii="宋体" w:hAnsi="宋体"/>
                <w:strike/>
                <w:color w:val="auto"/>
                <w:szCs w:val="21"/>
                <w:highlight w:val="none"/>
              </w:rPr>
              <w:t>A</w:t>
            </w:r>
            <w:r>
              <w:rPr>
                <w:rFonts w:hint="eastAsia" w:ascii="宋体" w:hAnsi="宋体"/>
                <w:strike/>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4F401D9F">
            <w:pPr>
              <w:rPr>
                <w:rFonts w:ascii="宋体" w:hAnsi="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114B171">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FF3BFFC">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A6AC6E2">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F070644">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D462900">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3805AE4">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706E4CC">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6E58E40">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AC1C00D">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BECF889">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E43BD10">
            <w:pPr>
              <w:rPr>
                <w:rFonts w:ascii="宋体" w:hAnsi="宋体"/>
                <w:strike/>
                <w:color w:val="auto"/>
                <w:szCs w:val="21"/>
                <w:highlight w:val="none"/>
              </w:rPr>
            </w:pPr>
          </w:p>
        </w:tc>
      </w:tr>
      <w:tr w14:paraId="2077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29A3B917">
            <w:pPr>
              <w:rPr>
                <w:rFonts w:ascii="宋体" w:hAnsi="宋体"/>
                <w:strike/>
                <w:color w:val="auto"/>
                <w:szCs w:val="21"/>
                <w:highlight w:val="none"/>
              </w:rPr>
            </w:pPr>
            <w:r>
              <w:rPr>
                <w:rFonts w:hint="eastAsia" w:ascii="宋体" w:hAnsi="宋体"/>
                <w:strike/>
                <w:color w:val="auto"/>
                <w:szCs w:val="21"/>
                <w:highlight w:val="none"/>
              </w:rPr>
              <w:t>得分</w:t>
            </w:r>
            <w:r>
              <w:rPr>
                <w:rFonts w:ascii="宋体" w:hAnsi="宋体"/>
                <w:strike/>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4CEBEE5B">
            <w:pPr>
              <w:rPr>
                <w:rFonts w:ascii="宋体" w:hAnsi="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430D2D37">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70441FA">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E884C87">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898E19F">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EA432FC">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18DF330">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6C9CEC4">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F611568">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0C28964">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9DD34D9">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5D1A6E2">
            <w:pPr>
              <w:rPr>
                <w:rFonts w:ascii="宋体" w:hAnsi="宋体"/>
                <w:strike/>
                <w:color w:val="auto"/>
                <w:szCs w:val="21"/>
                <w:highlight w:val="none"/>
              </w:rPr>
            </w:pPr>
          </w:p>
        </w:tc>
      </w:tr>
      <w:tr w14:paraId="2ECF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5DA44A1A">
            <w:pPr>
              <w:rPr>
                <w:rFonts w:ascii="宋体" w:hAnsi="宋体"/>
                <w:strike/>
                <w:color w:val="auto"/>
                <w:szCs w:val="21"/>
                <w:highlight w:val="none"/>
              </w:rPr>
            </w:pPr>
            <w:r>
              <w:rPr>
                <w:rFonts w:hint="eastAsia" w:ascii="宋体" w:hAnsi="宋体"/>
                <w:strike/>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0A6C1941">
            <w:pPr>
              <w:rPr>
                <w:rFonts w:ascii="宋体" w:hAnsi="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306A7EDD">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4557776">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1E92E73">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BCB067A">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A294B73">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411B2F9">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FF7F9B5">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9AEC48B">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3C845FC">
            <w:pPr>
              <w:rPr>
                <w:rFonts w:ascii="宋体" w:hAnsi="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9294453">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1A108BC">
            <w:pPr>
              <w:rPr>
                <w:rFonts w:ascii="宋体" w:hAnsi="宋体"/>
                <w:strike/>
                <w:color w:val="auto"/>
                <w:szCs w:val="21"/>
                <w:highlight w:val="none"/>
              </w:rPr>
            </w:pPr>
          </w:p>
        </w:tc>
      </w:tr>
    </w:tbl>
    <w:p w14:paraId="794B3F33">
      <w:pPr>
        <w:rPr>
          <w:color w:val="auto"/>
          <w:szCs w:val="21"/>
          <w:highlight w:val="none"/>
        </w:rPr>
      </w:pPr>
      <w:r>
        <w:rPr>
          <w:rFonts w:hint="eastAsia"/>
          <w:strike/>
          <w:color w:val="auto"/>
          <w:szCs w:val="21"/>
          <w:highlight w:val="none"/>
        </w:rPr>
        <w:t>评委签名：</w:t>
      </w:r>
      <w:r>
        <w:rPr>
          <w:b/>
          <w:color w:val="auto"/>
          <w:sz w:val="36"/>
          <w:szCs w:val="36"/>
          <w:highlight w:val="none"/>
        </w:rPr>
        <w:br w:type="page"/>
      </w:r>
    </w:p>
    <w:p w14:paraId="21D95431">
      <w:pPr>
        <w:rPr>
          <w:color w:val="auto"/>
          <w:szCs w:val="21"/>
          <w:highlight w:val="none"/>
        </w:rPr>
      </w:pPr>
    </w:p>
    <w:p w14:paraId="26188759">
      <w:pPr>
        <w:rPr>
          <w:b/>
          <w:color w:val="auto"/>
          <w:szCs w:val="21"/>
          <w:highlight w:val="none"/>
        </w:rPr>
      </w:pPr>
      <w:r>
        <w:rPr>
          <w:rFonts w:hint="eastAsia"/>
          <w:color w:val="auto"/>
          <w:szCs w:val="21"/>
          <w:highlight w:val="none"/>
        </w:rPr>
        <w:t>附表六</w:t>
      </w:r>
    </w:p>
    <w:p w14:paraId="4405CD80">
      <w:pPr>
        <w:jc w:val="center"/>
        <w:rPr>
          <w:b/>
          <w:color w:val="auto"/>
          <w:sz w:val="36"/>
          <w:szCs w:val="36"/>
          <w:highlight w:val="none"/>
        </w:rPr>
      </w:pPr>
      <w:r>
        <w:rPr>
          <w:rFonts w:hint="eastAsia"/>
          <w:b/>
          <w:color w:val="auto"/>
          <w:sz w:val="36"/>
          <w:szCs w:val="36"/>
          <w:highlight w:val="none"/>
        </w:rPr>
        <w:t>算术复核表</w:t>
      </w:r>
    </w:p>
    <w:p w14:paraId="5AD45FE8">
      <w:pPr>
        <w:rPr>
          <w:rFonts w:ascii="宋体" w:hAnsi="宋体"/>
          <w:color w:val="auto"/>
          <w:kern w:val="0"/>
          <w:szCs w:val="21"/>
          <w:highlight w:val="none"/>
        </w:rPr>
      </w:pPr>
      <w:r>
        <w:rPr>
          <w:rFonts w:hint="eastAsia"/>
          <w:color w:val="auto"/>
          <w:kern w:val="0"/>
          <w:szCs w:val="21"/>
          <w:highlight w:val="none"/>
        </w:rPr>
        <w:t>工程名称：</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4"/>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32B0B0CC">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28D73A17">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2458880B">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4AA0A551">
            <w:pPr>
              <w:rPr>
                <w:rFonts w:ascii="宋体" w:hAnsi="宋体"/>
                <w:color w:val="auto"/>
                <w:kern w:val="0"/>
                <w:szCs w:val="21"/>
                <w:highlight w:val="none"/>
              </w:rPr>
            </w:pPr>
            <w:r>
              <w:rPr>
                <w:rFonts w:hint="eastAsia" w:ascii="宋体" w:hAnsi="宋体"/>
                <w:color w:val="auto"/>
                <w:kern w:val="0"/>
                <w:szCs w:val="21"/>
                <w:highlight w:val="none"/>
              </w:rPr>
              <w:t>修正前投标</w:t>
            </w:r>
          </w:p>
          <w:p w14:paraId="25A762B1">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14:paraId="3D3DAC3B">
            <w:pPr>
              <w:rPr>
                <w:rFonts w:ascii="宋体" w:hAnsi="宋体"/>
                <w:color w:val="auto"/>
                <w:kern w:val="0"/>
                <w:szCs w:val="21"/>
                <w:highlight w:val="none"/>
              </w:rPr>
            </w:pPr>
            <w:r>
              <w:rPr>
                <w:rFonts w:hint="eastAsia" w:ascii="宋体" w:hAnsi="宋体"/>
                <w:color w:val="auto"/>
                <w:kern w:val="0"/>
                <w:szCs w:val="21"/>
                <w:highlight w:val="none"/>
              </w:rPr>
              <w:t>修正后投标</w:t>
            </w:r>
          </w:p>
          <w:p w14:paraId="6AE1188D">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14:paraId="6713B2F1">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12A375E6">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6A4CB1C8">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14:paraId="7EFFF3A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A6B324C">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14:paraId="40BBB556">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14:paraId="7D836088">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DBAF1EF">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9F5AB4B">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5F3FB03">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2B2EAC7A">
            <w:pPr>
              <w:rPr>
                <w:rFonts w:ascii="宋体" w:hAnsi="宋体"/>
                <w:color w:val="auto"/>
                <w:kern w:val="0"/>
                <w:szCs w:val="21"/>
                <w:highlight w:val="none"/>
              </w:rPr>
            </w:pPr>
          </w:p>
        </w:tc>
      </w:tr>
      <w:tr w14:paraId="755BA4D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DAA61F4">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14:paraId="634FEAAE">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14:paraId="734CC2BA">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149146C">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588892B">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483DF85">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C7C570F">
            <w:pPr>
              <w:rPr>
                <w:rFonts w:ascii="宋体" w:hAnsi="宋体"/>
                <w:color w:val="auto"/>
                <w:kern w:val="0"/>
                <w:szCs w:val="21"/>
                <w:highlight w:val="none"/>
              </w:rPr>
            </w:pPr>
          </w:p>
        </w:tc>
      </w:tr>
      <w:tr w14:paraId="3877BF2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42ED92B">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4DEB2D2E">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33F759BC">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510E3E3">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5BACCCF">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67A441C">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969DE8A">
            <w:pPr>
              <w:rPr>
                <w:rFonts w:ascii="宋体" w:hAnsi="宋体"/>
                <w:color w:val="auto"/>
                <w:kern w:val="0"/>
                <w:szCs w:val="21"/>
                <w:highlight w:val="none"/>
              </w:rPr>
            </w:pPr>
          </w:p>
        </w:tc>
      </w:tr>
      <w:tr w14:paraId="53AEA10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D3D5A1A">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2DB486BF">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50A12257">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0BBE046">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2253A3B">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CF33823">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034C0A1">
            <w:pPr>
              <w:rPr>
                <w:rFonts w:ascii="宋体" w:hAnsi="宋体"/>
                <w:color w:val="auto"/>
                <w:kern w:val="0"/>
                <w:szCs w:val="21"/>
                <w:highlight w:val="none"/>
              </w:rPr>
            </w:pPr>
          </w:p>
        </w:tc>
      </w:tr>
      <w:tr w14:paraId="5BEE86F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DE45298">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7F796504">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0854BBAF">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C6263F5">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B36ABED">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A7E2F57">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38A3571">
            <w:pPr>
              <w:rPr>
                <w:rFonts w:ascii="宋体" w:hAnsi="宋体"/>
                <w:color w:val="auto"/>
                <w:kern w:val="0"/>
                <w:szCs w:val="21"/>
                <w:highlight w:val="none"/>
              </w:rPr>
            </w:pPr>
          </w:p>
        </w:tc>
      </w:tr>
      <w:tr w14:paraId="41FF405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C197424">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14:paraId="27942891">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14:paraId="6E799784">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725D1A4">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66E1C35">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6F6A06F0">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776A1FE">
            <w:pPr>
              <w:rPr>
                <w:rFonts w:ascii="宋体" w:hAnsi="宋体"/>
                <w:color w:val="auto"/>
                <w:kern w:val="0"/>
                <w:szCs w:val="21"/>
                <w:highlight w:val="none"/>
              </w:rPr>
            </w:pPr>
          </w:p>
        </w:tc>
      </w:tr>
      <w:tr w14:paraId="6247CF8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0A4C183">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64EFD2B2">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3CDC9AEE">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54193DD">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48574A70">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B1DAC1E">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11F2F59">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14:paraId="5037D4ED">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14:paraId="17F758C4">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7F410C28">
      <w:pPr>
        <w:rPr>
          <w:color w:val="auto"/>
          <w:highlight w:val="none"/>
        </w:rPr>
      </w:pPr>
    </w:p>
    <w:p w14:paraId="6B8CEFD2">
      <w:pPr>
        <w:rPr>
          <w:color w:val="auto"/>
          <w:highlight w:val="none"/>
        </w:rPr>
      </w:pPr>
      <w:r>
        <w:rPr>
          <w:color w:val="auto"/>
          <w:highlight w:val="none"/>
        </w:rPr>
        <w:br w:type="page"/>
      </w:r>
    </w:p>
    <w:p w14:paraId="4A4D29F5">
      <w:pPr>
        <w:jc w:val="center"/>
        <w:rPr>
          <w:b/>
          <w:color w:val="auto"/>
          <w:sz w:val="36"/>
          <w:szCs w:val="36"/>
          <w:highlight w:val="none"/>
        </w:rPr>
      </w:pPr>
      <w:r>
        <w:rPr>
          <w:rFonts w:hint="eastAsia"/>
          <w:b/>
          <w:color w:val="auto"/>
          <w:sz w:val="36"/>
          <w:szCs w:val="36"/>
          <w:highlight w:val="none"/>
        </w:rPr>
        <w:t>算术复核表</w:t>
      </w:r>
    </w:p>
    <w:p w14:paraId="6F4B9BAE">
      <w:pPr>
        <w:rPr>
          <w:color w:val="auto"/>
          <w:szCs w:val="21"/>
          <w:highlight w:val="none"/>
        </w:rPr>
      </w:pPr>
      <w:r>
        <w:rPr>
          <w:rFonts w:hint="eastAsia"/>
          <w:color w:val="auto"/>
          <w:szCs w:val="21"/>
          <w:highlight w:val="none"/>
        </w:rPr>
        <w:t>工程名称：</w:t>
      </w:r>
    </w:p>
    <w:tbl>
      <w:tblPr>
        <w:tblStyle w:val="3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49F9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DEB3D1F">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14:paraId="331555CA">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14:paraId="771CB185">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14:paraId="0E0E203B">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14:paraId="6A015A2E">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14:paraId="643A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A814A2E">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4258158F">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40890551">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5BEFB65">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E99C969">
            <w:pPr>
              <w:rPr>
                <w:color w:val="auto"/>
                <w:sz w:val="36"/>
                <w:szCs w:val="36"/>
                <w:highlight w:val="none"/>
              </w:rPr>
            </w:pPr>
          </w:p>
        </w:tc>
      </w:tr>
      <w:tr w14:paraId="6C66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E351955">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5D4A3C3A">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4A589B49">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A1CECB9">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95E2CD9">
            <w:pPr>
              <w:rPr>
                <w:color w:val="auto"/>
                <w:sz w:val="36"/>
                <w:szCs w:val="36"/>
                <w:highlight w:val="none"/>
              </w:rPr>
            </w:pPr>
          </w:p>
        </w:tc>
      </w:tr>
      <w:tr w14:paraId="418A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0290E4C">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AA3D30C">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9F57D90">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BA8BD24">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90EC653">
            <w:pPr>
              <w:rPr>
                <w:color w:val="auto"/>
                <w:sz w:val="36"/>
                <w:szCs w:val="36"/>
                <w:highlight w:val="none"/>
              </w:rPr>
            </w:pPr>
          </w:p>
        </w:tc>
      </w:tr>
      <w:tr w14:paraId="69EE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D495F95">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EF82BB2">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AE79621">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D74B0E5">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952CD57">
            <w:pPr>
              <w:rPr>
                <w:color w:val="auto"/>
                <w:sz w:val="36"/>
                <w:szCs w:val="36"/>
                <w:highlight w:val="none"/>
              </w:rPr>
            </w:pPr>
          </w:p>
        </w:tc>
      </w:tr>
      <w:tr w14:paraId="0335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968D44F">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5D1683F5">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001CEB7">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0D73FFD">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F7BE097">
            <w:pPr>
              <w:rPr>
                <w:color w:val="auto"/>
                <w:sz w:val="36"/>
                <w:szCs w:val="36"/>
                <w:highlight w:val="none"/>
              </w:rPr>
            </w:pPr>
          </w:p>
        </w:tc>
      </w:tr>
      <w:tr w14:paraId="7891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8178B1A">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F60EB80">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6DB42711">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4044C02">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AF736DF">
            <w:pPr>
              <w:rPr>
                <w:color w:val="auto"/>
                <w:sz w:val="36"/>
                <w:szCs w:val="36"/>
                <w:highlight w:val="none"/>
              </w:rPr>
            </w:pPr>
          </w:p>
        </w:tc>
      </w:tr>
      <w:tr w14:paraId="7897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B893228">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56B0AFBB">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57CEDAC3">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56FADF49">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11691D6">
            <w:pPr>
              <w:rPr>
                <w:color w:val="auto"/>
                <w:sz w:val="36"/>
                <w:szCs w:val="36"/>
                <w:highlight w:val="none"/>
              </w:rPr>
            </w:pPr>
          </w:p>
        </w:tc>
      </w:tr>
      <w:tr w14:paraId="1AF2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46EEA64">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284A81F">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584BAD0">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6FD6A2A4">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5ADEBF5">
            <w:pPr>
              <w:rPr>
                <w:color w:val="auto"/>
                <w:sz w:val="36"/>
                <w:szCs w:val="36"/>
                <w:highlight w:val="none"/>
              </w:rPr>
            </w:pPr>
          </w:p>
        </w:tc>
      </w:tr>
    </w:tbl>
    <w:p w14:paraId="536A55C4">
      <w:pPr>
        <w:rPr>
          <w:color w:val="auto"/>
          <w:szCs w:val="21"/>
          <w:highlight w:val="none"/>
        </w:rPr>
      </w:pPr>
      <w:r>
        <w:rPr>
          <w:rFonts w:hint="eastAsia"/>
          <w:color w:val="auto"/>
          <w:szCs w:val="21"/>
          <w:highlight w:val="none"/>
        </w:rPr>
        <w:t>评委签名：</w:t>
      </w:r>
    </w:p>
    <w:p w14:paraId="0DEBAF9E">
      <w:pPr>
        <w:rPr>
          <w:color w:val="auto"/>
          <w:highlight w:val="none"/>
        </w:rPr>
      </w:pPr>
      <w:r>
        <w:rPr>
          <w:rFonts w:hint="eastAsia"/>
          <w:color w:val="auto"/>
          <w:szCs w:val="21"/>
          <w:highlight w:val="none"/>
        </w:rPr>
        <w:br w:type="page"/>
      </w:r>
    </w:p>
    <w:p w14:paraId="6872EE86">
      <w:pPr>
        <w:spacing w:line="360" w:lineRule="auto"/>
        <w:jc w:val="center"/>
        <w:rPr>
          <w:rFonts w:ascii="仿宋_GB2312" w:hAnsi="宋体" w:eastAsia="仿宋_GB2312"/>
          <w:color w:val="auto"/>
          <w:szCs w:val="21"/>
          <w:highlight w:val="none"/>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orient="landscape"/>
          <w:pgMar w:top="1418" w:right="1247" w:bottom="1418" w:left="1134" w:header="851" w:footer="907" w:gutter="0"/>
          <w:pgNumType w:fmt="decimal"/>
          <w:cols w:space="425" w:num="1"/>
          <w:titlePg/>
          <w:docGrid w:type="lines" w:linePitch="312" w:charSpace="0"/>
        </w:sectPr>
      </w:pPr>
    </w:p>
    <w:p w14:paraId="12F0D7D9">
      <w:pPr>
        <w:pStyle w:val="2"/>
        <w:jc w:val="both"/>
        <w:rPr>
          <w:color w:val="auto"/>
          <w:kern w:val="2"/>
          <w:sz w:val="21"/>
          <w:szCs w:val="21"/>
          <w:highlight w:val="none"/>
        </w:rPr>
      </w:pPr>
      <w:bookmarkStart w:id="30" w:name="_Toc21525511"/>
      <w:bookmarkStart w:id="31" w:name="_Toc2272566"/>
      <w:r>
        <w:rPr>
          <w:rFonts w:hint="eastAsia"/>
          <w:color w:val="auto"/>
          <w:kern w:val="2"/>
          <w:sz w:val="21"/>
          <w:szCs w:val="21"/>
          <w:highlight w:val="none"/>
        </w:rPr>
        <w:t>附表七</w:t>
      </w:r>
    </w:p>
    <w:p w14:paraId="683844D0">
      <w:pPr>
        <w:pStyle w:val="2"/>
        <w:rPr>
          <w:rFonts w:ascii="宋体" w:hAnsi="宋体"/>
          <w:bCs/>
          <w:color w:val="auto"/>
          <w:szCs w:val="32"/>
          <w:highlight w:val="none"/>
        </w:rPr>
      </w:pPr>
      <w:r>
        <w:rPr>
          <w:rFonts w:hint="eastAsia" w:ascii="宋体" w:hAnsi="宋体"/>
          <w:bCs/>
          <w:color w:val="auto"/>
          <w:szCs w:val="32"/>
          <w:highlight w:val="none"/>
        </w:rPr>
        <w:t>定标因素表（定标阶段用表）</w:t>
      </w:r>
    </w:p>
    <w:p w14:paraId="48E3513E">
      <w:pPr>
        <w:rPr>
          <w:rFonts w:ascii="宋体" w:hAnsi="宋体"/>
          <w:color w:val="auto"/>
          <w:highlight w:val="none"/>
          <w:u w:val="single"/>
        </w:rPr>
      </w:pPr>
      <w:r>
        <w:rPr>
          <w:rFonts w:hint="eastAsia" w:ascii="宋体" w:hAnsi="宋体"/>
          <w:color w:val="auto"/>
          <w:highlight w:val="none"/>
        </w:rPr>
        <w:t>工程名称：</w:t>
      </w:r>
    </w:p>
    <w:tbl>
      <w:tblPr>
        <w:tblStyle w:val="34"/>
        <w:tblW w:w="9549"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578"/>
        <w:gridCol w:w="7229"/>
      </w:tblGrid>
      <w:tr w14:paraId="12DE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42" w:type="dxa"/>
            <w:tcBorders>
              <w:top w:val="single" w:color="auto" w:sz="4" w:space="0"/>
              <w:left w:val="single" w:color="auto" w:sz="4" w:space="0"/>
              <w:bottom w:val="single" w:color="auto" w:sz="4" w:space="0"/>
              <w:right w:val="single" w:color="auto" w:sz="4" w:space="0"/>
            </w:tcBorders>
            <w:noWrap/>
            <w:vAlign w:val="center"/>
          </w:tcPr>
          <w:p w14:paraId="57DDFA77">
            <w:pPr>
              <w:jc w:val="center"/>
              <w:rPr>
                <w:color w:val="auto"/>
                <w:highlight w:val="none"/>
              </w:rPr>
            </w:pPr>
            <w:r>
              <w:rPr>
                <w:rFonts w:hint="eastAsia"/>
                <w:color w:val="auto"/>
                <w:highlight w:val="none"/>
              </w:rPr>
              <w:t>序号</w:t>
            </w:r>
          </w:p>
        </w:tc>
        <w:tc>
          <w:tcPr>
            <w:tcW w:w="1578" w:type="dxa"/>
            <w:tcBorders>
              <w:top w:val="single" w:color="auto" w:sz="4" w:space="0"/>
              <w:left w:val="single" w:color="auto" w:sz="4" w:space="0"/>
              <w:bottom w:val="single" w:color="auto" w:sz="4" w:space="0"/>
              <w:right w:val="single" w:color="auto" w:sz="4" w:space="0"/>
            </w:tcBorders>
            <w:noWrap/>
            <w:vAlign w:val="center"/>
          </w:tcPr>
          <w:p w14:paraId="6E64F4DC">
            <w:pPr>
              <w:jc w:val="center"/>
              <w:rPr>
                <w:color w:val="auto"/>
                <w:highlight w:val="none"/>
              </w:rPr>
            </w:pPr>
            <w:r>
              <w:rPr>
                <w:rFonts w:hint="eastAsia"/>
                <w:color w:val="auto"/>
                <w:highlight w:val="none"/>
              </w:rPr>
              <w:t>评价项目</w:t>
            </w:r>
          </w:p>
        </w:tc>
        <w:tc>
          <w:tcPr>
            <w:tcW w:w="7229" w:type="dxa"/>
            <w:tcBorders>
              <w:top w:val="single" w:color="auto" w:sz="4" w:space="0"/>
              <w:left w:val="single" w:color="auto" w:sz="4" w:space="0"/>
              <w:bottom w:val="single" w:color="auto" w:sz="4" w:space="0"/>
              <w:right w:val="single" w:color="auto" w:sz="4" w:space="0"/>
            </w:tcBorders>
            <w:noWrap/>
            <w:vAlign w:val="center"/>
          </w:tcPr>
          <w:p w14:paraId="614890FB">
            <w:pPr>
              <w:jc w:val="center"/>
              <w:rPr>
                <w:color w:val="auto"/>
                <w:highlight w:val="none"/>
              </w:rPr>
            </w:pPr>
            <w:r>
              <w:rPr>
                <w:rFonts w:hint="eastAsia"/>
                <w:color w:val="auto"/>
                <w:highlight w:val="none"/>
              </w:rPr>
              <w:t>定标评价的内容</w:t>
            </w:r>
          </w:p>
        </w:tc>
      </w:tr>
      <w:tr w14:paraId="7AEC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742" w:type="dxa"/>
            <w:tcBorders>
              <w:top w:val="single" w:color="auto" w:sz="4" w:space="0"/>
              <w:left w:val="single" w:color="auto" w:sz="4" w:space="0"/>
              <w:bottom w:val="single" w:color="auto" w:sz="4" w:space="0"/>
              <w:right w:val="single" w:color="auto" w:sz="4" w:space="0"/>
            </w:tcBorders>
            <w:noWrap/>
            <w:vAlign w:val="center"/>
          </w:tcPr>
          <w:p w14:paraId="003450BB">
            <w:pPr>
              <w:jc w:val="center"/>
              <w:rPr>
                <w:rFonts w:hint="eastAsia" w:ascii="宋体" w:hAnsi="宋体" w:cs="宋体"/>
                <w:color w:val="auto"/>
                <w:highlight w:val="none"/>
              </w:rPr>
            </w:pPr>
            <w:r>
              <w:rPr>
                <w:rFonts w:hint="eastAsia" w:ascii="宋体" w:hAnsi="宋体" w:cs="宋体"/>
                <w:color w:val="auto"/>
                <w:highlight w:val="none"/>
              </w:rPr>
              <w:t>1</w:t>
            </w:r>
          </w:p>
        </w:tc>
        <w:tc>
          <w:tcPr>
            <w:tcW w:w="1578" w:type="dxa"/>
            <w:tcBorders>
              <w:top w:val="single" w:color="auto" w:sz="4" w:space="0"/>
              <w:left w:val="single" w:color="auto" w:sz="4" w:space="0"/>
              <w:bottom w:val="single" w:color="auto" w:sz="4" w:space="0"/>
              <w:right w:val="single" w:color="auto" w:sz="4" w:space="0"/>
            </w:tcBorders>
            <w:noWrap/>
            <w:vAlign w:val="center"/>
          </w:tcPr>
          <w:p w14:paraId="23FF336F">
            <w:pPr>
              <w:jc w:val="left"/>
              <w:rPr>
                <w:color w:val="auto"/>
                <w:highlight w:val="none"/>
              </w:rPr>
            </w:pPr>
            <w:r>
              <w:rPr>
                <w:rFonts w:hint="eastAsia"/>
                <w:color w:val="auto"/>
                <w:highlight w:val="none"/>
              </w:rPr>
              <w:t>入围候选人施工履约能力与水平评价</w:t>
            </w:r>
          </w:p>
        </w:tc>
        <w:tc>
          <w:tcPr>
            <w:tcW w:w="7229" w:type="dxa"/>
            <w:tcBorders>
              <w:top w:val="single" w:color="auto" w:sz="4" w:space="0"/>
              <w:left w:val="single" w:color="auto" w:sz="4" w:space="0"/>
              <w:bottom w:val="single" w:color="auto" w:sz="4" w:space="0"/>
              <w:right w:val="single" w:color="auto" w:sz="4" w:space="0"/>
            </w:tcBorders>
            <w:noWrap/>
            <w:vAlign w:val="center"/>
          </w:tcPr>
          <w:p w14:paraId="1B4FE28F">
            <w:pPr>
              <w:spacing w:line="360" w:lineRule="auto"/>
              <w:rPr>
                <w:color w:val="auto"/>
                <w:highlight w:val="none"/>
              </w:rPr>
            </w:pPr>
            <w:r>
              <w:rPr>
                <w:rFonts w:hint="eastAsia"/>
                <w:color w:val="auto"/>
                <w:highlight w:val="none"/>
              </w:rPr>
              <w:t>内容包括但不限于：公司简介、项目管理班子人员及机械配备，施工资源需求计划，施工总平面布置规划，施工安全、工期、质量及造价管理、对工程施工重点和难点</w:t>
            </w:r>
            <w:r>
              <w:rPr>
                <w:rFonts w:hint="eastAsia"/>
                <w:color w:val="auto"/>
                <w:highlight w:val="none"/>
                <w:lang w:eastAsia="zh-CN"/>
              </w:rPr>
              <w:t>及</w:t>
            </w:r>
            <w:r>
              <w:rPr>
                <w:rFonts w:hint="eastAsia" w:ascii="宋体" w:hAnsi="宋体"/>
                <w:color w:val="auto"/>
                <w:highlight w:val="none"/>
                <w:lang w:val="en-US" w:eastAsia="zh-CN"/>
              </w:rPr>
              <w:t>进度目标、安全文明施工目标</w:t>
            </w:r>
            <w:r>
              <w:rPr>
                <w:rFonts w:hint="eastAsia"/>
                <w:color w:val="auto"/>
                <w:highlight w:val="none"/>
              </w:rPr>
              <w:t>的应对措施等。</w:t>
            </w:r>
          </w:p>
        </w:tc>
      </w:tr>
      <w:tr w14:paraId="0232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742" w:type="dxa"/>
            <w:tcBorders>
              <w:top w:val="single" w:color="auto" w:sz="4" w:space="0"/>
              <w:left w:val="single" w:color="auto" w:sz="4" w:space="0"/>
              <w:bottom w:val="single" w:color="auto" w:sz="4" w:space="0"/>
              <w:right w:val="single" w:color="auto" w:sz="4" w:space="0"/>
            </w:tcBorders>
            <w:noWrap/>
            <w:vAlign w:val="center"/>
          </w:tcPr>
          <w:p w14:paraId="3408509C">
            <w:pPr>
              <w:jc w:val="center"/>
              <w:rPr>
                <w:rFonts w:hint="eastAsia" w:ascii="宋体" w:hAnsi="宋体" w:cs="宋体"/>
                <w:color w:val="auto"/>
                <w:highlight w:val="none"/>
              </w:rPr>
            </w:pPr>
            <w:r>
              <w:rPr>
                <w:rFonts w:hint="eastAsia" w:ascii="宋体" w:hAnsi="宋体" w:cs="宋体"/>
                <w:color w:val="auto"/>
                <w:highlight w:val="none"/>
              </w:rPr>
              <w:t>2</w:t>
            </w:r>
          </w:p>
        </w:tc>
        <w:tc>
          <w:tcPr>
            <w:tcW w:w="1578" w:type="dxa"/>
            <w:tcBorders>
              <w:top w:val="single" w:color="auto" w:sz="4" w:space="0"/>
              <w:left w:val="single" w:color="auto" w:sz="4" w:space="0"/>
              <w:bottom w:val="single" w:color="auto" w:sz="4" w:space="0"/>
              <w:right w:val="single" w:color="auto" w:sz="4" w:space="0"/>
            </w:tcBorders>
            <w:noWrap/>
            <w:vAlign w:val="center"/>
          </w:tcPr>
          <w:p w14:paraId="5A38C504">
            <w:pPr>
              <w:jc w:val="left"/>
              <w:rPr>
                <w:color w:val="auto"/>
                <w:highlight w:val="none"/>
              </w:rPr>
            </w:pPr>
            <w:r>
              <w:rPr>
                <w:rFonts w:hint="eastAsia" w:ascii="Times New Roman" w:hAnsi="Times New Roman"/>
                <w:color w:val="auto"/>
                <w:highlight w:val="none"/>
              </w:rPr>
              <w:t>服务保障能力</w:t>
            </w:r>
          </w:p>
        </w:tc>
        <w:tc>
          <w:tcPr>
            <w:tcW w:w="7229" w:type="dxa"/>
            <w:tcBorders>
              <w:top w:val="single" w:color="auto" w:sz="4" w:space="0"/>
              <w:left w:val="single" w:color="auto" w:sz="4" w:space="0"/>
              <w:bottom w:val="single" w:color="auto" w:sz="4" w:space="0"/>
              <w:right w:val="single" w:color="auto" w:sz="4" w:space="0"/>
            </w:tcBorders>
            <w:noWrap/>
            <w:vAlign w:val="center"/>
          </w:tcPr>
          <w:p w14:paraId="64C17312">
            <w:pPr>
              <w:jc w:val="left"/>
              <w:rPr>
                <w:color w:val="auto"/>
                <w:highlight w:val="none"/>
              </w:rPr>
            </w:pPr>
            <w:r>
              <w:rPr>
                <w:rFonts w:hint="eastAsia"/>
                <w:color w:val="auto"/>
                <w:highlight w:val="none"/>
              </w:rPr>
              <w:t>投标人提供本企业相关信息证明资料，企业能及时投入人员、设备、物资参与工程和服务</w:t>
            </w:r>
            <w:r>
              <w:rPr>
                <w:rFonts w:hint="eastAsia"/>
                <w:color w:val="auto"/>
                <w:highlight w:val="none"/>
                <w:lang w:val="en-US" w:eastAsia="zh-CN"/>
              </w:rPr>
              <w:t>的</w:t>
            </w:r>
            <w:r>
              <w:rPr>
                <w:rFonts w:hint="eastAsia"/>
                <w:color w:val="auto"/>
                <w:highlight w:val="none"/>
              </w:rPr>
              <w:t>响应能力。</w:t>
            </w:r>
          </w:p>
        </w:tc>
      </w:tr>
      <w:tr w14:paraId="6608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742" w:type="dxa"/>
            <w:tcBorders>
              <w:top w:val="single" w:color="auto" w:sz="4" w:space="0"/>
              <w:left w:val="single" w:color="auto" w:sz="4" w:space="0"/>
              <w:bottom w:val="single" w:color="auto" w:sz="4" w:space="0"/>
              <w:right w:val="single" w:color="auto" w:sz="4" w:space="0"/>
            </w:tcBorders>
            <w:noWrap/>
            <w:vAlign w:val="center"/>
          </w:tcPr>
          <w:p w14:paraId="76587425">
            <w:pPr>
              <w:jc w:val="center"/>
              <w:rPr>
                <w:rFonts w:hint="eastAsia" w:ascii="宋体" w:hAnsi="宋体" w:cs="宋体"/>
                <w:color w:val="auto"/>
                <w:highlight w:val="none"/>
              </w:rPr>
            </w:pPr>
            <w:r>
              <w:rPr>
                <w:rFonts w:hint="eastAsia" w:ascii="宋体" w:hAnsi="宋体" w:cs="宋体"/>
                <w:color w:val="auto"/>
                <w:highlight w:val="none"/>
              </w:rPr>
              <w:t>3</w:t>
            </w:r>
          </w:p>
        </w:tc>
        <w:tc>
          <w:tcPr>
            <w:tcW w:w="1578" w:type="dxa"/>
            <w:tcBorders>
              <w:top w:val="single" w:color="auto" w:sz="4" w:space="0"/>
              <w:left w:val="single" w:color="auto" w:sz="4" w:space="0"/>
              <w:bottom w:val="single" w:color="auto" w:sz="4" w:space="0"/>
              <w:right w:val="single" w:color="auto" w:sz="4" w:space="0"/>
            </w:tcBorders>
            <w:noWrap/>
            <w:vAlign w:val="center"/>
          </w:tcPr>
          <w:p w14:paraId="1C6C9AFE">
            <w:pPr>
              <w:jc w:val="left"/>
              <w:rPr>
                <w:color w:val="auto"/>
                <w:highlight w:val="none"/>
              </w:rPr>
            </w:pPr>
            <w:r>
              <w:rPr>
                <w:rFonts w:hint="eastAsia"/>
                <w:color w:val="auto"/>
                <w:highlight w:val="none"/>
              </w:rPr>
              <w:t>企业施工能力</w:t>
            </w:r>
          </w:p>
        </w:tc>
        <w:tc>
          <w:tcPr>
            <w:tcW w:w="7229" w:type="dxa"/>
            <w:tcBorders>
              <w:top w:val="single" w:color="auto" w:sz="4" w:space="0"/>
              <w:left w:val="single" w:color="auto" w:sz="4" w:space="0"/>
              <w:bottom w:val="single" w:color="auto" w:sz="4" w:space="0"/>
              <w:right w:val="single" w:color="auto" w:sz="4" w:space="0"/>
            </w:tcBorders>
            <w:noWrap/>
            <w:vAlign w:val="center"/>
          </w:tcPr>
          <w:p w14:paraId="37B66736">
            <w:pPr>
              <w:jc w:val="left"/>
              <w:rPr>
                <w:color w:val="auto"/>
                <w:highlight w:val="none"/>
              </w:rPr>
            </w:pPr>
            <w:r>
              <w:rPr>
                <w:rFonts w:hint="eastAsia" w:ascii="Times New Roman" w:hAnsi="Times New Roman"/>
                <w:color w:val="auto"/>
                <w:highlight w:val="none"/>
              </w:rPr>
              <w:t>【优】投标人履约能力强，信用好，管理人员、职称人员、专业技术人员配备齐全，人员技术水平最高，管理人员履职切实到位。</w:t>
            </w:r>
            <w:r>
              <w:rPr>
                <w:rFonts w:hint="eastAsia" w:ascii="Times New Roman" w:hAnsi="Times New Roman"/>
                <w:color w:val="auto"/>
                <w:highlight w:val="none"/>
              </w:rPr>
              <w:br w:type="textWrapping"/>
            </w:r>
            <w:r>
              <w:rPr>
                <w:rFonts w:hint="eastAsia" w:ascii="Times New Roman" w:hAnsi="Times New Roman"/>
                <w:color w:val="auto"/>
                <w:highlight w:val="none"/>
              </w:rPr>
              <w:t>【良】投标人履约能力较好，信用较好，管理人员、职称人员、专业技术人员配备较齐全，人员技术水平较高，管理人员履职切实到位保障措施较好。</w:t>
            </w:r>
            <w:r>
              <w:rPr>
                <w:rFonts w:hint="eastAsia" w:ascii="Times New Roman" w:hAnsi="Times New Roman"/>
                <w:color w:val="auto"/>
                <w:highlight w:val="none"/>
              </w:rPr>
              <w:br w:type="textWrapping"/>
            </w:r>
            <w:r>
              <w:rPr>
                <w:rFonts w:hint="eastAsia" w:ascii="Times New Roman" w:hAnsi="Times New Roman"/>
                <w:color w:val="auto"/>
                <w:highlight w:val="none"/>
              </w:rPr>
              <w:t>【中】投标人履约能力一般，信用一般，管理人员、职称人员、专业技术人员配备一般，人员技术水平一般，管理人员履职切实到位保障措施一般。</w:t>
            </w:r>
          </w:p>
        </w:tc>
      </w:tr>
      <w:tr w14:paraId="62ED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42" w:type="dxa"/>
            <w:tcBorders>
              <w:top w:val="single" w:color="auto" w:sz="4" w:space="0"/>
              <w:left w:val="single" w:color="auto" w:sz="4" w:space="0"/>
              <w:bottom w:val="single" w:color="auto" w:sz="4" w:space="0"/>
              <w:right w:val="single" w:color="auto" w:sz="4" w:space="0"/>
            </w:tcBorders>
            <w:noWrap/>
            <w:vAlign w:val="center"/>
          </w:tcPr>
          <w:p w14:paraId="45F68B89">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p>
        </w:tc>
        <w:tc>
          <w:tcPr>
            <w:tcW w:w="1578" w:type="dxa"/>
            <w:tcBorders>
              <w:top w:val="single" w:color="auto" w:sz="4" w:space="0"/>
              <w:left w:val="single" w:color="auto" w:sz="4" w:space="0"/>
              <w:bottom w:val="single" w:color="auto" w:sz="4" w:space="0"/>
              <w:right w:val="single" w:color="auto" w:sz="4" w:space="0"/>
            </w:tcBorders>
            <w:noWrap/>
            <w:vAlign w:val="center"/>
          </w:tcPr>
          <w:p w14:paraId="172D9D19">
            <w:pPr>
              <w:jc w:val="left"/>
              <w:rPr>
                <w:rFonts w:hint="eastAsia"/>
                <w:color w:val="auto"/>
                <w:highlight w:val="none"/>
              </w:rPr>
            </w:pPr>
            <w:r>
              <w:rPr>
                <w:rFonts w:hint="eastAsia" w:hAnsi="宋体" w:cs="宋体"/>
                <w:color w:val="auto"/>
                <w:highlight w:val="none"/>
              </w:rPr>
              <w:t>价格因素</w:t>
            </w:r>
          </w:p>
        </w:tc>
        <w:tc>
          <w:tcPr>
            <w:tcW w:w="7229" w:type="dxa"/>
            <w:tcBorders>
              <w:top w:val="single" w:color="auto" w:sz="4" w:space="0"/>
              <w:left w:val="single" w:color="auto" w:sz="4" w:space="0"/>
              <w:bottom w:val="single" w:color="auto" w:sz="4" w:space="0"/>
              <w:right w:val="single" w:color="auto" w:sz="4" w:space="0"/>
            </w:tcBorders>
            <w:noWrap/>
            <w:vAlign w:val="center"/>
          </w:tcPr>
          <w:p w14:paraId="23C02D83">
            <w:pPr>
              <w:jc w:val="left"/>
              <w:rPr>
                <w:rFonts w:hint="eastAsia" w:ascii="Times New Roman" w:hAnsi="Times New Roman"/>
                <w:color w:val="auto"/>
                <w:highlight w:val="none"/>
              </w:rPr>
            </w:pPr>
            <w:r>
              <w:rPr>
                <w:rFonts w:hint="eastAsia" w:hAnsi="宋体" w:cs="宋体"/>
                <w:color w:val="auto"/>
                <w:highlight w:val="none"/>
                <w:lang w:val="en-US" w:eastAsia="zh-CN"/>
              </w:rPr>
              <w:t>定标委员会对各合格中标候选人的投标报价进行综合考虑，包括投标报价的合理性、竞争性等。</w:t>
            </w:r>
          </w:p>
        </w:tc>
      </w:tr>
    </w:tbl>
    <w:p w14:paraId="2C97FDA3">
      <w:pPr>
        <w:spacing w:line="360" w:lineRule="auto"/>
        <w:rPr>
          <w:color w:val="auto"/>
          <w:highlight w:val="none"/>
        </w:rPr>
      </w:pPr>
      <w:r>
        <w:rPr>
          <w:rFonts w:hint="eastAsia"/>
          <w:color w:val="auto"/>
          <w:szCs w:val="21"/>
          <w:highlight w:val="none"/>
          <w:lang w:eastAsia="zh-CN"/>
        </w:rPr>
        <w:t>注：</w:t>
      </w:r>
      <w:r>
        <w:rPr>
          <w:rFonts w:hint="eastAsia" w:ascii="宋体" w:hAnsi="宋体"/>
          <w:bCs w:val="0"/>
          <w:color w:val="auto"/>
          <w:sz w:val="21"/>
          <w:szCs w:val="21"/>
          <w:highlight w:val="none"/>
          <w:u w:val="none"/>
          <w:lang w:eastAsia="zh-CN"/>
        </w:rPr>
        <w:t>投标人按</w:t>
      </w:r>
      <w:r>
        <w:rPr>
          <w:rFonts w:hint="eastAsia" w:ascii="宋体" w:hAnsi="宋体"/>
          <w:bCs w:val="0"/>
          <w:color w:val="auto"/>
          <w:sz w:val="21"/>
          <w:szCs w:val="21"/>
          <w:highlight w:val="none"/>
          <w:u w:val="none"/>
        </w:rPr>
        <w:t>《定标因素表》评审内容</w:t>
      </w:r>
      <w:r>
        <w:rPr>
          <w:rFonts w:hint="eastAsia" w:ascii="宋体" w:hAnsi="宋体"/>
          <w:bCs w:val="0"/>
          <w:color w:val="auto"/>
          <w:sz w:val="21"/>
          <w:szCs w:val="21"/>
          <w:highlight w:val="none"/>
          <w:u w:val="none"/>
          <w:lang w:eastAsia="zh-CN"/>
        </w:rPr>
        <w:t>提供</w:t>
      </w:r>
      <w:r>
        <w:rPr>
          <w:rFonts w:hint="eastAsia" w:ascii="宋体" w:hAnsi="宋体"/>
          <w:bCs w:val="0"/>
          <w:color w:val="auto"/>
          <w:sz w:val="21"/>
          <w:szCs w:val="21"/>
          <w:highlight w:val="none"/>
          <w:u w:val="none"/>
          <w:lang w:val="en-US" w:eastAsia="zh-CN"/>
        </w:rPr>
        <w:t>2000字左右的</w:t>
      </w:r>
      <w:r>
        <w:rPr>
          <w:rFonts w:hint="eastAsia" w:ascii="宋体" w:hAnsi="宋体"/>
          <w:bCs w:val="0"/>
          <w:color w:val="auto"/>
          <w:sz w:val="21"/>
          <w:szCs w:val="21"/>
          <w:highlight w:val="none"/>
          <w:u w:val="none"/>
          <w:lang w:eastAsia="zh-CN"/>
        </w:rPr>
        <w:t>书面陈述，可附上包括但不限于企业业绩、信誉以及项目管理机构能力等相关的证明文件</w:t>
      </w:r>
      <w:r>
        <w:rPr>
          <w:rFonts w:hint="eastAsia" w:ascii="宋体" w:hAnsi="宋体"/>
          <w:color w:val="auto"/>
          <w:sz w:val="21"/>
          <w:szCs w:val="21"/>
          <w:highlight w:val="none"/>
          <w:lang w:eastAsia="zh-CN"/>
        </w:rPr>
        <w:t>及定标因素表中评价项目的相关证明文件。</w:t>
      </w:r>
      <w:r>
        <w:rPr>
          <w:rFonts w:hint="eastAsia"/>
          <w:color w:val="auto"/>
          <w:highlight w:val="none"/>
        </w:rPr>
        <w:br w:type="page"/>
      </w:r>
    </w:p>
    <w:p w14:paraId="5969E9D4">
      <w:pPr>
        <w:rPr>
          <w:rFonts w:ascii="宋体" w:hAnsi="宋体"/>
          <w:b/>
          <w:bCs/>
          <w:color w:val="auto"/>
          <w:szCs w:val="21"/>
          <w:highlight w:val="none"/>
        </w:rPr>
      </w:pPr>
      <w:r>
        <w:rPr>
          <w:rFonts w:hint="eastAsia" w:ascii="宋体" w:hAnsi="宋体"/>
          <w:b/>
          <w:bCs/>
          <w:color w:val="auto"/>
          <w:szCs w:val="21"/>
          <w:highlight w:val="none"/>
        </w:rPr>
        <w:t>附表八</w:t>
      </w:r>
    </w:p>
    <w:p w14:paraId="00C882D4">
      <w:pPr>
        <w:jc w:val="center"/>
        <w:rPr>
          <w:rFonts w:ascii="宋体" w:hAnsi="宋体"/>
          <w:b/>
          <w:color w:val="auto"/>
          <w:sz w:val="36"/>
          <w:szCs w:val="36"/>
          <w:highlight w:val="none"/>
        </w:rPr>
      </w:pPr>
      <w:r>
        <w:rPr>
          <w:rFonts w:hint="eastAsia" w:ascii="宋体" w:hAnsi="宋体"/>
          <w:b/>
          <w:color w:val="auto"/>
          <w:sz w:val="36"/>
          <w:szCs w:val="36"/>
          <w:highlight w:val="none"/>
        </w:rPr>
        <w:t>第一轮投票表决表</w:t>
      </w:r>
    </w:p>
    <w:p w14:paraId="167FBCA9">
      <w:pPr>
        <w:jc w:val="center"/>
        <w:rPr>
          <w:rFonts w:ascii="宋体" w:hAnsi="宋体"/>
          <w:b/>
          <w:color w:val="auto"/>
          <w:sz w:val="30"/>
          <w:szCs w:val="30"/>
          <w:highlight w:val="none"/>
        </w:rPr>
      </w:pPr>
      <w:r>
        <w:rPr>
          <w:rFonts w:hint="eastAsia" w:ascii="宋体" w:hAnsi="宋体"/>
          <w:b/>
          <w:color w:val="auto"/>
          <w:sz w:val="36"/>
          <w:szCs w:val="36"/>
          <w:highlight w:val="none"/>
        </w:rPr>
        <w:t>（定标阶段</w:t>
      </w:r>
      <w:r>
        <w:rPr>
          <w:rFonts w:ascii="宋体" w:hAnsi="宋体"/>
          <w:b/>
          <w:color w:val="auto"/>
          <w:sz w:val="36"/>
          <w:szCs w:val="36"/>
          <w:highlight w:val="none"/>
        </w:rPr>
        <w:t>—</w:t>
      </w:r>
      <w:r>
        <w:rPr>
          <w:rFonts w:hint="eastAsia" w:ascii="宋体" w:hAnsi="宋体"/>
          <w:b/>
          <w:color w:val="auto"/>
          <w:sz w:val="36"/>
          <w:szCs w:val="36"/>
          <w:highlight w:val="none"/>
        </w:rPr>
        <w:t>定标委员个人用表）</w:t>
      </w:r>
    </w:p>
    <w:p w14:paraId="059A017E">
      <w:pPr>
        <w:rPr>
          <w:rFonts w:ascii="宋体" w:hAnsi="宋体"/>
          <w:color w:val="auto"/>
          <w:sz w:val="24"/>
          <w:highlight w:val="none"/>
        </w:rPr>
      </w:pPr>
      <w:r>
        <w:rPr>
          <w:rFonts w:hint="eastAsia" w:ascii="宋体" w:hAnsi="宋体"/>
          <w:color w:val="auto"/>
          <w:sz w:val="24"/>
          <w:highlight w:val="none"/>
        </w:rPr>
        <w:t>工程名称：</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18"/>
        <w:gridCol w:w="6761"/>
      </w:tblGrid>
      <w:tr w14:paraId="0CC2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01" w:type="dxa"/>
            <w:tcBorders>
              <w:top w:val="single" w:color="auto" w:sz="4" w:space="0"/>
              <w:left w:val="single" w:color="auto" w:sz="4" w:space="0"/>
              <w:bottom w:val="single" w:color="auto" w:sz="4" w:space="0"/>
              <w:right w:val="single" w:color="auto" w:sz="4" w:space="0"/>
            </w:tcBorders>
            <w:noWrap/>
            <w:vAlign w:val="center"/>
          </w:tcPr>
          <w:p w14:paraId="5A303663">
            <w:pPr>
              <w:spacing w:line="600" w:lineRule="exact"/>
              <w:jc w:val="center"/>
              <w:rPr>
                <w:rFonts w:ascii="宋体" w:hAnsi="宋体"/>
                <w:color w:val="auto"/>
                <w:sz w:val="24"/>
                <w:highlight w:val="none"/>
              </w:rPr>
            </w:pPr>
            <w:r>
              <w:rPr>
                <w:rFonts w:hint="eastAsia" w:ascii="宋体" w:hAnsi="宋体"/>
                <w:color w:val="auto"/>
                <w:sz w:val="24"/>
                <w:highlight w:val="none"/>
              </w:rPr>
              <w:t>排序</w:t>
            </w:r>
          </w:p>
        </w:tc>
        <w:tc>
          <w:tcPr>
            <w:tcW w:w="1318" w:type="dxa"/>
            <w:tcBorders>
              <w:top w:val="single" w:color="auto" w:sz="4" w:space="0"/>
              <w:left w:val="single" w:color="auto" w:sz="4" w:space="0"/>
              <w:bottom w:val="single" w:color="auto" w:sz="4" w:space="0"/>
              <w:right w:val="single" w:color="auto" w:sz="4" w:space="0"/>
            </w:tcBorders>
            <w:noWrap/>
            <w:vAlign w:val="center"/>
          </w:tcPr>
          <w:p w14:paraId="311583B5">
            <w:pPr>
              <w:spacing w:line="600" w:lineRule="exact"/>
              <w:jc w:val="center"/>
              <w:rPr>
                <w:rFonts w:ascii="宋体" w:hAnsi="宋体"/>
                <w:color w:val="auto"/>
                <w:sz w:val="24"/>
                <w:highlight w:val="none"/>
              </w:rPr>
            </w:pPr>
            <w:r>
              <w:rPr>
                <w:rFonts w:hint="eastAsia" w:ascii="宋体" w:hAnsi="宋体"/>
                <w:color w:val="auto"/>
                <w:sz w:val="24"/>
                <w:highlight w:val="none"/>
              </w:rPr>
              <w:t>得分</w:t>
            </w:r>
          </w:p>
        </w:tc>
        <w:tc>
          <w:tcPr>
            <w:tcW w:w="6761" w:type="dxa"/>
            <w:tcBorders>
              <w:top w:val="single" w:color="auto" w:sz="4" w:space="0"/>
              <w:left w:val="single" w:color="auto" w:sz="4" w:space="0"/>
              <w:bottom w:val="single" w:color="auto" w:sz="4" w:space="0"/>
              <w:right w:val="single" w:color="auto" w:sz="4" w:space="0"/>
            </w:tcBorders>
            <w:noWrap/>
            <w:vAlign w:val="center"/>
          </w:tcPr>
          <w:p w14:paraId="085E38F7">
            <w:pPr>
              <w:spacing w:line="600" w:lineRule="exact"/>
              <w:jc w:val="center"/>
              <w:rPr>
                <w:rFonts w:ascii="宋体" w:hAnsi="宋体"/>
                <w:color w:val="auto"/>
                <w:sz w:val="24"/>
                <w:highlight w:val="none"/>
              </w:rPr>
            </w:pPr>
            <w:r>
              <w:rPr>
                <w:rFonts w:hint="eastAsia" w:ascii="宋体" w:hAnsi="宋体"/>
                <w:color w:val="auto"/>
                <w:sz w:val="24"/>
                <w:highlight w:val="none"/>
              </w:rPr>
              <w:t>投标人</w:t>
            </w:r>
          </w:p>
        </w:tc>
      </w:tr>
      <w:tr w14:paraId="2B38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ign w:val="center"/>
          </w:tcPr>
          <w:p w14:paraId="04453773">
            <w:pPr>
              <w:spacing w:line="600" w:lineRule="exact"/>
              <w:jc w:val="center"/>
              <w:rPr>
                <w:rFonts w:ascii="宋体" w:hAnsi="宋体"/>
                <w:color w:val="auto"/>
                <w:sz w:val="24"/>
                <w:highlight w:val="none"/>
              </w:rPr>
            </w:pPr>
            <w:r>
              <w:rPr>
                <w:rFonts w:ascii="宋体" w:hAnsi="宋体"/>
                <w:color w:val="auto"/>
                <w:sz w:val="24"/>
                <w:highlight w:val="none"/>
              </w:rPr>
              <w:t>1</w:t>
            </w:r>
          </w:p>
        </w:tc>
        <w:tc>
          <w:tcPr>
            <w:tcW w:w="1318" w:type="dxa"/>
            <w:tcBorders>
              <w:top w:val="single" w:color="auto" w:sz="4" w:space="0"/>
              <w:left w:val="single" w:color="auto" w:sz="4" w:space="0"/>
              <w:bottom w:val="single" w:color="auto" w:sz="4" w:space="0"/>
              <w:right w:val="single" w:color="auto" w:sz="4" w:space="0"/>
            </w:tcBorders>
            <w:noWrap/>
            <w:vAlign w:val="center"/>
          </w:tcPr>
          <w:p w14:paraId="24862F90">
            <w:pPr>
              <w:spacing w:line="600" w:lineRule="exact"/>
              <w:jc w:val="center"/>
              <w:rPr>
                <w:rFonts w:ascii="宋体" w:hAnsi="宋体"/>
                <w:color w:val="auto"/>
                <w:sz w:val="24"/>
                <w:highlight w:val="none"/>
              </w:rPr>
            </w:pPr>
            <w:r>
              <w:rPr>
                <w:rFonts w:ascii="宋体" w:hAnsi="宋体"/>
                <w:color w:val="auto"/>
                <w:sz w:val="24"/>
                <w:highlight w:val="none"/>
              </w:rPr>
              <w:t>N</w:t>
            </w:r>
          </w:p>
        </w:tc>
        <w:tc>
          <w:tcPr>
            <w:tcW w:w="6761" w:type="dxa"/>
            <w:tcBorders>
              <w:top w:val="single" w:color="auto" w:sz="4" w:space="0"/>
              <w:left w:val="single" w:color="auto" w:sz="4" w:space="0"/>
              <w:bottom w:val="single" w:color="auto" w:sz="4" w:space="0"/>
              <w:right w:val="single" w:color="auto" w:sz="4" w:space="0"/>
            </w:tcBorders>
            <w:noWrap/>
            <w:vAlign w:val="center"/>
          </w:tcPr>
          <w:p w14:paraId="5C8B9642">
            <w:pPr>
              <w:spacing w:line="600" w:lineRule="exact"/>
              <w:jc w:val="center"/>
              <w:rPr>
                <w:rFonts w:ascii="宋体" w:hAnsi="宋体"/>
                <w:color w:val="auto"/>
                <w:sz w:val="24"/>
                <w:highlight w:val="none"/>
              </w:rPr>
            </w:pPr>
          </w:p>
        </w:tc>
      </w:tr>
      <w:tr w14:paraId="18E1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ign w:val="center"/>
          </w:tcPr>
          <w:p w14:paraId="642ADE66">
            <w:pPr>
              <w:spacing w:line="600" w:lineRule="exact"/>
              <w:jc w:val="center"/>
              <w:rPr>
                <w:rFonts w:ascii="宋体" w:hAnsi="宋体"/>
                <w:color w:val="auto"/>
                <w:sz w:val="24"/>
                <w:highlight w:val="none"/>
              </w:rPr>
            </w:pPr>
            <w:r>
              <w:rPr>
                <w:rFonts w:ascii="宋体" w:hAnsi="宋体"/>
                <w:color w:val="auto"/>
                <w:sz w:val="24"/>
                <w:highlight w:val="none"/>
              </w:rPr>
              <w:t>2</w:t>
            </w:r>
          </w:p>
        </w:tc>
        <w:tc>
          <w:tcPr>
            <w:tcW w:w="1318" w:type="dxa"/>
            <w:tcBorders>
              <w:top w:val="single" w:color="auto" w:sz="4" w:space="0"/>
              <w:left w:val="single" w:color="auto" w:sz="4" w:space="0"/>
              <w:bottom w:val="single" w:color="auto" w:sz="4" w:space="0"/>
              <w:right w:val="single" w:color="auto" w:sz="4" w:space="0"/>
            </w:tcBorders>
            <w:noWrap/>
            <w:vAlign w:val="center"/>
          </w:tcPr>
          <w:p w14:paraId="08AD9DFF">
            <w:pPr>
              <w:spacing w:line="600" w:lineRule="exact"/>
              <w:jc w:val="center"/>
              <w:rPr>
                <w:rFonts w:ascii="宋体" w:hAnsi="宋体"/>
                <w:color w:val="auto"/>
                <w:sz w:val="24"/>
                <w:highlight w:val="none"/>
              </w:rPr>
            </w:pPr>
            <w:r>
              <w:rPr>
                <w:rFonts w:ascii="宋体" w:hAnsi="宋体"/>
                <w:color w:val="auto"/>
                <w:sz w:val="24"/>
                <w:highlight w:val="none"/>
              </w:rPr>
              <w:t>N-1</w:t>
            </w:r>
          </w:p>
        </w:tc>
        <w:tc>
          <w:tcPr>
            <w:tcW w:w="6761" w:type="dxa"/>
            <w:tcBorders>
              <w:top w:val="single" w:color="auto" w:sz="4" w:space="0"/>
              <w:left w:val="single" w:color="auto" w:sz="4" w:space="0"/>
              <w:bottom w:val="single" w:color="auto" w:sz="4" w:space="0"/>
              <w:right w:val="single" w:color="auto" w:sz="4" w:space="0"/>
            </w:tcBorders>
            <w:noWrap/>
            <w:vAlign w:val="center"/>
          </w:tcPr>
          <w:p w14:paraId="124857F2">
            <w:pPr>
              <w:spacing w:line="600" w:lineRule="exact"/>
              <w:jc w:val="center"/>
              <w:rPr>
                <w:rFonts w:ascii="宋体" w:hAnsi="宋体"/>
                <w:color w:val="auto"/>
                <w:sz w:val="24"/>
                <w:highlight w:val="none"/>
              </w:rPr>
            </w:pPr>
          </w:p>
        </w:tc>
      </w:tr>
      <w:tr w14:paraId="03FD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ign w:val="center"/>
          </w:tcPr>
          <w:p w14:paraId="3989514D">
            <w:pPr>
              <w:spacing w:line="600" w:lineRule="exact"/>
              <w:jc w:val="center"/>
              <w:rPr>
                <w:rFonts w:ascii="宋体" w:hAnsi="宋体"/>
                <w:color w:val="auto"/>
                <w:sz w:val="24"/>
                <w:highlight w:val="none"/>
              </w:rPr>
            </w:pPr>
            <w:r>
              <w:rPr>
                <w:rFonts w:ascii="宋体" w:hAnsi="宋体"/>
                <w:color w:val="auto"/>
                <w:sz w:val="24"/>
                <w:highlight w:val="none"/>
              </w:rPr>
              <w:t>3</w:t>
            </w:r>
          </w:p>
        </w:tc>
        <w:tc>
          <w:tcPr>
            <w:tcW w:w="1318" w:type="dxa"/>
            <w:tcBorders>
              <w:top w:val="single" w:color="auto" w:sz="4" w:space="0"/>
              <w:left w:val="single" w:color="auto" w:sz="4" w:space="0"/>
              <w:bottom w:val="single" w:color="auto" w:sz="4" w:space="0"/>
              <w:right w:val="single" w:color="auto" w:sz="4" w:space="0"/>
            </w:tcBorders>
            <w:noWrap/>
            <w:vAlign w:val="center"/>
          </w:tcPr>
          <w:p w14:paraId="25B47C3D">
            <w:pPr>
              <w:spacing w:line="600" w:lineRule="exact"/>
              <w:jc w:val="center"/>
              <w:rPr>
                <w:rFonts w:ascii="宋体" w:hAnsi="宋体"/>
                <w:color w:val="auto"/>
                <w:sz w:val="24"/>
                <w:highlight w:val="none"/>
              </w:rPr>
            </w:pPr>
            <w:r>
              <w:rPr>
                <w:rFonts w:ascii="宋体" w:hAnsi="宋体"/>
                <w:color w:val="auto"/>
                <w:sz w:val="24"/>
                <w:highlight w:val="none"/>
              </w:rPr>
              <w:t>N-2</w:t>
            </w:r>
          </w:p>
        </w:tc>
        <w:tc>
          <w:tcPr>
            <w:tcW w:w="6761" w:type="dxa"/>
            <w:tcBorders>
              <w:top w:val="single" w:color="auto" w:sz="4" w:space="0"/>
              <w:left w:val="single" w:color="auto" w:sz="4" w:space="0"/>
              <w:bottom w:val="single" w:color="auto" w:sz="4" w:space="0"/>
              <w:right w:val="single" w:color="auto" w:sz="4" w:space="0"/>
            </w:tcBorders>
            <w:noWrap/>
            <w:vAlign w:val="center"/>
          </w:tcPr>
          <w:p w14:paraId="708C6D39">
            <w:pPr>
              <w:spacing w:line="600" w:lineRule="exact"/>
              <w:jc w:val="center"/>
              <w:rPr>
                <w:rFonts w:ascii="宋体" w:hAnsi="宋体"/>
                <w:color w:val="auto"/>
                <w:sz w:val="24"/>
                <w:highlight w:val="none"/>
              </w:rPr>
            </w:pPr>
          </w:p>
        </w:tc>
      </w:tr>
      <w:tr w14:paraId="3DED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ign w:val="center"/>
          </w:tcPr>
          <w:p w14:paraId="79CD7BD8">
            <w:pPr>
              <w:spacing w:line="600" w:lineRule="exact"/>
              <w:jc w:val="center"/>
              <w:rPr>
                <w:rFonts w:ascii="宋体" w:hAnsi="宋体"/>
                <w:color w:val="auto"/>
                <w:sz w:val="24"/>
                <w:highlight w:val="none"/>
              </w:rPr>
            </w:pPr>
            <w:r>
              <w:rPr>
                <w:rFonts w:ascii="宋体" w:hAnsi="宋体"/>
                <w:color w:val="auto"/>
                <w:sz w:val="24"/>
                <w:highlight w:val="none"/>
              </w:rPr>
              <w:t>...</w:t>
            </w:r>
          </w:p>
        </w:tc>
        <w:tc>
          <w:tcPr>
            <w:tcW w:w="1318" w:type="dxa"/>
            <w:tcBorders>
              <w:top w:val="single" w:color="auto" w:sz="4" w:space="0"/>
              <w:left w:val="single" w:color="auto" w:sz="4" w:space="0"/>
              <w:bottom w:val="single" w:color="auto" w:sz="4" w:space="0"/>
              <w:right w:val="single" w:color="auto" w:sz="4" w:space="0"/>
            </w:tcBorders>
            <w:noWrap/>
            <w:vAlign w:val="center"/>
          </w:tcPr>
          <w:p w14:paraId="69EE1973">
            <w:pPr>
              <w:spacing w:line="600" w:lineRule="exact"/>
              <w:jc w:val="center"/>
              <w:rPr>
                <w:rFonts w:ascii="宋体" w:hAnsi="宋体"/>
                <w:color w:val="auto"/>
                <w:sz w:val="24"/>
                <w:highlight w:val="none"/>
              </w:rPr>
            </w:pPr>
          </w:p>
        </w:tc>
        <w:tc>
          <w:tcPr>
            <w:tcW w:w="6761" w:type="dxa"/>
            <w:tcBorders>
              <w:top w:val="single" w:color="auto" w:sz="4" w:space="0"/>
              <w:left w:val="single" w:color="auto" w:sz="4" w:space="0"/>
              <w:bottom w:val="single" w:color="auto" w:sz="4" w:space="0"/>
              <w:right w:val="single" w:color="auto" w:sz="4" w:space="0"/>
            </w:tcBorders>
            <w:noWrap/>
            <w:vAlign w:val="center"/>
          </w:tcPr>
          <w:p w14:paraId="56FAC350">
            <w:pPr>
              <w:spacing w:line="600" w:lineRule="exact"/>
              <w:jc w:val="center"/>
              <w:rPr>
                <w:rFonts w:ascii="宋体" w:hAnsi="宋体"/>
                <w:color w:val="auto"/>
                <w:sz w:val="24"/>
                <w:highlight w:val="none"/>
              </w:rPr>
            </w:pPr>
          </w:p>
        </w:tc>
      </w:tr>
      <w:tr w14:paraId="4B1C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ign w:val="center"/>
          </w:tcPr>
          <w:p w14:paraId="7CDE6DFF">
            <w:pPr>
              <w:spacing w:line="600" w:lineRule="exact"/>
              <w:jc w:val="center"/>
              <w:rPr>
                <w:rFonts w:ascii="宋体" w:hAnsi="宋体"/>
                <w:color w:val="auto"/>
                <w:sz w:val="24"/>
                <w:highlight w:val="none"/>
              </w:rPr>
            </w:pPr>
            <w:r>
              <w:rPr>
                <w:rFonts w:ascii="宋体" w:hAnsi="宋体"/>
                <w:color w:val="auto"/>
                <w:sz w:val="24"/>
                <w:highlight w:val="none"/>
              </w:rPr>
              <w:t>...</w:t>
            </w:r>
          </w:p>
        </w:tc>
        <w:tc>
          <w:tcPr>
            <w:tcW w:w="1318" w:type="dxa"/>
            <w:tcBorders>
              <w:top w:val="single" w:color="auto" w:sz="4" w:space="0"/>
              <w:left w:val="single" w:color="auto" w:sz="4" w:space="0"/>
              <w:bottom w:val="single" w:color="auto" w:sz="4" w:space="0"/>
              <w:right w:val="single" w:color="auto" w:sz="4" w:space="0"/>
            </w:tcBorders>
            <w:noWrap/>
            <w:vAlign w:val="center"/>
          </w:tcPr>
          <w:p w14:paraId="51D0AFFD">
            <w:pPr>
              <w:spacing w:line="600" w:lineRule="exact"/>
              <w:jc w:val="center"/>
              <w:rPr>
                <w:rFonts w:ascii="宋体" w:hAnsi="宋体"/>
                <w:color w:val="auto"/>
                <w:sz w:val="24"/>
                <w:highlight w:val="none"/>
              </w:rPr>
            </w:pPr>
          </w:p>
        </w:tc>
        <w:tc>
          <w:tcPr>
            <w:tcW w:w="6761" w:type="dxa"/>
            <w:tcBorders>
              <w:top w:val="single" w:color="auto" w:sz="4" w:space="0"/>
              <w:left w:val="single" w:color="auto" w:sz="4" w:space="0"/>
              <w:bottom w:val="single" w:color="auto" w:sz="4" w:space="0"/>
              <w:right w:val="single" w:color="auto" w:sz="4" w:space="0"/>
            </w:tcBorders>
            <w:noWrap/>
            <w:vAlign w:val="center"/>
          </w:tcPr>
          <w:p w14:paraId="419C575A">
            <w:pPr>
              <w:spacing w:line="600" w:lineRule="exact"/>
              <w:jc w:val="center"/>
              <w:rPr>
                <w:rFonts w:ascii="宋体" w:hAnsi="宋体"/>
                <w:color w:val="auto"/>
                <w:sz w:val="24"/>
                <w:highlight w:val="none"/>
              </w:rPr>
            </w:pPr>
          </w:p>
        </w:tc>
      </w:tr>
      <w:tr w14:paraId="6D33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01" w:type="dxa"/>
            <w:tcBorders>
              <w:top w:val="single" w:color="auto" w:sz="4" w:space="0"/>
              <w:left w:val="single" w:color="auto" w:sz="4" w:space="0"/>
              <w:bottom w:val="single" w:color="auto" w:sz="4" w:space="0"/>
              <w:right w:val="single" w:color="auto" w:sz="4" w:space="0"/>
            </w:tcBorders>
            <w:noWrap/>
            <w:vAlign w:val="center"/>
          </w:tcPr>
          <w:p w14:paraId="181414FD">
            <w:pPr>
              <w:spacing w:line="600" w:lineRule="exact"/>
              <w:jc w:val="center"/>
              <w:rPr>
                <w:rFonts w:ascii="宋体" w:hAnsi="宋体"/>
                <w:color w:val="auto"/>
                <w:sz w:val="24"/>
                <w:highlight w:val="none"/>
              </w:rPr>
            </w:pPr>
            <w:r>
              <w:rPr>
                <w:rFonts w:ascii="宋体" w:hAnsi="宋体"/>
                <w:color w:val="auto"/>
                <w:sz w:val="24"/>
                <w:highlight w:val="none"/>
              </w:rPr>
              <w:t>N</w:t>
            </w:r>
          </w:p>
        </w:tc>
        <w:tc>
          <w:tcPr>
            <w:tcW w:w="1318" w:type="dxa"/>
            <w:tcBorders>
              <w:top w:val="single" w:color="auto" w:sz="4" w:space="0"/>
              <w:left w:val="single" w:color="auto" w:sz="4" w:space="0"/>
              <w:bottom w:val="single" w:color="auto" w:sz="4" w:space="0"/>
              <w:right w:val="single" w:color="auto" w:sz="4" w:space="0"/>
            </w:tcBorders>
            <w:noWrap/>
            <w:vAlign w:val="center"/>
          </w:tcPr>
          <w:p w14:paraId="7578E6D5">
            <w:pPr>
              <w:spacing w:line="600" w:lineRule="exact"/>
              <w:jc w:val="center"/>
              <w:rPr>
                <w:rFonts w:ascii="宋体" w:hAnsi="宋体"/>
                <w:color w:val="auto"/>
                <w:sz w:val="24"/>
                <w:highlight w:val="none"/>
              </w:rPr>
            </w:pPr>
            <w:r>
              <w:rPr>
                <w:rFonts w:ascii="宋体" w:hAnsi="宋体"/>
                <w:color w:val="auto"/>
                <w:sz w:val="24"/>
                <w:highlight w:val="none"/>
              </w:rPr>
              <w:t>1</w:t>
            </w:r>
          </w:p>
        </w:tc>
        <w:tc>
          <w:tcPr>
            <w:tcW w:w="6761" w:type="dxa"/>
            <w:tcBorders>
              <w:top w:val="single" w:color="auto" w:sz="4" w:space="0"/>
              <w:left w:val="single" w:color="auto" w:sz="4" w:space="0"/>
              <w:bottom w:val="single" w:color="auto" w:sz="4" w:space="0"/>
              <w:right w:val="single" w:color="auto" w:sz="4" w:space="0"/>
            </w:tcBorders>
            <w:noWrap/>
            <w:vAlign w:val="center"/>
          </w:tcPr>
          <w:p w14:paraId="3A4B4BEA">
            <w:pPr>
              <w:spacing w:line="600" w:lineRule="exact"/>
              <w:jc w:val="center"/>
              <w:rPr>
                <w:rFonts w:ascii="宋体" w:hAnsi="宋体"/>
                <w:color w:val="auto"/>
                <w:sz w:val="24"/>
                <w:highlight w:val="none"/>
              </w:rPr>
            </w:pPr>
          </w:p>
        </w:tc>
      </w:tr>
    </w:tbl>
    <w:p w14:paraId="53D7629A">
      <w:pPr>
        <w:spacing w:line="600" w:lineRule="exact"/>
        <w:ind w:right="-9"/>
        <w:jc w:val="center"/>
        <w:rPr>
          <w:rFonts w:ascii="宋体" w:hAnsi="宋体"/>
          <w:color w:val="auto"/>
          <w:sz w:val="24"/>
          <w:highlight w:val="none"/>
        </w:rPr>
      </w:pPr>
    </w:p>
    <w:p w14:paraId="5D7F1222">
      <w:pPr>
        <w:spacing w:line="360" w:lineRule="auto"/>
        <w:ind w:right="420"/>
        <w:rPr>
          <w:rFonts w:ascii="宋体" w:hAnsi="宋体"/>
          <w:color w:val="auto"/>
          <w:sz w:val="24"/>
          <w:highlight w:val="none"/>
        </w:rPr>
      </w:pPr>
      <w:r>
        <w:rPr>
          <w:rFonts w:hint="eastAsia" w:ascii="宋体" w:hAnsi="宋体"/>
          <w:color w:val="auto"/>
          <w:sz w:val="24"/>
          <w:highlight w:val="none"/>
        </w:rPr>
        <w:t>备注：</w:t>
      </w:r>
    </w:p>
    <w:p w14:paraId="1211790B">
      <w:pPr>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）本表格用于第一轮投票计分，每行限填一个投标人，定标委员会成员应当独立投票表决；</w:t>
      </w:r>
    </w:p>
    <w:p w14:paraId="5FEA91E0">
      <w:pPr>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）定标委员会各成员对所有进入定标程序的</w:t>
      </w:r>
      <w:r>
        <w:rPr>
          <w:rFonts w:ascii="宋体" w:hAnsi="宋体"/>
          <w:color w:val="auto"/>
          <w:sz w:val="24"/>
          <w:highlight w:val="none"/>
        </w:rPr>
        <w:t>N</w:t>
      </w:r>
      <w:r>
        <w:rPr>
          <w:rFonts w:hint="eastAsia" w:ascii="宋体" w:hAnsi="宋体"/>
          <w:color w:val="auto"/>
          <w:sz w:val="24"/>
          <w:highlight w:val="none"/>
        </w:rPr>
        <w:t>名入围候选人进行择优排序，排序第一名得</w:t>
      </w:r>
      <w:r>
        <w:rPr>
          <w:rFonts w:ascii="宋体" w:hAnsi="宋体"/>
          <w:color w:val="auto"/>
          <w:sz w:val="24"/>
          <w:highlight w:val="none"/>
        </w:rPr>
        <w:t>N</w:t>
      </w:r>
      <w:r>
        <w:rPr>
          <w:rFonts w:hint="eastAsia" w:ascii="宋体" w:hAnsi="宋体"/>
          <w:color w:val="auto"/>
          <w:sz w:val="24"/>
          <w:highlight w:val="none"/>
        </w:rPr>
        <w:t>分，排序第二名得</w:t>
      </w:r>
      <w:r>
        <w:rPr>
          <w:rFonts w:ascii="宋体" w:hAnsi="宋体"/>
          <w:color w:val="auto"/>
          <w:sz w:val="24"/>
          <w:highlight w:val="none"/>
        </w:rPr>
        <w:t>N-1</w:t>
      </w:r>
      <w:r>
        <w:rPr>
          <w:rFonts w:hint="eastAsia" w:ascii="宋体" w:hAnsi="宋体"/>
          <w:color w:val="auto"/>
          <w:sz w:val="24"/>
          <w:highlight w:val="none"/>
        </w:rPr>
        <w:t>分，依此类推，排名第</w:t>
      </w:r>
      <w:r>
        <w:rPr>
          <w:rFonts w:ascii="宋体" w:hAnsi="宋体"/>
          <w:color w:val="auto"/>
          <w:sz w:val="24"/>
          <w:highlight w:val="none"/>
        </w:rPr>
        <w:t>N</w:t>
      </w:r>
      <w:r>
        <w:rPr>
          <w:rFonts w:hint="eastAsia" w:ascii="宋体" w:hAnsi="宋体"/>
          <w:color w:val="auto"/>
          <w:sz w:val="24"/>
          <w:highlight w:val="none"/>
        </w:rPr>
        <w:t>名得</w:t>
      </w:r>
      <w:r>
        <w:rPr>
          <w:rFonts w:ascii="宋体" w:hAnsi="宋体"/>
          <w:color w:val="auto"/>
          <w:sz w:val="24"/>
          <w:highlight w:val="none"/>
        </w:rPr>
        <w:t>1</w:t>
      </w:r>
      <w:r>
        <w:rPr>
          <w:rFonts w:hint="eastAsia" w:ascii="宋体" w:hAnsi="宋体"/>
          <w:color w:val="auto"/>
          <w:sz w:val="24"/>
          <w:highlight w:val="none"/>
        </w:rPr>
        <w:t>分；</w:t>
      </w:r>
    </w:p>
    <w:p w14:paraId="4C79D2EB">
      <w:pPr>
        <w:spacing w:line="360" w:lineRule="auto"/>
        <w:rPr>
          <w:rFonts w:ascii="宋体" w:hAnsi="宋体"/>
          <w:color w:val="auto"/>
          <w:sz w:val="24"/>
          <w:highlight w:val="none"/>
        </w:rPr>
      </w:pPr>
    </w:p>
    <w:p w14:paraId="0273B764">
      <w:pPr>
        <w:spacing w:line="360" w:lineRule="auto"/>
        <w:rPr>
          <w:rFonts w:ascii="宋体" w:hAnsi="宋体"/>
          <w:color w:val="auto"/>
          <w:sz w:val="24"/>
          <w:highlight w:val="none"/>
        </w:rPr>
      </w:pPr>
    </w:p>
    <w:p w14:paraId="0CF619A3">
      <w:pPr>
        <w:spacing w:line="360" w:lineRule="auto"/>
        <w:rPr>
          <w:rFonts w:ascii="宋体" w:hAnsi="宋体"/>
          <w:color w:val="auto"/>
          <w:sz w:val="24"/>
          <w:highlight w:val="none"/>
        </w:rPr>
      </w:pPr>
    </w:p>
    <w:p w14:paraId="04416B08">
      <w:pPr>
        <w:spacing w:line="360" w:lineRule="auto"/>
        <w:jc w:val="right"/>
        <w:rPr>
          <w:rFonts w:ascii="宋体" w:hAnsi="宋体"/>
          <w:color w:val="auto"/>
          <w:sz w:val="24"/>
          <w:highlight w:val="none"/>
        </w:rPr>
      </w:pPr>
      <w:r>
        <w:rPr>
          <w:rFonts w:hint="eastAsia" w:ascii="宋体" w:hAnsi="宋体"/>
          <w:color w:val="auto"/>
          <w:sz w:val="24"/>
          <w:highlight w:val="none"/>
        </w:rPr>
        <w:t>日期： 年 月 日</w:t>
      </w:r>
    </w:p>
    <w:p w14:paraId="234F4EC1">
      <w:pPr>
        <w:rPr>
          <w:rFonts w:ascii="宋体" w:hAnsi="宋体"/>
          <w:b/>
          <w:color w:val="auto"/>
          <w:szCs w:val="21"/>
          <w:highlight w:val="none"/>
        </w:rPr>
      </w:pPr>
      <w:r>
        <w:rPr>
          <w:rFonts w:ascii="宋体" w:hAnsi="宋体"/>
          <w:color w:val="auto"/>
          <w:sz w:val="32"/>
          <w:szCs w:val="32"/>
          <w:highlight w:val="none"/>
        </w:rPr>
        <w:br w:type="page"/>
      </w:r>
      <w:r>
        <w:rPr>
          <w:rFonts w:hint="eastAsia" w:ascii="宋体" w:hAnsi="宋体"/>
          <w:color w:val="auto"/>
          <w:szCs w:val="21"/>
          <w:highlight w:val="none"/>
        </w:rPr>
        <w:t>附表九</w:t>
      </w:r>
    </w:p>
    <w:p w14:paraId="3E30F768">
      <w:pPr>
        <w:jc w:val="right"/>
        <w:rPr>
          <w:rFonts w:ascii="宋体" w:hAnsi="宋体"/>
          <w:b/>
          <w:color w:val="auto"/>
          <w:sz w:val="30"/>
          <w:szCs w:val="30"/>
          <w:highlight w:val="none"/>
        </w:rPr>
      </w:pPr>
      <w:r>
        <w:rPr>
          <w:rFonts w:hint="eastAsia" w:ascii="宋体" w:hAnsi="宋体"/>
          <w:b/>
          <w:color w:val="auto"/>
          <w:sz w:val="36"/>
          <w:szCs w:val="36"/>
          <w:highlight w:val="none"/>
        </w:rPr>
        <w:t>第一轮投票表得分统计表（定标阶段用表）</w:t>
      </w:r>
    </w:p>
    <w:p w14:paraId="00007335">
      <w:pPr>
        <w:rPr>
          <w:rFonts w:ascii="宋体" w:hAnsi="宋体"/>
          <w:color w:val="auto"/>
          <w:sz w:val="24"/>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521"/>
        <w:gridCol w:w="828"/>
        <w:gridCol w:w="828"/>
        <w:gridCol w:w="828"/>
        <w:gridCol w:w="828"/>
        <w:gridCol w:w="829"/>
        <w:gridCol w:w="992"/>
        <w:gridCol w:w="850"/>
      </w:tblGrid>
      <w:tr w14:paraId="6688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34D46EF4">
            <w:pPr>
              <w:jc w:val="center"/>
              <w:rPr>
                <w:rFonts w:ascii="宋体" w:hAnsi="宋体"/>
                <w:color w:val="auto"/>
                <w:sz w:val="24"/>
                <w:highlight w:val="none"/>
              </w:rPr>
            </w:pPr>
            <w:r>
              <w:rPr>
                <w:rFonts w:hint="eastAsia" w:ascii="宋体" w:hAnsi="宋体"/>
                <w:color w:val="auto"/>
                <w:sz w:val="24"/>
                <w:highlight w:val="none"/>
              </w:rPr>
              <w:t>序号</w:t>
            </w:r>
          </w:p>
        </w:tc>
        <w:tc>
          <w:tcPr>
            <w:tcW w:w="2521" w:type="dxa"/>
            <w:tcBorders>
              <w:top w:val="single" w:color="auto" w:sz="4" w:space="0"/>
              <w:left w:val="single" w:color="auto" w:sz="4" w:space="0"/>
              <w:bottom w:val="single" w:color="auto" w:sz="4" w:space="0"/>
              <w:right w:val="single" w:color="auto" w:sz="4" w:space="0"/>
            </w:tcBorders>
            <w:noWrap/>
            <w:vAlign w:val="center"/>
          </w:tcPr>
          <w:p w14:paraId="54D26345">
            <w:pPr>
              <w:jc w:val="center"/>
              <w:rPr>
                <w:rFonts w:ascii="宋体" w:hAnsi="宋体"/>
                <w:color w:val="auto"/>
                <w:sz w:val="24"/>
                <w:highlight w:val="none"/>
              </w:rPr>
            </w:pPr>
            <w:r>
              <w:rPr>
                <w:rFonts w:hint="eastAsia" w:ascii="宋体" w:hAnsi="宋体"/>
                <w:color w:val="auto"/>
                <w:sz w:val="24"/>
                <w:highlight w:val="none"/>
              </w:rPr>
              <w:t>投标人</w:t>
            </w:r>
          </w:p>
        </w:tc>
        <w:tc>
          <w:tcPr>
            <w:tcW w:w="828" w:type="dxa"/>
            <w:tcBorders>
              <w:top w:val="single" w:color="auto" w:sz="4" w:space="0"/>
              <w:left w:val="single" w:color="auto" w:sz="4" w:space="0"/>
              <w:bottom w:val="single" w:color="auto" w:sz="4" w:space="0"/>
              <w:right w:val="single" w:color="auto" w:sz="4" w:space="0"/>
            </w:tcBorders>
            <w:noWrap/>
            <w:vAlign w:val="center"/>
          </w:tcPr>
          <w:p w14:paraId="4E6851A9">
            <w:pPr>
              <w:jc w:val="center"/>
              <w:rPr>
                <w:rFonts w:ascii="宋体" w:hAnsi="宋体"/>
                <w:color w:val="auto"/>
                <w:szCs w:val="21"/>
                <w:highlight w:val="none"/>
              </w:rPr>
            </w:pPr>
            <w:r>
              <w:rPr>
                <w:rFonts w:hint="eastAsia" w:ascii="宋体" w:hAnsi="宋体"/>
                <w:color w:val="auto"/>
                <w:szCs w:val="21"/>
                <w:highlight w:val="none"/>
              </w:rPr>
              <w:t>评分人</w:t>
            </w:r>
            <w:r>
              <w:rPr>
                <w:rFonts w:ascii="宋体" w:hAnsi="宋体"/>
                <w:color w:val="auto"/>
                <w:szCs w:val="21"/>
                <w:highlight w:val="none"/>
              </w:rPr>
              <w:t>1</w:t>
            </w:r>
          </w:p>
        </w:tc>
        <w:tc>
          <w:tcPr>
            <w:tcW w:w="828" w:type="dxa"/>
            <w:tcBorders>
              <w:top w:val="single" w:color="auto" w:sz="4" w:space="0"/>
              <w:left w:val="single" w:color="auto" w:sz="4" w:space="0"/>
              <w:bottom w:val="single" w:color="auto" w:sz="4" w:space="0"/>
              <w:right w:val="single" w:color="auto" w:sz="4" w:space="0"/>
            </w:tcBorders>
            <w:noWrap/>
          </w:tcPr>
          <w:p w14:paraId="5E6E3606">
            <w:pPr>
              <w:jc w:val="center"/>
              <w:rPr>
                <w:rFonts w:ascii="宋体" w:hAnsi="宋体"/>
                <w:color w:val="auto"/>
                <w:highlight w:val="none"/>
              </w:rPr>
            </w:pPr>
            <w:r>
              <w:rPr>
                <w:rFonts w:hint="eastAsia" w:ascii="宋体" w:hAnsi="宋体"/>
                <w:color w:val="auto"/>
                <w:szCs w:val="21"/>
                <w:highlight w:val="none"/>
              </w:rPr>
              <w:t>评分人</w:t>
            </w:r>
            <w:r>
              <w:rPr>
                <w:rFonts w:ascii="宋体" w:hAnsi="宋体"/>
                <w:color w:val="auto"/>
                <w:szCs w:val="21"/>
                <w:highlight w:val="none"/>
              </w:rPr>
              <w:t>2</w:t>
            </w:r>
          </w:p>
        </w:tc>
        <w:tc>
          <w:tcPr>
            <w:tcW w:w="828" w:type="dxa"/>
            <w:tcBorders>
              <w:top w:val="single" w:color="auto" w:sz="4" w:space="0"/>
              <w:left w:val="single" w:color="auto" w:sz="4" w:space="0"/>
              <w:bottom w:val="single" w:color="auto" w:sz="4" w:space="0"/>
              <w:right w:val="single" w:color="auto" w:sz="4" w:space="0"/>
            </w:tcBorders>
            <w:noWrap/>
          </w:tcPr>
          <w:p w14:paraId="6DAF4173">
            <w:pPr>
              <w:jc w:val="center"/>
              <w:rPr>
                <w:rFonts w:ascii="宋体" w:hAnsi="宋体"/>
                <w:color w:val="auto"/>
                <w:highlight w:val="none"/>
              </w:rPr>
            </w:pPr>
            <w:r>
              <w:rPr>
                <w:rFonts w:hint="eastAsia" w:ascii="宋体" w:hAnsi="宋体"/>
                <w:color w:val="auto"/>
                <w:szCs w:val="21"/>
                <w:highlight w:val="none"/>
              </w:rPr>
              <w:t>评分人</w:t>
            </w:r>
            <w:r>
              <w:rPr>
                <w:rFonts w:ascii="宋体" w:hAnsi="宋体"/>
                <w:color w:val="auto"/>
                <w:szCs w:val="21"/>
                <w:highlight w:val="none"/>
              </w:rPr>
              <w:t>3</w:t>
            </w:r>
          </w:p>
        </w:tc>
        <w:tc>
          <w:tcPr>
            <w:tcW w:w="828" w:type="dxa"/>
            <w:tcBorders>
              <w:top w:val="single" w:color="auto" w:sz="4" w:space="0"/>
              <w:left w:val="single" w:color="auto" w:sz="4" w:space="0"/>
              <w:bottom w:val="single" w:color="auto" w:sz="4" w:space="0"/>
              <w:right w:val="single" w:color="auto" w:sz="4" w:space="0"/>
            </w:tcBorders>
            <w:noWrap/>
            <w:vAlign w:val="center"/>
          </w:tcPr>
          <w:p w14:paraId="0853A783">
            <w:pPr>
              <w:jc w:val="center"/>
              <w:rPr>
                <w:rFonts w:ascii="宋体" w:hAnsi="宋体"/>
                <w:color w:val="auto"/>
                <w:highlight w:val="none"/>
              </w:rPr>
            </w:pPr>
            <w:r>
              <w:rPr>
                <w:rFonts w:hint="eastAsia" w:ascii="宋体" w:hAnsi="宋体"/>
                <w:color w:val="auto"/>
                <w:szCs w:val="21"/>
                <w:highlight w:val="none"/>
              </w:rPr>
              <w:t>...</w:t>
            </w:r>
          </w:p>
        </w:tc>
        <w:tc>
          <w:tcPr>
            <w:tcW w:w="829" w:type="dxa"/>
            <w:tcBorders>
              <w:top w:val="single" w:color="auto" w:sz="4" w:space="0"/>
              <w:left w:val="single" w:color="auto" w:sz="4" w:space="0"/>
              <w:bottom w:val="single" w:color="auto" w:sz="4" w:space="0"/>
              <w:right w:val="single" w:color="auto" w:sz="4" w:space="0"/>
            </w:tcBorders>
            <w:noWrap/>
            <w:vAlign w:val="center"/>
          </w:tcPr>
          <w:p w14:paraId="5DC3771E">
            <w:pPr>
              <w:jc w:val="center"/>
              <w:rPr>
                <w:rFonts w:ascii="宋体" w:hAnsi="宋体"/>
                <w:color w:val="auto"/>
                <w:highlight w:val="none"/>
              </w:rPr>
            </w:pPr>
            <w:r>
              <w:rPr>
                <w:rFonts w:hint="eastAsia" w:ascii="宋体" w:hAnsi="宋体"/>
                <w:color w:val="auto"/>
                <w:szCs w:val="21"/>
                <w:highlight w:val="none"/>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3B6B418D">
            <w:pPr>
              <w:jc w:val="center"/>
              <w:rPr>
                <w:rFonts w:ascii="宋体" w:hAnsi="宋体"/>
                <w:color w:val="auto"/>
                <w:szCs w:val="21"/>
                <w:highlight w:val="none"/>
              </w:rPr>
            </w:pPr>
            <w:r>
              <w:rPr>
                <w:rFonts w:hint="eastAsia" w:ascii="宋体" w:hAnsi="宋体"/>
                <w:color w:val="auto"/>
                <w:szCs w:val="21"/>
                <w:highlight w:val="none"/>
              </w:rPr>
              <w:t>合计</w:t>
            </w:r>
          </w:p>
          <w:p w14:paraId="7427D874">
            <w:pPr>
              <w:jc w:val="center"/>
              <w:rPr>
                <w:rFonts w:ascii="宋体" w:hAnsi="宋体"/>
                <w:color w:val="auto"/>
                <w:szCs w:val="21"/>
                <w:highlight w:val="none"/>
              </w:rPr>
            </w:pPr>
            <w:r>
              <w:rPr>
                <w:rFonts w:hint="eastAsia" w:ascii="宋体" w:hAnsi="宋体"/>
                <w:color w:val="auto"/>
                <w:szCs w:val="21"/>
                <w:highlight w:val="none"/>
              </w:rPr>
              <w:t>总分</w:t>
            </w:r>
          </w:p>
        </w:tc>
        <w:tc>
          <w:tcPr>
            <w:tcW w:w="850" w:type="dxa"/>
            <w:tcBorders>
              <w:top w:val="single" w:color="auto" w:sz="4" w:space="0"/>
              <w:left w:val="single" w:color="auto" w:sz="4" w:space="0"/>
              <w:bottom w:val="single" w:color="auto" w:sz="4" w:space="0"/>
              <w:right w:val="single" w:color="auto" w:sz="4" w:space="0"/>
            </w:tcBorders>
            <w:noWrap/>
            <w:vAlign w:val="center"/>
          </w:tcPr>
          <w:p w14:paraId="1AD8EB11">
            <w:pPr>
              <w:jc w:val="center"/>
              <w:rPr>
                <w:rFonts w:ascii="宋体" w:hAnsi="宋体"/>
                <w:color w:val="auto"/>
                <w:szCs w:val="21"/>
                <w:highlight w:val="none"/>
              </w:rPr>
            </w:pPr>
            <w:r>
              <w:rPr>
                <w:rFonts w:hint="eastAsia" w:ascii="宋体" w:hAnsi="宋体"/>
                <w:color w:val="auto"/>
                <w:szCs w:val="21"/>
                <w:highlight w:val="none"/>
              </w:rPr>
              <w:t>排序</w:t>
            </w:r>
          </w:p>
        </w:tc>
      </w:tr>
      <w:tr w14:paraId="719A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7E83D9AD">
            <w:pPr>
              <w:jc w:val="center"/>
              <w:rPr>
                <w:rFonts w:ascii="宋体" w:hAnsi="宋体"/>
                <w:color w:val="auto"/>
                <w:sz w:val="24"/>
                <w:highlight w:val="none"/>
              </w:rPr>
            </w:pPr>
            <w:r>
              <w:rPr>
                <w:rFonts w:ascii="宋体" w:hAnsi="宋体"/>
                <w:color w:val="auto"/>
                <w:sz w:val="24"/>
                <w:highlight w:val="none"/>
              </w:rPr>
              <w:t>1</w:t>
            </w:r>
          </w:p>
        </w:tc>
        <w:tc>
          <w:tcPr>
            <w:tcW w:w="2521" w:type="dxa"/>
            <w:tcBorders>
              <w:top w:val="single" w:color="auto" w:sz="4" w:space="0"/>
              <w:left w:val="single" w:color="auto" w:sz="4" w:space="0"/>
              <w:bottom w:val="single" w:color="auto" w:sz="4" w:space="0"/>
              <w:right w:val="single" w:color="auto" w:sz="4" w:space="0"/>
            </w:tcBorders>
            <w:noWrap/>
            <w:vAlign w:val="center"/>
          </w:tcPr>
          <w:p w14:paraId="5551FC04">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0FC0A2F6">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3DB11594">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27835742">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5FA7C132">
            <w:pPr>
              <w:jc w:val="center"/>
              <w:rPr>
                <w:rFonts w:ascii="宋体" w:hAnsi="宋体"/>
                <w:color w:val="auto"/>
                <w:sz w:val="24"/>
                <w:highlight w:val="none"/>
              </w:rPr>
            </w:pPr>
          </w:p>
        </w:tc>
        <w:tc>
          <w:tcPr>
            <w:tcW w:w="829" w:type="dxa"/>
            <w:tcBorders>
              <w:top w:val="single" w:color="auto" w:sz="4" w:space="0"/>
              <w:left w:val="single" w:color="auto" w:sz="4" w:space="0"/>
              <w:bottom w:val="single" w:color="auto" w:sz="4" w:space="0"/>
              <w:right w:val="single" w:color="auto" w:sz="4" w:space="0"/>
            </w:tcBorders>
            <w:noWrap/>
            <w:vAlign w:val="center"/>
          </w:tcPr>
          <w:p w14:paraId="0CBFA60E">
            <w:pPr>
              <w:jc w:val="cente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tcPr>
          <w:p w14:paraId="2DFB8308">
            <w:pPr>
              <w:jc w:val="center"/>
              <w:rPr>
                <w:rFonts w:ascii="宋体" w:hAnsi="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tcPr>
          <w:p w14:paraId="471CE18F">
            <w:pPr>
              <w:jc w:val="center"/>
              <w:rPr>
                <w:rFonts w:ascii="宋体" w:hAnsi="宋体"/>
                <w:color w:val="auto"/>
                <w:sz w:val="24"/>
                <w:highlight w:val="none"/>
              </w:rPr>
            </w:pPr>
          </w:p>
        </w:tc>
      </w:tr>
      <w:tr w14:paraId="1A75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56DC8A79">
            <w:pPr>
              <w:jc w:val="center"/>
              <w:rPr>
                <w:rFonts w:ascii="宋体" w:hAnsi="宋体"/>
                <w:color w:val="auto"/>
                <w:sz w:val="24"/>
                <w:highlight w:val="none"/>
              </w:rPr>
            </w:pPr>
            <w:r>
              <w:rPr>
                <w:rFonts w:ascii="宋体" w:hAnsi="宋体"/>
                <w:color w:val="auto"/>
                <w:sz w:val="24"/>
                <w:highlight w:val="none"/>
              </w:rPr>
              <w:t>2</w:t>
            </w:r>
          </w:p>
        </w:tc>
        <w:tc>
          <w:tcPr>
            <w:tcW w:w="2521" w:type="dxa"/>
            <w:tcBorders>
              <w:top w:val="single" w:color="auto" w:sz="4" w:space="0"/>
              <w:left w:val="single" w:color="auto" w:sz="4" w:space="0"/>
              <w:bottom w:val="single" w:color="auto" w:sz="4" w:space="0"/>
              <w:right w:val="single" w:color="auto" w:sz="4" w:space="0"/>
            </w:tcBorders>
            <w:noWrap/>
            <w:vAlign w:val="center"/>
          </w:tcPr>
          <w:p w14:paraId="4DD8EABD">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04146681">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51F2001A">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7CA6B8CE">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31492399">
            <w:pPr>
              <w:jc w:val="center"/>
              <w:rPr>
                <w:rFonts w:ascii="宋体" w:hAnsi="宋体"/>
                <w:color w:val="auto"/>
                <w:sz w:val="24"/>
                <w:highlight w:val="none"/>
              </w:rPr>
            </w:pPr>
          </w:p>
        </w:tc>
        <w:tc>
          <w:tcPr>
            <w:tcW w:w="829" w:type="dxa"/>
            <w:tcBorders>
              <w:top w:val="single" w:color="auto" w:sz="4" w:space="0"/>
              <w:left w:val="single" w:color="auto" w:sz="4" w:space="0"/>
              <w:bottom w:val="single" w:color="auto" w:sz="4" w:space="0"/>
              <w:right w:val="single" w:color="auto" w:sz="4" w:space="0"/>
            </w:tcBorders>
            <w:noWrap/>
            <w:vAlign w:val="center"/>
          </w:tcPr>
          <w:p w14:paraId="2C738A5A">
            <w:pPr>
              <w:jc w:val="cente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tcPr>
          <w:p w14:paraId="6851A057">
            <w:pPr>
              <w:jc w:val="center"/>
              <w:rPr>
                <w:rFonts w:ascii="宋体" w:hAnsi="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tcPr>
          <w:p w14:paraId="39195E38">
            <w:pPr>
              <w:jc w:val="center"/>
              <w:rPr>
                <w:rFonts w:ascii="宋体" w:hAnsi="宋体"/>
                <w:color w:val="auto"/>
                <w:sz w:val="24"/>
                <w:highlight w:val="none"/>
              </w:rPr>
            </w:pPr>
          </w:p>
        </w:tc>
      </w:tr>
      <w:tr w14:paraId="62E1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45805B8D">
            <w:pPr>
              <w:jc w:val="center"/>
              <w:rPr>
                <w:rFonts w:ascii="宋体" w:hAnsi="宋体"/>
                <w:color w:val="auto"/>
                <w:sz w:val="24"/>
                <w:highlight w:val="none"/>
              </w:rPr>
            </w:pPr>
            <w:r>
              <w:rPr>
                <w:rFonts w:ascii="宋体" w:hAnsi="宋体"/>
                <w:color w:val="auto"/>
                <w:sz w:val="24"/>
                <w:highlight w:val="none"/>
              </w:rPr>
              <w:t>3</w:t>
            </w:r>
          </w:p>
        </w:tc>
        <w:tc>
          <w:tcPr>
            <w:tcW w:w="2521" w:type="dxa"/>
            <w:tcBorders>
              <w:top w:val="single" w:color="auto" w:sz="4" w:space="0"/>
              <w:left w:val="single" w:color="auto" w:sz="4" w:space="0"/>
              <w:bottom w:val="single" w:color="auto" w:sz="4" w:space="0"/>
              <w:right w:val="single" w:color="auto" w:sz="4" w:space="0"/>
            </w:tcBorders>
            <w:noWrap/>
            <w:vAlign w:val="center"/>
          </w:tcPr>
          <w:p w14:paraId="0A7036CF">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0BC5B070">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0E863439">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120068A7">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5DC63056">
            <w:pPr>
              <w:jc w:val="center"/>
              <w:rPr>
                <w:rFonts w:ascii="宋体" w:hAnsi="宋体"/>
                <w:color w:val="auto"/>
                <w:sz w:val="24"/>
                <w:highlight w:val="none"/>
              </w:rPr>
            </w:pPr>
          </w:p>
        </w:tc>
        <w:tc>
          <w:tcPr>
            <w:tcW w:w="829" w:type="dxa"/>
            <w:tcBorders>
              <w:top w:val="single" w:color="auto" w:sz="4" w:space="0"/>
              <w:left w:val="single" w:color="auto" w:sz="4" w:space="0"/>
              <w:bottom w:val="single" w:color="auto" w:sz="4" w:space="0"/>
              <w:right w:val="single" w:color="auto" w:sz="4" w:space="0"/>
            </w:tcBorders>
            <w:noWrap/>
            <w:vAlign w:val="center"/>
          </w:tcPr>
          <w:p w14:paraId="3640C8F1">
            <w:pPr>
              <w:jc w:val="cente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tcPr>
          <w:p w14:paraId="5F7AB96D">
            <w:pPr>
              <w:jc w:val="center"/>
              <w:rPr>
                <w:rFonts w:ascii="宋体" w:hAnsi="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tcPr>
          <w:p w14:paraId="72B32727">
            <w:pPr>
              <w:jc w:val="center"/>
              <w:rPr>
                <w:rFonts w:ascii="宋体" w:hAnsi="宋体"/>
                <w:color w:val="auto"/>
                <w:sz w:val="24"/>
                <w:highlight w:val="none"/>
              </w:rPr>
            </w:pPr>
          </w:p>
        </w:tc>
      </w:tr>
      <w:tr w14:paraId="3164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56D5257D">
            <w:pPr>
              <w:jc w:val="center"/>
              <w:rPr>
                <w:rFonts w:ascii="宋体" w:hAnsi="宋体"/>
                <w:color w:val="auto"/>
                <w:sz w:val="24"/>
                <w:highlight w:val="none"/>
              </w:rPr>
            </w:pPr>
            <w:r>
              <w:rPr>
                <w:rFonts w:ascii="宋体" w:hAnsi="宋体"/>
                <w:color w:val="auto"/>
                <w:sz w:val="24"/>
                <w:highlight w:val="none"/>
              </w:rPr>
              <w:t>4</w:t>
            </w:r>
          </w:p>
        </w:tc>
        <w:tc>
          <w:tcPr>
            <w:tcW w:w="2521" w:type="dxa"/>
            <w:tcBorders>
              <w:top w:val="single" w:color="auto" w:sz="4" w:space="0"/>
              <w:left w:val="single" w:color="auto" w:sz="4" w:space="0"/>
              <w:bottom w:val="single" w:color="auto" w:sz="4" w:space="0"/>
              <w:right w:val="single" w:color="auto" w:sz="4" w:space="0"/>
            </w:tcBorders>
            <w:noWrap/>
            <w:vAlign w:val="center"/>
          </w:tcPr>
          <w:p w14:paraId="7E91495C">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1A8DB455">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1C9E69E3">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46AB62BB">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5F3EB356">
            <w:pPr>
              <w:jc w:val="center"/>
              <w:rPr>
                <w:rFonts w:ascii="宋体" w:hAnsi="宋体"/>
                <w:color w:val="auto"/>
                <w:sz w:val="24"/>
                <w:highlight w:val="none"/>
              </w:rPr>
            </w:pPr>
          </w:p>
        </w:tc>
        <w:tc>
          <w:tcPr>
            <w:tcW w:w="829" w:type="dxa"/>
            <w:tcBorders>
              <w:top w:val="single" w:color="auto" w:sz="4" w:space="0"/>
              <w:left w:val="single" w:color="auto" w:sz="4" w:space="0"/>
              <w:bottom w:val="single" w:color="auto" w:sz="4" w:space="0"/>
              <w:right w:val="single" w:color="auto" w:sz="4" w:space="0"/>
            </w:tcBorders>
            <w:noWrap/>
            <w:vAlign w:val="center"/>
          </w:tcPr>
          <w:p w14:paraId="1E609553">
            <w:pPr>
              <w:jc w:val="cente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tcPr>
          <w:p w14:paraId="6F9020C2">
            <w:pPr>
              <w:jc w:val="center"/>
              <w:rPr>
                <w:rFonts w:ascii="宋体" w:hAnsi="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tcPr>
          <w:p w14:paraId="431F08DD">
            <w:pPr>
              <w:jc w:val="center"/>
              <w:rPr>
                <w:rFonts w:ascii="宋体" w:hAnsi="宋体"/>
                <w:color w:val="auto"/>
                <w:sz w:val="24"/>
                <w:highlight w:val="none"/>
              </w:rPr>
            </w:pPr>
          </w:p>
        </w:tc>
      </w:tr>
      <w:tr w14:paraId="2355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25E9C6A7">
            <w:pPr>
              <w:jc w:val="center"/>
              <w:rPr>
                <w:rFonts w:ascii="宋体" w:hAnsi="宋体"/>
                <w:color w:val="auto"/>
                <w:sz w:val="24"/>
                <w:highlight w:val="none"/>
              </w:rPr>
            </w:pPr>
            <w:r>
              <w:rPr>
                <w:rFonts w:ascii="宋体" w:hAnsi="宋体"/>
                <w:color w:val="auto"/>
                <w:sz w:val="24"/>
                <w:highlight w:val="none"/>
              </w:rPr>
              <w:t>5</w:t>
            </w:r>
          </w:p>
        </w:tc>
        <w:tc>
          <w:tcPr>
            <w:tcW w:w="2521" w:type="dxa"/>
            <w:tcBorders>
              <w:top w:val="single" w:color="auto" w:sz="4" w:space="0"/>
              <w:left w:val="single" w:color="auto" w:sz="4" w:space="0"/>
              <w:bottom w:val="single" w:color="auto" w:sz="4" w:space="0"/>
              <w:right w:val="single" w:color="auto" w:sz="4" w:space="0"/>
            </w:tcBorders>
            <w:noWrap/>
            <w:vAlign w:val="center"/>
          </w:tcPr>
          <w:p w14:paraId="359F3820">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2F0531C1">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6D62E269">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706274A6">
            <w:pPr>
              <w:jc w:val="center"/>
              <w:rPr>
                <w:rFonts w:ascii="宋体" w:hAnsi="宋体"/>
                <w:color w:val="auto"/>
                <w:sz w:val="24"/>
                <w:highlight w:val="none"/>
              </w:rPr>
            </w:pPr>
          </w:p>
        </w:tc>
        <w:tc>
          <w:tcPr>
            <w:tcW w:w="828" w:type="dxa"/>
            <w:tcBorders>
              <w:top w:val="single" w:color="auto" w:sz="4" w:space="0"/>
              <w:left w:val="single" w:color="auto" w:sz="4" w:space="0"/>
              <w:bottom w:val="single" w:color="auto" w:sz="4" w:space="0"/>
              <w:right w:val="single" w:color="auto" w:sz="4" w:space="0"/>
            </w:tcBorders>
            <w:noWrap/>
            <w:vAlign w:val="center"/>
          </w:tcPr>
          <w:p w14:paraId="768E3E2E">
            <w:pPr>
              <w:jc w:val="center"/>
              <w:rPr>
                <w:rFonts w:ascii="宋体" w:hAnsi="宋体"/>
                <w:color w:val="auto"/>
                <w:sz w:val="24"/>
                <w:highlight w:val="none"/>
              </w:rPr>
            </w:pPr>
          </w:p>
        </w:tc>
        <w:tc>
          <w:tcPr>
            <w:tcW w:w="829" w:type="dxa"/>
            <w:tcBorders>
              <w:top w:val="single" w:color="auto" w:sz="4" w:space="0"/>
              <w:left w:val="single" w:color="auto" w:sz="4" w:space="0"/>
              <w:bottom w:val="single" w:color="auto" w:sz="4" w:space="0"/>
              <w:right w:val="single" w:color="auto" w:sz="4" w:space="0"/>
            </w:tcBorders>
            <w:noWrap/>
            <w:vAlign w:val="center"/>
          </w:tcPr>
          <w:p w14:paraId="5A33D4B3">
            <w:pPr>
              <w:jc w:val="cente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tcPr>
          <w:p w14:paraId="5D21FF3A">
            <w:pPr>
              <w:jc w:val="center"/>
              <w:rPr>
                <w:rFonts w:ascii="宋体" w:hAnsi="宋体"/>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tcPr>
          <w:p w14:paraId="62C7545C">
            <w:pPr>
              <w:jc w:val="center"/>
              <w:rPr>
                <w:rFonts w:ascii="宋体" w:hAnsi="宋体"/>
                <w:color w:val="auto"/>
                <w:sz w:val="24"/>
                <w:highlight w:val="none"/>
              </w:rPr>
            </w:pPr>
          </w:p>
        </w:tc>
      </w:tr>
    </w:tbl>
    <w:p w14:paraId="4F257A8B">
      <w:pPr>
        <w:spacing w:line="360" w:lineRule="auto"/>
        <w:ind w:right="420"/>
        <w:rPr>
          <w:rFonts w:ascii="宋体" w:hAnsi="宋体"/>
          <w:color w:val="auto"/>
          <w:sz w:val="24"/>
          <w:highlight w:val="none"/>
        </w:rPr>
      </w:pPr>
      <w:r>
        <w:rPr>
          <w:rFonts w:hint="eastAsia" w:ascii="宋体" w:hAnsi="宋体"/>
          <w:color w:val="auto"/>
          <w:sz w:val="24"/>
          <w:highlight w:val="none"/>
        </w:rPr>
        <w:t>备注：</w:t>
      </w:r>
    </w:p>
    <w:p w14:paraId="46FF3F1F">
      <w:pPr>
        <w:spacing w:line="360" w:lineRule="auto"/>
        <w:ind w:left="314" w:hanging="314" w:hangingChars="131"/>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、将所有定标委员会成员对同一投标人的评分进行相加，总分由高至低排序入围候选人的名次，总分最高的为第一入围候选人，总分次高的为第二入围候选人，总分第三高的为第三入围候选人，依此类推，至第</w:t>
      </w:r>
      <w:r>
        <w:rPr>
          <w:rFonts w:ascii="宋体" w:hAnsi="宋体"/>
          <w:color w:val="auto"/>
          <w:sz w:val="24"/>
          <w:highlight w:val="none"/>
        </w:rPr>
        <w:t>N</w:t>
      </w:r>
      <w:r>
        <w:rPr>
          <w:rFonts w:hint="eastAsia" w:ascii="宋体" w:hAnsi="宋体"/>
          <w:color w:val="auto"/>
          <w:sz w:val="24"/>
          <w:highlight w:val="none"/>
        </w:rPr>
        <w:t>名入围候选人；</w:t>
      </w:r>
    </w:p>
    <w:p w14:paraId="14921AA3">
      <w:pPr>
        <w:spacing w:line="360" w:lineRule="auto"/>
        <w:ind w:left="314" w:hanging="314" w:hangingChars="131"/>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、若总分相同，出现</w:t>
      </w:r>
      <w:r>
        <w:rPr>
          <w:rFonts w:ascii="宋体" w:hAnsi="宋体"/>
          <w:color w:val="auto"/>
          <w:sz w:val="24"/>
          <w:highlight w:val="none"/>
        </w:rPr>
        <w:t>X</w:t>
      </w:r>
      <w:r>
        <w:rPr>
          <w:rFonts w:hint="eastAsia" w:ascii="宋体" w:hAnsi="宋体"/>
          <w:color w:val="auto"/>
          <w:sz w:val="24"/>
          <w:highlight w:val="none"/>
        </w:rPr>
        <w:t>家投标人名次排序并列的，则取消并列名次以后的</w:t>
      </w:r>
      <w:r>
        <w:rPr>
          <w:rFonts w:ascii="宋体" w:hAnsi="宋体"/>
          <w:color w:val="auto"/>
          <w:sz w:val="24"/>
          <w:highlight w:val="none"/>
        </w:rPr>
        <w:t>X-1</w:t>
      </w:r>
      <w:r>
        <w:rPr>
          <w:rFonts w:hint="eastAsia" w:ascii="宋体" w:hAnsi="宋体"/>
          <w:color w:val="auto"/>
          <w:sz w:val="24"/>
          <w:highlight w:val="none"/>
        </w:rPr>
        <w:t>个名次，下一名次跳跃排列。</w:t>
      </w:r>
    </w:p>
    <w:p w14:paraId="2E400BD2">
      <w:pPr>
        <w:spacing w:line="360" w:lineRule="auto"/>
        <w:rPr>
          <w:rFonts w:ascii="宋体" w:hAnsi="宋体"/>
          <w:color w:val="auto"/>
          <w:sz w:val="24"/>
          <w:highlight w:val="none"/>
        </w:rPr>
      </w:pPr>
      <w:r>
        <w:rPr>
          <w:rFonts w:hint="eastAsia" w:ascii="宋体" w:hAnsi="宋体"/>
          <w:color w:val="auto"/>
          <w:sz w:val="24"/>
          <w:highlight w:val="none"/>
        </w:rPr>
        <w:t>定标委员会签名：</w:t>
      </w:r>
    </w:p>
    <w:p w14:paraId="5BAEDF3D">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6E866EA5">
      <w:pPr>
        <w:spacing w:line="360" w:lineRule="auto"/>
        <w:jc w:val="left"/>
        <w:rPr>
          <w:rFonts w:ascii="宋体" w:hAnsi="宋体"/>
          <w:color w:val="auto"/>
          <w:sz w:val="24"/>
          <w:highlight w:val="none"/>
        </w:rPr>
      </w:pPr>
      <w:r>
        <w:rPr>
          <w:rFonts w:hint="eastAsia" w:ascii="宋体" w:hAnsi="宋体"/>
          <w:color w:val="auto"/>
          <w:sz w:val="24"/>
          <w:highlight w:val="none"/>
        </w:rPr>
        <w:br w:type="page"/>
      </w:r>
    </w:p>
    <w:p w14:paraId="780C8303">
      <w:pPr>
        <w:jc w:val="right"/>
        <w:rPr>
          <w:rFonts w:ascii="宋体" w:hAnsi="宋体"/>
          <w:color w:val="auto"/>
          <w:sz w:val="24"/>
          <w:highlight w:val="none"/>
        </w:rPr>
      </w:pPr>
    </w:p>
    <w:p w14:paraId="794E3006">
      <w:pPr>
        <w:rPr>
          <w:rFonts w:ascii="宋体" w:hAnsi="宋体"/>
          <w:b/>
          <w:color w:val="auto"/>
          <w:szCs w:val="21"/>
          <w:highlight w:val="none"/>
        </w:rPr>
      </w:pPr>
      <w:r>
        <w:rPr>
          <w:rFonts w:hint="eastAsia" w:ascii="宋体" w:hAnsi="宋体"/>
          <w:color w:val="auto"/>
          <w:szCs w:val="21"/>
          <w:highlight w:val="none"/>
        </w:rPr>
        <w:t>附表十</w:t>
      </w:r>
    </w:p>
    <w:p w14:paraId="3891C06C">
      <w:pPr>
        <w:jc w:val="center"/>
        <w:rPr>
          <w:rFonts w:ascii="宋体" w:hAnsi="宋体"/>
          <w:b/>
          <w:color w:val="auto"/>
          <w:sz w:val="36"/>
          <w:szCs w:val="36"/>
          <w:highlight w:val="none"/>
        </w:rPr>
      </w:pPr>
      <w:r>
        <w:rPr>
          <w:rFonts w:hint="eastAsia" w:ascii="宋体" w:hAnsi="宋体"/>
          <w:b/>
          <w:color w:val="auto"/>
          <w:sz w:val="36"/>
          <w:szCs w:val="36"/>
          <w:highlight w:val="none"/>
        </w:rPr>
        <w:t>（第组第轮）附加投票表</w:t>
      </w:r>
    </w:p>
    <w:p w14:paraId="6EFC775C">
      <w:pPr>
        <w:jc w:val="center"/>
        <w:rPr>
          <w:rFonts w:ascii="宋体" w:hAnsi="宋体"/>
          <w:b/>
          <w:color w:val="auto"/>
          <w:sz w:val="36"/>
          <w:szCs w:val="36"/>
          <w:highlight w:val="none"/>
        </w:rPr>
      </w:pPr>
      <w:r>
        <w:rPr>
          <w:rFonts w:hint="eastAsia" w:ascii="宋体" w:hAnsi="宋体"/>
          <w:b/>
          <w:color w:val="auto"/>
          <w:sz w:val="36"/>
          <w:szCs w:val="36"/>
          <w:highlight w:val="none"/>
        </w:rPr>
        <w:t>（定标阶段</w:t>
      </w:r>
      <w:r>
        <w:rPr>
          <w:rFonts w:ascii="宋体" w:hAnsi="宋体"/>
          <w:b/>
          <w:color w:val="auto"/>
          <w:sz w:val="36"/>
          <w:szCs w:val="36"/>
          <w:highlight w:val="none"/>
        </w:rPr>
        <w:t>—</w:t>
      </w:r>
      <w:r>
        <w:rPr>
          <w:rFonts w:hint="eastAsia" w:ascii="宋体" w:hAnsi="宋体"/>
          <w:b/>
          <w:color w:val="auto"/>
          <w:sz w:val="36"/>
          <w:szCs w:val="36"/>
          <w:highlight w:val="none"/>
        </w:rPr>
        <w:t>总分相同时定标委员个人用表）</w:t>
      </w:r>
    </w:p>
    <w:p w14:paraId="18FA4057">
      <w:pPr>
        <w:jc w:val="center"/>
        <w:rPr>
          <w:rFonts w:ascii="宋体" w:hAnsi="宋体"/>
          <w:b/>
          <w:color w:val="auto"/>
          <w:sz w:val="30"/>
          <w:szCs w:val="30"/>
          <w:highlight w:val="none"/>
        </w:rPr>
      </w:pPr>
    </w:p>
    <w:p w14:paraId="25420810">
      <w:pPr>
        <w:rPr>
          <w:rFonts w:ascii="宋体" w:hAnsi="宋体"/>
          <w:color w:val="auto"/>
          <w:sz w:val="24"/>
          <w:highlight w:val="none"/>
        </w:rPr>
      </w:pPr>
      <w:r>
        <w:rPr>
          <w:rFonts w:hint="eastAsia" w:ascii="宋体" w:hAnsi="宋体"/>
          <w:color w:val="auto"/>
          <w:sz w:val="24"/>
          <w:highlight w:val="none"/>
        </w:rPr>
        <w:t>工程名称：</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14:paraId="0853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noWrap/>
            <w:vAlign w:val="center"/>
          </w:tcPr>
          <w:p w14:paraId="4B54AD68">
            <w:pPr>
              <w:spacing w:line="600" w:lineRule="exact"/>
              <w:jc w:val="center"/>
              <w:rPr>
                <w:rFonts w:ascii="宋体" w:hAnsi="宋体"/>
                <w:color w:val="auto"/>
                <w:sz w:val="24"/>
                <w:highlight w:val="none"/>
              </w:rPr>
            </w:pPr>
            <w:r>
              <w:rPr>
                <w:rFonts w:hint="eastAsia" w:ascii="宋体" w:hAnsi="宋体"/>
                <w:color w:val="auto"/>
                <w:sz w:val="24"/>
                <w:highlight w:val="none"/>
              </w:rPr>
              <w:t>投标人</w:t>
            </w:r>
          </w:p>
        </w:tc>
        <w:tc>
          <w:tcPr>
            <w:tcW w:w="1930" w:type="dxa"/>
            <w:tcBorders>
              <w:top w:val="single" w:color="auto" w:sz="4" w:space="0"/>
              <w:left w:val="single" w:color="auto" w:sz="4" w:space="0"/>
              <w:bottom w:val="single" w:color="auto" w:sz="4" w:space="0"/>
              <w:right w:val="single" w:color="auto" w:sz="4" w:space="0"/>
            </w:tcBorders>
            <w:noWrap/>
            <w:vAlign w:val="center"/>
          </w:tcPr>
          <w:p w14:paraId="7B10F158">
            <w:pPr>
              <w:spacing w:line="600" w:lineRule="exact"/>
              <w:jc w:val="center"/>
              <w:rPr>
                <w:rFonts w:ascii="宋体" w:hAnsi="宋体"/>
                <w:color w:val="auto"/>
                <w:sz w:val="24"/>
                <w:highlight w:val="none"/>
              </w:rPr>
            </w:pPr>
          </w:p>
        </w:tc>
        <w:tc>
          <w:tcPr>
            <w:tcW w:w="2206" w:type="dxa"/>
            <w:tcBorders>
              <w:top w:val="single" w:color="auto" w:sz="4" w:space="0"/>
              <w:left w:val="single" w:color="auto" w:sz="4" w:space="0"/>
              <w:bottom w:val="single" w:color="auto" w:sz="4" w:space="0"/>
              <w:right w:val="single" w:color="auto" w:sz="4" w:space="0"/>
            </w:tcBorders>
            <w:noWrap/>
          </w:tcPr>
          <w:p w14:paraId="7F36F9A2">
            <w:pPr>
              <w:spacing w:line="600" w:lineRule="exact"/>
              <w:jc w:val="center"/>
              <w:rPr>
                <w:rFonts w:ascii="宋体" w:hAnsi="宋体"/>
                <w:color w:val="auto"/>
                <w:sz w:val="24"/>
                <w:highlight w:val="none"/>
              </w:rPr>
            </w:pPr>
          </w:p>
        </w:tc>
        <w:tc>
          <w:tcPr>
            <w:tcW w:w="2206" w:type="dxa"/>
            <w:tcBorders>
              <w:top w:val="single" w:color="auto" w:sz="4" w:space="0"/>
              <w:left w:val="single" w:color="auto" w:sz="4" w:space="0"/>
              <w:bottom w:val="single" w:color="auto" w:sz="4" w:space="0"/>
              <w:right w:val="single" w:color="auto" w:sz="4" w:space="0"/>
            </w:tcBorders>
            <w:noWrap/>
            <w:vAlign w:val="center"/>
          </w:tcPr>
          <w:p w14:paraId="4EA301D6">
            <w:pPr>
              <w:spacing w:line="600" w:lineRule="exact"/>
              <w:jc w:val="center"/>
              <w:rPr>
                <w:rFonts w:ascii="宋体" w:hAnsi="宋体"/>
                <w:color w:val="auto"/>
                <w:sz w:val="24"/>
                <w:highlight w:val="none"/>
              </w:rPr>
            </w:pPr>
          </w:p>
        </w:tc>
      </w:tr>
      <w:tr w14:paraId="713B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noWrap/>
            <w:vAlign w:val="center"/>
          </w:tcPr>
          <w:p w14:paraId="1687257E">
            <w:pPr>
              <w:spacing w:line="600" w:lineRule="exact"/>
              <w:jc w:val="center"/>
              <w:rPr>
                <w:rFonts w:ascii="宋体" w:hAnsi="宋体"/>
                <w:color w:val="auto"/>
                <w:sz w:val="24"/>
                <w:highlight w:val="none"/>
              </w:rPr>
            </w:pPr>
            <w:r>
              <w:rPr>
                <w:rFonts w:hint="eastAsia" w:ascii="宋体" w:hAnsi="宋体"/>
                <w:color w:val="auto"/>
                <w:sz w:val="24"/>
                <w:highlight w:val="none"/>
              </w:rPr>
              <w:t>定标人票决意见</w:t>
            </w:r>
          </w:p>
        </w:tc>
        <w:tc>
          <w:tcPr>
            <w:tcW w:w="1930" w:type="dxa"/>
            <w:tcBorders>
              <w:top w:val="single" w:color="auto" w:sz="4" w:space="0"/>
              <w:left w:val="single" w:color="auto" w:sz="4" w:space="0"/>
              <w:bottom w:val="single" w:color="auto" w:sz="4" w:space="0"/>
              <w:right w:val="single" w:color="auto" w:sz="4" w:space="0"/>
            </w:tcBorders>
            <w:noWrap/>
            <w:vAlign w:val="center"/>
          </w:tcPr>
          <w:p w14:paraId="14E50E1E">
            <w:pPr>
              <w:spacing w:line="600" w:lineRule="exact"/>
              <w:jc w:val="center"/>
              <w:rPr>
                <w:rFonts w:ascii="宋体" w:hAnsi="宋体"/>
                <w:color w:val="auto"/>
                <w:sz w:val="24"/>
                <w:highlight w:val="none"/>
              </w:rPr>
            </w:pPr>
          </w:p>
        </w:tc>
        <w:tc>
          <w:tcPr>
            <w:tcW w:w="2206" w:type="dxa"/>
            <w:tcBorders>
              <w:top w:val="single" w:color="auto" w:sz="4" w:space="0"/>
              <w:left w:val="single" w:color="auto" w:sz="4" w:space="0"/>
              <w:bottom w:val="single" w:color="auto" w:sz="4" w:space="0"/>
              <w:right w:val="single" w:color="auto" w:sz="4" w:space="0"/>
            </w:tcBorders>
            <w:noWrap/>
          </w:tcPr>
          <w:p w14:paraId="5A3A2663">
            <w:pPr>
              <w:spacing w:line="600" w:lineRule="exact"/>
              <w:jc w:val="center"/>
              <w:rPr>
                <w:rFonts w:ascii="宋体" w:hAnsi="宋体"/>
                <w:color w:val="auto"/>
                <w:sz w:val="24"/>
                <w:highlight w:val="none"/>
              </w:rPr>
            </w:pPr>
          </w:p>
        </w:tc>
        <w:tc>
          <w:tcPr>
            <w:tcW w:w="2206" w:type="dxa"/>
            <w:tcBorders>
              <w:top w:val="single" w:color="auto" w:sz="4" w:space="0"/>
              <w:left w:val="single" w:color="auto" w:sz="4" w:space="0"/>
              <w:bottom w:val="single" w:color="auto" w:sz="4" w:space="0"/>
              <w:right w:val="single" w:color="auto" w:sz="4" w:space="0"/>
            </w:tcBorders>
            <w:noWrap/>
            <w:vAlign w:val="center"/>
          </w:tcPr>
          <w:p w14:paraId="06E00B22">
            <w:pPr>
              <w:spacing w:line="600" w:lineRule="exact"/>
              <w:jc w:val="center"/>
              <w:rPr>
                <w:rFonts w:ascii="宋体" w:hAnsi="宋体"/>
                <w:color w:val="auto"/>
                <w:sz w:val="24"/>
                <w:highlight w:val="none"/>
              </w:rPr>
            </w:pPr>
          </w:p>
        </w:tc>
      </w:tr>
    </w:tbl>
    <w:p w14:paraId="7934027A">
      <w:pPr>
        <w:spacing w:line="360" w:lineRule="auto"/>
        <w:ind w:right="420"/>
        <w:rPr>
          <w:rFonts w:ascii="宋体" w:hAnsi="宋体"/>
          <w:color w:val="auto"/>
          <w:sz w:val="24"/>
          <w:highlight w:val="none"/>
        </w:rPr>
      </w:pPr>
    </w:p>
    <w:p w14:paraId="3213BC5F">
      <w:pPr>
        <w:spacing w:line="360" w:lineRule="auto"/>
        <w:ind w:right="420"/>
        <w:rPr>
          <w:rFonts w:ascii="宋体" w:hAnsi="宋体"/>
          <w:color w:val="auto"/>
          <w:sz w:val="24"/>
          <w:highlight w:val="none"/>
        </w:rPr>
      </w:pPr>
      <w:r>
        <w:rPr>
          <w:rFonts w:hint="eastAsia" w:ascii="宋体" w:hAnsi="宋体"/>
          <w:color w:val="auto"/>
          <w:sz w:val="24"/>
          <w:highlight w:val="none"/>
        </w:rPr>
        <w:t>备注：</w:t>
      </w:r>
    </w:p>
    <w:p w14:paraId="2A2B016A">
      <w:pPr>
        <w:spacing w:line="360" w:lineRule="auto"/>
        <w:ind w:left="420" w:hanging="420" w:hangingChars="175"/>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表用于第一轮投票出现总分相同的情况，按总分相同的投标人为一组，总分由高至低依次分组，总分高的组别为第一组，以此类推，出现总分相同情况的有组，本组为第组，共名投标人，总分为分，分别为，，。</w:t>
      </w:r>
    </w:p>
    <w:p w14:paraId="1F52E6F1">
      <w:pPr>
        <w:spacing w:line="360" w:lineRule="auto"/>
        <w:ind w:left="420" w:hanging="420" w:hangingChars="175"/>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、由定标委员会成员进行附加投票，票决意见分别为“投票”或“不投票”，各定标委员会成员只有</w:t>
      </w:r>
      <w:r>
        <w:rPr>
          <w:rFonts w:ascii="宋体" w:hAnsi="宋体"/>
          <w:color w:val="auto"/>
          <w:sz w:val="24"/>
          <w:highlight w:val="none"/>
        </w:rPr>
        <w:t>1</w:t>
      </w:r>
      <w:r>
        <w:rPr>
          <w:rFonts w:hint="eastAsia" w:ascii="宋体" w:hAnsi="宋体"/>
          <w:color w:val="auto"/>
          <w:sz w:val="24"/>
          <w:highlight w:val="none"/>
        </w:rPr>
        <w:t>票表决权（即只能对其中一名投标人“投票”），票决意见为“投票”的，用“○”表示；票决意见为“不投票”，用“×”表示。</w:t>
      </w:r>
    </w:p>
    <w:p w14:paraId="754BA0D4">
      <w:pPr>
        <w:rPr>
          <w:rFonts w:ascii="宋体" w:hAnsi="宋体"/>
          <w:color w:val="auto"/>
          <w:sz w:val="24"/>
          <w:highlight w:val="none"/>
        </w:rPr>
      </w:pPr>
    </w:p>
    <w:p w14:paraId="2C2FB72E">
      <w:pPr>
        <w:rPr>
          <w:rFonts w:ascii="宋体" w:hAnsi="宋体"/>
          <w:color w:val="auto"/>
          <w:sz w:val="24"/>
          <w:highlight w:val="none"/>
        </w:rPr>
      </w:pPr>
    </w:p>
    <w:p w14:paraId="69C370C6">
      <w:pPr>
        <w:rPr>
          <w:rFonts w:ascii="宋体" w:hAnsi="宋体"/>
          <w:color w:val="auto"/>
          <w:highlight w:val="none"/>
        </w:rPr>
      </w:pPr>
    </w:p>
    <w:p w14:paraId="27445FFF">
      <w:pPr>
        <w:jc w:val="right"/>
        <w:rPr>
          <w:rFonts w:ascii="宋体" w:hAnsi="宋体"/>
          <w:color w:val="auto"/>
          <w:highlight w:val="none"/>
        </w:rPr>
      </w:pPr>
      <w:r>
        <w:rPr>
          <w:rFonts w:hint="eastAsia" w:ascii="宋体" w:hAnsi="宋体"/>
          <w:color w:val="auto"/>
          <w:sz w:val="24"/>
          <w:highlight w:val="none"/>
        </w:rPr>
        <w:t>日期： 年 月 日</w:t>
      </w:r>
    </w:p>
    <w:p w14:paraId="7E7AA801">
      <w:pPr>
        <w:jc w:val="center"/>
        <w:rPr>
          <w:rFonts w:ascii="宋体" w:hAnsi="宋体"/>
          <w:b/>
          <w:color w:val="auto"/>
          <w:sz w:val="36"/>
          <w:szCs w:val="36"/>
          <w:highlight w:val="none"/>
        </w:rPr>
      </w:pPr>
    </w:p>
    <w:p w14:paraId="6746FDD0">
      <w:pPr>
        <w:rPr>
          <w:rFonts w:ascii="宋体" w:hAnsi="宋体"/>
          <w:color w:val="auto"/>
          <w:szCs w:val="21"/>
          <w:highlight w:val="none"/>
        </w:rPr>
      </w:pPr>
    </w:p>
    <w:p w14:paraId="644EC857">
      <w:pPr>
        <w:pStyle w:val="27"/>
        <w:rPr>
          <w:color w:val="auto"/>
          <w:szCs w:val="21"/>
          <w:highlight w:val="none"/>
        </w:rPr>
      </w:pPr>
    </w:p>
    <w:p w14:paraId="6A50D908">
      <w:pPr>
        <w:rPr>
          <w:rFonts w:ascii="宋体" w:hAnsi="宋体"/>
          <w:color w:val="auto"/>
          <w:szCs w:val="21"/>
          <w:highlight w:val="none"/>
        </w:rPr>
      </w:pPr>
    </w:p>
    <w:p w14:paraId="205F2324">
      <w:pPr>
        <w:pStyle w:val="27"/>
        <w:rPr>
          <w:color w:val="auto"/>
          <w:szCs w:val="21"/>
          <w:highlight w:val="none"/>
        </w:rPr>
      </w:pPr>
    </w:p>
    <w:p w14:paraId="348438F7">
      <w:pPr>
        <w:rPr>
          <w:rFonts w:ascii="宋体" w:hAnsi="宋体"/>
          <w:color w:val="auto"/>
          <w:szCs w:val="21"/>
          <w:highlight w:val="none"/>
        </w:rPr>
      </w:pPr>
    </w:p>
    <w:p w14:paraId="294FCDCF">
      <w:pPr>
        <w:pStyle w:val="27"/>
        <w:rPr>
          <w:color w:val="auto"/>
          <w:szCs w:val="21"/>
          <w:highlight w:val="none"/>
        </w:rPr>
      </w:pPr>
    </w:p>
    <w:p w14:paraId="4F5A12B7">
      <w:pPr>
        <w:rPr>
          <w:rFonts w:ascii="宋体" w:hAnsi="宋体"/>
          <w:color w:val="auto"/>
          <w:szCs w:val="21"/>
          <w:highlight w:val="none"/>
        </w:rPr>
      </w:pPr>
    </w:p>
    <w:p w14:paraId="104556F3">
      <w:pPr>
        <w:pStyle w:val="27"/>
        <w:rPr>
          <w:color w:val="auto"/>
          <w:szCs w:val="21"/>
          <w:highlight w:val="none"/>
        </w:rPr>
      </w:pPr>
    </w:p>
    <w:p w14:paraId="054034CA">
      <w:pPr>
        <w:rPr>
          <w:color w:val="auto"/>
          <w:highlight w:val="none"/>
        </w:rPr>
      </w:pPr>
    </w:p>
    <w:p w14:paraId="1C50BBEA">
      <w:pPr>
        <w:pStyle w:val="9"/>
        <w:rPr>
          <w:color w:val="auto"/>
          <w:highlight w:val="none"/>
        </w:rPr>
      </w:pPr>
    </w:p>
    <w:p w14:paraId="4DBEE2E9">
      <w:pPr>
        <w:rPr>
          <w:rFonts w:ascii="宋体" w:hAnsi="宋体"/>
          <w:color w:val="auto"/>
          <w:szCs w:val="21"/>
          <w:highlight w:val="none"/>
        </w:rPr>
      </w:pPr>
    </w:p>
    <w:p w14:paraId="60B0CEFD">
      <w:pPr>
        <w:rPr>
          <w:rFonts w:ascii="宋体" w:hAnsi="宋体"/>
          <w:color w:val="auto"/>
          <w:szCs w:val="21"/>
          <w:highlight w:val="none"/>
        </w:rPr>
      </w:pPr>
    </w:p>
    <w:p w14:paraId="1C788668">
      <w:pPr>
        <w:rPr>
          <w:rFonts w:ascii="宋体" w:hAnsi="宋体"/>
          <w:b/>
          <w:color w:val="auto"/>
          <w:szCs w:val="21"/>
          <w:highlight w:val="none"/>
        </w:rPr>
      </w:pPr>
      <w:r>
        <w:rPr>
          <w:rFonts w:hint="eastAsia" w:ascii="宋体" w:hAnsi="宋体"/>
          <w:color w:val="auto"/>
          <w:szCs w:val="21"/>
          <w:highlight w:val="none"/>
        </w:rPr>
        <w:t>附表十一</w:t>
      </w:r>
    </w:p>
    <w:p w14:paraId="1364540A">
      <w:pPr>
        <w:jc w:val="center"/>
        <w:rPr>
          <w:rFonts w:ascii="宋体" w:hAnsi="宋体"/>
          <w:b/>
          <w:color w:val="auto"/>
          <w:sz w:val="36"/>
          <w:szCs w:val="36"/>
          <w:highlight w:val="none"/>
        </w:rPr>
      </w:pPr>
      <w:r>
        <w:rPr>
          <w:rFonts w:hint="eastAsia" w:ascii="宋体" w:hAnsi="宋体"/>
          <w:b/>
          <w:color w:val="auto"/>
          <w:sz w:val="36"/>
          <w:szCs w:val="36"/>
          <w:highlight w:val="none"/>
        </w:rPr>
        <w:t>（第组第轮）附加投票统计表</w:t>
      </w:r>
    </w:p>
    <w:p w14:paraId="32DA7F44">
      <w:pPr>
        <w:jc w:val="center"/>
        <w:rPr>
          <w:rFonts w:ascii="宋体" w:hAnsi="宋体"/>
          <w:b/>
          <w:color w:val="auto"/>
          <w:sz w:val="36"/>
          <w:szCs w:val="36"/>
          <w:highlight w:val="none"/>
        </w:rPr>
      </w:pPr>
      <w:r>
        <w:rPr>
          <w:rFonts w:hint="eastAsia" w:ascii="宋体" w:hAnsi="宋体"/>
          <w:b/>
          <w:color w:val="auto"/>
          <w:sz w:val="36"/>
          <w:szCs w:val="36"/>
          <w:highlight w:val="none"/>
        </w:rPr>
        <w:t>（定标阶段</w:t>
      </w:r>
      <w:r>
        <w:rPr>
          <w:rFonts w:ascii="宋体" w:hAnsi="宋体"/>
          <w:b/>
          <w:color w:val="auto"/>
          <w:sz w:val="36"/>
          <w:szCs w:val="36"/>
          <w:highlight w:val="none"/>
        </w:rPr>
        <w:t>—</w:t>
      </w:r>
      <w:r>
        <w:rPr>
          <w:rFonts w:hint="eastAsia" w:ascii="宋体" w:hAnsi="宋体"/>
          <w:b/>
          <w:color w:val="auto"/>
          <w:sz w:val="36"/>
          <w:szCs w:val="36"/>
          <w:highlight w:val="none"/>
        </w:rPr>
        <w:t>总分相同时统计总票数用表）</w:t>
      </w:r>
    </w:p>
    <w:p w14:paraId="173B3573">
      <w:pPr>
        <w:rPr>
          <w:rFonts w:ascii="宋体" w:hAnsi="宋体"/>
          <w:color w:val="auto"/>
          <w:sz w:val="24"/>
          <w:highlight w:val="none"/>
        </w:rPr>
      </w:pPr>
      <w:r>
        <w:rPr>
          <w:rFonts w:hint="eastAsia" w:ascii="宋体" w:hAnsi="宋体"/>
          <w:color w:val="auto"/>
          <w:sz w:val="24"/>
          <w:highlight w:val="none"/>
        </w:rPr>
        <w:t>工程名称：</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136"/>
        <w:gridCol w:w="945"/>
        <w:gridCol w:w="945"/>
        <w:gridCol w:w="945"/>
        <w:gridCol w:w="945"/>
        <w:gridCol w:w="945"/>
      </w:tblGrid>
      <w:tr w14:paraId="73C3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91" w:type="dxa"/>
            <w:tcBorders>
              <w:top w:val="single" w:color="auto" w:sz="4" w:space="0"/>
              <w:left w:val="single" w:color="auto" w:sz="4" w:space="0"/>
              <w:bottom w:val="single" w:color="auto" w:sz="4" w:space="0"/>
              <w:right w:val="single" w:color="auto" w:sz="4" w:space="0"/>
            </w:tcBorders>
            <w:noWrap/>
            <w:vAlign w:val="center"/>
          </w:tcPr>
          <w:p w14:paraId="7A9094A6">
            <w:pPr>
              <w:jc w:val="center"/>
              <w:rPr>
                <w:rFonts w:ascii="宋体" w:hAnsi="宋体"/>
                <w:color w:val="auto"/>
                <w:sz w:val="24"/>
                <w:highlight w:val="none"/>
              </w:rPr>
            </w:pPr>
            <w:r>
              <w:rPr>
                <w:rFonts w:hint="eastAsia" w:ascii="宋体" w:hAnsi="宋体"/>
                <w:color w:val="auto"/>
                <w:sz w:val="24"/>
                <w:highlight w:val="none"/>
              </w:rPr>
              <w:t>序号</w:t>
            </w:r>
          </w:p>
        </w:tc>
        <w:tc>
          <w:tcPr>
            <w:tcW w:w="3136" w:type="dxa"/>
            <w:tcBorders>
              <w:top w:val="single" w:color="auto" w:sz="4" w:space="0"/>
              <w:left w:val="single" w:color="auto" w:sz="4" w:space="0"/>
              <w:bottom w:val="single" w:color="auto" w:sz="4" w:space="0"/>
              <w:right w:val="single" w:color="auto" w:sz="4" w:space="0"/>
            </w:tcBorders>
            <w:noWrap/>
            <w:vAlign w:val="center"/>
          </w:tcPr>
          <w:p w14:paraId="6964EEBC">
            <w:pPr>
              <w:jc w:val="center"/>
              <w:rPr>
                <w:rFonts w:ascii="宋体" w:hAnsi="宋体"/>
                <w:color w:val="auto"/>
                <w:sz w:val="24"/>
                <w:highlight w:val="none"/>
              </w:rPr>
            </w:pPr>
            <w:r>
              <w:rPr>
                <w:rFonts w:hint="eastAsia" w:ascii="宋体" w:hAnsi="宋体"/>
                <w:color w:val="auto"/>
                <w:sz w:val="24"/>
                <w:highlight w:val="none"/>
              </w:rPr>
              <w:t>投标人</w:t>
            </w:r>
          </w:p>
        </w:tc>
        <w:tc>
          <w:tcPr>
            <w:tcW w:w="945" w:type="dxa"/>
            <w:tcBorders>
              <w:top w:val="single" w:color="auto" w:sz="4" w:space="0"/>
              <w:left w:val="single" w:color="auto" w:sz="4" w:space="0"/>
              <w:bottom w:val="single" w:color="auto" w:sz="4" w:space="0"/>
              <w:right w:val="single" w:color="auto" w:sz="4" w:space="0"/>
            </w:tcBorders>
            <w:noWrap/>
            <w:vAlign w:val="center"/>
          </w:tcPr>
          <w:p w14:paraId="0B5CEA61">
            <w:pPr>
              <w:jc w:val="center"/>
              <w:rPr>
                <w:rFonts w:ascii="宋体" w:hAnsi="宋体"/>
                <w:color w:val="auto"/>
                <w:szCs w:val="21"/>
                <w:highlight w:val="none"/>
              </w:rPr>
            </w:pPr>
            <w:r>
              <w:rPr>
                <w:rFonts w:hint="eastAsia" w:ascii="宋体" w:hAnsi="宋体"/>
                <w:color w:val="auto"/>
                <w:szCs w:val="21"/>
                <w:highlight w:val="none"/>
              </w:rPr>
              <w:t>第</w:t>
            </w:r>
            <w:r>
              <w:rPr>
                <w:rFonts w:ascii="宋体" w:hAnsi="宋体"/>
                <w:color w:val="auto"/>
                <w:szCs w:val="21"/>
                <w:highlight w:val="none"/>
                <w:u w:val="single"/>
              </w:rPr>
              <w:t>1</w:t>
            </w:r>
            <w:r>
              <w:rPr>
                <w:rFonts w:hint="eastAsia" w:ascii="宋体" w:hAnsi="宋体"/>
                <w:color w:val="auto"/>
                <w:szCs w:val="21"/>
                <w:highlight w:val="none"/>
              </w:rPr>
              <w:t>轮排序</w:t>
            </w:r>
          </w:p>
        </w:tc>
        <w:tc>
          <w:tcPr>
            <w:tcW w:w="945" w:type="dxa"/>
            <w:tcBorders>
              <w:top w:val="single" w:color="auto" w:sz="4" w:space="0"/>
              <w:left w:val="single" w:color="auto" w:sz="4" w:space="0"/>
              <w:bottom w:val="single" w:color="auto" w:sz="4" w:space="0"/>
              <w:right w:val="single" w:color="auto" w:sz="4" w:space="0"/>
            </w:tcBorders>
            <w:noWrap/>
          </w:tcPr>
          <w:p w14:paraId="3575F6E5">
            <w:pPr>
              <w:jc w:val="center"/>
              <w:rPr>
                <w:rFonts w:ascii="宋体" w:hAnsi="宋体"/>
                <w:color w:val="auto"/>
                <w:szCs w:val="21"/>
                <w:highlight w:val="none"/>
              </w:rPr>
            </w:pPr>
            <w:r>
              <w:rPr>
                <w:rFonts w:hint="eastAsia" w:ascii="宋体" w:hAnsi="宋体"/>
                <w:color w:val="auto"/>
                <w:szCs w:val="21"/>
                <w:highlight w:val="none"/>
              </w:rPr>
              <w:t>第</w:t>
            </w:r>
            <w:r>
              <w:rPr>
                <w:rFonts w:ascii="宋体" w:hAnsi="宋体"/>
                <w:color w:val="auto"/>
                <w:szCs w:val="21"/>
                <w:highlight w:val="none"/>
                <w:u w:val="single"/>
              </w:rPr>
              <w:t>2</w:t>
            </w:r>
            <w:r>
              <w:rPr>
                <w:rFonts w:hint="eastAsia" w:ascii="宋体" w:hAnsi="宋体"/>
                <w:color w:val="auto"/>
                <w:szCs w:val="21"/>
                <w:highlight w:val="none"/>
              </w:rPr>
              <w:t>轮得票数</w:t>
            </w:r>
          </w:p>
        </w:tc>
        <w:tc>
          <w:tcPr>
            <w:tcW w:w="945" w:type="dxa"/>
            <w:tcBorders>
              <w:top w:val="single" w:color="auto" w:sz="4" w:space="0"/>
              <w:left w:val="single" w:color="auto" w:sz="4" w:space="0"/>
              <w:bottom w:val="single" w:color="auto" w:sz="4" w:space="0"/>
              <w:right w:val="single" w:color="auto" w:sz="4" w:space="0"/>
            </w:tcBorders>
            <w:noWrap/>
          </w:tcPr>
          <w:p w14:paraId="61A2BB91">
            <w:pPr>
              <w:jc w:val="center"/>
              <w:rPr>
                <w:rFonts w:ascii="宋体" w:hAnsi="宋体"/>
                <w:color w:val="auto"/>
                <w:szCs w:val="21"/>
                <w:highlight w:val="none"/>
              </w:rPr>
            </w:pPr>
            <w:r>
              <w:rPr>
                <w:rFonts w:hint="eastAsia" w:ascii="宋体" w:hAnsi="宋体"/>
                <w:color w:val="auto"/>
                <w:szCs w:val="21"/>
                <w:highlight w:val="none"/>
              </w:rPr>
              <w:t>第</w:t>
            </w:r>
            <w:r>
              <w:rPr>
                <w:rFonts w:ascii="宋体" w:hAnsi="宋体"/>
                <w:color w:val="auto"/>
                <w:szCs w:val="21"/>
                <w:highlight w:val="none"/>
                <w:u w:val="single"/>
              </w:rPr>
              <w:t>2</w:t>
            </w:r>
            <w:r>
              <w:rPr>
                <w:rFonts w:hint="eastAsia" w:ascii="宋体" w:hAnsi="宋体"/>
                <w:color w:val="auto"/>
                <w:szCs w:val="21"/>
                <w:highlight w:val="none"/>
              </w:rPr>
              <w:t>轮排序</w:t>
            </w:r>
          </w:p>
        </w:tc>
        <w:tc>
          <w:tcPr>
            <w:tcW w:w="945" w:type="dxa"/>
            <w:tcBorders>
              <w:top w:val="single" w:color="auto" w:sz="4" w:space="0"/>
              <w:left w:val="single" w:color="auto" w:sz="4" w:space="0"/>
              <w:bottom w:val="single" w:color="auto" w:sz="4" w:space="0"/>
              <w:right w:val="single" w:color="auto" w:sz="4" w:space="0"/>
            </w:tcBorders>
            <w:noWrap/>
          </w:tcPr>
          <w:p w14:paraId="015D59E2">
            <w:pPr>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u w:val="single"/>
              </w:rPr>
              <w:t>…</w:t>
            </w:r>
            <w:r>
              <w:rPr>
                <w:rFonts w:hint="eastAsia" w:ascii="宋体" w:hAnsi="宋体"/>
                <w:color w:val="auto"/>
                <w:szCs w:val="21"/>
                <w:highlight w:val="none"/>
              </w:rPr>
              <w:t>轮得票数</w:t>
            </w:r>
          </w:p>
        </w:tc>
        <w:tc>
          <w:tcPr>
            <w:tcW w:w="945" w:type="dxa"/>
            <w:tcBorders>
              <w:top w:val="single" w:color="auto" w:sz="4" w:space="0"/>
              <w:left w:val="single" w:color="auto" w:sz="4" w:space="0"/>
              <w:bottom w:val="single" w:color="auto" w:sz="4" w:space="0"/>
              <w:right w:val="single" w:color="auto" w:sz="4" w:space="0"/>
            </w:tcBorders>
            <w:noWrap/>
          </w:tcPr>
          <w:p w14:paraId="7670B5CC">
            <w:pPr>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u w:val="single"/>
              </w:rPr>
              <w:t>…</w:t>
            </w:r>
            <w:r>
              <w:rPr>
                <w:rFonts w:hint="eastAsia" w:ascii="宋体" w:hAnsi="宋体"/>
                <w:color w:val="auto"/>
                <w:szCs w:val="21"/>
                <w:highlight w:val="none"/>
              </w:rPr>
              <w:t>轮排序</w:t>
            </w:r>
          </w:p>
        </w:tc>
      </w:tr>
      <w:tr w14:paraId="0B6F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ign w:val="center"/>
          </w:tcPr>
          <w:p w14:paraId="1CCCF003">
            <w:pPr>
              <w:jc w:val="center"/>
              <w:rPr>
                <w:rFonts w:ascii="宋体" w:hAnsi="宋体"/>
                <w:color w:val="auto"/>
                <w:sz w:val="24"/>
                <w:highlight w:val="none"/>
              </w:rPr>
            </w:pPr>
            <w:r>
              <w:rPr>
                <w:rFonts w:ascii="宋体" w:hAnsi="宋体"/>
                <w:color w:val="auto"/>
                <w:sz w:val="24"/>
                <w:highlight w:val="none"/>
              </w:rPr>
              <w:t>1</w:t>
            </w:r>
          </w:p>
        </w:tc>
        <w:tc>
          <w:tcPr>
            <w:tcW w:w="3136" w:type="dxa"/>
            <w:tcBorders>
              <w:top w:val="single" w:color="auto" w:sz="4" w:space="0"/>
              <w:left w:val="single" w:color="auto" w:sz="4" w:space="0"/>
              <w:bottom w:val="single" w:color="auto" w:sz="4" w:space="0"/>
              <w:right w:val="single" w:color="auto" w:sz="4" w:space="0"/>
            </w:tcBorders>
            <w:noWrap/>
            <w:vAlign w:val="center"/>
          </w:tcPr>
          <w:p w14:paraId="77CD0168">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ign w:val="center"/>
          </w:tcPr>
          <w:p w14:paraId="55805A9B">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70126C70">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16004E41">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24A69A84">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662A1119">
            <w:pPr>
              <w:jc w:val="center"/>
              <w:rPr>
                <w:rFonts w:ascii="宋体" w:hAnsi="宋体"/>
                <w:color w:val="auto"/>
                <w:sz w:val="24"/>
                <w:highlight w:val="none"/>
              </w:rPr>
            </w:pPr>
          </w:p>
        </w:tc>
      </w:tr>
      <w:tr w14:paraId="21EB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ign w:val="center"/>
          </w:tcPr>
          <w:p w14:paraId="5E8CCA88">
            <w:pPr>
              <w:jc w:val="center"/>
              <w:rPr>
                <w:rFonts w:ascii="宋体" w:hAnsi="宋体"/>
                <w:color w:val="auto"/>
                <w:sz w:val="24"/>
                <w:highlight w:val="none"/>
              </w:rPr>
            </w:pPr>
            <w:r>
              <w:rPr>
                <w:rFonts w:ascii="宋体" w:hAnsi="宋体"/>
                <w:color w:val="auto"/>
                <w:sz w:val="24"/>
                <w:highlight w:val="none"/>
              </w:rPr>
              <w:t>2</w:t>
            </w:r>
          </w:p>
        </w:tc>
        <w:tc>
          <w:tcPr>
            <w:tcW w:w="3136" w:type="dxa"/>
            <w:tcBorders>
              <w:top w:val="single" w:color="auto" w:sz="4" w:space="0"/>
              <w:left w:val="single" w:color="auto" w:sz="4" w:space="0"/>
              <w:bottom w:val="single" w:color="auto" w:sz="4" w:space="0"/>
              <w:right w:val="single" w:color="auto" w:sz="4" w:space="0"/>
            </w:tcBorders>
            <w:noWrap/>
            <w:vAlign w:val="center"/>
          </w:tcPr>
          <w:p w14:paraId="3010B67F">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ign w:val="center"/>
          </w:tcPr>
          <w:p w14:paraId="61EE053E">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00B90558">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21512E88">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67F6DB92">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1714063A">
            <w:pPr>
              <w:jc w:val="center"/>
              <w:rPr>
                <w:rFonts w:ascii="宋体" w:hAnsi="宋体"/>
                <w:color w:val="auto"/>
                <w:sz w:val="24"/>
                <w:highlight w:val="none"/>
              </w:rPr>
            </w:pPr>
          </w:p>
        </w:tc>
      </w:tr>
      <w:tr w14:paraId="0504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ign w:val="center"/>
          </w:tcPr>
          <w:p w14:paraId="76C27BD6">
            <w:pPr>
              <w:jc w:val="center"/>
              <w:rPr>
                <w:rFonts w:ascii="宋体" w:hAnsi="宋体"/>
                <w:color w:val="auto"/>
                <w:sz w:val="24"/>
                <w:highlight w:val="none"/>
              </w:rPr>
            </w:pPr>
            <w:r>
              <w:rPr>
                <w:rFonts w:ascii="宋体" w:hAnsi="宋体"/>
                <w:color w:val="auto"/>
                <w:sz w:val="24"/>
                <w:highlight w:val="none"/>
              </w:rPr>
              <w:t>3</w:t>
            </w:r>
          </w:p>
        </w:tc>
        <w:tc>
          <w:tcPr>
            <w:tcW w:w="3136" w:type="dxa"/>
            <w:tcBorders>
              <w:top w:val="single" w:color="auto" w:sz="4" w:space="0"/>
              <w:left w:val="single" w:color="auto" w:sz="4" w:space="0"/>
              <w:bottom w:val="single" w:color="auto" w:sz="4" w:space="0"/>
              <w:right w:val="single" w:color="auto" w:sz="4" w:space="0"/>
            </w:tcBorders>
            <w:noWrap/>
            <w:vAlign w:val="center"/>
          </w:tcPr>
          <w:p w14:paraId="723F8B79">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ign w:val="center"/>
          </w:tcPr>
          <w:p w14:paraId="1F00BB1B">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18B2FA78">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29D9BD9A">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4982A017">
            <w:pPr>
              <w:jc w:val="center"/>
              <w:rPr>
                <w:rFonts w:ascii="宋体" w:hAnsi="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tcPr>
          <w:p w14:paraId="79E13C51">
            <w:pPr>
              <w:jc w:val="center"/>
              <w:rPr>
                <w:rFonts w:ascii="宋体" w:hAnsi="宋体"/>
                <w:color w:val="auto"/>
                <w:sz w:val="24"/>
                <w:highlight w:val="none"/>
              </w:rPr>
            </w:pPr>
          </w:p>
        </w:tc>
      </w:tr>
    </w:tbl>
    <w:p w14:paraId="72BACA70">
      <w:pPr>
        <w:spacing w:line="600" w:lineRule="exact"/>
        <w:ind w:right="-9"/>
        <w:jc w:val="center"/>
        <w:rPr>
          <w:rFonts w:ascii="宋体" w:hAnsi="宋体"/>
          <w:color w:val="auto"/>
          <w:sz w:val="24"/>
          <w:highlight w:val="none"/>
        </w:rPr>
      </w:pPr>
    </w:p>
    <w:p w14:paraId="3904A4C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备注：按附加得票数由多至少，在延续第一轮投票排序的基础上进行排序，票数多的排序靠前，得票数相同的投标人进行再次票决确定排序。</w:t>
      </w:r>
    </w:p>
    <w:p w14:paraId="14A4939A">
      <w:pPr>
        <w:spacing w:line="360" w:lineRule="auto"/>
        <w:ind w:right="420"/>
        <w:rPr>
          <w:rFonts w:ascii="宋体" w:hAnsi="宋体"/>
          <w:color w:val="auto"/>
          <w:highlight w:val="none"/>
        </w:rPr>
      </w:pPr>
    </w:p>
    <w:p w14:paraId="1BD5ED92">
      <w:pPr>
        <w:spacing w:line="360" w:lineRule="auto"/>
        <w:ind w:right="420"/>
        <w:rPr>
          <w:rFonts w:ascii="宋体" w:hAnsi="宋体"/>
          <w:color w:val="auto"/>
          <w:highlight w:val="none"/>
        </w:rPr>
      </w:pPr>
    </w:p>
    <w:p w14:paraId="56B1C115">
      <w:pPr>
        <w:spacing w:line="600" w:lineRule="exact"/>
        <w:ind w:right="-9"/>
        <w:jc w:val="center"/>
        <w:rPr>
          <w:rFonts w:ascii="宋体" w:hAnsi="宋体"/>
          <w:color w:val="auto"/>
          <w:sz w:val="24"/>
          <w:highlight w:val="none"/>
        </w:rPr>
      </w:pPr>
      <w:r>
        <w:rPr>
          <w:rFonts w:hint="eastAsia" w:ascii="宋体" w:hAnsi="宋体"/>
          <w:color w:val="auto"/>
          <w:sz w:val="24"/>
          <w:highlight w:val="none"/>
        </w:rPr>
        <w:t>日期：  年 月 日</w:t>
      </w:r>
    </w:p>
    <w:p w14:paraId="0DB786C7">
      <w:pPr>
        <w:spacing w:line="600" w:lineRule="exact"/>
        <w:ind w:right="-9"/>
        <w:jc w:val="center"/>
        <w:rPr>
          <w:rFonts w:ascii="宋体" w:hAnsi="宋体"/>
          <w:color w:val="auto"/>
          <w:sz w:val="24"/>
          <w:highlight w:val="none"/>
        </w:rPr>
      </w:pPr>
    </w:p>
    <w:p w14:paraId="5825803F">
      <w:pPr>
        <w:spacing w:line="600" w:lineRule="exact"/>
        <w:ind w:right="-9"/>
        <w:jc w:val="center"/>
        <w:rPr>
          <w:rFonts w:ascii="宋体" w:hAnsi="宋体"/>
          <w:color w:val="auto"/>
          <w:sz w:val="24"/>
          <w:highlight w:val="none"/>
        </w:rPr>
      </w:pPr>
    </w:p>
    <w:p w14:paraId="24452E99">
      <w:pPr>
        <w:spacing w:line="600" w:lineRule="exact"/>
        <w:ind w:right="-9"/>
        <w:jc w:val="center"/>
        <w:rPr>
          <w:rFonts w:ascii="宋体" w:hAnsi="宋体"/>
          <w:color w:val="auto"/>
          <w:sz w:val="24"/>
          <w:highlight w:val="none"/>
        </w:rPr>
      </w:pPr>
    </w:p>
    <w:p w14:paraId="6EFCEF98">
      <w:pPr>
        <w:spacing w:line="360" w:lineRule="auto"/>
        <w:ind w:left="314" w:hanging="314" w:hangingChars="131"/>
        <w:rPr>
          <w:rFonts w:ascii="宋体" w:hAnsi="宋体"/>
          <w:color w:val="auto"/>
          <w:sz w:val="24"/>
          <w:highlight w:val="none"/>
        </w:rPr>
      </w:pPr>
      <w:r>
        <w:rPr>
          <w:rFonts w:hint="eastAsia" w:ascii="宋体" w:hAnsi="宋体"/>
          <w:color w:val="auto"/>
          <w:sz w:val="24"/>
          <w:highlight w:val="none"/>
        </w:rPr>
        <w:t>定标委员会签名：</w:t>
      </w:r>
    </w:p>
    <w:p w14:paraId="1F4B228D">
      <w:pPr>
        <w:widowControl/>
        <w:jc w:val="left"/>
        <w:rPr>
          <w:rFonts w:ascii="宋体" w:hAnsi="宋体"/>
          <w:color w:val="auto"/>
          <w:sz w:val="32"/>
          <w:szCs w:val="32"/>
          <w:highlight w:val="none"/>
        </w:rPr>
      </w:pPr>
    </w:p>
    <w:p w14:paraId="2714E684">
      <w:pPr>
        <w:pStyle w:val="27"/>
        <w:rPr>
          <w:color w:val="auto"/>
          <w:sz w:val="32"/>
          <w:highlight w:val="none"/>
        </w:rPr>
      </w:pPr>
    </w:p>
    <w:p w14:paraId="5C0AA763">
      <w:pPr>
        <w:rPr>
          <w:rFonts w:ascii="宋体" w:hAnsi="宋体"/>
          <w:color w:val="auto"/>
          <w:sz w:val="32"/>
          <w:szCs w:val="32"/>
          <w:highlight w:val="none"/>
        </w:rPr>
      </w:pPr>
    </w:p>
    <w:p w14:paraId="1FE31AA6">
      <w:pPr>
        <w:pStyle w:val="27"/>
        <w:rPr>
          <w:color w:val="auto"/>
          <w:sz w:val="32"/>
          <w:highlight w:val="none"/>
        </w:rPr>
      </w:pPr>
    </w:p>
    <w:p w14:paraId="671EE875">
      <w:pPr>
        <w:rPr>
          <w:rFonts w:ascii="宋体" w:hAnsi="宋体"/>
          <w:color w:val="auto"/>
          <w:sz w:val="32"/>
          <w:szCs w:val="32"/>
          <w:highlight w:val="none"/>
        </w:rPr>
      </w:pPr>
    </w:p>
    <w:p w14:paraId="16EB31F5">
      <w:pPr>
        <w:pStyle w:val="27"/>
        <w:rPr>
          <w:color w:val="auto"/>
          <w:sz w:val="32"/>
          <w:highlight w:val="none"/>
        </w:rPr>
      </w:pPr>
    </w:p>
    <w:p w14:paraId="0D764738">
      <w:pPr>
        <w:rPr>
          <w:color w:val="auto"/>
          <w:highlight w:val="none"/>
        </w:rPr>
      </w:pPr>
    </w:p>
    <w:p w14:paraId="50697414">
      <w:pPr>
        <w:pStyle w:val="27"/>
        <w:rPr>
          <w:color w:val="auto"/>
          <w:highlight w:val="none"/>
        </w:rPr>
      </w:pPr>
    </w:p>
    <w:p w14:paraId="7B4F2A9E">
      <w:pPr>
        <w:rPr>
          <w:rFonts w:ascii="宋体" w:hAnsi="宋体"/>
          <w:color w:val="auto"/>
          <w:szCs w:val="21"/>
          <w:highlight w:val="none"/>
        </w:rPr>
      </w:pPr>
    </w:p>
    <w:p w14:paraId="170119E1">
      <w:pPr>
        <w:rPr>
          <w:rFonts w:ascii="宋体" w:hAnsi="宋体"/>
          <w:b/>
          <w:color w:val="auto"/>
          <w:szCs w:val="21"/>
          <w:highlight w:val="none"/>
        </w:rPr>
      </w:pPr>
      <w:r>
        <w:rPr>
          <w:rFonts w:hint="eastAsia" w:ascii="宋体" w:hAnsi="宋体"/>
          <w:color w:val="auto"/>
          <w:szCs w:val="21"/>
          <w:highlight w:val="none"/>
        </w:rPr>
        <w:t>附表十二</w:t>
      </w:r>
    </w:p>
    <w:p w14:paraId="14B491DD">
      <w:pPr>
        <w:jc w:val="center"/>
        <w:rPr>
          <w:rFonts w:ascii="宋体" w:hAnsi="宋体"/>
          <w:b/>
          <w:color w:val="auto"/>
          <w:sz w:val="36"/>
          <w:szCs w:val="36"/>
          <w:highlight w:val="none"/>
        </w:rPr>
      </w:pPr>
      <w:r>
        <w:rPr>
          <w:rFonts w:hint="eastAsia" w:ascii="宋体" w:hAnsi="宋体"/>
          <w:b/>
          <w:color w:val="auto"/>
          <w:sz w:val="36"/>
          <w:szCs w:val="36"/>
          <w:highlight w:val="none"/>
        </w:rPr>
        <w:t>投票票决排序汇总表</w:t>
      </w:r>
    </w:p>
    <w:p w14:paraId="6907208A">
      <w:pPr>
        <w:jc w:val="center"/>
        <w:rPr>
          <w:rFonts w:ascii="宋体" w:hAnsi="宋体"/>
          <w:b/>
          <w:color w:val="auto"/>
          <w:sz w:val="30"/>
          <w:szCs w:val="30"/>
          <w:highlight w:val="none"/>
        </w:rPr>
      </w:pPr>
      <w:r>
        <w:rPr>
          <w:rFonts w:hint="eastAsia" w:ascii="宋体" w:hAnsi="宋体"/>
          <w:b/>
          <w:color w:val="auto"/>
          <w:sz w:val="36"/>
          <w:szCs w:val="36"/>
          <w:highlight w:val="none"/>
        </w:rPr>
        <w:t>（定标阶段用表）</w:t>
      </w:r>
    </w:p>
    <w:p w14:paraId="5C7DE8C8">
      <w:pPr>
        <w:rPr>
          <w:rFonts w:ascii="宋体" w:hAnsi="宋体"/>
          <w:color w:val="auto"/>
          <w:sz w:val="24"/>
          <w:highlight w:val="none"/>
        </w:rPr>
      </w:pPr>
      <w:r>
        <w:rPr>
          <w:rFonts w:hint="eastAsia" w:ascii="宋体" w:hAnsi="宋体"/>
          <w:color w:val="auto"/>
          <w:sz w:val="24"/>
          <w:highlight w:val="none"/>
        </w:rPr>
        <w:t>工程名称：</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98"/>
        <w:gridCol w:w="893"/>
        <w:gridCol w:w="913"/>
        <w:gridCol w:w="815"/>
        <w:gridCol w:w="1447"/>
        <w:gridCol w:w="1255"/>
        <w:gridCol w:w="1243"/>
      </w:tblGrid>
      <w:tr w14:paraId="4C24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5C742724">
            <w:pPr>
              <w:jc w:val="center"/>
              <w:rPr>
                <w:rFonts w:ascii="宋体" w:hAnsi="宋体"/>
                <w:color w:val="auto"/>
                <w:sz w:val="24"/>
                <w:highlight w:val="none"/>
              </w:rPr>
            </w:pPr>
            <w:r>
              <w:rPr>
                <w:rFonts w:hint="eastAsia" w:ascii="宋体" w:hAnsi="宋体"/>
                <w:color w:val="auto"/>
                <w:sz w:val="24"/>
                <w:highlight w:val="none"/>
              </w:rPr>
              <w:t>序号</w:t>
            </w:r>
          </w:p>
        </w:tc>
        <w:tc>
          <w:tcPr>
            <w:tcW w:w="1998" w:type="dxa"/>
            <w:tcBorders>
              <w:top w:val="single" w:color="auto" w:sz="4" w:space="0"/>
              <w:left w:val="single" w:color="auto" w:sz="4" w:space="0"/>
              <w:bottom w:val="single" w:color="auto" w:sz="4" w:space="0"/>
              <w:right w:val="single" w:color="auto" w:sz="4" w:space="0"/>
            </w:tcBorders>
            <w:noWrap/>
            <w:vAlign w:val="center"/>
          </w:tcPr>
          <w:p w14:paraId="2AF82297">
            <w:pPr>
              <w:jc w:val="center"/>
              <w:rPr>
                <w:rFonts w:ascii="宋体" w:hAnsi="宋体"/>
                <w:color w:val="auto"/>
                <w:sz w:val="24"/>
                <w:highlight w:val="none"/>
              </w:rPr>
            </w:pPr>
            <w:r>
              <w:rPr>
                <w:rFonts w:hint="eastAsia" w:ascii="宋体" w:hAnsi="宋体"/>
                <w:color w:val="auto"/>
                <w:sz w:val="24"/>
                <w:highlight w:val="none"/>
              </w:rPr>
              <w:t>投标人</w:t>
            </w:r>
          </w:p>
        </w:tc>
        <w:tc>
          <w:tcPr>
            <w:tcW w:w="893" w:type="dxa"/>
            <w:tcBorders>
              <w:top w:val="single" w:color="auto" w:sz="4" w:space="0"/>
              <w:left w:val="single" w:color="auto" w:sz="4" w:space="0"/>
              <w:bottom w:val="single" w:color="auto" w:sz="4" w:space="0"/>
              <w:right w:val="single" w:color="auto" w:sz="4" w:space="0"/>
            </w:tcBorders>
            <w:noWrap/>
            <w:vAlign w:val="center"/>
          </w:tcPr>
          <w:p w14:paraId="3A082E9A">
            <w:pPr>
              <w:jc w:val="center"/>
              <w:rPr>
                <w:rFonts w:ascii="宋体" w:hAnsi="宋体"/>
                <w:color w:val="auto"/>
                <w:szCs w:val="21"/>
                <w:highlight w:val="none"/>
              </w:rPr>
            </w:pPr>
            <w:r>
              <w:rPr>
                <w:rFonts w:hint="eastAsia" w:ascii="宋体" w:hAnsi="宋体"/>
                <w:color w:val="auto"/>
                <w:szCs w:val="21"/>
                <w:highlight w:val="none"/>
              </w:rPr>
              <w:t>第</w:t>
            </w:r>
            <w:r>
              <w:rPr>
                <w:rFonts w:ascii="宋体" w:hAnsi="宋体"/>
                <w:color w:val="auto"/>
                <w:szCs w:val="21"/>
                <w:highlight w:val="none"/>
              </w:rPr>
              <w:t>1</w:t>
            </w:r>
            <w:r>
              <w:rPr>
                <w:rFonts w:hint="eastAsia" w:ascii="宋体" w:hAnsi="宋体"/>
                <w:color w:val="auto"/>
                <w:szCs w:val="21"/>
                <w:highlight w:val="none"/>
              </w:rPr>
              <w:t>轮排序</w:t>
            </w:r>
          </w:p>
        </w:tc>
        <w:tc>
          <w:tcPr>
            <w:tcW w:w="913" w:type="dxa"/>
            <w:tcBorders>
              <w:top w:val="single" w:color="auto" w:sz="4" w:space="0"/>
              <w:left w:val="single" w:color="auto" w:sz="4" w:space="0"/>
              <w:bottom w:val="single" w:color="auto" w:sz="4" w:space="0"/>
              <w:right w:val="single" w:color="auto" w:sz="4" w:space="0"/>
            </w:tcBorders>
            <w:noWrap/>
          </w:tcPr>
          <w:p w14:paraId="01F889E5">
            <w:pPr>
              <w:jc w:val="center"/>
              <w:rPr>
                <w:rFonts w:ascii="宋体" w:hAnsi="宋体"/>
                <w:color w:val="auto"/>
                <w:highlight w:val="none"/>
              </w:rPr>
            </w:pPr>
            <w:r>
              <w:rPr>
                <w:rFonts w:hint="eastAsia" w:ascii="宋体" w:hAnsi="宋体"/>
                <w:color w:val="auto"/>
                <w:szCs w:val="21"/>
                <w:highlight w:val="none"/>
              </w:rPr>
              <w:t>第</w:t>
            </w:r>
            <w:r>
              <w:rPr>
                <w:rFonts w:ascii="宋体" w:hAnsi="宋体"/>
                <w:color w:val="auto"/>
                <w:szCs w:val="21"/>
                <w:highlight w:val="none"/>
              </w:rPr>
              <w:t>1</w:t>
            </w:r>
            <w:r>
              <w:rPr>
                <w:rFonts w:hint="eastAsia" w:ascii="宋体" w:hAnsi="宋体"/>
                <w:color w:val="auto"/>
                <w:szCs w:val="21"/>
                <w:highlight w:val="none"/>
              </w:rPr>
              <w:t>轮总分</w:t>
            </w:r>
          </w:p>
        </w:tc>
        <w:tc>
          <w:tcPr>
            <w:tcW w:w="815" w:type="dxa"/>
            <w:tcBorders>
              <w:top w:val="single" w:color="auto" w:sz="4" w:space="0"/>
              <w:left w:val="single" w:color="auto" w:sz="4" w:space="0"/>
              <w:bottom w:val="single" w:color="auto" w:sz="4" w:space="0"/>
              <w:right w:val="single" w:color="auto" w:sz="4" w:space="0"/>
            </w:tcBorders>
            <w:noWrap/>
          </w:tcPr>
          <w:p w14:paraId="3C0C7022">
            <w:pPr>
              <w:jc w:val="center"/>
              <w:rPr>
                <w:rFonts w:ascii="宋体" w:hAnsi="宋体"/>
                <w:color w:val="auto"/>
                <w:highlight w:val="none"/>
              </w:rPr>
            </w:pPr>
            <w:r>
              <w:rPr>
                <w:rFonts w:hint="eastAsia" w:ascii="宋体" w:hAnsi="宋体"/>
                <w:color w:val="auto"/>
                <w:szCs w:val="21"/>
                <w:highlight w:val="none"/>
              </w:rPr>
              <w:t>第</w:t>
            </w:r>
            <w:r>
              <w:rPr>
                <w:rFonts w:ascii="宋体" w:hAnsi="宋体"/>
                <w:color w:val="auto"/>
                <w:szCs w:val="21"/>
                <w:highlight w:val="none"/>
              </w:rPr>
              <w:t>2</w:t>
            </w:r>
            <w:r>
              <w:rPr>
                <w:rFonts w:hint="eastAsia" w:ascii="宋体" w:hAnsi="宋体"/>
                <w:color w:val="auto"/>
                <w:szCs w:val="21"/>
                <w:highlight w:val="none"/>
              </w:rPr>
              <w:t>轮排序</w:t>
            </w:r>
          </w:p>
        </w:tc>
        <w:tc>
          <w:tcPr>
            <w:tcW w:w="1447" w:type="dxa"/>
            <w:tcBorders>
              <w:top w:val="single" w:color="auto" w:sz="4" w:space="0"/>
              <w:left w:val="single" w:color="auto" w:sz="4" w:space="0"/>
              <w:bottom w:val="single" w:color="auto" w:sz="4" w:space="0"/>
              <w:right w:val="single" w:color="auto" w:sz="4" w:space="0"/>
            </w:tcBorders>
            <w:noWrap/>
          </w:tcPr>
          <w:p w14:paraId="077DE387">
            <w:pPr>
              <w:jc w:val="center"/>
              <w:rPr>
                <w:rFonts w:ascii="宋体" w:hAnsi="宋体"/>
                <w:color w:val="auto"/>
                <w:highlight w:val="none"/>
              </w:rPr>
            </w:pPr>
            <w:r>
              <w:rPr>
                <w:rFonts w:ascii="宋体" w:hAnsi="宋体"/>
                <w:color w:val="auto"/>
                <w:highlight w:val="none"/>
              </w:rPr>
              <w:t>……</w:t>
            </w:r>
          </w:p>
        </w:tc>
        <w:tc>
          <w:tcPr>
            <w:tcW w:w="1255" w:type="dxa"/>
            <w:tcBorders>
              <w:top w:val="single" w:color="auto" w:sz="4" w:space="0"/>
              <w:left w:val="single" w:color="auto" w:sz="4" w:space="0"/>
              <w:bottom w:val="single" w:color="auto" w:sz="4" w:space="0"/>
              <w:right w:val="single" w:color="auto" w:sz="4" w:space="0"/>
            </w:tcBorders>
            <w:noWrap/>
          </w:tcPr>
          <w:p w14:paraId="1303D2CE">
            <w:pPr>
              <w:jc w:val="center"/>
              <w:rPr>
                <w:rFonts w:ascii="宋体" w:hAnsi="宋体"/>
                <w:color w:val="auto"/>
                <w:szCs w:val="21"/>
                <w:highlight w:val="none"/>
              </w:rPr>
            </w:pPr>
            <w:r>
              <w:rPr>
                <w:rFonts w:hint="eastAsia" w:ascii="宋体" w:hAnsi="宋体"/>
                <w:color w:val="auto"/>
                <w:szCs w:val="21"/>
                <w:highlight w:val="none"/>
              </w:rPr>
              <w:t>第轮</w:t>
            </w:r>
          </w:p>
          <w:p w14:paraId="3D98E161">
            <w:pPr>
              <w:jc w:val="center"/>
              <w:rPr>
                <w:rFonts w:ascii="宋体" w:hAnsi="宋体"/>
                <w:color w:val="auto"/>
                <w:highlight w:val="none"/>
              </w:rPr>
            </w:pPr>
            <w:r>
              <w:rPr>
                <w:rFonts w:hint="eastAsia" w:ascii="宋体" w:hAnsi="宋体"/>
                <w:color w:val="auto"/>
                <w:szCs w:val="21"/>
                <w:highlight w:val="none"/>
              </w:rPr>
              <w:t>排序</w:t>
            </w:r>
          </w:p>
        </w:tc>
        <w:tc>
          <w:tcPr>
            <w:tcW w:w="1243" w:type="dxa"/>
            <w:tcBorders>
              <w:top w:val="single" w:color="auto" w:sz="4" w:space="0"/>
              <w:left w:val="single" w:color="auto" w:sz="4" w:space="0"/>
              <w:bottom w:val="single" w:color="auto" w:sz="4" w:space="0"/>
              <w:right w:val="single" w:color="auto" w:sz="4" w:space="0"/>
            </w:tcBorders>
            <w:noWrap/>
          </w:tcPr>
          <w:p w14:paraId="55E1220A">
            <w:pPr>
              <w:jc w:val="center"/>
              <w:rPr>
                <w:rFonts w:ascii="宋体" w:hAnsi="宋体"/>
                <w:color w:val="auto"/>
                <w:szCs w:val="21"/>
                <w:highlight w:val="none"/>
              </w:rPr>
            </w:pPr>
            <w:r>
              <w:rPr>
                <w:rFonts w:hint="eastAsia" w:ascii="宋体" w:hAnsi="宋体"/>
                <w:color w:val="auto"/>
                <w:szCs w:val="21"/>
                <w:highlight w:val="none"/>
              </w:rPr>
              <w:t>入围候选人排序</w:t>
            </w:r>
          </w:p>
        </w:tc>
      </w:tr>
      <w:tr w14:paraId="4C1B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25D9615F">
            <w:pPr>
              <w:jc w:val="center"/>
              <w:rPr>
                <w:rFonts w:ascii="宋体" w:hAnsi="宋体"/>
                <w:color w:val="auto"/>
                <w:sz w:val="24"/>
                <w:highlight w:val="none"/>
              </w:rPr>
            </w:pPr>
            <w:r>
              <w:rPr>
                <w:rFonts w:ascii="宋体" w:hAnsi="宋体"/>
                <w:color w:val="auto"/>
                <w:sz w:val="24"/>
                <w:highlight w:val="none"/>
              </w:rPr>
              <w:t>1</w:t>
            </w:r>
          </w:p>
        </w:tc>
        <w:tc>
          <w:tcPr>
            <w:tcW w:w="1998" w:type="dxa"/>
            <w:tcBorders>
              <w:top w:val="single" w:color="auto" w:sz="4" w:space="0"/>
              <w:left w:val="single" w:color="auto" w:sz="4" w:space="0"/>
              <w:bottom w:val="single" w:color="auto" w:sz="4" w:space="0"/>
              <w:right w:val="single" w:color="auto" w:sz="4" w:space="0"/>
            </w:tcBorders>
            <w:noWrap/>
            <w:vAlign w:val="center"/>
          </w:tcPr>
          <w:p w14:paraId="6216666A">
            <w:pPr>
              <w:jc w:val="center"/>
              <w:rPr>
                <w:rFonts w:ascii="宋体" w:hAnsi="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6BC7507C">
            <w:pPr>
              <w:jc w:val="center"/>
              <w:rPr>
                <w:rFonts w:ascii="宋体" w:hAns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noWrap/>
            <w:vAlign w:val="center"/>
          </w:tcPr>
          <w:p w14:paraId="71AD274C">
            <w:pPr>
              <w:jc w:val="center"/>
              <w:rPr>
                <w:rFonts w:ascii="宋体" w:hAnsi="宋体"/>
                <w:color w:val="auto"/>
                <w:sz w:val="24"/>
                <w:highlight w:val="none"/>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780615FF">
            <w:pPr>
              <w:jc w:val="center"/>
              <w:rPr>
                <w:rFonts w:ascii="宋体" w:hAnsi="宋体"/>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ign w:val="center"/>
          </w:tcPr>
          <w:p w14:paraId="3FFF8FEA">
            <w:pPr>
              <w:jc w:val="center"/>
              <w:rPr>
                <w:rFonts w:ascii="宋体" w:hAnsi="宋体"/>
                <w:color w:val="auto"/>
                <w:sz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3B45BB44">
            <w:pPr>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tcPr>
          <w:p w14:paraId="65692061">
            <w:pPr>
              <w:jc w:val="center"/>
              <w:rPr>
                <w:rFonts w:ascii="宋体" w:hAnsi="宋体"/>
                <w:color w:val="auto"/>
                <w:sz w:val="24"/>
                <w:highlight w:val="none"/>
              </w:rPr>
            </w:pPr>
          </w:p>
        </w:tc>
      </w:tr>
      <w:tr w14:paraId="470C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6B8E7F98">
            <w:pPr>
              <w:jc w:val="center"/>
              <w:rPr>
                <w:rFonts w:ascii="宋体" w:hAnsi="宋体"/>
                <w:color w:val="auto"/>
                <w:sz w:val="24"/>
                <w:highlight w:val="none"/>
              </w:rPr>
            </w:pPr>
            <w:r>
              <w:rPr>
                <w:rFonts w:ascii="宋体" w:hAnsi="宋体"/>
                <w:color w:val="auto"/>
                <w:sz w:val="24"/>
                <w:highlight w:val="none"/>
              </w:rPr>
              <w:t>2</w:t>
            </w:r>
          </w:p>
        </w:tc>
        <w:tc>
          <w:tcPr>
            <w:tcW w:w="1998" w:type="dxa"/>
            <w:tcBorders>
              <w:top w:val="single" w:color="auto" w:sz="4" w:space="0"/>
              <w:left w:val="single" w:color="auto" w:sz="4" w:space="0"/>
              <w:bottom w:val="single" w:color="auto" w:sz="4" w:space="0"/>
              <w:right w:val="single" w:color="auto" w:sz="4" w:space="0"/>
            </w:tcBorders>
            <w:noWrap/>
            <w:vAlign w:val="center"/>
          </w:tcPr>
          <w:p w14:paraId="74455AB8">
            <w:pPr>
              <w:jc w:val="center"/>
              <w:rPr>
                <w:rFonts w:ascii="宋体" w:hAnsi="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33CCB741">
            <w:pPr>
              <w:jc w:val="center"/>
              <w:rPr>
                <w:rFonts w:ascii="宋体" w:hAns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noWrap/>
            <w:vAlign w:val="center"/>
          </w:tcPr>
          <w:p w14:paraId="5C1FE8AE">
            <w:pPr>
              <w:jc w:val="center"/>
              <w:rPr>
                <w:rFonts w:ascii="宋体" w:hAnsi="宋体"/>
                <w:color w:val="auto"/>
                <w:sz w:val="24"/>
                <w:highlight w:val="none"/>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40AED27C">
            <w:pPr>
              <w:jc w:val="center"/>
              <w:rPr>
                <w:rFonts w:ascii="宋体" w:hAnsi="宋体"/>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ign w:val="center"/>
          </w:tcPr>
          <w:p w14:paraId="411D01C5">
            <w:pPr>
              <w:jc w:val="center"/>
              <w:rPr>
                <w:rFonts w:ascii="宋体" w:hAnsi="宋体"/>
                <w:color w:val="auto"/>
                <w:sz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11B76E1">
            <w:pPr>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tcPr>
          <w:p w14:paraId="38D90276">
            <w:pPr>
              <w:jc w:val="center"/>
              <w:rPr>
                <w:rFonts w:ascii="宋体" w:hAnsi="宋体"/>
                <w:color w:val="auto"/>
                <w:sz w:val="24"/>
                <w:highlight w:val="none"/>
              </w:rPr>
            </w:pPr>
          </w:p>
        </w:tc>
      </w:tr>
      <w:tr w14:paraId="3DE5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4D980212">
            <w:pPr>
              <w:jc w:val="center"/>
              <w:rPr>
                <w:rFonts w:ascii="宋体" w:hAnsi="宋体"/>
                <w:color w:val="auto"/>
                <w:sz w:val="24"/>
                <w:highlight w:val="none"/>
              </w:rPr>
            </w:pPr>
            <w:r>
              <w:rPr>
                <w:rFonts w:ascii="宋体" w:hAnsi="宋体"/>
                <w:color w:val="auto"/>
                <w:sz w:val="24"/>
                <w:highlight w:val="none"/>
              </w:rPr>
              <w:t>3</w:t>
            </w:r>
          </w:p>
        </w:tc>
        <w:tc>
          <w:tcPr>
            <w:tcW w:w="1998" w:type="dxa"/>
            <w:tcBorders>
              <w:top w:val="single" w:color="auto" w:sz="4" w:space="0"/>
              <w:left w:val="single" w:color="auto" w:sz="4" w:space="0"/>
              <w:bottom w:val="single" w:color="auto" w:sz="4" w:space="0"/>
              <w:right w:val="single" w:color="auto" w:sz="4" w:space="0"/>
            </w:tcBorders>
            <w:noWrap/>
            <w:vAlign w:val="center"/>
          </w:tcPr>
          <w:p w14:paraId="5C1F33CC">
            <w:pPr>
              <w:jc w:val="center"/>
              <w:rPr>
                <w:rFonts w:ascii="宋体" w:hAnsi="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6841E556">
            <w:pPr>
              <w:jc w:val="center"/>
              <w:rPr>
                <w:rFonts w:ascii="宋体" w:hAns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noWrap/>
            <w:vAlign w:val="center"/>
          </w:tcPr>
          <w:p w14:paraId="47E53026">
            <w:pPr>
              <w:jc w:val="center"/>
              <w:rPr>
                <w:rFonts w:ascii="宋体" w:hAnsi="宋体"/>
                <w:color w:val="auto"/>
                <w:sz w:val="24"/>
                <w:highlight w:val="none"/>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6BC9E004">
            <w:pPr>
              <w:jc w:val="center"/>
              <w:rPr>
                <w:rFonts w:ascii="宋体" w:hAnsi="宋体"/>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ign w:val="center"/>
          </w:tcPr>
          <w:p w14:paraId="5F9F4976">
            <w:pPr>
              <w:jc w:val="center"/>
              <w:rPr>
                <w:rFonts w:ascii="宋体" w:hAnsi="宋体"/>
                <w:color w:val="auto"/>
                <w:sz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1B485928">
            <w:pPr>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tcPr>
          <w:p w14:paraId="765D7B21">
            <w:pPr>
              <w:jc w:val="center"/>
              <w:rPr>
                <w:rFonts w:ascii="宋体" w:hAnsi="宋体"/>
                <w:color w:val="auto"/>
                <w:sz w:val="24"/>
                <w:highlight w:val="none"/>
              </w:rPr>
            </w:pPr>
          </w:p>
        </w:tc>
      </w:tr>
      <w:tr w14:paraId="3476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76D60B6A">
            <w:pPr>
              <w:jc w:val="center"/>
              <w:rPr>
                <w:rFonts w:ascii="宋体" w:hAnsi="宋体"/>
                <w:color w:val="auto"/>
                <w:sz w:val="24"/>
                <w:highlight w:val="none"/>
              </w:rPr>
            </w:pPr>
            <w:r>
              <w:rPr>
                <w:rFonts w:ascii="宋体" w:hAnsi="宋体"/>
                <w:color w:val="auto"/>
                <w:sz w:val="24"/>
                <w:highlight w:val="none"/>
              </w:rPr>
              <w:t>4</w:t>
            </w:r>
          </w:p>
        </w:tc>
        <w:tc>
          <w:tcPr>
            <w:tcW w:w="1998" w:type="dxa"/>
            <w:tcBorders>
              <w:top w:val="single" w:color="auto" w:sz="4" w:space="0"/>
              <w:left w:val="single" w:color="auto" w:sz="4" w:space="0"/>
              <w:bottom w:val="single" w:color="auto" w:sz="4" w:space="0"/>
              <w:right w:val="single" w:color="auto" w:sz="4" w:space="0"/>
            </w:tcBorders>
            <w:noWrap/>
            <w:vAlign w:val="center"/>
          </w:tcPr>
          <w:p w14:paraId="6B0137B4">
            <w:pPr>
              <w:jc w:val="center"/>
              <w:rPr>
                <w:rFonts w:ascii="宋体" w:hAnsi="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23C03FCD">
            <w:pPr>
              <w:jc w:val="center"/>
              <w:rPr>
                <w:rFonts w:ascii="宋体" w:hAns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noWrap/>
            <w:vAlign w:val="center"/>
          </w:tcPr>
          <w:p w14:paraId="5DE0A7D5">
            <w:pPr>
              <w:jc w:val="center"/>
              <w:rPr>
                <w:rFonts w:ascii="宋体" w:hAnsi="宋体"/>
                <w:color w:val="auto"/>
                <w:sz w:val="24"/>
                <w:highlight w:val="none"/>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28EFA72C">
            <w:pPr>
              <w:jc w:val="center"/>
              <w:rPr>
                <w:rFonts w:ascii="宋体" w:hAnsi="宋体"/>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ign w:val="center"/>
          </w:tcPr>
          <w:p w14:paraId="63FE84FC">
            <w:pPr>
              <w:jc w:val="center"/>
              <w:rPr>
                <w:rFonts w:ascii="宋体" w:hAnsi="宋体"/>
                <w:color w:val="auto"/>
                <w:sz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63CC976F">
            <w:pPr>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tcPr>
          <w:p w14:paraId="51B6D112">
            <w:pPr>
              <w:jc w:val="center"/>
              <w:rPr>
                <w:rFonts w:ascii="宋体" w:hAnsi="宋体"/>
                <w:color w:val="auto"/>
                <w:sz w:val="24"/>
                <w:highlight w:val="none"/>
              </w:rPr>
            </w:pPr>
          </w:p>
        </w:tc>
      </w:tr>
      <w:tr w14:paraId="4592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4EC314A3">
            <w:pPr>
              <w:jc w:val="center"/>
              <w:rPr>
                <w:rFonts w:ascii="宋体" w:hAnsi="宋体"/>
                <w:color w:val="auto"/>
                <w:sz w:val="24"/>
                <w:highlight w:val="none"/>
              </w:rPr>
            </w:pPr>
            <w:r>
              <w:rPr>
                <w:rFonts w:ascii="宋体" w:hAnsi="宋体"/>
                <w:color w:val="auto"/>
                <w:sz w:val="24"/>
                <w:highlight w:val="none"/>
              </w:rPr>
              <w:t>5</w:t>
            </w:r>
          </w:p>
        </w:tc>
        <w:tc>
          <w:tcPr>
            <w:tcW w:w="1998" w:type="dxa"/>
            <w:tcBorders>
              <w:top w:val="single" w:color="auto" w:sz="4" w:space="0"/>
              <w:left w:val="single" w:color="auto" w:sz="4" w:space="0"/>
              <w:bottom w:val="single" w:color="auto" w:sz="4" w:space="0"/>
              <w:right w:val="single" w:color="auto" w:sz="4" w:space="0"/>
            </w:tcBorders>
            <w:noWrap/>
            <w:vAlign w:val="center"/>
          </w:tcPr>
          <w:p w14:paraId="36BD5101">
            <w:pPr>
              <w:jc w:val="center"/>
              <w:rPr>
                <w:rFonts w:ascii="宋体" w:hAnsi="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375541CC">
            <w:pPr>
              <w:jc w:val="center"/>
              <w:rPr>
                <w:rFonts w:ascii="宋体" w:hAns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noWrap/>
            <w:vAlign w:val="center"/>
          </w:tcPr>
          <w:p w14:paraId="26C04144">
            <w:pPr>
              <w:jc w:val="center"/>
              <w:rPr>
                <w:rFonts w:ascii="宋体" w:hAnsi="宋体"/>
                <w:color w:val="auto"/>
                <w:sz w:val="24"/>
                <w:highlight w:val="none"/>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5944695C">
            <w:pPr>
              <w:jc w:val="center"/>
              <w:rPr>
                <w:rFonts w:ascii="宋体" w:hAnsi="宋体"/>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ign w:val="center"/>
          </w:tcPr>
          <w:p w14:paraId="28628723">
            <w:pPr>
              <w:jc w:val="center"/>
              <w:rPr>
                <w:rFonts w:ascii="宋体" w:hAnsi="宋体"/>
                <w:color w:val="auto"/>
                <w:sz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7BD4B7B8">
            <w:pPr>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tcPr>
          <w:p w14:paraId="42469D3E">
            <w:pPr>
              <w:jc w:val="center"/>
              <w:rPr>
                <w:rFonts w:ascii="宋体" w:hAnsi="宋体"/>
                <w:color w:val="auto"/>
                <w:sz w:val="24"/>
                <w:highlight w:val="none"/>
              </w:rPr>
            </w:pPr>
          </w:p>
        </w:tc>
      </w:tr>
      <w:tr w14:paraId="618C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4FB9DA2E">
            <w:pPr>
              <w:jc w:val="center"/>
              <w:rPr>
                <w:rFonts w:ascii="宋体" w:hAnsi="宋体"/>
                <w:color w:val="auto"/>
                <w:sz w:val="24"/>
                <w:highlight w:val="none"/>
              </w:rPr>
            </w:pPr>
            <w:r>
              <w:rPr>
                <w:rFonts w:ascii="宋体" w:hAnsi="宋体"/>
                <w:color w:val="auto"/>
                <w:sz w:val="24"/>
                <w:highlight w:val="none"/>
              </w:rPr>
              <w:t>6</w:t>
            </w:r>
          </w:p>
        </w:tc>
        <w:tc>
          <w:tcPr>
            <w:tcW w:w="1998" w:type="dxa"/>
            <w:tcBorders>
              <w:top w:val="single" w:color="auto" w:sz="4" w:space="0"/>
              <w:left w:val="single" w:color="auto" w:sz="4" w:space="0"/>
              <w:bottom w:val="single" w:color="auto" w:sz="4" w:space="0"/>
              <w:right w:val="single" w:color="auto" w:sz="4" w:space="0"/>
            </w:tcBorders>
            <w:noWrap/>
            <w:vAlign w:val="center"/>
          </w:tcPr>
          <w:p w14:paraId="6678AC01">
            <w:pPr>
              <w:jc w:val="center"/>
              <w:rPr>
                <w:rFonts w:ascii="宋体" w:hAnsi="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1F76FFFE">
            <w:pPr>
              <w:jc w:val="center"/>
              <w:rPr>
                <w:rFonts w:ascii="宋体" w:hAns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noWrap/>
            <w:vAlign w:val="center"/>
          </w:tcPr>
          <w:p w14:paraId="67011471">
            <w:pPr>
              <w:jc w:val="center"/>
              <w:rPr>
                <w:rFonts w:ascii="宋体" w:hAnsi="宋体"/>
                <w:color w:val="auto"/>
                <w:sz w:val="24"/>
                <w:highlight w:val="none"/>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41C1DADF">
            <w:pPr>
              <w:jc w:val="center"/>
              <w:rPr>
                <w:rFonts w:ascii="宋体" w:hAnsi="宋体"/>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ign w:val="center"/>
          </w:tcPr>
          <w:p w14:paraId="6BFA22CA">
            <w:pPr>
              <w:jc w:val="center"/>
              <w:rPr>
                <w:rFonts w:ascii="宋体" w:hAnsi="宋体"/>
                <w:color w:val="auto"/>
                <w:sz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75CA993E">
            <w:pPr>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tcPr>
          <w:p w14:paraId="5C2FB9D6">
            <w:pPr>
              <w:jc w:val="center"/>
              <w:rPr>
                <w:rFonts w:ascii="宋体" w:hAnsi="宋体"/>
                <w:color w:val="auto"/>
                <w:sz w:val="24"/>
                <w:highlight w:val="none"/>
              </w:rPr>
            </w:pPr>
          </w:p>
        </w:tc>
      </w:tr>
      <w:tr w14:paraId="1DBF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3438691C">
            <w:pPr>
              <w:jc w:val="center"/>
              <w:rPr>
                <w:rFonts w:ascii="宋体" w:hAnsi="宋体"/>
                <w:color w:val="auto"/>
                <w:sz w:val="24"/>
                <w:highlight w:val="none"/>
              </w:rPr>
            </w:pPr>
            <w:r>
              <w:rPr>
                <w:rFonts w:ascii="宋体" w:hAnsi="宋体"/>
                <w:color w:val="auto"/>
                <w:sz w:val="24"/>
                <w:highlight w:val="none"/>
              </w:rPr>
              <w:t>7</w:t>
            </w:r>
          </w:p>
        </w:tc>
        <w:tc>
          <w:tcPr>
            <w:tcW w:w="1998" w:type="dxa"/>
            <w:tcBorders>
              <w:top w:val="single" w:color="auto" w:sz="4" w:space="0"/>
              <w:left w:val="single" w:color="auto" w:sz="4" w:space="0"/>
              <w:bottom w:val="single" w:color="auto" w:sz="4" w:space="0"/>
              <w:right w:val="single" w:color="auto" w:sz="4" w:space="0"/>
            </w:tcBorders>
            <w:noWrap/>
            <w:vAlign w:val="center"/>
          </w:tcPr>
          <w:p w14:paraId="4AC9480F">
            <w:pPr>
              <w:jc w:val="center"/>
              <w:rPr>
                <w:rFonts w:ascii="宋体" w:hAnsi="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46C53159">
            <w:pPr>
              <w:jc w:val="center"/>
              <w:rPr>
                <w:rFonts w:ascii="宋体" w:hAns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noWrap/>
            <w:vAlign w:val="center"/>
          </w:tcPr>
          <w:p w14:paraId="460F9705">
            <w:pPr>
              <w:jc w:val="center"/>
              <w:rPr>
                <w:rFonts w:ascii="宋体" w:hAnsi="宋体"/>
                <w:color w:val="auto"/>
                <w:sz w:val="24"/>
                <w:highlight w:val="none"/>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2E2CCC1D">
            <w:pPr>
              <w:jc w:val="center"/>
              <w:rPr>
                <w:rFonts w:ascii="宋体" w:hAnsi="宋体"/>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ign w:val="center"/>
          </w:tcPr>
          <w:p w14:paraId="22F12D59">
            <w:pPr>
              <w:jc w:val="center"/>
              <w:rPr>
                <w:rFonts w:ascii="宋体" w:hAnsi="宋体"/>
                <w:color w:val="auto"/>
                <w:sz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25AFD5A3">
            <w:pPr>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tcPr>
          <w:p w14:paraId="6E2D6F9A">
            <w:pPr>
              <w:jc w:val="center"/>
              <w:rPr>
                <w:rFonts w:ascii="宋体" w:hAnsi="宋体"/>
                <w:color w:val="auto"/>
                <w:sz w:val="24"/>
                <w:highlight w:val="none"/>
              </w:rPr>
            </w:pPr>
          </w:p>
        </w:tc>
      </w:tr>
      <w:tr w14:paraId="7A6B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2" w:type="dxa"/>
            <w:tcBorders>
              <w:top w:val="single" w:color="auto" w:sz="4" w:space="0"/>
              <w:left w:val="single" w:color="auto" w:sz="4" w:space="0"/>
              <w:bottom w:val="single" w:color="auto" w:sz="4" w:space="0"/>
              <w:right w:val="single" w:color="auto" w:sz="4" w:space="0"/>
            </w:tcBorders>
            <w:noWrap/>
            <w:vAlign w:val="center"/>
          </w:tcPr>
          <w:p w14:paraId="3EC928D9">
            <w:pPr>
              <w:jc w:val="center"/>
              <w:rPr>
                <w:rFonts w:ascii="宋体" w:hAnsi="宋体"/>
                <w:color w:val="auto"/>
                <w:sz w:val="24"/>
                <w:highlight w:val="none"/>
              </w:rPr>
            </w:pPr>
            <w:r>
              <w:rPr>
                <w:rFonts w:ascii="宋体" w:hAnsi="宋体"/>
                <w:color w:val="auto"/>
                <w:sz w:val="24"/>
                <w:highlight w:val="none"/>
              </w:rPr>
              <w:t>8</w:t>
            </w:r>
          </w:p>
        </w:tc>
        <w:tc>
          <w:tcPr>
            <w:tcW w:w="1998" w:type="dxa"/>
            <w:tcBorders>
              <w:top w:val="single" w:color="auto" w:sz="4" w:space="0"/>
              <w:left w:val="single" w:color="auto" w:sz="4" w:space="0"/>
              <w:bottom w:val="single" w:color="auto" w:sz="4" w:space="0"/>
              <w:right w:val="single" w:color="auto" w:sz="4" w:space="0"/>
            </w:tcBorders>
            <w:noWrap/>
            <w:vAlign w:val="center"/>
          </w:tcPr>
          <w:p w14:paraId="44CF981E">
            <w:pPr>
              <w:jc w:val="center"/>
              <w:rPr>
                <w:rFonts w:ascii="宋体" w:hAnsi="宋体"/>
                <w:color w:val="auto"/>
                <w:sz w:val="24"/>
                <w:highlight w:val="none"/>
              </w:rPr>
            </w:pPr>
          </w:p>
        </w:tc>
        <w:tc>
          <w:tcPr>
            <w:tcW w:w="893" w:type="dxa"/>
            <w:tcBorders>
              <w:top w:val="single" w:color="auto" w:sz="4" w:space="0"/>
              <w:left w:val="single" w:color="auto" w:sz="4" w:space="0"/>
              <w:bottom w:val="single" w:color="auto" w:sz="4" w:space="0"/>
              <w:right w:val="single" w:color="auto" w:sz="4" w:space="0"/>
            </w:tcBorders>
            <w:noWrap/>
            <w:vAlign w:val="center"/>
          </w:tcPr>
          <w:p w14:paraId="68636C3A">
            <w:pPr>
              <w:jc w:val="center"/>
              <w:rPr>
                <w:rFonts w:ascii="宋体" w:hAns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noWrap/>
            <w:vAlign w:val="center"/>
          </w:tcPr>
          <w:p w14:paraId="2B6B2D07">
            <w:pPr>
              <w:jc w:val="center"/>
              <w:rPr>
                <w:rFonts w:ascii="宋体" w:hAnsi="宋体"/>
                <w:color w:val="auto"/>
                <w:sz w:val="24"/>
                <w:highlight w:val="none"/>
              </w:rPr>
            </w:pPr>
          </w:p>
        </w:tc>
        <w:tc>
          <w:tcPr>
            <w:tcW w:w="815" w:type="dxa"/>
            <w:tcBorders>
              <w:top w:val="single" w:color="auto" w:sz="4" w:space="0"/>
              <w:left w:val="single" w:color="auto" w:sz="4" w:space="0"/>
              <w:bottom w:val="single" w:color="auto" w:sz="4" w:space="0"/>
              <w:right w:val="single" w:color="auto" w:sz="4" w:space="0"/>
            </w:tcBorders>
            <w:noWrap/>
            <w:vAlign w:val="center"/>
          </w:tcPr>
          <w:p w14:paraId="05E8321B">
            <w:pPr>
              <w:jc w:val="center"/>
              <w:rPr>
                <w:rFonts w:ascii="宋体" w:hAnsi="宋体"/>
                <w:color w:val="auto"/>
                <w:sz w:val="24"/>
                <w:highlight w:val="none"/>
              </w:rPr>
            </w:pPr>
          </w:p>
        </w:tc>
        <w:tc>
          <w:tcPr>
            <w:tcW w:w="1447" w:type="dxa"/>
            <w:tcBorders>
              <w:top w:val="single" w:color="auto" w:sz="4" w:space="0"/>
              <w:left w:val="single" w:color="auto" w:sz="4" w:space="0"/>
              <w:bottom w:val="single" w:color="auto" w:sz="4" w:space="0"/>
              <w:right w:val="single" w:color="auto" w:sz="4" w:space="0"/>
            </w:tcBorders>
            <w:noWrap/>
            <w:vAlign w:val="center"/>
          </w:tcPr>
          <w:p w14:paraId="67B1F501">
            <w:pPr>
              <w:jc w:val="center"/>
              <w:rPr>
                <w:rFonts w:ascii="宋体" w:hAnsi="宋体"/>
                <w:color w:val="auto"/>
                <w:sz w:val="24"/>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0AFEE38B">
            <w:pPr>
              <w:jc w:val="center"/>
              <w:rPr>
                <w:rFonts w:ascii="宋体" w:hAnsi="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noWrap/>
          </w:tcPr>
          <w:p w14:paraId="0757FC2A">
            <w:pPr>
              <w:jc w:val="center"/>
              <w:rPr>
                <w:rFonts w:ascii="宋体" w:hAnsi="宋体"/>
                <w:color w:val="auto"/>
                <w:sz w:val="24"/>
                <w:highlight w:val="none"/>
              </w:rPr>
            </w:pPr>
          </w:p>
        </w:tc>
      </w:tr>
      <w:tr w14:paraId="3811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9286" w:type="dxa"/>
            <w:gridSpan w:val="8"/>
            <w:tcBorders>
              <w:top w:val="single" w:color="auto" w:sz="4" w:space="0"/>
              <w:left w:val="single" w:color="auto" w:sz="4" w:space="0"/>
              <w:bottom w:val="single" w:color="auto" w:sz="4" w:space="0"/>
              <w:right w:val="single" w:color="auto" w:sz="4" w:space="0"/>
            </w:tcBorders>
            <w:noWrap/>
          </w:tcPr>
          <w:p w14:paraId="2A67DD29">
            <w:pPr>
              <w:rPr>
                <w:rFonts w:ascii="宋体" w:hAnsi="宋体"/>
                <w:color w:val="auto"/>
                <w:sz w:val="24"/>
                <w:highlight w:val="none"/>
              </w:rPr>
            </w:pPr>
            <w:r>
              <w:rPr>
                <w:rFonts w:hint="eastAsia" w:ascii="宋体" w:hAnsi="宋体"/>
                <w:color w:val="auto"/>
                <w:sz w:val="24"/>
                <w:highlight w:val="none"/>
              </w:rPr>
              <w:t>定标委员会签名：</w:t>
            </w:r>
          </w:p>
        </w:tc>
      </w:tr>
    </w:tbl>
    <w:p w14:paraId="75F462C8">
      <w:pPr>
        <w:tabs>
          <w:tab w:val="left" w:pos="8321"/>
        </w:tabs>
        <w:spacing w:line="360" w:lineRule="auto"/>
        <w:ind w:right="-43"/>
        <w:rPr>
          <w:rFonts w:ascii="宋体" w:hAnsi="宋体"/>
          <w:color w:val="auto"/>
          <w:sz w:val="24"/>
          <w:highlight w:val="none"/>
        </w:rPr>
      </w:pPr>
      <w:r>
        <w:rPr>
          <w:rFonts w:hint="eastAsia" w:ascii="宋体" w:hAnsi="宋体"/>
          <w:color w:val="auto"/>
          <w:sz w:val="24"/>
          <w:highlight w:val="none"/>
        </w:rPr>
        <w:t>备注：</w:t>
      </w:r>
    </w:p>
    <w:p w14:paraId="7E4E6431">
      <w:pPr>
        <w:tabs>
          <w:tab w:val="left" w:pos="8321"/>
        </w:tabs>
        <w:ind w:right="-43"/>
        <w:rPr>
          <w:rFonts w:ascii="仿宋_GB2312" w:hAnsi="宋体"/>
          <w:color w:val="auto"/>
          <w:szCs w:val="21"/>
          <w:highlight w:val="none"/>
        </w:rPr>
        <w:sectPr>
          <w:footerReference r:id="rId17" w:type="default"/>
          <w:endnotePr>
            <w:numFmt w:val="decimal"/>
          </w:endnotePr>
          <w:pgSz w:w="11906" w:h="16838"/>
          <w:pgMar w:top="1247" w:right="1418" w:bottom="1134" w:left="1418" w:header="851" w:footer="907" w:gutter="0"/>
          <w:pgNumType w:fmt="decimal"/>
          <w:cols w:space="720" w:num="1"/>
          <w:titlePg/>
          <w:docGrid w:type="lines" w:linePitch="312" w:charSpace="0"/>
        </w:sectPr>
      </w:pPr>
      <w:r>
        <w:rPr>
          <w:rFonts w:hint="eastAsia" w:ascii="宋体" w:hAnsi="宋体"/>
          <w:color w:val="auto"/>
          <w:sz w:val="24"/>
          <w:highlight w:val="none"/>
        </w:rPr>
        <w:t>定标委员会推荐排序第一的入围候选人为第一中标候选人、推荐排序第二的入围候选人为第二中标候选人、推荐排序第三的入围候选人为第三中标候选人。</w:t>
      </w:r>
    </w:p>
    <w:p w14:paraId="61A3C40B">
      <w:pPr>
        <w:jc w:val="center"/>
        <w:rPr>
          <w:b/>
          <w:bCs/>
          <w:color w:val="auto"/>
          <w:sz w:val="28"/>
          <w:szCs w:val="28"/>
          <w:highlight w:val="none"/>
        </w:rPr>
      </w:pPr>
    </w:p>
    <w:p w14:paraId="2FA1DF63">
      <w:pPr>
        <w:jc w:val="center"/>
        <w:rPr>
          <w:b/>
          <w:bCs/>
          <w:color w:val="auto"/>
          <w:sz w:val="28"/>
          <w:szCs w:val="28"/>
          <w:highlight w:val="none"/>
        </w:rPr>
      </w:pPr>
      <w:r>
        <w:rPr>
          <w:rFonts w:hint="eastAsia"/>
          <w:b/>
          <w:bCs/>
          <w:color w:val="auto"/>
          <w:sz w:val="28"/>
          <w:szCs w:val="28"/>
          <w:highlight w:val="none"/>
        </w:rPr>
        <w:t>第三章合同条款</w:t>
      </w:r>
      <w:bookmarkEnd w:id="30"/>
      <w:bookmarkEnd w:id="31"/>
    </w:p>
    <w:p w14:paraId="7E8F5C28">
      <w:pPr>
        <w:jc w:val="center"/>
        <w:rPr>
          <w:rFonts w:ascii="宋体"/>
          <w:b/>
          <w:bCs/>
          <w:color w:val="auto"/>
          <w:sz w:val="28"/>
          <w:szCs w:val="28"/>
          <w:highlight w:val="none"/>
        </w:rPr>
      </w:pPr>
      <w:r>
        <w:rPr>
          <w:rFonts w:hint="eastAsia" w:ascii="宋体" w:hAnsi="宋体"/>
          <w:b/>
          <w:bCs/>
          <w:color w:val="auto"/>
          <w:sz w:val="28"/>
          <w:szCs w:val="28"/>
          <w:highlight w:val="none"/>
        </w:rPr>
        <w:t>另册</w:t>
      </w:r>
    </w:p>
    <w:p w14:paraId="372E0448">
      <w:pPr>
        <w:rPr>
          <w:color w:val="auto"/>
          <w:sz w:val="24"/>
          <w:szCs w:val="24"/>
          <w:highlight w:val="none"/>
        </w:rPr>
      </w:pPr>
    </w:p>
    <w:p w14:paraId="5EACAC4C">
      <w:pPr>
        <w:pStyle w:val="4"/>
        <w:spacing w:line="360" w:lineRule="auto"/>
        <w:rPr>
          <w:color w:val="auto"/>
          <w:sz w:val="24"/>
          <w:szCs w:val="24"/>
          <w:highlight w:val="none"/>
        </w:rPr>
      </w:pPr>
    </w:p>
    <w:p w14:paraId="1368169D">
      <w:pPr>
        <w:pStyle w:val="4"/>
        <w:spacing w:line="360" w:lineRule="auto"/>
        <w:rPr>
          <w:color w:val="auto"/>
          <w:sz w:val="24"/>
          <w:szCs w:val="24"/>
          <w:highlight w:val="none"/>
        </w:rPr>
      </w:pPr>
    </w:p>
    <w:p w14:paraId="5CF7737D">
      <w:pPr>
        <w:pStyle w:val="4"/>
        <w:spacing w:line="360" w:lineRule="auto"/>
        <w:rPr>
          <w:color w:val="auto"/>
          <w:sz w:val="24"/>
          <w:szCs w:val="24"/>
          <w:highlight w:val="none"/>
        </w:rPr>
      </w:pPr>
    </w:p>
    <w:p w14:paraId="4E76696A">
      <w:pPr>
        <w:pStyle w:val="4"/>
        <w:spacing w:line="360" w:lineRule="auto"/>
        <w:rPr>
          <w:color w:val="auto"/>
          <w:sz w:val="24"/>
          <w:szCs w:val="24"/>
          <w:highlight w:val="none"/>
        </w:rPr>
      </w:pPr>
    </w:p>
    <w:p w14:paraId="00899D23">
      <w:pPr>
        <w:pStyle w:val="4"/>
        <w:spacing w:line="360" w:lineRule="auto"/>
        <w:rPr>
          <w:color w:val="auto"/>
          <w:sz w:val="24"/>
          <w:szCs w:val="24"/>
          <w:highlight w:val="none"/>
        </w:rPr>
      </w:pPr>
    </w:p>
    <w:p w14:paraId="16CF3842">
      <w:pPr>
        <w:pStyle w:val="4"/>
        <w:spacing w:line="360" w:lineRule="auto"/>
        <w:rPr>
          <w:color w:val="auto"/>
          <w:sz w:val="24"/>
          <w:szCs w:val="24"/>
          <w:highlight w:val="none"/>
        </w:rPr>
      </w:pPr>
    </w:p>
    <w:p w14:paraId="2D412180">
      <w:pPr>
        <w:pStyle w:val="4"/>
        <w:spacing w:line="360" w:lineRule="auto"/>
        <w:rPr>
          <w:color w:val="auto"/>
          <w:sz w:val="24"/>
          <w:szCs w:val="24"/>
          <w:highlight w:val="none"/>
        </w:rPr>
      </w:pPr>
    </w:p>
    <w:p w14:paraId="1A9FF8F1">
      <w:pPr>
        <w:pStyle w:val="4"/>
        <w:spacing w:line="360" w:lineRule="auto"/>
        <w:rPr>
          <w:color w:val="auto"/>
          <w:sz w:val="24"/>
          <w:szCs w:val="24"/>
          <w:highlight w:val="none"/>
        </w:rPr>
      </w:pPr>
    </w:p>
    <w:p w14:paraId="22376923">
      <w:pPr>
        <w:pStyle w:val="4"/>
        <w:spacing w:line="360" w:lineRule="auto"/>
        <w:rPr>
          <w:color w:val="auto"/>
          <w:sz w:val="24"/>
          <w:szCs w:val="24"/>
          <w:highlight w:val="none"/>
        </w:rPr>
      </w:pPr>
    </w:p>
    <w:p w14:paraId="20D75B3D">
      <w:pPr>
        <w:pStyle w:val="4"/>
        <w:spacing w:line="360" w:lineRule="auto"/>
        <w:rPr>
          <w:color w:val="auto"/>
          <w:sz w:val="24"/>
          <w:szCs w:val="24"/>
          <w:highlight w:val="none"/>
        </w:rPr>
      </w:pPr>
    </w:p>
    <w:p w14:paraId="4E2F0BD2">
      <w:pPr>
        <w:pStyle w:val="4"/>
        <w:spacing w:line="360" w:lineRule="auto"/>
        <w:rPr>
          <w:color w:val="auto"/>
          <w:sz w:val="24"/>
          <w:szCs w:val="24"/>
          <w:highlight w:val="none"/>
        </w:rPr>
      </w:pPr>
    </w:p>
    <w:p w14:paraId="40D53B7E">
      <w:pPr>
        <w:pStyle w:val="4"/>
        <w:spacing w:line="360" w:lineRule="auto"/>
        <w:rPr>
          <w:color w:val="auto"/>
          <w:sz w:val="24"/>
          <w:szCs w:val="24"/>
          <w:highlight w:val="none"/>
        </w:rPr>
      </w:pPr>
    </w:p>
    <w:p w14:paraId="60FD7EF2">
      <w:pPr>
        <w:pStyle w:val="4"/>
        <w:spacing w:line="360" w:lineRule="auto"/>
        <w:rPr>
          <w:color w:val="auto"/>
          <w:sz w:val="24"/>
          <w:szCs w:val="24"/>
          <w:highlight w:val="none"/>
        </w:rPr>
      </w:pPr>
    </w:p>
    <w:p w14:paraId="5607CF7D">
      <w:pPr>
        <w:pStyle w:val="4"/>
        <w:spacing w:line="360" w:lineRule="auto"/>
        <w:rPr>
          <w:color w:val="auto"/>
          <w:sz w:val="24"/>
          <w:szCs w:val="24"/>
          <w:highlight w:val="none"/>
        </w:rPr>
      </w:pPr>
    </w:p>
    <w:p w14:paraId="2E576B91">
      <w:pPr>
        <w:pStyle w:val="4"/>
        <w:spacing w:line="360" w:lineRule="auto"/>
        <w:rPr>
          <w:color w:val="auto"/>
          <w:sz w:val="24"/>
          <w:szCs w:val="24"/>
          <w:highlight w:val="none"/>
        </w:rPr>
      </w:pPr>
    </w:p>
    <w:p w14:paraId="792F130B">
      <w:pPr>
        <w:pStyle w:val="4"/>
        <w:spacing w:line="360" w:lineRule="auto"/>
        <w:rPr>
          <w:color w:val="auto"/>
          <w:sz w:val="24"/>
          <w:szCs w:val="24"/>
          <w:highlight w:val="none"/>
        </w:rPr>
      </w:pPr>
    </w:p>
    <w:p w14:paraId="33E481DC">
      <w:pPr>
        <w:pStyle w:val="4"/>
        <w:spacing w:line="360" w:lineRule="auto"/>
        <w:rPr>
          <w:color w:val="auto"/>
          <w:sz w:val="24"/>
          <w:szCs w:val="24"/>
          <w:highlight w:val="none"/>
        </w:rPr>
      </w:pPr>
    </w:p>
    <w:p w14:paraId="4C008C7A">
      <w:pPr>
        <w:pStyle w:val="4"/>
        <w:spacing w:line="360" w:lineRule="auto"/>
        <w:rPr>
          <w:color w:val="auto"/>
          <w:sz w:val="24"/>
          <w:szCs w:val="24"/>
          <w:highlight w:val="none"/>
        </w:rPr>
      </w:pPr>
    </w:p>
    <w:p w14:paraId="675A862B">
      <w:pPr>
        <w:pStyle w:val="20"/>
        <w:spacing w:line="360" w:lineRule="auto"/>
        <w:rPr>
          <w:color w:val="auto"/>
          <w:sz w:val="24"/>
          <w:szCs w:val="24"/>
          <w:highlight w:val="none"/>
        </w:rPr>
      </w:pPr>
    </w:p>
    <w:p w14:paraId="1D73C358">
      <w:pPr>
        <w:pStyle w:val="20"/>
        <w:spacing w:line="360" w:lineRule="auto"/>
        <w:rPr>
          <w:color w:val="auto"/>
          <w:sz w:val="24"/>
          <w:szCs w:val="24"/>
          <w:highlight w:val="none"/>
        </w:rPr>
      </w:pPr>
      <w:r>
        <w:rPr>
          <w:color w:val="auto"/>
          <w:sz w:val="24"/>
          <w:szCs w:val="24"/>
          <w:highlight w:val="none"/>
        </w:rPr>
        <w:br w:type="page"/>
      </w:r>
    </w:p>
    <w:p w14:paraId="58FE4108">
      <w:pPr>
        <w:pStyle w:val="2"/>
        <w:rPr>
          <w:color w:val="auto"/>
          <w:highlight w:val="none"/>
        </w:rPr>
      </w:pPr>
      <w:bookmarkStart w:id="32" w:name="_Toc21525512"/>
      <w:bookmarkStart w:id="33" w:name="_Toc2272567"/>
      <w:r>
        <w:rPr>
          <w:rFonts w:hint="eastAsia"/>
          <w:color w:val="auto"/>
          <w:highlight w:val="none"/>
        </w:rPr>
        <w:t>第四章投标文件格式</w:t>
      </w:r>
      <w:bookmarkEnd w:id="32"/>
      <w:bookmarkEnd w:id="33"/>
    </w:p>
    <w:p w14:paraId="6E5CED0B">
      <w:pPr>
        <w:pStyle w:val="4"/>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投标人应按以下规定的格式及要求编制投标文件。</w:t>
      </w:r>
    </w:p>
    <w:p w14:paraId="6BD56790">
      <w:pPr>
        <w:pStyle w:val="4"/>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一、《广州建设工程施工招标投标书》是投标文件的重要组成部分，其内容是投标人开标信息的主要来源，投标人应准确填写《广州建设工程施工招标投标书》的相关内容。</w:t>
      </w:r>
    </w:p>
    <w:p w14:paraId="73ECF151">
      <w:pPr>
        <w:pStyle w:val="4"/>
        <w:spacing w:line="360" w:lineRule="auto"/>
        <w:ind w:firstLine="513" w:firstLineChars="214"/>
        <w:rPr>
          <w:rFonts w:ascii="宋体" w:hAnsi="宋体"/>
          <w:bCs/>
          <w:color w:val="auto"/>
          <w:sz w:val="24"/>
          <w:szCs w:val="24"/>
          <w:highlight w:val="none"/>
        </w:rPr>
      </w:pPr>
      <w:r>
        <w:rPr>
          <w:rFonts w:hint="eastAsia" w:ascii="宋体" w:hAnsi="宋体"/>
          <w:bCs/>
          <w:color w:val="auto"/>
          <w:sz w:val="24"/>
          <w:szCs w:val="24"/>
          <w:highlight w:val="none"/>
        </w:rPr>
        <w:t>二、投标人在编制工程量清单时应只填写主体单位全称，且要求填写的全称与</w:t>
      </w:r>
      <w:r>
        <w:rPr>
          <w:rFonts w:hint="eastAsia" w:ascii="宋体" w:hAnsi="宋体"/>
          <w:bCs/>
          <w:color w:val="auto"/>
          <w:sz w:val="24"/>
          <w:highlight w:val="none"/>
        </w:rPr>
        <w:t>广州交易集团有限公司（广州公共资源交易中心）</w:t>
      </w:r>
      <w:r>
        <w:rPr>
          <w:rFonts w:hint="eastAsia" w:ascii="宋体" w:hAnsi="宋体" w:cs="宋体"/>
          <w:color w:val="auto"/>
          <w:sz w:val="24"/>
          <w:szCs w:val="22"/>
          <w:highlight w:val="none"/>
          <w:u w:val="single"/>
          <w:lang w:val="en-US" w:eastAsia="zh-CN"/>
        </w:rPr>
        <w:t>的企业信息</w:t>
      </w:r>
      <w:r>
        <w:rPr>
          <w:rFonts w:hint="eastAsia" w:ascii="宋体" w:hAnsi="宋体" w:cs="宋体"/>
          <w:color w:val="auto"/>
          <w:sz w:val="24"/>
          <w:szCs w:val="22"/>
          <w:highlight w:val="none"/>
          <w:u w:val="single"/>
        </w:rPr>
        <w:t>登记</w:t>
      </w:r>
      <w:r>
        <w:rPr>
          <w:rFonts w:hint="eastAsia" w:ascii="宋体" w:hAnsi="宋体"/>
          <w:bCs/>
          <w:color w:val="auto"/>
          <w:sz w:val="24"/>
          <w:szCs w:val="24"/>
          <w:highlight w:val="none"/>
        </w:rPr>
        <w:t>名称完全一致。</w:t>
      </w:r>
    </w:p>
    <w:p w14:paraId="532A0599">
      <w:pPr>
        <w:autoSpaceDE w:val="0"/>
        <w:autoSpaceDN w:val="0"/>
        <w:adjustRightInd w:val="0"/>
        <w:rPr>
          <w:color w:val="auto"/>
          <w:highlight w:val="none"/>
        </w:rPr>
      </w:pPr>
      <w:r>
        <w:rPr>
          <w:color w:val="auto"/>
          <w:highlight w:val="none"/>
        </w:rPr>
        <w:br w:type="page"/>
      </w:r>
    </w:p>
    <w:p w14:paraId="4D806866">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投</w:t>
      </w:r>
      <w:r>
        <w:rPr>
          <w:rFonts w:hint="eastAsia" w:ascii="宋体" w:hAnsi="宋体" w:cs="宋体"/>
          <w:b/>
          <w:color w:val="auto"/>
          <w:sz w:val="36"/>
          <w:szCs w:val="36"/>
          <w:highlight w:val="none"/>
        </w:rPr>
        <w:t>标</w:t>
      </w:r>
      <w:r>
        <w:rPr>
          <w:rFonts w:hint="eastAsia" w:ascii="宋体" w:hAnsi="宋体"/>
          <w:b/>
          <w:color w:val="auto"/>
          <w:sz w:val="36"/>
          <w:szCs w:val="36"/>
          <w:highlight w:val="none"/>
        </w:rPr>
        <w:t>函</w:t>
      </w:r>
    </w:p>
    <w:p w14:paraId="0D54BE56">
      <w:pPr>
        <w:spacing w:line="360" w:lineRule="auto"/>
        <w:rPr>
          <w:rFonts w:ascii="宋体" w:hAnsi="宋体"/>
          <w:b/>
          <w:color w:val="auto"/>
          <w:sz w:val="24"/>
          <w:szCs w:val="24"/>
          <w:highlight w:val="none"/>
        </w:rPr>
      </w:pPr>
      <w:r>
        <w:rPr>
          <w:rFonts w:hint="eastAsia" w:ascii="宋体" w:hAnsi="宋体"/>
          <w:b/>
          <w:color w:val="auto"/>
          <w:sz w:val="24"/>
          <w:szCs w:val="24"/>
          <w:highlight w:val="none"/>
        </w:rPr>
        <w:t>致：</w:t>
      </w:r>
      <w:r>
        <w:rPr>
          <w:rFonts w:hint="eastAsia" w:ascii="宋体" w:hAnsi="宋体"/>
          <w:b/>
          <w:color w:val="auto"/>
          <w:sz w:val="24"/>
          <w:szCs w:val="24"/>
          <w:highlight w:val="none"/>
          <w:u w:val="single"/>
          <w:lang w:eastAsia="zh-CN"/>
        </w:rPr>
        <w:t>广州黄埔文冲东片投资有限公司</w:t>
      </w:r>
      <w:r>
        <w:rPr>
          <w:rFonts w:hint="eastAsia" w:ascii="宋体" w:hAnsi="宋体"/>
          <w:b/>
          <w:color w:val="auto"/>
          <w:sz w:val="24"/>
          <w:szCs w:val="24"/>
          <w:highlight w:val="none"/>
          <w:u w:val="single"/>
        </w:rPr>
        <w:t xml:space="preserve"> </w:t>
      </w:r>
    </w:p>
    <w:p w14:paraId="6ACBB56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1.根据已收到贵方的项目编号为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的</w:t>
      </w:r>
      <w:r>
        <w:rPr>
          <w:rFonts w:hint="eastAsia" w:ascii="宋体" w:hAnsi="宋体" w:cs="宋体"/>
          <w:color w:val="auto"/>
          <w:sz w:val="24"/>
          <w:szCs w:val="24"/>
          <w:highlight w:val="none"/>
          <w:u w:val="single"/>
          <w:lang w:eastAsia="zh-CN"/>
        </w:rPr>
        <w:t>文冲项目石化厂区6KV配电设施迁改工程</w:t>
      </w:r>
      <w:r>
        <w:rPr>
          <w:rFonts w:hint="eastAsia" w:ascii="宋体" w:hAnsi="宋体" w:cs="宋体"/>
          <w:color w:val="auto"/>
          <w:sz w:val="24"/>
          <w:szCs w:val="24"/>
          <w:highlight w:val="none"/>
          <w:lang w:eastAsia="zh-CN"/>
        </w:rPr>
        <w:t>施工</w:t>
      </w:r>
      <w:r>
        <w:rPr>
          <w:rFonts w:hint="eastAsia" w:ascii="宋体" w:hAnsi="宋体"/>
          <w:color w:val="auto"/>
          <w:sz w:val="24"/>
          <w:szCs w:val="24"/>
          <w:highlight w:val="none"/>
        </w:rPr>
        <w:t>的招标文件，并已详细审核了全部招标文件及有关附件。</w:t>
      </w:r>
    </w:p>
    <w:p w14:paraId="018DB9AB">
      <w:pPr>
        <w:snapToGrid w:val="0"/>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58D8CEB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愿以经济标中的投标报价并按上述合同条款、标准和技术规范、图纸、工程量清单等的要求承包上述工程的施工、竣工并修补其任何缺陷。</w:t>
      </w:r>
    </w:p>
    <w:p w14:paraId="3E65ABBD">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给贵方造成损失的，贵方还有权要求我方进行赔偿。</w:t>
      </w:r>
    </w:p>
    <w:p w14:paraId="13A10296">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4.我方理解贵方将不受必须接受你们所收到的最低标价或其它任何投标文件的约束。</w:t>
      </w:r>
    </w:p>
    <w:p w14:paraId="2F0A8FB2">
      <w:pPr>
        <w:spacing w:line="360" w:lineRule="auto"/>
        <w:ind w:firstLine="435" w:firstLineChars="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5.如果我方中标，我方保证按招标文件中规定的工期，在</w:t>
      </w:r>
      <w:r>
        <w:rPr>
          <w:rFonts w:hint="eastAsia" w:ascii="宋体" w:hAnsi="宋体"/>
          <w:color w:val="auto"/>
          <w:sz w:val="24"/>
          <w:szCs w:val="24"/>
          <w:highlight w:val="none"/>
          <w:lang w:eastAsia="zh-CN"/>
        </w:rPr>
        <w:t>规定的时间内</w:t>
      </w:r>
      <w:r>
        <w:rPr>
          <w:rFonts w:hint="eastAsia" w:ascii="宋体" w:hAnsi="宋体"/>
          <w:color w:val="auto"/>
          <w:sz w:val="24"/>
          <w:szCs w:val="24"/>
          <w:highlight w:val="none"/>
        </w:rPr>
        <w:t>完成并移交本工程，质量标准达到招标文件中的要求</w:t>
      </w:r>
      <w:r>
        <w:rPr>
          <w:rFonts w:hint="eastAsia" w:ascii="宋体" w:hAnsi="宋体"/>
          <w:color w:val="auto"/>
          <w:sz w:val="24"/>
          <w:szCs w:val="24"/>
          <w:highlight w:val="none"/>
          <w:lang w:eastAsia="zh-CN"/>
        </w:rPr>
        <w:t>，</w:t>
      </w:r>
      <w:r>
        <w:rPr>
          <w:rFonts w:hint="eastAsia" w:ascii="宋体" w:hAnsi="宋体"/>
          <w:b w:val="0"/>
          <w:color w:val="auto"/>
          <w:sz w:val="24"/>
          <w:szCs w:val="24"/>
          <w:highlight w:val="none"/>
          <w:u w:val="none"/>
          <w:lang w:val="en-US" w:eastAsia="zh-CN"/>
        </w:rPr>
        <w:t>进度目标</w:t>
      </w:r>
      <w:r>
        <w:rPr>
          <w:rFonts w:hint="eastAsia" w:ascii="宋体" w:hAnsi="宋体"/>
          <w:color w:val="auto"/>
          <w:sz w:val="24"/>
          <w:szCs w:val="24"/>
          <w:highlight w:val="none"/>
          <w:lang w:eastAsia="zh-CN"/>
        </w:rPr>
        <w:t>按</w:t>
      </w:r>
      <w:r>
        <w:rPr>
          <w:rFonts w:hint="eastAsia" w:ascii="宋体" w:hAnsi="宋体"/>
          <w:color w:val="auto"/>
          <w:sz w:val="24"/>
          <w:szCs w:val="24"/>
          <w:highlight w:val="none"/>
        </w:rPr>
        <w:t>招标文件中的要求</w:t>
      </w:r>
      <w:r>
        <w:rPr>
          <w:rFonts w:hint="eastAsia" w:ascii="宋体" w:hAnsi="宋体"/>
          <w:b w:val="0"/>
          <w:color w:val="auto"/>
          <w:sz w:val="24"/>
          <w:szCs w:val="24"/>
          <w:highlight w:val="none"/>
          <w:u w:val="none"/>
          <w:lang w:val="en-US" w:eastAsia="zh-CN"/>
        </w:rPr>
        <w:t>，安全文明施工目标</w:t>
      </w:r>
      <w:r>
        <w:rPr>
          <w:rFonts w:hint="eastAsia" w:ascii="宋体" w:hAnsi="宋体"/>
          <w:color w:val="auto"/>
          <w:sz w:val="24"/>
          <w:szCs w:val="24"/>
          <w:highlight w:val="none"/>
          <w:lang w:eastAsia="zh-CN"/>
        </w:rPr>
        <w:t>按</w:t>
      </w:r>
      <w:r>
        <w:rPr>
          <w:rFonts w:hint="eastAsia" w:ascii="宋体" w:hAnsi="宋体"/>
          <w:color w:val="auto"/>
          <w:sz w:val="24"/>
          <w:szCs w:val="24"/>
          <w:highlight w:val="none"/>
        </w:rPr>
        <w:t>招标文件中的要求</w:t>
      </w:r>
      <w:r>
        <w:rPr>
          <w:rFonts w:hint="eastAsia" w:ascii="宋体" w:hAnsi="宋体"/>
          <w:color w:val="auto"/>
          <w:sz w:val="24"/>
          <w:szCs w:val="24"/>
          <w:highlight w:val="none"/>
          <w:lang w:eastAsia="zh-CN"/>
        </w:rPr>
        <w:t>，</w:t>
      </w:r>
      <w:r>
        <w:rPr>
          <w:rFonts w:hint="eastAsia" w:ascii="宋体" w:hAnsi="宋体"/>
          <w:b w:val="0"/>
          <w:color w:val="auto"/>
          <w:sz w:val="24"/>
          <w:szCs w:val="24"/>
          <w:highlight w:val="none"/>
          <w:u w:val="none"/>
          <w:lang w:val="en-US" w:eastAsia="zh-CN"/>
        </w:rPr>
        <w:t>主要管理人员投入</w:t>
      </w:r>
      <w:r>
        <w:rPr>
          <w:rFonts w:hint="eastAsia" w:ascii="宋体" w:hAnsi="宋体"/>
          <w:color w:val="auto"/>
          <w:sz w:val="24"/>
          <w:szCs w:val="24"/>
          <w:highlight w:val="none"/>
          <w:lang w:eastAsia="zh-CN"/>
        </w:rPr>
        <w:t>按</w:t>
      </w:r>
      <w:r>
        <w:rPr>
          <w:rFonts w:hint="eastAsia" w:ascii="宋体" w:hAnsi="宋体"/>
          <w:color w:val="auto"/>
          <w:sz w:val="24"/>
          <w:szCs w:val="24"/>
          <w:highlight w:val="none"/>
        </w:rPr>
        <w:t>招标文件中的要求</w:t>
      </w:r>
      <w:r>
        <w:rPr>
          <w:rFonts w:hint="eastAsia" w:ascii="宋体" w:hAnsi="宋体"/>
          <w:b w:val="0"/>
          <w:color w:val="auto"/>
          <w:sz w:val="24"/>
          <w:szCs w:val="24"/>
          <w:highlight w:val="none"/>
          <w:u w:val="none"/>
        </w:rPr>
        <w:t xml:space="preserve">。 </w:t>
      </w:r>
    </w:p>
    <w:p w14:paraId="2A715E2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6.如果我方中标，我方将按照规定递交由招标人认可，并在招标文件中规定金额的履约保函。</w:t>
      </w:r>
    </w:p>
    <w:p w14:paraId="1308583A">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7.除非另外达成协议并生效，贵方的中标通知书和本投标文件将成为约束双方的合同文件的组成部分。</w:t>
      </w:r>
    </w:p>
    <w:p w14:paraId="3F0C3ECD">
      <w:pPr>
        <w:spacing w:line="360" w:lineRule="auto"/>
        <w:ind w:firstLine="480"/>
        <w:rPr>
          <w:rFonts w:hint="default" w:eastAsia="宋体"/>
          <w:color w:val="auto"/>
          <w:highlight w:val="none"/>
          <w:lang w:val="en-US" w:eastAsia="zh-CN"/>
        </w:rPr>
      </w:pPr>
      <w:r>
        <w:rPr>
          <w:rFonts w:hint="eastAsia" w:ascii="宋体" w:hAnsi="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08D5C6BA">
      <w:pPr>
        <w:ind w:firstLine="480"/>
        <w:rPr>
          <w:rFonts w:ascii="宋体" w:hAnsi="宋体"/>
          <w:color w:val="auto"/>
          <w:sz w:val="24"/>
          <w:szCs w:val="24"/>
          <w:highlight w:val="none"/>
        </w:rPr>
      </w:pPr>
    </w:p>
    <w:p w14:paraId="339DD7BB">
      <w:pPr>
        <w:spacing w:line="360" w:lineRule="auto"/>
        <w:jc w:val="right"/>
        <w:rPr>
          <w:rFonts w:ascii="宋体" w:hAnsi="宋体"/>
          <w:color w:val="auto"/>
          <w:sz w:val="24"/>
          <w:szCs w:val="24"/>
          <w:highlight w:val="none"/>
        </w:rPr>
      </w:pPr>
      <w:r>
        <w:rPr>
          <w:rFonts w:hint="eastAsia" w:ascii="宋体" w:hAnsi="宋体"/>
          <w:color w:val="auto"/>
          <w:sz w:val="24"/>
          <w:szCs w:val="24"/>
          <w:highlight w:val="none"/>
        </w:rPr>
        <w:t xml:space="preserve">投标人（盖公章）：                     </w:t>
      </w:r>
    </w:p>
    <w:p w14:paraId="48473517">
      <w:pPr>
        <w:spacing w:line="360" w:lineRule="auto"/>
        <w:jc w:val="right"/>
        <w:rPr>
          <w:rFonts w:ascii="宋体" w:hAnsi="宋体"/>
          <w:color w:val="auto"/>
          <w:sz w:val="24"/>
          <w:szCs w:val="24"/>
          <w:highlight w:val="none"/>
          <w:u w:val="single"/>
        </w:rPr>
      </w:pPr>
      <w:r>
        <w:rPr>
          <w:rFonts w:hint="eastAsia" w:ascii="宋体" w:hAnsi="宋体"/>
          <w:color w:val="auto"/>
          <w:sz w:val="24"/>
          <w:szCs w:val="24"/>
          <w:highlight w:val="none"/>
        </w:rPr>
        <w:t>日期：</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3C716F9B">
      <w:pPr>
        <w:autoSpaceDE w:val="0"/>
        <w:autoSpaceDN w:val="0"/>
        <w:adjustRightInd w:val="0"/>
        <w:rPr>
          <w:color w:val="auto"/>
          <w:highlight w:val="none"/>
        </w:rPr>
      </w:pPr>
    </w:p>
    <w:p w14:paraId="42D06238">
      <w:pPr>
        <w:autoSpaceDE w:val="0"/>
        <w:autoSpaceDN w:val="0"/>
        <w:adjustRightInd w:val="0"/>
        <w:rPr>
          <w:rFonts w:hint="eastAsia"/>
          <w:bCs/>
          <w:color w:val="auto"/>
          <w:szCs w:val="21"/>
          <w:highlight w:val="none"/>
        </w:rPr>
      </w:pPr>
    </w:p>
    <w:p w14:paraId="13D74CD2">
      <w:pPr>
        <w:autoSpaceDE w:val="0"/>
        <w:autoSpaceDN w:val="0"/>
        <w:adjustRightInd w:val="0"/>
        <w:rPr>
          <w:rFonts w:ascii="宋体" w:cs="宋体"/>
          <w:b/>
          <w:bCs/>
          <w:color w:val="auto"/>
          <w:szCs w:val="21"/>
          <w:highlight w:val="none"/>
          <w:lang w:val="zh-CN"/>
        </w:rPr>
      </w:pPr>
      <w:r>
        <w:rPr>
          <w:rFonts w:hint="eastAsia"/>
          <w:bCs/>
          <w:color w:val="auto"/>
          <w:szCs w:val="21"/>
          <w:highlight w:val="none"/>
        </w:rPr>
        <w:t>（适用于技术标与经济标同时开启）</w:t>
      </w:r>
    </w:p>
    <w:p w14:paraId="4730DF9E">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14:paraId="522C215A">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4"/>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5"/>
        <w:gridCol w:w="5024"/>
      </w:tblGrid>
      <w:tr w14:paraId="5888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55" w:type="dxa"/>
            <w:tcBorders>
              <w:top w:val="single" w:color="auto" w:sz="4" w:space="0"/>
              <w:left w:val="single" w:color="auto" w:sz="4" w:space="0"/>
              <w:bottom w:val="single" w:color="auto" w:sz="4" w:space="0"/>
              <w:right w:val="single" w:color="auto" w:sz="4" w:space="0"/>
            </w:tcBorders>
            <w:vAlign w:val="center"/>
          </w:tcPr>
          <w:p w14:paraId="258DA741">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5024" w:type="dxa"/>
            <w:tcBorders>
              <w:top w:val="single" w:color="auto" w:sz="4" w:space="0"/>
              <w:left w:val="single" w:color="auto" w:sz="4" w:space="0"/>
              <w:bottom w:val="single" w:color="auto" w:sz="4" w:space="0"/>
              <w:right w:val="single" w:color="auto" w:sz="4" w:space="0"/>
            </w:tcBorders>
          </w:tcPr>
          <w:p w14:paraId="14FA0A6F">
            <w:pPr>
              <w:autoSpaceDE w:val="0"/>
              <w:autoSpaceDN w:val="0"/>
              <w:adjustRightInd w:val="0"/>
              <w:rPr>
                <w:rFonts w:ascii="宋体" w:cs="宋体"/>
                <w:b/>
                <w:bCs/>
                <w:color w:val="auto"/>
                <w:sz w:val="24"/>
                <w:szCs w:val="24"/>
                <w:highlight w:val="none"/>
                <w:lang w:val="zh-CN"/>
              </w:rPr>
            </w:pPr>
          </w:p>
        </w:tc>
      </w:tr>
      <w:tr w14:paraId="2B80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55" w:type="dxa"/>
            <w:tcBorders>
              <w:top w:val="single" w:color="auto" w:sz="4" w:space="0"/>
              <w:left w:val="single" w:color="auto" w:sz="4" w:space="0"/>
              <w:bottom w:val="single" w:color="auto" w:sz="4" w:space="0"/>
              <w:right w:val="single" w:color="auto" w:sz="4" w:space="0"/>
            </w:tcBorders>
            <w:vAlign w:val="center"/>
          </w:tcPr>
          <w:p w14:paraId="1DE76316">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5024" w:type="dxa"/>
            <w:tcBorders>
              <w:top w:val="single" w:color="auto" w:sz="4" w:space="0"/>
              <w:left w:val="single" w:color="auto" w:sz="4" w:space="0"/>
              <w:bottom w:val="single" w:color="auto" w:sz="4" w:space="0"/>
              <w:right w:val="single" w:color="auto" w:sz="4" w:space="0"/>
            </w:tcBorders>
            <w:vAlign w:val="center"/>
          </w:tcPr>
          <w:p w14:paraId="00D486EC">
            <w:pPr>
              <w:autoSpaceDE w:val="0"/>
              <w:autoSpaceDN w:val="0"/>
              <w:adjustRightInd w:val="0"/>
              <w:rPr>
                <w:rFonts w:ascii="宋体" w:cs="宋体"/>
                <w:b/>
                <w:bCs/>
                <w:color w:val="auto"/>
                <w:sz w:val="24"/>
                <w:szCs w:val="24"/>
                <w:highlight w:val="none"/>
                <w:lang w:val="zh-CN"/>
              </w:rPr>
            </w:pPr>
          </w:p>
        </w:tc>
      </w:tr>
      <w:tr w14:paraId="187A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55" w:type="dxa"/>
            <w:tcBorders>
              <w:top w:val="single" w:color="auto" w:sz="4" w:space="0"/>
              <w:left w:val="single" w:color="auto" w:sz="4" w:space="0"/>
              <w:bottom w:val="single" w:color="auto" w:sz="4" w:space="0"/>
              <w:right w:val="single" w:color="auto" w:sz="4" w:space="0"/>
            </w:tcBorders>
            <w:vAlign w:val="center"/>
          </w:tcPr>
          <w:p w14:paraId="6D533F5D">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5024" w:type="dxa"/>
            <w:tcBorders>
              <w:top w:val="single" w:color="auto" w:sz="4" w:space="0"/>
              <w:left w:val="single" w:color="auto" w:sz="4" w:space="0"/>
              <w:bottom w:val="single" w:color="auto" w:sz="4" w:space="0"/>
              <w:right w:val="single" w:color="auto" w:sz="4" w:space="0"/>
            </w:tcBorders>
            <w:vAlign w:val="center"/>
          </w:tcPr>
          <w:p w14:paraId="0D5B9478">
            <w:pPr>
              <w:autoSpaceDE w:val="0"/>
              <w:autoSpaceDN w:val="0"/>
              <w:adjustRightInd w:val="0"/>
              <w:rPr>
                <w:rFonts w:ascii="宋体" w:cs="宋体"/>
                <w:b/>
                <w:bCs/>
                <w:color w:val="auto"/>
                <w:sz w:val="24"/>
                <w:szCs w:val="24"/>
                <w:highlight w:val="none"/>
                <w:lang w:val="zh-CN"/>
              </w:rPr>
            </w:pPr>
          </w:p>
        </w:tc>
      </w:tr>
      <w:tr w14:paraId="28DD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55" w:type="dxa"/>
            <w:tcBorders>
              <w:top w:val="single" w:color="auto" w:sz="4" w:space="0"/>
              <w:left w:val="single" w:color="auto" w:sz="4" w:space="0"/>
              <w:bottom w:val="single" w:color="auto" w:sz="4" w:space="0"/>
              <w:right w:val="single" w:color="auto" w:sz="4" w:space="0"/>
            </w:tcBorders>
            <w:vAlign w:val="center"/>
          </w:tcPr>
          <w:p w14:paraId="6ED36D1B">
            <w:pPr>
              <w:widowControl/>
              <w:jc w:val="left"/>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5024" w:type="dxa"/>
            <w:tcBorders>
              <w:top w:val="single" w:color="auto" w:sz="4" w:space="0"/>
              <w:left w:val="single" w:color="auto" w:sz="4" w:space="0"/>
              <w:bottom w:val="single" w:color="auto" w:sz="4" w:space="0"/>
              <w:right w:val="single" w:color="auto" w:sz="4" w:space="0"/>
            </w:tcBorders>
            <w:vAlign w:val="center"/>
          </w:tcPr>
          <w:p w14:paraId="474068F2">
            <w:pPr>
              <w:autoSpaceDE w:val="0"/>
              <w:autoSpaceDN w:val="0"/>
              <w:adjustRightInd w:val="0"/>
              <w:rPr>
                <w:rFonts w:ascii="宋体" w:cs="宋体"/>
                <w:b/>
                <w:bCs/>
                <w:color w:val="auto"/>
                <w:sz w:val="24"/>
                <w:szCs w:val="24"/>
                <w:highlight w:val="none"/>
                <w:lang w:val="zh-CN"/>
              </w:rPr>
            </w:pPr>
          </w:p>
        </w:tc>
      </w:tr>
      <w:tr w14:paraId="4CEF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55" w:type="dxa"/>
            <w:tcBorders>
              <w:top w:val="single" w:color="auto" w:sz="4" w:space="0"/>
              <w:left w:val="single" w:color="auto" w:sz="4" w:space="0"/>
              <w:bottom w:val="single" w:color="auto" w:sz="4" w:space="0"/>
              <w:right w:val="single" w:color="auto" w:sz="4" w:space="0"/>
            </w:tcBorders>
            <w:vAlign w:val="center"/>
          </w:tcPr>
          <w:p w14:paraId="2595832B">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5024" w:type="dxa"/>
            <w:tcBorders>
              <w:top w:val="single" w:color="auto" w:sz="4" w:space="0"/>
              <w:left w:val="single" w:color="auto" w:sz="4" w:space="0"/>
              <w:bottom w:val="single" w:color="auto" w:sz="4" w:space="0"/>
              <w:right w:val="single" w:color="auto" w:sz="4" w:space="0"/>
            </w:tcBorders>
          </w:tcPr>
          <w:p w14:paraId="60DE870D">
            <w:pPr>
              <w:autoSpaceDE w:val="0"/>
              <w:autoSpaceDN w:val="0"/>
              <w:adjustRightInd w:val="0"/>
              <w:rPr>
                <w:rFonts w:ascii="宋体" w:cs="宋体"/>
                <w:b/>
                <w:bCs/>
                <w:color w:val="auto"/>
                <w:sz w:val="24"/>
                <w:szCs w:val="24"/>
                <w:highlight w:val="none"/>
                <w:lang w:val="zh-CN"/>
              </w:rPr>
            </w:pPr>
          </w:p>
        </w:tc>
      </w:tr>
      <w:tr w14:paraId="6BEA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55" w:type="dxa"/>
            <w:tcBorders>
              <w:top w:val="single" w:color="auto" w:sz="4" w:space="0"/>
              <w:left w:val="single" w:color="auto" w:sz="4" w:space="0"/>
              <w:bottom w:val="single" w:color="auto" w:sz="4" w:space="0"/>
              <w:right w:val="single" w:color="auto" w:sz="4" w:space="0"/>
            </w:tcBorders>
            <w:vAlign w:val="center"/>
          </w:tcPr>
          <w:p w14:paraId="7E41C51E">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5024" w:type="dxa"/>
            <w:tcBorders>
              <w:top w:val="single" w:color="auto" w:sz="4" w:space="0"/>
              <w:left w:val="single" w:color="auto" w:sz="4" w:space="0"/>
              <w:bottom w:val="single" w:color="auto" w:sz="4" w:space="0"/>
              <w:right w:val="single" w:color="auto" w:sz="4" w:space="0"/>
            </w:tcBorders>
          </w:tcPr>
          <w:p w14:paraId="20BD14D0">
            <w:pPr>
              <w:autoSpaceDE w:val="0"/>
              <w:autoSpaceDN w:val="0"/>
              <w:adjustRightInd w:val="0"/>
              <w:rPr>
                <w:rFonts w:ascii="宋体" w:cs="宋体"/>
                <w:b/>
                <w:bCs/>
                <w:color w:val="auto"/>
                <w:sz w:val="24"/>
                <w:szCs w:val="24"/>
                <w:highlight w:val="none"/>
                <w:lang w:val="zh-CN"/>
              </w:rPr>
            </w:pPr>
          </w:p>
        </w:tc>
      </w:tr>
      <w:tr w14:paraId="110F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355" w:type="dxa"/>
            <w:tcBorders>
              <w:top w:val="single" w:color="auto" w:sz="4" w:space="0"/>
              <w:left w:val="single" w:color="auto" w:sz="4" w:space="0"/>
              <w:bottom w:val="single" w:color="auto" w:sz="4" w:space="0"/>
              <w:right w:val="single" w:color="auto" w:sz="4" w:space="0"/>
            </w:tcBorders>
            <w:vAlign w:val="center"/>
          </w:tcPr>
          <w:p w14:paraId="3FDB1DD0">
            <w:pPr>
              <w:autoSpaceDE w:val="0"/>
              <w:autoSpaceDN w:val="0"/>
              <w:adjustRightInd w:val="0"/>
              <w:ind w:firstLine="472" w:firstLineChars="196"/>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保修期限</w:t>
            </w:r>
          </w:p>
        </w:tc>
        <w:tc>
          <w:tcPr>
            <w:tcW w:w="5024" w:type="dxa"/>
            <w:tcBorders>
              <w:top w:val="single" w:color="auto" w:sz="4" w:space="0"/>
              <w:left w:val="single" w:color="auto" w:sz="4" w:space="0"/>
              <w:bottom w:val="single" w:color="auto" w:sz="4" w:space="0"/>
              <w:right w:val="single" w:color="auto" w:sz="4" w:space="0"/>
            </w:tcBorders>
          </w:tcPr>
          <w:p w14:paraId="7F21E0B8">
            <w:pPr>
              <w:autoSpaceDE w:val="0"/>
              <w:autoSpaceDN w:val="0"/>
              <w:adjustRightInd w:val="0"/>
              <w:rPr>
                <w:rFonts w:ascii="宋体" w:cs="宋体"/>
                <w:b/>
                <w:bCs/>
                <w:color w:val="auto"/>
                <w:sz w:val="24"/>
                <w:szCs w:val="24"/>
                <w:highlight w:val="none"/>
                <w:lang w:val="zh-CN"/>
              </w:rPr>
            </w:pPr>
          </w:p>
        </w:tc>
      </w:tr>
    </w:tbl>
    <w:p w14:paraId="5D003A45">
      <w:pPr>
        <w:tabs>
          <w:tab w:val="left" w:pos="720"/>
        </w:tabs>
        <w:snapToGrid w:val="0"/>
        <w:spacing w:line="360" w:lineRule="auto"/>
        <w:rPr>
          <w:color w:val="auto"/>
          <w:sz w:val="24"/>
          <w:szCs w:val="24"/>
          <w:highlight w:val="none"/>
        </w:rPr>
      </w:pPr>
    </w:p>
    <w:tbl>
      <w:tblPr>
        <w:tblStyle w:val="34"/>
        <w:tblW w:w="9008" w:type="dxa"/>
        <w:tblInd w:w="0" w:type="dxa"/>
        <w:tblLayout w:type="fixed"/>
        <w:tblCellMar>
          <w:top w:w="0" w:type="dxa"/>
          <w:left w:w="108" w:type="dxa"/>
          <w:bottom w:w="0" w:type="dxa"/>
          <w:right w:w="108" w:type="dxa"/>
        </w:tblCellMar>
      </w:tblPr>
      <w:tblGrid>
        <w:gridCol w:w="9008"/>
      </w:tblGrid>
      <w:tr w14:paraId="1D69436E">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14:paraId="4158CA9D">
            <w:pPr>
              <w:widowControl/>
              <w:spacing w:line="360" w:lineRule="auto"/>
              <w:jc w:val="left"/>
              <w:rPr>
                <w:rFonts w:ascii="宋体" w:cs="宋体"/>
                <w:color w:val="auto"/>
                <w:kern w:val="0"/>
                <w:sz w:val="28"/>
                <w:szCs w:val="28"/>
                <w:highlight w:val="none"/>
              </w:rPr>
            </w:pPr>
          </w:p>
        </w:tc>
      </w:tr>
    </w:tbl>
    <w:p w14:paraId="6712EAFA">
      <w:pPr>
        <w:jc w:val="center"/>
        <w:rPr>
          <w:rFonts w:ascii="宋体" w:hAnsi="宋体"/>
          <w:b/>
          <w:color w:val="auto"/>
          <w:sz w:val="36"/>
          <w:szCs w:val="36"/>
          <w:highlight w:val="none"/>
        </w:rPr>
      </w:pPr>
      <w:r>
        <w:rPr>
          <w:color w:val="auto"/>
          <w:sz w:val="24"/>
          <w:szCs w:val="24"/>
          <w:highlight w:val="none"/>
        </w:rPr>
        <w:br w:type="page"/>
      </w:r>
      <w:r>
        <w:rPr>
          <w:rFonts w:hint="eastAsia" w:ascii="宋体" w:hAnsi="宋体"/>
          <w:b/>
          <w:color w:val="auto"/>
          <w:sz w:val="36"/>
          <w:szCs w:val="36"/>
          <w:highlight w:val="none"/>
        </w:rPr>
        <w:t>响应招标文件所附</w:t>
      </w:r>
      <w:r>
        <w:rPr>
          <w:rFonts w:hint="eastAsia" w:ascii="宋体" w:hAnsi="宋体"/>
          <w:b/>
          <w:color w:val="auto"/>
          <w:sz w:val="36"/>
          <w:szCs w:val="36"/>
          <w:highlight w:val="none"/>
          <w:u w:val="single"/>
        </w:rPr>
        <w:t>施工组织设计要点</w:t>
      </w:r>
      <w:r>
        <w:rPr>
          <w:rFonts w:hint="eastAsia" w:ascii="宋体" w:hAnsi="宋体"/>
          <w:b/>
          <w:color w:val="auto"/>
          <w:sz w:val="36"/>
          <w:szCs w:val="36"/>
          <w:highlight w:val="none"/>
        </w:rPr>
        <w:t>的承诺书</w:t>
      </w:r>
    </w:p>
    <w:p w14:paraId="15FFCE0C">
      <w:pPr>
        <w:spacing w:line="360" w:lineRule="auto"/>
        <w:rPr>
          <w:rFonts w:ascii="宋体" w:hAnsi="宋体"/>
          <w:color w:val="auto"/>
          <w:highlight w:val="none"/>
        </w:rPr>
      </w:pPr>
    </w:p>
    <w:p w14:paraId="338DF6CA">
      <w:pPr>
        <w:spacing w:line="360" w:lineRule="auto"/>
        <w:rPr>
          <w:rFonts w:ascii="宋体" w:hAnsi="宋体"/>
          <w:color w:val="auto"/>
          <w:sz w:val="24"/>
          <w:highlight w:val="none"/>
        </w:rPr>
      </w:pPr>
    </w:p>
    <w:p w14:paraId="566C169F">
      <w:pPr>
        <w:spacing w:line="360" w:lineRule="auto"/>
        <w:rPr>
          <w:rFonts w:ascii="宋体" w:hAnsi="宋体"/>
          <w:color w:val="auto"/>
          <w:sz w:val="24"/>
          <w:highlight w:val="none"/>
          <w:u w:val="single"/>
        </w:rPr>
      </w:pPr>
      <w:r>
        <w:rPr>
          <w:rFonts w:hint="eastAsia" w:ascii="宋体" w:hAnsi="宋体"/>
          <w:color w:val="auto"/>
          <w:sz w:val="24"/>
          <w:highlight w:val="none"/>
          <w:lang w:eastAsia="zh-CN"/>
        </w:rPr>
        <w:t>广州黄埔文冲东片投资有限公司</w:t>
      </w:r>
      <w:r>
        <w:rPr>
          <w:rFonts w:hint="eastAsia" w:ascii="宋体" w:hAnsi="宋体"/>
          <w:color w:val="auto"/>
          <w:sz w:val="24"/>
          <w:highlight w:val="none"/>
        </w:rPr>
        <w:t>：</w:t>
      </w:r>
    </w:p>
    <w:p w14:paraId="67E70BA1">
      <w:pPr>
        <w:spacing w:line="360" w:lineRule="auto"/>
        <w:ind w:firstLine="435"/>
        <w:rPr>
          <w:rFonts w:ascii="宋体" w:hAnsi="宋体"/>
          <w:color w:val="auto"/>
          <w:sz w:val="24"/>
          <w:highlight w:val="none"/>
        </w:rPr>
      </w:pPr>
      <w:r>
        <w:rPr>
          <w:rFonts w:hint="eastAsia" w:ascii="宋体" w:hAnsi="宋体"/>
          <w:color w:val="auto"/>
          <w:sz w:val="24"/>
          <w:highlight w:val="none"/>
        </w:rPr>
        <w:t>我方承诺，如中标承建</w:t>
      </w:r>
      <w:r>
        <w:rPr>
          <w:rFonts w:hint="eastAsia" w:ascii="宋体" w:hAnsi="宋体" w:cs="宋体"/>
          <w:color w:val="auto"/>
          <w:sz w:val="24"/>
          <w:szCs w:val="24"/>
          <w:highlight w:val="none"/>
          <w:lang w:eastAsia="zh-CN"/>
        </w:rPr>
        <w:t>文冲项目石化厂区6KV配电设施迁改工程施工</w:t>
      </w:r>
      <w:r>
        <w:rPr>
          <w:rFonts w:hint="eastAsia" w:ascii="宋体" w:hAnsi="宋体"/>
          <w:color w:val="auto"/>
          <w:sz w:val="24"/>
          <w:highlight w:val="none"/>
        </w:rPr>
        <w:t>，将按招标文件所附的本工程</w:t>
      </w:r>
      <w:r>
        <w:rPr>
          <w:rFonts w:hint="eastAsia" w:ascii="宋体" w:hAnsi="宋体"/>
          <w:color w:val="auto"/>
          <w:sz w:val="24"/>
          <w:highlight w:val="none"/>
          <w:u w:val="single"/>
        </w:rPr>
        <w:t>（施工组织设计要点）</w:t>
      </w:r>
      <w:r>
        <w:rPr>
          <w:rFonts w:hint="eastAsia" w:ascii="宋体" w:hAnsi="宋体"/>
          <w:color w:val="auto"/>
          <w:sz w:val="24"/>
          <w:highlight w:val="none"/>
        </w:rPr>
        <w:t>进行响应的基础上自行组织施工。并承诺在中标后按招标文件所附的</w:t>
      </w:r>
      <w:r>
        <w:rPr>
          <w:rFonts w:hint="eastAsia" w:ascii="宋体" w:hAnsi="宋体"/>
          <w:color w:val="auto"/>
          <w:sz w:val="24"/>
          <w:highlight w:val="none"/>
          <w:u w:val="single"/>
        </w:rPr>
        <w:t>（施工组织设计要点）</w:t>
      </w:r>
      <w:r>
        <w:rPr>
          <w:rFonts w:hint="eastAsia" w:ascii="宋体" w:hAnsi="宋体"/>
          <w:color w:val="auto"/>
          <w:sz w:val="24"/>
          <w:highlight w:val="none"/>
        </w:rPr>
        <w:t>基础上编制详细的施工组织设计，并报经监理单位和建设单位审批后实施。</w:t>
      </w:r>
    </w:p>
    <w:p w14:paraId="3DDEC00D">
      <w:pPr>
        <w:spacing w:line="360" w:lineRule="auto"/>
        <w:ind w:firstLine="435"/>
        <w:rPr>
          <w:rFonts w:ascii="宋体" w:hAnsi="宋体"/>
          <w:color w:val="auto"/>
          <w:sz w:val="24"/>
          <w:highlight w:val="none"/>
        </w:rPr>
      </w:pPr>
    </w:p>
    <w:p w14:paraId="7035F74C">
      <w:pPr>
        <w:spacing w:line="360" w:lineRule="auto"/>
        <w:rPr>
          <w:rFonts w:ascii="宋体" w:hAnsi="宋体"/>
          <w:color w:val="auto"/>
          <w:sz w:val="24"/>
          <w:highlight w:val="none"/>
        </w:rPr>
      </w:pPr>
    </w:p>
    <w:p w14:paraId="5F1747BC">
      <w:pPr>
        <w:spacing w:line="360" w:lineRule="auto"/>
        <w:ind w:firstLine="3000" w:firstLineChars="1250"/>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szCs w:val="24"/>
          <w:highlight w:val="none"/>
        </w:rPr>
        <w:t>（盖公章）：</w:t>
      </w:r>
    </w:p>
    <w:p w14:paraId="54668B01">
      <w:pPr>
        <w:spacing w:line="360" w:lineRule="auto"/>
        <w:ind w:firstLine="3000" w:firstLineChars="1250"/>
        <w:rPr>
          <w:rFonts w:ascii="宋体" w:hAnsi="宋体"/>
          <w:color w:val="auto"/>
          <w:sz w:val="24"/>
          <w:highlight w:val="none"/>
          <w:u w:val="single"/>
        </w:rPr>
      </w:pPr>
    </w:p>
    <w:p w14:paraId="1026AF71">
      <w:pPr>
        <w:spacing w:line="360" w:lineRule="auto"/>
        <w:ind w:firstLine="4440" w:firstLineChars="185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34FB13D9">
      <w:pPr>
        <w:autoSpaceDE w:val="0"/>
        <w:autoSpaceDN w:val="0"/>
        <w:adjustRightInd w:val="0"/>
        <w:rPr>
          <w:color w:val="auto"/>
          <w:szCs w:val="21"/>
          <w:highlight w:val="none"/>
        </w:rPr>
      </w:pPr>
      <w:r>
        <w:rPr>
          <w:color w:val="auto"/>
          <w:sz w:val="24"/>
          <w:szCs w:val="24"/>
          <w:highlight w:val="none"/>
        </w:rPr>
        <w:br w:type="page"/>
      </w:r>
    </w:p>
    <w:p w14:paraId="359A39A1">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14:paraId="1F12781B">
      <w:pPr>
        <w:tabs>
          <w:tab w:val="left" w:pos="720"/>
        </w:tabs>
        <w:snapToGrid w:val="0"/>
        <w:spacing w:line="360" w:lineRule="auto"/>
        <w:rPr>
          <w:color w:val="auto"/>
          <w:sz w:val="24"/>
          <w:szCs w:val="24"/>
          <w:highlight w:val="none"/>
        </w:rPr>
      </w:pPr>
    </w:p>
    <w:p w14:paraId="4974A857">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3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718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630A8767">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0E80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55A0A368">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1CD5C5B7">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1E823E2D">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3FA11875">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31214BFB">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6E90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6931AA4B">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F34F40F">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E2DE28B">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A574978">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876DA4C">
            <w:pPr>
              <w:tabs>
                <w:tab w:val="left" w:pos="720"/>
              </w:tabs>
              <w:snapToGrid w:val="0"/>
              <w:spacing w:line="360" w:lineRule="auto"/>
              <w:jc w:val="center"/>
              <w:rPr>
                <w:rFonts w:ascii="宋体" w:hAnsi="宋体"/>
                <w:color w:val="auto"/>
                <w:szCs w:val="21"/>
                <w:highlight w:val="none"/>
              </w:rPr>
            </w:pPr>
          </w:p>
        </w:tc>
      </w:tr>
      <w:tr w14:paraId="0A79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F77BC2E">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3DC78D0">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089A82F">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A0345A0">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8098625">
            <w:pPr>
              <w:tabs>
                <w:tab w:val="left" w:pos="720"/>
              </w:tabs>
              <w:snapToGrid w:val="0"/>
              <w:spacing w:line="360" w:lineRule="auto"/>
              <w:jc w:val="center"/>
              <w:rPr>
                <w:rFonts w:ascii="宋体" w:hAnsi="宋体"/>
                <w:color w:val="auto"/>
                <w:szCs w:val="21"/>
                <w:highlight w:val="none"/>
              </w:rPr>
            </w:pPr>
          </w:p>
        </w:tc>
      </w:tr>
      <w:tr w14:paraId="7477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14D6535">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79FDED3">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F8808AD">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51307B0">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2559B25">
            <w:pPr>
              <w:tabs>
                <w:tab w:val="left" w:pos="720"/>
              </w:tabs>
              <w:snapToGrid w:val="0"/>
              <w:spacing w:line="360" w:lineRule="auto"/>
              <w:jc w:val="center"/>
              <w:rPr>
                <w:rFonts w:ascii="宋体" w:hAnsi="宋体"/>
                <w:color w:val="auto"/>
                <w:szCs w:val="21"/>
                <w:highlight w:val="none"/>
              </w:rPr>
            </w:pPr>
          </w:p>
        </w:tc>
      </w:tr>
      <w:tr w14:paraId="06AB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FEB364A">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96C9A05">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62B7AA1">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2149B1B7">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09A9E52">
            <w:pPr>
              <w:tabs>
                <w:tab w:val="left" w:pos="720"/>
              </w:tabs>
              <w:snapToGrid w:val="0"/>
              <w:spacing w:line="360" w:lineRule="auto"/>
              <w:jc w:val="center"/>
              <w:rPr>
                <w:rFonts w:ascii="宋体" w:hAnsi="宋体"/>
                <w:color w:val="auto"/>
                <w:szCs w:val="21"/>
                <w:highlight w:val="none"/>
              </w:rPr>
            </w:pPr>
          </w:p>
        </w:tc>
      </w:tr>
      <w:tr w14:paraId="2D3E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23566FE">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19941C6">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7690A86">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7E7A015">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4F24C91">
            <w:pPr>
              <w:tabs>
                <w:tab w:val="left" w:pos="720"/>
              </w:tabs>
              <w:snapToGrid w:val="0"/>
              <w:spacing w:line="360" w:lineRule="auto"/>
              <w:jc w:val="center"/>
              <w:rPr>
                <w:rFonts w:ascii="宋体" w:hAnsi="宋体"/>
                <w:color w:val="auto"/>
                <w:szCs w:val="21"/>
                <w:highlight w:val="none"/>
              </w:rPr>
            </w:pPr>
          </w:p>
        </w:tc>
      </w:tr>
      <w:tr w14:paraId="5209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04E0B88">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0055596">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20C156F">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3E03D0D">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1E5CEF2">
            <w:pPr>
              <w:tabs>
                <w:tab w:val="left" w:pos="720"/>
              </w:tabs>
              <w:snapToGrid w:val="0"/>
              <w:spacing w:line="360" w:lineRule="auto"/>
              <w:jc w:val="center"/>
              <w:rPr>
                <w:rFonts w:ascii="宋体" w:hAnsi="宋体"/>
                <w:color w:val="auto"/>
                <w:szCs w:val="21"/>
                <w:highlight w:val="none"/>
              </w:rPr>
            </w:pPr>
          </w:p>
        </w:tc>
      </w:tr>
      <w:tr w14:paraId="2EA1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02C8DC04">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4F8516B">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486CCA7">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9CD865E">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74210A4">
            <w:pPr>
              <w:tabs>
                <w:tab w:val="left" w:pos="720"/>
              </w:tabs>
              <w:snapToGrid w:val="0"/>
              <w:spacing w:line="360" w:lineRule="auto"/>
              <w:jc w:val="center"/>
              <w:rPr>
                <w:rFonts w:ascii="宋体" w:hAnsi="宋体"/>
                <w:color w:val="auto"/>
                <w:szCs w:val="21"/>
                <w:highlight w:val="none"/>
              </w:rPr>
            </w:pPr>
          </w:p>
        </w:tc>
      </w:tr>
      <w:tr w14:paraId="20F2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4C8F7A6B">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A60A8C0">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5382108">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3E151E7">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E2FA088">
            <w:pPr>
              <w:tabs>
                <w:tab w:val="left" w:pos="720"/>
              </w:tabs>
              <w:snapToGrid w:val="0"/>
              <w:spacing w:line="360" w:lineRule="auto"/>
              <w:jc w:val="center"/>
              <w:rPr>
                <w:rFonts w:ascii="宋体" w:hAnsi="宋体"/>
                <w:color w:val="auto"/>
                <w:szCs w:val="21"/>
                <w:highlight w:val="none"/>
              </w:rPr>
            </w:pPr>
          </w:p>
        </w:tc>
      </w:tr>
    </w:tbl>
    <w:p w14:paraId="6986ABC6">
      <w:pPr>
        <w:tabs>
          <w:tab w:val="left" w:pos="720"/>
        </w:tabs>
        <w:snapToGrid w:val="0"/>
        <w:spacing w:line="360" w:lineRule="auto"/>
        <w:rPr>
          <w:color w:val="auto"/>
          <w:sz w:val="24"/>
          <w:szCs w:val="24"/>
          <w:highlight w:val="none"/>
        </w:rPr>
      </w:pPr>
    </w:p>
    <w:p w14:paraId="18DE0534">
      <w:pPr>
        <w:tabs>
          <w:tab w:val="left" w:pos="720"/>
        </w:tabs>
        <w:snapToGrid w:val="0"/>
        <w:spacing w:line="360" w:lineRule="auto"/>
        <w:rPr>
          <w:color w:val="auto"/>
          <w:sz w:val="24"/>
          <w:szCs w:val="24"/>
          <w:highlight w:val="none"/>
        </w:rPr>
      </w:pPr>
    </w:p>
    <w:p w14:paraId="5E6FD857">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3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3623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294B336D">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306F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70528700">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2FE91EB5">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7A0777F8">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5C26F7F0">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45116E18">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3E38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650835B1">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B6F538F">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56629BB">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8FDB896">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62E0A21">
            <w:pPr>
              <w:tabs>
                <w:tab w:val="left" w:pos="720"/>
              </w:tabs>
              <w:snapToGrid w:val="0"/>
              <w:spacing w:line="360" w:lineRule="auto"/>
              <w:jc w:val="center"/>
              <w:rPr>
                <w:rFonts w:ascii="宋体" w:hAnsi="宋体"/>
                <w:color w:val="auto"/>
                <w:szCs w:val="21"/>
                <w:highlight w:val="none"/>
              </w:rPr>
            </w:pPr>
          </w:p>
        </w:tc>
      </w:tr>
      <w:tr w14:paraId="1EAB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A3C6547">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01196EE">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CCF28B2">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CA1B39C">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E487930">
            <w:pPr>
              <w:tabs>
                <w:tab w:val="left" w:pos="720"/>
              </w:tabs>
              <w:snapToGrid w:val="0"/>
              <w:spacing w:line="360" w:lineRule="auto"/>
              <w:jc w:val="center"/>
              <w:rPr>
                <w:rFonts w:ascii="宋体" w:hAnsi="宋体"/>
                <w:color w:val="auto"/>
                <w:szCs w:val="21"/>
                <w:highlight w:val="none"/>
              </w:rPr>
            </w:pPr>
          </w:p>
        </w:tc>
      </w:tr>
      <w:tr w14:paraId="501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DB5DBE4">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12B5C2C">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893577A">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5E28831">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D2A8B3A">
            <w:pPr>
              <w:tabs>
                <w:tab w:val="left" w:pos="720"/>
              </w:tabs>
              <w:snapToGrid w:val="0"/>
              <w:spacing w:line="360" w:lineRule="auto"/>
              <w:jc w:val="center"/>
              <w:rPr>
                <w:rFonts w:ascii="宋体" w:hAnsi="宋体"/>
                <w:color w:val="auto"/>
                <w:szCs w:val="21"/>
                <w:highlight w:val="none"/>
              </w:rPr>
            </w:pPr>
          </w:p>
        </w:tc>
      </w:tr>
      <w:tr w14:paraId="4238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577AE7B">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C582B46">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34704CC">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0BA1838E">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FCAEFB3">
            <w:pPr>
              <w:tabs>
                <w:tab w:val="left" w:pos="720"/>
              </w:tabs>
              <w:snapToGrid w:val="0"/>
              <w:spacing w:line="360" w:lineRule="auto"/>
              <w:jc w:val="center"/>
              <w:rPr>
                <w:rFonts w:ascii="宋体" w:hAnsi="宋体"/>
                <w:color w:val="auto"/>
                <w:szCs w:val="21"/>
                <w:highlight w:val="none"/>
              </w:rPr>
            </w:pPr>
          </w:p>
        </w:tc>
      </w:tr>
      <w:tr w14:paraId="4CC5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18D5D03">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193D931">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3AB651A">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9008BD3">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8AAB217">
            <w:pPr>
              <w:tabs>
                <w:tab w:val="left" w:pos="720"/>
              </w:tabs>
              <w:snapToGrid w:val="0"/>
              <w:spacing w:line="360" w:lineRule="auto"/>
              <w:jc w:val="center"/>
              <w:rPr>
                <w:rFonts w:ascii="宋体" w:hAnsi="宋体"/>
                <w:color w:val="auto"/>
                <w:szCs w:val="21"/>
                <w:highlight w:val="none"/>
              </w:rPr>
            </w:pPr>
          </w:p>
        </w:tc>
      </w:tr>
      <w:tr w14:paraId="0A7D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07482F5">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90C29F4">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DBD60ED">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D5A9263">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29F3ABC">
            <w:pPr>
              <w:tabs>
                <w:tab w:val="left" w:pos="720"/>
              </w:tabs>
              <w:snapToGrid w:val="0"/>
              <w:spacing w:line="360" w:lineRule="auto"/>
              <w:jc w:val="center"/>
              <w:rPr>
                <w:rFonts w:ascii="宋体" w:hAnsi="宋体"/>
                <w:color w:val="auto"/>
                <w:szCs w:val="21"/>
                <w:highlight w:val="none"/>
              </w:rPr>
            </w:pPr>
          </w:p>
        </w:tc>
      </w:tr>
      <w:tr w14:paraId="6D4A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7A5B4A61">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3C408F9C">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251FA25">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099AC5D">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09E0B2F">
            <w:pPr>
              <w:tabs>
                <w:tab w:val="left" w:pos="720"/>
              </w:tabs>
              <w:snapToGrid w:val="0"/>
              <w:spacing w:line="360" w:lineRule="auto"/>
              <w:jc w:val="center"/>
              <w:rPr>
                <w:rFonts w:ascii="宋体" w:hAnsi="宋体"/>
                <w:color w:val="auto"/>
                <w:szCs w:val="21"/>
                <w:highlight w:val="none"/>
              </w:rPr>
            </w:pPr>
          </w:p>
        </w:tc>
      </w:tr>
      <w:tr w14:paraId="59BE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596FCD04">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4C84463">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9AEC2A0">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5BDDB31">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112E541">
            <w:pPr>
              <w:tabs>
                <w:tab w:val="left" w:pos="720"/>
              </w:tabs>
              <w:snapToGrid w:val="0"/>
              <w:spacing w:line="360" w:lineRule="auto"/>
              <w:jc w:val="center"/>
              <w:rPr>
                <w:rFonts w:ascii="宋体" w:hAnsi="宋体"/>
                <w:color w:val="auto"/>
                <w:szCs w:val="21"/>
                <w:highlight w:val="none"/>
              </w:rPr>
            </w:pPr>
          </w:p>
        </w:tc>
      </w:tr>
    </w:tbl>
    <w:p w14:paraId="02DA1144">
      <w:pPr>
        <w:tabs>
          <w:tab w:val="left" w:pos="720"/>
        </w:tabs>
        <w:snapToGrid w:val="0"/>
        <w:spacing w:line="360" w:lineRule="auto"/>
        <w:rPr>
          <w:color w:val="auto"/>
          <w:sz w:val="24"/>
          <w:szCs w:val="24"/>
          <w:highlight w:val="none"/>
        </w:rPr>
      </w:pPr>
    </w:p>
    <w:p w14:paraId="509ACD4B">
      <w:pPr>
        <w:pStyle w:val="4"/>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14:paraId="2481F97A">
      <w:pPr>
        <w:pStyle w:val="4"/>
        <w:spacing w:after="0" w:line="360" w:lineRule="auto"/>
        <w:ind w:left="-2" w:leftChars="-1" w:firstLineChars="175"/>
        <w:jc w:val="center"/>
        <w:rPr>
          <w:color w:val="auto"/>
          <w:sz w:val="24"/>
          <w:szCs w:val="24"/>
          <w:highlight w:val="none"/>
        </w:rPr>
      </w:pPr>
    </w:p>
    <w:p w14:paraId="5681F1CA">
      <w:pPr>
        <w:autoSpaceDE w:val="0"/>
        <w:autoSpaceDN w:val="0"/>
        <w:adjustRightInd w:val="0"/>
        <w:rPr>
          <w:color w:val="auto"/>
          <w:szCs w:val="21"/>
          <w:highlight w:val="none"/>
        </w:rPr>
      </w:pPr>
    </w:p>
    <w:p w14:paraId="4F07CC40">
      <w:pPr>
        <w:pStyle w:val="4"/>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14:paraId="57A7100E">
      <w:pPr>
        <w:pStyle w:val="4"/>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14:paraId="4B31A8A2">
      <w:pPr>
        <w:pStyle w:val="4"/>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14:paraId="292F652A">
      <w:pPr>
        <w:pStyle w:val="4"/>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14:paraId="24B034CD">
      <w:pPr>
        <w:pStyle w:val="4"/>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14:paraId="3FB66007">
      <w:pPr>
        <w:pStyle w:val="4"/>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14:paraId="16C430CE">
      <w:pPr>
        <w:pStyle w:val="4"/>
        <w:spacing w:after="0" w:line="360" w:lineRule="auto"/>
        <w:ind w:firstLine="360" w:firstLineChars="150"/>
        <w:rPr>
          <w:rFonts w:ascii="宋体" w:hAnsi="宋体"/>
          <w:color w:val="auto"/>
          <w:sz w:val="24"/>
          <w:szCs w:val="24"/>
          <w:highlight w:val="none"/>
        </w:rPr>
      </w:pPr>
    </w:p>
    <w:p w14:paraId="758E7DC3">
      <w:pPr>
        <w:pStyle w:val="4"/>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14:paraId="2B091625">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投标人（盖公章）：</w:t>
      </w:r>
    </w:p>
    <w:p w14:paraId="54DCC51F">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p>
    <w:p w14:paraId="0266B9C3">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p>
    <w:p w14:paraId="71BFFD8B">
      <w:pPr>
        <w:pStyle w:val="4"/>
        <w:spacing w:after="0" w:line="360" w:lineRule="auto"/>
        <w:ind w:firstLine="0"/>
        <w:rPr>
          <w:b/>
          <w:color w:val="auto"/>
          <w:sz w:val="32"/>
          <w:szCs w:val="32"/>
          <w:highlight w:val="none"/>
        </w:rPr>
      </w:pPr>
    </w:p>
    <w:p w14:paraId="7BBD216D">
      <w:pPr>
        <w:pStyle w:val="4"/>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14:paraId="6F64591F">
      <w:pPr>
        <w:pStyle w:val="4"/>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14:paraId="1F688186">
      <w:pPr>
        <w:pStyle w:val="4"/>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4"/>
        <w:tblW w:w="8306" w:type="dxa"/>
        <w:tblInd w:w="0" w:type="dxa"/>
        <w:tblLayout w:type="fixed"/>
        <w:tblCellMar>
          <w:top w:w="0" w:type="dxa"/>
          <w:left w:w="108" w:type="dxa"/>
          <w:bottom w:w="0" w:type="dxa"/>
          <w:right w:w="108" w:type="dxa"/>
        </w:tblCellMar>
      </w:tblPr>
      <w:tblGrid>
        <w:gridCol w:w="8306"/>
      </w:tblGrid>
      <w:tr w14:paraId="0026E670">
        <w:tblPrEx>
          <w:tblCellMar>
            <w:top w:w="0" w:type="dxa"/>
            <w:left w:w="108" w:type="dxa"/>
            <w:bottom w:w="0" w:type="dxa"/>
            <w:right w:w="108" w:type="dxa"/>
          </w:tblCellMar>
        </w:tblPrEx>
        <w:trPr>
          <w:trHeight w:val="2819" w:hRule="atLeast"/>
        </w:trPr>
        <w:tc>
          <w:tcPr>
            <w:tcW w:w="8306" w:type="dxa"/>
            <w:shd w:val="clear" w:color="auto" w:fill="auto"/>
          </w:tcPr>
          <w:p w14:paraId="0C68D7ED">
            <w:pPr>
              <w:pStyle w:val="4"/>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14:paraId="182F2D52">
            <w:pPr>
              <w:pStyle w:val="4"/>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14:paraId="0E0FE11A">
            <w:pPr>
              <w:pStyle w:val="4"/>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14:paraId="06E29F8B">
            <w:pPr>
              <w:pStyle w:val="4"/>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14:paraId="58816D34">
      <w:pPr>
        <w:autoSpaceDE w:val="0"/>
        <w:autoSpaceDN w:val="0"/>
        <w:adjustRightInd w:val="0"/>
        <w:rPr>
          <w:rFonts w:hint="eastAsia" w:eastAsia="宋体"/>
          <w:color w:val="auto"/>
          <w:szCs w:val="21"/>
          <w:highlight w:val="none"/>
          <w:lang w:eastAsia="zh-CN"/>
        </w:rPr>
      </w:pPr>
      <w:r>
        <w:rPr>
          <w:rFonts w:hint="eastAsia"/>
          <w:color w:val="auto"/>
          <w:szCs w:val="21"/>
          <w:highlight w:val="none"/>
        </w:rPr>
        <w:t>附件</w:t>
      </w:r>
      <w:r>
        <w:rPr>
          <w:rFonts w:hint="eastAsia"/>
          <w:color w:val="auto"/>
          <w:szCs w:val="21"/>
          <w:highlight w:val="none"/>
          <w:lang w:eastAsia="zh-CN"/>
        </w:rPr>
        <w:t>四</w:t>
      </w:r>
    </w:p>
    <w:p w14:paraId="69DB9131">
      <w:pPr>
        <w:pStyle w:val="96"/>
        <w:spacing w:line="240" w:lineRule="auto"/>
        <w:ind w:left="420" w:right="98" w:firstLine="0"/>
        <w:jc w:val="center"/>
        <w:rPr>
          <w:rFonts w:ascii="宋体" w:hAnsi="宋体" w:eastAsia="宋体"/>
          <w:b/>
          <w:color w:val="auto"/>
          <w:sz w:val="36"/>
          <w:highlight w:val="none"/>
        </w:rPr>
      </w:pPr>
      <w:r>
        <w:rPr>
          <w:rFonts w:hint="eastAsia" w:ascii="宋体" w:hAnsi="宋体" w:eastAsia="宋体"/>
          <w:b/>
          <w:color w:val="auto"/>
          <w:szCs w:val="32"/>
          <w:highlight w:val="none"/>
        </w:rPr>
        <w:t>技术承诺函</w:t>
      </w:r>
    </w:p>
    <w:p w14:paraId="1478334A">
      <w:pPr>
        <w:spacing w:line="360" w:lineRule="auto"/>
        <w:rPr>
          <w:rFonts w:ascii="宋体" w:hAnsi="宋体"/>
          <w:color w:val="auto"/>
          <w:sz w:val="24"/>
          <w:highlight w:val="none"/>
        </w:rPr>
      </w:pPr>
    </w:p>
    <w:p w14:paraId="3DF447DD">
      <w:pPr>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eastAsia="zh-CN"/>
        </w:rPr>
        <w:t>广州黄埔文冲东片投资有限公司</w:t>
      </w:r>
      <w:r>
        <w:rPr>
          <w:rFonts w:hint="eastAsia" w:ascii="宋体" w:hAnsi="宋体"/>
          <w:color w:val="auto"/>
          <w:sz w:val="24"/>
          <w:highlight w:val="none"/>
        </w:rPr>
        <w:t>：</w:t>
      </w:r>
    </w:p>
    <w:p w14:paraId="7C57378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非常荣幸参加贵方实施的</w:t>
      </w:r>
      <w:r>
        <w:rPr>
          <w:rFonts w:hint="eastAsia" w:ascii="宋体" w:hAnsi="宋体" w:cs="宋体"/>
          <w:color w:val="auto"/>
          <w:sz w:val="24"/>
          <w:szCs w:val="24"/>
          <w:highlight w:val="none"/>
          <w:lang w:eastAsia="zh-CN"/>
        </w:rPr>
        <w:t>文冲项目石化厂区6KV配电设施迁改工程施工</w:t>
      </w:r>
      <w:r>
        <w:rPr>
          <w:rFonts w:hint="eastAsia" w:ascii="宋体" w:hAnsi="宋体"/>
          <w:color w:val="auto"/>
          <w:sz w:val="24"/>
          <w:highlight w:val="none"/>
        </w:rPr>
        <w:t>的投标活动，若我单位有幸中标，将承诺在施工技术、安全防护、文明施工方面做到如下几点：</w:t>
      </w:r>
    </w:p>
    <w:p w14:paraId="6D6DED7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严格按招标文件、合同约定、国家有关施工、验收规范要求及该工程招标文件第五章“技术条件（工程建设标准）”要求及我单位编制的经监理单位、发包人及有关部门审批的施工组织设计方案进行施工，保证按质、按量、按时完成施工任务。</w:t>
      </w:r>
    </w:p>
    <w:p w14:paraId="66FC183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2、保证按我单位拟派的项目负责人全程到位，非经招标人同意，不得更换。</w:t>
      </w:r>
    </w:p>
    <w:p w14:paraId="2F4EC68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3、保证按工程需要投入相应的施工机械设备。</w:t>
      </w:r>
    </w:p>
    <w:p w14:paraId="3E90DC4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4、严格按照《建筑施工安全检查标准》（JGJ59-</w:t>
      </w:r>
      <w:r>
        <w:rPr>
          <w:rFonts w:hint="eastAsia" w:ascii="宋体" w:hAnsi="宋体"/>
          <w:color w:val="auto"/>
          <w:sz w:val="24"/>
          <w:highlight w:val="none"/>
          <w:lang w:val="en-US" w:eastAsia="zh-CN"/>
        </w:rPr>
        <w:t>2011</w:t>
      </w:r>
      <w:r>
        <w:rPr>
          <w:rFonts w:hint="eastAsia" w:ascii="宋体" w:hAnsi="宋体"/>
          <w:color w:val="auto"/>
          <w:sz w:val="24"/>
          <w:highlight w:val="none"/>
        </w:rPr>
        <w:t>）</w:t>
      </w:r>
      <w:r>
        <w:rPr>
          <w:rFonts w:hint="eastAsia" w:ascii="宋体" w:hAnsi="宋体"/>
          <w:color w:val="auto"/>
          <w:sz w:val="24"/>
          <w:highlight w:val="none"/>
          <w:lang w:eastAsia="zh-CN"/>
        </w:rPr>
        <w:t>（中华人民共和国住房和城乡建设部公告2022年第164号）</w:t>
      </w:r>
      <w:r>
        <w:rPr>
          <w:rFonts w:hint="eastAsia" w:ascii="宋体" w:hAnsi="宋体"/>
          <w:color w:val="auto"/>
          <w:sz w:val="24"/>
          <w:highlight w:val="none"/>
        </w:rPr>
        <w:t>及相关的安全防护、文明施工、文明施工法律法规、规章制度及该工程招标文件第五章“技术条件（工程建设标准）”进行安全文明施工。</w:t>
      </w:r>
    </w:p>
    <w:p w14:paraId="16489F0D">
      <w:pPr>
        <w:pStyle w:val="20"/>
        <w:rPr>
          <w:rFonts w:hint="eastAsia" w:eastAsia="宋体"/>
          <w:color w:val="auto"/>
          <w:highlight w:val="none"/>
          <w:lang w:val="en-US" w:eastAsia="zh-CN"/>
        </w:rPr>
      </w:pPr>
    </w:p>
    <w:p w14:paraId="0AE58314">
      <w:pPr>
        <w:spacing w:line="360" w:lineRule="auto"/>
        <w:ind w:right="-108" w:firstLine="6000" w:firstLineChars="2500"/>
        <w:rPr>
          <w:rFonts w:ascii="宋体" w:hAnsi="宋体"/>
          <w:color w:val="auto"/>
          <w:sz w:val="24"/>
          <w:highlight w:val="none"/>
        </w:rPr>
      </w:pPr>
      <w:r>
        <w:rPr>
          <w:rFonts w:hint="eastAsia" w:ascii="宋体" w:hAnsi="宋体"/>
          <w:color w:val="auto"/>
          <w:sz w:val="24"/>
          <w:highlight w:val="none"/>
        </w:rPr>
        <w:t>投标人（盖公章）：</w:t>
      </w:r>
    </w:p>
    <w:p w14:paraId="407BE597">
      <w:pPr>
        <w:spacing w:line="360" w:lineRule="auto"/>
        <w:ind w:right="-108" w:firstLine="5280" w:firstLineChars="2200"/>
        <w:rPr>
          <w:rFonts w:ascii="宋体" w:hAnsi="宋体"/>
          <w:color w:val="auto"/>
          <w:sz w:val="24"/>
          <w:highlight w:val="none"/>
        </w:rPr>
      </w:pPr>
    </w:p>
    <w:p w14:paraId="58DFFEC9">
      <w:pPr>
        <w:widowControl/>
        <w:wordWrap w:val="0"/>
        <w:jc w:val="right"/>
        <w:rPr>
          <w:rFonts w:ascii="宋体" w:hAnsi="宋体"/>
          <w:color w:val="auto"/>
          <w:sz w:val="24"/>
          <w:highlight w:val="none"/>
        </w:rPr>
      </w:pPr>
      <w:r>
        <w:rPr>
          <w:rFonts w:hint="eastAsia" w:ascii="宋体" w:hAnsi="宋体"/>
          <w:color w:val="auto"/>
          <w:sz w:val="24"/>
          <w:highlight w:val="none"/>
        </w:rPr>
        <w:t xml:space="preserve">                        年   月    日</w:t>
      </w:r>
    </w:p>
    <w:p w14:paraId="62B5530F">
      <w:pPr>
        <w:widowControl/>
        <w:jc w:val="left"/>
        <w:rPr>
          <w:rFonts w:ascii="宋体" w:hAnsi="宋体"/>
          <w:color w:val="auto"/>
          <w:sz w:val="24"/>
          <w:highlight w:val="none"/>
        </w:rPr>
      </w:pPr>
      <w:r>
        <w:rPr>
          <w:rFonts w:hint="eastAsia" w:ascii="宋体" w:hAnsi="宋体"/>
          <w:color w:val="auto"/>
          <w:sz w:val="24"/>
          <w:highlight w:val="none"/>
        </w:rPr>
        <w:br w:type="page"/>
      </w:r>
    </w:p>
    <w:p w14:paraId="457A2DE6">
      <w:pPr>
        <w:autoSpaceDE w:val="0"/>
        <w:autoSpaceDN w:val="0"/>
        <w:adjustRightInd w:val="0"/>
        <w:rPr>
          <w:rFonts w:hint="eastAsia" w:eastAsia="宋体"/>
          <w:color w:val="auto"/>
          <w:szCs w:val="21"/>
          <w:highlight w:val="none"/>
          <w:lang w:eastAsia="zh-CN"/>
        </w:rPr>
      </w:pPr>
      <w:r>
        <w:rPr>
          <w:rFonts w:hint="eastAsia"/>
          <w:color w:val="auto"/>
          <w:szCs w:val="21"/>
          <w:highlight w:val="none"/>
        </w:rPr>
        <w:t>附件</w:t>
      </w:r>
      <w:r>
        <w:rPr>
          <w:rFonts w:hint="eastAsia"/>
          <w:color w:val="auto"/>
          <w:szCs w:val="21"/>
          <w:highlight w:val="none"/>
          <w:lang w:eastAsia="zh-CN"/>
        </w:rPr>
        <w:t>五</w:t>
      </w:r>
    </w:p>
    <w:p w14:paraId="464DE7EE">
      <w:pPr>
        <w:pStyle w:val="4"/>
        <w:spacing w:after="0" w:line="360" w:lineRule="auto"/>
        <w:ind w:left="-2" w:leftChars="-1" w:firstLine="562" w:firstLineChars="175"/>
        <w:jc w:val="center"/>
        <w:rPr>
          <w:rFonts w:ascii="宋体" w:hAnsi="宋体"/>
          <w:b/>
          <w:color w:val="auto"/>
          <w:szCs w:val="32"/>
          <w:highlight w:val="none"/>
        </w:rPr>
      </w:pPr>
      <w:r>
        <w:rPr>
          <w:rFonts w:hint="eastAsia" w:ascii="宋体" w:hAnsi="宋体"/>
          <w:b/>
          <w:color w:val="auto"/>
          <w:sz w:val="32"/>
          <w:szCs w:val="32"/>
          <w:highlight w:val="none"/>
        </w:rPr>
        <w:t>施工项目管理团队人员信息表</w:t>
      </w:r>
    </w:p>
    <w:tbl>
      <w:tblPr>
        <w:tblStyle w:val="34"/>
        <w:tblW w:w="9519"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67"/>
        <w:gridCol w:w="1869"/>
        <w:gridCol w:w="2314"/>
        <w:gridCol w:w="3001"/>
      </w:tblGrid>
      <w:tr w14:paraId="0D0C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CB547C1">
            <w:pPr>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567" w:type="dxa"/>
            <w:tcBorders>
              <w:top w:val="single" w:color="auto" w:sz="4" w:space="0"/>
              <w:left w:val="single" w:color="auto" w:sz="4" w:space="0"/>
              <w:bottom w:val="single" w:color="auto" w:sz="4" w:space="0"/>
              <w:right w:val="single" w:color="auto" w:sz="4" w:space="0"/>
            </w:tcBorders>
            <w:noWrap/>
            <w:vAlign w:val="center"/>
          </w:tcPr>
          <w:p w14:paraId="32338117">
            <w:pPr>
              <w:spacing w:line="360" w:lineRule="auto"/>
              <w:jc w:val="center"/>
              <w:rPr>
                <w:rFonts w:ascii="宋体" w:hAnsi="宋体"/>
                <w:color w:val="auto"/>
                <w:sz w:val="24"/>
                <w:highlight w:val="none"/>
              </w:rPr>
            </w:pPr>
            <w:r>
              <w:rPr>
                <w:rFonts w:hint="eastAsia" w:ascii="宋体" w:hAnsi="宋体"/>
                <w:color w:val="auto"/>
                <w:sz w:val="24"/>
                <w:highlight w:val="none"/>
              </w:rPr>
              <w:t>姓名</w:t>
            </w:r>
          </w:p>
        </w:tc>
        <w:tc>
          <w:tcPr>
            <w:tcW w:w="1869" w:type="dxa"/>
            <w:tcBorders>
              <w:top w:val="single" w:color="auto" w:sz="4" w:space="0"/>
              <w:left w:val="single" w:color="auto" w:sz="4" w:space="0"/>
              <w:bottom w:val="single" w:color="auto" w:sz="4" w:space="0"/>
              <w:right w:val="single" w:color="auto" w:sz="4" w:space="0"/>
            </w:tcBorders>
            <w:noWrap/>
            <w:vAlign w:val="center"/>
          </w:tcPr>
          <w:p w14:paraId="229D8250">
            <w:pPr>
              <w:spacing w:line="360" w:lineRule="auto"/>
              <w:jc w:val="center"/>
              <w:rPr>
                <w:rFonts w:ascii="宋体" w:hAnsi="宋体"/>
                <w:color w:val="auto"/>
                <w:sz w:val="24"/>
                <w:highlight w:val="none"/>
              </w:rPr>
            </w:pPr>
            <w:r>
              <w:rPr>
                <w:rFonts w:hint="eastAsia" w:ascii="宋体" w:hAnsi="宋体"/>
                <w:color w:val="auto"/>
                <w:sz w:val="24"/>
                <w:highlight w:val="none"/>
              </w:rPr>
              <w:t>岗位</w:t>
            </w:r>
          </w:p>
        </w:tc>
        <w:tc>
          <w:tcPr>
            <w:tcW w:w="2314" w:type="dxa"/>
            <w:tcBorders>
              <w:top w:val="single" w:color="auto" w:sz="4" w:space="0"/>
              <w:left w:val="single" w:color="auto" w:sz="4" w:space="0"/>
              <w:bottom w:val="single" w:color="auto" w:sz="4" w:space="0"/>
              <w:right w:val="single" w:color="auto" w:sz="4" w:space="0"/>
            </w:tcBorders>
            <w:noWrap/>
            <w:vAlign w:val="center"/>
          </w:tcPr>
          <w:p w14:paraId="218D1780">
            <w:pPr>
              <w:spacing w:line="360" w:lineRule="auto"/>
              <w:jc w:val="center"/>
              <w:rPr>
                <w:rFonts w:ascii="宋体" w:hAnsi="宋体"/>
                <w:color w:val="auto"/>
                <w:sz w:val="24"/>
                <w:highlight w:val="none"/>
              </w:rPr>
            </w:pPr>
            <w:r>
              <w:rPr>
                <w:rFonts w:hint="eastAsia" w:ascii="宋体" w:hAnsi="宋体"/>
                <w:color w:val="auto"/>
                <w:sz w:val="24"/>
                <w:highlight w:val="none"/>
              </w:rPr>
              <w:t>职称</w:t>
            </w:r>
          </w:p>
        </w:tc>
        <w:tc>
          <w:tcPr>
            <w:tcW w:w="3001" w:type="dxa"/>
            <w:tcBorders>
              <w:top w:val="single" w:color="auto" w:sz="4" w:space="0"/>
              <w:left w:val="single" w:color="auto" w:sz="4" w:space="0"/>
              <w:bottom w:val="single" w:color="auto" w:sz="4" w:space="0"/>
              <w:right w:val="single" w:color="auto" w:sz="4" w:space="0"/>
            </w:tcBorders>
            <w:noWrap/>
            <w:vAlign w:val="center"/>
          </w:tcPr>
          <w:p w14:paraId="5CEFB355">
            <w:pPr>
              <w:spacing w:line="360" w:lineRule="auto"/>
              <w:jc w:val="center"/>
              <w:rPr>
                <w:rFonts w:ascii="宋体" w:hAnsi="宋体"/>
                <w:color w:val="auto"/>
                <w:sz w:val="24"/>
                <w:highlight w:val="none"/>
              </w:rPr>
            </w:pPr>
            <w:r>
              <w:rPr>
                <w:rFonts w:hint="eastAsia" w:ascii="宋体" w:hAnsi="宋体"/>
                <w:color w:val="auto"/>
                <w:sz w:val="24"/>
                <w:highlight w:val="none"/>
              </w:rPr>
              <w:t>职称证号或资格证书编号</w:t>
            </w:r>
          </w:p>
        </w:tc>
      </w:tr>
      <w:tr w14:paraId="18D7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2C683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567" w:type="dxa"/>
            <w:tcBorders>
              <w:top w:val="single" w:color="auto" w:sz="4" w:space="0"/>
              <w:left w:val="single" w:color="auto" w:sz="4" w:space="0"/>
              <w:bottom w:val="single" w:color="auto" w:sz="4" w:space="0"/>
              <w:right w:val="single" w:color="auto" w:sz="4" w:space="0"/>
            </w:tcBorders>
            <w:noWrap/>
            <w:vAlign w:val="center"/>
          </w:tcPr>
          <w:p w14:paraId="550105EB">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C7B305D">
            <w:pPr>
              <w:spacing w:line="360" w:lineRule="auto"/>
              <w:jc w:val="center"/>
              <w:rPr>
                <w:rFonts w:ascii="宋体" w:hAnsi="宋体"/>
                <w:color w:val="auto"/>
                <w:sz w:val="24"/>
                <w:highlight w:val="none"/>
              </w:rPr>
            </w:pPr>
            <w:r>
              <w:rPr>
                <w:rFonts w:hint="eastAsia" w:ascii="宋体" w:hAnsi="宋体"/>
                <w:color w:val="auto"/>
                <w:sz w:val="24"/>
                <w:highlight w:val="none"/>
              </w:rPr>
              <w:t>技术负责人</w:t>
            </w:r>
          </w:p>
        </w:tc>
        <w:tc>
          <w:tcPr>
            <w:tcW w:w="2314" w:type="dxa"/>
            <w:tcBorders>
              <w:top w:val="single" w:color="auto" w:sz="4" w:space="0"/>
              <w:left w:val="single" w:color="auto" w:sz="4" w:space="0"/>
              <w:bottom w:val="single" w:color="auto" w:sz="4" w:space="0"/>
              <w:right w:val="single" w:color="auto" w:sz="4" w:space="0"/>
            </w:tcBorders>
            <w:noWrap/>
            <w:vAlign w:val="center"/>
          </w:tcPr>
          <w:p w14:paraId="5AD88063">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152EFF12">
            <w:pPr>
              <w:spacing w:line="360" w:lineRule="auto"/>
              <w:jc w:val="center"/>
              <w:rPr>
                <w:rFonts w:ascii="宋体" w:hAnsi="宋体"/>
                <w:color w:val="auto"/>
                <w:sz w:val="24"/>
                <w:highlight w:val="none"/>
              </w:rPr>
            </w:pPr>
          </w:p>
        </w:tc>
      </w:tr>
      <w:tr w14:paraId="2987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852CB6B">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567" w:type="dxa"/>
            <w:tcBorders>
              <w:top w:val="single" w:color="auto" w:sz="4" w:space="0"/>
              <w:left w:val="single" w:color="auto" w:sz="4" w:space="0"/>
              <w:bottom w:val="single" w:color="auto" w:sz="4" w:space="0"/>
              <w:right w:val="single" w:color="auto" w:sz="4" w:space="0"/>
            </w:tcBorders>
            <w:noWrap/>
            <w:vAlign w:val="center"/>
          </w:tcPr>
          <w:p w14:paraId="1786AB3B">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040EA21">
            <w:pPr>
              <w:spacing w:line="360" w:lineRule="auto"/>
              <w:jc w:val="center"/>
              <w:rPr>
                <w:rFonts w:ascii="宋体" w:hAnsi="宋体"/>
                <w:color w:val="auto"/>
                <w:sz w:val="24"/>
                <w:highlight w:val="none"/>
              </w:rPr>
            </w:pPr>
          </w:p>
        </w:tc>
        <w:tc>
          <w:tcPr>
            <w:tcW w:w="2314" w:type="dxa"/>
            <w:tcBorders>
              <w:top w:val="single" w:color="auto" w:sz="4" w:space="0"/>
              <w:left w:val="single" w:color="auto" w:sz="4" w:space="0"/>
              <w:bottom w:val="single" w:color="auto" w:sz="4" w:space="0"/>
              <w:right w:val="single" w:color="auto" w:sz="4" w:space="0"/>
            </w:tcBorders>
            <w:noWrap/>
            <w:vAlign w:val="center"/>
          </w:tcPr>
          <w:p w14:paraId="3AECC296">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47915C18">
            <w:pPr>
              <w:spacing w:line="360" w:lineRule="auto"/>
              <w:jc w:val="center"/>
              <w:rPr>
                <w:rFonts w:ascii="宋体" w:hAnsi="宋体"/>
                <w:color w:val="auto"/>
                <w:sz w:val="24"/>
                <w:highlight w:val="none"/>
              </w:rPr>
            </w:pPr>
          </w:p>
        </w:tc>
      </w:tr>
      <w:tr w14:paraId="0763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03A630EE">
            <w:pPr>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1567" w:type="dxa"/>
            <w:tcBorders>
              <w:top w:val="single" w:color="auto" w:sz="4" w:space="0"/>
              <w:left w:val="single" w:color="auto" w:sz="4" w:space="0"/>
              <w:bottom w:val="single" w:color="auto" w:sz="4" w:space="0"/>
              <w:right w:val="single" w:color="auto" w:sz="4" w:space="0"/>
            </w:tcBorders>
            <w:noWrap/>
            <w:vAlign w:val="center"/>
          </w:tcPr>
          <w:p w14:paraId="4881D02B">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901A103">
            <w:pPr>
              <w:spacing w:line="360" w:lineRule="auto"/>
              <w:jc w:val="center"/>
              <w:rPr>
                <w:rFonts w:hint="eastAsia" w:ascii="宋体" w:hAnsi="宋体" w:eastAsia="宋体"/>
                <w:color w:val="auto"/>
                <w:sz w:val="24"/>
                <w:highlight w:val="none"/>
                <w:lang w:eastAsia="zh-CN"/>
              </w:rPr>
            </w:pPr>
          </w:p>
        </w:tc>
        <w:tc>
          <w:tcPr>
            <w:tcW w:w="2314" w:type="dxa"/>
            <w:tcBorders>
              <w:top w:val="single" w:color="auto" w:sz="4" w:space="0"/>
              <w:left w:val="single" w:color="auto" w:sz="4" w:space="0"/>
              <w:bottom w:val="single" w:color="auto" w:sz="4" w:space="0"/>
              <w:right w:val="single" w:color="auto" w:sz="4" w:space="0"/>
            </w:tcBorders>
            <w:noWrap/>
            <w:vAlign w:val="center"/>
          </w:tcPr>
          <w:p w14:paraId="00418985">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2B5AE519">
            <w:pPr>
              <w:spacing w:line="360" w:lineRule="auto"/>
              <w:jc w:val="center"/>
              <w:rPr>
                <w:rFonts w:ascii="宋体" w:hAnsi="宋体"/>
                <w:color w:val="auto"/>
                <w:sz w:val="24"/>
                <w:highlight w:val="none"/>
              </w:rPr>
            </w:pPr>
          </w:p>
        </w:tc>
      </w:tr>
      <w:tr w14:paraId="1B03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7370CEC">
            <w:pPr>
              <w:spacing w:line="360" w:lineRule="auto"/>
              <w:jc w:val="center"/>
              <w:rPr>
                <w:rFonts w:ascii="宋体" w:hAnsi="宋体"/>
                <w:color w:val="auto"/>
                <w:sz w:val="24"/>
                <w:highlight w:val="none"/>
              </w:rPr>
            </w:pPr>
            <w:r>
              <w:rPr>
                <w:rFonts w:hint="eastAsia" w:ascii="宋体" w:hAnsi="宋体"/>
                <w:color w:val="auto"/>
                <w:sz w:val="24"/>
                <w:highlight w:val="none"/>
              </w:rPr>
              <w:t>4</w:t>
            </w:r>
          </w:p>
        </w:tc>
        <w:tc>
          <w:tcPr>
            <w:tcW w:w="1567" w:type="dxa"/>
            <w:tcBorders>
              <w:top w:val="single" w:color="auto" w:sz="4" w:space="0"/>
              <w:left w:val="single" w:color="auto" w:sz="4" w:space="0"/>
              <w:bottom w:val="single" w:color="auto" w:sz="4" w:space="0"/>
              <w:right w:val="single" w:color="auto" w:sz="4" w:space="0"/>
            </w:tcBorders>
            <w:noWrap/>
            <w:vAlign w:val="center"/>
          </w:tcPr>
          <w:p w14:paraId="5BCF4CF9">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08953">
            <w:pPr>
              <w:spacing w:line="360" w:lineRule="auto"/>
              <w:jc w:val="center"/>
              <w:rPr>
                <w:rFonts w:hint="eastAsia" w:ascii="宋体" w:hAnsi="宋体" w:eastAsia="宋体"/>
                <w:color w:val="auto"/>
                <w:sz w:val="24"/>
                <w:highlight w:val="none"/>
                <w:lang w:eastAsia="zh-CN"/>
              </w:rPr>
            </w:pPr>
          </w:p>
        </w:tc>
        <w:tc>
          <w:tcPr>
            <w:tcW w:w="2314" w:type="dxa"/>
            <w:tcBorders>
              <w:top w:val="single" w:color="auto" w:sz="4" w:space="0"/>
              <w:left w:val="single" w:color="auto" w:sz="4" w:space="0"/>
              <w:bottom w:val="single" w:color="auto" w:sz="4" w:space="0"/>
              <w:right w:val="single" w:color="auto" w:sz="4" w:space="0"/>
            </w:tcBorders>
            <w:noWrap/>
            <w:vAlign w:val="center"/>
          </w:tcPr>
          <w:p w14:paraId="0E7BFBCD">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0E26D4FE">
            <w:pPr>
              <w:spacing w:line="360" w:lineRule="auto"/>
              <w:jc w:val="center"/>
              <w:rPr>
                <w:rFonts w:ascii="宋体" w:hAnsi="宋体"/>
                <w:color w:val="auto"/>
                <w:sz w:val="24"/>
                <w:highlight w:val="none"/>
              </w:rPr>
            </w:pPr>
          </w:p>
        </w:tc>
      </w:tr>
      <w:tr w14:paraId="5307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0ED10BCC">
            <w:pPr>
              <w:spacing w:line="360" w:lineRule="auto"/>
              <w:jc w:val="center"/>
              <w:rPr>
                <w:rFonts w:ascii="宋体" w:hAnsi="宋体"/>
                <w:color w:val="auto"/>
                <w:sz w:val="24"/>
                <w:highlight w:val="none"/>
              </w:rPr>
            </w:pPr>
            <w:r>
              <w:rPr>
                <w:rFonts w:hint="eastAsia" w:ascii="宋体" w:hAnsi="宋体"/>
                <w:color w:val="auto"/>
                <w:sz w:val="24"/>
                <w:highlight w:val="none"/>
              </w:rPr>
              <w:t>5</w:t>
            </w:r>
          </w:p>
        </w:tc>
        <w:tc>
          <w:tcPr>
            <w:tcW w:w="1567" w:type="dxa"/>
            <w:tcBorders>
              <w:top w:val="single" w:color="auto" w:sz="4" w:space="0"/>
              <w:left w:val="single" w:color="auto" w:sz="4" w:space="0"/>
              <w:bottom w:val="single" w:color="auto" w:sz="4" w:space="0"/>
              <w:right w:val="single" w:color="auto" w:sz="4" w:space="0"/>
            </w:tcBorders>
            <w:noWrap/>
            <w:vAlign w:val="center"/>
          </w:tcPr>
          <w:p w14:paraId="5106546A">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2DA65">
            <w:pPr>
              <w:spacing w:line="360" w:lineRule="auto"/>
              <w:jc w:val="center"/>
              <w:rPr>
                <w:rFonts w:hint="default" w:ascii="宋体" w:hAnsi="宋体" w:eastAsia="宋体"/>
                <w:color w:val="auto"/>
                <w:sz w:val="24"/>
                <w:highlight w:val="none"/>
                <w:lang w:eastAsia="zh-CN"/>
              </w:rPr>
            </w:pPr>
          </w:p>
        </w:tc>
        <w:tc>
          <w:tcPr>
            <w:tcW w:w="2314" w:type="dxa"/>
            <w:tcBorders>
              <w:top w:val="single" w:color="auto" w:sz="4" w:space="0"/>
              <w:left w:val="single" w:color="auto" w:sz="4" w:space="0"/>
              <w:bottom w:val="single" w:color="auto" w:sz="4" w:space="0"/>
              <w:right w:val="single" w:color="auto" w:sz="4" w:space="0"/>
            </w:tcBorders>
            <w:noWrap/>
            <w:vAlign w:val="center"/>
          </w:tcPr>
          <w:p w14:paraId="5C2DC7AC">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0F1F02DD">
            <w:pPr>
              <w:spacing w:line="360" w:lineRule="auto"/>
              <w:jc w:val="center"/>
              <w:rPr>
                <w:rFonts w:ascii="宋体" w:hAnsi="宋体"/>
                <w:color w:val="auto"/>
                <w:sz w:val="24"/>
                <w:highlight w:val="none"/>
              </w:rPr>
            </w:pPr>
          </w:p>
        </w:tc>
      </w:tr>
      <w:tr w14:paraId="2083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BDC3407">
            <w:pPr>
              <w:spacing w:line="360" w:lineRule="auto"/>
              <w:jc w:val="center"/>
              <w:rPr>
                <w:rFonts w:ascii="宋体" w:hAnsi="宋体"/>
                <w:color w:val="auto"/>
                <w:sz w:val="24"/>
                <w:highlight w:val="none"/>
              </w:rPr>
            </w:pPr>
            <w:r>
              <w:rPr>
                <w:rFonts w:hint="eastAsia" w:ascii="宋体" w:hAnsi="宋体"/>
                <w:color w:val="auto"/>
                <w:sz w:val="24"/>
                <w:highlight w:val="none"/>
              </w:rPr>
              <w:t>6</w:t>
            </w:r>
          </w:p>
        </w:tc>
        <w:tc>
          <w:tcPr>
            <w:tcW w:w="1567" w:type="dxa"/>
            <w:tcBorders>
              <w:top w:val="single" w:color="auto" w:sz="4" w:space="0"/>
              <w:left w:val="single" w:color="auto" w:sz="4" w:space="0"/>
              <w:bottom w:val="single" w:color="auto" w:sz="4" w:space="0"/>
              <w:right w:val="single" w:color="auto" w:sz="4" w:space="0"/>
            </w:tcBorders>
            <w:noWrap/>
            <w:vAlign w:val="center"/>
          </w:tcPr>
          <w:p w14:paraId="728530E7">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69A0E">
            <w:pPr>
              <w:spacing w:line="360" w:lineRule="auto"/>
              <w:jc w:val="center"/>
              <w:rPr>
                <w:rFonts w:hint="eastAsia" w:ascii="宋体" w:hAnsi="宋体" w:eastAsia="宋体" w:cs="Times New Roman"/>
                <w:color w:val="auto"/>
                <w:kern w:val="2"/>
                <w:sz w:val="24"/>
                <w:szCs w:val="22"/>
                <w:highlight w:val="none"/>
                <w:lang w:val="en-US" w:eastAsia="zh-CN" w:bidi="ar-SA"/>
              </w:rPr>
            </w:pPr>
          </w:p>
        </w:tc>
        <w:tc>
          <w:tcPr>
            <w:tcW w:w="2314" w:type="dxa"/>
            <w:tcBorders>
              <w:top w:val="single" w:color="auto" w:sz="4" w:space="0"/>
              <w:left w:val="single" w:color="auto" w:sz="4" w:space="0"/>
              <w:bottom w:val="single" w:color="auto" w:sz="4" w:space="0"/>
              <w:right w:val="single" w:color="auto" w:sz="4" w:space="0"/>
            </w:tcBorders>
            <w:noWrap/>
            <w:vAlign w:val="center"/>
          </w:tcPr>
          <w:p w14:paraId="7DF272A8">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14905476">
            <w:pPr>
              <w:spacing w:line="360" w:lineRule="auto"/>
              <w:jc w:val="center"/>
              <w:rPr>
                <w:rFonts w:ascii="宋体" w:hAnsi="宋体"/>
                <w:color w:val="auto"/>
                <w:sz w:val="24"/>
                <w:highlight w:val="none"/>
              </w:rPr>
            </w:pPr>
          </w:p>
        </w:tc>
      </w:tr>
      <w:tr w14:paraId="633E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CF2DFE">
            <w:pPr>
              <w:spacing w:line="360" w:lineRule="auto"/>
              <w:jc w:val="center"/>
              <w:rPr>
                <w:rFonts w:ascii="宋体" w:hAnsi="宋体"/>
                <w:color w:val="auto"/>
                <w:sz w:val="24"/>
                <w:highlight w:val="none"/>
              </w:rPr>
            </w:pPr>
            <w:r>
              <w:rPr>
                <w:rFonts w:hint="eastAsia" w:ascii="宋体" w:hAnsi="宋体"/>
                <w:color w:val="auto"/>
                <w:sz w:val="24"/>
                <w:highlight w:val="none"/>
              </w:rPr>
              <w:t>7</w:t>
            </w:r>
          </w:p>
        </w:tc>
        <w:tc>
          <w:tcPr>
            <w:tcW w:w="1567" w:type="dxa"/>
            <w:tcBorders>
              <w:top w:val="single" w:color="auto" w:sz="4" w:space="0"/>
              <w:left w:val="single" w:color="auto" w:sz="4" w:space="0"/>
              <w:bottom w:val="single" w:color="auto" w:sz="4" w:space="0"/>
              <w:right w:val="single" w:color="auto" w:sz="4" w:space="0"/>
            </w:tcBorders>
            <w:noWrap/>
            <w:vAlign w:val="center"/>
          </w:tcPr>
          <w:p w14:paraId="188EB27E">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55E40">
            <w:pPr>
              <w:spacing w:line="360" w:lineRule="auto"/>
              <w:jc w:val="center"/>
              <w:rPr>
                <w:rFonts w:hint="default" w:ascii="宋体" w:hAnsi="宋体" w:eastAsia="宋体" w:cs="Times New Roman"/>
                <w:color w:val="auto"/>
                <w:kern w:val="2"/>
                <w:sz w:val="24"/>
                <w:szCs w:val="22"/>
                <w:highlight w:val="none"/>
                <w:lang w:val="en-US" w:eastAsia="zh-CN" w:bidi="ar-SA"/>
              </w:rPr>
            </w:pPr>
          </w:p>
        </w:tc>
        <w:tc>
          <w:tcPr>
            <w:tcW w:w="2314" w:type="dxa"/>
            <w:tcBorders>
              <w:top w:val="single" w:color="auto" w:sz="4" w:space="0"/>
              <w:left w:val="single" w:color="auto" w:sz="4" w:space="0"/>
              <w:bottom w:val="single" w:color="auto" w:sz="4" w:space="0"/>
              <w:right w:val="single" w:color="auto" w:sz="4" w:space="0"/>
            </w:tcBorders>
            <w:noWrap/>
            <w:vAlign w:val="center"/>
          </w:tcPr>
          <w:p w14:paraId="08500CB5">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588E7B09">
            <w:pPr>
              <w:spacing w:line="360" w:lineRule="auto"/>
              <w:jc w:val="center"/>
              <w:rPr>
                <w:rFonts w:ascii="宋体" w:hAnsi="宋体"/>
                <w:color w:val="auto"/>
                <w:sz w:val="24"/>
                <w:highlight w:val="none"/>
              </w:rPr>
            </w:pPr>
          </w:p>
        </w:tc>
      </w:tr>
      <w:tr w14:paraId="5E1A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29A11DB">
            <w:pPr>
              <w:spacing w:line="360" w:lineRule="auto"/>
              <w:jc w:val="center"/>
              <w:rPr>
                <w:rFonts w:ascii="宋体" w:hAnsi="宋体"/>
                <w:color w:val="auto"/>
                <w:sz w:val="24"/>
                <w:highlight w:val="none"/>
              </w:rPr>
            </w:pPr>
            <w:r>
              <w:rPr>
                <w:rFonts w:hint="eastAsia" w:ascii="宋体" w:hAnsi="宋体"/>
                <w:color w:val="auto"/>
                <w:sz w:val="24"/>
                <w:highlight w:val="none"/>
              </w:rPr>
              <w:t>8</w:t>
            </w:r>
          </w:p>
        </w:tc>
        <w:tc>
          <w:tcPr>
            <w:tcW w:w="1567" w:type="dxa"/>
            <w:tcBorders>
              <w:top w:val="single" w:color="auto" w:sz="4" w:space="0"/>
              <w:left w:val="single" w:color="auto" w:sz="4" w:space="0"/>
              <w:bottom w:val="single" w:color="auto" w:sz="4" w:space="0"/>
              <w:right w:val="single" w:color="auto" w:sz="4" w:space="0"/>
            </w:tcBorders>
            <w:noWrap/>
            <w:vAlign w:val="center"/>
          </w:tcPr>
          <w:p w14:paraId="2D12B024">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77A45">
            <w:pPr>
              <w:spacing w:line="360" w:lineRule="auto"/>
              <w:jc w:val="center"/>
              <w:rPr>
                <w:rFonts w:hint="eastAsia" w:ascii="宋体" w:hAnsi="宋体" w:eastAsia="宋体" w:cs="Times New Roman"/>
                <w:color w:val="auto"/>
                <w:kern w:val="2"/>
                <w:sz w:val="24"/>
                <w:szCs w:val="22"/>
                <w:highlight w:val="none"/>
                <w:lang w:val="en-US" w:eastAsia="zh-CN" w:bidi="ar-SA"/>
              </w:rPr>
            </w:pPr>
          </w:p>
        </w:tc>
        <w:tc>
          <w:tcPr>
            <w:tcW w:w="2314" w:type="dxa"/>
            <w:tcBorders>
              <w:top w:val="single" w:color="auto" w:sz="4" w:space="0"/>
              <w:left w:val="single" w:color="auto" w:sz="4" w:space="0"/>
              <w:bottom w:val="single" w:color="auto" w:sz="4" w:space="0"/>
              <w:right w:val="single" w:color="auto" w:sz="4" w:space="0"/>
            </w:tcBorders>
            <w:noWrap/>
            <w:vAlign w:val="center"/>
          </w:tcPr>
          <w:p w14:paraId="076DA0F1">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732C3042">
            <w:pPr>
              <w:spacing w:line="360" w:lineRule="auto"/>
              <w:jc w:val="center"/>
              <w:rPr>
                <w:rFonts w:ascii="宋体" w:hAnsi="宋体"/>
                <w:color w:val="auto"/>
                <w:sz w:val="24"/>
                <w:highlight w:val="none"/>
              </w:rPr>
            </w:pPr>
          </w:p>
        </w:tc>
      </w:tr>
      <w:tr w14:paraId="7BBC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0F85AC0B">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567" w:type="dxa"/>
            <w:tcBorders>
              <w:top w:val="single" w:color="auto" w:sz="4" w:space="0"/>
              <w:left w:val="single" w:color="auto" w:sz="4" w:space="0"/>
              <w:bottom w:val="single" w:color="auto" w:sz="4" w:space="0"/>
              <w:right w:val="single" w:color="auto" w:sz="4" w:space="0"/>
            </w:tcBorders>
            <w:noWrap/>
            <w:vAlign w:val="center"/>
          </w:tcPr>
          <w:p w14:paraId="10055CBD">
            <w:pPr>
              <w:spacing w:line="360" w:lineRule="auto"/>
              <w:jc w:val="center"/>
              <w:rPr>
                <w:rFonts w:ascii="宋体" w:hAnsi="宋体"/>
                <w:color w:val="auto"/>
                <w:sz w:val="24"/>
                <w:highlight w:val="none"/>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3663D">
            <w:pPr>
              <w:spacing w:line="360" w:lineRule="auto"/>
              <w:jc w:val="center"/>
              <w:rPr>
                <w:rFonts w:hint="default" w:ascii="宋体" w:hAnsi="宋体" w:eastAsia="宋体" w:cs="Times New Roman"/>
                <w:color w:val="auto"/>
                <w:kern w:val="2"/>
                <w:sz w:val="24"/>
                <w:szCs w:val="22"/>
                <w:highlight w:val="none"/>
                <w:lang w:val="en-US" w:eastAsia="zh-CN" w:bidi="ar-SA"/>
              </w:rPr>
            </w:pPr>
            <w:r>
              <w:rPr>
                <w:rFonts w:hint="eastAsia" w:ascii="宋体" w:hAnsi="宋体" w:cs="Times New Roman"/>
                <w:color w:val="auto"/>
                <w:kern w:val="2"/>
                <w:sz w:val="24"/>
                <w:szCs w:val="22"/>
                <w:highlight w:val="none"/>
                <w:lang w:val="en-US" w:eastAsia="zh-CN" w:bidi="ar-SA"/>
              </w:rPr>
              <w:t>...</w:t>
            </w:r>
          </w:p>
        </w:tc>
        <w:tc>
          <w:tcPr>
            <w:tcW w:w="2314" w:type="dxa"/>
            <w:tcBorders>
              <w:top w:val="single" w:color="auto" w:sz="4" w:space="0"/>
              <w:left w:val="single" w:color="auto" w:sz="4" w:space="0"/>
              <w:bottom w:val="single" w:color="auto" w:sz="4" w:space="0"/>
              <w:right w:val="single" w:color="auto" w:sz="4" w:space="0"/>
            </w:tcBorders>
            <w:noWrap/>
            <w:vAlign w:val="center"/>
          </w:tcPr>
          <w:p w14:paraId="163A6636">
            <w:pPr>
              <w:spacing w:line="360" w:lineRule="auto"/>
              <w:jc w:val="center"/>
              <w:rPr>
                <w:rFonts w:ascii="宋体" w:hAnsi="宋体"/>
                <w:color w:val="auto"/>
                <w:sz w:val="24"/>
                <w:highlight w:val="none"/>
              </w:rPr>
            </w:pPr>
          </w:p>
        </w:tc>
        <w:tc>
          <w:tcPr>
            <w:tcW w:w="3001" w:type="dxa"/>
            <w:tcBorders>
              <w:top w:val="single" w:color="auto" w:sz="4" w:space="0"/>
              <w:left w:val="single" w:color="auto" w:sz="4" w:space="0"/>
              <w:bottom w:val="single" w:color="auto" w:sz="4" w:space="0"/>
              <w:right w:val="single" w:color="auto" w:sz="4" w:space="0"/>
            </w:tcBorders>
            <w:noWrap/>
            <w:vAlign w:val="center"/>
          </w:tcPr>
          <w:p w14:paraId="1DF8D5A5">
            <w:pPr>
              <w:spacing w:line="360" w:lineRule="auto"/>
              <w:jc w:val="center"/>
              <w:rPr>
                <w:rFonts w:ascii="宋体" w:hAnsi="宋体"/>
                <w:color w:val="auto"/>
                <w:sz w:val="24"/>
                <w:highlight w:val="none"/>
              </w:rPr>
            </w:pPr>
          </w:p>
        </w:tc>
      </w:tr>
      <w:tr w14:paraId="6B3D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9" w:type="dxa"/>
            <w:gridSpan w:val="5"/>
            <w:tcBorders>
              <w:top w:val="single" w:color="auto" w:sz="4" w:space="0"/>
              <w:left w:val="single" w:color="auto" w:sz="4" w:space="0"/>
              <w:bottom w:val="single" w:color="auto" w:sz="4" w:space="0"/>
              <w:right w:val="single" w:color="auto" w:sz="4" w:space="0"/>
            </w:tcBorders>
            <w:noWrap/>
            <w:vAlign w:val="center"/>
          </w:tcPr>
          <w:p w14:paraId="6555850B">
            <w:pPr>
              <w:spacing w:line="360" w:lineRule="auto"/>
              <w:jc w:val="left"/>
              <w:rPr>
                <w:rFonts w:hint="eastAsia" w:ascii="宋体" w:hAnsi="宋体"/>
                <w:color w:val="auto"/>
                <w:szCs w:val="21"/>
                <w:highlight w:val="none"/>
              </w:rPr>
            </w:pPr>
            <w:r>
              <w:rPr>
                <w:rFonts w:hint="eastAsia" w:ascii="宋体" w:hAnsi="宋体"/>
                <w:color w:val="auto"/>
                <w:szCs w:val="21"/>
                <w:highlight w:val="none"/>
              </w:rPr>
              <w:t>备注：1、“岗位”要求（除项目负责人和专职安全员外）由招标人根据项目管理需要在本表备注中明确提出，如：拟派驻施工现场的技术负责人、</w:t>
            </w:r>
            <w:r>
              <w:rPr>
                <w:rFonts w:hint="eastAsia" w:ascii="宋体" w:hAnsi="宋体"/>
                <w:color w:val="auto"/>
                <w:szCs w:val="21"/>
                <w:highlight w:val="none"/>
                <w:lang w:eastAsia="zh-CN"/>
              </w:rPr>
              <w:t>专职安全员</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hint="eastAsia" w:ascii="宋体" w:hAnsi="宋体"/>
                <w:color w:val="auto"/>
                <w:szCs w:val="21"/>
                <w:highlight w:val="none"/>
              </w:rPr>
              <w:t>质量负责人</w:t>
            </w:r>
            <w:r>
              <w:rPr>
                <w:rFonts w:hint="eastAsia" w:ascii="宋体" w:hAnsi="宋体"/>
                <w:color w:val="auto"/>
                <w:szCs w:val="21"/>
                <w:highlight w:val="none"/>
                <w:lang w:val="en-US" w:eastAsia="zh-CN"/>
              </w:rPr>
              <w:t>(如有）</w:t>
            </w:r>
            <w:r>
              <w:rPr>
                <w:rFonts w:hint="eastAsia" w:ascii="宋体" w:hAnsi="宋体"/>
                <w:color w:val="auto"/>
                <w:szCs w:val="21"/>
                <w:highlight w:val="none"/>
              </w:rPr>
              <w:t>、安全负责人</w:t>
            </w:r>
            <w:r>
              <w:rPr>
                <w:rFonts w:hint="eastAsia" w:ascii="宋体" w:hAnsi="宋体"/>
                <w:color w:val="auto"/>
                <w:szCs w:val="21"/>
                <w:highlight w:val="none"/>
                <w:lang w:val="en-US" w:eastAsia="zh-CN"/>
              </w:rPr>
              <w:t>(如有）</w:t>
            </w:r>
            <w:r>
              <w:rPr>
                <w:rFonts w:hint="eastAsia" w:ascii="宋体" w:hAnsi="宋体"/>
                <w:color w:val="auto"/>
                <w:szCs w:val="21"/>
                <w:highlight w:val="none"/>
              </w:rPr>
              <w:t>、造价负责人</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hint="eastAsia" w:ascii="宋体" w:hAnsi="宋体"/>
                <w:color w:val="auto"/>
                <w:szCs w:val="21"/>
                <w:highlight w:val="none"/>
              </w:rPr>
              <w:t>施工员</w:t>
            </w:r>
            <w:r>
              <w:rPr>
                <w:rFonts w:hint="eastAsia" w:ascii="宋体" w:hAnsi="宋体"/>
                <w:color w:val="auto"/>
                <w:szCs w:val="21"/>
                <w:highlight w:val="none"/>
                <w:lang w:val="en-US" w:eastAsia="zh-CN"/>
              </w:rPr>
              <w:t>(如有）</w:t>
            </w:r>
            <w:r>
              <w:rPr>
                <w:rFonts w:hint="eastAsia" w:ascii="宋体" w:hAnsi="宋体"/>
                <w:color w:val="auto"/>
                <w:szCs w:val="21"/>
                <w:highlight w:val="none"/>
              </w:rPr>
              <w:t>、资料员</w:t>
            </w:r>
            <w:r>
              <w:rPr>
                <w:rFonts w:hint="eastAsia" w:ascii="宋体" w:hAnsi="宋体"/>
                <w:color w:val="auto"/>
                <w:szCs w:val="21"/>
                <w:highlight w:val="none"/>
                <w:lang w:val="en-US" w:eastAsia="zh-CN"/>
              </w:rPr>
              <w:t>(如有）</w:t>
            </w:r>
            <w:r>
              <w:rPr>
                <w:rFonts w:hint="eastAsia" w:ascii="宋体" w:hAnsi="宋体"/>
                <w:color w:val="auto"/>
                <w:szCs w:val="21"/>
                <w:highlight w:val="none"/>
              </w:rPr>
              <w:t>等。</w:t>
            </w:r>
          </w:p>
          <w:p w14:paraId="0C8777D2">
            <w:pPr>
              <w:spacing w:line="360" w:lineRule="auto"/>
              <w:jc w:val="left"/>
              <w:rPr>
                <w:rFonts w:ascii="宋体" w:hAnsi="宋体"/>
                <w:color w:val="auto"/>
                <w:szCs w:val="21"/>
                <w:highlight w:val="none"/>
              </w:rPr>
            </w:pPr>
            <w:r>
              <w:rPr>
                <w:rFonts w:hint="eastAsia" w:ascii="宋体" w:hAnsi="宋体"/>
                <w:color w:val="auto"/>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14:paraId="6D315F16">
            <w:pPr>
              <w:spacing w:line="360" w:lineRule="auto"/>
              <w:jc w:val="left"/>
              <w:rPr>
                <w:rFonts w:ascii="宋体" w:hAnsi="宋体"/>
                <w:color w:val="auto"/>
                <w:szCs w:val="21"/>
                <w:highlight w:val="none"/>
              </w:rPr>
            </w:pPr>
            <w:r>
              <w:rPr>
                <w:rFonts w:hint="eastAsia" w:ascii="宋体" w:hAnsi="宋体"/>
                <w:color w:val="auto"/>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74ED067B">
            <w:pPr>
              <w:spacing w:line="360" w:lineRule="auto"/>
              <w:jc w:val="left"/>
              <w:rPr>
                <w:rFonts w:ascii="宋体" w:hAnsi="宋体"/>
                <w:color w:val="auto"/>
                <w:szCs w:val="21"/>
                <w:highlight w:val="none"/>
              </w:rPr>
            </w:pPr>
            <w:r>
              <w:rPr>
                <w:rFonts w:hint="eastAsia" w:ascii="宋体" w:hAnsi="宋体"/>
                <w:color w:val="auto"/>
                <w:szCs w:val="21"/>
                <w:highlight w:val="none"/>
              </w:rPr>
              <w:t>4、“职务”和“配备最低人数要求”栏目由招标人填写，其他栏目内容由投标单位按本工程要求配备人员填写上表并盖章确认。</w:t>
            </w:r>
          </w:p>
          <w:p w14:paraId="49AC1D03">
            <w:pPr>
              <w:spacing w:line="360" w:lineRule="auto"/>
              <w:jc w:val="left"/>
              <w:rPr>
                <w:rFonts w:ascii="宋体" w:hAnsi="宋体"/>
                <w:color w:val="auto"/>
                <w:szCs w:val="21"/>
                <w:highlight w:val="none"/>
              </w:rPr>
            </w:pPr>
            <w:r>
              <w:rPr>
                <w:rFonts w:hint="eastAsia" w:ascii="宋体" w:hAnsi="宋体"/>
                <w:color w:val="auto"/>
                <w:szCs w:val="21"/>
                <w:highlight w:val="none"/>
              </w:rPr>
              <w:t>5、项目机构管理人员应满足最低人数要求。若因工程特殊需要，招标人在工程施工过程中提出需增加管理人员的，中标单位必须确保增加人员在五个工作日内到位。</w:t>
            </w:r>
          </w:p>
          <w:p w14:paraId="37889AFD">
            <w:pPr>
              <w:spacing w:line="360" w:lineRule="auto"/>
              <w:jc w:val="left"/>
              <w:rPr>
                <w:rFonts w:ascii="宋体" w:hAnsi="宋体"/>
                <w:color w:val="auto"/>
                <w:szCs w:val="21"/>
                <w:highlight w:val="none"/>
              </w:rPr>
            </w:pPr>
            <w:r>
              <w:rPr>
                <w:rFonts w:hint="eastAsia" w:ascii="宋体" w:hAnsi="宋体"/>
                <w:color w:val="auto"/>
                <w:szCs w:val="21"/>
                <w:highlight w:val="none"/>
              </w:rPr>
              <w:t>6、用于施工报建的安全员证件必须在有效期内。</w:t>
            </w:r>
          </w:p>
        </w:tc>
      </w:tr>
    </w:tbl>
    <w:p w14:paraId="7761B6D8">
      <w:pPr>
        <w:spacing w:line="360" w:lineRule="auto"/>
        <w:ind w:right="-108"/>
        <w:jc w:val="right"/>
        <w:rPr>
          <w:rFonts w:ascii="宋体" w:hAnsi="宋体"/>
          <w:color w:val="auto"/>
          <w:highlight w:val="none"/>
        </w:rPr>
      </w:pPr>
      <w:r>
        <w:rPr>
          <w:rFonts w:hint="eastAsia" w:ascii="宋体" w:hAnsi="宋体"/>
          <w:color w:val="auto"/>
          <w:sz w:val="24"/>
          <w:highlight w:val="none"/>
        </w:rPr>
        <w:t>投标人（盖公章）：</w:t>
      </w:r>
    </w:p>
    <w:p w14:paraId="10D3FA23">
      <w:pPr>
        <w:widowControl/>
        <w:ind w:firstLine="6240" w:firstLineChars="2600"/>
        <w:jc w:val="left"/>
        <w:rPr>
          <w:rFonts w:ascii="宋体" w:hAnsi="宋体"/>
          <w:color w:val="auto"/>
          <w:sz w:val="24"/>
          <w:highlight w:val="none"/>
        </w:rPr>
      </w:pPr>
      <w:r>
        <w:rPr>
          <w:rFonts w:hint="eastAsia" w:ascii="宋体" w:hAnsi="宋体"/>
          <w:color w:val="auto"/>
          <w:sz w:val="24"/>
          <w:highlight w:val="none"/>
        </w:rPr>
        <w:t xml:space="preserve">年   月   日   </w:t>
      </w:r>
    </w:p>
    <w:p w14:paraId="2645D8A9">
      <w:pPr>
        <w:spacing w:line="360" w:lineRule="auto"/>
        <w:rPr>
          <w:rFonts w:ascii="宋体" w:hAnsi="宋体"/>
          <w:color w:val="auto"/>
          <w:sz w:val="24"/>
          <w:szCs w:val="24"/>
          <w:highlight w:val="none"/>
        </w:rPr>
      </w:pPr>
      <w:r>
        <w:rPr>
          <w:rFonts w:hint="eastAsia"/>
          <w:color w:val="auto"/>
          <w:szCs w:val="21"/>
          <w:highlight w:val="none"/>
        </w:rPr>
        <w:br w:type="page"/>
      </w:r>
    </w:p>
    <w:p w14:paraId="49E5F05B">
      <w:pPr>
        <w:pStyle w:val="96"/>
        <w:spacing w:line="460" w:lineRule="exact"/>
        <w:ind w:right="518" w:firstLine="5880" w:firstLineChars="2800"/>
        <w:rPr>
          <w:rFonts w:ascii="宋体" w:hAnsi="宋体" w:eastAsia="宋体"/>
          <w:strike/>
          <w:color w:val="auto"/>
          <w:sz w:val="21"/>
          <w:szCs w:val="21"/>
          <w:highlight w:val="none"/>
        </w:rPr>
      </w:pPr>
    </w:p>
    <w:p w14:paraId="0F2D2078">
      <w:pPr>
        <w:jc w:val="center"/>
        <w:rPr>
          <w:rFonts w:ascii="宋体" w:hAnsi="宋体"/>
          <w:color w:val="auto"/>
          <w:sz w:val="30"/>
          <w:szCs w:val="30"/>
          <w:highlight w:val="none"/>
        </w:rPr>
      </w:pPr>
      <w:r>
        <w:rPr>
          <w:rFonts w:hint="eastAsia" w:ascii="宋体" w:hAnsi="宋体"/>
          <w:b/>
          <w:color w:val="auto"/>
          <w:sz w:val="30"/>
          <w:szCs w:val="30"/>
          <w:highlight w:val="none"/>
        </w:rPr>
        <w:t>危险性较大的分部分项工程清单及超过一定规模的危险性较大的分部分项工程清单</w:t>
      </w:r>
    </w:p>
    <w:p w14:paraId="5C2319DE">
      <w:pPr>
        <w:pStyle w:val="109"/>
        <w:numPr>
          <w:ilvl w:val="0"/>
          <w:numId w:val="4"/>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根据中华人民共和国住房和城乡建设部令第37号《危险性较大的分部分项工程安全管理规定》（以下简称“37号文”），投标人在投标时须补充完善危大工程清单并明确相应的安全管理措施。</w:t>
      </w:r>
    </w:p>
    <w:p w14:paraId="37652D2F">
      <w:pPr>
        <w:pStyle w:val="109"/>
        <w:numPr>
          <w:ilvl w:val="0"/>
          <w:numId w:val="4"/>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olor w:val="auto"/>
          <w:szCs w:val="36"/>
          <w:highlight w:val="none"/>
        </w:rPr>
        <w:t>√”标识。</w:t>
      </w:r>
    </w:p>
    <w:p w14:paraId="4EB6C96E">
      <w:pPr>
        <w:pStyle w:val="109"/>
        <w:numPr>
          <w:ilvl w:val="0"/>
          <w:numId w:val="5"/>
        </w:numPr>
        <w:autoSpaceDE w:val="0"/>
        <w:autoSpaceDN w:val="0"/>
        <w:adjustRightInd w:val="0"/>
        <w:spacing w:before="156" w:after="156"/>
        <w:ind w:firstLineChars="0"/>
        <w:jc w:val="left"/>
        <w:rPr>
          <w:rFonts w:ascii="宋体" w:hAnsi="宋体"/>
          <w:color w:val="auto"/>
          <w:szCs w:val="36"/>
          <w:highlight w:val="none"/>
        </w:rPr>
      </w:pPr>
      <w:r>
        <w:rPr>
          <w:rFonts w:hint="eastAsia" w:ascii="宋体" w:hAnsi="宋体"/>
          <w:color w:val="auto"/>
          <w:szCs w:val="28"/>
          <w:highlight w:val="none"/>
        </w:rPr>
        <w:t>投标单位同意建设单位在清单中标识的该项请在对应项打“</w:t>
      </w:r>
      <w:r>
        <w:rPr>
          <w:rFonts w:hint="eastAsia" w:ascii="宋体" w:hAnsi="宋体"/>
          <w:color w:val="auto"/>
          <w:szCs w:val="36"/>
          <w:highlight w:val="none"/>
        </w:rPr>
        <w:t>√”标识，并与投标文件中提供相应的安全管理措施。</w:t>
      </w:r>
    </w:p>
    <w:p w14:paraId="4125FD67">
      <w:pPr>
        <w:pStyle w:val="109"/>
        <w:numPr>
          <w:ilvl w:val="0"/>
          <w:numId w:val="5"/>
        </w:numPr>
        <w:autoSpaceDE w:val="0"/>
        <w:autoSpaceDN w:val="0"/>
        <w:adjustRightInd w:val="0"/>
        <w:spacing w:before="156" w:after="156"/>
        <w:ind w:firstLineChars="0"/>
        <w:jc w:val="left"/>
        <w:rPr>
          <w:rFonts w:ascii="宋体" w:hAnsi="宋体"/>
          <w:color w:val="auto"/>
          <w:szCs w:val="36"/>
          <w:highlight w:val="none"/>
        </w:rPr>
      </w:pPr>
      <w:r>
        <w:rPr>
          <w:rFonts w:hint="eastAsia" w:ascii="宋体" w:hAnsi="宋体"/>
          <w:color w:val="auto"/>
          <w:szCs w:val="28"/>
          <w:highlight w:val="none"/>
        </w:rPr>
        <w:t>投标单位对清单中认为需要补充的该项请在对应项打“</w:t>
      </w:r>
      <w:r>
        <w:rPr>
          <w:rFonts w:hint="eastAsia" w:ascii="宋体" w:hAnsi="宋体"/>
          <w:color w:val="auto"/>
          <w:szCs w:val="36"/>
          <w:highlight w:val="none"/>
        </w:rPr>
        <w:t>√”标识，并与投标文件中提供相应的安全管理措施。</w:t>
      </w:r>
    </w:p>
    <w:p w14:paraId="2E8020B8">
      <w:pPr>
        <w:pStyle w:val="109"/>
        <w:numPr>
          <w:ilvl w:val="0"/>
          <w:numId w:val="5"/>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36"/>
          <w:highlight w:val="none"/>
        </w:rPr>
        <w:t>投标单位不同意建设单位</w:t>
      </w:r>
      <w:r>
        <w:rPr>
          <w:rFonts w:hint="eastAsia" w:ascii="宋体" w:hAnsi="宋体"/>
          <w:color w:val="auto"/>
          <w:szCs w:val="28"/>
          <w:highlight w:val="none"/>
        </w:rPr>
        <w:t>在清单中标识的该项</w:t>
      </w:r>
      <w:r>
        <w:rPr>
          <w:rFonts w:hint="eastAsia" w:ascii="宋体" w:hAnsi="宋体"/>
          <w:color w:val="auto"/>
          <w:szCs w:val="36"/>
          <w:highlight w:val="none"/>
        </w:rPr>
        <w:t>请在对应项打“×”标识，并在备注栏填上相关说明。</w:t>
      </w:r>
    </w:p>
    <w:p w14:paraId="296BDECD">
      <w:pPr>
        <w:pStyle w:val="109"/>
        <w:numPr>
          <w:ilvl w:val="0"/>
          <w:numId w:val="4"/>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投标单位应当在投标时根据招标人提供的下述第5点清单，在投标施工组织中编制专项施工方案。</w:t>
      </w:r>
    </w:p>
    <w:p w14:paraId="5E3F680D">
      <w:pPr>
        <w:pStyle w:val="109"/>
        <w:numPr>
          <w:ilvl w:val="0"/>
          <w:numId w:val="4"/>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8230FAA">
      <w:pPr>
        <w:pStyle w:val="109"/>
        <w:numPr>
          <w:ilvl w:val="0"/>
          <w:numId w:val="4"/>
        </w:numPr>
        <w:autoSpaceDE w:val="0"/>
        <w:autoSpaceDN w:val="0"/>
        <w:adjustRightInd w:val="0"/>
        <w:spacing w:before="156" w:after="156"/>
        <w:ind w:firstLineChars="0"/>
        <w:jc w:val="left"/>
        <w:rPr>
          <w:rFonts w:ascii="宋体" w:hAnsi="宋体"/>
          <w:color w:val="auto"/>
          <w:szCs w:val="28"/>
          <w:highlight w:val="none"/>
        </w:rPr>
      </w:pPr>
      <w:r>
        <w:rPr>
          <w:rFonts w:hint="eastAsia" w:ascii="宋体" w:hAnsi="宋体"/>
          <w:color w:val="auto"/>
          <w:szCs w:val="28"/>
          <w:highlight w:val="none"/>
        </w:rPr>
        <w:t>危险性较大的分部分项工程清单及超过一定规模的危险性较大的分部分项工程清单：</w:t>
      </w:r>
    </w:p>
    <w:tbl>
      <w:tblPr>
        <w:tblStyle w:val="34"/>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0"/>
        <w:gridCol w:w="1368"/>
        <w:gridCol w:w="1284"/>
        <w:gridCol w:w="979"/>
      </w:tblGrid>
      <w:tr w14:paraId="2734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vAlign w:val="center"/>
          </w:tcPr>
          <w:p w14:paraId="12DB7E3C">
            <w:pPr>
              <w:jc w:val="center"/>
              <w:rPr>
                <w:rFonts w:ascii="宋体" w:hAnsi="宋体" w:cs="宋体"/>
                <w:b/>
                <w:color w:val="auto"/>
                <w:szCs w:val="21"/>
                <w:highlight w:val="none"/>
              </w:rPr>
            </w:pPr>
            <w:r>
              <w:rPr>
                <w:rFonts w:hint="eastAsia" w:ascii="宋体" w:hAnsi="宋体" w:cs="宋体"/>
                <w:b/>
                <w:color w:val="auto"/>
                <w:szCs w:val="21"/>
                <w:highlight w:val="none"/>
              </w:rPr>
              <w:t>一、危险性较大的分部分项工程清单</w:t>
            </w:r>
          </w:p>
        </w:tc>
        <w:tc>
          <w:tcPr>
            <w:tcW w:w="1368" w:type="dxa"/>
            <w:tcBorders>
              <w:top w:val="single" w:color="auto" w:sz="4" w:space="0"/>
              <w:left w:val="single" w:color="auto" w:sz="4" w:space="0"/>
              <w:bottom w:val="single" w:color="auto" w:sz="4" w:space="0"/>
              <w:right w:val="single" w:color="auto" w:sz="4" w:space="0"/>
            </w:tcBorders>
            <w:noWrap/>
            <w:vAlign w:val="center"/>
          </w:tcPr>
          <w:p w14:paraId="74D8C326">
            <w:pPr>
              <w:jc w:val="center"/>
              <w:rPr>
                <w:rFonts w:ascii="宋体" w:hAnsi="宋体" w:cs="宋体"/>
                <w:color w:val="auto"/>
                <w:szCs w:val="21"/>
                <w:highlight w:val="none"/>
              </w:rPr>
            </w:pPr>
            <w:r>
              <w:rPr>
                <w:rFonts w:hint="eastAsia" w:ascii="宋体" w:hAnsi="宋体" w:cs="宋体"/>
                <w:color w:val="auto"/>
                <w:szCs w:val="21"/>
                <w:highlight w:val="none"/>
              </w:rPr>
              <w:t>建设单位</w:t>
            </w:r>
          </w:p>
        </w:tc>
        <w:tc>
          <w:tcPr>
            <w:tcW w:w="1284" w:type="dxa"/>
            <w:tcBorders>
              <w:top w:val="single" w:color="auto" w:sz="4" w:space="0"/>
              <w:left w:val="single" w:color="auto" w:sz="4" w:space="0"/>
              <w:bottom w:val="single" w:color="auto" w:sz="4" w:space="0"/>
              <w:right w:val="single" w:color="auto" w:sz="4" w:space="0"/>
            </w:tcBorders>
            <w:noWrap/>
            <w:vAlign w:val="center"/>
          </w:tcPr>
          <w:p w14:paraId="4103597B">
            <w:pPr>
              <w:jc w:val="center"/>
              <w:rPr>
                <w:rFonts w:ascii="宋体" w:hAnsi="宋体" w:cs="宋体"/>
                <w:color w:val="auto"/>
                <w:szCs w:val="21"/>
                <w:highlight w:val="none"/>
              </w:rPr>
            </w:pPr>
            <w:r>
              <w:rPr>
                <w:rFonts w:hint="eastAsia" w:ascii="宋体" w:hAnsi="宋体" w:cs="宋体"/>
                <w:color w:val="auto"/>
                <w:szCs w:val="21"/>
                <w:highlight w:val="none"/>
              </w:rPr>
              <w:t>投标单位</w:t>
            </w:r>
          </w:p>
        </w:tc>
        <w:tc>
          <w:tcPr>
            <w:tcW w:w="979" w:type="dxa"/>
            <w:tcBorders>
              <w:top w:val="single" w:color="auto" w:sz="4" w:space="0"/>
              <w:left w:val="single" w:color="auto" w:sz="4" w:space="0"/>
              <w:bottom w:val="single" w:color="auto" w:sz="4" w:space="0"/>
              <w:right w:val="single" w:color="auto" w:sz="4" w:space="0"/>
            </w:tcBorders>
            <w:noWrap/>
            <w:vAlign w:val="center"/>
          </w:tcPr>
          <w:p w14:paraId="0E4DB494">
            <w:pPr>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4B2A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6FE67DAF">
            <w:pPr>
              <w:jc w:val="left"/>
              <w:rPr>
                <w:rFonts w:ascii="宋体" w:hAnsi="宋体" w:cs="宋体"/>
                <w:color w:val="auto"/>
                <w:szCs w:val="21"/>
                <w:highlight w:val="none"/>
              </w:rPr>
            </w:pPr>
            <w:r>
              <w:rPr>
                <w:rFonts w:hint="eastAsia" w:ascii="宋体" w:hAnsi="宋体" w:cs="宋体"/>
                <w:color w:val="auto"/>
                <w:szCs w:val="21"/>
                <w:highlight w:val="none"/>
              </w:rPr>
              <w:t>一、基坑支护</w:t>
            </w:r>
          </w:p>
        </w:tc>
        <w:tc>
          <w:tcPr>
            <w:tcW w:w="1368" w:type="dxa"/>
            <w:tcBorders>
              <w:top w:val="single" w:color="auto" w:sz="4" w:space="0"/>
              <w:left w:val="single" w:color="auto" w:sz="4" w:space="0"/>
              <w:bottom w:val="single" w:color="auto" w:sz="4" w:space="0"/>
              <w:right w:val="single" w:color="auto" w:sz="4" w:space="0"/>
            </w:tcBorders>
            <w:noWrap/>
            <w:vAlign w:val="center"/>
          </w:tcPr>
          <w:p w14:paraId="1DE32F9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5D2ECBE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4865C491">
            <w:pPr>
              <w:jc w:val="center"/>
              <w:rPr>
                <w:rFonts w:ascii="宋体" w:hAnsi="宋体" w:cs="宋体"/>
                <w:color w:val="auto"/>
                <w:szCs w:val="21"/>
                <w:highlight w:val="none"/>
              </w:rPr>
            </w:pPr>
          </w:p>
        </w:tc>
      </w:tr>
      <w:tr w14:paraId="3F25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0685F4CE">
            <w:pPr>
              <w:jc w:val="left"/>
              <w:rPr>
                <w:rFonts w:ascii="宋体" w:hAnsi="宋体" w:cs="宋体"/>
                <w:color w:val="auto"/>
                <w:szCs w:val="21"/>
                <w:highlight w:val="none"/>
              </w:rPr>
            </w:pPr>
            <w:r>
              <w:rPr>
                <w:rFonts w:hint="eastAsia" w:ascii="宋体" w:hAnsi="宋体" w:cs="宋体"/>
                <w:color w:val="auto"/>
                <w:szCs w:val="21"/>
                <w:highlight w:val="none"/>
              </w:rPr>
              <w:t>（一）开挖深度超过3m（含3m）的基坑（槽）的土方开挖、支护、降水工程。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2B2F339D">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noWrap/>
            <w:vAlign w:val="center"/>
          </w:tcPr>
          <w:p w14:paraId="562E900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7DE3E954">
            <w:pPr>
              <w:jc w:val="center"/>
              <w:rPr>
                <w:rFonts w:ascii="宋体" w:hAnsi="宋体" w:cs="宋体"/>
                <w:color w:val="auto"/>
                <w:szCs w:val="21"/>
                <w:highlight w:val="none"/>
              </w:rPr>
            </w:pPr>
          </w:p>
        </w:tc>
      </w:tr>
      <w:tr w14:paraId="3B36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6CD0B0DA">
            <w:pPr>
              <w:jc w:val="left"/>
              <w:rPr>
                <w:rFonts w:ascii="宋体" w:hAnsi="宋体" w:cs="宋体"/>
                <w:color w:val="auto"/>
                <w:szCs w:val="21"/>
                <w:highlight w:val="none"/>
              </w:rPr>
            </w:pPr>
            <w:r>
              <w:rPr>
                <w:rFonts w:hint="eastAsia" w:ascii="宋体" w:hAnsi="宋体" w:cs="宋体"/>
                <w:color w:val="auto"/>
                <w:szCs w:val="21"/>
                <w:highlight w:val="none"/>
              </w:rPr>
              <w:t>（二）开挖深度虽未超过3m，但地质条件、周围环境和地下管线复杂，或影响毗邻建、构筑物安全的基坑（槽）的土方开挖、支护、降水工程。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A78259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042D2B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0A38D497">
            <w:pPr>
              <w:jc w:val="center"/>
              <w:rPr>
                <w:rFonts w:ascii="宋体" w:hAnsi="宋体" w:cs="宋体"/>
                <w:color w:val="auto"/>
                <w:szCs w:val="21"/>
                <w:highlight w:val="none"/>
              </w:rPr>
            </w:pPr>
          </w:p>
        </w:tc>
      </w:tr>
      <w:tr w14:paraId="5E91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940" w:type="dxa"/>
            <w:tcBorders>
              <w:top w:val="single" w:color="auto" w:sz="4" w:space="0"/>
              <w:left w:val="single" w:color="auto" w:sz="4" w:space="0"/>
              <w:bottom w:val="single" w:color="auto" w:sz="4" w:space="0"/>
              <w:right w:val="single" w:color="auto" w:sz="4" w:space="0"/>
            </w:tcBorders>
            <w:noWrap/>
          </w:tcPr>
          <w:p w14:paraId="4474B903">
            <w:pPr>
              <w:jc w:val="left"/>
              <w:rPr>
                <w:rFonts w:ascii="宋体" w:hAnsi="宋体" w:cs="宋体"/>
                <w:color w:val="auto"/>
                <w:szCs w:val="21"/>
                <w:highlight w:val="none"/>
              </w:rPr>
            </w:pPr>
            <w:r>
              <w:rPr>
                <w:rFonts w:hint="eastAsia" w:ascii="宋体" w:hAnsi="宋体" w:cs="宋体"/>
                <w:color w:val="auto"/>
                <w:szCs w:val="21"/>
                <w:highlight w:val="none"/>
              </w:rPr>
              <w:t>二、模板工程及支撑体系</w:t>
            </w:r>
          </w:p>
        </w:tc>
        <w:tc>
          <w:tcPr>
            <w:tcW w:w="1368" w:type="dxa"/>
            <w:tcBorders>
              <w:top w:val="single" w:color="auto" w:sz="4" w:space="0"/>
              <w:left w:val="single" w:color="auto" w:sz="4" w:space="0"/>
              <w:bottom w:val="single" w:color="auto" w:sz="4" w:space="0"/>
              <w:right w:val="single" w:color="auto" w:sz="4" w:space="0"/>
            </w:tcBorders>
            <w:noWrap/>
            <w:vAlign w:val="center"/>
          </w:tcPr>
          <w:p w14:paraId="55E15E4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DA0267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0C8F092D">
            <w:pPr>
              <w:jc w:val="center"/>
              <w:rPr>
                <w:rFonts w:ascii="宋体" w:hAnsi="宋体" w:cs="宋体"/>
                <w:color w:val="auto"/>
                <w:szCs w:val="21"/>
                <w:highlight w:val="none"/>
              </w:rPr>
            </w:pPr>
          </w:p>
        </w:tc>
      </w:tr>
      <w:tr w14:paraId="14E8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940" w:type="dxa"/>
            <w:tcBorders>
              <w:top w:val="single" w:color="auto" w:sz="4" w:space="0"/>
              <w:left w:val="single" w:color="auto" w:sz="4" w:space="0"/>
              <w:bottom w:val="single" w:color="auto" w:sz="4" w:space="0"/>
              <w:right w:val="single" w:color="auto" w:sz="4" w:space="0"/>
            </w:tcBorders>
            <w:noWrap/>
          </w:tcPr>
          <w:p w14:paraId="61BD241F">
            <w:pPr>
              <w:jc w:val="left"/>
              <w:rPr>
                <w:rFonts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2816AFD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91493C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747A8F94">
            <w:pPr>
              <w:jc w:val="center"/>
              <w:rPr>
                <w:rFonts w:ascii="宋体" w:hAnsi="宋体" w:cs="宋体"/>
                <w:color w:val="auto"/>
                <w:szCs w:val="21"/>
                <w:highlight w:val="none"/>
              </w:rPr>
            </w:pPr>
          </w:p>
        </w:tc>
      </w:tr>
      <w:tr w14:paraId="0882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49FC2907">
            <w:pPr>
              <w:jc w:val="left"/>
              <w:rPr>
                <w:rFonts w:ascii="宋体" w:hAnsi="宋体" w:cs="宋体"/>
                <w:color w:val="auto"/>
                <w:szCs w:val="21"/>
                <w:highlight w:val="none"/>
              </w:rPr>
            </w:pPr>
            <w:r>
              <w:rPr>
                <w:rFonts w:hint="eastAsia" w:ascii="宋体" w:hAnsi="宋体" w:cs="宋体"/>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46BA01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194469E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6414F646">
            <w:pPr>
              <w:jc w:val="center"/>
              <w:rPr>
                <w:rFonts w:ascii="宋体" w:hAnsi="宋体" w:cs="宋体"/>
                <w:color w:val="auto"/>
                <w:szCs w:val="21"/>
                <w:highlight w:val="none"/>
              </w:rPr>
            </w:pPr>
          </w:p>
        </w:tc>
      </w:tr>
      <w:tr w14:paraId="2870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AF992AA">
            <w:pPr>
              <w:widowControl/>
              <w:spacing w:line="360" w:lineRule="atLeast"/>
              <w:jc w:val="left"/>
              <w:rPr>
                <w:rFonts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w:t>
            </w:r>
          </w:p>
        </w:tc>
        <w:tc>
          <w:tcPr>
            <w:tcW w:w="1368" w:type="dxa"/>
            <w:tcBorders>
              <w:top w:val="single" w:color="auto" w:sz="4" w:space="0"/>
              <w:left w:val="single" w:color="auto" w:sz="4" w:space="0"/>
              <w:bottom w:val="single" w:color="auto" w:sz="4" w:space="0"/>
              <w:right w:val="single" w:color="auto" w:sz="4" w:space="0"/>
            </w:tcBorders>
            <w:noWrap/>
            <w:vAlign w:val="center"/>
          </w:tcPr>
          <w:p w14:paraId="01199192">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noWrap/>
            <w:vAlign w:val="center"/>
          </w:tcPr>
          <w:p w14:paraId="76AD07B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35DFE5EB">
            <w:pPr>
              <w:jc w:val="center"/>
              <w:rPr>
                <w:rFonts w:ascii="宋体" w:hAnsi="宋体" w:cs="宋体"/>
                <w:color w:val="auto"/>
                <w:szCs w:val="21"/>
                <w:highlight w:val="none"/>
              </w:rPr>
            </w:pPr>
          </w:p>
        </w:tc>
      </w:tr>
      <w:tr w14:paraId="32ED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6A08AFDC">
            <w:pPr>
              <w:widowControl/>
              <w:spacing w:line="360" w:lineRule="atLeast"/>
              <w:jc w:val="left"/>
              <w:rPr>
                <w:rFonts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099BA2A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795F11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481E2C6">
            <w:pPr>
              <w:jc w:val="center"/>
              <w:rPr>
                <w:rFonts w:ascii="宋体" w:hAnsi="宋体" w:cs="宋体"/>
                <w:color w:val="auto"/>
                <w:szCs w:val="21"/>
                <w:highlight w:val="none"/>
              </w:rPr>
            </w:pPr>
          </w:p>
        </w:tc>
      </w:tr>
      <w:tr w14:paraId="03E3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3AAAB18A">
            <w:pPr>
              <w:widowControl/>
              <w:spacing w:line="360" w:lineRule="atLeast"/>
              <w:jc w:val="left"/>
              <w:rPr>
                <w:rFonts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（一）采用非常规起重设备、方法，且单件起吊重量在10kN及以上的起重吊装工程。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382BE52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2A76AD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4812E970">
            <w:pPr>
              <w:jc w:val="center"/>
              <w:rPr>
                <w:rFonts w:ascii="宋体" w:hAnsi="宋体" w:cs="宋体"/>
                <w:color w:val="auto"/>
                <w:szCs w:val="21"/>
                <w:highlight w:val="none"/>
              </w:rPr>
            </w:pPr>
          </w:p>
        </w:tc>
      </w:tr>
      <w:tr w14:paraId="0F22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385512EF">
            <w:pPr>
              <w:jc w:val="left"/>
              <w:rPr>
                <w:rFonts w:ascii="宋体" w:hAnsi="宋体" w:cs="宋体"/>
                <w:color w:val="auto"/>
                <w:szCs w:val="21"/>
                <w:highlight w:val="none"/>
              </w:rPr>
            </w:pPr>
            <w:r>
              <w:rPr>
                <w:rFonts w:hint="eastAsia" w:ascii="宋体" w:hAnsi="宋体" w:cs="宋体"/>
                <w:color w:val="auto"/>
                <w:szCs w:val="21"/>
                <w:highlight w:val="none"/>
              </w:rPr>
              <w:t>（二）采用起重机械进行安装的工程。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56923BE5">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tc>
        <w:tc>
          <w:tcPr>
            <w:tcW w:w="1284" w:type="dxa"/>
            <w:tcBorders>
              <w:top w:val="single" w:color="auto" w:sz="4" w:space="0"/>
              <w:left w:val="single" w:color="auto" w:sz="4" w:space="0"/>
              <w:bottom w:val="single" w:color="auto" w:sz="4" w:space="0"/>
              <w:right w:val="single" w:color="auto" w:sz="4" w:space="0"/>
            </w:tcBorders>
            <w:noWrap/>
            <w:vAlign w:val="center"/>
          </w:tcPr>
          <w:p w14:paraId="001C43B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2BFB37A8">
            <w:pPr>
              <w:jc w:val="center"/>
              <w:rPr>
                <w:rFonts w:ascii="宋体" w:hAnsi="宋体" w:cs="宋体"/>
                <w:color w:val="auto"/>
                <w:szCs w:val="21"/>
                <w:highlight w:val="none"/>
              </w:rPr>
            </w:pPr>
          </w:p>
        </w:tc>
      </w:tr>
      <w:tr w14:paraId="5250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4110F8BC">
            <w:pPr>
              <w:jc w:val="left"/>
              <w:rPr>
                <w:rFonts w:ascii="宋体" w:hAnsi="宋体" w:cs="宋体"/>
                <w:color w:val="auto"/>
                <w:szCs w:val="21"/>
                <w:highlight w:val="none"/>
              </w:rPr>
            </w:pPr>
            <w:r>
              <w:rPr>
                <w:rFonts w:hint="eastAsia" w:ascii="宋体" w:hAnsi="宋体" w:cs="宋体"/>
                <w:color w:val="auto"/>
                <w:szCs w:val="21"/>
                <w:highlight w:val="none"/>
              </w:rPr>
              <w:t>（三）起重机械安装和拆卸工程。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7470523F">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noWrap/>
            <w:vAlign w:val="center"/>
          </w:tcPr>
          <w:p w14:paraId="1AC8327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1A879EE">
            <w:pPr>
              <w:jc w:val="center"/>
              <w:rPr>
                <w:rFonts w:ascii="宋体" w:hAnsi="宋体" w:cs="宋体"/>
                <w:color w:val="auto"/>
                <w:szCs w:val="21"/>
                <w:highlight w:val="none"/>
              </w:rPr>
            </w:pPr>
          </w:p>
        </w:tc>
      </w:tr>
      <w:tr w14:paraId="26F7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4E37DC9E">
            <w:pPr>
              <w:jc w:val="left"/>
              <w:rPr>
                <w:rFonts w:ascii="宋体" w:hAnsi="宋体" w:cs="宋体"/>
                <w:color w:val="auto"/>
                <w:szCs w:val="21"/>
                <w:highlight w:val="none"/>
              </w:rPr>
            </w:pPr>
            <w:r>
              <w:rPr>
                <w:rFonts w:hint="eastAsia" w:ascii="宋体" w:hAnsi="宋体" w:cs="宋体"/>
                <w:color w:val="auto"/>
                <w:szCs w:val="21"/>
                <w:highlight w:val="none"/>
              </w:rPr>
              <w:t>四、脚手架工程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4B00BC3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28CF050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19EE71B">
            <w:pPr>
              <w:jc w:val="center"/>
              <w:rPr>
                <w:rFonts w:ascii="宋体" w:hAnsi="宋体" w:cs="宋体"/>
                <w:color w:val="auto"/>
                <w:szCs w:val="21"/>
                <w:highlight w:val="none"/>
              </w:rPr>
            </w:pPr>
          </w:p>
        </w:tc>
      </w:tr>
      <w:tr w14:paraId="5592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03533D30">
            <w:pPr>
              <w:jc w:val="left"/>
              <w:rPr>
                <w:rFonts w:ascii="宋体" w:hAnsi="宋体" w:cs="宋体"/>
                <w:color w:val="auto"/>
                <w:szCs w:val="21"/>
                <w:highlight w:val="none"/>
              </w:rPr>
            </w:pPr>
            <w:r>
              <w:rPr>
                <w:rFonts w:hint="eastAsia" w:ascii="宋体" w:hAnsi="宋体" w:cs="宋体"/>
                <w:color w:val="auto"/>
                <w:szCs w:val="21"/>
                <w:highlight w:val="none"/>
              </w:rPr>
              <w:t>（一）搭设高度24m及以上的落地式钢管脚手架工程（包括采光井、电梯井脚手架）。</w:t>
            </w:r>
          </w:p>
        </w:tc>
        <w:tc>
          <w:tcPr>
            <w:tcW w:w="1368" w:type="dxa"/>
            <w:tcBorders>
              <w:top w:val="single" w:color="auto" w:sz="4" w:space="0"/>
              <w:left w:val="single" w:color="auto" w:sz="4" w:space="0"/>
              <w:bottom w:val="single" w:color="auto" w:sz="4" w:space="0"/>
              <w:right w:val="single" w:color="auto" w:sz="4" w:space="0"/>
            </w:tcBorders>
            <w:noWrap/>
            <w:vAlign w:val="center"/>
          </w:tcPr>
          <w:p w14:paraId="27619A45">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noWrap/>
            <w:vAlign w:val="center"/>
          </w:tcPr>
          <w:p w14:paraId="675DCAFD">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0B3663F1">
            <w:pPr>
              <w:jc w:val="center"/>
              <w:rPr>
                <w:rFonts w:ascii="宋体" w:hAnsi="宋体" w:cs="宋体"/>
                <w:color w:val="auto"/>
                <w:szCs w:val="21"/>
                <w:highlight w:val="none"/>
              </w:rPr>
            </w:pPr>
          </w:p>
        </w:tc>
      </w:tr>
      <w:tr w14:paraId="0105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34A245ED">
            <w:pPr>
              <w:jc w:val="left"/>
              <w:rPr>
                <w:rFonts w:ascii="宋体" w:hAnsi="宋体" w:cs="宋体"/>
                <w:color w:val="auto"/>
                <w:szCs w:val="21"/>
                <w:highlight w:val="none"/>
              </w:rPr>
            </w:pPr>
            <w:r>
              <w:rPr>
                <w:rFonts w:hint="eastAsia" w:ascii="宋体" w:hAnsi="宋体" w:cs="宋体"/>
                <w:color w:val="auto"/>
                <w:szCs w:val="21"/>
                <w:highlight w:val="none"/>
              </w:rPr>
              <w:t>（二）附着式升降脚手架工程。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4FC9A09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4073C67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24C09B10">
            <w:pPr>
              <w:jc w:val="center"/>
              <w:rPr>
                <w:rFonts w:ascii="宋体" w:hAnsi="宋体" w:cs="宋体"/>
                <w:color w:val="auto"/>
                <w:szCs w:val="21"/>
                <w:highlight w:val="none"/>
              </w:rPr>
            </w:pPr>
          </w:p>
        </w:tc>
      </w:tr>
      <w:tr w14:paraId="5D1B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9F58BEA">
            <w:pPr>
              <w:jc w:val="left"/>
              <w:rPr>
                <w:rFonts w:ascii="宋体" w:hAnsi="宋体" w:cs="宋体"/>
                <w:color w:val="auto"/>
                <w:szCs w:val="21"/>
                <w:highlight w:val="none"/>
              </w:rPr>
            </w:pPr>
            <w:r>
              <w:rPr>
                <w:rFonts w:hint="eastAsia" w:ascii="宋体" w:hAnsi="宋体" w:cs="宋体"/>
                <w:color w:val="auto"/>
                <w:szCs w:val="21"/>
                <w:highlight w:val="none"/>
              </w:rPr>
              <w:t>（三）悬挑式脚手架工程。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8F28BC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1275D9B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EFB7FE2">
            <w:pPr>
              <w:jc w:val="center"/>
              <w:rPr>
                <w:rFonts w:ascii="宋体" w:hAnsi="宋体" w:cs="宋体"/>
                <w:color w:val="auto"/>
                <w:szCs w:val="21"/>
                <w:highlight w:val="none"/>
              </w:rPr>
            </w:pPr>
          </w:p>
        </w:tc>
      </w:tr>
      <w:tr w14:paraId="115B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5074AB2D">
            <w:pPr>
              <w:jc w:val="left"/>
              <w:rPr>
                <w:rFonts w:ascii="宋体" w:hAnsi="宋体" w:cs="宋体"/>
                <w:color w:val="auto"/>
                <w:szCs w:val="21"/>
                <w:highlight w:val="none"/>
              </w:rPr>
            </w:pPr>
            <w:r>
              <w:rPr>
                <w:rFonts w:hint="eastAsia" w:ascii="宋体" w:hAnsi="宋体" w:cs="宋体"/>
                <w:color w:val="auto"/>
                <w:szCs w:val="21"/>
                <w:highlight w:val="none"/>
              </w:rPr>
              <w:t>（四）高处作业吊篮。</w:t>
            </w:r>
          </w:p>
        </w:tc>
        <w:tc>
          <w:tcPr>
            <w:tcW w:w="1368" w:type="dxa"/>
            <w:tcBorders>
              <w:top w:val="single" w:color="auto" w:sz="4" w:space="0"/>
              <w:left w:val="single" w:color="auto" w:sz="4" w:space="0"/>
              <w:bottom w:val="single" w:color="auto" w:sz="4" w:space="0"/>
              <w:right w:val="single" w:color="auto" w:sz="4" w:space="0"/>
            </w:tcBorders>
            <w:noWrap/>
            <w:vAlign w:val="center"/>
          </w:tcPr>
          <w:p w14:paraId="1480B4A4">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noWrap/>
            <w:vAlign w:val="center"/>
          </w:tcPr>
          <w:p w14:paraId="75B3A40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2880262D">
            <w:pPr>
              <w:jc w:val="center"/>
              <w:rPr>
                <w:rFonts w:ascii="宋体" w:hAnsi="宋体" w:cs="宋体"/>
                <w:color w:val="auto"/>
                <w:szCs w:val="21"/>
                <w:highlight w:val="none"/>
              </w:rPr>
            </w:pPr>
          </w:p>
        </w:tc>
      </w:tr>
      <w:tr w14:paraId="77AD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4CF98BF2">
            <w:pPr>
              <w:jc w:val="left"/>
              <w:rPr>
                <w:rFonts w:ascii="宋体" w:hAnsi="宋体" w:cs="宋体"/>
                <w:color w:val="auto"/>
                <w:szCs w:val="21"/>
                <w:highlight w:val="none"/>
              </w:rPr>
            </w:pPr>
            <w:r>
              <w:rPr>
                <w:rFonts w:hint="eastAsia" w:ascii="宋体" w:hAnsi="宋体" w:cs="宋体"/>
                <w:color w:val="auto"/>
                <w:szCs w:val="21"/>
                <w:highlight w:val="none"/>
              </w:rPr>
              <w:t>（五）卸料平台、操作平台工程。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7DEB5BF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069D898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336F2D33">
            <w:pPr>
              <w:jc w:val="center"/>
              <w:rPr>
                <w:rFonts w:ascii="宋体" w:hAnsi="宋体" w:cs="宋体"/>
                <w:color w:val="auto"/>
                <w:szCs w:val="21"/>
                <w:highlight w:val="none"/>
              </w:rPr>
            </w:pPr>
          </w:p>
        </w:tc>
      </w:tr>
      <w:tr w14:paraId="5B68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43D18645">
            <w:pPr>
              <w:jc w:val="left"/>
              <w:rPr>
                <w:rFonts w:ascii="宋体" w:hAnsi="宋体" w:cs="宋体"/>
                <w:color w:val="auto"/>
                <w:szCs w:val="21"/>
                <w:highlight w:val="none"/>
              </w:rPr>
            </w:pPr>
            <w:r>
              <w:rPr>
                <w:rFonts w:hint="eastAsia" w:ascii="宋体" w:hAnsi="宋体" w:cs="宋体"/>
                <w:color w:val="auto"/>
                <w:szCs w:val="21"/>
                <w:highlight w:val="none"/>
              </w:rPr>
              <w:t>（六）异型脚手架工程。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71BBCD9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4C6E54E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F3ACBAF">
            <w:pPr>
              <w:jc w:val="center"/>
              <w:rPr>
                <w:rFonts w:ascii="宋体" w:hAnsi="宋体" w:cs="宋体"/>
                <w:color w:val="auto"/>
                <w:szCs w:val="21"/>
                <w:highlight w:val="none"/>
              </w:rPr>
            </w:pPr>
          </w:p>
        </w:tc>
      </w:tr>
      <w:tr w14:paraId="0281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6E0D833E">
            <w:pPr>
              <w:jc w:val="left"/>
              <w:rPr>
                <w:rFonts w:ascii="宋体" w:hAnsi="宋体" w:cs="宋体"/>
                <w:color w:val="auto"/>
                <w:szCs w:val="21"/>
                <w:highlight w:val="none"/>
              </w:rPr>
            </w:pPr>
            <w:r>
              <w:rPr>
                <w:rFonts w:hint="eastAsia" w:ascii="宋体" w:hAnsi="宋体" w:cs="宋体"/>
                <w:color w:val="auto"/>
                <w:szCs w:val="21"/>
                <w:highlight w:val="none"/>
              </w:rPr>
              <w:t>五、拆除工程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27147E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6C43BAC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02615274">
            <w:pPr>
              <w:jc w:val="center"/>
              <w:rPr>
                <w:rFonts w:ascii="宋体" w:hAnsi="宋体" w:cs="宋体"/>
                <w:color w:val="auto"/>
                <w:szCs w:val="21"/>
                <w:highlight w:val="none"/>
              </w:rPr>
            </w:pPr>
          </w:p>
        </w:tc>
      </w:tr>
      <w:tr w14:paraId="70B0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D172904">
            <w:pPr>
              <w:jc w:val="left"/>
              <w:rPr>
                <w:rFonts w:ascii="宋体" w:hAnsi="宋体" w:cs="宋体"/>
                <w:color w:val="auto"/>
                <w:szCs w:val="21"/>
                <w:highlight w:val="none"/>
              </w:rPr>
            </w:pPr>
            <w:r>
              <w:rPr>
                <w:rFonts w:hint="eastAsia" w:ascii="宋体" w:hAnsi="宋体" w:cs="宋体"/>
                <w:color w:val="auto"/>
                <w:szCs w:val="21"/>
                <w:highlight w:val="none"/>
              </w:rPr>
              <w:t>可能影响行人、交通、电力设施、通讯设施或其它建、构筑物安全的拆除工程。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1BC93643">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tc>
        <w:tc>
          <w:tcPr>
            <w:tcW w:w="1284" w:type="dxa"/>
            <w:tcBorders>
              <w:top w:val="single" w:color="auto" w:sz="4" w:space="0"/>
              <w:left w:val="single" w:color="auto" w:sz="4" w:space="0"/>
              <w:bottom w:val="single" w:color="auto" w:sz="4" w:space="0"/>
              <w:right w:val="single" w:color="auto" w:sz="4" w:space="0"/>
            </w:tcBorders>
            <w:noWrap/>
            <w:vAlign w:val="center"/>
          </w:tcPr>
          <w:p w14:paraId="68336C3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270DF245">
            <w:pPr>
              <w:jc w:val="center"/>
              <w:rPr>
                <w:rFonts w:ascii="宋体" w:hAnsi="宋体" w:cs="宋体"/>
                <w:color w:val="auto"/>
                <w:szCs w:val="21"/>
                <w:highlight w:val="none"/>
              </w:rPr>
            </w:pPr>
          </w:p>
        </w:tc>
      </w:tr>
      <w:tr w14:paraId="772D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59F019E8">
            <w:pPr>
              <w:jc w:val="left"/>
              <w:rPr>
                <w:rFonts w:ascii="宋体" w:hAnsi="宋体" w:cs="宋体"/>
                <w:color w:val="auto"/>
                <w:szCs w:val="21"/>
                <w:highlight w:val="none"/>
              </w:rPr>
            </w:pPr>
            <w:r>
              <w:rPr>
                <w:rFonts w:hint="eastAsia" w:ascii="宋体" w:hAnsi="宋体" w:cs="宋体"/>
                <w:color w:val="auto"/>
                <w:szCs w:val="21"/>
                <w:highlight w:val="none"/>
              </w:rPr>
              <w:t>　六、暗挖工程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0EDF5E6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2AA7504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AFF8796">
            <w:pPr>
              <w:jc w:val="center"/>
              <w:rPr>
                <w:rFonts w:ascii="宋体" w:hAnsi="宋体" w:cs="宋体"/>
                <w:color w:val="auto"/>
                <w:szCs w:val="21"/>
                <w:highlight w:val="none"/>
              </w:rPr>
            </w:pPr>
          </w:p>
        </w:tc>
      </w:tr>
      <w:tr w14:paraId="6E07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23E77DB9">
            <w:pPr>
              <w:jc w:val="left"/>
              <w:rPr>
                <w:rFonts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0F108F0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62F72C3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03F60CAA">
            <w:pPr>
              <w:jc w:val="center"/>
              <w:rPr>
                <w:rFonts w:ascii="宋体" w:hAnsi="宋体" w:cs="宋体"/>
                <w:color w:val="auto"/>
                <w:szCs w:val="21"/>
                <w:highlight w:val="none"/>
              </w:rPr>
            </w:pPr>
          </w:p>
        </w:tc>
      </w:tr>
      <w:tr w14:paraId="6A8C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10412F12">
            <w:pPr>
              <w:jc w:val="left"/>
              <w:rPr>
                <w:rFonts w:ascii="宋体" w:hAnsi="宋体" w:cs="宋体"/>
                <w:color w:val="auto"/>
                <w:szCs w:val="21"/>
                <w:highlight w:val="none"/>
              </w:rPr>
            </w:pPr>
            <w:r>
              <w:rPr>
                <w:rFonts w:hint="eastAsia" w:ascii="宋体" w:hAnsi="宋体" w:cs="宋体"/>
                <w:color w:val="auto"/>
                <w:szCs w:val="21"/>
                <w:highlight w:val="none"/>
              </w:rPr>
              <w:t>七、其它</w:t>
            </w:r>
          </w:p>
        </w:tc>
        <w:tc>
          <w:tcPr>
            <w:tcW w:w="1368" w:type="dxa"/>
            <w:tcBorders>
              <w:top w:val="single" w:color="auto" w:sz="4" w:space="0"/>
              <w:left w:val="single" w:color="auto" w:sz="4" w:space="0"/>
              <w:bottom w:val="single" w:color="auto" w:sz="4" w:space="0"/>
              <w:right w:val="single" w:color="auto" w:sz="4" w:space="0"/>
            </w:tcBorders>
            <w:noWrap/>
            <w:vAlign w:val="center"/>
          </w:tcPr>
          <w:p w14:paraId="063195D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8E8E92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243F88ED">
            <w:pPr>
              <w:jc w:val="center"/>
              <w:rPr>
                <w:rFonts w:ascii="宋体" w:hAnsi="宋体" w:cs="宋体"/>
                <w:color w:val="auto"/>
                <w:szCs w:val="21"/>
                <w:highlight w:val="none"/>
              </w:rPr>
            </w:pPr>
          </w:p>
        </w:tc>
      </w:tr>
      <w:tr w14:paraId="2494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E0FC86C">
            <w:pPr>
              <w:jc w:val="left"/>
              <w:rPr>
                <w:rFonts w:ascii="宋体" w:hAnsi="宋体" w:cs="宋体"/>
                <w:color w:val="auto"/>
                <w:szCs w:val="21"/>
                <w:highlight w:val="none"/>
              </w:rPr>
            </w:pPr>
            <w:r>
              <w:rPr>
                <w:rFonts w:hint="eastAsia" w:ascii="宋体" w:hAnsi="宋体" w:cs="宋体"/>
                <w:color w:val="auto"/>
                <w:szCs w:val="21"/>
                <w:highlight w:val="none"/>
              </w:rPr>
              <w:t>（一）水下作业工程。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4BB3D19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05BB979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0E235C51">
            <w:pPr>
              <w:jc w:val="center"/>
              <w:rPr>
                <w:rFonts w:ascii="宋体" w:hAnsi="宋体" w:cs="宋体"/>
                <w:color w:val="auto"/>
                <w:szCs w:val="21"/>
                <w:highlight w:val="none"/>
              </w:rPr>
            </w:pPr>
          </w:p>
        </w:tc>
      </w:tr>
      <w:tr w14:paraId="25A7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C65B373">
            <w:pPr>
              <w:jc w:val="left"/>
              <w:rPr>
                <w:rFonts w:ascii="宋体" w:hAnsi="宋体" w:cs="宋体"/>
                <w:color w:val="auto"/>
                <w:szCs w:val="21"/>
                <w:highlight w:val="none"/>
              </w:rPr>
            </w:pPr>
            <w:r>
              <w:rPr>
                <w:rFonts w:hint="eastAsia" w:ascii="宋体" w:hAnsi="宋体" w:cs="宋体"/>
                <w:color w:val="auto"/>
                <w:szCs w:val="21"/>
                <w:highlight w:val="none"/>
              </w:rPr>
              <w:t>（二）装配式建筑混凝土预制构件安装工程。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31CF312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A91719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36B05CF">
            <w:pPr>
              <w:jc w:val="center"/>
              <w:rPr>
                <w:rFonts w:ascii="宋体" w:hAnsi="宋体" w:cs="宋体"/>
                <w:color w:val="auto"/>
                <w:szCs w:val="21"/>
                <w:highlight w:val="none"/>
              </w:rPr>
            </w:pPr>
          </w:p>
        </w:tc>
      </w:tr>
      <w:tr w14:paraId="6189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6C3AC36B">
            <w:pPr>
              <w:jc w:val="left"/>
              <w:rPr>
                <w:rFonts w:ascii="宋体" w:hAnsi="宋体" w:cs="宋体"/>
                <w:color w:val="auto"/>
                <w:szCs w:val="21"/>
                <w:highlight w:val="none"/>
              </w:rPr>
            </w:pPr>
            <w:r>
              <w:rPr>
                <w:rFonts w:hint="eastAsia" w:ascii="宋体" w:hAnsi="宋体" w:cs="宋体"/>
                <w:color w:val="auto"/>
                <w:szCs w:val="21"/>
                <w:highlight w:val="none"/>
              </w:rPr>
              <w:t>（三）采用新技术、新工艺、新材料、新设备可能影响工程施工安全，尚无国家、行业及地方技术标准的分部分项工程。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4FC1732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054106E8">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C943BA8">
            <w:pPr>
              <w:jc w:val="center"/>
              <w:rPr>
                <w:rFonts w:ascii="宋体" w:hAnsi="宋体" w:cs="宋体"/>
                <w:color w:val="auto"/>
                <w:szCs w:val="21"/>
                <w:highlight w:val="none"/>
              </w:rPr>
            </w:pPr>
          </w:p>
        </w:tc>
      </w:tr>
      <w:tr w14:paraId="2D21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vAlign w:val="center"/>
          </w:tcPr>
          <w:p w14:paraId="5CC99BA9">
            <w:pPr>
              <w:widowControl/>
              <w:spacing w:line="360" w:lineRule="atLeast"/>
              <w:rPr>
                <w:rFonts w:ascii="宋体" w:hAnsi="宋体" w:cs="宋体"/>
                <w:b/>
                <w:color w:val="auto"/>
                <w:szCs w:val="21"/>
                <w:highlight w:val="none"/>
              </w:rPr>
            </w:pPr>
            <w:r>
              <w:rPr>
                <w:rFonts w:hint="eastAsia" w:ascii="宋体" w:hAnsi="宋体" w:cs="宋体"/>
                <w:b/>
                <w:bCs/>
                <w:color w:val="auto"/>
                <w:szCs w:val="21"/>
                <w:highlight w:val="none"/>
              </w:rPr>
              <w:t>二、超过一定规模的危险性较大的分部分项工程清单</w:t>
            </w:r>
          </w:p>
        </w:tc>
        <w:tc>
          <w:tcPr>
            <w:tcW w:w="1368" w:type="dxa"/>
            <w:tcBorders>
              <w:top w:val="single" w:color="auto" w:sz="4" w:space="0"/>
              <w:left w:val="single" w:color="auto" w:sz="4" w:space="0"/>
              <w:bottom w:val="single" w:color="auto" w:sz="4" w:space="0"/>
              <w:right w:val="single" w:color="auto" w:sz="4" w:space="0"/>
            </w:tcBorders>
            <w:noWrap/>
            <w:vAlign w:val="center"/>
          </w:tcPr>
          <w:p w14:paraId="55457BA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718A9E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2504F8B4">
            <w:pPr>
              <w:jc w:val="center"/>
              <w:rPr>
                <w:rFonts w:ascii="宋体" w:hAnsi="宋体" w:cs="宋体"/>
                <w:color w:val="auto"/>
                <w:szCs w:val="21"/>
                <w:highlight w:val="none"/>
              </w:rPr>
            </w:pPr>
          </w:p>
        </w:tc>
      </w:tr>
      <w:tr w14:paraId="2A44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7EB65C4">
            <w:pPr>
              <w:jc w:val="left"/>
              <w:rPr>
                <w:rFonts w:ascii="宋体" w:hAnsi="宋体" w:cs="宋体"/>
                <w:color w:val="auto"/>
                <w:szCs w:val="21"/>
                <w:highlight w:val="none"/>
              </w:rPr>
            </w:pPr>
            <w:r>
              <w:rPr>
                <w:rFonts w:hint="eastAsia" w:ascii="宋体" w:hAnsi="宋体" w:cs="宋体"/>
                <w:color w:val="auto"/>
                <w:szCs w:val="21"/>
                <w:highlight w:val="none"/>
              </w:rPr>
              <w:t>一、深基坑工程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89768B0">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F00353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9EA66FA">
            <w:pPr>
              <w:jc w:val="center"/>
              <w:rPr>
                <w:rFonts w:ascii="宋体" w:hAnsi="宋体" w:cs="宋体"/>
                <w:color w:val="auto"/>
                <w:szCs w:val="21"/>
                <w:highlight w:val="none"/>
              </w:rPr>
            </w:pPr>
          </w:p>
        </w:tc>
      </w:tr>
      <w:tr w14:paraId="0563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81D1199">
            <w:pPr>
              <w:jc w:val="left"/>
              <w:rPr>
                <w:rFonts w:ascii="宋体" w:hAnsi="宋体" w:cs="宋体"/>
                <w:color w:val="auto"/>
                <w:szCs w:val="21"/>
                <w:highlight w:val="none"/>
              </w:rPr>
            </w:pPr>
            <w:r>
              <w:rPr>
                <w:rFonts w:hint="eastAsia" w:ascii="宋体" w:hAnsi="宋体" w:cs="宋体"/>
                <w:color w:val="auto"/>
                <w:szCs w:val="21"/>
                <w:highlight w:val="none"/>
              </w:rPr>
              <w:t>开挖深度超过5m（含5m）的基坑（槽）的土方开挖、支护、降水工程。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1ED0C90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E68603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69D837D3">
            <w:pPr>
              <w:jc w:val="center"/>
              <w:rPr>
                <w:rFonts w:ascii="宋体" w:hAnsi="宋体" w:cs="宋体"/>
                <w:color w:val="auto"/>
                <w:szCs w:val="21"/>
                <w:highlight w:val="none"/>
              </w:rPr>
            </w:pPr>
          </w:p>
        </w:tc>
      </w:tr>
      <w:tr w14:paraId="6542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569DF7A7">
            <w:pPr>
              <w:jc w:val="left"/>
              <w:rPr>
                <w:rFonts w:ascii="宋体" w:hAnsi="宋体" w:cs="宋体"/>
                <w:color w:val="auto"/>
                <w:szCs w:val="21"/>
                <w:highlight w:val="none"/>
              </w:rPr>
            </w:pPr>
            <w:r>
              <w:rPr>
                <w:rFonts w:hint="eastAsia" w:ascii="宋体" w:hAnsi="宋体" w:cs="宋体"/>
                <w:color w:val="auto"/>
                <w:szCs w:val="21"/>
                <w:highlight w:val="none"/>
              </w:rPr>
              <w:t>二、模板工程及支撑体系</w:t>
            </w:r>
          </w:p>
        </w:tc>
        <w:tc>
          <w:tcPr>
            <w:tcW w:w="1368" w:type="dxa"/>
            <w:tcBorders>
              <w:top w:val="single" w:color="auto" w:sz="4" w:space="0"/>
              <w:left w:val="single" w:color="auto" w:sz="4" w:space="0"/>
              <w:bottom w:val="single" w:color="auto" w:sz="4" w:space="0"/>
              <w:right w:val="single" w:color="auto" w:sz="4" w:space="0"/>
            </w:tcBorders>
            <w:noWrap/>
            <w:vAlign w:val="center"/>
          </w:tcPr>
          <w:p w14:paraId="0D5D2D5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1AE3472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0869009">
            <w:pPr>
              <w:jc w:val="center"/>
              <w:rPr>
                <w:rFonts w:ascii="宋体" w:hAnsi="宋体" w:cs="宋体"/>
                <w:color w:val="auto"/>
                <w:szCs w:val="21"/>
                <w:highlight w:val="none"/>
              </w:rPr>
            </w:pPr>
          </w:p>
        </w:tc>
      </w:tr>
      <w:tr w14:paraId="4B8B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940" w:type="dxa"/>
            <w:tcBorders>
              <w:top w:val="single" w:color="auto" w:sz="4" w:space="0"/>
              <w:left w:val="single" w:color="auto" w:sz="4" w:space="0"/>
              <w:bottom w:val="single" w:color="auto" w:sz="4" w:space="0"/>
              <w:right w:val="single" w:color="auto" w:sz="4" w:space="0"/>
            </w:tcBorders>
            <w:noWrap/>
          </w:tcPr>
          <w:p w14:paraId="7246B119">
            <w:pPr>
              <w:jc w:val="left"/>
              <w:rPr>
                <w:rFonts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58C84B4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61115EE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7B0E7D4">
            <w:pPr>
              <w:jc w:val="center"/>
              <w:rPr>
                <w:rFonts w:ascii="宋体" w:hAnsi="宋体" w:cs="宋体"/>
                <w:color w:val="auto"/>
                <w:szCs w:val="21"/>
                <w:highlight w:val="none"/>
              </w:rPr>
            </w:pPr>
          </w:p>
        </w:tc>
      </w:tr>
      <w:tr w14:paraId="0F81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07F57886">
            <w:pPr>
              <w:jc w:val="left"/>
              <w:rPr>
                <w:rFonts w:ascii="宋体" w:hAnsi="宋体" w:cs="宋体"/>
                <w:color w:val="auto"/>
                <w:szCs w:val="21"/>
                <w:highlight w:val="none"/>
              </w:rPr>
            </w:pPr>
            <w:r>
              <w:rPr>
                <w:rFonts w:hint="eastAsia" w:ascii="宋体" w:hAnsi="宋体" w:cs="宋体"/>
                <w:color w:val="auto"/>
                <w:szCs w:val="21"/>
                <w:highlight w:val="none"/>
              </w:rPr>
              <w:t>（二）混凝土模板支撑工程：搭设高度8m及以上，或搭设跨度18m及以上，或施工总荷载（设计值）15kN/m2及以上，或集中线荷载（设计值）20kN/m及以上。</w:t>
            </w:r>
          </w:p>
        </w:tc>
        <w:tc>
          <w:tcPr>
            <w:tcW w:w="1368" w:type="dxa"/>
            <w:tcBorders>
              <w:top w:val="single" w:color="auto" w:sz="4" w:space="0"/>
              <w:left w:val="single" w:color="auto" w:sz="4" w:space="0"/>
              <w:bottom w:val="single" w:color="auto" w:sz="4" w:space="0"/>
              <w:right w:val="single" w:color="auto" w:sz="4" w:space="0"/>
            </w:tcBorders>
            <w:noWrap/>
            <w:vAlign w:val="center"/>
          </w:tcPr>
          <w:p w14:paraId="2518FD17">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C4A3BC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471D92D5">
            <w:pPr>
              <w:jc w:val="center"/>
              <w:rPr>
                <w:rFonts w:ascii="宋体" w:hAnsi="宋体" w:cs="宋体"/>
                <w:color w:val="auto"/>
                <w:szCs w:val="21"/>
                <w:highlight w:val="none"/>
              </w:rPr>
            </w:pPr>
          </w:p>
        </w:tc>
      </w:tr>
      <w:tr w14:paraId="6103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406424B">
            <w:pPr>
              <w:jc w:val="left"/>
              <w:rPr>
                <w:rFonts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（三）承重支撑体系：用于钢结构安装等满堂支撑体系，承受单点集中荷载7kN及以上。</w:t>
            </w:r>
          </w:p>
        </w:tc>
        <w:tc>
          <w:tcPr>
            <w:tcW w:w="1368" w:type="dxa"/>
            <w:tcBorders>
              <w:top w:val="single" w:color="auto" w:sz="4" w:space="0"/>
              <w:left w:val="single" w:color="auto" w:sz="4" w:space="0"/>
              <w:bottom w:val="single" w:color="auto" w:sz="4" w:space="0"/>
              <w:right w:val="single" w:color="auto" w:sz="4" w:space="0"/>
            </w:tcBorders>
            <w:noWrap/>
            <w:vAlign w:val="center"/>
          </w:tcPr>
          <w:p w14:paraId="7139308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1659909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21F3BF73">
            <w:pPr>
              <w:jc w:val="center"/>
              <w:rPr>
                <w:rFonts w:ascii="宋体" w:hAnsi="宋体" w:cs="宋体"/>
                <w:color w:val="auto"/>
                <w:szCs w:val="21"/>
                <w:highlight w:val="none"/>
              </w:rPr>
            </w:pPr>
          </w:p>
        </w:tc>
      </w:tr>
      <w:tr w14:paraId="7BE7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1F57C383">
            <w:pPr>
              <w:jc w:val="left"/>
              <w:rPr>
                <w:rFonts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1F0D468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A0BD53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B77D04A">
            <w:pPr>
              <w:jc w:val="center"/>
              <w:rPr>
                <w:rFonts w:ascii="宋体" w:hAnsi="宋体" w:cs="宋体"/>
                <w:color w:val="auto"/>
                <w:szCs w:val="21"/>
                <w:highlight w:val="none"/>
              </w:rPr>
            </w:pPr>
          </w:p>
        </w:tc>
      </w:tr>
      <w:tr w14:paraId="5920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1F1721CA">
            <w:pPr>
              <w:jc w:val="left"/>
              <w:rPr>
                <w:rFonts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（一）采用非常规起重设备、方法，且单件起吊重量在100kN及以上的起重吊装工程。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164D0C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27D15B0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0D68705D">
            <w:pPr>
              <w:jc w:val="center"/>
              <w:rPr>
                <w:rFonts w:ascii="宋体" w:hAnsi="宋体" w:cs="宋体"/>
                <w:color w:val="auto"/>
                <w:szCs w:val="21"/>
                <w:highlight w:val="none"/>
              </w:rPr>
            </w:pPr>
          </w:p>
        </w:tc>
      </w:tr>
      <w:tr w14:paraId="64BB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4A24B3BB">
            <w:pPr>
              <w:jc w:val="left"/>
              <w:rPr>
                <w:rFonts w:ascii="宋体" w:hAnsi="宋体" w:cs="宋体"/>
                <w:color w:val="auto"/>
                <w:szCs w:val="21"/>
                <w:highlight w:val="none"/>
              </w:rPr>
            </w:pPr>
            <w:r>
              <w:rPr>
                <w:rFonts w:hint="eastAsia" w:ascii="宋体" w:hAnsi="宋体" w:cs="宋体"/>
                <w:color w:val="auto"/>
                <w:szCs w:val="21"/>
                <w:highlight w:val="none"/>
              </w:rPr>
              <w:t>（二）起重量300kN及以上，或搭设总高度200m及以上，或搭设基础标高在200m及以上的起重机械安装和拆卸工程。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C564E5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2AB61D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60C7EB32">
            <w:pPr>
              <w:jc w:val="center"/>
              <w:rPr>
                <w:rFonts w:ascii="宋体" w:hAnsi="宋体" w:cs="宋体"/>
                <w:color w:val="auto"/>
                <w:szCs w:val="21"/>
                <w:highlight w:val="none"/>
              </w:rPr>
            </w:pPr>
          </w:p>
        </w:tc>
      </w:tr>
      <w:tr w14:paraId="326F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6F0EAC1B">
            <w:pPr>
              <w:jc w:val="left"/>
              <w:rPr>
                <w:rFonts w:ascii="宋体" w:hAnsi="宋体" w:cs="宋体"/>
                <w:color w:val="auto"/>
                <w:szCs w:val="21"/>
                <w:highlight w:val="none"/>
              </w:rPr>
            </w:pPr>
            <w:r>
              <w:rPr>
                <w:rFonts w:hint="eastAsia" w:ascii="宋体" w:hAnsi="宋体" w:cs="宋体"/>
                <w:color w:val="auto"/>
                <w:szCs w:val="21"/>
                <w:highlight w:val="none"/>
              </w:rPr>
              <w:t>四、脚手架工程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0EAF16F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1CC2199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065F34A">
            <w:pPr>
              <w:jc w:val="center"/>
              <w:rPr>
                <w:rFonts w:ascii="宋体" w:hAnsi="宋体" w:cs="宋体"/>
                <w:color w:val="auto"/>
                <w:szCs w:val="21"/>
                <w:highlight w:val="none"/>
              </w:rPr>
            </w:pPr>
          </w:p>
        </w:tc>
      </w:tr>
      <w:tr w14:paraId="19ED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3406AE4C">
            <w:pPr>
              <w:jc w:val="left"/>
              <w:rPr>
                <w:rFonts w:ascii="宋体" w:hAnsi="宋体" w:cs="宋体"/>
                <w:color w:val="auto"/>
                <w:szCs w:val="21"/>
                <w:highlight w:val="none"/>
              </w:rPr>
            </w:pPr>
            <w:r>
              <w:rPr>
                <w:rFonts w:hint="eastAsia" w:ascii="宋体" w:hAnsi="宋体" w:cs="宋体"/>
                <w:color w:val="auto"/>
                <w:szCs w:val="21"/>
                <w:highlight w:val="none"/>
              </w:rPr>
              <w:t>（一）搭设高度50m及以上的落地式钢管脚手架工程。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908DA6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0BCC24F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6EA736DF">
            <w:pPr>
              <w:jc w:val="center"/>
              <w:rPr>
                <w:rFonts w:ascii="宋体" w:hAnsi="宋体" w:cs="宋体"/>
                <w:color w:val="auto"/>
                <w:szCs w:val="21"/>
                <w:highlight w:val="none"/>
              </w:rPr>
            </w:pPr>
          </w:p>
        </w:tc>
      </w:tr>
      <w:tr w14:paraId="366B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0F04D8A2">
            <w:pPr>
              <w:jc w:val="left"/>
              <w:rPr>
                <w:rFonts w:ascii="宋体" w:hAnsi="宋体" w:cs="宋体"/>
                <w:color w:val="auto"/>
                <w:szCs w:val="21"/>
                <w:highlight w:val="none"/>
              </w:rPr>
            </w:pPr>
            <w:r>
              <w:rPr>
                <w:rFonts w:hint="eastAsia" w:ascii="宋体" w:hAnsi="宋体" w:cs="宋体"/>
                <w:color w:val="auto"/>
                <w:szCs w:val="21"/>
                <w:highlight w:val="none"/>
              </w:rPr>
              <w:t>（二）提升高度在150m及以上的附着式升降脚手架工程或附着式升降操作平台工程。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31D385A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CD045C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690382B6">
            <w:pPr>
              <w:jc w:val="center"/>
              <w:rPr>
                <w:rFonts w:ascii="宋体" w:hAnsi="宋体" w:cs="宋体"/>
                <w:color w:val="auto"/>
                <w:szCs w:val="21"/>
                <w:highlight w:val="none"/>
              </w:rPr>
            </w:pPr>
          </w:p>
        </w:tc>
      </w:tr>
      <w:tr w14:paraId="7131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37D8A224">
            <w:pPr>
              <w:jc w:val="left"/>
              <w:rPr>
                <w:rFonts w:ascii="宋体" w:hAnsi="宋体" w:cs="宋体"/>
                <w:color w:val="auto"/>
                <w:szCs w:val="21"/>
                <w:highlight w:val="none"/>
              </w:rPr>
            </w:pPr>
            <w:r>
              <w:rPr>
                <w:rFonts w:hint="eastAsia" w:ascii="宋体" w:hAnsi="宋体" w:cs="宋体"/>
                <w:color w:val="auto"/>
                <w:szCs w:val="21"/>
                <w:highlight w:val="none"/>
              </w:rPr>
              <w:t>（三）分段架体搭设高度20m及以上的悬挑式脚手架工程。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117E5C3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B9BBA0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61A09692">
            <w:pPr>
              <w:jc w:val="center"/>
              <w:rPr>
                <w:rFonts w:ascii="宋体" w:hAnsi="宋体" w:cs="宋体"/>
                <w:color w:val="auto"/>
                <w:szCs w:val="21"/>
                <w:highlight w:val="none"/>
              </w:rPr>
            </w:pPr>
          </w:p>
        </w:tc>
      </w:tr>
      <w:tr w14:paraId="0936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234A4172">
            <w:pPr>
              <w:jc w:val="left"/>
              <w:rPr>
                <w:rFonts w:ascii="宋体" w:hAnsi="宋体" w:cs="宋体"/>
                <w:color w:val="auto"/>
                <w:szCs w:val="21"/>
                <w:highlight w:val="none"/>
              </w:rPr>
            </w:pPr>
            <w:r>
              <w:rPr>
                <w:rFonts w:hint="eastAsia" w:ascii="宋体" w:hAnsi="宋体" w:cs="宋体"/>
                <w:color w:val="auto"/>
                <w:szCs w:val="21"/>
                <w:highlight w:val="none"/>
              </w:rPr>
              <w:t>五、拆除工程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1385D82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114EEC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26F3AF35">
            <w:pPr>
              <w:jc w:val="center"/>
              <w:rPr>
                <w:rFonts w:ascii="宋体" w:hAnsi="宋体" w:cs="宋体"/>
                <w:color w:val="auto"/>
                <w:szCs w:val="21"/>
                <w:highlight w:val="none"/>
              </w:rPr>
            </w:pPr>
          </w:p>
        </w:tc>
      </w:tr>
      <w:tr w14:paraId="0E68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28267B9C">
            <w:pPr>
              <w:jc w:val="left"/>
              <w:rPr>
                <w:rFonts w:ascii="宋体" w:hAnsi="宋体" w:cs="宋体"/>
                <w:color w:val="auto"/>
                <w:szCs w:val="21"/>
                <w:highlight w:val="none"/>
              </w:rPr>
            </w:pPr>
            <w:r>
              <w:rPr>
                <w:rFonts w:hint="eastAsia" w:ascii="宋体" w:hAnsi="宋体" w:cs="宋体"/>
                <w:color w:val="auto"/>
                <w:szCs w:val="21"/>
                <w:highlight w:val="none"/>
              </w:rPr>
              <w:t>（一）码头、桥梁、高架、烟囱、水塔或拆除中容易引起有毒有害气（液）体或粉尘扩散、易燃易爆事故发生的特殊建、构筑物的拆除工程。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23A468E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921738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5C1C11A">
            <w:pPr>
              <w:jc w:val="center"/>
              <w:rPr>
                <w:rFonts w:ascii="宋体" w:hAnsi="宋体" w:cs="宋体"/>
                <w:color w:val="auto"/>
                <w:szCs w:val="21"/>
                <w:highlight w:val="none"/>
              </w:rPr>
            </w:pPr>
          </w:p>
        </w:tc>
      </w:tr>
      <w:tr w14:paraId="56E1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0D3FDCB7">
            <w:pPr>
              <w:jc w:val="left"/>
              <w:rPr>
                <w:rFonts w:ascii="宋体" w:hAnsi="宋体" w:cs="宋体"/>
                <w:color w:val="auto"/>
                <w:szCs w:val="21"/>
                <w:highlight w:val="none"/>
              </w:rPr>
            </w:pPr>
            <w:r>
              <w:rPr>
                <w:rFonts w:hint="eastAsia" w:ascii="宋体" w:hAnsi="宋体" w:cs="宋体"/>
                <w:color w:val="auto"/>
                <w:szCs w:val="21"/>
                <w:highlight w:val="none"/>
              </w:rPr>
              <w:t>（二）文物保护建筑、优秀历史建筑或历史文化风貌区影响范围内的拆除工程。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0F29CC74">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549EFD1F">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408D903B">
            <w:pPr>
              <w:jc w:val="center"/>
              <w:rPr>
                <w:rFonts w:ascii="宋体" w:hAnsi="宋体" w:cs="宋体"/>
                <w:color w:val="auto"/>
                <w:szCs w:val="21"/>
                <w:highlight w:val="none"/>
              </w:rPr>
            </w:pPr>
          </w:p>
        </w:tc>
      </w:tr>
      <w:tr w14:paraId="632C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2084D729">
            <w:pPr>
              <w:jc w:val="left"/>
              <w:rPr>
                <w:rFonts w:ascii="宋体" w:hAnsi="宋体" w:cs="宋体"/>
                <w:color w:val="auto"/>
                <w:szCs w:val="21"/>
                <w:highlight w:val="none"/>
              </w:rPr>
            </w:pPr>
            <w:r>
              <w:rPr>
                <w:rFonts w:hint="eastAsia" w:ascii="宋体" w:hAnsi="宋体" w:cs="宋体"/>
                <w:color w:val="auto"/>
                <w:szCs w:val="21"/>
                <w:highlight w:val="none"/>
              </w:rPr>
              <w:t>六、暗挖工程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17A55943">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0B5308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FE836D9">
            <w:pPr>
              <w:jc w:val="center"/>
              <w:rPr>
                <w:rFonts w:ascii="宋体" w:hAnsi="宋体" w:cs="宋体"/>
                <w:color w:val="auto"/>
                <w:szCs w:val="21"/>
                <w:highlight w:val="none"/>
              </w:rPr>
            </w:pPr>
          </w:p>
        </w:tc>
      </w:tr>
      <w:tr w14:paraId="29D6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000C1DC4">
            <w:pPr>
              <w:jc w:val="left"/>
              <w:rPr>
                <w:rFonts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48B9560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1AF425B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4AF7AF65">
            <w:pPr>
              <w:jc w:val="center"/>
              <w:rPr>
                <w:rFonts w:ascii="宋体" w:hAnsi="宋体" w:cs="宋体"/>
                <w:color w:val="auto"/>
                <w:szCs w:val="21"/>
                <w:highlight w:val="none"/>
              </w:rPr>
            </w:pPr>
          </w:p>
        </w:tc>
      </w:tr>
      <w:tr w14:paraId="12B2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1CF7D9CE">
            <w:pPr>
              <w:jc w:val="left"/>
              <w:rPr>
                <w:rFonts w:ascii="宋体" w:hAnsi="宋体" w:cs="宋体"/>
                <w:color w:val="auto"/>
                <w:szCs w:val="21"/>
                <w:highlight w:val="none"/>
              </w:rPr>
            </w:pPr>
            <w:r>
              <w:rPr>
                <w:rFonts w:hint="eastAsia" w:ascii="宋体" w:hAnsi="宋体" w:cs="宋体"/>
                <w:color w:val="auto"/>
                <w:szCs w:val="21"/>
                <w:highlight w:val="none"/>
              </w:rPr>
              <w:t>七、其它</w:t>
            </w:r>
          </w:p>
        </w:tc>
        <w:tc>
          <w:tcPr>
            <w:tcW w:w="1368" w:type="dxa"/>
            <w:tcBorders>
              <w:top w:val="single" w:color="auto" w:sz="4" w:space="0"/>
              <w:left w:val="single" w:color="auto" w:sz="4" w:space="0"/>
              <w:bottom w:val="single" w:color="auto" w:sz="4" w:space="0"/>
              <w:right w:val="single" w:color="auto" w:sz="4" w:space="0"/>
            </w:tcBorders>
            <w:noWrap/>
            <w:vAlign w:val="center"/>
          </w:tcPr>
          <w:p w14:paraId="2E63447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5AA0B671">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6F188CB">
            <w:pPr>
              <w:jc w:val="center"/>
              <w:rPr>
                <w:rFonts w:ascii="宋体" w:hAnsi="宋体" w:cs="宋体"/>
                <w:color w:val="auto"/>
                <w:szCs w:val="21"/>
                <w:highlight w:val="none"/>
              </w:rPr>
            </w:pPr>
          </w:p>
        </w:tc>
      </w:tr>
      <w:tr w14:paraId="202C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7148EE0F">
            <w:pPr>
              <w:jc w:val="left"/>
              <w:rPr>
                <w:rFonts w:ascii="宋体" w:hAnsi="宋体" w:cs="宋体"/>
                <w:color w:val="auto"/>
                <w:szCs w:val="21"/>
                <w:highlight w:val="none"/>
              </w:rPr>
            </w:pPr>
            <w:r>
              <w:rPr>
                <w:rFonts w:hint="eastAsia" w:ascii="宋体" w:hAnsi="宋体" w:cs="宋体"/>
                <w:color w:val="auto"/>
                <w:szCs w:val="21"/>
                <w:highlight w:val="none"/>
              </w:rPr>
              <w:t>（一）施工高度50m及以上的建筑幕墙安装工程。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FF4288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3CF13C8C">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79FAEE18">
            <w:pPr>
              <w:jc w:val="center"/>
              <w:rPr>
                <w:rFonts w:ascii="宋体" w:hAnsi="宋体" w:cs="宋体"/>
                <w:color w:val="auto"/>
                <w:szCs w:val="21"/>
                <w:highlight w:val="none"/>
              </w:rPr>
            </w:pPr>
          </w:p>
        </w:tc>
      </w:tr>
      <w:tr w14:paraId="1308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5B1F587F">
            <w:pPr>
              <w:jc w:val="left"/>
              <w:rPr>
                <w:rFonts w:ascii="宋体" w:hAnsi="宋体" w:cs="宋体"/>
                <w:color w:val="auto"/>
                <w:szCs w:val="21"/>
                <w:highlight w:val="none"/>
              </w:rPr>
            </w:pPr>
            <w:r>
              <w:rPr>
                <w:rFonts w:hint="eastAsia" w:ascii="宋体" w:hAnsi="宋体" w:cs="宋体"/>
                <w:color w:val="auto"/>
                <w:szCs w:val="21"/>
                <w:highlight w:val="none"/>
              </w:rPr>
              <w:t>（二）跨度36m及以上的钢结构安装工程，或跨度60m及以上的网架和索膜结构安装工程。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F19316E">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2F4A536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34886AF9">
            <w:pPr>
              <w:jc w:val="center"/>
              <w:rPr>
                <w:rFonts w:ascii="宋体" w:hAnsi="宋体" w:cs="宋体"/>
                <w:color w:val="auto"/>
                <w:szCs w:val="21"/>
                <w:highlight w:val="none"/>
              </w:rPr>
            </w:pPr>
          </w:p>
        </w:tc>
      </w:tr>
      <w:tr w14:paraId="5582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15F50B67">
            <w:pPr>
              <w:jc w:val="left"/>
              <w:rPr>
                <w:rFonts w:ascii="宋体" w:hAnsi="宋体" w:cs="宋体"/>
                <w:color w:val="auto"/>
                <w:szCs w:val="21"/>
                <w:highlight w:val="none"/>
              </w:rPr>
            </w:pPr>
            <w:r>
              <w:rPr>
                <w:rFonts w:hint="eastAsia" w:ascii="宋体" w:hAnsi="宋体" w:cs="宋体"/>
                <w:color w:val="auto"/>
                <w:szCs w:val="21"/>
                <w:highlight w:val="none"/>
              </w:rPr>
              <w:t>（三）开挖深度16m及以上的人工挖孔桩工程。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6D95A03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29D9AFE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068A370C">
            <w:pPr>
              <w:jc w:val="center"/>
              <w:rPr>
                <w:rFonts w:ascii="宋体" w:hAnsi="宋体" w:cs="宋体"/>
                <w:color w:val="auto"/>
                <w:szCs w:val="21"/>
                <w:highlight w:val="none"/>
              </w:rPr>
            </w:pPr>
          </w:p>
        </w:tc>
      </w:tr>
      <w:tr w14:paraId="40BB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3906F561">
            <w:pPr>
              <w:jc w:val="left"/>
              <w:rPr>
                <w:rFonts w:ascii="宋体" w:hAnsi="宋体" w:cs="宋体"/>
                <w:color w:val="auto"/>
                <w:szCs w:val="21"/>
                <w:highlight w:val="none"/>
              </w:rPr>
            </w:pPr>
            <w:r>
              <w:rPr>
                <w:rFonts w:hint="eastAsia" w:ascii="宋体" w:hAnsi="宋体" w:cs="宋体"/>
                <w:color w:val="auto"/>
                <w:szCs w:val="21"/>
                <w:highlight w:val="none"/>
              </w:rPr>
              <w:t>（四）水下作业工程。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2362320A">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75A2A09B">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5917BF5B">
            <w:pPr>
              <w:jc w:val="center"/>
              <w:rPr>
                <w:rFonts w:ascii="宋体" w:hAnsi="宋体" w:cs="宋体"/>
                <w:color w:val="auto"/>
                <w:szCs w:val="21"/>
                <w:highlight w:val="none"/>
              </w:rPr>
            </w:pPr>
          </w:p>
        </w:tc>
      </w:tr>
      <w:tr w14:paraId="237F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4E891BB8">
            <w:pPr>
              <w:jc w:val="left"/>
              <w:rPr>
                <w:rFonts w:ascii="宋体" w:hAnsi="宋体" w:cs="宋体"/>
                <w:color w:val="auto"/>
                <w:szCs w:val="21"/>
                <w:highlight w:val="none"/>
              </w:rPr>
            </w:pPr>
            <w:r>
              <w:rPr>
                <w:rFonts w:hint="eastAsia" w:ascii="宋体" w:hAnsi="宋体" w:cs="宋体"/>
                <w:color w:val="auto"/>
                <w:szCs w:val="21"/>
                <w:highlight w:val="none"/>
              </w:rPr>
              <w:t>（五）重量1000kN及以上的大型结构整体顶升、平移、转体等施工工艺。</w:t>
            </w:r>
          </w:p>
        </w:tc>
        <w:tc>
          <w:tcPr>
            <w:tcW w:w="1368" w:type="dxa"/>
            <w:tcBorders>
              <w:top w:val="single" w:color="auto" w:sz="4" w:space="0"/>
              <w:left w:val="single" w:color="auto" w:sz="4" w:space="0"/>
              <w:bottom w:val="single" w:color="auto" w:sz="4" w:space="0"/>
              <w:right w:val="single" w:color="auto" w:sz="4" w:space="0"/>
            </w:tcBorders>
            <w:noWrap/>
            <w:vAlign w:val="center"/>
          </w:tcPr>
          <w:p w14:paraId="170A3682">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56872306">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407C3B29">
            <w:pPr>
              <w:jc w:val="center"/>
              <w:rPr>
                <w:rFonts w:ascii="宋体" w:hAnsi="宋体" w:cs="宋体"/>
                <w:color w:val="auto"/>
                <w:szCs w:val="21"/>
                <w:highlight w:val="none"/>
              </w:rPr>
            </w:pPr>
          </w:p>
        </w:tc>
      </w:tr>
      <w:tr w14:paraId="5122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0" w:type="dxa"/>
            <w:tcBorders>
              <w:top w:val="single" w:color="auto" w:sz="4" w:space="0"/>
              <w:left w:val="single" w:color="auto" w:sz="4" w:space="0"/>
              <w:bottom w:val="single" w:color="auto" w:sz="4" w:space="0"/>
              <w:right w:val="single" w:color="auto" w:sz="4" w:space="0"/>
            </w:tcBorders>
            <w:noWrap/>
          </w:tcPr>
          <w:p w14:paraId="286E5CA5">
            <w:pPr>
              <w:jc w:val="left"/>
              <w:rPr>
                <w:rFonts w:ascii="宋体" w:hAnsi="宋体" w:cs="宋体"/>
                <w:color w:val="auto"/>
                <w:szCs w:val="21"/>
                <w:highlight w:val="none"/>
              </w:rPr>
            </w:pPr>
            <w:r>
              <w:rPr>
                <w:rFonts w:hint="eastAsia" w:ascii="宋体" w:hAnsi="宋体" w:cs="宋体"/>
                <w:color w:val="auto"/>
                <w:szCs w:val="21"/>
                <w:highlight w:val="none"/>
              </w:rPr>
              <w:t>（六）采用新技术、新工艺、新材料、新设备可能影响工程施工安全，尚无国家、行业及地方技术标准的分部分项工程。</w:t>
            </w:r>
          </w:p>
        </w:tc>
        <w:tc>
          <w:tcPr>
            <w:tcW w:w="1368" w:type="dxa"/>
            <w:tcBorders>
              <w:top w:val="single" w:color="auto" w:sz="4" w:space="0"/>
              <w:left w:val="single" w:color="auto" w:sz="4" w:space="0"/>
              <w:bottom w:val="single" w:color="auto" w:sz="4" w:space="0"/>
              <w:right w:val="single" w:color="auto" w:sz="4" w:space="0"/>
            </w:tcBorders>
            <w:noWrap/>
            <w:vAlign w:val="center"/>
          </w:tcPr>
          <w:p w14:paraId="592A2EE9">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1284" w:type="dxa"/>
            <w:tcBorders>
              <w:top w:val="single" w:color="auto" w:sz="4" w:space="0"/>
              <w:left w:val="single" w:color="auto" w:sz="4" w:space="0"/>
              <w:bottom w:val="single" w:color="auto" w:sz="4" w:space="0"/>
              <w:right w:val="single" w:color="auto" w:sz="4" w:space="0"/>
            </w:tcBorders>
            <w:noWrap/>
            <w:vAlign w:val="center"/>
          </w:tcPr>
          <w:p w14:paraId="140AA7E5">
            <w:pPr>
              <w:jc w:val="center"/>
              <w:rPr>
                <w:rFonts w:ascii="宋体" w:hAnsi="宋体" w:cs="宋体"/>
                <w:color w:val="auto"/>
                <w:szCs w:val="21"/>
                <w:highlight w:val="none"/>
              </w:rPr>
            </w:pPr>
            <w:r>
              <w:rPr>
                <w:rFonts w:hint="eastAsia" w:ascii="宋体" w:hAnsi="宋体" w:cs="宋体"/>
                <w:color w:val="auto"/>
                <w:szCs w:val="21"/>
                <w:highlight w:val="none"/>
              </w:rPr>
              <w:t>(    )</w:t>
            </w:r>
          </w:p>
        </w:tc>
        <w:tc>
          <w:tcPr>
            <w:tcW w:w="979" w:type="dxa"/>
            <w:tcBorders>
              <w:top w:val="single" w:color="auto" w:sz="4" w:space="0"/>
              <w:left w:val="single" w:color="auto" w:sz="4" w:space="0"/>
              <w:bottom w:val="single" w:color="auto" w:sz="4" w:space="0"/>
              <w:right w:val="single" w:color="auto" w:sz="4" w:space="0"/>
            </w:tcBorders>
            <w:noWrap/>
            <w:vAlign w:val="center"/>
          </w:tcPr>
          <w:p w14:paraId="12B8298B">
            <w:pPr>
              <w:jc w:val="center"/>
              <w:rPr>
                <w:rFonts w:ascii="宋体" w:hAnsi="宋体" w:cs="宋体"/>
                <w:color w:val="auto"/>
                <w:szCs w:val="21"/>
                <w:highlight w:val="none"/>
              </w:rPr>
            </w:pPr>
          </w:p>
        </w:tc>
      </w:tr>
    </w:tbl>
    <w:p w14:paraId="27D4323C">
      <w:pPr>
        <w:spacing w:line="360" w:lineRule="auto"/>
        <w:jc w:val="right"/>
        <w:rPr>
          <w:rFonts w:ascii="宋体" w:hAnsi="宋体" w:cs="宋体"/>
          <w:color w:val="auto"/>
          <w:sz w:val="24"/>
          <w:szCs w:val="20"/>
          <w:highlight w:val="none"/>
          <w:u w:val="single"/>
        </w:rPr>
      </w:pPr>
      <w:r>
        <w:rPr>
          <w:rFonts w:hint="eastAsia" w:ascii="宋体" w:hAnsi="宋体"/>
          <w:color w:val="auto"/>
          <w:sz w:val="24"/>
          <w:highlight w:val="none"/>
        </w:rPr>
        <w:t>投标人（盖公章）</w:t>
      </w:r>
      <w:r>
        <w:rPr>
          <w:rFonts w:hint="eastAsia" w:ascii="宋体" w:hAnsi="宋体" w:cs="宋体"/>
          <w:color w:val="auto"/>
          <w:sz w:val="24"/>
          <w:szCs w:val="20"/>
          <w:highlight w:val="none"/>
        </w:rPr>
        <w:t>）：</w:t>
      </w:r>
    </w:p>
    <w:p w14:paraId="519758F9">
      <w:pPr>
        <w:spacing w:line="360" w:lineRule="auto"/>
        <w:jc w:val="right"/>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法定代表人或被授权人（签字或盖章）：</w:t>
      </w:r>
    </w:p>
    <w:p w14:paraId="4A2A2039">
      <w:pPr>
        <w:tabs>
          <w:tab w:val="left" w:pos="720"/>
        </w:tabs>
        <w:spacing w:line="360" w:lineRule="auto"/>
        <w:jc w:val="right"/>
        <w:rPr>
          <w:rStyle w:val="45"/>
          <w:color w:val="auto"/>
          <w:highlight w:val="none"/>
        </w:rPr>
      </w:pPr>
      <w:r>
        <w:rPr>
          <w:rFonts w:hint="eastAsia" w:ascii="宋体" w:hAnsi="宋体" w:cs="宋体"/>
          <w:color w:val="auto"/>
          <w:sz w:val="24"/>
          <w:szCs w:val="20"/>
          <w:highlight w:val="none"/>
        </w:rPr>
        <w:t>日期：   年  月  日</w:t>
      </w:r>
    </w:p>
    <w:p w14:paraId="0A456815">
      <w:pPr>
        <w:spacing w:line="320" w:lineRule="exact"/>
        <w:rPr>
          <w:rFonts w:ascii="仿宋_GB2312" w:hAnsi="楷体" w:eastAsia="仿宋_GB2312"/>
          <w:color w:val="auto"/>
          <w:szCs w:val="21"/>
          <w:highlight w:val="none"/>
        </w:rPr>
      </w:pPr>
    </w:p>
    <w:p w14:paraId="0940149F">
      <w:pPr>
        <w:tabs>
          <w:tab w:val="left" w:pos="720"/>
        </w:tabs>
        <w:snapToGrid w:val="0"/>
        <w:spacing w:line="360" w:lineRule="auto"/>
        <w:jc w:val="center"/>
        <w:rPr>
          <w:color w:val="auto"/>
          <w:sz w:val="24"/>
          <w:szCs w:val="24"/>
          <w:highlight w:val="none"/>
        </w:rPr>
      </w:pPr>
    </w:p>
    <w:p w14:paraId="123BF1A3">
      <w:pPr>
        <w:tabs>
          <w:tab w:val="left" w:pos="720"/>
        </w:tabs>
        <w:snapToGrid w:val="0"/>
        <w:spacing w:line="360" w:lineRule="auto"/>
        <w:jc w:val="center"/>
        <w:rPr>
          <w:color w:val="auto"/>
          <w:sz w:val="24"/>
          <w:szCs w:val="24"/>
          <w:highlight w:val="none"/>
        </w:rPr>
      </w:pPr>
    </w:p>
    <w:p w14:paraId="297CA422">
      <w:pPr>
        <w:tabs>
          <w:tab w:val="left" w:pos="720"/>
        </w:tabs>
        <w:snapToGrid w:val="0"/>
        <w:spacing w:line="360" w:lineRule="auto"/>
        <w:jc w:val="center"/>
        <w:rPr>
          <w:color w:val="auto"/>
          <w:sz w:val="24"/>
          <w:szCs w:val="24"/>
          <w:highlight w:val="none"/>
        </w:rPr>
      </w:pPr>
    </w:p>
    <w:p w14:paraId="395B8D65">
      <w:pPr>
        <w:tabs>
          <w:tab w:val="left" w:pos="720"/>
        </w:tabs>
        <w:snapToGrid w:val="0"/>
        <w:spacing w:line="360" w:lineRule="auto"/>
        <w:jc w:val="center"/>
        <w:rPr>
          <w:color w:val="auto"/>
          <w:sz w:val="24"/>
          <w:szCs w:val="24"/>
          <w:highlight w:val="none"/>
        </w:rPr>
      </w:pPr>
    </w:p>
    <w:p w14:paraId="7BA079A5">
      <w:pPr>
        <w:spacing w:line="560" w:lineRule="exact"/>
        <w:ind w:firstLineChars="0"/>
        <w:jc w:val="center"/>
        <w:rPr>
          <w:rFonts w:hint="eastAsia" w:ascii="宋体" w:hAnsi="宋体" w:eastAsia="宋体"/>
          <w:b/>
          <w:color w:val="auto"/>
          <w:sz w:val="30"/>
          <w:szCs w:val="30"/>
          <w:highlight w:val="none"/>
        </w:rPr>
      </w:pPr>
      <w:r>
        <w:rPr>
          <w:rFonts w:hint="eastAsia" w:ascii="宋体" w:hAnsi="宋体" w:eastAsia="宋体" w:cs="Times New Roman"/>
          <w:b/>
          <w:color w:val="auto"/>
          <w:sz w:val="30"/>
          <w:szCs w:val="30"/>
          <w:highlight w:val="none"/>
          <w:lang w:val="zh-CN"/>
        </w:rPr>
        <w:t>关于投标保证金的承诺</w:t>
      </w:r>
    </w:p>
    <w:p w14:paraId="6AAF3524">
      <w:pPr>
        <w:pStyle w:val="20"/>
        <w:spacing w:line="560" w:lineRule="exact"/>
        <w:ind w:firstLine="560" w:firstLineChars="200"/>
        <w:rPr>
          <w:rFonts w:hint="eastAsia" w:ascii="宋体" w:hAnsi="宋体" w:eastAsia="宋体" w:cs="宋体"/>
          <w:color w:val="auto"/>
          <w:sz w:val="28"/>
          <w:szCs w:val="28"/>
          <w:highlight w:val="none"/>
        </w:rPr>
      </w:pPr>
    </w:p>
    <w:p w14:paraId="52192F7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0A04045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文冲项目石化厂区6KV配电设施迁改工程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项目的投标工作，作出郑重声明：</w:t>
      </w:r>
    </w:p>
    <w:p w14:paraId="2E9413E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eastAsia="宋体" w:cs="宋体"/>
          <w:color w:val="auto"/>
          <w:kern w:val="0"/>
          <w:sz w:val="24"/>
          <w:szCs w:val="24"/>
          <w:highlight w:val="none"/>
          <w:lang w:val="zh-CN"/>
        </w:rPr>
        <w:t>一旦发生符合招标文件规定的不予退还投标保证金情形的，将</w:t>
      </w:r>
      <w:r>
        <w:rPr>
          <w:rFonts w:hint="eastAsia" w:ascii="宋体" w:hAnsi="宋体" w:eastAsia="宋体" w:cs="宋体"/>
          <w:color w:val="auto"/>
          <w:sz w:val="24"/>
          <w:szCs w:val="24"/>
          <w:highlight w:val="none"/>
        </w:rPr>
        <w:t>按照招标人的要求，在规定的时间内向招标人足额补交投标保证金。</w:t>
      </w:r>
    </w:p>
    <w:p w14:paraId="1985170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本公司违反上述保证的，将被视为虚假承诺，按相关规定进行信用记录。本公司对失信行为产生的一切后果已知悉，并承担由此产生的相应责任。</w:t>
      </w:r>
    </w:p>
    <w:p w14:paraId="11C1051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6E902752">
      <w:pPr>
        <w:spacing w:line="360" w:lineRule="auto"/>
        <w:ind w:firstLine="480" w:firstLineChars="200"/>
        <w:jc w:val="left"/>
        <w:rPr>
          <w:rFonts w:hint="eastAsia" w:ascii="宋体" w:hAnsi="宋体" w:eastAsia="宋体" w:cs="宋体"/>
          <w:color w:val="auto"/>
          <w:sz w:val="24"/>
          <w:szCs w:val="24"/>
          <w:highlight w:val="none"/>
        </w:rPr>
      </w:pPr>
    </w:p>
    <w:p w14:paraId="38DA2538">
      <w:pPr>
        <w:spacing w:line="360" w:lineRule="auto"/>
        <w:ind w:firstLine="480" w:firstLineChars="200"/>
        <w:jc w:val="left"/>
        <w:rPr>
          <w:rFonts w:hint="eastAsia" w:ascii="宋体" w:hAnsi="宋体" w:eastAsia="宋体" w:cs="宋体"/>
          <w:color w:val="auto"/>
          <w:sz w:val="24"/>
          <w:szCs w:val="24"/>
          <w:highlight w:val="none"/>
        </w:rPr>
      </w:pPr>
    </w:p>
    <w:p w14:paraId="196ECE3B">
      <w:pPr>
        <w:spacing w:line="360" w:lineRule="auto"/>
        <w:ind w:firstLine="480" w:firstLineChars="200"/>
        <w:jc w:val="left"/>
        <w:rPr>
          <w:rFonts w:hint="eastAsia" w:ascii="宋体" w:hAnsi="宋体" w:eastAsia="宋体" w:cs="宋体"/>
          <w:color w:val="auto"/>
          <w:sz w:val="24"/>
          <w:szCs w:val="24"/>
          <w:highlight w:val="none"/>
        </w:rPr>
      </w:pPr>
    </w:p>
    <w:p w14:paraId="6822A716">
      <w:pPr>
        <w:pStyle w:val="5"/>
        <w:spacing w:line="360" w:lineRule="auto"/>
        <w:ind w:right="1280" w:firstLine="314" w:firstLineChars="131"/>
        <w:jc w:val="right"/>
        <w:rPr>
          <w:rFonts w:hint="eastAsia" w:ascii="宋体" w:hAnsi="宋体" w:eastAsia="宋体" w:cs="宋体"/>
          <w:color w:val="auto"/>
          <w:sz w:val="24"/>
          <w:szCs w:val="24"/>
          <w:highlight w:val="none"/>
        </w:rPr>
      </w:pPr>
      <w:r>
        <w:rPr>
          <w:rFonts w:hint="eastAsia" w:ascii="宋体" w:hAnsi="宋体"/>
          <w:color w:val="auto"/>
          <w:sz w:val="24"/>
          <w:highlight w:val="none"/>
        </w:rPr>
        <w:t>投标人（盖公章）</w:t>
      </w:r>
    </w:p>
    <w:p w14:paraId="7C033038">
      <w:pPr>
        <w:pStyle w:val="5"/>
        <w:spacing w:line="360" w:lineRule="auto"/>
        <w:ind w:right="1280" w:firstLine="314" w:firstLineChars="131"/>
        <w:jc w:val="righ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              日  期：    </w:t>
      </w:r>
    </w:p>
    <w:p w14:paraId="1DEEB3DB">
      <w:pPr>
        <w:tabs>
          <w:tab w:val="left" w:pos="720"/>
        </w:tabs>
        <w:snapToGrid w:val="0"/>
        <w:spacing w:line="360" w:lineRule="auto"/>
        <w:jc w:val="center"/>
        <w:rPr>
          <w:rStyle w:val="60"/>
          <w:color w:val="auto"/>
          <w:highlight w:val="none"/>
        </w:rPr>
      </w:pPr>
      <w:r>
        <w:rPr>
          <w:color w:val="auto"/>
          <w:sz w:val="24"/>
          <w:szCs w:val="24"/>
          <w:highlight w:val="none"/>
        </w:rPr>
        <w:br w:type="page"/>
      </w:r>
      <w:bookmarkStart w:id="34" w:name="_Toc2272568"/>
      <w:bookmarkStart w:id="35" w:name="_Toc21525513"/>
      <w:r>
        <w:rPr>
          <w:rStyle w:val="60"/>
          <w:rFonts w:hint="eastAsia"/>
          <w:color w:val="auto"/>
          <w:highlight w:val="none"/>
        </w:rPr>
        <w:t>第五章技术条件（工程建设标准）</w:t>
      </w:r>
      <w:bookmarkEnd w:id="34"/>
      <w:bookmarkEnd w:id="35"/>
    </w:p>
    <w:p w14:paraId="20BCB8AE">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施工组织设计要点</w:t>
      </w:r>
    </w:p>
    <w:p w14:paraId="3394ED6F">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第一节  编制要求</w:t>
      </w:r>
    </w:p>
    <w:p w14:paraId="47A73AFF">
      <w:pPr>
        <w:spacing w:line="360" w:lineRule="auto"/>
        <w:rPr>
          <w:rFonts w:ascii="宋体" w:hAnsi="宋体"/>
          <w:color w:val="auto"/>
          <w:spacing w:val="20"/>
          <w:sz w:val="24"/>
          <w:highlight w:val="none"/>
        </w:rPr>
      </w:pPr>
      <w:r>
        <w:rPr>
          <w:rFonts w:hint="eastAsia" w:ascii="宋体" w:hAnsi="宋体"/>
          <w:color w:val="auto"/>
          <w:spacing w:val="20"/>
          <w:sz w:val="24"/>
          <w:highlight w:val="none"/>
        </w:rPr>
        <w:t>一、编制依据</w:t>
      </w:r>
    </w:p>
    <w:p w14:paraId="481904D3">
      <w:pPr>
        <w:spacing w:line="360" w:lineRule="auto"/>
        <w:rPr>
          <w:rFonts w:ascii="宋体" w:hAnsi="宋体"/>
          <w:color w:val="auto"/>
          <w:spacing w:val="20"/>
          <w:sz w:val="24"/>
          <w:highlight w:val="none"/>
        </w:rPr>
      </w:pPr>
      <w:r>
        <w:rPr>
          <w:rFonts w:hint="eastAsia" w:ascii="宋体" w:hAnsi="宋体"/>
          <w:color w:val="auto"/>
          <w:spacing w:val="20"/>
          <w:sz w:val="24"/>
          <w:highlight w:val="none"/>
        </w:rPr>
        <w:t>1、本工程招标文件的有关要求。</w:t>
      </w:r>
    </w:p>
    <w:p w14:paraId="4BB9FE60">
      <w:pPr>
        <w:spacing w:line="360" w:lineRule="auto"/>
        <w:rPr>
          <w:rFonts w:ascii="宋体" w:hAnsi="宋体"/>
          <w:color w:val="auto"/>
          <w:spacing w:val="20"/>
          <w:sz w:val="24"/>
          <w:highlight w:val="none"/>
        </w:rPr>
      </w:pPr>
      <w:r>
        <w:rPr>
          <w:rFonts w:hint="eastAsia" w:ascii="宋体" w:hAnsi="宋体"/>
          <w:color w:val="auto"/>
          <w:spacing w:val="20"/>
          <w:sz w:val="24"/>
          <w:highlight w:val="none"/>
        </w:rPr>
        <w:t>2、国家、广东省、广州市、</w:t>
      </w:r>
      <w:r>
        <w:rPr>
          <w:rFonts w:hint="eastAsia" w:ascii="宋体" w:hAnsi="宋体"/>
          <w:color w:val="auto"/>
          <w:spacing w:val="20"/>
          <w:sz w:val="24"/>
          <w:highlight w:val="none"/>
          <w:lang w:eastAsia="zh-CN"/>
        </w:rPr>
        <w:t>黄埔</w:t>
      </w:r>
      <w:r>
        <w:rPr>
          <w:rFonts w:hint="eastAsia" w:ascii="宋体" w:hAnsi="宋体"/>
          <w:color w:val="auto"/>
          <w:spacing w:val="20"/>
          <w:sz w:val="24"/>
          <w:highlight w:val="none"/>
        </w:rPr>
        <w:t>区有关施工验收规范、质量标准和操作规程等要求。</w:t>
      </w:r>
    </w:p>
    <w:p w14:paraId="6F2E40F4">
      <w:pPr>
        <w:spacing w:line="360" w:lineRule="auto"/>
        <w:rPr>
          <w:rFonts w:ascii="宋体" w:hAnsi="宋体"/>
          <w:color w:val="auto"/>
          <w:spacing w:val="20"/>
          <w:sz w:val="24"/>
          <w:highlight w:val="none"/>
        </w:rPr>
      </w:pPr>
      <w:r>
        <w:rPr>
          <w:rFonts w:hint="eastAsia" w:ascii="宋体" w:hAnsi="宋体"/>
          <w:color w:val="auto"/>
          <w:spacing w:val="20"/>
          <w:sz w:val="24"/>
          <w:highlight w:val="none"/>
        </w:rPr>
        <w:t>3、施工图纸及有关资料。</w:t>
      </w:r>
    </w:p>
    <w:p w14:paraId="323D1D1B">
      <w:pPr>
        <w:spacing w:line="360" w:lineRule="auto"/>
        <w:rPr>
          <w:rFonts w:ascii="宋体" w:hAnsi="宋体"/>
          <w:color w:val="auto"/>
          <w:spacing w:val="20"/>
          <w:sz w:val="24"/>
          <w:highlight w:val="none"/>
        </w:rPr>
      </w:pPr>
      <w:r>
        <w:rPr>
          <w:rFonts w:hint="eastAsia" w:ascii="宋体" w:hAnsi="宋体"/>
          <w:color w:val="auto"/>
          <w:spacing w:val="20"/>
          <w:sz w:val="24"/>
          <w:highlight w:val="none"/>
        </w:rPr>
        <w:t>二、具体要求</w:t>
      </w:r>
    </w:p>
    <w:p w14:paraId="04C78895">
      <w:pPr>
        <w:spacing w:line="360" w:lineRule="auto"/>
        <w:rPr>
          <w:rFonts w:ascii="宋体" w:hAnsi="宋体"/>
          <w:color w:val="auto"/>
          <w:spacing w:val="20"/>
          <w:sz w:val="24"/>
          <w:highlight w:val="none"/>
        </w:rPr>
      </w:pPr>
      <w:r>
        <w:rPr>
          <w:rFonts w:hint="eastAsia" w:ascii="宋体" w:hAnsi="宋体"/>
          <w:color w:val="auto"/>
          <w:spacing w:val="20"/>
          <w:sz w:val="24"/>
          <w:highlight w:val="none"/>
        </w:rPr>
        <w:t>1、“重合同，守信誉”。按本工程规定的总工期，编制出完善的施工进度控制计划，在投标承诺了工期内完成工程任务。</w:t>
      </w:r>
    </w:p>
    <w:p w14:paraId="6C06903B">
      <w:pPr>
        <w:spacing w:line="360" w:lineRule="auto"/>
        <w:rPr>
          <w:rFonts w:ascii="宋体" w:hAnsi="宋体"/>
          <w:color w:val="auto"/>
          <w:spacing w:val="20"/>
          <w:sz w:val="24"/>
          <w:highlight w:val="none"/>
        </w:rPr>
      </w:pPr>
      <w:r>
        <w:rPr>
          <w:rFonts w:hint="eastAsia" w:ascii="宋体" w:hAnsi="宋体"/>
          <w:color w:val="auto"/>
          <w:spacing w:val="20"/>
          <w:sz w:val="24"/>
          <w:highlight w:val="none"/>
        </w:rPr>
        <w:t>2、发挥技术优势，优化管理水平。安排经验丰富的优秀管理人员和高素质的工人参加本项目施工，采用先进的技术设备，优化施工管理，充分发挥施工单位在管理和技术方面的优势。</w:t>
      </w:r>
    </w:p>
    <w:p w14:paraId="08591C2F">
      <w:pPr>
        <w:spacing w:line="360" w:lineRule="auto"/>
        <w:rPr>
          <w:rFonts w:ascii="宋体" w:hAnsi="宋体"/>
          <w:color w:val="auto"/>
          <w:spacing w:val="20"/>
          <w:sz w:val="24"/>
          <w:highlight w:val="none"/>
        </w:rPr>
      </w:pPr>
    </w:p>
    <w:p w14:paraId="19D82F61">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第二节  施工要求</w:t>
      </w:r>
    </w:p>
    <w:p w14:paraId="79A685B3">
      <w:pPr>
        <w:spacing w:line="360" w:lineRule="auto"/>
        <w:rPr>
          <w:rFonts w:ascii="宋体" w:hAnsi="宋体"/>
          <w:color w:val="auto"/>
          <w:spacing w:val="20"/>
          <w:sz w:val="24"/>
          <w:highlight w:val="none"/>
        </w:rPr>
      </w:pPr>
      <w:r>
        <w:rPr>
          <w:rFonts w:hint="eastAsia" w:ascii="宋体" w:hAnsi="宋体"/>
          <w:color w:val="auto"/>
          <w:spacing w:val="20"/>
          <w:sz w:val="24"/>
          <w:highlight w:val="none"/>
        </w:rPr>
        <w:t>一、施工机构及现场管理要求</w:t>
      </w:r>
    </w:p>
    <w:p w14:paraId="12B14F3E">
      <w:pPr>
        <w:spacing w:line="360" w:lineRule="auto"/>
        <w:rPr>
          <w:rFonts w:ascii="宋体" w:hAnsi="宋体"/>
          <w:color w:val="auto"/>
          <w:spacing w:val="20"/>
          <w:sz w:val="24"/>
          <w:highlight w:val="none"/>
        </w:rPr>
      </w:pPr>
      <w:r>
        <w:rPr>
          <w:rFonts w:hint="eastAsia" w:ascii="宋体" w:hAnsi="宋体"/>
          <w:color w:val="auto"/>
          <w:spacing w:val="20"/>
          <w:sz w:val="24"/>
          <w:highlight w:val="none"/>
        </w:rPr>
        <w:t>为把好工程质量、安全、进度关，确保工程质量等级达到合格，要求委派一名项目负责人，一名技术负责人，对工程的质量、安全、进度和成本，实行高效益、有计划的组织、协调和管理。建立健全的施工组织管理机构。</w:t>
      </w:r>
    </w:p>
    <w:p w14:paraId="720EB5E5">
      <w:pPr>
        <w:spacing w:line="360" w:lineRule="auto"/>
        <w:rPr>
          <w:rFonts w:ascii="宋体" w:hAnsi="宋体"/>
          <w:color w:val="auto"/>
          <w:spacing w:val="20"/>
          <w:sz w:val="24"/>
          <w:highlight w:val="none"/>
        </w:rPr>
      </w:pPr>
      <w:r>
        <w:rPr>
          <w:rFonts w:hint="eastAsia" w:ascii="宋体" w:hAnsi="宋体"/>
          <w:color w:val="auto"/>
          <w:spacing w:val="20"/>
          <w:sz w:val="24"/>
          <w:highlight w:val="none"/>
        </w:rPr>
        <w:t>二、施工要求</w:t>
      </w:r>
    </w:p>
    <w:p w14:paraId="09335903">
      <w:pPr>
        <w:widowControl/>
        <w:spacing w:line="360" w:lineRule="auto"/>
        <w:jc w:val="left"/>
        <w:rPr>
          <w:rFonts w:ascii="宋体" w:hAnsi="宋体"/>
          <w:color w:val="auto"/>
          <w:spacing w:val="20"/>
          <w:sz w:val="24"/>
          <w:highlight w:val="none"/>
        </w:rPr>
      </w:pPr>
      <w:r>
        <w:rPr>
          <w:rFonts w:hint="eastAsia" w:ascii="宋体" w:hAnsi="宋体"/>
          <w:color w:val="auto"/>
          <w:spacing w:val="20"/>
          <w:sz w:val="24"/>
          <w:highlight w:val="none"/>
        </w:rPr>
        <w:t>本工程施工要点如下：</w:t>
      </w:r>
    </w:p>
    <w:p w14:paraId="48D7446C">
      <w:pPr>
        <w:spacing w:line="360" w:lineRule="auto"/>
        <w:rPr>
          <w:rFonts w:ascii="宋体" w:hAnsi="宋体"/>
          <w:color w:val="auto"/>
          <w:spacing w:val="20"/>
          <w:sz w:val="24"/>
          <w:highlight w:val="none"/>
        </w:rPr>
      </w:pPr>
      <w:r>
        <w:rPr>
          <w:rFonts w:hint="eastAsia" w:ascii="宋体" w:hAnsi="宋体"/>
          <w:color w:val="auto"/>
          <w:spacing w:val="20"/>
          <w:sz w:val="24"/>
          <w:highlight w:val="none"/>
        </w:rPr>
        <w:t>1、采用先进的施工技术；</w:t>
      </w:r>
    </w:p>
    <w:p w14:paraId="4234CECD">
      <w:pPr>
        <w:spacing w:line="360" w:lineRule="auto"/>
        <w:rPr>
          <w:rFonts w:ascii="宋体" w:hAnsi="宋体"/>
          <w:color w:val="auto"/>
          <w:spacing w:val="20"/>
          <w:sz w:val="24"/>
          <w:highlight w:val="none"/>
        </w:rPr>
      </w:pPr>
      <w:r>
        <w:rPr>
          <w:rFonts w:hint="eastAsia" w:ascii="宋体" w:hAnsi="宋体"/>
          <w:color w:val="auto"/>
          <w:spacing w:val="20"/>
          <w:sz w:val="24"/>
          <w:highlight w:val="none"/>
        </w:rPr>
        <w:t>2、投入现代化的施工机械设备；</w:t>
      </w:r>
    </w:p>
    <w:p w14:paraId="581F354A">
      <w:pPr>
        <w:spacing w:line="360" w:lineRule="auto"/>
        <w:rPr>
          <w:rFonts w:ascii="宋体" w:hAnsi="宋体"/>
          <w:color w:val="auto"/>
          <w:spacing w:val="20"/>
          <w:sz w:val="24"/>
          <w:highlight w:val="none"/>
        </w:rPr>
      </w:pPr>
      <w:r>
        <w:rPr>
          <w:rFonts w:hint="eastAsia" w:ascii="宋体" w:hAnsi="宋体"/>
          <w:color w:val="auto"/>
          <w:spacing w:val="20"/>
          <w:sz w:val="24"/>
          <w:highlight w:val="none"/>
        </w:rPr>
        <w:t>3、合理的施工方案和先进的施工组织。</w:t>
      </w:r>
    </w:p>
    <w:p w14:paraId="6BAC13E9">
      <w:pPr>
        <w:spacing w:line="360" w:lineRule="auto"/>
        <w:rPr>
          <w:rFonts w:ascii="宋体" w:hAnsi="宋体"/>
          <w:color w:val="auto"/>
          <w:spacing w:val="20"/>
          <w:sz w:val="24"/>
          <w:highlight w:val="none"/>
        </w:rPr>
      </w:pPr>
      <w:r>
        <w:rPr>
          <w:rFonts w:hint="eastAsia" w:ascii="宋体" w:hAnsi="宋体"/>
          <w:color w:val="auto"/>
          <w:spacing w:val="20"/>
          <w:sz w:val="24"/>
          <w:highlight w:val="none"/>
        </w:rPr>
        <w:t>4、施工过程要求</w:t>
      </w:r>
    </w:p>
    <w:p w14:paraId="597120EF">
      <w:pPr>
        <w:spacing w:line="360" w:lineRule="auto"/>
        <w:rPr>
          <w:rFonts w:ascii="宋体" w:hAnsi="宋体"/>
          <w:color w:val="auto"/>
          <w:spacing w:val="20"/>
          <w:sz w:val="24"/>
          <w:highlight w:val="none"/>
        </w:rPr>
      </w:pPr>
      <w:r>
        <w:rPr>
          <w:rFonts w:hint="eastAsia" w:ascii="宋体" w:hAnsi="宋体"/>
          <w:color w:val="auto"/>
          <w:spacing w:val="20"/>
          <w:sz w:val="24"/>
          <w:highlight w:val="none"/>
        </w:rPr>
        <w:t>A、严格按照国家、省市、地方施工规范要求进行施工。</w:t>
      </w:r>
    </w:p>
    <w:p w14:paraId="57AF0585">
      <w:pPr>
        <w:spacing w:line="360" w:lineRule="auto"/>
        <w:rPr>
          <w:rFonts w:ascii="宋体" w:hAnsi="宋体"/>
          <w:color w:val="auto"/>
          <w:spacing w:val="20"/>
          <w:sz w:val="24"/>
          <w:highlight w:val="none"/>
        </w:rPr>
      </w:pPr>
      <w:r>
        <w:rPr>
          <w:rFonts w:hint="eastAsia" w:ascii="宋体" w:hAnsi="宋体"/>
          <w:color w:val="auto"/>
          <w:spacing w:val="20"/>
          <w:sz w:val="24"/>
          <w:highlight w:val="none"/>
        </w:rPr>
        <w:t>B、根据工程进度计划，编制材料订购、质量检测、配方测试，确保材料质量和供应的计划。</w:t>
      </w:r>
    </w:p>
    <w:p w14:paraId="46A7BD66">
      <w:pPr>
        <w:spacing w:line="360" w:lineRule="auto"/>
        <w:rPr>
          <w:rFonts w:ascii="宋体" w:hAnsi="宋体"/>
          <w:color w:val="auto"/>
          <w:spacing w:val="20"/>
          <w:sz w:val="24"/>
          <w:highlight w:val="none"/>
        </w:rPr>
      </w:pPr>
      <w:r>
        <w:rPr>
          <w:rFonts w:hint="eastAsia" w:ascii="宋体" w:hAnsi="宋体"/>
          <w:color w:val="auto"/>
          <w:spacing w:val="20"/>
          <w:sz w:val="24"/>
          <w:highlight w:val="none"/>
        </w:rPr>
        <w:t>三、项目施工目标</w:t>
      </w:r>
    </w:p>
    <w:p w14:paraId="43586BCB">
      <w:pPr>
        <w:spacing w:line="360" w:lineRule="auto"/>
        <w:rPr>
          <w:rFonts w:ascii="宋体" w:hAnsi="宋体"/>
          <w:color w:val="auto"/>
          <w:spacing w:val="20"/>
          <w:sz w:val="24"/>
          <w:highlight w:val="none"/>
        </w:rPr>
      </w:pPr>
      <w:r>
        <w:rPr>
          <w:rFonts w:hint="eastAsia" w:ascii="宋体" w:hAnsi="宋体"/>
          <w:color w:val="auto"/>
          <w:spacing w:val="20"/>
          <w:sz w:val="24"/>
          <w:highlight w:val="none"/>
        </w:rPr>
        <w:t>1、质量目标</w:t>
      </w:r>
      <w:r>
        <w:rPr>
          <w:rFonts w:hint="eastAsia" w:ascii="宋体" w:hAnsi="宋体"/>
          <w:color w:val="auto"/>
          <w:spacing w:val="20"/>
          <w:sz w:val="24"/>
          <w:highlight w:val="none"/>
          <w:lang w:eastAsia="zh-CN"/>
        </w:rPr>
        <w:t>：</w:t>
      </w:r>
      <w:r>
        <w:rPr>
          <w:rFonts w:hint="eastAsia" w:ascii="宋体" w:hAnsi="宋体"/>
          <w:color w:val="auto"/>
          <w:spacing w:val="20"/>
          <w:sz w:val="24"/>
          <w:highlight w:val="none"/>
        </w:rPr>
        <w:t>确保工程质量一次验收合格。</w:t>
      </w:r>
    </w:p>
    <w:p w14:paraId="5DE65369">
      <w:pPr>
        <w:spacing w:line="360" w:lineRule="auto"/>
        <w:rPr>
          <w:rFonts w:ascii="宋体" w:hAnsi="宋体"/>
          <w:color w:val="auto"/>
          <w:spacing w:val="20"/>
          <w:sz w:val="24"/>
          <w:highlight w:val="none"/>
        </w:rPr>
      </w:pPr>
      <w:r>
        <w:rPr>
          <w:rFonts w:hint="eastAsia" w:ascii="宋体" w:hAnsi="宋体"/>
          <w:color w:val="auto"/>
          <w:spacing w:val="20"/>
          <w:sz w:val="24"/>
          <w:highlight w:val="none"/>
        </w:rPr>
        <w:t>2、</w:t>
      </w:r>
      <w:r>
        <w:rPr>
          <w:rFonts w:hint="eastAsia" w:ascii="宋体" w:hAnsi="宋体"/>
          <w:color w:val="auto"/>
          <w:spacing w:val="20"/>
          <w:sz w:val="24"/>
          <w:highlight w:val="none"/>
          <w:lang w:val="en-US" w:eastAsia="zh-CN"/>
        </w:rPr>
        <w:t>安全文明施工目标</w:t>
      </w:r>
      <w:r>
        <w:rPr>
          <w:rFonts w:hint="eastAsia" w:ascii="宋体" w:hAnsi="宋体"/>
          <w:color w:val="auto"/>
          <w:spacing w:val="20"/>
          <w:sz w:val="24"/>
          <w:highlight w:val="none"/>
          <w:lang w:eastAsia="zh-CN"/>
        </w:rPr>
        <w:t>：</w:t>
      </w:r>
      <w:r>
        <w:rPr>
          <w:rFonts w:hint="eastAsia" w:ascii="宋体" w:hAnsi="宋体"/>
          <w:color w:val="auto"/>
          <w:spacing w:val="20"/>
          <w:sz w:val="24"/>
          <w:highlight w:val="none"/>
        </w:rPr>
        <w:t>杜绝重大安全事故的发生，控制工伤、轻伤事故在千分之一内。</w:t>
      </w:r>
    </w:p>
    <w:p w14:paraId="13020F70">
      <w:pPr>
        <w:spacing w:line="360" w:lineRule="auto"/>
        <w:rPr>
          <w:rFonts w:ascii="宋体" w:hAnsi="宋体"/>
          <w:color w:val="auto"/>
          <w:spacing w:val="20"/>
          <w:sz w:val="24"/>
          <w:highlight w:val="none"/>
        </w:rPr>
      </w:pPr>
      <w:r>
        <w:rPr>
          <w:rFonts w:hint="eastAsia" w:ascii="宋体" w:hAnsi="宋体"/>
          <w:color w:val="auto"/>
          <w:spacing w:val="20"/>
          <w:sz w:val="24"/>
          <w:highlight w:val="none"/>
        </w:rPr>
        <w:t>3、工期目标</w:t>
      </w:r>
      <w:r>
        <w:rPr>
          <w:rFonts w:hint="eastAsia" w:ascii="宋体" w:hAnsi="宋体"/>
          <w:color w:val="auto"/>
          <w:spacing w:val="20"/>
          <w:sz w:val="24"/>
          <w:highlight w:val="none"/>
          <w:lang w:eastAsia="zh-CN"/>
        </w:rPr>
        <w:t>：</w:t>
      </w:r>
      <w:r>
        <w:rPr>
          <w:rFonts w:hint="eastAsia" w:ascii="宋体" w:hAnsi="宋体"/>
          <w:color w:val="auto"/>
          <w:spacing w:val="20"/>
          <w:sz w:val="24"/>
          <w:szCs w:val="24"/>
          <w:highlight w:val="none"/>
        </w:rPr>
        <w:t xml:space="preserve">按招标文件目标工期，包括项目实体及相关资料，并经发包方验收合格。 </w:t>
      </w:r>
    </w:p>
    <w:p w14:paraId="67408AFE">
      <w:pPr>
        <w:spacing w:line="360" w:lineRule="auto"/>
        <w:rPr>
          <w:rFonts w:ascii="宋体" w:hAnsi="宋体"/>
          <w:color w:val="auto"/>
          <w:spacing w:val="20"/>
          <w:sz w:val="24"/>
          <w:highlight w:val="none"/>
        </w:rPr>
      </w:pPr>
    </w:p>
    <w:p w14:paraId="6C7BD9D4">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第三节  主要施工方案与施工方法的要求</w:t>
      </w:r>
    </w:p>
    <w:p w14:paraId="3FFC583F">
      <w:pPr>
        <w:spacing w:line="360" w:lineRule="auto"/>
        <w:rPr>
          <w:rFonts w:ascii="宋体" w:hAnsi="宋体"/>
          <w:color w:val="auto"/>
          <w:spacing w:val="20"/>
          <w:sz w:val="24"/>
          <w:highlight w:val="none"/>
        </w:rPr>
      </w:pPr>
      <w:r>
        <w:rPr>
          <w:rFonts w:hint="eastAsia" w:ascii="宋体" w:hAnsi="宋体"/>
          <w:color w:val="auto"/>
          <w:spacing w:val="20"/>
          <w:sz w:val="24"/>
          <w:highlight w:val="none"/>
        </w:rPr>
        <w:t>一、结构施工要求</w:t>
      </w:r>
    </w:p>
    <w:p w14:paraId="1E9472E2">
      <w:pPr>
        <w:spacing w:line="360" w:lineRule="auto"/>
        <w:rPr>
          <w:rFonts w:ascii="宋体" w:hAnsi="宋体"/>
          <w:color w:val="auto"/>
          <w:spacing w:val="20"/>
          <w:sz w:val="24"/>
          <w:highlight w:val="none"/>
        </w:rPr>
      </w:pPr>
      <w:r>
        <w:rPr>
          <w:rFonts w:hint="eastAsia" w:ascii="宋体" w:hAnsi="宋体"/>
          <w:color w:val="auto"/>
          <w:spacing w:val="20"/>
          <w:sz w:val="24"/>
          <w:highlight w:val="none"/>
        </w:rPr>
        <w:t>1、工程施工要求</w:t>
      </w:r>
    </w:p>
    <w:p w14:paraId="42598940">
      <w:pPr>
        <w:spacing w:line="360" w:lineRule="auto"/>
        <w:rPr>
          <w:rFonts w:ascii="宋体" w:hAnsi="宋体"/>
          <w:color w:val="auto"/>
          <w:spacing w:val="20"/>
          <w:sz w:val="24"/>
          <w:highlight w:val="none"/>
        </w:rPr>
      </w:pPr>
      <w:r>
        <w:rPr>
          <w:rFonts w:hint="eastAsia" w:ascii="宋体" w:hAnsi="宋体"/>
          <w:color w:val="auto"/>
          <w:spacing w:val="20"/>
          <w:sz w:val="24"/>
          <w:highlight w:val="none"/>
        </w:rPr>
        <w:t>各分项工程在施工前，均应编制相应的施工技术措施，内容包括施工准备、操作工艺、质量标准、成品保护等。</w:t>
      </w:r>
    </w:p>
    <w:p w14:paraId="41C2B40D">
      <w:pPr>
        <w:spacing w:line="360" w:lineRule="auto"/>
        <w:rPr>
          <w:rFonts w:ascii="宋体" w:hAnsi="宋体"/>
          <w:color w:val="auto"/>
          <w:spacing w:val="20"/>
          <w:sz w:val="24"/>
          <w:highlight w:val="none"/>
        </w:rPr>
      </w:pPr>
      <w:r>
        <w:rPr>
          <w:rFonts w:hint="eastAsia" w:ascii="宋体" w:hAnsi="宋体"/>
          <w:color w:val="auto"/>
          <w:spacing w:val="20"/>
          <w:sz w:val="24"/>
          <w:highlight w:val="none"/>
        </w:rPr>
        <w:t>2、所有施工项目均应按照国家、省市、地方有关法律法规及规范要求制定施工技术方案后方可施工。</w:t>
      </w:r>
    </w:p>
    <w:p w14:paraId="6F4CE932">
      <w:pPr>
        <w:spacing w:line="360" w:lineRule="auto"/>
        <w:rPr>
          <w:rFonts w:ascii="宋体" w:hAnsi="宋体"/>
          <w:color w:val="auto"/>
          <w:spacing w:val="20"/>
          <w:sz w:val="24"/>
          <w:highlight w:val="none"/>
        </w:rPr>
      </w:pPr>
    </w:p>
    <w:p w14:paraId="48E92E61">
      <w:pPr>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第四节  主要技术组织要求</w:t>
      </w:r>
    </w:p>
    <w:p w14:paraId="60770D42">
      <w:pPr>
        <w:spacing w:line="360" w:lineRule="auto"/>
        <w:rPr>
          <w:rFonts w:ascii="宋体" w:hAnsi="宋体"/>
          <w:color w:val="auto"/>
          <w:spacing w:val="20"/>
          <w:sz w:val="24"/>
          <w:highlight w:val="none"/>
        </w:rPr>
      </w:pPr>
      <w:r>
        <w:rPr>
          <w:rFonts w:hint="eastAsia" w:ascii="宋体" w:hAnsi="宋体"/>
          <w:color w:val="auto"/>
          <w:spacing w:val="20"/>
          <w:sz w:val="24"/>
          <w:highlight w:val="none"/>
        </w:rPr>
        <w:t>一、工程施工中，要严格执行有关技术操作的各项规程，要注意落实下列各点中的技术措施。实行目标管理，明确总目标为合格。</w:t>
      </w:r>
    </w:p>
    <w:p w14:paraId="14BC1788">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1、成立以总工程师为首的全面质量和管理小组。</w:t>
      </w:r>
    </w:p>
    <w:p w14:paraId="503CB44C">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2、明确并认真落实技术岗位责任制和技术交底制度。</w:t>
      </w:r>
    </w:p>
    <w:p w14:paraId="20626E5F">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3、落实图纸会审、定位放线、预检复核、材质验收、成品保护等有关规定。</w:t>
      </w:r>
    </w:p>
    <w:p w14:paraId="14E09103">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4、制定自检，互检（交接检）末检制度。</w:t>
      </w:r>
    </w:p>
    <w:p w14:paraId="3935785C">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5、对工程实行质量预控，施工程序及工艺标准施工。</w:t>
      </w:r>
    </w:p>
    <w:p w14:paraId="562327FD">
      <w:pPr>
        <w:tabs>
          <w:tab w:val="left" w:pos="540"/>
        </w:tabs>
        <w:spacing w:line="360" w:lineRule="auto"/>
        <w:rPr>
          <w:rFonts w:ascii="宋体" w:hAnsi="宋体"/>
          <w:color w:val="auto"/>
          <w:spacing w:val="20"/>
          <w:sz w:val="24"/>
          <w:highlight w:val="none"/>
        </w:rPr>
      </w:pPr>
      <w:r>
        <w:rPr>
          <w:rFonts w:hint="eastAsia" w:ascii="宋体" w:hAnsi="宋体"/>
          <w:color w:val="auto"/>
          <w:spacing w:val="20"/>
          <w:sz w:val="24"/>
          <w:highlight w:val="none"/>
        </w:rPr>
        <w:t>6、特殊工种必须持证上岗。</w:t>
      </w:r>
    </w:p>
    <w:p w14:paraId="7FB2AA57">
      <w:pPr>
        <w:pStyle w:val="89"/>
        <w:jc w:val="left"/>
        <w:rPr>
          <w:rFonts w:ascii="宋体" w:hAnsi="宋体" w:eastAsia="宋体"/>
          <w:color w:val="auto"/>
          <w:spacing w:val="20"/>
          <w:kern w:val="2"/>
          <w:highlight w:val="none"/>
        </w:rPr>
      </w:pPr>
    </w:p>
    <w:p w14:paraId="6E01617D">
      <w:pPr>
        <w:spacing w:line="360" w:lineRule="auto"/>
        <w:jc w:val="center"/>
        <w:rPr>
          <w:rFonts w:ascii="宋体" w:hAnsi="宋体"/>
          <w:b/>
          <w:bCs/>
          <w:color w:val="auto"/>
          <w:spacing w:val="20"/>
          <w:sz w:val="30"/>
          <w:szCs w:val="30"/>
          <w:highlight w:val="none"/>
        </w:rPr>
      </w:pPr>
    </w:p>
    <w:p w14:paraId="1F149D8D">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第五节  质量、工期保证措施</w:t>
      </w:r>
    </w:p>
    <w:p w14:paraId="473F9078">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一、质量保证措施</w:t>
      </w:r>
    </w:p>
    <w:p w14:paraId="3A15A246">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1、建立健全结构，施工从设备、材料、半成品、成品进场，施工安装直至交付验收的质量保证体系，并落实到人。</w:t>
      </w:r>
    </w:p>
    <w:p w14:paraId="68335CD6">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2、严格贯彻“把关”和“积极预防”相结合的质量管理方法。</w:t>
      </w:r>
    </w:p>
    <w:p w14:paraId="0EFD31D1">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3、本工程实行全面质量管理、文明施工，整个工程实行专业性管理，提前组织培训，统一思想，熟悉操作。</w:t>
      </w:r>
    </w:p>
    <w:p w14:paraId="5BD0FC2A">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4、按进度计划施工，严格技术管理，当进度与质量发生矛盾时，要服从质量，承包任务者首先要承包质量。</w:t>
      </w:r>
    </w:p>
    <w:p w14:paraId="7AAB40D1">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5、加强质量监督检查，采取专业检查与自检相结合的检查方法，并以自检为主，坚持贯彻执行自检、互检、交接检的三检制度与挂牌制度，对工程质量要求一丝不苟。</w:t>
      </w:r>
    </w:p>
    <w:p w14:paraId="299D2F33">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二、工期保证措施</w:t>
      </w:r>
    </w:p>
    <w:p w14:paraId="63FE2011">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1、运用现代化管理方法指导生产、加强动态管理。充分利用已有资源组织材料、人力资源的合理配置。保障各阶段施工的连续性，消除窝工、停工现象。</w:t>
      </w:r>
    </w:p>
    <w:p w14:paraId="4E588577">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2、各工序严格按进度计划施工，项目经理有效协调人力资源，确保施工顺利；</w:t>
      </w:r>
    </w:p>
    <w:p w14:paraId="5823F324">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3、保证倒排工期，充分做好施工前的准备工作；</w:t>
      </w:r>
    </w:p>
    <w:p w14:paraId="29C4AADD">
      <w:pPr>
        <w:pStyle w:val="5"/>
        <w:spacing w:after="0"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4、优化网络计划管理，综合考虑机械、设备、材料的相应关系，使各工种、各工序实施紧密的交叉搭接，对每道工序制定相应的调整措施。</w:t>
      </w:r>
    </w:p>
    <w:p w14:paraId="46C9F954">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5、合理配置施工机械设施，提高使用效率，保证各项作业、各工种之间的高度协调，发挥最大的生产潜力，实现工期目标值。</w:t>
      </w:r>
    </w:p>
    <w:p w14:paraId="56670EC8">
      <w:pPr>
        <w:spacing w:line="360" w:lineRule="auto"/>
        <w:rPr>
          <w:rFonts w:ascii="宋体" w:hAnsi="宋体"/>
          <w:b/>
          <w:bCs/>
          <w:color w:val="auto"/>
          <w:spacing w:val="20"/>
          <w:sz w:val="30"/>
          <w:szCs w:val="30"/>
          <w:highlight w:val="none"/>
        </w:rPr>
      </w:pPr>
    </w:p>
    <w:p w14:paraId="1FF3AF15">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第六节  投入的主要机械设备及劳动力计划</w:t>
      </w:r>
    </w:p>
    <w:p w14:paraId="49582381">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根据经建设单位及监理批准的施工进度计划及现场施工情况，投入相应数量的机械设备及劳动力，满足工程进度要求，确保按期完工。</w:t>
      </w:r>
    </w:p>
    <w:p w14:paraId="1EDF323C">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1、在确保工程质量、安全生产的前提下，优化施工进度计划，动态管理，合理组织，严格控制关键线路节点，确保工期目标。</w:t>
      </w:r>
    </w:p>
    <w:p w14:paraId="0D9553C0">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2、采用性能完好的机械设备并配齐数量，设现场专业机修班组，定期检查、调试。</w:t>
      </w:r>
    </w:p>
    <w:p w14:paraId="141A0F25">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3、现场职工及劳务认真挑选，竞争上岗，确保现场施工人员的岗位技能水平及劳动数量满足工期要求。</w:t>
      </w:r>
    </w:p>
    <w:p w14:paraId="7C25303E">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4、根据施工进度控制统筹计划及时合理编制工程施工进度每周计划，直至落实到小时工作安排。</w:t>
      </w:r>
    </w:p>
    <w:p w14:paraId="71842B01">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5、平面按划定的施工区段组织流水施工，将分为多个工作班组，分段流水协调施工。</w:t>
      </w:r>
    </w:p>
    <w:p w14:paraId="475BA304">
      <w:pPr>
        <w:spacing w:line="360" w:lineRule="auto"/>
        <w:rPr>
          <w:rFonts w:ascii="宋体" w:hAnsi="宋体" w:cs="宋体"/>
          <w:color w:val="auto"/>
          <w:spacing w:val="20"/>
          <w:kern w:val="0"/>
          <w:sz w:val="24"/>
          <w:szCs w:val="24"/>
          <w:highlight w:val="none"/>
        </w:rPr>
      </w:pPr>
    </w:p>
    <w:p w14:paraId="6FF6C8F7">
      <w:pPr>
        <w:spacing w:line="360" w:lineRule="auto"/>
        <w:jc w:val="center"/>
        <w:rPr>
          <w:rFonts w:ascii="宋体" w:hAnsi="宋体"/>
          <w:b/>
          <w:bCs/>
          <w:color w:val="auto"/>
          <w:spacing w:val="20"/>
          <w:sz w:val="30"/>
          <w:szCs w:val="30"/>
          <w:highlight w:val="none"/>
        </w:rPr>
      </w:pPr>
      <w:r>
        <w:rPr>
          <w:rFonts w:hint="eastAsia" w:ascii="宋体" w:hAnsi="宋体"/>
          <w:b/>
          <w:bCs/>
          <w:color w:val="auto"/>
          <w:spacing w:val="20"/>
          <w:sz w:val="30"/>
          <w:szCs w:val="30"/>
          <w:highlight w:val="none"/>
        </w:rPr>
        <w:t>第七节  安全文明施工措施</w:t>
      </w:r>
    </w:p>
    <w:p w14:paraId="3AA798DB">
      <w:pPr>
        <w:spacing w:line="360" w:lineRule="auto"/>
        <w:rPr>
          <w:rFonts w:ascii="宋体" w:hAnsi="宋体"/>
          <w:color w:val="auto"/>
          <w:spacing w:val="20"/>
          <w:sz w:val="24"/>
          <w:szCs w:val="24"/>
          <w:highlight w:val="none"/>
        </w:rPr>
      </w:pPr>
      <w:r>
        <w:rPr>
          <w:rFonts w:hint="eastAsia" w:ascii="宋体" w:hAnsi="宋体"/>
          <w:color w:val="auto"/>
          <w:spacing w:val="20"/>
          <w:sz w:val="24"/>
          <w:szCs w:val="24"/>
          <w:highlight w:val="none"/>
        </w:rPr>
        <w:t>采取严格的施工管理措施，严格按照《广州市安全文明施工管理标准》、《建筑施工安全检查标准》等管理规定的要求，做好本工程安全文明施工工作。</w:t>
      </w:r>
    </w:p>
    <w:p w14:paraId="7B6B36D6">
      <w:pPr>
        <w:numPr>
          <w:ilvl w:val="0"/>
          <w:numId w:val="6"/>
        </w:numPr>
        <w:tabs>
          <w:tab w:val="left" w:pos="640"/>
          <w:tab w:val="clear" w:pos="1260"/>
        </w:tabs>
        <w:spacing w:line="360" w:lineRule="auto"/>
        <w:ind w:left="0" w:firstLine="0"/>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安全生产管理</w:t>
      </w:r>
    </w:p>
    <w:p w14:paraId="20BFD43D">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安全生产目标：达到五无目标，即“无死亡事故，无重大伤人事故，无重大机械事故，无火灾，无中毒事故”。并将一般减微事故发生频率控制在3‰以下。</w:t>
      </w:r>
    </w:p>
    <w:p w14:paraId="231D1E28">
      <w:pPr>
        <w:spacing w:line="360" w:lineRule="auto"/>
        <w:rPr>
          <w:rFonts w:ascii="宋体" w:hAnsi="宋体"/>
          <w:color w:val="auto"/>
          <w:spacing w:val="20"/>
          <w:sz w:val="24"/>
          <w:szCs w:val="24"/>
          <w:highlight w:val="none"/>
        </w:rPr>
      </w:pPr>
      <w:r>
        <w:rPr>
          <w:rFonts w:hint="eastAsia" w:ascii="宋体" w:hAnsi="宋体" w:cs="宋体"/>
          <w:color w:val="auto"/>
          <w:spacing w:val="20"/>
          <w:kern w:val="0"/>
          <w:sz w:val="24"/>
          <w:szCs w:val="24"/>
          <w:highlight w:val="none"/>
        </w:rPr>
        <w:t>安全方针：安全第一，预防为主</w:t>
      </w:r>
    </w:p>
    <w:p w14:paraId="0EC4C850">
      <w:pPr>
        <w:spacing w:line="360" w:lineRule="auto"/>
        <w:rPr>
          <w:rFonts w:ascii="宋体" w:hAnsi="宋体"/>
          <w:color w:val="auto"/>
          <w:spacing w:val="20"/>
          <w:sz w:val="24"/>
          <w:szCs w:val="24"/>
          <w:highlight w:val="none"/>
        </w:rPr>
      </w:pPr>
      <w:r>
        <w:rPr>
          <w:rFonts w:hint="eastAsia" w:ascii="宋体" w:hAnsi="宋体" w:cs="宋体"/>
          <w:color w:val="auto"/>
          <w:spacing w:val="20"/>
          <w:kern w:val="0"/>
          <w:sz w:val="24"/>
          <w:szCs w:val="24"/>
          <w:highlight w:val="none"/>
        </w:rPr>
        <w:t>安全和文明施工目标：力争达到安全生产，文明施工优良工地。</w:t>
      </w:r>
    </w:p>
    <w:p w14:paraId="6EFB8EC0">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14:paraId="732CC571">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14:paraId="64054486">
      <w:pPr>
        <w:spacing w:line="360" w:lineRule="auto"/>
        <w:rPr>
          <w:rFonts w:ascii="宋体" w:hAnsi="宋体" w:cs="宋体"/>
          <w:b/>
          <w:color w:val="auto"/>
          <w:spacing w:val="20"/>
          <w:kern w:val="0"/>
          <w:sz w:val="24"/>
          <w:szCs w:val="24"/>
          <w:highlight w:val="none"/>
        </w:rPr>
      </w:pPr>
      <w:r>
        <w:rPr>
          <w:rFonts w:hint="eastAsia" w:ascii="宋体" w:hAnsi="宋体" w:cs="宋体"/>
          <w:color w:val="auto"/>
          <w:spacing w:val="20"/>
          <w:kern w:val="0"/>
          <w:sz w:val="24"/>
          <w:szCs w:val="24"/>
          <w:highlight w:val="none"/>
        </w:rPr>
        <w:t>二、文明施工管理</w:t>
      </w:r>
    </w:p>
    <w:p w14:paraId="451B3094">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w:t>
      </w:r>
    </w:p>
    <w:p w14:paraId="1AE45852">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文明施工注意事项：</w:t>
      </w:r>
    </w:p>
    <w:p w14:paraId="4C0259F2">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1、清运渣土的车辆应在在施工封闭范围内停放；清运渣土的车辆应封闭或采用苫布覆盖，出入现场时应有专人指挥。清运渣土的作业时间应遵守有关规定，做到夜间不施工，减少对周围环境的噪音影响。</w:t>
      </w:r>
    </w:p>
    <w:p w14:paraId="75FF6338">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2、对地下的各类管线，施工前在地面上设置明显标志，并标明管线用途，行进方向。对检查井、污水井也采取相应的保护措施。</w:t>
      </w:r>
    </w:p>
    <w:p w14:paraId="7A7DF066">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3、工程完工后，我方将及时将施工渣土清运出场，做到不积压。</w:t>
      </w:r>
    </w:p>
    <w:p w14:paraId="63554524">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4、执行广东省、广州市有关加强施工现场文明施工管理的规定。</w:t>
      </w:r>
    </w:p>
    <w:p w14:paraId="65A8629B">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14:paraId="1013A771">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14:paraId="24718B1D">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7、施工现场设置消防车道，并应保持畅通。施工现场道路保持两方向畅通，保证消防车辆能够及时进入事发现场进行救援工作。</w:t>
      </w:r>
    </w:p>
    <w:p w14:paraId="26936DA6">
      <w:pPr>
        <w:spacing w:line="360" w:lineRule="auto"/>
        <w:rPr>
          <w:rFonts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8、对工人进行岗前教育，施工作业应当在批准的施工场地内进行，不得在施工场地范围外堆放物料、机具等。</w:t>
      </w:r>
    </w:p>
    <w:p w14:paraId="61BB4F35">
      <w:pPr>
        <w:pStyle w:val="89"/>
        <w:jc w:val="left"/>
        <w:rPr>
          <w:rFonts w:ascii="宋体" w:hAnsi="宋体" w:eastAsia="宋体" w:cs="宋体"/>
          <w:color w:val="auto"/>
          <w:spacing w:val="20"/>
          <w:szCs w:val="24"/>
          <w:highlight w:val="none"/>
        </w:rPr>
      </w:pPr>
      <w:r>
        <w:rPr>
          <w:rFonts w:hint="eastAsia" w:ascii="宋体" w:hAnsi="宋体" w:eastAsia="宋体" w:cs="宋体"/>
          <w:color w:val="auto"/>
          <w:spacing w:val="20"/>
          <w:szCs w:val="24"/>
          <w:highlight w:val="none"/>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r>
        <w:rPr>
          <w:rFonts w:hint="eastAsia" w:ascii="宋体" w:hAnsi="宋体" w:eastAsia="宋体" w:cs="宋体"/>
          <w:color w:val="auto"/>
          <w:spacing w:val="20"/>
          <w:szCs w:val="24"/>
          <w:highlight w:val="none"/>
        </w:rPr>
        <w:br w:type="textWrapping"/>
      </w:r>
      <w:r>
        <w:rPr>
          <w:rFonts w:hint="eastAsia" w:ascii="宋体" w:hAnsi="宋体" w:eastAsia="宋体" w:cs="宋体"/>
          <w:color w:val="auto"/>
          <w:spacing w:val="20"/>
          <w:szCs w:val="24"/>
          <w:highlight w:val="none"/>
        </w:rPr>
        <w:t>10、不得在施工现场焚烧油毡、橡胶、油漆、垃圾以及其他产生有毒、有害烟尘和恶臭气体的物质。</w:t>
      </w:r>
    </w:p>
    <w:p w14:paraId="5AD8D886">
      <w:pPr>
        <w:pStyle w:val="89"/>
        <w:jc w:val="left"/>
        <w:rPr>
          <w:rFonts w:hint="eastAsia" w:ascii="宋体" w:hAnsi="宋体" w:eastAsia="宋体" w:cs="宋体"/>
          <w:color w:val="auto"/>
          <w:spacing w:val="20"/>
          <w:szCs w:val="24"/>
          <w:highlight w:val="none"/>
          <w:u w:val="single"/>
        </w:rPr>
      </w:pPr>
      <w:r>
        <w:rPr>
          <w:rFonts w:hint="eastAsia" w:ascii="宋体" w:hAnsi="宋体" w:eastAsia="宋体" w:cs="宋体"/>
          <w:color w:val="auto"/>
          <w:spacing w:val="20"/>
          <w:szCs w:val="24"/>
          <w:highlight w:val="none"/>
          <w:u w:val="single"/>
        </w:rPr>
        <w:t>11、施工现场建筑垃圾源头处理方案，须满足国家、省、市相关规定。</w:t>
      </w:r>
    </w:p>
    <w:p w14:paraId="03C04262">
      <w:pPr>
        <w:pStyle w:val="89"/>
        <w:jc w:val="left"/>
        <w:rPr>
          <w:rFonts w:hint="eastAsia" w:ascii="宋体" w:hAnsi="宋体" w:eastAsia="宋体" w:cs="宋体"/>
          <w:color w:val="auto"/>
          <w:spacing w:val="20"/>
          <w:szCs w:val="24"/>
          <w:highlight w:val="none"/>
          <w:u w:val="single"/>
        </w:rPr>
      </w:pPr>
      <w:r>
        <w:rPr>
          <w:rFonts w:hint="eastAsia" w:ascii="宋体" w:hAnsi="宋体" w:eastAsia="宋体" w:cs="宋体"/>
          <w:color w:val="auto"/>
          <w:spacing w:val="20"/>
          <w:szCs w:val="24"/>
          <w:highlight w:val="none"/>
          <w:u w:val="single"/>
        </w:rPr>
        <w:t>12、建筑垃圾进行综合利用方案，须满足国家、省、市相关规定。</w:t>
      </w:r>
    </w:p>
    <w:p w14:paraId="6AA90A7A">
      <w:pPr>
        <w:pStyle w:val="89"/>
        <w:jc w:val="left"/>
        <w:rPr>
          <w:rFonts w:hint="eastAsia" w:ascii="宋体" w:hAnsi="宋体" w:eastAsia="宋体"/>
          <w:color w:val="auto"/>
          <w:spacing w:val="20"/>
          <w:kern w:val="2"/>
          <w:highlight w:val="none"/>
          <w:lang w:val="en-US" w:eastAsia="zh-CN"/>
        </w:rPr>
      </w:pPr>
      <w:r>
        <w:rPr>
          <w:rFonts w:hint="eastAsia" w:ascii="宋体" w:hAnsi="宋体" w:eastAsia="宋体"/>
          <w:color w:val="auto"/>
          <w:spacing w:val="20"/>
          <w:kern w:val="2"/>
          <w:highlight w:val="none"/>
          <w:lang w:val="en-US" w:eastAsia="zh-CN"/>
        </w:rPr>
        <w:t>13、</w:t>
      </w:r>
      <w:r>
        <w:rPr>
          <w:rFonts w:ascii="宋体" w:hAnsi="宋体" w:eastAsia="宋体"/>
          <w:color w:val="auto"/>
          <w:spacing w:val="20"/>
          <w:kern w:val="2"/>
          <w:highlight w:val="none"/>
        </w:rPr>
        <w:t>本项目对</w:t>
      </w:r>
      <w:r>
        <w:rPr>
          <w:rFonts w:hint="eastAsia" w:ascii="宋体" w:hAnsi="宋体" w:eastAsia="宋体"/>
          <w:color w:val="auto"/>
          <w:spacing w:val="20"/>
          <w:kern w:val="2"/>
          <w:highlight w:val="none"/>
        </w:rPr>
        <w:t>关键技术、工艺、重点、难点，以及拟在本项目采用的智能建造和新型建筑工业化相关技术</w:t>
      </w:r>
      <w:r>
        <w:rPr>
          <w:rFonts w:hint="eastAsia" w:ascii="宋体" w:hAnsi="宋体" w:eastAsia="宋体" w:cs="宋体"/>
          <w:color w:val="auto"/>
          <w:spacing w:val="20"/>
          <w:szCs w:val="24"/>
          <w:highlight w:val="none"/>
          <w:u w:val="single"/>
        </w:rPr>
        <w:t>须满足国家、省、市相关规定</w:t>
      </w:r>
      <w:r>
        <w:rPr>
          <w:rFonts w:hint="eastAsia" w:ascii="宋体" w:hAnsi="宋体" w:eastAsia="宋体"/>
          <w:color w:val="auto"/>
          <w:spacing w:val="20"/>
          <w:kern w:val="2"/>
          <w:highlight w:val="none"/>
        </w:rPr>
        <w:t>，</w:t>
      </w:r>
      <w:r>
        <w:rPr>
          <w:rFonts w:hint="eastAsia" w:ascii="宋体" w:hAnsi="宋体" w:eastAsia="宋体"/>
          <w:color w:val="auto"/>
          <w:spacing w:val="20"/>
          <w:kern w:val="2"/>
          <w:highlight w:val="none"/>
          <w:lang w:val="en-US" w:eastAsia="zh-CN"/>
        </w:rPr>
        <w:t>13、</w:t>
      </w:r>
      <w:r>
        <w:rPr>
          <w:rFonts w:hint="eastAsia" w:ascii="宋体" w:hAnsi="宋体" w:eastAsia="宋体"/>
          <w:color w:val="auto"/>
          <w:spacing w:val="20"/>
          <w:kern w:val="2"/>
          <w:highlight w:val="none"/>
        </w:rPr>
        <w:t>本项目采购绿色建材和对原材料、生产制造工艺的环保、节能、低碳的要求</w:t>
      </w:r>
      <w:r>
        <w:rPr>
          <w:rFonts w:hint="eastAsia" w:ascii="宋体" w:hAnsi="宋体" w:eastAsia="宋体" w:cs="宋体"/>
          <w:color w:val="auto"/>
          <w:spacing w:val="20"/>
          <w:szCs w:val="24"/>
          <w:highlight w:val="none"/>
          <w:u w:val="single"/>
        </w:rPr>
        <w:t>须满足国家、省、市相关规定</w:t>
      </w:r>
      <w:r>
        <w:rPr>
          <w:rFonts w:hint="eastAsia" w:ascii="宋体" w:hAnsi="宋体" w:eastAsia="宋体" w:cs="宋体"/>
          <w:color w:val="auto"/>
          <w:spacing w:val="20"/>
          <w:szCs w:val="24"/>
          <w:highlight w:val="none"/>
          <w:u w:val="single"/>
          <w:lang w:eastAsia="zh-CN"/>
        </w:rPr>
        <w:t>。</w:t>
      </w:r>
    </w:p>
    <w:p w14:paraId="133D42C3">
      <w:pPr>
        <w:rPr>
          <w:rFonts w:ascii="宋体"/>
          <w:b/>
          <w:color w:val="auto"/>
          <w:sz w:val="24"/>
          <w:szCs w:val="24"/>
          <w:highlight w:val="none"/>
        </w:rPr>
      </w:pPr>
      <w:r>
        <w:rPr>
          <w:rFonts w:hint="eastAsia" w:ascii="宋体" w:hAnsi="宋体" w:cs="宋体"/>
          <w:color w:val="auto"/>
          <w:spacing w:val="20"/>
          <w:szCs w:val="24"/>
          <w:highlight w:val="none"/>
        </w:rPr>
        <w:t>注 : 除应执行本施工组织设计要点外,应参照国家等现行有关规定及工程建设标准作进一步完善。</w:t>
      </w:r>
    </w:p>
    <w:p w14:paraId="20706930">
      <w:pPr>
        <w:pStyle w:val="2"/>
        <w:rPr>
          <w:color w:val="auto"/>
          <w:highlight w:val="none"/>
        </w:rPr>
      </w:pPr>
      <w:r>
        <w:rPr>
          <w:color w:val="auto"/>
          <w:sz w:val="24"/>
          <w:szCs w:val="24"/>
          <w:highlight w:val="none"/>
        </w:rPr>
        <w:br w:type="page"/>
      </w:r>
      <w:bookmarkStart w:id="36" w:name="_Toc21525514"/>
      <w:bookmarkStart w:id="37" w:name="_Toc2272569"/>
      <w:r>
        <w:rPr>
          <w:rFonts w:hint="eastAsia"/>
          <w:color w:val="auto"/>
          <w:highlight w:val="none"/>
        </w:rPr>
        <w:t>第六章图纸及勘察资料</w:t>
      </w:r>
      <w:bookmarkEnd w:id="36"/>
      <w:bookmarkEnd w:id="37"/>
    </w:p>
    <w:p w14:paraId="4B17DAE0">
      <w:pPr>
        <w:rPr>
          <w:rFonts w:ascii="宋体"/>
          <w:b/>
          <w:color w:val="auto"/>
          <w:sz w:val="24"/>
          <w:szCs w:val="24"/>
          <w:highlight w:val="none"/>
        </w:rPr>
      </w:pPr>
      <w:r>
        <w:rPr>
          <w:rFonts w:hint="eastAsia" w:ascii="宋体" w:hAnsi="宋体"/>
          <w:color w:val="auto"/>
          <w:sz w:val="24"/>
          <w:szCs w:val="24"/>
          <w:highlight w:val="none"/>
        </w:rPr>
        <w:t>注：本章由招标人自行制定，另册。</w:t>
      </w:r>
    </w:p>
    <w:p w14:paraId="76807DA3">
      <w:pPr>
        <w:pStyle w:val="2"/>
        <w:rPr>
          <w:color w:val="auto"/>
          <w:highlight w:val="none"/>
        </w:rPr>
      </w:pPr>
      <w:r>
        <w:rPr>
          <w:color w:val="auto"/>
          <w:sz w:val="24"/>
          <w:szCs w:val="24"/>
          <w:highlight w:val="none"/>
        </w:rPr>
        <w:br w:type="page"/>
      </w:r>
      <w:bookmarkStart w:id="38" w:name="_Toc21525515"/>
      <w:bookmarkStart w:id="39" w:name="_Toc2272570"/>
      <w:r>
        <w:rPr>
          <w:rFonts w:hint="eastAsia"/>
          <w:color w:val="auto"/>
          <w:highlight w:val="none"/>
        </w:rPr>
        <w:t>第七章工程量清单</w:t>
      </w:r>
      <w:bookmarkEnd w:id="38"/>
      <w:bookmarkEnd w:id="39"/>
    </w:p>
    <w:p w14:paraId="1E7F411F">
      <w:pPr>
        <w:rPr>
          <w:rFonts w:ascii="宋体" w:hAnsi="宋体"/>
          <w:color w:val="auto"/>
          <w:sz w:val="24"/>
          <w:szCs w:val="24"/>
          <w:highlight w:val="none"/>
        </w:rPr>
      </w:pPr>
      <w:r>
        <w:rPr>
          <w:rFonts w:hint="eastAsia" w:ascii="宋体" w:hAnsi="宋体"/>
          <w:color w:val="auto"/>
          <w:sz w:val="24"/>
          <w:szCs w:val="24"/>
          <w:highlight w:val="none"/>
        </w:rPr>
        <w:t>注：本章由招标人自行制定。</w:t>
      </w:r>
    </w:p>
    <w:p w14:paraId="45276595">
      <w:pPr>
        <w:pStyle w:val="4"/>
        <w:spacing w:after="0" w:line="360" w:lineRule="auto"/>
        <w:ind w:left="-2" w:leftChars="-1" w:firstLine="960" w:firstLineChars="400"/>
        <w:rPr>
          <w:rFonts w:ascii="宋体"/>
          <w:color w:val="auto"/>
          <w:sz w:val="24"/>
          <w:highlight w:val="none"/>
        </w:rPr>
      </w:pPr>
    </w:p>
    <w:p w14:paraId="760A4927">
      <w:pPr>
        <w:pStyle w:val="9"/>
        <w:rPr>
          <w:color w:val="auto"/>
          <w:highlight w:val="none"/>
        </w:rPr>
      </w:pPr>
    </w:p>
    <w:p w14:paraId="0857DF28">
      <w:pPr>
        <w:pStyle w:val="4"/>
        <w:spacing w:after="0" w:line="360" w:lineRule="auto"/>
        <w:ind w:left="-2" w:leftChars="-1" w:firstLine="960" w:firstLineChars="400"/>
        <w:rPr>
          <w:rFonts w:ascii="宋体"/>
          <w:color w:val="auto"/>
          <w:sz w:val="24"/>
          <w:highlight w:val="none"/>
        </w:rPr>
      </w:pPr>
    </w:p>
    <w:p w14:paraId="62CC97C4">
      <w:pPr>
        <w:pStyle w:val="2"/>
        <w:rPr>
          <w:color w:val="auto"/>
          <w:highlight w:val="none"/>
        </w:rPr>
      </w:pPr>
    </w:p>
    <w:p w14:paraId="639E2548">
      <w:pPr>
        <w:pStyle w:val="2"/>
        <w:numPr>
          <w:ilvl w:val="0"/>
          <w:numId w:val="7"/>
        </w:numPr>
        <w:rPr>
          <w:color w:val="auto"/>
          <w:highlight w:val="none"/>
        </w:rPr>
      </w:pPr>
      <w:r>
        <w:rPr>
          <w:color w:val="auto"/>
          <w:sz w:val="24"/>
          <w:szCs w:val="24"/>
          <w:highlight w:val="none"/>
        </w:rPr>
        <w:br w:type="page"/>
      </w:r>
      <w:bookmarkStart w:id="40" w:name="_Toc2272571"/>
      <w:bookmarkStart w:id="41" w:name="_Toc21525516"/>
      <w:r>
        <w:rPr>
          <w:rFonts w:hint="eastAsia"/>
          <w:color w:val="auto"/>
          <w:highlight w:val="none"/>
        </w:rPr>
        <w:t>最高投标限价</w:t>
      </w:r>
      <w:bookmarkEnd w:id="40"/>
      <w:bookmarkEnd w:id="41"/>
    </w:p>
    <w:p w14:paraId="5A47BBAC">
      <w:pPr>
        <w:pStyle w:val="4"/>
        <w:ind w:firstLine="0"/>
        <w:jc w:val="center"/>
        <w:rPr>
          <w:color w:val="auto"/>
          <w:sz w:val="30"/>
          <w:szCs w:val="30"/>
          <w:highlight w:val="none"/>
        </w:rPr>
      </w:pPr>
      <w:r>
        <w:rPr>
          <w:rFonts w:hint="eastAsia"/>
          <w:b/>
          <w:bCs/>
          <w:color w:val="auto"/>
          <w:sz w:val="30"/>
          <w:szCs w:val="30"/>
          <w:highlight w:val="none"/>
        </w:rPr>
        <w:t>（另册：最高投标限价公布函）</w:t>
      </w:r>
    </w:p>
    <w:p w14:paraId="189DCF88">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2217FEAA">
      <w:pPr>
        <w:spacing w:line="360" w:lineRule="auto"/>
        <w:ind w:firstLine="480"/>
        <w:rPr>
          <w:rFonts w:ascii="宋体" w:hAnsi="宋体"/>
          <w:color w:val="auto"/>
          <w:sz w:val="24"/>
          <w:szCs w:val="24"/>
          <w:highlight w:val="none"/>
          <w:u w:val="single"/>
        </w:rPr>
      </w:pPr>
    </w:p>
    <w:p w14:paraId="544A85CB">
      <w:pPr>
        <w:spacing w:line="360" w:lineRule="auto"/>
        <w:ind w:firstLine="480"/>
        <w:rPr>
          <w:rFonts w:ascii="宋体" w:hAnsi="宋体"/>
          <w:color w:val="auto"/>
          <w:sz w:val="24"/>
          <w:szCs w:val="24"/>
          <w:highlight w:val="none"/>
          <w:u w:val="single"/>
        </w:rPr>
      </w:pPr>
    </w:p>
    <w:p w14:paraId="56FFAD77">
      <w:pPr>
        <w:rPr>
          <w:color w:val="auto"/>
          <w:highlight w:val="none"/>
        </w:rPr>
      </w:pPr>
    </w:p>
    <w:p w14:paraId="5AA1A14F">
      <w:pPr>
        <w:rPr>
          <w:color w:val="auto"/>
          <w:highlight w:val="none"/>
        </w:rPr>
      </w:pPr>
    </w:p>
    <w:p w14:paraId="28ABD8E3">
      <w:pPr>
        <w:rPr>
          <w:color w:val="auto"/>
          <w:highlight w:val="none"/>
        </w:rPr>
      </w:pPr>
    </w:p>
    <w:p w14:paraId="436A51B7">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12848">
    <w:pPr>
      <w:pStyle w:val="25"/>
      <w:ind w:firstLine="392"/>
      <w:jc w:val="right"/>
      <w:rPr>
        <w:rStyle w:val="3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5BA5B">
    <w:pPr>
      <w:pStyle w:val="25"/>
      <w:ind w:firstLine="392"/>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14:paraId="59E17756">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0D647">
    <w:pPr>
      <w:pStyle w:val="25"/>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74930">
    <w:pPr>
      <w:pStyle w:val="25"/>
      <w:ind w:firstLine="392"/>
      <w:jc w:val="right"/>
      <w:rPr>
        <w:rStyle w:val="39"/>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3780" cy="170815"/>
              <wp:effectExtent l="0" t="0" r="0" b="0"/>
              <wp:wrapNone/>
              <wp:docPr id="8" name="文本框 6"/>
              <wp:cNvGraphicFramePr/>
              <a:graphic xmlns:a="http://schemas.openxmlformats.org/drawingml/2006/main">
                <a:graphicData uri="http://schemas.microsoft.com/office/word/2010/wordprocessingShape">
                  <wps:wsp>
                    <wps:cNvSpPr txBox="1"/>
                    <wps:spPr>
                      <a:xfrm>
                        <a:off x="0" y="0"/>
                        <a:ext cx="1033780" cy="170815"/>
                      </a:xfrm>
                      <a:prstGeom prst="rect">
                        <a:avLst/>
                      </a:prstGeom>
                      <a:noFill/>
                      <a:ln w="6350">
                        <a:noFill/>
                      </a:ln>
                    </wps:spPr>
                    <wps:txbx>
                      <w:txbxContent>
                        <w:p w14:paraId="16B9CB03">
                          <w:pPr>
                            <w:pStyle w:val="25"/>
                          </w:pPr>
                          <w:r>
                            <w:fldChar w:fldCharType="begin"/>
                          </w:r>
                          <w:r>
                            <w:instrText xml:space="preserve"> PAGE  \* MERGEFORMAT </w:instrText>
                          </w:r>
                          <w:r>
                            <w:fldChar w:fldCharType="separate"/>
                          </w:r>
                          <w:r>
                            <w:t>2</w:t>
                          </w:r>
                          <w:r>
                            <w:fldChar w:fldCharType="end"/>
                          </w:r>
                        </w:p>
                      </w:txbxContent>
                    </wps:txbx>
                    <wps:bodyPr lIns="0" tIns="0" rIns="0" bIns="0" upright="1"/>
                  </wps:wsp>
                </a:graphicData>
              </a:graphic>
            </wp:anchor>
          </w:drawing>
        </mc:Choice>
        <mc:Fallback>
          <w:pict>
            <v:shape id="文本框 6" o:spid="_x0000_s1026" o:spt="202" type="#_x0000_t202" style="position:absolute;left:0pt;margin-top:0pt;height:13.45pt;width:81.4pt;mso-position-horizontal:center;mso-position-horizontal-relative:margin;z-index:251659264;mso-width-relative:page;mso-height-relative:page;" filled="f" stroked="f" coordsize="21600,21600" o:gfxdata="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T+DtNMAAAAEAQAADwAAAAAAAAABACAAAAAiAAAAZHJzL2Rvd25yZXYueG1sUEsB&#10;AhQAFAAAAAgAh07iQPow3VHBAQAAewMAAA4AAAAAAAAAAQAgAAAAIgEAAGRycy9lMm9Eb2MueG1s&#10;UEsFBgAAAAAGAAYAWQEAAFUFAAAAAA==&#10;">
              <v:fill on="f" focussize="0,0"/>
              <v:stroke on="f" weight="0.5pt"/>
              <v:imagedata o:title=""/>
              <o:lock v:ext="edit" aspectratio="f"/>
              <v:textbox inset="0mm,0mm,0mm,0mm">
                <w:txbxContent>
                  <w:p w14:paraId="16B9CB03">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4330">
    <w:pPr>
      <w:pStyle w:val="25"/>
      <w:ind w:firstLine="39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B334E6">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38B334E6">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0F87F">
    <w:pPr>
      <w:pStyle w:val="25"/>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7A5890">
                          <w:pPr>
                            <w:pStyle w:val="2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14:paraId="297A5890">
                    <w:pPr>
                      <w:pStyle w:val="2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63E3">
    <w:pPr>
      <w:pStyle w:val="25"/>
      <w:framePr w:wrap="around" w:vAnchor="text" w:hAnchor="margin" w:xAlign="outside" w:y="1"/>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14:paraId="0545CA0B">
    <w:pPr>
      <w:pStyle w:val="25"/>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9B4DA">
    <w:pPr>
      <w:pStyle w:val="2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065D45">
                          <w:pPr>
                            <w:pStyle w:val="2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5dc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f25dc5AgAAcQQAAA4AAAAAAAAAAQAgAAAAHwEAAGRycy9lMm9Eb2Mu&#10;eG1sUEsFBgAAAAAGAAYAWQEAAMoFAAAAAA==&#10;">
              <v:fill on="f" focussize="0,0"/>
              <v:stroke on="f" weight="0.5pt"/>
              <v:imagedata o:title=""/>
              <o:lock v:ext="edit" aspectratio="f"/>
              <v:textbox inset="0mm,0mm,0mm,0mm" style="mso-fit-shape-to-text:t;">
                <w:txbxContent>
                  <w:p w14:paraId="1B065D45">
                    <w:pPr>
                      <w:pStyle w:val="2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963B2">
    <w:pPr>
      <w:pStyle w:val="2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FE8C6B">
                          <w:pPr>
                            <w:pStyle w:val="25"/>
                            <w:jc w:val="center"/>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37FE8C6B">
                    <w:pPr>
                      <w:pStyle w:val="25"/>
                      <w:jc w:val="center"/>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74EDE">
    <w:pPr>
      <w:pStyle w:val="26"/>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EF99A">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3B890">
    <w:pPr>
      <w:pStyle w:val="2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FB1FB">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B1BC">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51F45">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259905B5"/>
    <w:multiLevelType w:val="multilevel"/>
    <w:tmpl w:val="259905B5"/>
    <w:lvl w:ilvl="0" w:tentative="0">
      <w:start w:val="1"/>
      <w:numFmt w:val="chineseCountingThousand"/>
      <w:pStyle w:val="93"/>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3">
    <w:nsid w:val="5047384F"/>
    <w:multiLevelType w:val="singleLevel"/>
    <w:tmpl w:val="5047384F"/>
    <w:lvl w:ilvl="0" w:tentative="0">
      <w:start w:val="31"/>
      <w:numFmt w:val="decimal"/>
      <w:suff w:val="nothing"/>
      <w:lvlText w:val="%1．"/>
      <w:lvlJc w:val="left"/>
    </w:lvl>
  </w:abstractNum>
  <w:abstractNum w:abstractNumId="4">
    <w:nsid w:val="524CAF44"/>
    <w:multiLevelType w:val="singleLevel"/>
    <w:tmpl w:val="524CAF44"/>
    <w:lvl w:ilvl="0" w:tentative="0">
      <w:start w:val="8"/>
      <w:numFmt w:val="chineseCounting"/>
      <w:suff w:val="space"/>
      <w:lvlText w:val="第%1章"/>
      <w:lvlJc w:val="left"/>
      <w:rPr>
        <w:rFonts w:hint="eastAsia"/>
      </w:rPr>
    </w:lvl>
  </w:abstractNum>
  <w:abstractNum w:abstractNumId="5">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0NGVjZDRlN2Q2ZDU0ZThhMmFiNTE5M2NjMGI3ZjcifQ=="/>
  </w:docVars>
  <w:rsids>
    <w:rsidRoot w:val="007B41BE"/>
    <w:rsid w:val="000200EE"/>
    <w:rsid w:val="000575F8"/>
    <w:rsid w:val="000C1007"/>
    <w:rsid w:val="000C11E0"/>
    <w:rsid w:val="000C2710"/>
    <w:rsid w:val="000D396E"/>
    <w:rsid w:val="00181CAA"/>
    <w:rsid w:val="00224FC7"/>
    <w:rsid w:val="0024445C"/>
    <w:rsid w:val="00336AA3"/>
    <w:rsid w:val="003A7E81"/>
    <w:rsid w:val="004370EC"/>
    <w:rsid w:val="004424B8"/>
    <w:rsid w:val="004B295D"/>
    <w:rsid w:val="005866FB"/>
    <w:rsid w:val="005C212B"/>
    <w:rsid w:val="006036EF"/>
    <w:rsid w:val="00673B83"/>
    <w:rsid w:val="00680BFD"/>
    <w:rsid w:val="006B6B0D"/>
    <w:rsid w:val="006F3576"/>
    <w:rsid w:val="0073229B"/>
    <w:rsid w:val="00780EC8"/>
    <w:rsid w:val="007B41BE"/>
    <w:rsid w:val="007D6D06"/>
    <w:rsid w:val="00835C9E"/>
    <w:rsid w:val="00851F18"/>
    <w:rsid w:val="008D2515"/>
    <w:rsid w:val="008E4AD1"/>
    <w:rsid w:val="00920E49"/>
    <w:rsid w:val="00991949"/>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B6530"/>
    <w:rsid w:val="00EC014E"/>
    <w:rsid w:val="00ED15DE"/>
    <w:rsid w:val="00F40301"/>
    <w:rsid w:val="00FA5926"/>
    <w:rsid w:val="00FB1B0B"/>
    <w:rsid w:val="00FC5596"/>
    <w:rsid w:val="00FF5AF4"/>
    <w:rsid w:val="015A1A43"/>
    <w:rsid w:val="015B45B1"/>
    <w:rsid w:val="01A17845"/>
    <w:rsid w:val="01F014BE"/>
    <w:rsid w:val="02013E5F"/>
    <w:rsid w:val="02576B5C"/>
    <w:rsid w:val="025B57AB"/>
    <w:rsid w:val="033B10E1"/>
    <w:rsid w:val="034026E5"/>
    <w:rsid w:val="03E30F7F"/>
    <w:rsid w:val="04107467"/>
    <w:rsid w:val="04500324"/>
    <w:rsid w:val="04971855"/>
    <w:rsid w:val="053F7D4D"/>
    <w:rsid w:val="055A1D29"/>
    <w:rsid w:val="058C5590"/>
    <w:rsid w:val="05935ABA"/>
    <w:rsid w:val="06136A31"/>
    <w:rsid w:val="06650CE0"/>
    <w:rsid w:val="067B0FF5"/>
    <w:rsid w:val="0690232D"/>
    <w:rsid w:val="06950824"/>
    <w:rsid w:val="072F44E3"/>
    <w:rsid w:val="07485CFC"/>
    <w:rsid w:val="07566A54"/>
    <w:rsid w:val="084F11FB"/>
    <w:rsid w:val="08915FF9"/>
    <w:rsid w:val="08CC5C2A"/>
    <w:rsid w:val="09F33618"/>
    <w:rsid w:val="09F4002D"/>
    <w:rsid w:val="0A971CDF"/>
    <w:rsid w:val="0AEE3951"/>
    <w:rsid w:val="0AF97AFD"/>
    <w:rsid w:val="0B2178DF"/>
    <w:rsid w:val="0B32564D"/>
    <w:rsid w:val="0C1E558E"/>
    <w:rsid w:val="0CFE7AAC"/>
    <w:rsid w:val="0D1671CB"/>
    <w:rsid w:val="0D17362A"/>
    <w:rsid w:val="0D62171E"/>
    <w:rsid w:val="0D814026"/>
    <w:rsid w:val="0DC73BE8"/>
    <w:rsid w:val="0E293578"/>
    <w:rsid w:val="0ECB6855"/>
    <w:rsid w:val="0ECD6F17"/>
    <w:rsid w:val="0EE17A34"/>
    <w:rsid w:val="0F0C2FB6"/>
    <w:rsid w:val="0F7E4AB5"/>
    <w:rsid w:val="0FEF45D8"/>
    <w:rsid w:val="101747CE"/>
    <w:rsid w:val="114F7334"/>
    <w:rsid w:val="118872D1"/>
    <w:rsid w:val="11E8746F"/>
    <w:rsid w:val="12064AFA"/>
    <w:rsid w:val="123C447E"/>
    <w:rsid w:val="129C5864"/>
    <w:rsid w:val="12E74282"/>
    <w:rsid w:val="138F4A1D"/>
    <w:rsid w:val="13DF234D"/>
    <w:rsid w:val="13E47F4D"/>
    <w:rsid w:val="14D34591"/>
    <w:rsid w:val="14E31B2E"/>
    <w:rsid w:val="14E41113"/>
    <w:rsid w:val="152E64CE"/>
    <w:rsid w:val="16227A29"/>
    <w:rsid w:val="16B55882"/>
    <w:rsid w:val="17577657"/>
    <w:rsid w:val="1764146C"/>
    <w:rsid w:val="17B0110B"/>
    <w:rsid w:val="18151F96"/>
    <w:rsid w:val="181C07FE"/>
    <w:rsid w:val="1894241D"/>
    <w:rsid w:val="18C457C5"/>
    <w:rsid w:val="19223B30"/>
    <w:rsid w:val="1A197B69"/>
    <w:rsid w:val="1A2F4635"/>
    <w:rsid w:val="1A5E5585"/>
    <w:rsid w:val="1A8D2470"/>
    <w:rsid w:val="1A970937"/>
    <w:rsid w:val="1ABA0B0A"/>
    <w:rsid w:val="1AD03189"/>
    <w:rsid w:val="1B3F7999"/>
    <w:rsid w:val="1B72711F"/>
    <w:rsid w:val="1D2B0E05"/>
    <w:rsid w:val="1DA11B98"/>
    <w:rsid w:val="1E05210A"/>
    <w:rsid w:val="1E486D96"/>
    <w:rsid w:val="1EBA5A37"/>
    <w:rsid w:val="1EFE6376"/>
    <w:rsid w:val="1F2D2806"/>
    <w:rsid w:val="1FC66291"/>
    <w:rsid w:val="2000702C"/>
    <w:rsid w:val="202D1839"/>
    <w:rsid w:val="204170F2"/>
    <w:rsid w:val="205A31DE"/>
    <w:rsid w:val="20CE0A25"/>
    <w:rsid w:val="20EA0E22"/>
    <w:rsid w:val="214F3EC6"/>
    <w:rsid w:val="215A4600"/>
    <w:rsid w:val="215D5B8D"/>
    <w:rsid w:val="21962144"/>
    <w:rsid w:val="2215056B"/>
    <w:rsid w:val="2225545C"/>
    <w:rsid w:val="2250591D"/>
    <w:rsid w:val="23222A84"/>
    <w:rsid w:val="234D4773"/>
    <w:rsid w:val="23542795"/>
    <w:rsid w:val="23817F64"/>
    <w:rsid w:val="24092228"/>
    <w:rsid w:val="249F3598"/>
    <w:rsid w:val="24A972CC"/>
    <w:rsid w:val="25807435"/>
    <w:rsid w:val="26D1527F"/>
    <w:rsid w:val="275F6707"/>
    <w:rsid w:val="27AC1256"/>
    <w:rsid w:val="28790229"/>
    <w:rsid w:val="28A838FB"/>
    <w:rsid w:val="28CB24DE"/>
    <w:rsid w:val="293F4282"/>
    <w:rsid w:val="294C7A5F"/>
    <w:rsid w:val="2A880A7B"/>
    <w:rsid w:val="2B304366"/>
    <w:rsid w:val="2D3F4783"/>
    <w:rsid w:val="2D691D61"/>
    <w:rsid w:val="2D8327B4"/>
    <w:rsid w:val="2DC45B3D"/>
    <w:rsid w:val="2DC4660F"/>
    <w:rsid w:val="2E470667"/>
    <w:rsid w:val="2EBF4557"/>
    <w:rsid w:val="2F6477B7"/>
    <w:rsid w:val="30385E6A"/>
    <w:rsid w:val="30997F39"/>
    <w:rsid w:val="312A5911"/>
    <w:rsid w:val="31310127"/>
    <w:rsid w:val="31C51E84"/>
    <w:rsid w:val="31D80DCC"/>
    <w:rsid w:val="32137186"/>
    <w:rsid w:val="326E71E1"/>
    <w:rsid w:val="32BF3509"/>
    <w:rsid w:val="32E23ACE"/>
    <w:rsid w:val="330C763F"/>
    <w:rsid w:val="334C6704"/>
    <w:rsid w:val="336E272E"/>
    <w:rsid w:val="338833EA"/>
    <w:rsid w:val="344D6161"/>
    <w:rsid w:val="34A65B0F"/>
    <w:rsid w:val="354A0485"/>
    <w:rsid w:val="35683252"/>
    <w:rsid w:val="358A029F"/>
    <w:rsid w:val="35AB1644"/>
    <w:rsid w:val="36801D8E"/>
    <w:rsid w:val="37147113"/>
    <w:rsid w:val="375D203C"/>
    <w:rsid w:val="38026A6F"/>
    <w:rsid w:val="38B74A2E"/>
    <w:rsid w:val="39C15447"/>
    <w:rsid w:val="39D34F30"/>
    <w:rsid w:val="3A2676B3"/>
    <w:rsid w:val="3A5B1B12"/>
    <w:rsid w:val="3A8707F9"/>
    <w:rsid w:val="3A8F3C03"/>
    <w:rsid w:val="3AE723E5"/>
    <w:rsid w:val="3BEE588A"/>
    <w:rsid w:val="3C44757C"/>
    <w:rsid w:val="3CA82549"/>
    <w:rsid w:val="3CB80370"/>
    <w:rsid w:val="3D60411F"/>
    <w:rsid w:val="3DA271D2"/>
    <w:rsid w:val="3DA377DC"/>
    <w:rsid w:val="3E4923C6"/>
    <w:rsid w:val="3E8E35FE"/>
    <w:rsid w:val="3F641133"/>
    <w:rsid w:val="400B504F"/>
    <w:rsid w:val="40107630"/>
    <w:rsid w:val="40552625"/>
    <w:rsid w:val="40DD3A26"/>
    <w:rsid w:val="410916D6"/>
    <w:rsid w:val="411B2110"/>
    <w:rsid w:val="41281332"/>
    <w:rsid w:val="41E657FF"/>
    <w:rsid w:val="42022919"/>
    <w:rsid w:val="43950E77"/>
    <w:rsid w:val="44541B23"/>
    <w:rsid w:val="45045E8A"/>
    <w:rsid w:val="46922062"/>
    <w:rsid w:val="46E8339A"/>
    <w:rsid w:val="47841A42"/>
    <w:rsid w:val="47877993"/>
    <w:rsid w:val="47A253CF"/>
    <w:rsid w:val="47BD4896"/>
    <w:rsid w:val="47F12E03"/>
    <w:rsid w:val="48523C0A"/>
    <w:rsid w:val="492D2E8B"/>
    <w:rsid w:val="4AF24D3D"/>
    <w:rsid w:val="4B167703"/>
    <w:rsid w:val="4B3F6B82"/>
    <w:rsid w:val="4B6B7860"/>
    <w:rsid w:val="4BA3441D"/>
    <w:rsid w:val="4BAA682A"/>
    <w:rsid w:val="4C0118B3"/>
    <w:rsid w:val="4E38236D"/>
    <w:rsid w:val="4E6C325B"/>
    <w:rsid w:val="506E6C8B"/>
    <w:rsid w:val="524D4BF6"/>
    <w:rsid w:val="537A4F75"/>
    <w:rsid w:val="53D5083F"/>
    <w:rsid w:val="53F92C98"/>
    <w:rsid w:val="553D0DE7"/>
    <w:rsid w:val="554E7D70"/>
    <w:rsid w:val="55B911A7"/>
    <w:rsid w:val="55C174C0"/>
    <w:rsid w:val="560E70A6"/>
    <w:rsid w:val="56166A96"/>
    <w:rsid w:val="5697709C"/>
    <w:rsid w:val="57C96FA8"/>
    <w:rsid w:val="57DA4EBD"/>
    <w:rsid w:val="582D571D"/>
    <w:rsid w:val="591F1435"/>
    <w:rsid w:val="59442FA9"/>
    <w:rsid w:val="594F426F"/>
    <w:rsid w:val="59633BAD"/>
    <w:rsid w:val="59681399"/>
    <w:rsid w:val="59C9560C"/>
    <w:rsid w:val="59D66C2B"/>
    <w:rsid w:val="5A5E2FDC"/>
    <w:rsid w:val="5B6C495E"/>
    <w:rsid w:val="5C087AA5"/>
    <w:rsid w:val="5C1857A5"/>
    <w:rsid w:val="5CA23496"/>
    <w:rsid w:val="5CDF456F"/>
    <w:rsid w:val="5D1642BC"/>
    <w:rsid w:val="5D474545"/>
    <w:rsid w:val="5D572C78"/>
    <w:rsid w:val="5DFA776C"/>
    <w:rsid w:val="5DFD1054"/>
    <w:rsid w:val="5E3B1C05"/>
    <w:rsid w:val="5F4104EC"/>
    <w:rsid w:val="5F4B72E8"/>
    <w:rsid w:val="5F5531CA"/>
    <w:rsid w:val="60556089"/>
    <w:rsid w:val="606E7D7E"/>
    <w:rsid w:val="613579BB"/>
    <w:rsid w:val="61B30B39"/>
    <w:rsid w:val="61FB123A"/>
    <w:rsid w:val="62EB7954"/>
    <w:rsid w:val="6323073A"/>
    <w:rsid w:val="63910D0D"/>
    <w:rsid w:val="63CF746B"/>
    <w:rsid w:val="63E74553"/>
    <w:rsid w:val="64591E34"/>
    <w:rsid w:val="650D5783"/>
    <w:rsid w:val="651665A3"/>
    <w:rsid w:val="653505E7"/>
    <w:rsid w:val="66A25ECD"/>
    <w:rsid w:val="674A1F08"/>
    <w:rsid w:val="67AF31CB"/>
    <w:rsid w:val="68065FF4"/>
    <w:rsid w:val="680A7DC1"/>
    <w:rsid w:val="69DF3340"/>
    <w:rsid w:val="69E5072F"/>
    <w:rsid w:val="6A244C92"/>
    <w:rsid w:val="6AD541DF"/>
    <w:rsid w:val="6BDD159D"/>
    <w:rsid w:val="6C7621DF"/>
    <w:rsid w:val="6C787452"/>
    <w:rsid w:val="6CDB0B01"/>
    <w:rsid w:val="6CEF4F0F"/>
    <w:rsid w:val="6CFA3F89"/>
    <w:rsid w:val="6D3B0387"/>
    <w:rsid w:val="6D9A2BFD"/>
    <w:rsid w:val="6DAB59DE"/>
    <w:rsid w:val="6E22155A"/>
    <w:rsid w:val="6E3066EA"/>
    <w:rsid w:val="6E34323B"/>
    <w:rsid w:val="6E674B70"/>
    <w:rsid w:val="6F6124E5"/>
    <w:rsid w:val="6FFB1844"/>
    <w:rsid w:val="700E1990"/>
    <w:rsid w:val="70981A49"/>
    <w:rsid w:val="70A93B72"/>
    <w:rsid w:val="712D5943"/>
    <w:rsid w:val="72800ED4"/>
    <w:rsid w:val="728409C4"/>
    <w:rsid w:val="72AB5F51"/>
    <w:rsid w:val="735B77C4"/>
    <w:rsid w:val="73656370"/>
    <w:rsid w:val="73CC483B"/>
    <w:rsid w:val="74967298"/>
    <w:rsid w:val="74E05BB4"/>
    <w:rsid w:val="75FD3624"/>
    <w:rsid w:val="760427D7"/>
    <w:rsid w:val="760912A3"/>
    <w:rsid w:val="763F0CA8"/>
    <w:rsid w:val="76D9732A"/>
    <w:rsid w:val="772D7053"/>
    <w:rsid w:val="77457446"/>
    <w:rsid w:val="77B83964"/>
    <w:rsid w:val="77DB63EF"/>
    <w:rsid w:val="78100FFF"/>
    <w:rsid w:val="784744CE"/>
    <w:rsid w:val="795C61F7"/>
    <w:rsid w:val="79B36CD9"/>
    <w:rsid w:val="7ADC31A8"/>
    <w:rsid w:val="7B461212"/>
    <w:rsid w:val="7BFD0A8D"/>
    <w:rsid w:val="7C2B10EF"/>
    <w:rsid w:val="7C6118B5"/>
    <w:rsid w:val="7C911AF3"/>
    <w:rsid w:val="7D2947CC"/>
    <w:rsid w:val="7D5C1197"/>
    <w:rsid w:val="7DE31450"/>
    <w:rsid w:val="7EEC390F"/>
    <w:rsid w:val="7F0A2251"/>
    <w:rsid w:val="7FB77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qFormat="1" w:unhideWhenUsed="0"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4"/>
    <w:link w:val="60"/>
    <w:qFormat/>
    <w:uiPriority w:val="0"/>
    <w:pPr>
      <w:keepNext/>
      <w:keepLines/>
      <w:spacing w:after="120" w:line="360" w:lineRule="auto"/>
      <w:outlineLvl w:val="0"/>
    </w:pPr>
    <w:rPr>
      <w:kern w:val="44"/>
      <w:sz w:val="28"/>
      <w:szCs w:val="28"/>
    </w:rPr>
  </w:style>
  <w:style w:type="paragraph" w:styleId="6">
    <w:name w:val="heading 2"/>
    <w:basedOn w:val="1"/>
    <w:next w:val="1"/>
    <w:link w:val="44"/>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9"/>
    <w:link w:val="61"/>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0">
    <w:name w:val="heading 5"/>
    <w:basedOn w:val="8"/>
    <w:next w:val="9"/>
    <w:link w:val="62"/>
    <w:qFormat/>
    <w:uiPriority w:val="0"/>
    <w:pPr>
      <w:numPr>
        <w:ilvl w:val="4"/>
      </w:numPr>
      <w:spacing w:line="240" w:lineRule="exact"/>
      <w:outlineLvl w:val="4"/>
    </w:pPr>
  </w:style>
  <w:style w:type="paragraph" w:styleId="11">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9"/>
    <w:link w:val="64"/>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9"/>
    <w:link w:val="6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9"/>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68"/>
    <w:qFormat/>
    <w:uiPriority w:val="0"/>
    <w:pPr>
      <w:spacing w:before="120" w:after="60"/>
      <w:jc w:val="center"/>
    </w:pPr>
    <w:rPr>
      <w:rFonts w:ascii="Arial" w:hAnsi="Arial"/>
      <w:b/>
      <w:sz w:val="44"/>
      <w:szCs w:val="20"/>
    </w:rPr>
  </w:style>
  <w:style w:type="paragraph" w:styleId="4">
    <w:name w:val="Body Text First Indent"/>
    <w:basedOn w:val="5"/>
    <w:link w:val="72"/>
    <w:qFormat/>
    <w:uiPriority w:val="0"/>
    <w:pPr>
      <w:ind w:firstLine="420"/>
    </w:pPr>
  </w:style>
  <w:style w:type="paragraph" w:styleId="5">
    <w:name w:val="Body Text"/>
    <w:basedOn w:val="1"/>
    <w:link w:val="70"/>
    <w:qFormat/>
    <w:uiPriority w:val="0"/>
    <w:pPr>
      <w:spacing w:after="120"/>
    </w:pPr>
    <w:rPr>
      <w:rFonts w:ascii="Times New Roman" w:hAnsi="Times New Roman"/>
      <w:szCs w:val="20"/>
    </w:rPr>
  </w:style>
  <w:style w:type="paragraph" w:styleId="9">
    <w:name w:val="Normal Indent"/>
    <w:basedOn w:val="1"/>
    <w:qFormat/>
    <w:uiPriority w:val="0"/>
    <w:pPr>
      <w:ind w:firstLine="420"/>
    </w:pPr>
    <w:rPr>
      <w:rFonts w:ascii="Times New Roman" w:hAnsi="Times New Roman"/>
      <w:szCs w:val="20"/>
    </w:rPr>
  </w:style>
  <w:style w:type="paragraph" w:styleId="15">
    <w:name w:val="Note Heading"/>
    <w:basedOn w:val="1"/>
    <w:next w:val="1"/>
    <w:qFormat/>
    <w:uiPriority w:val="0"/>
    <w:pPr>
      <w:snapToGrid w:val="0"/>
      <w:spacing w:line="320" w:lineRule="exact"/>
      <w:ind w:firstLine="413" w:firstLineChars="200"/>
    </w:pPr>
    <w:rPr>
      <w:rFonts w:ascii="宋体" w:hAnsi="宋体"/>
      <w:b/>
      <w:color w:val="000000"/>
    </w:rPr>
  </w:style>
  <w:style w:type="paragraph" w:styleId="16">
    <w:name w:val="Document Map"/>
    <w:basedOn w:val="1"/>
    <w:link w:val="78"/>
    <w:qFormat/>
    <w:uiPriority w:val="0"/>
    <w:pPr>
      <w:shd w:val="clear" w:color="auto" w:fill="000080"/>
    </w:pPr>
    <w:rPr>
      <w:rFonts w:ascii="Times New Roman" w:hAnsi="Times New Roman"/>
      <w:szCs w:val="20"/>
    </w:rPr>
  </w:style>
  <w:style w:type="paragraph" w:styleId="17">
    <w:name w:val="annotation text"/>
    <w:basedOn w:val="1"/>
    <w:link w:val="104"/>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76"/>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80"/>
    <w:qFormat/>
    <w:uiPriority w:val="0"/>
    <w:rPr>
      <w:rFonts w:ascii="宋体" w:hAnsi="Courier New"/>
      <w:szCs w:val="20"/>
    </w:rPr>
  </w:style>
  <w:style w:type="paragraph" w:styleId="21">
    <w:name w:val="Date"/>
    <w:basedOn w:val="1"/>
    <w:next w:val="1"/>
    <w:link w:val="74"/>
    <w:qFormat/>
    <w:uiPriority w:val="0"/>
    <w:rPr>
      <w:rFonts w:ascii="Times New Roman" w:hAnsi="Times New Roman"/>
      <w:szCs w:val="20"/>
    </w:rPr>
  </w:style>
  <w:style w:type="paragraph" w:styleId="22">
    <w:name w:val="Body Text Indent 2"/>
    <w:basedOn w:val="1"/>
    <w:link w:val="82"/>
    <w:qFormat/>
    <w:uiPriority w:val="0"/>
    <w:pPr>
      <w:spacing w:line="400" w:lineRule="exact"/>
      <w:ind w:left="425"/>
    </w:pPr>
    <w:rPr>
      <w:rFonts w:ascii="Times New Roman" w:hAnsi="Times New Roman"/>
      <w:color w:val="000000"/>
      <w:sz w:val="24"/>
      <w:szCs w:val="20"/>
    </w:rPr>
  </w:style>
  <w:style w:type="paragraph" w:styleId="23">
    <w:name w:val="endnote text"/>
    <w:basedOn w:val="1"/>
    <w:link w:val="91"/>
    <w:qFormat/>
    <w:uiPriority w:val="0"/>
    <w:pPr>
      <w:snapToGrid w:val="0"/>
      <w:jc w:val="left"/>
    </w:pPr>
    <w:rPr>
      <w:rFonts w:ascii="Times New Roman" w:hAnsi="Times New Roman"/>
      <w:szCs w:val="20"/>
    </w:rPr>
  </w:style>
  <w:style w:type="paragraph" w:styleId="24">
    <w:name w:val="Balloon Text"/>
    <w:basedOn w:val="1"/>
    <w:link w:val="101"/>
    <w:qFormat/>
    <w:uiPriority w:val="0"/>
    <w:rPr>
      <w:rFonts w:ascii="Times New Roman" w:hAnsi="Times New Roman"/>
      <w:sz w:val="18"/>
      <w:szCs w:val="18"/>
    </w:rPr>
  </w:style>
  <w:style w:type="paragraph" w:styleId="25">
    <w:name w:val="footer"/>
    <w:basedOn w:val="1"/>
    <w:link w:val="59"/>
    <w:unhideWhenUsed/>
    <w:qFormat/>
    <w:uiPriority w:val="0"/>
    <w:pPr>
      <w:tabs>
        <w:tab w:val="center" w:pos="4153"/>
        <w:tab w:val="right" w:pos="8306"/>
      </w:tabs>
      <w:snapToGrid w:val="0"/>
      <w:jc w:val="left"/>
    </w:pPr>
    <w:rPr>
      <w:sz w:val="18"/>
      <w:szCs w:val="18"/>
    </w:rPr>
  </w:style>
  <w:style w:type="paragraph" w:styleId="26">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6"/>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8"/>
    <w:qFormat/>
    <w:uiPriority w:val="0"/>
    <w:rPr>
      <w:rFonts w:ascii="宋体" w:hAnsi="宋体"/>
      <w:szCs w:val="24"/>
      <w:u w:val="single"/>
    </w:rPr>
  </w:style>
  <w:style w:type="paragraph" w:styleId="32">
    <w:name w:val="index 1"/>
    <w:basedOn w:val="1"/>
    <w:next w:val="1"/>
    <w:qFormat/>
    <w:uiPriority w:val="0"/>
    <w:rPr>
      <w:rFonts w:ascii="Times New Roman" w:hAnsi="Times New Roman" w:eastAsia="仿宋_GB2312"/>
      <w:sz w:val="28"/>
      <w:szCs w:val="20"/>
    </w:rPr>
  </w:style>
  <w:style w:type="paragraph" w:styleId="33">
    <w:name w:val="annotation subject"/>
    <w:basedOn w:val="17"/>
    <w:next w:val="17"/>
    <w:link w:val="108"/>
    <w:qFormat/>
    <w:uiPriority w:val="0"/>
    <w:rPr>
      <w:b/>
      <w:bCs/>
    </w:rPr>
  </w:style>
  <w:style w:type="table" w:styleId="35">
    <w:name w:val="Table Grid"/>
    <w:basedOn w:val="34"/>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semiHidden/>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character" w:customStyle="1" w:styleId="44">
    <w:name w:val="标题 2 Char"/>
    <w:link w:val="6"/>
    <w:qFormat/>
    <w:uiPriority w:val="0"/>
    <w:rPr>
      <w:rFonts w:ascii="Arial" w:hAnsi="Arial" w:eastAsia="宋体" w:cs="Times New Roman"/>
      <w:b/>
      <w:color w:val="000000"/>
      <w:sz w:val="24"/>
      <w:szCs w:val="24"/>
    </w:rPr>
  </w:style>
  <w:style w:type="character" w:customStyle="1" w:styleId="45">
    <w:name w:val="标题 1 Char"/>
    <w:link w:val="2"/>
    <w:qFormat/>
    <w:uiPriority w:val="0"/>
    <w:rPr>
      <w:rFonts w:ascii="Arial" w:hAnsi="Arial" w:eastAsia="宋体"/>
      <w:b/>
      <w:kern w:val="44"/>
      <w:sz w:val="28"/>
      <w:szCs w:val="28"/>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Char"/>
    <w:link w:val="7"/>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Char"/>
    <w:link w:val="26"/>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Char"/>
    <w:link w:val="25"/>
    <w:qFormat/>
    <w:uiPriority w:val="0"/>
    <w:rPr>
      <w:rFonts w:ascii="Calibri" w:hAnsi="Calibri" w:eastAsia="宋体" w:cs="Times New Roman"/>
      <w:sz w:val="18"/>
      <w:szCs w:val="18"/>
    </w:rPr>
  </w:style>
  <w:style w:type="character" w:customStyle="1" w:styleId="60">
    <w:name w:val="标题 1 字符1"/>
    <w:link w:val="2"/>
    <w:qFormat/>
    <w:uiPriority w:val="0"/>
    <w:rPr>
      <w:rFonts w:ascii="Arial" w:hAnsi="Arial" w:eastAsia="宋体"/>
      <w:b/>
      <w:kern w:val="44"/>
      <w:sz w:val="28"/>
      <w:szCs w:val="28"/>
    </w:rPr>
  </w:style>
  <w:style w:type="character" w:customStyle="1" w:styleId="61">
    <w:name w:val="标题 4 Char"/>
    <w:link w:val="8"/>
    <w:qFormat/>
    <w:uiPriority w:val="0"/>
    <w:rPr>
      <w:rFonts w:ascii="Arial" w:hAnsi="Arial" w:eastAsia="宋体" w:cs="Times New Roman"/>
      <w:color w:val="000000"/>
      <w:szCs w:val="21"/>
    </w:rPr>
  </w:style>
  <w:style w:type="character" w:customStyle="1" w:styleId="62">
    <w:name w:val="标题 5 Char"/>
    <w:link w:val="10"/>
    <w:qFormat/>
    <w:uiPriority w:val="0"/>
    <w:rPr>
      <w:rFonts w:ascii="Arial" w:hAnsi="Arial" w:eastAsia="宋体" w:cs="Times New Roman"/>
      <w:color w:val="000000"/>
      <w:szCs w:val="21"/>
    </w:rPr>
  </w:style>
  <w:style w:type="character" w:customStyle="1" w:styleId="63">
    <w:name w:val="标题 6 Char"/>
    <w:link w:val="11"/>
    <w:qFormat/>
    <w:uiPriority w:val="0"/>
    <w:rPr>
      <w:rFonts w:ascii="Arial" w:hAnsi="Arial" w:eastAsia="黑体" w:cs="Times New Roman"/>
      <w:b/>
      <w:bCs/>
      <w:sz w:val="24"/>
      <w:szCs w:val="24"/>
    </w:rPr>
  </w:style>
  <w:style w:type="character" w:customStyle="1" w:styleId="64">
    <w:name w:val="标题 7 Char"/>
    <w:link w:val="12"/>
    <w:qFormat/>
    <w:uiPriority w:val="0"/>
    <w:rPr>
      <w:rFonts w:ascii="Times New Roman" w:hAnsi="Times New Roman" w:eastAsia="宋体" w:cs="Times New Roman"/>
      <w:b/>
      <w:sz w:val="24"/>
      <w:szCs w:val="20"/>
    </w:rPr>
  </w:style>
  <w:style w:type="character" w:customStyle="1" w:styleId="65">
    <w:name w:val="标题 8 Char"/>
    <w:link w:val="13"/>
    <w:qFormat/>
    <w:uiPriority w:val="0"/>
    <w:rPr>
      <w:rFonts w:ascii="Arial" w:hAnsi="Arial" w:eastAsia="黑体" w:cs="Times New Roman"/>
      <w:sz w:val="24"/>
      <w:szCs w:val="20"/>
    </w:rPr>
  </w:style>
  <w:style w:type="character" w:customStyle="1" w:styleId="66">
    <w:name w:val="标题 9 Char"/>
    <w:link w:val="14"/>
    <w:qFormat/>
    <w:uiPriority w:val="0"/>
    <w:rPr>
      <w:rFonts w:ascii="Arial" w:hAnsi="Arial" w:eastAsia="黑体" w:cs="Times New Roman"/>
      <w:szCs w:val="20"/>
    </w:rPr>
  </w:style>
  <w:style w:type="character" w:customStyle="1" w:styleId="67">
    <w:name w:val="标题 字符"/>
    <w:qFormat/>
    <w:uiPriority w:val="10"/>
    <w:rPr>
      <w:rFonts w:ascii="等线 Light" w:hAnsi="等线 Light" w:eastAsia="等线 Light" w:cs="Times New Roman"/>
      <w:b/>
      <w:bCs/>
      <w:sz w:val="32"/>
      <w:szCs w:val="32"/>
    </w:rPr>
  </w:style>
  <w:style w:type="character" w:customStyle="1" w:styleId="68">
    <w:name w:val="标题 Char"/>
    <w:link w:val="3"/>
    <w:qFormat/>
    <w:uiPriority w:val="0"/>
    <w:rPr>
      <w:rFonts w:ascii="Arial" w:hAnsi="Arial" w:eastAsia="宋体" w:cs="Times New Roman"/>
      <w:b/>
      <w:sz w:val="44"/>
      <w:szCs w:val="20"/>
    </w:rPr>
  </w:style>
  <w:style w:type="character" w:customStyle="1" w:styleId="69">
    <w:name w:val="正文文本 字符"/>
    <w:semiHidden/>
    <w:qFormat/>
    <w:uiPriority w:val="99"/>
    <w:rPr>
      <w:rFonts w:ascii="Calibri" w:hAnsi="Calibri" w:eastAsia="宋体" w:cs="Times New Roman"/>
    </w:rPr>
  </w:style>
  <w:style w:type="character" w:customStyle="1" w:styleId="70">
    <w:name w:val="正文文本 Char"/>
    <w:link w:val="5"/>
    <w:qFormat/>
    <w:uiPriority w:val="0"/>
    <w:rPr>
      <w:rFonts w:ascii="Times New Roman" w:hAnsi="Times New Roman" w:eastAsia="宋体" w:cs="Times New Roman"/>
      <w:szCs w:val="20"/>
    </w:rPr>
  </w:style>
  <w:style w:type="character" w:customStyle="1" w:styleId="71">
    <w:name w:val="正文首行缩进 字符"/>
    <w:basedOn w:val="69"/>
    <w:semiHidden/>
    <w:qFormat/>
    <w:uiPriority w:val="99"/>
    <w:rPr>
      <w:rFonts w:ascii="Calibri" w:hAnsi="Calibri" w:eastAsia="宋体" w:cs="Times New Roman"/>
    </w:rPr>
  </w:style>
  <w:style w:type="character" w:customStyle="1" w:styleId="72">
    <w:name w:val="正文首行缩进 Char"/>
    <w:link w:val="4"/>
    <w:qFormat/>
    <w:uiPriority w:val="0"/>
  </w:style>
  <w:style w:type="character" w:customStyle="1" w:styleId="73">
    <w:name w:val="日期 字符"/>
    <w:semiHidden/>
    <w:qFormat/>
    <w:uiPriority w:val="99"/>
    <w:rPr>
      <w:rFonts w:ascii="Calibri" w:hAnsi="Calibri" w:eastAsia="宋体" w:cs="Times New Roman"/>
    </w:rPr>
  </w:style>
  <w:style w:type="character" w:customStyle="1" w:styleId="74">
    <w:name w:val="日期 Char"/>
    <w:link w:val="21"/>
    <w:qFormat/>
    <w:uiPriority w:val="0"/>
    <w:rPr>
      <w:rFonts w:ascii="Times New Roman" w:hAnsi="Times New Roman" w:eastAsia="宋体" w:cs="Times New Roman"/>
      <w:szCs w:val="20"/>
    </w:rPr>
  </w:style>
  <w:style w:type="character" w:customStyle="1" w:styleId="75">
    <w:name w:val="正文文本缩进 字符"/>
    <w:semiHidden/>
    <w:qFormat/>
    <w:uiPriority w:val="99"/>
    <w:rPr>
      <w:rFonts w:ascii="Calibri" w:hAnsi="Calibri" w:eastAsia="宋体" w:cs="Times New Roman"/>
    </w:rPr>
  </w:style>
  <w:style w:type="character" w:customStyle="1" w:styleId="76">
    <w:name w:val="正文文本缩进 Char"/>
    <w:link w:val="18"/>
    <w:qFormat/>
    <w:uiPriority w:val="0"/>
    <w:rPr>
      <w:rFonts w:ascii="Times New Roman" w:hAnsi="Times New Roman" w:eastAsia="宋体" w:cs="Times New Roman"/>
      <w:sz w:val="28"/>
      <w:szCs w:val="20"/>
    </w:rPr>
  </w:style>
  <w:style w:type="character" w:customStyle="1" w:styleId="77">
    <w:name w:val="文档结构图 字符"/>
    <w:semiHidden/>
    <w:qFormat/>
    <w:uiPriority w:val="99"/>
    <w:rPr>
      <w:rFonts w:ascii="Microsoft YaHei UI" w:hAnsi="Calibri" w:eastAsia="Microsoft YaHei UI" w:cs="Times New Roman"/>
      <w:sz w:val="18"/>
      <w:szCs w:val="18"/>
    </w:rPr>
  </w:style>
  <w:style w:type="character" w:customStyle="1" w:styleId="78">
    <w:name w:val="文档结构图 Char"/>
    <w:link w:val="16"/>
    <w:qFormat/>
    <w:uiPriority w:val="0"/>
    <w:rPr>
      <w:rFonts w:ascii="Times New Roman" w:hAnsi="Times New Roman" w:eastAsia="宋体" w:cs="Times New Roman"/>
      <w:szCs w:val="20"/>
      <w:shd w:val="clear" w:color="auto" w:fill="000080"/>
    </w:rPr>
  </w:style>
  <w:style w:type="character" w:customStyle="1" w:styleId="79">
    <w:name w:val="纯文本 字符"/>
    <w:semiHidden/>
    <w:qFormat/>
    <w:uiPriority w:val="99"/>
    <w:rPr>
      <w:rFonts w:ascii="等线" w:hAnsi="Courier New" w:cs="Courier New"/>
    </w:rPr>
  </w:style>
  <w:style w:type="character" w:customStyle="1" w:styleId="80">
    <w:name w:val="纯文本 Char"/>
    <w:link w:val="20"/>
    <w:qFormat/>
    <w:uiPriority w:val="0"/>
    <w:rPr>
      <w:rFonts w:ascii="宋体" w:hAnsi="Courier New" w:eastAsia="宋体" w:cs="Times New Roman"/>
      <w:szCs w:val="20"/>
    </w:rPr>
  </w:style>
  <w:style w:type="character" w:customStyle="1" w:styleId="81">
    <w:name w:val="正文文本缩进 2 字符"/>
    <w:semiHidden/>
    <w:qFormat/>
    <w:uiPriority w:val="99"/>
    <w:rPr>
      <w:rFonts w:ascii="Calibri" w:hAnsi="Calibri" w:eastAsia="宋体" w:cs="Times New Roman"/>
    </w:rPr>
  </w:style>
  <w:style w:type="character" w:customStyle="1" w:styleId="82">
    <w:name w:val="正文文本缩进 2 Char"/>
    <w:link w:val="22"/>
    <w:qFormat/>
    <w:uiPriority w:val="0"/>
    <w:rPr>
      <w:rFonts w:ascii="Times New Roman" w:hAnsi="Times New Roman" w:eastAsia="宋体" w:cs="Times New Roman"/>
      <w:color w:val="000000"/>
      <w:sz w:val="24"/>
      <w:szCs w:val="20"/>
    </w:rPr>
  </w:style>
  <w:style w:type="character" w:customStyle="1" w:styleId="83">
    <w:name w:val="正文文本缩进 3 字符"/>
    <w:semiHidden/>
    <w:qFormat/>
    <w:uiPriority w:val="99"/>
    <w:rPr>
      <w:rFonts w:ascii="Calibri" w:hAnsi="Calibri" w:eastAsia="宋体" w:cs="Times New Roman"/>
      <w:sz w:val="16"/>
      <w:szCs w:val="16"/>
    </w:rPr>
  </w:style>
  <w:style w:type="character" w:customStyle="1" w:styleId="84">
    <w:name w:val="正文文本缩进 3 Char"/>
    <w:link w:val="29"/>
    <w:qFormat/>
    <w:uiPriority w:val="0"/>
    <w:rPr>
      <w:rFonts w:ascii="Times New Roman" w:hAnsi="Times New Roman" w:eastAsia="宋体" w:cs="Times New Roman"/>
      <w:color w:val="000000"/>
      <w:sz w:val="24"/>
      <w:szCs w:val="20"/>
    </w:rPr>
  </w:style>
  <w:style w:type="paragraph" w:customStyle="1" w:styleId="8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6">
    <w:name w:val="_Style 69"/>
    <w:qFormat/>
    <w:uiPriority w:val="0"/>
    <w:rPr>
      <w:rFonts w:ascii="等线" w:hAnsi="等线" w:eastAsia="等线" w:cs="Times New Roman"/>
      <w:lang w:val="en-US" w:eastAsia="zh-CN" w:bidi="ar-SA"/>
    </w:rPr>
  </w:style>
  <w:style w:type="character" w:customStyle="1" w:styleId="87">
    <w:name w:val="正文文本 2 字符"/>
    <w:semiHidden/>
    <w:qFormat/>
    <w:uiPriority w:val="99"/>
    <w:rPr>
      <w:rFonts w:ascii="Calibri" w:hAnsi="Calibri" w:eastAsia="宋体" w:cs="Times New Roman"/>
    </w:rPr>
  </w:style>
  <w:style w:type="character" w:customStyle="1" w:styleId="88">
    <w:name w:val="正文文本 2 Char"/>
    <w:link w:val="31"/>
    <w:qFormat/>
    <w:uiPriority w:val="0"/>
    <w:rPr>
      <w:rFonts w:ascii="宋体" w:hAnsi="宋体" w:eastAsia="宋体" w:cs="Times New Roman"/>
      <w:szCs w:val="24"/>
      <w:u w:val="single"/>
    </w:rPr>
  </w:style>
  <w:style w:type="paragraph" w:customStyle="1" w:styleId="89">
    <w:name w:val="表头"/>
    <w:basedOn w:val="1"/>
    <w:qFormat/>
    <w:uiPriority w:val="0"/>
    <w:pPr>
      <w:spacing w:line="360" w:lineRule="auto"/>
      <w:jc w:val="center"/>
    </w:pPr>
    <w:rPr>
      <w:rFonts w:ascii="黑体" w:hAnsi="Times New Roman" w:eastAsia="黑体"/>
      <w:kern w:val="0"/>
      <w:sz w:val="24"/>
      <w:szCs w:val="20"/>
    </w:rPr>
  </w:style>
  <w:style w:type="character" w:customStyle="1" w:styleId="90">
    <w:name w:val="尾注文本 字符"/>
    <w:semiHidden/>
    <w:qFormat/>
    <w:uiPriority w:val="99"/>
    <w:rPr>
      <w:rFonts w:ascii="Calibri" w:hAnsi="Calibri" w:eastAsia="宋体" w:cs="Times New Roman"/>
    </w:rPr>
  </w:style>
  <w:style w:type="character" w:customStyle="1" w:styleId="91">
    <w:name w:val="尾注文本 Char"/>
    <w:link w:val="23"/>
    <w:qFormat/>
    <w:uiPriority w:val="0"/>
    <w:rPr>
      <w:rFonts w:ascii="Times New Roman" w:hAnsi="Times New Roman" w:eastAsia="宋体" w:cs="Times New Roman"/>
      <w:szCs w:val="20"/>
    </w:rPr>
  </w:style>
  <w:style w:type="paragraph" w:customStyle="1" w:styleId="92">
    <w:name w:val="Char"/>
    <w:basedOn w:val="1"/>
    <w:qFormat/>
    <w:uiPriority w:val="0"/>
    <w:rPr>
      <w:rFonts w:ascii="Tahoma" w:hAnsi="Tahoma"/>
      <w:sz w:val="24"/>
      <w:szCs w:val="20"/>
    </w:rPr>
  </w:style>
  <w:style w:type="paragraph" w:customStyle="1" w:styleId="93">
    <w:name w:val="Char1"/>
    <w:basedOn w:val="1"/>
    <w:qFormat/>
    <w:uiPriority w:val="0"/>
    <w:pPr>
      <w:numPr>
        <w:ilvl w:val="0"/>
        <w:numId w:val="1"/>
      </w:numPr>
    </w:pPr>
    <w:rPr>
      <w:rFonts w:ascii="Times New Roman" w:hAnsi="Times New Roman"/>
      <w:sz w:val="24"/>
      <w:szCs w:val="24"/>
    </w:rPr>
  </w:style>
  <w:style w:type="paragraph" w:customStyle="1" w:styleId="94">
    <w:name w:val="公文抬头"/>
    <w:basedOn w:val="9"/>
    <w:qFormat/>
    <w:uiPriority w:val="0"/>
    <w:pPr>
      <w:ind w:firstLine="0"/>
    </w:pPr>
    <w:rPr>
      <w:rFonts w:ascii="仿宋_GB2312" w:eastAsia="仿宋_GB2312"/>
      <w:sz w:val="30"/>
      <w:szCs w:val="24"/>
    </w:rPr>
  </w:style>
  <w:style w:type="paragraph" w:customStyle="1" w:styleId="95">
    <w:name w:val="Char Char Char1 Char"/>
    <w:basedOn w:val="16"/>
    <w:qFormat/>
    <w:uiPriority w:val="0"/>
    <w:rPr>
      <w:rFonts w:ascii="Tahoma" w:hAnsi="Tahoma"/>
      <w:sz w:val="24"/>
      <w:szCs w:val="24"/>
    </w:rPr>
  </w:style>
  <w:style w:type="paragraph" w:customStyle="1" w:styleId="9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7">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8">
    <w:name w:val="发文落款"/>
    <w:basedOn w:val="96"/>
    <w:qFormat/>
    <w:uiPriority w:val="0"/>
    <w:pPr>
      <w:ind w:left="4094" w:right="607" w:firstLine="0"/>
      <w:jc w:val="center"/>
    </w:pPr>
  </w:style>
  <w:style w:type="paragraph" w:customStyle="1" w:styleId="99">
    <w:name w:val="Char Char Char Char"/>
    <w:basedOn w:val="1"/>
    <w:qFormat/>
    <w:uiPriority w:val="0"/>
    <w:rPr>
      <w:rFonts w:ascii="Times New Roman" w:hAnsi="Times New Roman"/>
      <w:sz w:val="30"/>
      <w:szCs w:val="24"/>
    </w:rPr>
  </w:style>
  <w:style w:type="character" w:customStyle="1" w:styleId="100">
    <w:name w:val="批注框文本 字符"/>
    <w:semiHidden/>
    <w:qFormat/>
    <w:uiPriority w:val="99"/>
    <w:rPr>
      <w:rFonts w:ascii="Calibri" w:hAnsi="Calibri" w:eastAsia="宋体" w:cs="Times New Roman"/>
      <w:sz w:val="18"/>
      <w:szCs w:val="18"/>
    </w:rPr>
  </w:style>
  <w:style w:type="character" w:customStyle="1" w:styleId="101">
    <w:name w:val="批注框文本 Char"/>
    <w:link w:val="24"/>
    <w:qFormat/>
    <w:uiPriority w:val="0"/>
    <w:rPr>
      <w:rFonts w:ascii="Times New Roman" w:hAnsi="Times New Roman" w:eastAsia="宋体" w:cs="Times New Roman"/>
      <w:sz w:val="18"/>
      <w:szCs w:val="18"/>
    </w:rPr>
  </w:style>
  <w:style w:type="paragraph" w:customStyle="1" w:styleId="102">
    <w:name w:val="TOC 标题1"/>
    <w:basedOn w:val="2"/>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3">
    <w:name w:val="批注文字 字符"/>
    <w:semiHidden/>
    <w:qFormat/>
    <w:uiPriority w:val="99"/>
    <w:rPr>
      <w:rFonts w:ascii="Calibri" w:hAnsi="Calibri" w:eastAsia="宋体" w:cs="Times New Roman"/>
    </w:rPr>
  </w:style>
  <w:style w:type="character" w:customStyle="1" w:styleId="104">
    <w:name w:val="批注文字 Char"/>
    <w:link w:val="17"/>
    <w:qFormat/>
    <w:uiPriority w:val="0"/>
    <w:rPr>
      <w:rFonts w:ascii="宋体" w:hAnsi="宋体" w:eastAsia="宋体" w:cs="Times New Roman"/>
      <w:sz w:val="24"/>
      <w:szCs w:val="24"/>
    </w:rPr>
  </w:style>
  <w:style w:type="character" w:customStyle="1" w:styleId="105">
    <w:name w:val="脚注文本 字符"/>
    <w:semiHidden/>
    <w:qFormat/>
    <w:uiPriority w:val="99"/>
    <w:rPr>
      <w:rFonts w:ascii="Calibri" w:hAnsi="Calibri" w:eastAsia="宋体" w:cs="Times New Roman"/>
      <w:sz w:val="18"/>
      <w:szCs w:val="18"/>
    </w:rPr>
  </w:style>
  <w:style w:type="character" w:customStyle="1" w:styleId="106">
    <w:name w:val="脚注文本 Char"/>
    <w:link w:val="28"/>
    <w:qFormat/>
    <w:uiPriority w:val="0"/>
    <w:rPr>
      <w:rFonts w:ascii="宋体" w:hAnsi="宋体" w:eastAsia="宋体" w:cs="Times New Roman"/>
      <w:sz w:val="18"/>
      <w:szCs w:val="18"/>
    </w:rPr>
  </w:style>
  <w:style w:type="character" w:customStyle="1" w:styleId="107">
    <w:name w:val="批注主题 字符"/>
    <w:semiHidden/>
    <w:qFormat/>
    <w:uiPriority w:val="99"/>
    <w:rPr>
      <w:rFonts w:ascii="Calibri" w:hAnsi="Calibri" w:eastAsia="宋体" w:cs="Times New Roman"/>
      <w:b/>
      <w:bCs/>
    </w:rPr>
  </w:style>
  <w:style w:type="character" w:customStyle="1" w:styleId="108">
    <w:name w:val="批注主题 Char"/>
    <w:link w:val="33"/>
    <w:qFormat/>
    <w:uiPriority w:val="0"/>
    <w:rPr>
      <w:rFonts w:ascii="宋体" w:hAnsi="宋体" w:eastAsia="宋体" w:cs="Times New Roman"/>
      <w:b/>
      <w:bCs/>
      <w:sz w:val="24"/>
      <w:szCs w:val="24"/>
    </w:rPr>
  </w:style>
  <w:style w:type="paragraph" w:styleId="109">
    <w:name w:val="List Paragraph"/>
    <w:basedOn w:val="1"/>
    <w:qFormat/>
    <w:uiPriority w:val="34"/>
    <w:pPr>
      <w:ind w:firstLine="420" w:firstLineChars="200"/>
    </w:pPr>
    <w:rPr>
      <w:rFonts w:ascii="Times New Roman" w:hAnsi="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paragraph" w:customStyle="1" w:styleId="111">
    <w:name w:val="自标题3"/>
    <w:basedOn w:val="1"/>
    <w:qFormat/>
    <w:uiPriority w:val="0"/>
    <w:rPr>
      <w:rFonts w:ascii="Times New Roman" w:hAnsi="Times New Roman"/>
      <w:szCs w:val="20"/>
    </w:rPr>
  </w:style>
  <w:style w:type="paragraph" w:customStyle="1" w:styleId="112">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13">
    <w:name w:val="文一"/>
    <w:basedOn w:val="1"/>
    <w:next w:val="1"/>
    <w:unhideWhenUsed/>
    <w:qFormat/>
    <w:uiPriority w:val="0"/>
    <w:pPr>
      <w:topLinePunct/>
      <w:snapToGrid w:val="0"/>
      <w:spacing w:line="360" w:lineRule="auto"/>
      <w:ind w:firstLine="200" w:firstLineChars="200"/>
      <w:textAlignment w:val="auto"/>
    </w:pPr>
    <w:rPr>
      <w:rFonts w:hint="default" w:ascii="Calibri" w:hAnsi="Times New Roman" w:eastAsia="宋体"/>
      <w:spacing w:val="4"/>
      <w:sz w:val="24"/>
      <w:szCs w:val="24"/>
    </w:rPr>
  </w:style>
  <w:style w:type="character" w:customStyle="1" w:styleId="114">
    <w:name w:val="NormalCharacter"/>
    <w:qFormat/>
    <w:uiPriority w:val="0"/>
  </w:style>
  <w:style w:type="paragraph" w:customStyle="1" w:styleId="11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93</Pages>
  <Words>17231</Words>
  <Characters>18127</Characters>
  <Lines>519</Lines>
  <Paragraphs>146</Paragraphs>
  <TotalTime>27</TotalTime>
  <ScaleCrop>false</ScaleCrop>
  <LinksUpToDate>false</LinksUpToDate>
  <CharactersWithSpaces>19411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WPS用户</cp:lastModifiedBy>
  <cp:lastPrinted>2024-11-21T07:18:00Z</cp:lastPrinted>
  <dcterms:modified xsi:type="dcterms:W3CDTF">2025-09-30T03:58:01Z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4DB388672DE149CAB24E85BF755579EC_13</vt:lpwstr>
  </property>
  <property fmtid="{D5CDD505-2E9C-101B-9397-08002B2CF9AE}" pid="4" name="KSOTemplateDocerSaveRecord">
    <vt:lpwstr>eyJoZGlkIjoiOTVlN2U3ODZlM2VhMDNlMjdhMzNmMDYzN2Q0NzA5OGYiLCJ1c2VySWQiOiI1NzA1MDI0MDUifQ==</vt:lpwstr>
  </property>
</Properties>
</file>